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3E4" w:rsidRDefault="003663E4">
      <w:pPr>
        <w:autoSpaceDE w:val="0"/>
        <w:autoSpaceDN w:val="0"/>
        <w:adjustRightInd w:val="0"/>
        <w:spacing w:line="360" w:lineRule="auto"/>
        <w:jc w:val="left"/>
        <w:rPr>
          <w:rFonts w:asciiTheme="minorEastAsia" w:eastAsiaTheme="minorEastAsia" w:hAnsiTheme="minorEastAsia"/>
          <w:kern w:val="0"/>
          <w:szCs w:val="21"/>
        </w:rPr>
      </w:pPr>
    </w:p>
    <w:p w:rsidR="003663E4" w:rsidRDefault="003663E4">
      <w:pPr>
        <w:autoSpaceDE w:val="0"/>
        <w:autoSpaceDN w:val="0"/>
        <w:adjustRightInd w:val="0"/>
        <w:spacing w:line="360" w:lineRule="auto"/>
        <w:jc w:val="left"/>
        <w:rPr>
          <w:rStyle w:val="afd"/>
          <w:rFonts w:asciiTheme="minorEastAsia" w:eastAsiaTheme="minorEastAsia" w:hAnsiTheme="minorEastAsia"/>
          <w:szCs w:val="21"/>
        </w:rPr>
      </w:pPr>
    </w:p>
    <w:p w:rsidR="003663E4" w:rsidRDefault="003663E4">
      <w:pPr>
        <w:autoSpaceDE w:val="0"/>
        <w:autoSpaceDN w:val="0"/>
        <w:adjustRightInd w:val="0"/>
        <w:spacing w:line="360" w:lineRule="auto"/>
        <w:jc w:val="left"/>
        <w:rPr>
          <w:rStyle w:val="afd"/>
          <w:rFonts w:asciiTheme="minorEastAsia" w:eastAsiaTheme="minorEastAsia" w:hAnsiTheme="minorEastAsia"/>
          <w:szCs w:val="21"/>
        </w:rPr>
      </w:pPr>
    </w:p>
    <w:p w:rsidR="003663E4" w:rsidRDefault="003663E4">
      <w:pPr>
        <w:autoSpaceDE w:val="0"/>
        <w:autoSpaceDN w:val="0"/>
        <w:adjustRightInd w:val="0"/>
        <w:spacing w:line="360" w:lineRule="auto"/>
        <w:jc w:val="left"/>
        <w:rPr>
          <w:rStyle w:val="afd"/>
          <w:rFonts w:asciiTheme="minorEastAsia" w:eastAsiaTheme="minorEastAsia" w:hAnsiTheme="minorEastAsia"/>
          <w:szCs w:val="21"/>
        </w:rPr>
      </w:pPr>
    </w:p>
    <w:p w:rsidR="003663E4" w:rsidRDefault="00FD3F7D">
      <w:pPr>
        <w:spacing w:line="360" w:lineRule="auto"/>
        <w:jc w:val="center"/>
        <w:rPr>
          <w:rFonts w:eastAsiaTheme="minorEastAsia"/>
          <w:b/>
          <w:bCs/>
          <w:color w:val="000000"/>
          <w:sz w:val="36"/>
          <w:szCs w:val="36"/>
        </w:rPr>
      </w:pPr>
      <w:bookmarkStart w:id="0" w:name="_Toc361324840"/>
      <w:r>
        <w:rPr>
          <w:rFonts w:eastAsiaTheme="minorEastAsia"/>
          <w:b/>
          <w:bCs/>
          <w:color w:val="000000"/>
          <w:sz w:val="36"/>
          <w:szCs w:val="36"/>
        </w:rPr>
        <w:t>交银施罗德裕惠纯债债券型证券投资基金</w:t>
      </w:r>
      <w:bookmarkEnd w:id="0"/>
    </w:p>
    <w:p w:rsidR="003663E4" w:rsidRDefault="00FD3F7D">
      <w:pPr>
        <w:spacing w:line="360" w:lineRule="auto"/>
        <w:jc w:val="center"/>
        <w:rPr>
          <w:rFonts w:eastAsiaTheme="minorEastAsia"/>
          <w:b/>
          <w:bCs/>
          <w:color w:val="000000"/>
          <w:sz w:val="36"/>
          <w:szCs w:val="36"/>
        </w:rPr>
      </w:pPr>
      <w:r>
        <w:rPr>
          <w:rFonts w:eastAsiaTheme="minorEastAsia"/>
          <w:b/>
          <w:bCs/>
          <w:color w:val="000000"/>
          <w:sz w:val="36"/>
          <w:szCs w:val="36"/>
        </w:rPr>
        <w:t>(</w:t>
      </w:r>
      <w:r>
        <w:rPr>
          <w:rFonts w:eastAsiaTheme="minorEastAsia"/>
          <w:b/>
          <w:bCs/>
          <w:color w:val="000000"/>
          <w:sz w:val="36"/>
          <w:szCs w:val="36"/>
        </w:rPr>
        <w:t>原交银施罗德理财</w:t>
      </w:r>
      <w:r>
        <w:rPr>
          <w:rFonts w:eastAsiaTheme="minorEastAsia"/>
          <w:b/>
          <w:bCs/>
          <w:color w:val="000000"/>
          <w:sz w:val="36"/>
          <w:szCs w:val="36"/>
        </w:rPr>
        <w:t>60</w:t>
      </w:r>
      <w:r>
        <w:rPr>
          <w:rFonts w:eastAsiaTheme="minorEastAsia"/>
          <w:b/>
          <w:bCs/>
          <w:color w:val="000000"/>
          <w:sz w:val="36"/>
          <w:szCs w:val="36"/>
        </w:rPr>
        <w:t>天债券型证券投资基金</w:t>
      </w:r>
      <w:r>
        <w:rPr>
          <w:rFonts w:eastAsiaTheme="minorEastAsia" w:hint="eastAsia"/>
          <w:b/>
          <w:bCs/>
          <w:color w:val="000000"/>
          <w:sz w:val="36"/>
          <w:szCs w:val="36"/>
        </w:rPr>
        <w:t>转型</w:t>
      </w:r>
      <w:r>
        <w:rPr>
          <w:rFonts w:eastAsiaTheme="minorEastAsia"/>
          <w:b/>
          <w:bCs/>
          <w:color w:val="000000"/>
          <w:sz w:val="36"/>
          <w:szCs w:val="36"/>
        </w:rPr>
        <w:t>)</w:t>
      </w:r>
    </w:p>
    <w:p w:rsidR="003663E4" w:rsidRDefault="00FD3F7D">
      <w:pPr>
        <w:spacing w:line="360" w:lineRule="auto"/>
        <w:jc w:val="center"/>
        <w:rPr>
          <w:rFonts w:eastAsiaTheme="minorEastAsia"/>
          <w:b/>
          <w:bCs/>
          <w:color w:val="000000"/>
          <w:sz w:val="36"/>
          <w:szCs w:val="36"/>
        </w:rPr>
      </w:pPr>
      <w:bookmarkStart w:id="1" w:name="_Toc361324841"/>
      <w:r>
        <w:rPr>
          <w:rFonts w:eastAsiaTheme="minorEastAsia"/>
          <w:b/>
          <w:bCs/>
          <w:color w:val="000000"/>
          <w:sz w:val="36"/>
          <w:szCs w:val="36"/>
        </w:rPr>
        <w:t>2020</w:t>
      </w:r>
      <w:r>
        <w:rPr>
          <w:rFonts w:eastAsiaTheme="minorEastAsia"/>
          <w:b/>
          <w:bCs/>
          <w:color w:val="000000"/>
          <w:sz w:val="36"/>
          <w:szCs w:val="36"/>
        </w:rPr>
        <w:t>年年度报告</w:t>
      </w:r>
      <w:bookmarkEnd w:id="1"/>
    </w:p>
    <w:p w:rsidR="003663E4" w:rsidRDefault="00FD3F7D">
      <w:pPr>
        <w:spacing w:line="360" w:lineRule="auto"/>
        <w:jc w:val="center"/>
        <w:rPr>
          <w:rFonts w:eastAsiaTheme="minorEastAsia"/>
          <w:b/>
          <w:bCs/>
          <w:color w:val="000000"/>
          <w:sz w:val="36"/>
          <w:szCs w:val="36"/>
        </w:rPr>
      </w:pPr>
      <w:r>
        <w:rPr>
          <w:rFonts w:eastAsiaTheme="minorEastAsia"/>
          <w:b/>
          <w:bCs/>
          <w:color w:val="000000"/>
          <w:sz w:val="36"/>
          <w:szCs w:val="36"/>
        </w:rPr>
        <w:t>2020</w:t>
      </w:r>
      <w:r>
        <w:rPr>
          <w:rFonts w:eastAsiaTheme="minorEastAsia"/>
          <w:b/>
          <w:bCs/>
          <w:color w:val="000000"/>
          <w:sz w:val="36"/>
          <w:szCs w:val="36"/>
        </w:rPr>
        <w:t>年</w:t>
      </w:r>
      <w:r>
        <w:rPr>
          <w:rFonts w:eastAsiaTheme="minorEastAsia"/>
          <w:b/>
          <w:bCs/>
          <w:color w:val="000000"/>
          <w:sz w:val="36"/>
          <w:szCs w:val="36"/>
        </w:rPr>
        <w:t>12</w:t>
      </w:r>
      <w:r>
        <w:rPr>
          <w:rFonts w:eastAsiaTheme="minorEastAsia"/>
          <w:b/>
          <w:bCs/>
          <w:color w:val="000000"/>
          <w:sz w:val="36"/>
          <w:szCs w:val="36"/>
        </w:rPr>
        <w:t>月</w:t>
      </w:r>
      <w:r>
        <w:rPr>
          <w:rFonts w:eastAsiaTheme="minorEastAsia"/>
          <w:b/>
          <w:bCs/>
          <w:color w:val="000000"/>
          <w:sz w:val="36"/>
          <w:szCs w:val="36"/>
        </w:rPr>
        <w:t>31</w:t>
      </w:r>
      <w:r>
        <w:rPr>
          <w:rFonts w:eastAsiaTheme="minorEastAsia"/>
          <w:b/>
          <w:bCs/>
          <w:color w:val="000000"/>
          <w:sz w:val="36"/>
          <w:szCs w:val="36"/>
        </w:rPr>
        <w:t>日</w:t>
      </w:r>
    </w:p>
    <w:p w:rsidR="003663E4" w:rsidRDefault="003663E4">
      <w:pPr>
        <w:spacing w:line="360" w:lineRule="auto"/>
        <w:jc w:val="center"/>
        <w:rPr>
          <w:rStyle w:val="afd"/>
          <w:rFonts w:asciiTheme="minorEastAsia" w:eastAsiaTheme="minorEastAsia" w:hAnsiTheme="minorEastAsia"/>
          <w:sz w:val="32"/>
          <w:szCs w:val="32"/>
        </w:rPr>
      </w:pPr>
    </w:p>
    <w:p w:rsidR="003663E4" w:rsidRDefault="003663E4">
      <w:pPr>
        <w:spacing w:line="360" w:lineRule="auto"/>
        <w:jc w:val="center"/>
        <w:rPr>
          <w:rStyle w:val="afd"/>
          <w:rFonts w:asciiTheme="minorEastAsia" w:eastAsiaTheme="minorEastAsia" w:hAnsiTheme="minorEastAsia"/>
          <w:szCs w:val="21"/>
        </w:rPr>
      </w:pPr>
    </w:p>
    <w:p w:rsidR="003663E4" w:rsidRDefault="003663E4">
      <w:pPr>
        <w:spacing w:line="360" w:lineRule="auto"/>
        <w:jc w:val="center"/>
        <w:rPr>
          <w:rFonts w:asciiTheme="minorEastAsia" w:eastAsiaTheme="minorEastAsia" w:hAnsiTheme="minorEastAsia"/>
          <w:b/>
          <w:szCs w:val="21"/>
        </w:rPr>
      </w:pPr>
    </w:p>
    <w:p w:rsidR="003663E4" w:rsidRDefault="003663E4">
      <w:pPr>
        <w:spacing w:line="360" w:lineRule="auto"/>
        <w:jc w:val="center"/>
        <w:rPr>
          <w:rFonts w:asciiTheme="minorEastAsia" w:eastAsiaTheme="minorEastAsia" w:hAnsiTheme="minorEastAsia"/>
          <w:b/>
          <w:szCs w:val="21"/>
        </w:rPr>
      </w:pPr>
    </w:p>
    <w:p w:rsidR="003663E4" w:rsidRDefault="003663E4">
      <w:pPr>
        <w:spacing w:line="360" w:lineRule="auto"/>
        <w:rPr>
          <w:rFonts w:asciiTheme="minorEastAsia" w:eastAsiaTheme="minorEastAsia" w:hAnsiTheme="minorEastAsia"/>
          <w:b/>
          <w:szCs w:val="21"/>
        </w:rPr>
      </w:pPr>
    </w:p>
    <w:p w:rsidR="003663E4" w:rsidRDefault="003663E4">
      <w:pPr>
        <w:spacing w:line="360" w:lineRule="auto"/>
        <w:jc w:val="center"/>
        <w:rPr>
          <w:rFonts w:asciiTheme="minorEastAsia" w:eastAsiaTheme="minorEastAsia" w:hAnsiTheme="minorEastAsia"/>
          <w:b/>
          <w:szCs w:val="21"/>
        </w:rPr>
      </w:pPr>
    </w:p>
    <w:p w:rsidR="003663E4" w:rsidRDefault="003663E4">
      <w:pPr>
        <w:spacing w:line="360" w:lineRule="auto"/>
        <w:jc w:val="center"/>
        <w:rPr>
          <w:rFonts w:asciiTheme="minorEastAsia" w:eastAsiaTheme="minorEastAsia" w:hAnsiTheme="minorEastAsia"/>
          <w:b/>
          <w:szCs w:val="21"/>
        </w:rPr>
      </w:pPr>
    </w:p>
    <w:p w:rsidR="003663E4" w:rsidRDefault="003663E4">
      <w:pPr>
        <w:spacing w:line="360" w:lineRule="auto"/>
        <w:jc w:val="center"/>
        <w:rPr>
          <w:rFonts w:asciiTheme="minorEastAsia" w:eastAsiaTheme="minorEastAsia" w:hAnsiTheme="minorEastAsia"/>
          <w:b/>
          <w:szCs w:val="21"/>
        </w:rPr>
      </w:pPr>
    </w:p>
    <w:p w:rsidR="003663E4" w:rsidRDefault="003663E4">
      <w:pPr>
        <w:spacing w:line="360" w:lineRule="auto"/>
        <w:jc w:val="center"/>
        <w:rPr>
          <w:rFonts w:asciiTheme="minorEastAsia" w:eastAsiaTheme="minorEastAsia" w:hAnsiTheme="minorEastAsia"/>
          <w:b/>
          <w:szCs w:val="21"/>
        </w:rPr>
      </w:pPr>
    </w:p>
    <w:p w:rsidR="003663E4" w:rsidRDefault="003663E4">
      <w:pPr>
        <w:spacing w:line="360" w:lineRule="auto"/>
        <w:jc w:val="center"/>
        <w:rPr>
          <w:rFonts w:asciiTheme="minorEastAsia" w:eastAsiaTheme="minorEastAsia" w:hAnsiTheme="minorEastAsia"/>
          <w:b/>
          <w:szCs w:val="21"/>
        </w:rPr>
      </w:pPr>
    </w:p>
    <w:p w:rsidR="003663E4" w:rsidRDefault="003663E4">
      <w:pPr>
        <w:spacing w:line="360" w:lineRule="auto"/>
        <w:jc w:val="center"/>
        <w:rPr>
          <w:rFonts w:asciiTheme="minorEastAsia" w:eastAsiaTheme="minorEastAsia" w:hAnsiTheme="minorEastAsia"/>
          <w:b/>
          <w:szCs w:val="21"/>
        </w:rPr>
      </w:pPr>
    </w:p>
    <w:p w:rsidR="003663E4" w:rsidRDefault="003663E4">
      <w:pPr>
        <w:spacing w:line="360" w:lineRule="auto"/>
        <w:jc w:val="center"/>
        <w:rPr>
          <w:rFonts w:asciiTheme="minorEastAsia" w:eastAsiaTheme="minorEastAsia" w:hAnsiTheme="minorEastAsia"/>
          <w:b/>
          <w:szCs w:val="21"/>
        </w:rPr>
      </w:pPr>
    </w:p>
    <w:p w:rsidR="003663E4" w:rsidRDefault="003663E4">
      <w:pPr>
        <w:spacing w:line="360" w:lineRule="auto"/>
        <w:jc w:val="center"/>
        <w:rPr>
          <w:rFonts w:asciiTheme="minorEastAsia" w:eastAsiaTheme="minorEastAsia" w:hAnsiTheme="minorEastAsia"/>
          <w:b/>
          <w:szCs w:val="21"/>
        </w:rPr>
      </w:pPr>
    </w:p>
    <w:p w:rsidR="003663E4" w:rsidRDefault="003663E4">
      <w:pPr>
        <w:spacing w:line="360" w:lineRule="auto"/>
        <w:jc w:val="center"/>
        <w:rPr>
          <w:rFonts w:asciiTheme="minorEastAsia" w:eastAsiaTheme="minorEastAsia" w:hAnsiTheme="minorEastAsia"/>
          <w:b/>
          <w:szCs w:val="21"/>
        </w:rPr>
      </w:pPr>
    </w:p>
    <w:p w:rsidR="003663E4" w:rsidRDefault="003663E4">
      <w:pPr>
        <w:spacing w:line="360" w:lineRule="auto"/>
        <w:rPr>
          <w:rFonts w:asciiTheme="minorEastAsia" w:eastAsiaTheme="minorEastAsia" w:hAnsiTheme="minorEastAsia"/>
          <w:b/>
          <w:szCs w:val="21"/>
        </w:rPr>
      </w:pPr>
    </w:p>
    <w:p w:rsidR="003663E4" w:rsidRDefault="00FD3F7D">
      <w:pPr>
        <w:spacing w:line="360" w:lineRule="auto"/>
        <w:ind w:firstLineChars="900" w:firstLine="2168"/>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基金管理人：交银施罗德基金管理有限公司</w:t>
      </w:r>
    </w:p>
    <w:p w:rsidR="003663E4" w:rsidRDefault="00FD3F7D">
      <w:pPr>
        <w:spacing w:line="360" w:lineRule="auto"/>
        <w:ind w:firstLineChars="900" w:firstLine="2168"/>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基金托管人：中国建设银行股份有限公司</w:t>
      </w:r>
    </w:p>
    <w:p w:rsidR="003663E4" w:rsidRDefault="00FD3F7D">
      <w:pPr>
        <w:spacing w:line="360" w:lineRule="auto"/>
        <w:ind w:firstLineChars="900" w:firstLine="2168"/>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送出日期：二〇二一年三月三十日</w:t>
      </w:r>
    </w:p>
    <w:p w:rsidR="003663E4" w:rsidRDefault="003663E4">
      <w:pPr>
        <w:widowControl/>
        <w:spacing w:line="360" w:lineRule="auto"/>
        <w:jc w:val="left"/>
        <w:rPr>
          <w:rFonts w:asciiTheme="minorEastAsia" w:eastAsiaTheme="minorEastAsia" w:hAnsiTheme="minorEastAsia"/>
          <w:szCs w:val="21"/>
        </w:rPr>
        <w:sectPr w:rsidR="003663E4">
          <w:headerReference w:type="default" r:id="rId8"/>
          <w:pgSz w:w="11926" w:h="15840"/>
          <w:pgMar w:top="1418" w:right="1418" w:bottom="851" w:left="1418" w:header="851" w:footer="992" w:gutter="0"/>
          <w:cols w:space="720"/>
        </w:sectPr>
      </w:pPr>
    </w:p>
    <w:p w:rsidR="003663E4" w:rsidRDefault="00FD3F7D">
      <w:pPr>
        <w:pStyle w:val="1"/>
        <w:keepNext/>
        <w:keepLines/>
        <w:widowControl w:val="0"/>
        <w:spacing w:before="240" w:after="240" w:line="360" w:lineRule="auto"/>
        <w:jc w:val="center"/>
        <w:rPr>
          <w:b/>
          <w:bCs/>
          <w:color w:val="000000"/>
          <w:sz w:val="21"/>
          <w:szCs w:val="21"/>
        </w:rPr>
      </w:pPr>
      <w:bookmarkStart w:id="2" w:name="_Toc23339325"/>
      <w:bookmarkStart w:id="3" w:name="_Toc6767"/>
      <w:r>
        <w:rPr>
          <w:rFonts w:hint="eastAsia"/>
          <w:b/>
          <w:bCs/>
          <w:color w:val="000000"/>
          <w:sz w:val="21"/>
          <w:szCs w:val="21"/>
        </w:rPr>
        <w:lastRenderedPageBreak/>
        <w:t>§</w:t>
      </w:r>
      <w:r>
        <w:rPr>
          <w:b/>
          <w:bCs/>
          <w:color w:val="000000"/>
          <w:sz w:val="21"/>
          <w:szCs w:val="21"/>
        </w:rPr>
        <w:t>1</w:t>
      </w:r>
      <w:r>
        <w:rPr>
          <w:rFonts w:hint="eastAsia"/>
          <w:b/>
          <w:bCs/>
          <w:color w:val="000000"/>
          <w:sz w:val="21"/>
          <w:szCs w:val="21"/>
        </w:rPr>
        <w:t xml:space="preserve"> </w:t>
      </w:r>
      <w:r>
        <w:rPr>
          <w:rFonts w:hint="eastAsia"/>
          <w:b/>
          <w:bCs/>
          <w:color w:val="000000"/>
          <w:sz w:val="21"/>
          <w:szCs w:val="21"/>
        </w:rPr>
        <w:t>重要提示及目录</w:t>
      </w:r>
      <w:bookmarkEnd w:id="2"/>
      <w:bookmarkEnd w:id="3"/>
    </w:p>
    <w:p w:rsidR="003663E4" w:rsidRDefault="00FD3F7D">
      <w:pPr>
        <w:pStyle w:val="2"/>
        <w:spacing w:before="0" w:after="0"/>
        <w:rPr>
          <w:rFonts w:ascii="Times New Roman" w:eastAsiaTheme="minorEastAsia" w:hAnsi="Times New Roman" w:cs="Times New Roman"/>
          <w:bCs w:val="0"/>
          <w:kern w:val="0"/>
          <w:sz w:val="21"/>
          <w:szCs w:val="21"/>
        </w:rPr>
      </w:pPr>
      <w:bookmarkStart w:id="4" w:name="_Toc23339326"/>
      <w:bookmarkStart w:id="5" w:name="_Toc27290"/>
      <w:r>
        <w:rPr>
          <w:rFonts w:ascii="Times New Roman" w:eastAsiaTheme="minorEastAsia" w:hAnsi="Times New Roman" w:cs="Times New Roman"/>
          <w:bCs w:val="0"/>
          <w:kern w:val="0"/>
          <w:sz w:val="21"/>
          <w:szCs w:val="21"/>
        </w:rPr>
        <w:t>1</w:t>
      </w:r>
      <w:r>
        <w:rPr>
          <w:rFonts w:ascii="Times New Roman" w:eastAsiaTheme="minorEastAsia" w:hAnsi="Times New Roman" w:cs="Times New Roman" w:hint="eastAsia"/>
          <w:bCs w:val="0"/>
          <w:kern w:val="0"/>
          <w:sz w:val="21"/>
          <w:szCs w:val="21"/>
        </w:rPr>
        <w:t>.</w:t>
      </w:r>
      <w:r>
        <w:rPr>
          <w:rFonts w:ascii="Times New Roman" w:eastAsiaTheme="minorEastAsia" w:hAnsi="Times New Roman" w:cs="Times New Roman"/>
          <w:bCs w:val="0"/>
          <w:kern w:val="0"/>
          <w:sz w:val="21"/>
          <w:szCs w:val="21"/>
        </w:rPr>
        <w:t>1</w:t>
      </w:r>
      <w:r>
        <w:rPr>
          <w:rFonts w:ascii="Times New Roman" w:eastAsiaTheme="minorEastAsia" w:hAnsi="Times New Roman" w:cs="Times New Roman" w:hint="eastAsia"/>
          <w:bCs w:val="0"/>
          <w:kern w:val="0"/>
          <w:sz w:val="21"/>
          <w:szCs w:val="21"/>
        </w:rPr>
        <w:t xml:space="preserve"> </w:t>
      </w:r>
      <w:r>
        <w:rPr>
          <w:rFonts w:ascii="Times New Roman" w:eastAsiaTheme="minorEastAsia" w:hAnsi="Times New Roman" w:cs="Times New Roman" w:hint="eastAsia"/>
          <w:bCs w:val="0"/>
          <w:kern w:val="0"/>
          <w:sz w:val="21"/>
          <w:szCs w:val="21"/>
        </w:rPr>
        <w:t>重要提示</w:t>
      </w:r>
      <w:bookmarkEnd w:id="4"/>
      <w:bookmarkEnd w:id="5"/>
    </w:p>
    <w:p w:rsidR="003663E4" w:rsidRDefault="00FD3F7D">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rsidR="003663E4" w:rsidRDefault="00FD3F7D">
      <w:pPr>
        <w:spacing w:line="360" w:lineRule="auto"/>
        <w:ind w:firstLineChars="200" w:firstLine="420"/>
        <w:rPr>
          <w:rFonts w:eastAsiaTheme="minorEastAsia"/>
          <w:szCs w:val="21"/>
        </w:rPr>
      </w:pPr>
      <w:r>
        <w:rPr>
          <w:rFonts w:eastAsiaTheme="minorEastAsia"/>
          <w:szCs w:val="21"/>
        </w:rPr>
        <w:t>基金托管人中国建设银行股份有限公司根据本基金合同规定，于</w:t>
      </w:r>
      <w:r>
        <w:rPr>
          <w:rFonts w:eastAsiaTheme="minorEastAsia"/>
          <w:szCs w:val="21"/>
        </w:rPr>
        <w:t>2021</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29</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rsidR="003663E4" w:rsidRDefault="00FD3F7D">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rsidR="003663E4" w:rsidRDefault="00FD3F7D">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w:t>
      </w:r>
    </w:p>
    <w:p w:rsidR="003663E4" w:rsidRDefault="00FD3F7D">
      <w:pPr>
        <w:spacing w:line="360" w:lineRule="auto"/>
        <w:ind w:firstLineChars="200" w:firstLine="420"/>
        <w:rPr>
          <w:rFonts w:eastAsiaTheme="minorEastAsia"/>
          <w:szCs w:val="21"/>
        </w:rPr>
      </w:pPr>
      <w:r>
        <w:rPr>
          <w:rFonts w:eastAsiaTheme="minorEastAsia"/>
          <w:szCs w:val="21"/>
        </w:rPr>
        <w:t>本基金管理人已于</w:t>
      </w:r>
      <w:r>
        <w:rPr>
          <w:rFonts w:eastAsiaTheme="minorEastAsia"/>
          <w:szCs w:val="21"/>
        </w:rPr>
        <w:t>2020</w:t>
      </w:r>
      <w:r>
        <w:rPr>
          <w:rFonts w:eastAsiaTheme="minorEastAsia"/>
          <w:szCs w:val="21"/>
        </w:rPr>
        <w:t>年</w:t>
      </w:r>
      <w:r>
        <w:rPr>
          <w:rFonts w:eastAsiaTheme="minorEastAsia"/>
          <w:szCs w:val="21"/>
        </w:rPr>
        <w:t>5</w:t>
      </w:r>
      <w:r>
        <w:rPr>
          <w:rFonts w:eastAsiaTheme="minorEastAsia"/>
          <w:szCs w:val="21"/>
        </w:rPr>
        <w:t>月</w:t>
      </w:r>
      <w:r>
        <w:rPr>
          <w:rFonts w:eastAsiaTheme="minorEastAsia"/>
          <w:szCs w:val="21"/>
        </w:rPr>
        <w:t>22</w:t>
      </w:r>
      <w:r>
        <w:rPr>
          <w:rFonts w:eastAsiaTheme="minorEastAsia"/>
          <w:szCs w:val="21"/>
        </w:rPr>
        <w:t>日起至</w:t>
      </w:r>
      <w:r>
        <w:rPr>
          <w:rFonts w:eastAsiaTheme="minorEastAsia"/>
          <w:szCs w:val="21"/>
        </w:rPr>
        <w:t>2020</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22</w:t>
      </w:r>
      <w:r>
        <w:rPr>
          <w:rFonts w:eastAsiaTheme="minorEastAsia"/>
          <w:szCs w:val="21"/>
        </w:rPr>
        <w:t>日以通讯方式召开了交银施罗德理财</w:t>
      </w:r>
      <w:r>
        <w:rPr>
          <w:rFonts w:eastAsiaTheme="minorEastAsia"/>
          <w:szCs w:val="21"/>
        </w:rPr>
        <w:t>60</w:t>
      </w:r>
      <w:r>
        <w:rPr>
          <w:rFonts w:eastAsiaTheme="minorEastAsia"/>
          <w:szCs w:val="21"/>
        </w:rPr>
        <w:t>天债券型证券投资</w:t>
      </w:r>
      <w:r>
        <w:rPr>
          <w:rFonts w:eastAsiaTheme="minorEastAsia"/>
          <w:szCs w:val="21"/>
        </w:rPr>
        <w:t>基金的基金份额持有人大会。本次基金份额持有人大会决议已于</w:t>
      </w:r>
      <w:r>
        <w:rPr>
          <w:rFonts w:eastAsiaTheme="minorEastAsia"/>
          <w:szCs w:val="21"/>
        </w:rPr>
        <w:t>2020</w:t>
      </w:r>
      <w:r>
        <w:rPr>
          <w:rFonts w:eastAsiaTheme="minorEastAsia"/>
          <w:szCs w:val="21"/>
        </w:rPr>
        <w:t>年</w:t>
      </w:r>
      <w:r>
        <w:rPr>
          <w:rFonts w:eastAsiaTheme="minorEastAsia"/>
          <w:szCs w:val="21"/>
        </w:rPr>
        <w:t>6</w:t>
      </w:r>
      <w:r>
        <w:rPr>
          <w:rFonts w:eastAsiaTheme="minorEastAsia"/>
          <w:szCs w:val="21"/>
        </w:rPr>
        <w:t>月</w:t>
      </w:r>
      <w:r>
        <w:rPr>
          <w:rFonts w:eastAsiaTheme="minorEastAsia"/>
          <w:szCs w:val="21"/>
        </w:rPr>
        <w:t>23</w:t>
      </w:r>
      <w:r>
        <w:rPr>
          <w:rFonts w:eastAsiaTheme="minorEastAsia"/>
          <w:szCs w:val="21"/>
        </w:rPr>
        <w:t>日生效，并自</w:t>
      </w:r>
      <w:r>
        <w:rPr>
          <w:rFonts w:eastAsiaTheme="minorEastAsia"/>
          <w:szCs w:val="21"/>
        </w:rPr>
        <w:t>2020</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28</w:t>
      </w:r>
      <w:r>
        <w:rPr>
          <w:rFonts w:eastAsiaTheme="minorEastAsia"/>
          <w:szCs w:val="21"/>
        </w:rPr>
        <w:t>日起，《交银施罗德理财</w:t>
      </w:r>
      <w:r>
        <w:rPr>
          <w:rFonts w:eastAsiaTheme="minorEastAsia"/>
          <w:szCs w:val="21"/>
        </w:rPr>
        <w:t>60</w:t>
      </w:r>
      <w:r>
        <w:rPr>
          <w:rFonts w:eastAsiaTheme="minorEastAsia"/>
          <w:szCs w:val="21"/>
        </w:rPr>
        <w:t>天债券型证券投资基金基金合同》失效且《交银施罗德裕惠纯债债券型证券投资基金基金合同》同时生效，交银施罗德理财</w:t>
      </w:r>
      <w:r>
        <w:rPr>
          <w:rFonts w:eastAsiaTheme="minorEastAsia"/>
          <w:szCs w:val="21"/>
        </w:rPr>
        <w:t>60</w:t>
      </w:r>
      <w:r>
        <w:rPr>
          <w:rFonts w:eastAsiaTheme="minorEastAsia"/>
          <w:szCs w:val="21"/>
        </w:rPr>
        <w:t>天债券型证券投资基金正式变更为交银施罗德裕惠纯债债券型证券投资基金。</w:t>
      </w:r>
    </w:p>
    <w:p w:rsidR="003663E4" w:rsidRDefault="00FD3F7D">
      <w:pPr>
        <w:spacing w:line="360" w:lineRule="auto"/>
        <w:ind w:firstLineChars="200" w:firstLine="420"/>
        <w:rPr>
          <w:rFonts w:eastAsiaTheme="minorEastAsia"/>
          <w:szCs w:val="21"/>
        </w:rPr>
      </w:pPr>
      <w:r>
        <w:rPr>
          <w:rFonts w:eastAsiaTheme="minorEastAsia"/>
          <w:szCs w:val="21"/>
        </w:rPr>
        <w:t>本报告期自</w:t>
      </w:r>
      <w:r>
        <w:rPr>
          <w:rFonts w:eastAsiaTheme="minorEastAsia"/>
          <w:szCs w:val="21"/>
        </w:rPr>
        <w:t>2020</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日起至</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日止。本报告按基金转型前后的两个报告期进行编制。其中，基金转型前的报告期间为</w:t>
      </w:r>
      <w:r>
        <w:rPr>
          <w:rFonts w:eastAsiaTheme="minorEastAsia"/>
          <w:szCs w:val="21"/>
        </w:rPr>
        <w:t>2020</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1</w:t>
      </w:r>
      <w:r>
        <w:rPr>
          <w:rFonts w:eastAsiaTheme="minorEastAsia"/>
          <w:szCs w:val="21"/>
        </w:rPr>
        <w:t>日起至</w:t>
      </w:r>
      <w:r>
        <w:rPr>
          <w:rFonts w:eastAsiaTheme="minorEastAsia"/>
          <w:szCs w:val="21"/>
        </w:rPr>
        <w:t>7</w:t>
      </w:r>
      <w:r>
        <w:rPr>
          <w:rFonts w:eastAsiaTheme="minorEastAsia"/>
          <w:szCs w:val="21"/>
        </w:rPr>
        <w:t>月</w:t>
      </w:r>
      <w:r>
        <w:rPr>
          <w:rFonts w:eastAsiaTheme="minorEastAsia"/>
          <w:szCs w:val="21"/>
        </w:rPr>
        <w:t>27</w:t>
      </w:r>
      <w:r>
        <w:rPr>
          <w:rFonts w:eastAsiaTheme="minorEastAsia"/>
          <w:szCs w:val="21"/>
        </w:rPr>
        <w:t>日止，基金转型后的报告期为</w:t>
      </w:r>
      <w:r>
        <w:rPr>
          <w:rFonts w:eastAsiaTheme="minorEastAsia"/>
          <w:szCs w:val="21"/>
        </w:rPr>
        <w:t>2020</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28</w:t>
      </w:r>
      <w:r>
        <w:rPr>
          <w:rFonts w:eastAsiaTheme="minorEastAsia"/>
          <w:szCs w:val="21"/>
        </w:rPr>
        <w:t>日起至</w:t>
      </w:r>
      <w:r>
        <w:rPr>
          <w:rFonts w:eastAsiaTheme="minorEastAsia"/>
          <w:szCs w:val="21"/>
        </w:rPr>
        <w:t>1</w:t>
      </w:r>
      <w:r>
        <w:rPr>
          <w:rFonts w:eastAsiaTheme="minorEastAsia"/>
          <w:szCs w:val="21"/>
        </w:rPr>
        <w:t>2</w:t>
      </w:r>
      <w:r>
        <w:rPr>
          <w:rFonts w:eastAsiaTheme="minorEastAsia"/>
          <w:szCs w:val="21"/>
        </w:rPr>
        <w:t>月</w:t>
      </w:r>
      <w:r>
        <w:rPr>
          <w:rFonts w:eastAsiaTheme="minorEastAsia"/>
          <w:szCs w:val="21"/>
        </w:rPr>
        <w:t>31</w:t>
      </w:r>
      <w:r>
        <w:rPr>
          <w:rFonts w:eastAsiaTheme="minorEastAsia"/>
          <w:szCs w:val="21"/>
        </w:rPr>
        <w:t>日。</w:t>
      </w:r>
      <w:r>
        <w:rPr>
          <w:rFonts w:eastAsiaTheme="minorEastAsia"/>
          <w:szCs w:val="21"/>
        </w:rPr>
        <w:br w:type="page"/>
      </w:r>
    </w:p>
    <w:p w:rsidR="003663E4" w:rsidRDefault="00FD3F7D">
      <w:pPr>
        <w:pStyle w:val="2"/>
        <w:spacing w:before="0" w:after="0"/>
        <w:rPr>
          <w:rFonts w:ascii="Times New Roman" w:eastAsiaTheme="minorEastAsia" w:hAnsi="Times New Roman" w:cs="Times New Roman"/>
          <w:bCs w:val="0"/>
          <w:kern w:val="0"/>
          <w:sz w:val="21"/>
          <w:szCs w:val="21"/>
        </w:rPr>
      </w:pPr>
      <w:bookmarkStart w:id="6" w:name="_Toc14727"/>
      <w:r>
        <w:rPr>
          <w:rFonts w:ascii="Times New Roman" w:eastAsiaTheme="minorEastAsia" w:hAnsi="Times New Roman" w:cs="Times New Roman"/>
          <w:bCs w:val="0"/>
          <w:kern w:val="0"/>
          <w:sz w:val="21"/>
          <w:szCs w:val="21"/>
        </w:rPr>
        <w:lastRenderedPageBreak/>
        <w:t>1</w:t>
      </w:r>
      <w:r>
        <w:rPr>
          <w:rFonts w:ascii="Times New Roman" w:eastAsiaTheme="minorEastAsia" w:hAnsi="Times New Roman" w:cs="Times New Roman" w:hint="eastAsia"/>
          <w:bCs w:val="0"/>
          <w:kern w:val="0"/>
          <w:sz w:val="21"/>
          <w:szCs w:val="21"/>
        </w:rPr>
        <w:t>.</w:t>
      </w:r>
      <w:r>
        <w:rPr>
          <w:rFonts w:ascii="Times New Roman" w:eastAsiaTheme="minorEastAsia" w:hAnsi="Times New Roman" w:cs="Times New Roman"/>
          <w:bCs w:val="0"/>
          <w:kern w:val="0"/>
          <w:sz w:val="21"/>
          <w:szCs w:val="21"/>
        </w:rPr>
        <w:t xml:space="preserve">2 </w:t>
      </w:r>
      <w:r>
        <w:rPr>
          <w:rFonts w:ascii="Times New Roman" w:eastAsiaTheme="minorEastAsia" w:hAnsi="Times New Roman" w:cs="Times New Roman" w:hint="eastAsia"/>
          <w:bCs w:val="0"/>
          <w:kern w:val="0"/>
          <w:sz w:val="21"/>
          <w:szCs w:val="21"/>
        </w:rPr>
        <w:t>目录</w:t>
      </w:r>
      <w:bookmarkEnd w:id="6"/>
    </w:p>
    <w:p w:rsidR="003663E4" w:rsidRDefault="00FD3F7D">
      <w:pPr>
        <w:pStyle w:val="11"/>
        <w:tabs>
          <w:tab w:val="clear" w:pos="9072"/>
          <w:tab w:val="right" w:leader="dot" w:pos="9070"/>
        </w:tabs>
      </w:pPr>
      <w:r>
        <w:rPr>
          <w:rFonts w:asciiTheme="minorEastAsia" w:eastAsiaTheme="minorEastAsia" w:hAnsiTheme="minorEastAsia"/>
          <w:b/>
        </w:rPr>
        <w:fldChar w:fldCharType="begin"/>
      </w:r>
      <w:r>
        <w:rPr>
          <w:rFonts w:asciiTheme="minorEastAsia" w:eastAsiaTheme="minorEastAsia" w:hAnsiTheme="minorEastAsia"/>
          <w:b/>
        </w:rPr>
        <w:instrText xml:space="preserve"> TOC \o "1-3" \h \z \u </w:instrText>
      </w:r>
      <w:r>
        <w:rPr>
          <w:rFonts w:asciiTheme="minorEastAsia" w:eastAsiaTheme="minorEastAsia" w:hAnsiTheme="minorEastAsia"/>
          <w:b/>
        </w:rPr>
        <w:fldChar w:fldCharType="separate"/>
      </w:r>
      <w:hyperlink w:anchor="_Toc6767" w:history="1">
        <w:r>
          <w:rPr>
            <w:rFonts w:hint="eastAsia"/>
            <w:bCs/>
            <w:szCs w:val="21"/>
          </w:rPr>
          <w:t>§</w:t>
        </w:r>
        <w:r>
          <w:rPr>
            <w:bCs/>
            <w:szCs w:val="21"/>
          </w:rPr>
          <w:t>1</w:t>
        </w:r>
        <w:r>
          <w:rPr>
            <w:rFonts w:hint="eastAsia"/>
            <w:bCs/>
            <w:szCs w:val="21"/>
          </w:rPr>
          <w:t xml:space="preserve"> </w:t>
        </w:r>
        <w:r>
          <w:rPr>
            <w:rFonts w:hint="eastAsia"/>
            <w:bCs/>
            <w:szCs w:val="21"/>
          </w:rPr>
          <w:t>重要提示及目录</w:t>
        </w:r>
        <w:r>
          <w:tab/>
        </w:r>
        <w:r>
          <w:fldChar w:fldCharType="begin"/>
        </w:r>
        <w:r>
          <w:instrText xml:space="preserve"> PAGEREF _Toc6767 \h </w:instrText>
        </w:r>
        <w:r>
          <w:fldChar w:fldCharType="separate"/>
        </w:r>
        <w:r>
          <w:t>2</w:t>
        </w:r>
        <w:r>
          <w:fldChar w:fldCharType="end"/>
        </w:r>
      </w:hyperlink>
    </w:p>
    <w:p w:rsidR="003663E4" w:rsidRDefault="00FD3F7D">
      <w:pPr>
        <w:pStyle w:val="23"/>
        <w:tabs>
          <w:tab w:val="clear" w:pos="9072"/>
          <w:tab w:val="right" w:leader="dot" w:pos="9070"/>
        </w:tabs>
      </w:pPr>
      <w:hyperlink w:anchor="_Toc27290" w:history="1">
        <w:r>
          <w:rPr>
            <w:rFonts w:eastAsiaTheme="minorEastAsia"/>
          </w:rPr>
          <w:t>1</w:t>
        </w:r>
        <w:r>
          <w:rPr>
            <w:rFonts w:eastAsiaTheme="minorEastAsia" w:hint="eastAsia"/>
          </w:rPr>
          <w:t>.</w:t>
        </w:r>
        <w:r>
          <w:rPr>
            <w:rFonts w:eastAsiaTheme="minorEastAsia"/>
          </w:rPr>
          <w:t>1</w:t>
        </w:r>
        <w:r>
          <w:rPr>
            <w:rFonts w:eastAsiaTheme="minorEastAsia" w:hint="eastAsia"/>
          </w:rPr>
          <w:t xml:space="preserve"> </w:t>
        </w:r>
        <w:r>
          <w:rPr>
            <w:rFonts w:eastAsiaTheme="minorEastAsia" w:hint="eastAsia"/>
          </w:rPr>
          <w:t>重要提示</w:t>
        </w:r>
        <w:r>
          <w:tab/>
        </w:r>
        <w:r>
          <w:fldChar w:fldCharType="begin"/>
        </w:r>
        <w:r>
          <w:instrText xml:space="preserve"> PAGEREF _Toc27290 \h </w:instrText>
        </w:r>
        <w:r>
          <w:fldChar w:fldCharType="separate"/>
        </w:r>
        <w:r>
          <w:t>2</w:t>
        </w:r>
        <w:r>
          <w:fldChar w:fldCharType="end"/>
        </w:r>
      </w:hyperlink>
    </w:p>
    <w:p w:rsidR="003663E4" w:rsidRDefault="00FD3F7D">
      <w:pPr>
        <w:pStyle w:val="23"/>
        <w:tabs>
          <w:tab w:val="clear" w:pos="9072"/>
          <w:tab w:val="right" w:leader="dot" w:pos="9070"/>
        </w:tabs>
      </w:pPr>
      <w:hyperlink w:anchor="_Toc14727" w:history="1">
        <w:r>
          <w:rPr>
            <w:rFonts w:eastAsiaTheme="minorEastAsia"/>
          </w:rPr>
          <w:t>1</w:t>
        </w:r>
        <w:r>
          <w:rPr>
            <w:rFonts w:eastAsiaTheme="minorEastAsia" w:hint="eastAsia"/>
          </w:rPr>
          <w:t>.</w:t>
        </w:r>
        <w:r>
          <w:rPr>
            <w:rFonts w:eastAsiaTheme="minorEastAsia"/>
          </w:rPr>
          <w:t xml:space="preserve">2 </w:t>
        </w:r>
        <w:r>
          <w:rPr>
            <w:rFonts w:eastAsiaTheme="minorEastAsia" w:hint="eastAsia"/>
          </w:rPr>
          <w:t>目录</w:t>
        </w:r>
        <w:r>
          <w:tab/>
        </w:r>
        <w:r>
          <w:fldChar w:fldCharType="begin"/>
        </w:r>
        <w:r>
          <w:instrText xml:space="preserve"> PAGEREF _Toc14727 \h </w:instrText>
        </w:r>
        <w:r>
          <w:fldChar w:fldCharType="separate"/>
        </w:r>
        <w:r>
          <w:t>3</w:t>
        </w:r>
        <w:r>
          <w:fldChar w:fldCharType="end"/>
        </w:r>
      </w:hyperlink>
    </w:p>
    <w:p w:rsidR="003663E4" w:rsidRDefault="00FD3F7D">
      <w:pPr>
        <w:pStyle w:val="11"/>
        <w:tabs>
          <w:tab w:val="clear" w:pos="9072"/>
          <w:tab w:val="right" w:leader="dot" w:pos="9070"/>
        </w:tabs>
      </w:pPr>
      <w:hyperlink w:anchor="_Toc22696" w:history="1">
        <w:r>
          <w:rPr>
            <w:rFonts w:hint="eastAsia"/>
            <w:bCs/>
            <w:szCs w:val="21"/>
          </w:rPr>
          <w:t>§</w:t>
        </w:r>
        <w:r>
          <w:rPr>
            <w:rFonts w:hint="eastAsia"/>
            <w:bCs/>
            <w:szCs w:val="21"/>
          </w:rPr>
          <w:t xml:space="preserve">2 </w:t>
        </w:r>
        <w:r>
          <w:rPr>
            <w:rFonts w:hint="eastAsia"/>
            <w:bCs/>
            <w:szCs w:val="21"/>
          </w:rPr>
          <w:t>基金简介</w:t>
        </w:r>
        <w:r>
          <w:tab/>
        </w:r>
        <w:r>
          <w:fldChar w:fldCharType="begin"/>
        </w:r>
        <w:r>
          <w:instrText xml:space="preserve"> PAGEREF _Toc22696 \h </w:instrText>
        </w:r>
        <w:r>
          <w:fldChar w:fldCharType="separate"/>
        </w:r>
        <w:r>
          <w:t>6</w:t>
        </w:r>
        <w:r>
          <w:fldChar w:fldCharType="end"/>
        </w:r>
      </w:hyperlink>
    </w:p>
    <w:p w:rsidR="003663E4" w:rsidRDefault="00FD3F7D">
      <w:pPr>
        <w:pStyle w:val="23"/>
        <w:tabs>
          <w:tab w:val="clear" w:pos="9072"/>
          <w:tab w:val="right" w:leader="dot" w:pos="9070"/>
        </w:tabs>
      </w:pPr>
      <w:hyperlink w:anchor="_Toc14583" w:history="1">
        <w:r>
          <w:rPr>
            <w:rFonts w:eastAsiaTheme="minorEastAsia"/>
          </w:rPr>
          <w:t xml:space="preserve">2.1 </w:t>
        </w:r>
        <w:r>
          <w:rPr>
            <w:rFonts w:eastAsiaTheme="minorEastAsia"/>
          </w:rPr>
          <w:t>基金基本情况</w:t>
        </w:r>
        <w:r>
          <w:tab/>
        </w:r>
        <w:r>
          <w:fldChar w:fldCharType="begin"/>
        </w:r>
        <w:r>
          <w:instrText xml:space="preserve"> PAGEREF _Toc14583 \h </w:instrText>
        </w:r>
        <w:r>
          <w:fldChar w:fldCharType="separate"/>
        </w:r>
        <w:r>
          <w:t>6</w:t>
        </w:r>
        <w:r>
          <w:fldChar w:fldCharType="end"/>
        </w:r>
      </w:hyperlink>
    </w:p>
    <w:p w:rsidR="003663E4" w:rsidRDefault="00FD3F7D">
      <w:pPr>
        <w:pStyle w:val="23"/>
        <w:tabs>
          <w:tab w:val="clear" w:pos="9072"/>
          <w:tab w:val="right" w:leader="dot" w:pos="9070"/>
        </w:tabs>
      </w:pPr>
      <w:hyperlink w:anchor="_Toc31394" w:history="1">
        <w:r>
          <w:rPr>
            <w:rFonts w:eastAsiaTheme="minorEastAsia"/>
          </w:rPr>
          <w:t>2.2</w:t>
        </w:r>
        <w:r>
          <w:rPr>
            <w:rFonts w:eastAsiaTheme="minorEastAsia" w:hint="eastAsia"/>
          </w:rPr>
          <w:t xml:space="preserve"> </w:t>
        </w:r>
        <w:r>
          <w:rPr>
            <w:rFonts w:eastAsiaTheme="minorEastAsia"/>
          </w:rPr>
          <w:t>基金产品说明</w:t>
        </w:r>
        <w:r>
          <w:tab/>
        </w:r>
        <w:r>
          <w:fldChar w:fldCharType="begin"/>
        </w:r>
        <w:r>
          <w:instrText xml:space="preserve"> PAGEREF _Toc31394 \h </w:instrText>
        </w:r>
        <w:r>
          <w:fldChar w:fldCharType="separate"/>
        </w:r>
        <w:r>
          <w:t>6</w:t>
        </w:r>
        <w:r>
          <w:fldChar w:fldCharType="end"/>
        </w:r>
      </w:hyperlink>
    </w:p>
    <w:p w:rsidR="003663E4" w:rsidRDefault="00FD3F7D">
      <w:pPr>
        <w:pStyle w:val="23"/>
        <w:tabs>
          <w:tab w:val="clear" w:pos="9072"/>
          <w:tab w:val="right" w:leader="dot" w:pos="9070"/>
        </w:tabs>
      </w:pPr>
      <w:hyperlink w:anchor="_Toc31437" w:history="1">
        <w:r>
          <w:rPr>
            <w:rFonts w:eastAsiaTheme="minorEastAsia"/>
          </w:rPr>
          <w:t>2.3</w:t>
        </w:r>
        <w:r>
          <w:rPr>
            <w:rFonts w:eastAsiaTheme="minorEastAsia" w:hint="eastAsia"/>
          </w:rPr>
          <w:t xml:space="preserve"> </w:t>
        </w:r>
        <w:r>
          <w:rPr>
            <w:rFonts w:eastAsiaTheme="minorEastAsia"/>
          </w:rPr>
          <w:t>基金管理人和基金托管人</w:t>
        </w:r>
        <w:r>
          <w:tab/>
        </w:r>
        <w:r>
          <w:fldChar w:fldCharType="begin"/>
        </w:r>
        <w:r>
          <w:instrText xml:space="preserve"> PAGEREF _Toc31437 \h </w:instrText>
        </w:r>
        <w:r>
          <w:fldChar w:fldCharType="separate"/>
        </w:r>
        <w:r>
          <w:t>7</w:t>
        </w:r>
        <w:r>
          <w:fldChar w:fldCharType="end"/>
        </w:r>
      </w:hyperlink>
    </w:p>
    <w:p w:rsidR="003663E4" w:rsidRDefault="00FD3F7D">
      <w:pPr>
        <w:pStyle w:val="23"/>
        <w:tabs>
          <w:tab w:val="clear" w:pos="9072"/>
          <w:tab w:val="right" w:leader="dot" w:pos="9070"/>
        </w:tabs>
      </w:pPr>
      <w:hyperlink w:anchor="_Toc9208" w:history="1">
        <w:r>
          <w:rPr>
            <w:rFonts w:eastAsiaTheme="minorEastAsia"/>
          </w:rPr>
          <w:t>2.4</w:t>
        </w:r>
        <w:r>
          <w:rPr>
            <w:rFonts w:eastAsiaTheme="minorEastAsia" w:hint="eastAsia"/>
          </w:rPr>
          <w:t xml:space="preserve"> </w:t>
        </w:r>
        <w:r>
          <w:rPr>
            <w:rFonts w:eastAsiaTheme="minorEastAsia"/>
          </w:rPr>
          <w:t>信息披露方式</w:t>
        </w:r>
        <w:r>
          <w:tab/>
        </w:r>
        <w:r>
          <w:fldChar w:fldCharType="begin"/>
        </w:r>
        <w:r>
          <w:instrText xml:space="preserve"> PAGEREF _Toc9208 \h </w:instrText>
        </w:r>
        <w:r>
          <w:fldChar w:fldCharType="separate"/>
        </w:r>
        <w:r>
          <w:t>8</w:t>
        </w:r>
        <w:r>
          <w:fldChar w:fldCharType="end"/>
        </w:r>
      </w:hyperlink>
    </w:p>
    <w:p w:rsidR="003663E4" w:rsidRDefault="00FD3F7D">
      <w:pPr>
        <w:pStyle w:val="23"/>
        <w:tabs>
          <w:tab w:val="clear" w:pos="9072"/>
          <w:tab w:val="right" w:leader="dot" w:pos="9070"/>
        </w:tabs>
      </w:pPr>
      <w:hyperlink w:anchor="_Toc32743" w:history="1">
        <w:r>
          <w:rPr>
            <w:rFonts w:eastAsiaTheme="minorEastAsia"/>
          </w:rPr>
          <w:t>2.5</w:t>
        </w:r>
        <w:r>
          <w:rPr>
            <w:rFonts w:eastAsiaTheme="minorEastAsia" w:hint="eastAsia"/>
          </w:rPr>
          <w:t xml:space="preserve"> </w:t>
        </w:r>
        <w:r>
          <w:rPr>
            <w:rFonts w:eastAsiaTheme="minorEastAsia"/>
          </w:rPr>
          <w:t>其他相关资料</w:t>
        </w:r>
        <w:r>
          <w:tab/>
        </w:r>
        <w:r>
          <w:fldChar w:fldCharType="begin"/>
        </w:r>
        <w:r>
          <w:instrText xml:space="preserve"> PAGEREF _Toc32743 \h </w:instrText>
        </w:r>
        <w:r>
          <w:fldChar w:fldCharType="separate"/>
        </w:r>
        <w:r>
          <w:t>8</w:t>
        </w:r>
        <w:r>
          <w:fldChar w:fldCharType="end"/>
        </w:r>
      </w:hyperlink>
    </w:p>
    <w:p w:rsidR="003663E4" w:rsidRDefault="00FD3F7D">
      <w:pPr>
        <w:pStyle w:val="11"/>
        <w:tabs>
          <w:tab w:val="clear" w:pos="9072"/>
          <w:tab w:val="right" w:leader="dot" w:pos="9070"/>
        </w:tabs>
      </w:pPr>
      <w:hyperlink w:anchor="_Toc10360" w:history="1">
        <w:r>
          <w:rPr>
            <w:rFonts w:hint="eastAsia"/>
            <w:bCs/>
            <w:szCs w:val="21"/>
          </w:rPr>
          <w:t>§</w:t>
        </w:r>
        <w:r>
          <w:rPr>
            <w:bCs/>
            <w:szCs w:val="21"/>
          </w:rPr>
          <w:t>3</w:t>
        </w:r>
        <w:r>
          <w:rPr>
            <w:rFonts w:hint="eastAsia"/>
            <w:bCs/>
            <w:szCs w:val="21"/>
          </w:rPr>
          <w:t xml:space="preserve"> </w:t>
        </w:r>
        <w:r>
          <w:rPr>
            <w:rFonts w:hint="eastAsia"/>
            <w:bCs/>
            <w:szCs w:val="21"/>
          </w:rPr>
          <w:t>主要财务指标、基金净值表现及利润分配情况</w:t>
        </w:r>
        <w:r>
          <w:tab/>
        </w:r>
        <w:r>
          <w:fldChar w:fldCharType="begin"/>
        </w:r>
        <w:r>
          <w:instrText xml:space="preserve"> PAGEREF _Toc10360 \h </w:instrText>
        </w:r>
        <w:r>
          <w:fldChar w:fldCharType="separate"/>
        </w:r>
        <w:r>
          <w:t>8</w:t>
        </w:r>
        <w:r>
          <w:fldChar w:fldCharType="end"/>
        </w:r>
      </w:hyperlink>
    </w:p>
    <w:p w:rsidR="003663E4" w:rsidRDefault="00FD3F7D">
      <w:pPr>
        <w:pStyle w:val="23"/>
        <w:tabs>
          <w:tab w:val="clear" w:pos="9072"/>
          <w:tab w:val="right" w:leader="dot" w:pos="9070"/>
        </w:tabs>
      </w:pPr>
      <w:hyperlink w:anchor="_Toc29084" w:history="1">
        <w:r>
          <w:rPr>
            <w:rFonts w:eastAsiaTheme="minorEastAsia"/>
          </w:rPr>
          <w:t xml:space="preserve">3.1 </w:t>
        </w:r>
        <w:r>
          <w:rPr>
            <w:rFonts w:eastAsiaTheme="minorEastAsia"/>
          </w:rPr>
          <w:t>交银施罗德裕惠纯债债券型证券投资基金</w:t>
        </w:r>
        <w:r>
          <w:tab/>
        </w:r>
        <w:r>
          <w:fldChar w:fldCharType="begin"/>
        </w:r>
        <w:r>
          <w:instrText xml:space="preserve"> PAGERE</w:instrText>
        </w:r>
        <w:r>
          <w:instrText xml:space="preserve">F _Toc29084 \h </w:instrText>
        </w:r>
        <w:r>
          <w:fldChar w:fldCharType="separate"/>
        </w:r>
        <w:r>
          <w:t>8</w:t>
        </w:r>
        <w:r>
          <w:fldChar w:fldCharType="end"/>
        </w:r>
      </w:hyperlink>
    </w:p>
    <w:p w:rsidR="003663E4" w:rsidRDefault="00FD3F7D">
      <w:pPr>
        <w:pStyle w:val="31"/>
        <w:tabs>
          <w:tab w:val="right" w:leader="dot" w:pos="9070"/>
        </w:tabs>
        <w:ind w:left="840"/>
      </w:pPr>
      <w:hyperlink w:anchor="_Toc9687" w:history="1">
        <w:r>
          <w:rPr>
            <w:rFonts w:hint="eastAsia"/>
            <w:kern w:val="0"/>
            <w:szCs w:val="21"/>
          </w:rPr>
          <w:t xml:space="preserve">3.1.1 </w:t>
        </w:r>
        <w:r>
          <w:rPr>
            <w:kern w:val="0"/>
            <w:szCs w:val="21"/>
          </w:rPr>
          <w:t>主要会计数据和财务指标</w:t>
        </w:r>
        <w:r>
          <w:tab/>
        </w:r>
        <w:r>
          <w:fldChar w:fldCharType="begin"/>
        </w:r>
        <w:r>
          <w:instrText xml:space="preserve"> PAGEREF _Toc9687 \h </w:instrText>
        </w:r>
        <w:r>
          <w:fldChar w:fldCharType="separate"/>
        </w:r>
        <w:r>
          <w:t>8</w:t>
        </w:r>
        <w:r>
          <w:fldChar w:fldCharType="end"/>
        </w:r>
      </w:hyperlink>
    </w:p>
    <w:p w:rsidR="003663E4" w:rsidRDefault="00FD3F7D">
      <w:pPr>
        <w:pStyle w:val="31"/>
        <w:tabs>
          <w:tab w:val="right" w:leader="dot" w:pos="9070"/>
        </w:tabs>
        <w:ind w:left="840"/>
      </w:pPr>
      <w:hyperlink w:anchor="_Toc4513" w:history="1">
        <w:r>
          <w:rPr>
            <w:rFonts w:hint="eastAsia"/>
            <w:kern w:val="0"/>
            <w:szCs w:val="21"/>
          </w:rPr>
          <w:t xml:space="preserve">3.1.2 </w:t>
        </w:r>
        <w:r>
          <w:rPr>
            <w:kern w:val="0"/>
            <w:szCs w:val="21"/>
          </w:rPr>
          <w:t>基金净值表现</w:t>
        </w:r>
        <w:r>
          <w:tab/>
        </w:r>
        <w:r>
          <w:fldChar w:fldCharType="begin"/>
        </w:r>
        <w:r>
          <w:instrText xml:space="preserve"> PAGERE</w:instrText>
        </w:r>
        <w:r>
          <w:instrText xml:space="preserve">F _Toc4513 \h </w:instrText>
        </w:r>
        <w:r>
          <w:fldChar w:fldCharType="separate"/>
        </w:r>
        <w:r>
          <w:t>9</w:t>
        </w:r>
        <w:r>
          <w:fldChar w:fldCharType="end"/>
        </w:r>
      </w:hyperlink>
    </w:p>
    <w:p w:rsidR="003663E4" w:rsidRDefault="00FD3F7D">
      <w:pPr>
        <w:pStyle w:val="31"/>
        <w:tabs>
          <w:tab w:val="right" w:leader="dot" w:pos="9070"/>
        </w:tabs>
        <w:ind w:left="840"/>
      </w:pPr>
      <w:hyperlink w:anchor="_Toc20097" w:history="1">
        <w:r>
          <w:rPr>
            <w:kern w:val="0"/>
            <w:szCs w:val="21"/>
          </w:rPr>
          <w:t>3.1</w:t>
        </w:r>
        <w:r>
          <w:rPr>
            <w:rFonts w:hint="eastAsia"/>
            <w:kern w:val="0"/>
            <w:szCs w:val="21"/>
          </w:rPr>
          <w:t xml:space="preserve">.3 </w:t>
        </w:r>
        <w:r>
          <w:rPr>
            <w:kern w:val="0"/>
            <w:szCs w:val="21"/>
          </w:rPr>
          <w:t>过去三年基金的利润分配情况</w:t>
        </w:r>
        <w:r>
          <w:tab/>
        </w:r>
        <w:r>
          <w:fldChar w:fldCharType="begin"/>
        </w:r>
        <w:r>
          <w:instrText xml:space="preserve"> PAGEREF _Toc20097 \h </w:instrText>
        </w:r>
        <w:r>
          <w:fldChar w:fldCharType="separate"/>
        </w:r>
        <w:r>
          <w:t>11</w:t>
        </w:r>
        <w:r>
          <w:fldChar w:fldCharType="end"/>
        </w:r>
      </w:hyperlink>
    </w:p>
    <w:p w:rsidR="003663E4" w:rsidRDefault="00FD3F7D">
      <w:pPr>
        <w:pStyle w:val="23"/>
        <w:tabs>
          <w:tab w:val="clear" w:pos="9072"/>
          <w:tab w:val="right" w:leader="dot" w:pos="9070"/>
        </w:tabs>
      </w:pPr>
      <w:hyperlink w:anchor="_Toc2578" w:history="1">
        <w:r>
          <w:rPr>
            <w:rFonts w:eastAsiaTheme="minorEastAsia"/>
          </w:rPr>
          <w:t xml:space="preserve">3.2 </w:t>
        </w:r>
        <w:r>
          <w:rPr>
            <w:rFonts w:eastAsiaTheme="minorEastAsia"/>
          </w:rPr>
          <w:t>交银施罗德理财</w:t>
        </w:r>
        <w:r>
          <w:rPr>
            <w:rFonts w:eastAsiaTheme="minorEastAsia"/>
          </w:rPr>
          <w:t>60</w:t>
        </w:r>
        <w:r>
          <w:rPr>
            <w:rFonts w:eastAsiaTheme="minorEastAsia"/>
          </w:rPr>
          <w:t>天债券型</w:t>
        </w:r>
        <w:r>
          <w:rPr>
            <w:rFonts w:eastAsiaTheme="minorEastAsia"/>
          </w:rPr>
          <w:t>证券投资基金</w:t>
        </w:r>
        <w:r>
          <w:tab/>
        </w:r>
        <w:r>
          <w:fldChar w:fldCharType="begin"/>
        </w:r>
        <w:r>
          <w:instrText xml:space="preserve"> PAGEREF _Toc2578 \h </w:instrText>
        </w:r>
        <w:r>
          <w:fldChar w:fldCharType="separate"/>
        </w:r>
        <w:r>
          <w:t>11</w:t>
        </w:r>
        <w:r>
          <w:fldChar w:fldCharType="end"/>
        </w:r>
      </w:hyperlink>
    </w:p>
    <w:p w:rsidR="003663E4" w:rsidRDefault="00FD3F7D">
      <w:pPr>
        <w:pStyle w:val="31"/>
        <w:tabs>
          <w:tab w:val="right" w:leader="dot" w:pos="9070"/>
        </w:tabs>
        <w:ind w:left="840"/>
      </w:pPr>
      <w:hyperlink w:anchor="_Toc26624" w:history="1">
        <w:r>
          <w:rPr>
            <w:kern w:val="0"/>
            <w:szCs w:val="21"/>
          </w:rPr>
          <w:t xml:space="preserve">3.2.1 </w:t>
        </w:r>
        <w:r>
          <w:rPr>
            <w:kern w:val="0"/>
            <w:szCs w:val="21"/>
          </w:rPr>
          <w:t>主要会计数据和财务指标</w:t>
        </w:r>
        <w:r>
          <w:tab/>
        </w:r>
        <w:r>
          <w:fldChar w:fldCharType="begin"/>
        </w:r>
        <w:r>
          <w:instrText xml:space="preserve"> PAGEREF _Toc26624 \h </w:instrText>
        </w:r>
        <w:r>
          <w:fldChar w:fldCharType="separate"/>
        </w:r>
        <w:r>
          <w:t>11</w:t>
        </w:r>
        <w:r>
          <w:fldChar w:fldCharType="end"/>
        </w:r>
      </w:hyperlink>
    </w:p>
    <w:p w:rsidR="003663E4" w:rsidRDefault="00FD3F7D">
      <w:pPr>
        <w:pStyle w:val="31"/>
        <w:tabs>
          <w:tab w:val="right" w:leader="dot" w:pos="9070"/>
        </w:tabs>
        <w:ind w:left="840"/>
      </w:pPr>
      <w:hyperlink w:anchor="_Toc9926" w:history="1">
        <w:r>
          <w:rPr>
            <w:rFonts w:hint="eastAsia"/>
            <w:kern w:val="0"/>
            <w:szCs w:val="21"/>
          </w:rPr>
          <w:t>3.2.2</w:t>
        </w:r>
        <w:r>
          <w:rPr>
            <w:kern w:val="0"/>
            <w:szCs w:val="21"/>
          </w:rPr>
          <w:t xml:space="preserve"> </w:t>
        </w:r>
        <w:r>
          <w:rPr>
            <w:rFonts w:hint="eastAsia"/>
            <w:kern w:val="0"/>
            <w:szCs w:val="21"/>
          </w:rPr>
          <w:t>基金净值表现</w:t>
        </w:r>
        <w:r>
          <w:tab/>
        </w:r>
        <w:r>
          <w:fldChar w:fldCharType="begin"/>
        </w:r>
        <w:r>
          <w:instrText xml:space="preserve"> PAGEREF _Toc9926 \h </w:instrText>
        </w:r>
        <w:r>
          <w:fldChar w:fldCharType="separate"/>
        </w:r>
        <w:r>
          <w:t>12</w:t>
        </w:r>
        <w:r>
          <w:fldChar w:fldCharType="end"/>
        </w:r>
      </w:hyperlink>
    </w:p>
    <w:p w:rsidR="003663E4" w:rsidRDefault="00FD3F7D">
      <w:pPr>
        <w:pStyle w:val="31"/>
        <w:tabs>
          <w:tab w:val="right" w:leader="dot" w:pos="9070"/>
        </w:tabs>
        <w:ind w:left="840"/>
      </w:pPr>
      <w:hyperlink w:anchor="_Toc371" w:history="1">
        <w:r>
          <w:rPr>
            <w:rFonts w:hint="eastAsia"/>
            <w:kern w:val="0"/>
            <w:szCs w:val="21"/>
          </w:rPr>
          <w:t>3.2.3</w:t>
        </w:r>
        <w:r>
          <w:rPr>
            <w:kern w:val="0"/>
            <w:szCs w:val="21"/>
          </w:rPr>
          <w:t xml:space="preserve"> </w:t>
        </w:r>
        <w:r>
          <w:rPr>
            <w:rFonts w:hint="eastAsia"/>
            <w:kern w:val="0"/>
            <w:szCs w:val="21"/>
          </w:rPr>
          <w:t>过去三年基金的利润分配情况</w:t>
        </w:r>
        <w:r>
          <w:tab/>
        </w:r>
        <w:r>
          <w:fldChar w:fldCharType="begin"/>
        </w:r>
        <w:r>
          <w:instrText xml:space="preserve"> PAGEREF _Toc371 \h </w:instrText>
        </w:r>
        <w:r>
          <w:fldChar w:fldCharType="separate"/>
        </w:r>
        <w:r>
          <w:t>16</w:t>
        </w:r>
        <w:r>
          <w:fldChar w:fldCharType="end"/>
        </w:r>
      </w:hyperlink>
    </w:p>
    <w:p w:rsidR="003663E4" w:rsidRDefault="00FD3F7D">
      <w:pPr>
        <w:pStyle w:val="11"/>
        <w:tabs>
          <w:tab w:val="clear" w:pos="9072"/>
          <w:tab w:val="right" w:leader="dot" w:pos="9070"/>
        </w:tabs>
      </w:pPr>
      <w:hyperlink w:anchor="_Toc2655" w:history="1">
        <w:r>
          <w:rPr>
            <w:rFonts w:hint="eastAsia"/>
            <w:bCs/>
            <w:szCs w:val="21"/>
          </w:rPr>
          <w:t>§</w:t>
        </w:r>
        <w:r>
          <w:rPr>
            <w:bCs/>
            <w:szCs w:val="21"/>
          </w:rPr>
          <w:t>4</w:t>
        </w:r>
        <w:r>
          <w:rPr>
            <w:rFonts w:hint="eastAsia"/>
            <w:bCs/>
            <w:szCs w:val="21"/>
          </w:rPr>
          <w:t xml:space="preserve"> </w:t>
        </w:r>
        <w:r>
          <w:rPr>
            <w:rFonts w:hint="eastAsia"/>
            <w:bCs/>
            <w:szCs w:val="21"/>
          </w:rPr>
          <w:t>管理人报告</w:t>
        </w:r>
        <w:r>
          <w:tab/>
        </w:r>
        <w:r>
          <w:fldChar w:fldCharType="begin"/>
        </w:r>
        <w:r>
          <w:instrText xml:space="preserve"> PAGEREF _Toc2655 \h </w:instrText>
        </w:r>
        <w:r>
          <w:fldChar w:fldCharType="separate"/>
        </w:r>
        <w:r>
          <w:t>17</w:t>
        </w:r>
        <w:r>
          <w:fldChar w:fldCharType="end"/>
        </w:r>
      </w:hyperlink>
    </w:p>
    <w:p w:rsidR="003663E4" w:rsidRDefault="00FD3F7D">
      <w:pPr>
        <w:pStyle w:val="23"/>
        <w:tabs>
          <w:tab w:val="clear" w:pos="9072"/>
          <w:tab w:val="right" w:leader="dot" w:pos="9070"/>
        </w:tabs>
      </w:pPr>
      <w:hyperlink w:anchor="_Toc19183" w:history="1">
        <w:r>
          <w:rPr>
            <w:rFonts w:asciiTheme="minorEastAsia" w:eastAsiaTheme="minorEastAsia" w:hAnsiTheme="minorEastAsia" w:hint="eastAsia"/>
          </w:rPr>
          <w:t xml:space="preserve">4.1 </w:t>
        </w:r>
        <w:r>
          <w:rPr>
            <w:rFonts w:asciiTheme="minorEastAsia" w:eastAsiaTheme="minorEastAsia" w:hAnsiTheme="minorEastAsia" w:hint="eastAsia"/>
          </w:rPr>
          <w:t>基金管理人及基金经理情况</w:t>
        </w:r>
        <w:r>
          <w:tab/>
        </w:r>
        <w:r>
          <w:fldChar w:fldCharType="begin"/>
        </w:r>
        <w:r>
          <w:instrText xml:space="preserve"> PAGEREF _Toc19183 \h </w:instrText>
        </w:r>
        <w:r>
          <w:fldChar w:fldCharType="separate"/>
        </w:r>
        <w:r>
          <w:t>17</w:t>
        </w:r>
        <w:r>
          <w:fldChar w:fldCharType="end"/>
        </w:r>
      </w:hyperlink>
    </w:p>
    <w:p w:rsidR="003663E4" w:rsidRDefault="00FD3F7D">
      <w:pPr>
        <w:pStyle w:val="23"/>
        <w:tabs>
          <w:tab w:val="clear" w:pos="9072"/>
          <w:tab w:val="right" w:leader="dot" w:pos="9070"/>
        </w:tabs>
      </w:pPr>
      <w:hyperlink w:anchor="_Toc17586" w:history="1">
        <w:r>
          <w:rPr>
            <w:rFonts w:asciiTheme="minorEastAsia" w:eastAsiaTheme="minorEastAsia" w:hAnsiTheme="minorEastAsia" w:hint="eastAsia"/>
          </w:rPr>
          <w:t xml:space="preserve">4.2 </w:t>
        </w:r>
        <w:r>
          <w:rPr>
            <w:rFonts w:asciiTheme="minorEastAsia" w:eastAsiaTheme="minorEastAsia" w:hAnsiTheme="minorEastAsia" w:hint="eastAsia"/>
          </w:rPr>
          <w:t>管理人对报告期内本基金运作遵规守信情况的说明</w:t>
        </w:r>
        <w:r>
          <w:tab/>
        </w:r>
        <w:r>
          <w:fldChar w:fldCharType="begin"/>
        </w:r>
        <w:r>
          <w:instrText xml:space="preserve"> PAGEREF _Toc17586 \h </w:instrText>
        </w:r>
        <w:r>
          <w:fldChar w:fldCharType="separate"/>
        </w:r>
        <w:r>
          <w:t>18</w:t>
        </w:r>
        <w:r>
          <w:fldChar w:fldCharType="end"/>
        </w:r>
      </w:hyperlink>
    </w:p>
    <w:p w:rsidR="003663E4" w:rsidRDefault="00FD3F7D">
      <w:pPr>
        <w:pStyle w:val="23"/>
        <w:tabs>
          <w:tab w:val="clear" w:pos="9072"/>
          <w:tab w:val="right" w:leader="dot" w:pos="9070"/>
        </w:tabs>
      </w:pPr>
      <w:hyperlink w:anchor="_Toc31940" w:history="1">
        <w:r>
          <w:rPr>
            <w:rFonts w:asciiTheme="minorEastAsia" w:eastAsiaTheme="minorEastAsia" w:hAnsiTheme="minorEastAsia" w:hint="eastAsia"/>
          </w:rPr>
          <w:t xml:space="preserve">4.3 </w:t>
        </w:r>
        <w:r>
          <w:rPr>
            <w:rFonts w:asciiTheme="minorEastAsia" w:eastAsiaTheme="minorEastAsia" w:hAnsiTheme="minorEastAsia" w:hint="eastAsia"/>
          </w:rPr>
          <w:t>管理人对报告期内公平交易情况的专项说明</w:t>
        </w:r>
        <w:r>
          <w:tab/>
        </w:r>
        <w:r>
          <w:fldChar w:fldCharType="begin"/>
        </w:r>
        <w:r>
          <w:instrText xml:space="preserve"> PAGER</w:instrText>
        </w:r>
        <w:r>
          <w:instrText xml:space="preserve">EF _Toc31940 \h </w:instrText>
        </w:r>
        <w:r>
          <w:fldChar w:fldCharType="separate"/>
        </w:r>
        <w:r>
          <w:t>19</w:t>
        </w:r>
        <w:r>
          <w:fldChar w:fldCharType="end"/>
        </w:r>
      </w:hyperlink>
    </w:p>
    <w:p w:rsidR="003663E4" w:rsidRDefault="00FD3F7D">
      <w:pPr>
        <w:pStyle w:val="23"/>
        <w:tabs>
          <w:tab w:val="clear" w:pos="9072"/>
          <w:tab w:val="right" w:leader="dot" w:pos="9070"/>
        </w:tabs>
      </w:pPr>
      <w:hyperlink w:anchor="_Toc7535" w:history="1">
        <w:r>
          <w:rPr>
            <w:rFonts w:asciiTheme="minorEastAsia" w:eastAsiaTheme="minorEastAsia" w:hAnsiTheme="minorEastAsia" w:hint="eastAsia"/>
          </w:rPr>
          <w:t xml:space="preserve">4.4 </w:t>
        </w:r>
        <w:r>
          <w:rPr>
            <w:rFonts w:asciiTheme="minorEastAsia" w:eastAsiaTheme="minorEastAsia" w:hAnsiTheme="minorEastAsia" w:hint="eastAsia"/>
          </w:rPr>
          <w:t>管理人对报告期内基金的投资策略和业绩表现的说明</w:t>
        </w:r>
        <w:r>
          <w:tab/>
        </w:r>
        <w:r>
          <w:fldChar w:fldCharType="begin"/>
        </w:r>
        <w:r>
          <w:instrText xml:space="preserve"> PAGEREF _Toc7535 \h </w:instrText>
        </w:r>
        <w:r>
          <w:fldChar w:fldCharType="separate"/>
        </w:r>
        <w:r>
          <w:t>20</w:t>
        </w:r>
        <w:r>
          <w:fldChar w:fldCharType="end"/>
        </w:r>
      </w:hyperlink>
    </w:p>
    <w:p w:rsidR="003663E4" w:rsidRDefault="00FD3F7D">
      <w:pPr>
        <w:pStyle w:val="23"/>
        <w:tabs>
          <w:tab w:val="clear" w:pos="9072"/>
          <w:tab w:val="right" w:leader="dot" w:pos="9070"/>
        </w:tabs>
      </w:pPr>
      <w:hyperlink w:anchor="_Toc30196" w:history="1">
        <w:r>
          <w:rPr>
            <w:rFonts w:asciiTheme="minorEastAsia" w:eastAsiaTheme="minorEastAsia" w:hAnsiTheme="minorEastAsia" w:hint="eastAsia"/>
          </w:rPr>
          <w:t xml:space="preserve">4.5 </w:t>
        </w:r>
        <w:r>
          <w:rPr>
            <w:rFonts w:asciiTheme="minorEastAsia" w:eastAsiaTheme="minorEastAsia" w:hAnsiTheme="minorEastAsia" w:hint="eastAsia"/>
          </w:rPr>
          <w:t>管理人对宏观经济、证券市场及行业走势的简要展望</w:t>
        </w:r>
        <w:r>
          <w:tab/>
        </w:r>
        <w:r>
          <w:fldChar w:fldCharType="begin"/>
        </w:r>
        <w:r>
          <w:instrText xml:space="preserve"> PAGEREF _Toc30196 \h </w:instrText>
        </w:r>
        <w:r>
          <w:fldChar w:fldCharType="separate"/>
        </w:r>
        <w:r>
          <w:t>21</w:t>
        </w:r>
        <w:r>
          <w:fldChar w:fldCharType="end"/>
        </w:r>
      </w:hyperlink>
    </w:p>
    <w:p w:rsidR="003663E4" w:rsidRDefault="00FD3F7D">
      <w:pPr>
        <w:pStyle w:val="23"/>
        <w:tabs>
          <w:tab w:val="clear" w:pos="9072"/>
          <w:tab w:val="right" w:leader="dot" w:pos="9070"/>
        </w:tabs>
      </w:pPr>
      <w:hyperlink w:anchor="_Toc15685" w:history="1">
        <w:r>
          <w:rPr>
            <w:rFonts w:asciiTheme="minorEastAsia" w:eastAsiaTheme="minorEastAsia" w:hAnsiTheme="minorEastAsia" w:hint="eastAsia"/>
          </w:rPr>
          <w:t xml:space="preserve">4.6 </w:t>
        </w:r>
        <w:r>
          <w:rPr>
            <w:rFonts w:asciiTheme="minorEastAsia" w:eastAsiaTheme="minorEastAsia" w:hAnsiTheme="minorEastAsia" w:hint="eastAsia"/>
          </w:rPr>
          <w:t>管理人内部有关本基金的监察稽核工作情况</w:t>
        </w:r>
        <w:r>
          <w:tab/>
        </w:r>
        <w:r>
          <w:fldChar w:fldCharType="begin"/>
        </w:r>
        <w:r>
          <w:instrText xml:space="preserve"> PAGEREF _Toc15685 \h </w:instrText>
        </w:r>
        <w:r>
          <w:fldChar w:fldCharType="separate"/>
        </w:r>
        <w:r>
          <w:t>21</w:t>
        </w:r>
        <w:r>
          <w:fldChar w:fldCharType="end"/>
        </w:r>
      </w:hyperlink>
    </w:p>
    <w:p w:rsidR="003663E4" w:rsidRDefault="00FD3F7D">
      <w:pPr>
        <w:pStyle w:val="23"/>
        <w:tabs>
          <w:tab w:val="clear" w:pos="9072"/>
          <w:tab w:val="right" w:leader="dot" w:pos="9070"/>
        </w:tabs>
      </w:pPr>
      <w:hyperlink w:anchor="_Toc13155" w:history="1">
        <w:r>
          <w:rPr>
            <w:rFonts w:asciiTheme="minorEastAsia" w:eastAsiaTheme="minorEastAsia" w:hAnsiTheme="minorEastAsia" w:hint="eastAsia"/>
          </w:rPr>
          <w:t xml:space="preserve">4.7 </w:t>
        </w:r>
        <w:r>
          <w:rPr>
            <w:rFonts w:asciiTheme="minorEastAsia" w:eastAsiaTheme="minorEastAsia" w:hAnsiTheme="minorEastAsia" w:hint="eastAsia"/>
          </w:rPr>
          <w:t>管理人对报告期内基金估值程序等事项的说明</w:t>
        </w:r>
        <w:r>
          <w:tab/>
        </w:r>
        <w:r>
          <w:fldChar w:fldCharType="begin"/>
        </w:r>
        <w:r>
          <w:instrText xml:space="preserve"> PAGEREF _Toc13155 \h </w:instrText>
        </w:r>
        <w:r>
          <w:fldChar w:fldCharType="separate"/>
        </w:r>
        <w:r>
          <w:t>22</w:t>
        </w:r>
        <w:r>
          <w:fldChar w:fldCharType="end"/>
        </w:r>
      </w:hyperlink>
    </w:p>
    <w:p w:rsidR="003663E4" w:rsidRDefault="00FD3F7D">
      <w:pPr>
        <w:pStyle w:val="23"/>
        <w:tabs>
          <w:tab w:val="clear" w:pos="9072"/>
          <w:tab w:val="right" w:leader="dot" w:pos="9070"/>
        </w:tabs>
      </w:pPr>
      <w:hyperlink w:anchor="_Toc28874" w:history="1">
        <w:r>
          <w:rPr>
            <w:rFonts w:asciiTheme="minorEastAsia" w:eastAsiaTheme="minorEastAsia" w:hAnsiTheme="minorEastAsia" w:hint="eastAsia"/>
          </w:rPr>
          <w:t xml:space="preserve">4.8 </w:t>
        </w:r>
        <w:r>
          <w:rPr>
            <w:rFonts w:asciiTheme="minorEastAsia" w:eastAsiaTheme="minorEastAsia" w:hAnsiTheme="minorEastAsia" w:hint="eastAsia"/>
          </w:rPr>
          <w:t>管理人对报告期内基金利润分配情况的说明</w:t>
        </w:r>
        <w:r>
          <w:tab/>
        </w:r>
        <w:r>
          <w:fldChar w:fldCharType="begin"/>
        </w:r>
        <w:r>
          <w:instrText xml:space="preserve"> PAGEREF _Toc28874 \h </w:instrText>
        </w:r>
        <w:r>
          <w:fldChar w:fldCharType="separate"/>
        </w:r>
        <w:r>
          <w:t>23</w:t>
        </w:r>
        <w:r>
          <w:fldChar w:fldCharType="end"/>
        </w:r>
      </w:hyperlink>
    </w:p>
    <w:p w:rsidR="003663E4" w:rsidRDefault="00FD3F7D">
      <w:pPr>
        <w:pStyle w:val="23"/>
        <w:tabs>
          <w:tab w:val="clear" w:pos="9072"/>
          <w:tab w:val="right" w:leader="dot" w:pos="9070"/>
        </w:tabs>
      </w:pPr>
      <w:hyperlink w:anchor="_Toc3463" w:history="1">
        <w:r>
          <w:rPr>
            <w:rFonts w:asciiTheme="minorEastAsia" w:eastAsiaTheme="minorEastAsia" w:hAnsiTheme="minorEastAsia"/>
          </w:rPr>
          <w:t>4.9</w:t>
        </w:r>
        <w:r>
          <w:rPr>
            <w:rFonts w:asciiTheme="minorEastAsia" w:eastAsiaTheme="minorEastAsia" w:hAnsiTheme="minorEastAsia" w:hint="eastAsia"/>
          </w:rPr>
          <w:t xml:space="preserve"> </w:t>
        </w:r>
        <w:r>
          <w:rPr>
            <w:rFonts w:asciiTheme="minorEastAsia" w:eastAsiaTheme="minorEastAsia" w:hAnsiTheme="minorEastAsia" w:hint="eastAsia"/>
          </w:rPr>
          <w:t>报告期内管理人对本基金持有人数或基金资产净值预警情形的说明</w:t>
        </w:r>
        <w:r>
          <w:tab/>
        </w:r>
        <w:r>
          <w:fldChar w:fldCharType="begin"/>
        </w:r>
        <w:r>
          <w:instrText xml:space="preserve"> PAGEREF _Toc3463 \h </w:instrText>
        </w:r>
        <w:r>
          <w:fldChar w:fldCharType="separate"/>
        </w:r>
        <w:r>
          <w:t>23</w:t>
        </w:r>
        <w:r>
          <w:fldChar w:fldCharType="end"/>
        </w:r>
      </w:hyperlink>
    </w:p>
    <w:p w:rsidR="003663E4" w:rsidRDefault="00FD3F7D">
      <w:pPr>
        <w:pStyle w:val="11"/>
        <w:tabs>
          <w:tab w:val="clear" w:pos="9072"/>
          <w:tab w:val="right" w:leader="dot" w:pos="9070"/>
        </w:tabs>
      </w:pPr>
      <w:hyperlink w:anchor="_Toc23529" w:history="1">
        <w:r>
          <w:rPr>
            <w:rFonts w:hint="eastAsia"/>
            <w:bCs/>
            <w:szCs w:val="21"/>
          </w:rPr>
          <w:t>§</w:t>
        </w:r>
        <w:r>
          <w:rPr>
            <w:rFonts w:hint="eastAsia"/>
            <w:bCs/>
            <w:szCs w:val="21"/>
          </w:rPr>
          <w:t xml:space="preserve">5 </w:t>
        </w:r>
        <w:r>
          <w:rPr>
            <w:rFonts w:hint="eastAsia"/>
            <w:bCs/>
            <w:szCs w:val="21"/>
          </w:rPr>
          <w:t>托管人报告</w:t>
        </w:r>
        <w:r>
          <w:tab/>
        </w:r>
        <w:r>
          <w:fldChar w:fldCharType="begin"/>
        </w:r>
        <w:r>
          <w:instrText xml:space="preserve"> PAGEREF _Toc23529 \h </w:instrText>
        </w:r>
        <w:r>
          <w:fldChar w:fldCharType="separate"/>
        </w:r>
        <w:r>
          <w:t>23</w:t>
        </w:r>
        <w:r>
          <w:fldChar w:fldCharType="end"/>
        </w:r>
      </w:hyperlink>
    </w:p>
    <w:p w:rsidR="003663E4" w:rsidRDefault="00FD3F7D">
      <w:pPr>
        <w:pStyle w:val="23"/>
        <w:tabs>
          <w:tab w:val="clear" w:pos="9072"/>
          <w:tab w:val="right" w:leader="dot" w:pos="9070"/>
        </w:tabs>
      </w:pPr>
      <w:hyperlink w:anchor="_Toc22693" w:history="1">
        <w:r>
          <w:rPr>
            <w:rFonts w:asciiTheme="minorEastAsia" w:eastAsiaTheme="minorEastAsia" w:hAnsiTheme="minorEastAsia" w:hint="eastAsia"/>
          </w:rPr>
          <w:t xml:space="preserve">5.1 </w:t>
        </w:r>
        <w:r>
          <w:rPr>
            <w:rFonts w:asciiTheme="minorEastAsia" w:eastAsiaTheme="minorEastAsia" w:hAnsiTheme="minorEastAsia" w:hint="eastAsia"/>
          </w:rPr>
          <w:t>报告期内本基金托管人遵规守信情况声明</w:t>
        </w:r>
        <w:r>
          <w:tab/>
        </w:r>
        <w:r>
          <w:fldChar w:fldCharType="begin"/>
        </w:r>
        <w:r>
          <w:instrText xml:space="preserve"> PAGEREF _Toc22693 \h</w:instrText>
        </w:r>
        <w:r>
          <w:instrText xml:space="preserve"> </w:instrText>
        </w:r>
        <w:r>
          <w:fldChar w:fldCharType="separate"/>
        </w:r>
        <w:r>
          <w:t>23</w:t>
        </w:r>
        <w:r>
          <w:fldChar w:fldCharType="end"/>
        </w:r>
      </w:hyperlink>
    </w:p>
    <w:p w:rsidR="003663E4" w:rsidRDefault="00FD3F7D">
      <w:pPr>
        <w:pStyle w:val="23"/>
        <w:tabs>
          <w:tab w:val="clear" w:pos="9072"/>
          <w:tab w:val="right" w:leader="dot" w:pos="9070"/>
        </w:tabs>
      </w:pPr>
      <w:hyperlink w:anchor="_Toc27064" w:history="1">
        <w:r>
          <w:rPr>
            <w:rFonts w:asciiTheme="minorEastAsia" w:eastAsiaTheme="minorEastAsia" w:hAnsiTheme="minorEastAsia" w:hint="eastAsia"/>
          </w:rPr>
          <w:t>5.2</w:t>
        </w:r>
        <w:r>
          <w:rPr>
            <w:rFonts w:asciiTheme="minorEastAsia" w:eastAsiaTheme="minorEastAsia" w:hAnsiTheme="minorEastAsia" w:hint="eastAsia"/>
          </w:rPr>
          <w:t xml:space="preserve"> </w:t>
        </w:r>
        <w:r>
          <w:rPr>
            <w:rFonts w:asciiTheme="minorEastAsia" w:eastAsiaTheme="minorEastAsia" w:hAnsiTheme="minorEastAsia" w:hint="eastAsia"/>
          </w:rPr>
          <w:t>托管人对报告期内本基金投资运作遵规守信、净值计算、利润分配等情况的说明</w:t>
        </w:r>
        <w:r>
          <w:tab/>
        </w:r>
        <w:r>
          <w:fldChar w:fldCharType="begin"/>
        </w:r>
        <w:r>
          <w:instrText xml:space="preserve"> PAGEREF _Toc27064 \h </w:instrText>
        </w:r>
        <w:r>
          <w:fldChar w:fldCharType="separate"/>
        </w:r>
        <w:r>
          <w:t>23</w:t>
        </w:r>
        <w:r>
          <w:fldChar w:fldCharType="end"/>
        </w:r>
      </w:hyperlink>
    </w:p>
    <w:p w:rsidR="003663E4" w:rsidRDefault="00FD3F7D">
      <w:pPr>
        <w:pStyle w:val="23"/>
        <w:tabs>
          <w:tab w:val="clear" w:pos="9072"/>
          <w:tab w:val="right" w:leader="dot" w:pos="9070"/>
        </w:tabs>
      </w:pPr>
      <w:hyperlink w:anchor="_Toc9179" w:history="1">
        <w:r>
          <w:rPr>
            <w:rFonts w:asciiTheme="minorEastAsia" w:eastAsiaTheme="minorEastAsia" w:hAnsiTheme="minorEastAsia" w:hint="eastAsia"/>
          </w:rPr>
          <w:t xml:space="preserve">5.3 </w:t>
        </w:r>
        <w:r>
          <w:rPr>
            <w:rFonts w:asciiTheme="minorEastAsia" w:eastAsiaTheme="minorEastAsia" w:hAnsiTheme="minorEastAsia" w:hint="eastAsia"/>
          </w:rPr>
          <w:t>托管人对本年度报告中财务信息等内容的真实、准确和完整发表意见</w:t>
        </w:r>
        <w:r>
          <w:tab/>
        </w:r>
        <w:r>
          <w:fldChar w:fldCharType="begin"/>
        </w:r>
        <w:r>
          <w:instrText xml:space="preserve"> PAGEREF _Toc9179 \h </w:instrText>
        </w:r>
        <w:r>
          <w:fldChar w:fldCharType="separate"/>
        </w:r>
        <w:r>
          <w:t>23</w:t>
        </w:r>
        <w:r>
          <w:fldChar w:fldCharType="end"/>
        </w:r>
      </w:hyperlink>
    </w:p>
    <w:p w:rsidR="003663E4" w:rsidRDefault="00FD3F7D">
      <w:pPr>
        <w:pStyle w:val="11"/>
        <w:tabs>
          <w:tab w:val="clear" w:pos="9072"/>
          <w:tab w:val="right" w:leader="dot" w:pos="9070"/>
        </w:tabs>
      </w:pPr>
      <w:hyperlink w:anchor="_Toc25552" w:history="1">
        <w:r>
          <w:rPr>
            <w:bCs/>
            <w:szCs w:val="21"/>
          </w:rPr>
          <w:t>§</w:t>
        </w:r>
        <w:r>
          <w:rPr>
            <w:rFonts w:hint="eastAsia"/>
            <w:bCs/>
            <w:szCs w:val="21"/>
          </w:rPr>
          <w:t xml:space="preserve">6 </w:t>
        </w:r>
        <w:r>
          <w:rPr>
            <w:bCs/>
            <w:szCs w:val="21"/>
          </w:rPr>
          <w:t>审计报告</w:t>
        </w:r>
        <w:r>
          <w:tab/>
        </w:r>
        <w:r>
          <w:fldChar w:fldCharType="begin"/>
        </w:r>
        <w:r>
          <w:instrText xml:space="preserve"> PAGEREF _Toc</w:instrText>
        </w:r>
        <w:r>
          <w:instrText xml:space="preserve">25552 \h </w:instrText>
        </w:r>
        <w:r>
          <w:fldChar w:fldCharType="separate"/>
        </w:r>
        <w:r>
          <w:t>23</w:t>
        </w:r>
        <w:r>
          <w:fldChar w:fldCharType="end"/>
        </w:r>
      </w:hyperlink>
    </w:p>
    <w:p w:rsidR="003663E4" w:rsidRDefault="00FD3F7D">
      <w:pPr>
        <w:pStyle w:val="23"/>
        <w:tabs>
          <w:tab w:val="clear" w:pos="9072"/>
          <w:tab w:val="right" w:leader="dot" w:pos="9070"/>
        </w:tabs>
      </w:pPr>
      <w:hyperlink w:anchor="_Toc30082" w:history="1">
        <w:r>
          <w:rPr>
            <w:rFonts w:eastAsiaTheme="minorEastAsia" w:hint="eastAsia"/>
          </w:rPr>
          <w:t xml:space="preserve">6.1 </w:t>
        </w:r>
        <w:r>
          <w:rPr>
            <w:rFonts w:eastAsiaTheme="minorEastAsia"/>
          </w:rPr>
          <w:t>交银施罗德裕惠纯债债券型证券投资基金</w:t>
        </w:r>
        <w:r>
          <w:tab/>
        </w:r>
        <w:r>
          <w:fldChar w:fldCharType="begin"/>
        </w:r>
        <w:r>
          <w:instrText xml:space="preserve"> PAGEREF _Toc30082 \h </w:instrText>
        </w:r>
        <w:r>
          <w:fldChar w:fldCharType="separate"/>
        </w:r>
        <w:r>
          <w:t>23</w:t>
        </w:r>
        <w:r>
          <w:fldChar w:fldCharType="end"/>
        </w:r>
      </w:hyperlink>
    </w:p>
    <w:p w:rsidR="003663E4" w:rsidRDefault="00FD3F7D">
      <w:pPr>
        <w:pStyle w:val="31"/>
        <w:tabs>
          <w:tab w:val="right" w:leader="dot" w:pos="9070"/>
        </w:tabs>
        <w:ind w:left="840"/>
      </w:pPr>
      <w:hyperlink w:anchor="_Toc13736" w:history="1">
        <w:r>
          <w:rPr>
            <w:kern w:val="0"/>
            <w:szCs w:val="21"/>
          </w:rPr>
          <w:t>6.1.1</w:t>
        </w:r>
        <w:r>
          <w:rPr>
            <w:kern w:val="0"/>
            <w:szCs w:val="21"/>
          </w:rPr>
          <w:t>审计意见</w:t>
        </w:r>
        <w:r>
          <w:tab/>
        </w:r>
        <w:r>
          <w:fldChar w:fldCharType="begin"/>
        </w:r>
        <w:r>
          <w:instrText xml:space="preserve"> PAGER</w:instrText>
        </w:r>
        <w:r>
          <w:instrText xml:space="preserve">EF _Toc13736 \h </w:instrText>
        </w:r>
        <w:r>
          <w:fldChar w:fldCharType="separate"/>
        </w:r>
        <w:r>
          <w:t>23</w:t>
        </w:r>
        <w:r>
          <w:fldChar w:fldCharType="end"/>
        </w:r>
      </w:hyperlink>
    </w:p>
    <w:p w:rsidR="003663E4" w:rsidRDefault="00FD3F7D">
      <w:pPr>
        <w:pStyle w:val="31"/>
        <w:tabs>
          <w:tab w:val="right" w:leader="dot" w:pos="9070"/>
        </w:tabs>
        <w:ind w:left="840"/>
      </w:pPr>
      <w:hyperlink w:anchor="_Toc6070" w:history="1">
        <w:r>
          <w:rPr>
            <w:kern w:val="0"/>
            <w:szCs w:val="21"/>
          </w:rPr>
          <w:t>6.1.2</w:t>
        </w:r>
        <w:r>
          <w:rPr>
            <w:rFonts w:hint="eastAsia"/>
            <w:kern w:val="0"/>
            <w:szCs w:val="21"/>
          </w:rPr>
          <w:t>形成审计意见的基础</w:t>
        </w:r>
        <w:r>
          <w:tab/>
        </w:r>
        <w:r>
          <w:fldChar w:fldCharType="begin"/>
        </w:r>
        <w:r>
          <w:instrText xml:space="preserve"> PAGEREF _Toc6070 \h </w:instrText>
        </w:r>
        <w:r>
          <w:fldChar w:fldCharType="separate"/>
        </w:r>
        <w:r>
          <w:t>24</w:t>
        </w:r>
        <w:r>
          <w:fldChar w:fldCharType="end"/>
        </w:r>
      </w:hyperlink>
    </w:p>
    <w:p w:rsidR="003663E4" w:rsidRDefault="00FD3F7D">
      <w:pPr>
        <w:pStyle w:val="31"/>
        <w:tabs>
          <w:tab w:val="right" w:leader="dot" w:pos="9070"/>
        </w:tabs>
        <w:ind w:left="840"/>
      </w:pPr>
      <w:hyperlink w:anchor="_Toc17278" w:history="1">
        <w:r>
          <w:rPr>
            <w:kern w:val="0"/>
            <w:szCs w:val="21"/>
          </w:rPr>
          <w:t>6.1.3</w:t>
        </w:r>
        <w:r>
          <w:rPr>
            <w:rFonts w:hint="eastAsia"/>
            <w:kern w:val="0"/>
            <w:szCs w:val="21"/>
          </w:rPr>
          <w:t>管理层和治理层对财务报表的责任</w:t>
        </w:r>
        <w:r>
          <w:tab/>
        </w:r>
        <w:r>
          <w:fldChar w:fldCharType="begin"/>
        </w:r>
        <w:r>
          <w:instrText xml:space="preserve"> PAGEREF _Toc17278 \h </w:instrText>
        </w:r>
        <w:r>
          <w:fldChar w:fldCharType="separate"/>
        </w:r>
        <w:r>
          <w:t>24</w:t>
        </w:r>
        <w:r>
          <w:fldChar w:fldCharType="end"/>
        </w:r>
      </w:hyperlink>
    </w:p>
    <w:p w:rsidR="003663E4" w:rsidRDefault="00FD3F7D">
      <w:pPr>
        <w:pStyle w:val="31"/>
        <w:tabs>
          <w:tab w:val="right" w:leader="dot" w:pos="9070"/>
        </w:tabs>
        <w:ind w:left="840"/>
      </w:pPr>
      <w:hyperlink w:anchor="_Toc24065" w:history="1">
        <w:r>
          <w:rPr>
            <w:kern w:val="0"/>
            <w:szCs w:val="21"/>
          </w:rPr>
          <w:t>6.1.4</w:t>
        </w:r>
        <w:r>
          <w:rPr>
            <w:rFonts w:hint="eastAsia"/>
            <w:kern w:val="0"/>
            <w:szCs w:val="21"/>
          </w:rPr>
          <w:t>注册会计师对财务报表审计的责任</w:t>
        </w:r>
        <w:r>
          <w:tab/>
        </w:r>
        <w:r>
          <w:fldChar w:fldCharType="begin"/>
        </w:r>
        <w:r>
          <w:instrText xml:space="preserve"> PAGEREF _Toc24065 \h </w:instrText>
        </w:r>
        <w:r>
          <w:fldChar w:fldCharType="separate"/>
        </w:r>
        <w:r>
          <w:t>25</w:t>
        </w:r>
        <w:r>
          <w:fldChar w:fldCharType="end"/>
        </w:r>
      </w:hyperlink>
    </w:p>
    <w:p w:rsidR="003663E4" w:rsidRDefault="00FD3F7D">
      <w:pPr>
        <w:pStyle w:val="23"/>
        <w:tabs>
          <w:tab w:val="clear" w:pos="9072"/>
          <w:tab w:val="right" w:leader="dot" w:pos="9070"/>
        </w:tabs>
      </w:pPr>
      <w:hyperlink w:anchor="_Toc14802" w:history="1">
        <w:r>
          <w:rPr>
            <w:rFonts w:eastAsiaTheme="minorEastAsia"/>
          </w:rPr>
          <w:t xml:space="preserve">6.2 </w:t>
        </w:r>
        <w:r>
          <w:rPr>
            <w:rFonts w:eastAsiaTheme="minorEastAsia"/>
          </w:rPr>
          <w:t>交银施罗德理财</w:t>
        </w:r>
        <w:r>
          <w:rPr>
            <w:rFonts w:eastAsiaTheme="minorEastAsia"/>
          </w:rPr>
          <w:t>60</w:t>
        </w:r>
        <w:r>
          <w:rPr>
            <w:rFonts w:eastAsiaTheme="minorEastAsia"/>
          </w:rPr>
          <w:t>天债券型证券投资基金</w:t>
        </w:r>
        <w:r>
          <w:tab/>
        </w:r>
        <w:r>
          <w:fldChar w:fldCharType="begin"/>
        </w:r>
        <w:r>
          <w:instrText xml:space="preserve"> PAGEREF _Toc14802 \h </w:instrText>
        </w:r>
        <w:r>
          <w:fldChar w:fldCharType="separate"/>
        </w:r>
        <w:r>
          <w:t>26</w:t>
        </w:r>
        <w:r>
          <w:fldChar w:fldCharType="end"/>
        </w:r>
      </w:hyperlink>
    </w:p>
    <w:p w:rsidR="003663E4" w:rsidRDefault="00FD3F7D">
      <w:pPr>
        <w:pStyle w:val="31"/>
        <w:tabs>
          <w:tab w:val="right" w:leader="dot" w:pos="9070"/>
        </w:tabs>
        <w:ind w:left="840"/>
      </w:pPr>
      <w:hyperlink w:anchor="_Toc21887" w:history="1">
        <w:r>
          <w:rPr>
            <w:kern w:val="0"/>
            <w:szCs w:val="21"/>
          </w:rPr>
          <w:t>6.2.1</w:t>
        </w:r>
        <w:r>
          <w:rPr>
            <w:kern w:val="0"/>
            <w:szCs w:val="21"/>
          </w:rPr>
          <w:t>审计意见</w:t>
        </w:r>
        <w:r>
          <w:tab/>
        </w:r>
        <w:r>
          <w:fldChar w:fldCharType="begin"/>
        </w:r>
        <w:r>
          <w:instrText xml:space="preserve"> PAGEREF _Toc21887 \h </w:instrText>
        </w:r>
        <w:r>
          <w:fldChar w:fldCharType="separate"/>
        </w:r>
        <w:r>
          <w:t>26</w:t>
        </w:r>
        <w:r>
          <w:fldChar w:fldCharType="end"/>
        </w:r>
      </w:hyperlink>
    </w:p>
    <w:p w:rsidR="003663E4" w:rsidRDefault="00FD3F7D">
      <w:pPr>
        <w:pStyle w:val="31"/>
        <w:tabs>
          <w:tab w:val="right" w:leader="dot" w:pos="9070"/>
        </w:tabs>
        <w:ind w:left="840"/>
      </w:pPr>
      <w:hyperlink w:anchor="_Toc8584" w:history="1">
        <w:r>
          <w:rPr>
            <w:kern w:val="0"/>
            <w:szCs w:val="21"/>
          </w:rPr>
          <w:t>6.2.2</w:t>
        </w:r>
        <w:r>
          <w:rPr>
            <w:rFonts w:hint="eastAsia"/>
            <w:kern w:val="0"/>
            <w:szCs w:val="21"/>
          </w:rPr>
          <w:t>形成审计意见的基础</w:t>
        </w:r>
        <w:r>
          <w:tab/>
        </w:r>
        <w:r>
          <w:fldChar w:fldCharType="begin"/>
        </w:r>
        <w:r>
          <w:instrText xml:space="preserve"> PAGEREF _Toc8584 \h </w:instrText>
        </w:r>
        <w:r>
          <w:fldChar w:fldCharType="separate"/>
        </w:r>
        <w:r>
          <w:t>26</w:t>
        </w:r>
        <w:r>
          <w:fldChar w:fldCharType="end"/>
        </w:r>
      </w:hyperlink>
    </w:p>
    <w:p w:rsidR="003663E4" w:rsidRDefault="00FD3F7D">
      <w:pPr>
        <w:pStyle w:val="31"/>
        <w:tabs>
          <w:tab w:val="right" w:leader="dot" w:pos="9070"/>
        </w:tabs>
        <w:ind w:left="840"/>
      </w:pPr>
      <w:hyperlink w:anchor="_Toc6897" w:history="1">
        <w:r>
          <w:rPr>
            <w:kern w:val="0"/>
            <w:szCs w:val="21"/>
          </w:rPr>
          <w:t>6.2.3</w:t>
        </w:r>
        <w:r>
          <w:rPr>
            <w:rFonts w:hint="eastAsia"/>
            <w:kern w:val="0"/>
            <w:szCs w:val="21"/>
          </w:rPr>
          <w:t>管理层和治理层对财务报表的责任</w:t>
        </w:r>
        <w:r>
          <w:tab/>
        </w:r>
        <w:r>
          <w:fldChar w:fldCharType="begin"/>
        </w:r>
        <w:r>
          <w:instrText xml:space="preserve"> PAGEREF _Toc6897 \h </w:instrText>
        </w:r>
        <w:r>
          <w:fldChar w:fldCharType="separate"/>
        </w:r>
        <w:r>
          <w:t>26</w:t>
        </w:r>
        <w:r>
          <w:fldChar w:fldCharType="end"/>
        </w:r>
      </w:hyperlink>
    </w:p>
    <w:p w:rsidR="003663E4" w:rsidRDefault="00FD3F7D">
      <w:pPr>
        <w:pStyle w:val="31"/>
        <w:tabs>
          <w:tab w:val="right" w:leader="dot" w:pos="9070"/>
        </w:tabs>
        <w:ind w:left="840"/>
      </w:pPr>
      <w:hyperlink w:anchor="_Toc9756" w:history="1">
        <w:r>
          <w:rPr>
            <w:kern w:val="0"/>
            <w:szCs w:val="21"/>
          </w:rPr>
          <w:t>6.2.4</w:t>
        </w:r>
        <w:r>
          <w:rPr>
            <w:rFonts w:hint="eastAsia"/>
            <w:kern w:val="0"/>
            <w:szCs w:val="21"/>
          </w:rPr>
          <w:t>注册会计师对财务报表审计的责任</w:t>
        </w:r>
        <w:r>
          <w:tab/>
        </w:r>
        <w:r>
          <w:fldChar w:fldCharType="begin"/>
        </w:r>
        <w:r>
          <w:instrText xml:space="preserve"> PAGEREF _Toc9756 \h </w:instrText>
        </w:r>
        <w:r>
          <w:fldChar w:fldCharType="separate"/>
        </w:r>
        <w:r>
          <w:t>27</w:t>
        </w:r>
        <w:r>
          <w:fldChar w:fldCharType="end"/>
        </w:r>
      </w:hyperlink>
    </w:p>
    <w:p w:rsidR="003663E4" w:rsidRDefault="00FD3F7D">
      <w:pPr>
        <w:pStyle w:val="11"/>
        <w:tabs>
          <w:tab w:val="clear" w:pos="9072"/>
          <w:tab w:val="right" w:leader="dot" w:pos="9070"/>
        </w:tabs>
      </w:pPr>
      <w:hyperlink w:anchor="_Toc11929" w:history="1">
        <w:r>
          <w:rPr>
            <w:bCs/>
            <w:szCs w:val="21"/>
          </w:rPr>
          <w:t>§</w:t>
        </w:r>
        <w:r>
          <w:rPr>
            <w:rFonts w:hint="eastAsia"/>
            <w:bCs/>
            <w:szCs w:val="21"/>
          </w:rPr>
          <w:t xml:space="preserve">7 </w:t>
        </w:r>
        <w:r>
          <w:rPr>
            <w:bCs/>
            <w:szCs w:val="21"/>
          </w:rPr>
          <w:t>年度财务报表</w:t>
        </w:r>
        <w:r>
          <w:tab/>
        </w:r>
        <w:r>
          <w:fldChar w:fldCharType="begin"/>
        </w:r>
        <w:r>
          <w:instrText xml:space="preserve"> PAGEREF _Toc11929 \h </w:instrText>
        </w:r>
        <w:r>
          <w:fldChar w:fldCharType="separate"/>
        </w:r>
        <w:r>
          <w:t>28</w:t>
        </w:r>
        <w:r>
          <w:fldChar w:fldCharType="end"/>
        </w:r>
      </w:hyperlink>
    </w:p>
    <w:p w:rsidR="003663E4" w:rsidRDefault="00FD3F7D">
      <w:pPr>
        <w:pStyle w:val="23"/>
        <w:tabs>
          <w:tab w:val="clear" w:pos="9072"/>
          <w:tab w:val="right" w:leader="dot" w:pos="9070"/>
        </w:tabs>
      </w:pPr>
      <w:hyperlink w:anchor="_Toc9883" w:history="1">
        <w:r>
          <w:rPr>
            <w:rFonts w:eastAsiaTheme="minorEastAsia" w:hint="eastAsia"/>
          </w:rPr>
          <w:t xml:space="preserve">7.1 </w:t>
        </w:r>
        <w:r>
          <w:rPr>
            <w:rFonts w:eastAsiaTheme="minorEastAsia"/>
          </w:rPr>
          <w:t>交银施罗德裕惠纯债债券型证券投资基金</w:t>
        </w:r>
        <w:r>
          <w:tab/>
        </w:r>
        <w:r>
          <w:fldChar w:fldCharType="begin"/>
        </w:r>
        <w:r>
          <w:instrText xml:space="preserve"> PAGEREF _Toc9883 \h </w:instrText>
        </w:r>
        <w:r>
          <w:fldChar w:fldCharType="separate"/>
        </w:r>
        <w:r>
          <w:t>28</w:t>
        </w:r>
        <w:r>
          <w:fldChar w:fldCharType="end"/>
        </w:r>
      </w:hyperlink>
    </w:p>
    <w:p w:rsidR="003663E4" w:rsidRDefault="00FD3F7D">
      <w:pPr>
        <w:pStyle w:val="31"/>
        <w:tabs>
          <w:tab w:val="right" w:leader="dot" w:pos="9070"/>
        </w:tabs>
        <w:ind w:left="840"/>
      </w:pPr>
      <w:hyperlink w:anchor="_Toc7130" w:history="1">
        <w:r>
          <w:rPr>
            <w:kern w:val="0"/>
            <w:szCs w:val="21"/>
          </w:rPr>
          <w:t>7.1.1</w:t>
        </w:r>
        <w:r>
          <w:rPr>
            <w:rFonts w:hint="eastAsia"/>
            <w:kern w:val="0"/>
            <w:szCs w:val="21"/>
          </w:rPr>
          <w:t xml:space="preserve"> </w:t>
        </w:r>
        <w:r>
          <w:rPr>
            <w:szCs w:val="21"/>
          </w:rPr>
          <w:t>资产负债表</w:t>
        </w:r>
        <w:r>
          <w:tab/>
        </w:r>
        <w:r>
          <w:fldChar w:fldCharType="begin"/>
        </w:r>
        <w:r>
          <w:instrText xml:space="preserve"> PAGEREF _Toc7130 \h </w:instrText>
        </w:r>
        <w:r>
          <w:fldChar w:fldCharType="separate"/>
        </w:r>
        <w:r>
          <w:t>28</w:t>
        </w:r>
        <w:r>
          <w:fldChar w:fldCharType="end"/>
        </w:r>
      </w:hyperlink>
    </w:p>
    <w:p w:rsidR="003663E4" w:rsidRDefault="00FD3F7D">
      <w:pPr>
        <w:pStyle w:val="31"/>
        <w:tabs>
          <w:tab w:val="right" w:leader="dot" w:pos="9070"/>
        </w:tabs>
        <w:ind w:left="840"/>
      </w:pPr>
      <w:hyperlink w:anchor="_Toc12090" w:history="1">
        <w:r>
          <w:rPr>
            <w:kern w:val="0"/>
            <w:szCs w:val="21"/>
          </w:rPr>
          <w:t>7.1.2</w:t>
        </w:r>
        <w:r>
          <w:rPr>
            <w:rFonts w:hint="eastAsia"/>
            <w:kern w:val="0"/>
            <w:szCs w:val="21"/>
          </w:rPr>
          <w:t xml:space="preserve"> </w:t>
        </w:r>
        <w:r>
          <w:rPr>
            <w:szCs w:val="21"/>
          </w:rPr>
          <w:t>利润表</w:t>
        </w:r>
        <w:r>
          <w:tab/>
        </w:r>
        <w:r>
          <w:fldChar w:fldCharType="begin"/>
        </w:r>
        <w:r>
          <w:instrText xml:space="preserve"> PAGEREF _Toc12090 \h </w:instrText>
        </w:r>
        <w:r>
          <w:fldChar w:fldCharType="separate"/>
        </w:r>
        <w:r>
          <w:t>30</w:t>
        </w:r>
        <w:r>
          <w:fldChar w:fldCharType="end"/>
        </w:r>
      </w:hyperlink>
    </w:p>
    <w:p w:rsidR="003663E4" w:rsidRDefault="00FD3F7D">
      <w:pPr>
        <w:pStyle w:val="31"/>
        <w:tabs>
          <w:tab w:val="right" w:leader="dot" w:pos="9070"/>
        </w:tabs>
        <w:ind w:left="840"/>
      </w:pPr>
      <w:hyperlink w:anchor="_Toc15087" w:history="1">
        <w:r>
          <w:rPr>
            <w:kern w:val="0"/>
            <w:szCs w:val="21"/>
          </w:rPr>
          <w:t>7.1.3</w:t>
        </w:r>
        <w:r>
          <w:rPr>
            <w:rFonts w:hint="eastAsia"/>
            <w:kern w:val="0"/>
            <w:szCs w:val="21"/>
          </w:rPr>
          <w:t xml:space="preserve"> </w:t>
        </w:r>
        <w:r>
          <w:rPr>
            <w:szCs w:val="21"/>
          </w:rPr>
          <w:t>所有者权益（基金净值）变动表</w:t>
        </w:r>
        <w:r>
          <w:tab/>
        </w:r>
        <w:r>
          <w:fldChar w:fldCharType="begin"/>
        </w:r>
        <w:r>
          <w:instrText xml:space="preserve"> PAGEREF _Toc15087 \h </w:instrText>
        </w:r>
        <w:r>
          <w:fldChar w:fldCharType="separate"/>
        </w:r>
        <w:r>
          <w:t>31</w:t>
        </w:r>
        <w:r>
          <w:fldChar w:fldCharType="end"/>
        </w:r>
      </w:hyperlink>
    </w:p>
    <w:p w:rsidR="003663E4" w:rsidRDefault="00FD3F7D">
      <w:pPr>
        <w:pStyle w:val="31"/>
        <w:tabs>
          <w:tab w:val="right" w:leader="dot" w:pos="9070"/>
        </w:tabs>
        <w:ind w:left="840"/>
      </w:pPr>
      <w:hyperlink w:anchor="_Toc10431" w:history="1">
        <w:r>
          <w:rPr>
            <w:szCs w:val="21"/>
          </w:rPr>
          <w:t xml:space="preserve">7.1.4 </w:t>
        </w:r>
        <w:r>
          <w:rPr>
            <w:szCs w:val="21"/>
          </w:rPr>
          <w:t>报表附注</w:t>
        </w:r>
        <w:r>
          <w:tab/>
        </w:r>
        <w:r>
          <w:fldChar w:fldCharType="begin"/>
        </w:r>
        <w:r>
          <w:instrText xml:space="preserve"> PAGEREF _Toc10431 \h </w:instrText>
        </w:r>
        <w:r>
          <w:fldChar w:fldCharType="separate"/>
        </w:r>
        <w:r>
          <w:t>31</w:t>
        </w:r>
        <w:r>
          <w:fldChar w:fldCharType="end"/>
        </w:r>
      </w:hyperlink>
    </w:p>
    <w:p w:rsidR="003663E4" w:rsidRDefault="00FD3F7D">
      <w:pPr>
        <w:pStyle w:val="23"/>
        <w:tabs>
          <w:tab w:val="clear" w:pos="9072"/>
          <w:tab w:val="right" w:leader="dot" w:pos="9070"/>
        </w:tabs>
      </w:pPr>
      <w:hyperlink w:anchor="_Toc17715" w:history="1">
        <w:r>
          <w:rPr>
            <w:rFonts w:eastAsiaTheme="minorEastAsia"/>
          </w:rPr>
          <w:t xml:space="preserve">7.2 </w:t>
        </w:r>
        <w:r>
          <w:t>交银施罗德理财</w:t>
        </w:r>
        <w:r>
          <w:t>60</w:t>
        </w:r>
        <w:r>
          <w:t>天债券型证券投资基金</w:t>
        </w:r>
        <w:r>
          <w:tab/>
        </w:r>
        <w:r>
          <w:fldChar w:fldCharType="begin"/>
        </w:r>
        <w:r>
          <w:instrText xml:space="preserve"> PAGEREF _Toc17715 \h </w:instrText>
        </w:r>
        <w:r>
          <w:fldChar w:fldCharType="separate"/>
        </w:r>
        <w:r>
          <w:t>51</w:t>
        </w:r>
        <w:r>
          <w:fldChar w:fldCharType="end"/>
        </w:r>
      </w:hyperlink>
    </w:p>
    <w:p w:rsidR="003663E4" w:rsidRDefault="00FD3F7D">
      <w:pPr>
        <w:pStyle w:val="31"/>
        <w:tabs>
          <w:tab w:val="right" w:leader="dot" w:pos="9070"/>
        </w:tabs>
        <w:ind w:left="840"/>
      </w:pPr>
      <w:hyperlink w:anchor="_Toc13338" w:history="1">
        <w:r>
          <w:rPr>
            <w:kern w:val="0"/>
            <w:szCs w:val="21"/>
          </w:rPr>
          <w:t>7.2.1</w:t>
        </w:r>
        <w:r>
          <w:rPr>
            <w:rFonts w:hint="eastAsia"/>
            <w:kern w:val="0"/>
            <w:szCs w:val="21"/>
          </w:rPr>
          <w:t xml:space="preserve"> </w:t>
        </w:r>
        <w:r>
          <w:rPr>
            <w:szCs w:val="21"/>
          </w:rPr>
          <w:t>资产负债表</w:t>
        </w:r>
        <w:r>
          <w:tab/>
        </w:r>
        <w:r>
          <w:fldChar w:fldCharType="begin"/>
        </w:r>
        <w:r>
          <w:instrText xml:space="preserve"> PAGEREF _Toc13338 \h </w:instrText>
        </w:r>
        <w:r>
          <w:fldChar w:fldCharType="separate"/>
        </w:r>
        <w:r>
          <w:t>51</w:t>
        </w:r>
        <w:r>
          <w:fldChar w:fldCharType="end"/>
        </w:r>
      </w:hyperlink>
    </w:p>
    <w:p w:rsidR="003663E4" w:rsidRDefault="00FD3F7D">
      <w:pPr>
        <w:pStyle w:val="31"/>
        <w:tabs>
          <w:tab w:val="right" w:leader="dot" w:pos="9070"/>
        </w:tabs>
        <w:ind w:left="840"/>
      </w:pPr>
      <w:hyperlink w:anchor="_Toc30928" w:history="1">
        <w:r>
          <w:rPr>
            <w:kern w:val="0"/>
            <w:szCs w:val="21"/>
          </w:rPr>
          <w:t>7.2.2</w:t>
        </w:r>
        <w:r>
          <w:rPr>
            <w:rFonts w:hint="eastAsia"/>
            <w:szCs w:val="21"/>
          </w:rPr>
          <w:t xml:space="preserve"> </w:t>
        </w:r>
        <w:r>
          <w:rPr>
            <w:szCs w:val="21"/>
          </w:rPr>
          <w:t>利润表</w:t>
        </w:r>
        <w:r>
          <w:tab/>
        </w:r>
        <w:r>
          <w:fldChar w:fldCharType="begin"/>
        </w:r>
        <w:r>
          <w:instrText xml:space="preserve"> PAGEREF _Toc30928 \h </w:instrText>
        </w:r>
        <w:r>
          <w:fldChar w:fldCharType="separate"/>
        </w:r>
        <w:r>
          <w:t>52</w:t>
        </w:r>
        <w:r>
          <w:fldChar w:fldCharType="end"/>
        </w:r>
      </w:hyperlink>
    </w:p>
    <w:p w:rsidR="003663E4" w:rsidRDefault="00FD3F7D">
      <w:pPr>
        <w:pStyle w:val="31"/>
        <w:tabs>
          <w:tab w:val="right" w:leader="dot" w:pos="9070"/>
        </w:tabs>
        <w:ind w:left="840"/>
      </w:pPr>
      <w:hyperlink w:anchor="_Toc7133" w:history="1">
        <w:r>
          <w:rPr>
            <w:kern w:val="0"/>
            <w:szCs w:val="21"/>
          </w:rPr>
          <w:t>7.2.3</w:t>
        </w:r>
        <w:r>
          <w:rPr>
            <w:szCs w:val="21"/>
          </w:rPr>
          <w:t xml:space="preserve"> </w:t>
        </w:r>
        <w:r>
          <w:rPr>
            <w:szCs w:val="21"/>
          </w:rPr>
          <w:t>所有者权益（基金净</w:t>
        </w:r>
        <w:r>
          <w:rPr>
            <w:szCs w:val="21"/>
          </w:rPr>
          <w:t>值）变动表</w:t>
        </w:r>
        <w:r>
          <w:tab/>
        </w:r>
        <w:r>
          <w:fldChar w:fldCharType="begin"/>
        </w:r>
        <w:r>
          <w:instrText xml:space="preserve"> PAGEREF _Toc7133 \h </w:instrText>
        </w:r>
        <w:r>
          <w:fldChar w:fldCharType="separate"/>
        </w:r>
        <w:r>
          <w:t>53</w:t>
        </w:r>
        <w:r>
          <w:fldChar w:fldCharType="end"/>
        </w:r>
      </w:hyperlink>
    </w:p>
    <w:p w:rsidR="003663E4" w:rsidRDefault="00FD3F7D">
      <w:pPr>
        <w:pStyle w:val="31"/>
        <w:tabs>
          <w:tab w:val="right" w:leader="dot" w:pos="9070"/>
        </w:tabs>
        <w:ind w:left="840"/>
      </w:pPr>
      <w:hyperlink w:anchor="_Toc11989" w:history="1">
        <w:r>
          <w:rPr>
            <w:kern w:val="0"/>
            <w:szCs w:val="21"/>
          </w:rPr>
          <w:t>7.2.4</w:t>
        </w:r>
        <w:r>
          <w:rPr>
            <w:rFonts w:hint="eastAsia"/>
            <w:kern w:val="0"/>
            <w:szCs w:val="21"/>
          </w:rPr>
          <w:t xml:space="preserve"> </w:t>
        </w:r>
        <w:r>
          <w:rPr>
            <w:kern w:val="0"/>
            <w:szCs w:val="21"/>
          </w:rPr>
          <w:t>报表附注</w:t>
        </w:r>
        <w:r>
          <w:tab/>
        </w:r>
        <w:r>
          <w:fldChar w:fldCharType="begin"/>
        </w:r>
        <w:r>
          <w:instrText xml:space="preserve"> PAGEREF _Toc11989 \h </w:instrText>
        </w:r>
        <w:r>
          <w:fldChar w:fldCharType="separate"/>
        </w:r>
        <w:r>
          <w:t>55</w:t>
        </w:r>
        <w:r>
          <w:fldChar w:fldCharType="end"/>
        </w:r>
      </w:hyperlink>
    </w:p>
    <w:p w:rsidR="003663E4" w:rsidRDefault="00FD3F7D">
      <w:pPr>
        <w:pStyle w:val="11"/>
        <w:tabs>
          <w:tab w:val="clear" w:pos="9072"/>
          <w:tab w:val="right" w:leader="dot" w:pos="9070"/>
        </w:tabs>
      </w:pPr>
      <w:hyperlink w:anchor="_Toc21119" w:history="1">
        <w:r>
          <w:rPr>
            <w:rFonts w:hint="eastAsia"/>
            <w:bCs/>
            <w:szCs w:val="21"/>
          </w:rPr>
          <w:t>§</w:t>
        </w:r>
        <w:r>
          <w:rPr>
            <w:rFonts w:hint="eastAsia"/>
            <w:bCs/>
            <w:szCs w:val="21"/>
          </w:rPr>
          <w:t xml:space="preserve">8 </w:t>
        </w:r>
        <w:r>
          <w:rPr>
            <w:rFonts w:hint="eastAsia"/>
            <w:bCs/>
            <w:szCs w:val="21"/>
          </w:rPr>
          <w:t>投资组合报告</w:t>
        </w:r>
        <w:r>
          <w:tab/>
        </w:r>
        <w:r>
          <w:fldChar w:fldCharType="begin"/>
        </w:r>
        <w:r>
          <w:instrText xml:space="preserve"> PAGEREF _Toc21119 \h </w:instrText>
        </w:r>
        <w:r>
          <w:fldChar w:fldCharType="separate"/>
        </w:r>
        <w:r>
          <w:t>76</w:t>
        </w:r>
        <w:r>
          <w:fldChar w:fldCharType="end"/>
        </w:r>
      </w:hyperlink>
    </w:p>
    <w:p w:rsidR="003663E4" w:rsidRDefault="00FD3F7D">
      <w:pPr>
        <w:pStyle w:val="23"/>
        <w:tabs>
          <w:tab w:val="clear" w:pos="9072"/>
          <w:tab w:val="right" w:leader="dot" w:pos="9070"/>
        </w:tabs>
      </w:pPr>
      <w:hyperlink w:anchor="_Toc7934" w:history="1">
        <w:r>
          <w:rPr>
            <w:rFonts w:eastAsiaTheme="minorEastAsia" w:hint="eastAsia"/>
          </w:rPr>
          <w:t>8.1</w:t>
        </w:r>
        <w:r>
          <w:rPr>
            <w:rFonts w:eastAsiaTheme="minorEastAsia"/>
          </w:rPr>
          <w:t xml:space="preserve"> </w:t>
        </w:r>
        <w:r>
          <w:rPr>
            <w:rFonts w:eastAsiaTheme="minorEastAsia"/>
          </w:rPr>
          <w:t>交银施罗德裕惠纯债债券型证券投资基金</w:t>
        </w:r>
        <w:r>
          <w:tab/>
        </w:r>
        <w:r>
          <w:fldChar w:fldCharType="begin"/>
        </w:r>
        <w:r>
          <w:instrText xml:space="preserve"> PAGEREF _Toc7934 \h </w:instrText>
        </w:r>
        <w:r>
          <w:fldChar w:fldCharType="separate"/>
        </w:r>
        <w:r>
          <w:t>76</w:t>
        </w:r>
        <w:r>
          <w:fldChar w:fldCharType="end"/>
        </w:r>
      </w:hyperlink>
    </w:p>
    <w:p w:rsidR="003663E4" w:rsidRDefault="00FD3F7D">
      <w:pPr>
        <w:pStyle w:val="31"/>
        <w:tabs>
          <w:tab w:val="right" w:leader="dot" w:pos="9070"/>
        </w:tabs>
        <w:ind w:left="840"/>
      </w:pPr>
      <w:hyperlink w:anchor="_Toc27519" w:history="1">
        <w:r>
          <w:rPr>
            <w:kern w:val="0"/>
            <w:szCs w:val="21"/>
          </w:rPr>
          <w:t>8.1.1</w:t>
        </w:r>
        <w:r>
          <w:rPr>
            <w:kern w:val="0"/>
            <w:szCs w:val="21"/>
          </w:rPr>
          <w:t xml:space="preserve"> </w:t>
        </w:r>
        <w:r>
          <w:rPr>
            <w:kern w:val="0"/>
            <w:szCs w:val="21"/>
          </w:rPr>
          <w:t>期末基金资产组合情况</w:t>
        </w:r>
        <w:r>
          <w:tab/>
        </w:r>
        <w:r>
          <w:fldChar w:fldCharType="begin"/>
        </w:r>
        <w:r>
          <w:instrText xml:space="preserve"> PAGEREF _Toc27519 \h </w:instrText>
        </w:r>
        <w:r>
          <w:fldChar w:fldCharType="separate"/>
        </w:r>
        <w:r>
          <w:t>76</w:t>
        </w:r>
        <w:r>
          <w:fldChar w:fldCharType="end"/>
        </w:r>
      </w:hyperlink>
    </w:p>
    <w:p w:rsidR="003663E4" w:rsidRDefault="00FD3F7D">
      <w:pPr>
        <w:pStyle w:val="31"/>
        <w:tabs>
          <w:tab w:val="right" w:leader="dot" w:pos="9070"/>
        </w:tabs>
        <w:ind w:left="840"/>
      </w:pPr>
      <w:hyperlink w:anchor="_Toc9904" w:history="1">
        <w:r>
          <w:rPr>
            <w:kern w:val="0"/>
            <w:szCs w:val="21"/>
          </w:rPr>
          <w:t xml:space="preserve">8.1.2 </w:t>
        </w:r>
        <w:r>
          <w:rPr>
            <w:rFonts w:hint="eastAsia"/>
            <w:kern w:val="0"/>
            <w:szCs w:val="21"/>
          </w:rPr>
          <w:t>报告</w:t>
        </w:r>
        <w:r>
          <w:rPr>
            <w:kern w:val="0"/>
            <w:szCs w:val="21"/>
          </w:rPr>
          <w:t>期末按行业分类的股票投资组合</w:t>
        </w:r>
        <w:r>
          <w:tab/>
        </w:r>
        <w:r>
          <w:fldChar w:fldCharType="begin"/>
        </w:r>
        <w:r>
          <w:instrText xml:space="preserve"> PAGEREF _Toc9904 \h </w:instrText>
        </w:r>
        <w:r>
          <w:fldChar w:fldCharType="separate"/>
        </w:r>
        <w:r>
          <w:t>77</w:t>
        </w:r>
        <w:r>
          <w:fldChar w:fldCharType="end"/>
        </w:r>
      </w:hyperlink>
    </w:p>
    <w:p w:rsidR="003663E4" w:rsidRDefault="00FD3F7D">
      <w:pPr>
        <w:pStyle w:val="31"/>
        <w:tabs>
          <w:tab w:val="right" w:leader="dot" w:pos="9070"/>
        </w:tabs>
        <w:ind w:left="840"/>
      </w:pPr>
      <w:hyperlink w:anchor="_Toc12012" w:history="1">
        <w:r>
          <w:rPr>
            <w:kern w:val="0"/>
            <w:szCs w:val="21"/>
          </w:rPr>
          <w:t xml:space="preserve">8.1.3 </w:t>
        </w:r>
        <w:r>
          <w:rPr>
            <w:kern w:val="0"/>
            <w:szCs w:val="21"/>
          </w:rPr>
          <w:t>期末按公允价值占基金资产净值比例大小排序的所有股票投资明细</w:t>
        </w:r>
        <w:r>
          <w:tab/>
        </w:r>
        <w:r>
          <w:fldChar w:fldCharType="begin"/>
        </w:r>
        <w:r>
          <w:instrText xml:space="preserve"> PAGEREF _Toc12012 \h </w:instrText>
        </w:r>
        <w:r>
          <w:fldChar w:fldCharType="separate"/>
        </w:r>
        <w:r>
          <w:t>77</w:t>
        </w:r>
        <w:r>
          <w:fldChar w:fldCharType="end"/>
        </w:r>
      </w:hyperlink>
    </w:p>
    <w:p w:rsidR="003663E4" w:rsidRDefault="00FD3F7D">
      <w:pPr>
        <w:pStyle w:val="31"/>
        <w:tabs>
          <w:tab w:val="right" w:leader="dot" w:pos="9070"/>
        </w:tabs>
        <w:ind w:left="840"/>
      </w:pPr>
      <w:hyperlink w:anchor="_Toc21761" w:history="1">
        <w:r>
          <w:rPr>
            <w:kern w:val="0"/>
            <w:szCs w:val="21"/>
          </w:rPr>
          <w:t xml:space="preserve">8.1.4 </w:t>
        </w:r>
        <w:r>
          <w:rPr>
            <w:kern w:val="0"/>
            <w:szCs w:val="21"/>
          </w:rPr>
          <w:t>报告期内股票投资组合的重</w:t>
        </w:r>
        <w:r>
          <w:rPr>
            <w:kern w:val="0"/>
            <w:szCs w:val="21"/>
          </w:rPr>
          <w:t>大变动</w:t>
        </w:r>
        <w:r>
          <w:tab/>
        </w:r>
        <w:r>
          <w:fldChar w:fldCharType="begin"/>
        </w:r>
        <w:r>
          <w:instrText xml:space="preserve"> PAGEREF _Toc21761 \h </w:instrText>
        </w:r>
        <w:r>
          <w:fldChar w:fldCharType="separate"/>
        </w:r>
        <w:r>
          <w:t>77</w:t>
        </w:r>
        <w:r>
          <w:fldChar w:fldCharType="end"/>
        </w:r>
      </w:hyperlink>
    </w:p>
    <w:p w:rsidR="003663E4" w:rsidRDefault="00FD3F7D">
      <w:pPr>
        <w:pStyle w:val="31"/>
        <w:tabs>
          <w:tab w:val="right" w:leader="dot" w:pos="9070"/>
        </w:tabs>
        <w:ind w:left="840"/>
      </w:pPr>
      <w:hyperlink w:anchor="_Toc8664" w:history="1">
        <w:r>
          <w:rPr>
            <w:kern w:val="0"/>
            <w:szCs w:val="21"/>
          </w:rPr>
          <w:t xml:space="preserve">8.1.5 </w:t>
        </w:r>
        <w:r>
          <w:rPr>
            <w:kern w:val="0"/>
            <w:szCs w:val="21"/>
          </w:rPr>
          <w:t>期末按债券品种分类的债券投资组合</w:t>
        </w:r>
        <w:r>
          <w:tab/>
        </w:r>
        <w:r>
          <w:fldChar w:fldCharType="begin"/>
        </w:r>
        <w:r>
          <w:instrText xml:space="preserve"> PAGEREF _Toc8664 \h </w:instrText>
        </w:r>
        <w:r>
          <w:fldChar w:fldCharType="separate"/>
        </w:r>
        <w:r>
          <w:t>77</w:t>
        </w:r>
        <w:r>
          <w:fldChar w:fldCharType="end"/>
        </w:r>
      </w:hyperlink>
    </w:p>
    <w:p w:rsidR="003663E4" w:rsidRDefault="00FD3F7D">
      <w:pPr>
        <w:pStyle w:val="31"/>
        <w:tabs>
          <w:tab w:val="right" w:leader="dot" w:pos="9070"/>
        </w:tabs>
        <w:ind w:left="840"/>
      </w:pPr>
      <w:hyperlink w:anchor="_Toc19389" w:history="1">
        <w:r>
          <w:rPr>
            <w:kern w:val="0"/>
            <w:szCs w:val="21"/>
          </w:rPr>
          <w:t>8</w:t>
        </w:r>
        <w:r>
          <w:rPr>
            <w:kern w:val="0"/>
            <w:szCs w:val="21"/>
          </w:rPr>
          <w:t xml:space="preserve">.1.6 </w:t>
        </w:r>
        <w:r>
          <w:rPr>
            <w:kern w:val="0"/>
            <w:szCs w:val="21"/>
          </w:rPr>
          <w:t>期末按公允价值占基金资产净值比例大小排序的前五名债券投资明细</w:t>
        </w:r>
        <w:r>
          <w:tab/>
        </w:r>
        <w:r>
          <w:fldChar w:fldCharType="begin"/>
        </w:r>
        <w:r>
          <w:instrText xml:space="preserve"> PAGEREF _Toc19389 \h </w:instrText>
        </w:r>
        <w:r>
          <w:fldChar w:fldCharType="separate"/>
        </w:r>
        <w:r>
          <w:t>77</w:t>
        </w:r>
        <w:r>
          <w:fldChar w:fldCharType="end"/>
        </w:r>
      </w:hyperlink>
    </w:p>
    <w:p w:rsidR="003663E4" w:rsidRDefault="00FD3F7D">
      <w:pPr>
        <w:pStyle w:val="31"/>
        <w:tabs>
          <w:tab w:val="right" w:leader="dot" w:pos="9070"/>
        </w:tabs>
        <w:ind w:left="840"/>
      </w:pPr>
      <w:hyperlink w:anchor="_Toc29635" w:history="1">
        <w:r>
          <w:rPr>
            <w:kern w:val="0"/>
            <w:szCs w:val="21"/>
          </w:rPr>
          <w:t xml:space="preserve">8.1.7 </w:t>
        </w:r>
        <w:r>
          <w:rPr>
            <w:kern w:val="0"/>
            <w:szCs w:val="21"/>
          </w:rPr>
          <w:t>期末按公允价值占基金资产净值比例大小排序的所有资产支持证券投资明细</w:t>
        </w:r>
        <w:r>
          <w:tab/>
        </w:r>
        <w:r>
          <w:fldChar w:fldCharType="begin"/>
        </w:r>
        <w:r>
          <w:instrText xml:space="preserve"> PAGEREF _Toc29635 \h </w:instrText>
        </w:r>
        <w:r>
          <w:fldChar w:fldCharType="separate"/>
        </w:r>
        <w:r>
          <w:t>78</w:t>
        </w:r>
        <w:r>
          <w:fldChar w:fldCharType="end"/>
        </w:r>
      </w:hyperlink>
    </w:p>
    <w:p w:rsidR="003663E4" w:rsidRDefault="00FD3F7D">
      <w:pPr>
        <w:pStyle w:val="31"/>
        <w:tabs>
          <w:tab w:val="right" w:leader="dot" w:pos="9070"/>
        </w:tabs>
        <w:ind w:left="840"/>
      </w:pPr>
      <w:hyperlink w:anchor="_Toc17857" w:history="1">
        <w:r>
          <w:rPr>
            <w:kern w:val="0"/>
            <w:szCs w:val="21"/>
          </w:rPr>
          <w:t xml:space="preserve">8.1.8 </w:t>
        </w:r>
        <w:r>
          <w:rPr>
            <w:kern w:val="0"/>
            <w:szCs w:val="21"/>
          </w:rPr>
          <w:t>报告期末按公允价值占基金资产净值比例大小排序的前五名贵金属投资明细</w:t>
        </w:r>
        <w:r>
          <w:tab/>
        </w:r>
        <w:r>
          <w:fldChar w:fldCharType="begin"/>
        </w:r>
        <w:r>
          <w:instrText xml:space="preserve"> PAGEREF _Toc17857 \h </w:instrText>
        </w:r>
        <w:r>
          <w:fldChar w:fldCharType="separate"/>
        </w:r>
        <w:r>
          <w:t>78</w:t>
        </w:r>
        <w:r>
          <w:fldChar w:fldCharType="end"/>
        </w:r>
      </w:hyperlink>
    </w:p>
    <w:p w:rsidR="003663E4" w:rsidRDefault="00FD3F7D">
      <w:pPr>
        <w:pStyle w:val="31"/>
        <w:tabs>
          <w:tab w:val="right" w:leader="dot" w:pos="9070"/>
        </w:tabs>
        <w:ind w:left="840"/>
      </w:pPr>
      <w:hyperlink w:anchor="_Toc4" w:history="1">
        <w:r>
          <w:rPr>
            <w:kern w:val="0"/>
            <w:szCs w:val="21"/>
          </w:rPr>
          <w:t xml:space="preserve">8.1.9 </w:t>
        </w:r>
        <w:r>
          <w:rPr>
            <w:kern w:val="0"/>
            <w:szCs w:val="21"/>
          </w:rPr>
          <w:t>期末按公允价值占基金资产净值比例大小排序的前五名权证投资明细</w:t>
        </w:r>
        <w:r>
          <w:tab/>
        </w:r>
        <w:r>
          <w:fldChar w:fldCharType="begin"/>
        </w:r>
        <w:r>
          <w:instrText xml:space="preserve"> PAGEREF _Toc4 </w:instrText>
        </w:r>
        <w:r>
          <w:instrText xml:space="preserve">\h </w:instrText>
        </w:r>
        <w:r>
          <w:fldChar w:fldCharType="separate"/>
        </w:r>
        <w:r>
          <w:t>78</w:t>
        </w:r>
        <w:r>
          <w:fldChar w:fldCharType="end"/>
        </w:r>
      </w:hyperlink>
    </w:p>
    <w:p w:rsidR="003663E4" w:rsidRDefault="00FD3F7D">
      <w:pPr>
        <w:pStyle w:val="31"/>
        <w:tabs>
          <w:tab w:val="right" w:leader="dot" w:pos="9070"/>
        </w:tabs>
        <w:ind w:left="840"/>
      </w:pPr>
      <w:hyperlink w:anchor="_Toc21811" w:history="1">
        <w:r>
          <w:rPr>
            <w:kern w:val="0"/>
            <w:szCs w:val="21"/>
          </w:rPr>
          <w:t xml:space="preserve">8.1.10 </w:t>
        </w:r>
        <w:r>
          <w:rPr>
            <w:kern w:val="0"/>
            <w:szCs w:val="21"/>
          </w:rPr>
          <w:t>报告期末本基金投资的股指期货交易情况说明</w:t>
        </w:r>
        <w:r>
          <w:tab/>
        </w:r>
        <w:r>
          <w:fldChar w:fldCharType="begin"/>
        </w:r>
        <w:r>
          <w:instrText xml:space="preserve"> PAGEREF _Toc21811 \h </w:instrText>
        </w:r>
        <w:r>
          <w:fldChar w:fldCharType="separate"/>
        </w:r>
        <w:r>
          <w:t>78</w:t>
        </w:r>
        <w:r>
          <w:fldChar w:fldCharType="end"/>
        </w:r>
      </w:hyperlink>
    </w:p>
    <w:p w:rsidR="003663E4" w:rsidRDefault="00FD3F7D">
      <w:pPr>
        <w:pStyle w:val="31"/>
        <w:tabs>
          <w:tab w:val="right" w:leader="dot" w:pos="9070"/>
        </w:tabs>
        <w:ind w:left="840"/>
      </w:pPr>
      <w:hyperlink w:anchor="_Toc19374" w:history="1">
        <w:r>
          <w:rPr>
            <w:kern w:val="0"/>
            <w:szCs w:val="21"/>
          </w:rPr>
          <w:t xml:space="preserve">8.1.11 </w:t>
        </w:r>
        <w:r>
          <w:rPr>
            <w:kern w:val="0"/>
            <w:szCs w:val="21"/>
          </w:rPr>
          <w:t>报告期末本基金投资的国债期货交易情况说明</w:t>
        </w:r>
        <w:r>
          <w:tab/>
        </w:r>
        <w:r>
          <w:fldChar w:fldCharType="begin"/>
        </w:r>
        <w:r>
          <w:instrText xml:space="preserve"> PAGEREF _Toc19374 \h </w:instrText>
        </w:r>
        <w:r>
          <w:fldChar w:fldCharType="separate"/>
        </w:r>
        <w:r>
          <w:t>78</w:t>
        </w:r>
        <w:r>
          <w:fldChar w:fldCharType="end"/>
        </w:r>
      </w:hyperlink>
    </w:p>
    <w:p w:rsidR="003663E4" w:rsidRDefault="00FD3F7D">
      <w:pPr>
        <w:pStyle w:val="31"/>
        <w:tabs>
          <w:tab w:val="right" w:leader="dot" w:pos="9070"/>
        </w:tabs>
        <w:ind w:left="840"/>
      </w:pPr>
      <w:hyperlink w:anchor="_Toc16468" w:history="1">
        <w:r>
          <w:rPr>
            <w:kern w:val="0"/>
            <w:szCs w:val="21"/>
          </w:rPr>
          <w:t xml:space="preserve">8.1.12 </w:t>
        </w:r>
        <w:r>
          <w:rPr>
            <w:kern w:val="0"/>
            <w:szCs w:val="21"/>
          </w:rPr>
          <w:t>投资组合报告附注</w:t>
        </w:r>
        <w:r>
          <w:tab/>
        </w:r>
        <w:r>
          <w:fldChar w:fldCharType="begin"/>
        </w:r>
        <w:r>
          <w:instrText xml:space="preserve"> PAGEREF _Toc16468 \h </w:instrText>
        </w:r>
        <w:r>
          <w:fldChar w:fldCharType="separate"/>
        </w:r>
        <w:r>
          <w:t>78</w:t>
        </w:r>
        <w:r>
          <w:fldChar w:fldCharType="end"/>
        </w:r>
      </w:hyperlink>
    </w:p>
    <w:p w:rsidR="003663E4" w:rsidRDefault="00FD3F7D">
      <w:pPr>
        <w:pStyle w:val="23"/>
        <w:tabs>
          <w:tab w:val="clear" w:pos="9072"/>
          <w:tab w:val="right" w:leader="dot" w:pos="9070"/>
        </w:tabs>
      </w:pPr>
      <w:hyperlink w:anchor="_Toc27537" w:history="1">
        <w:r>
          <w:rPr>
            <w:rFonts w:hint="eastAsia"/>
          </w:rPr>
          <w:t>8.2</w:t>
        </w:r>
        <w:r>
          <w:t xml:space="preserve"> </w:t>
        </w:r>
        <w:r>
          <w:t>交银施罗德理财</w:t>
        </w:r>
        <w:r>
          <w:t>60</w:t>
        </w:r>
        <w:r>
          <w:t>天债券型证券投资基金</w:t>
        </w:r>
        <w:r>
          <w:tab/>
        </w:r>
        <w:r>
          <w:fldChar w:fldCharType="begin"/>
        </w:r>
        <w:r>
          <w:instrText xml:space="preserve"> PAGEREF _Toc27537 \h </w:instrText>
        </w:r>
        <w:r>
          <w:fldChar w:fldCharType="separate"/>
        </w:r>
        <w:r>
          <w:t>79</w:t>
        </w:r>
        <w:r>
          <w:fldChar w:fldCharType="end"/>
        </w:r>
      </w:hyperlink>
    </w:p>
    <w:p w:rsidR="003663E4" w:rsidRDefault="00FD3F7D">
      <w:pPr>
        <w:pStyle w:val="31"/>
        <w:tabs>
          <w:tab w:val="right" w:leader="dot" w:pos="9070"/>
        </w:tabs>
        <w:ind w:left="840"/>
      </w:pPr>
      <w:hyperlink w:anchor="_Toc23038" w:history="1">
        <w:r>
          <w:rPr>
            <w:szCs w:val="21"/>
          </w:rPr>
          <w:t>8.2.1</w:t>
        </w:r>
        <w:r>
          <w:rPr>
            <w:rFonts w:hint="eastAsia"/>
            <w:szCs w:val="21"/>
          </w:rPr>
          <w:t xml:space="preserve"> </w:t>
        </w:r>
        <w:r>
          <w:rPr>
            <w:szCs w:val="21"/>
          </w:rPr>
          <w:t>期末基金资产组合情况</w:t>
        </w:r>
        <w:r>
          <w:tab/>
        </w:r>
        <w:r>
          <w:fldChar w:fldCharType="begin"/>
        </w:r>
        <w:r>
          <w:instrText xml:space="preserve"> PAGEREF _Toc23038 \h </w:instrText>
        </w:r>
        <w:r>
          <w:fldChar w:fldCharType="separate"/>
        </w:r>
        <w:r>
          <w:t>79</w:t>
        </w:r>
        <w:r>
          <w:fldChar w:fldCharType="end"/>
        </w:r>
      </w:hyperlink>
    </w:p>
    <w:p w:rsidR="003663E4" w:rsidRDefault="00FD3F7D">
      <w:pPr>
        <w:pStyle w:val="31"/>
        <w:tabs>
          <w:tab w:val="right" w:leader="dot" w:pos="9070"/>
        </w:tabs>
        <w:ind w:left="840"/>
      </w:pPr>
      <w:hyperlink w:anchor="_Toc23358" w:history="1">
        <w:r>
          <w:rPr>
            <w:kern w:val="0"/>
            <w:szCs w:val="21"/>
          </w:rPr>
          <w:t>8.2.2</w:t>
        </w:r>
        <w:r>
          <w:rPr>
            <w:rFonts w:hint="eastAsia"/>
            <w:kern w:val="0"/>
            <w:szCs w:val="21"/>
          </w:rPr>
          <w:t xml:space="preserve"> </w:t>
        </w:r>
        <w:r>
          <w:rPr>
            <w:kern w:val="0"/>
            <w:szCs w:val="21"/>
          </w:rPr>
          <w:t>债券回购融资情况</w:t>
        </w:r>
        <w:r>
          <w:tab/>
        </w:r>
        <w:r>
          <w:fldChar w:fldCharType="begin"/>
        </w:r>
        <w:r>
          <w:instrText xml:space="preserve"> PAGEREF _Toc23358 \h </w:instrText>
        </w:r>
        <w:r>
          <w:fldChar w:fldCharType="separate"/>
        </w:r>
        <w:r>
          <w:t>79</w:t>
        </w:r>
        <w:r>
          <w:fldChar w:fldCharType="end"/>
        </w:r>
      </w:hyperlink>
    </w:p>
    <w:p w:rsidR="003663E4" w:rsidRDefault="00FD3F7D">
      <w:pPr>
        <w:pStyle w:val="31"/>
        <w:tabs>
          <w:tab w:val="right" w:leader="dot" w:pos="9070"/>
        </w:tabs>
        <w:ind w:left="840"/>
      </w:pPr>
      <w:hyperlink w:anchor="_Toc23317" w:history="1">
        <w:r>
          <w:rPr>
            <w:kern w:val="0"/>
            <w:szCs w:val="21"/>
          </w:rPr>
          <w:t>债券正回购的资金余额超过基金资产净值的</w:t>
        </w:r>
        <w:r>
          <w:rPr>
            <w:kern w:val="0"/>
            <w:szCs w:val="21"/>
          </w:rPr>
          <w:t>20%</w:t>
        </w:r>
        <w:r>
          <w:rPr>
            <w:kern w:val="0"/>
            <w:szCs w:val="21"/>
          </w:rPr>
          <w:t>的说明</w:t>
        </w:r>
        <w:r>
          <w:tab/>
        </w:r>
        <w:r>
          <w:fldChar w:fldCharType="begin"/>
        </w:r>
        <w:r>
          <w:instrText xml:space="preserve"> PAGEREF _Toc23317 \h </w:instrText>
        </w:r>
        <w:r>
          <w:fldChar w:fldCharType="separate"/>
        </w:r>
        <w:r>
          <w:t>80</w:t>
        </w:r>
        <w:r>
          <w:fldChar w:fldCharType="end"/>
        </w:r>
      </w:hyperlink>
    </w:p>
    <w:p w:rsidR="003663E4" w:rsidRDefault="00FD3F7D">
      <w:pPr>
        <w:pStyle w:val="31"/>
        <w:tabs>
          <w:tab w:val="right" w:leader="dot" w:pos="9070"/>
        </w:tabs>
        <w:ind w:left="840"/>
      </w:pPr>
      <w:hyperlink w:anchor="_Toc21821" w:history="1">
        <w:r>
          <w:rPr>
            <w:kern w:val="0"/>
            <w:szCs w:val="21"/>
          </w:rPr>
          <w:t>8.2.3</w:t>
        </w:r>
        <w:r>
          <w:rPr>
            <w:rFonts w:hint="eastAsia"/>
            <w:kern w:val="0"/>
            <w:szCs w:val="21"/>
          </w:rPr>
          <w:t xml:space="preserve"> </w:t>
        </w:r>
        <w:r>
          <w:rPr>
            <w:kern w:val="0"/>
            <w:szCs w:val="21"/>
          </w:rPr>
          <w:t>基金投资组合平均剩余期限</w:t>
        </w:r>
        <w:r>
          <w:tab/>
        </w:r>
        <w:r>
          <w:fldChar w:fldCharType="begin"/>
        </w:r>
        <w:r>
          <w:instrText xml:space="preserve"> PAGEREF _Toc21821 \h </w:instrText>
        </w:r>
        <w:r>
          <w:fldChar w:fldCharType="separate"/>
        </w:r>
        <w:r>
          <w:t>80</w:t>
        </w:r>
        <w:r>
          <w:fldChar w:fldCharType="end"/>
        </w:r>
      </w:hyperlink>
    </w:p>
    <w:p w:rsidR="003663E4" w:rsidRDefault="00FD3F7D">
      <w:pPr>
        <w:pStyle w:val="31"/>
        <w:tabs>
          <w:tab w:val="right" w:leader="dot" w:pos="9070"/>
        </w:tabs>
        <w:ind w:left="840"/>
      </w:pPr>
      <w:hyperlink w:anchor="_Toc11373" w:history="1">
        <w:r>
          <w:rPr>
            <w:kern w:val="0"/>
            <w:szCs w:val="21"/>
          </w:rPr>
          <w:t>8.2.4</w:t>
        </w:r>
        <w:r>
          <w:rPr>
            <w:rFonts w:hint="eastAsia"/>
            <w:kern w:val="0"/>
            <w:szCs w:val="21"/>
          </w:rPr>
          <w:t xml:space="preserve"> </w:t>
        </w:r>
        <w:r>
          <w:rPr>
            <w:rFonts w:hint="eastAsia"/>
            <w:kern w:val="0"/>
            <w:szCs w:val="21"/>
          </w:rPr>
          <w:t>报告期内投资组合平均剩余存续期超过</w:t>
        </w:r>
        <w:r>
          <w:rPr>
            <w:rFonts w:hint="eastAsia"/>
            <w:kern w:val="0"/>
            <w:szCs w:val="21"/>
          </w:rPr>
          <w:t>240</w:t>
        </w:r>
        <w:r>
          <w:rPr>
            <w:rFonts w:hint="eastAsia"/>
            <w:kern w:val="0"/>
            <w:szCs w:val="21"/>
          </w:rPr>
          <w:t>天情况说明</w:t>
        </w:r>
        <w:r>
          <w:tab/>
        </w:r>
        <w:r>
          <w:fldChar w:fldCharType="begin"/>
        </w:r>
        <w:r>
          <w:instrText xml:space="preserve"> PAGEREF _Toc11373 \h </w:instrText>
        </w:r>
        <w:r>
          <w:fldChar w:fldCharType="separate"/>
        </w:r>
        <w:r>
          <w:t>81</w:t>
        </w:r>
        <w:r>
          <w:fldChar w:fldCharType="end"/>
        </w:r>
      </w:hyperlink>
    </w:p>
    <w:p w:rsidR="003663E4" w:rsidRDefault="00FD3F7D">
      <w:pPr>
        <w:pStyle w:val="31"/>
        <w:tabs>
          <w:tab w:val="right" w:leader="dot" w:pos="9070"/>
        </w:tabs>
        <w:ind w:left="840"/>
      </w:pPr>
      <w:hyperlink w:anchor="_Toc32210" w:history="1">
        <w:r>
          <w:rPr>
            <w:kern w:val="0"/>
            <w:szCs w:val="21"/>
          </w:rPr>
          <w:t>8.2.5</w:t>
        </w:r>
        <w:r>
          <w:rPr>
            <w:rFonts w:hint="eastAsia"/>
            <w:kern w:val="0"/>
            <w:szCs w:val="21"/>
          </w:rPr>
          <w:t xml:space="preserve"> </w:t>
        </w:r>
        <w:r>
          <w:rPr>
            <w:rFonts w:hint="eastAsia"/>
            <w:kern w:val="0"/>
            <w:szCs w:val="21"/>
          </w:rPr>
          <w:t>期末按债券品种分类的债券投资组合</w:t>
        </w:r>
        <w:r>
          <w:tab/>
        </w:r>
        <w:r>
          <w:fldChar w:fldCharType="begin"/>
        </w:r>
        <w:r>
          <w:instrText xml:space="preserve"> PAGEREF _Toc32210 \h </w:instrText>
        </w:r>
        <w:r>
          <w:fldChar w:fldCharType="separate"/>
        </w:r>
        <w:r>
          <w:t>81</w:t>
        </w:r>
        <w:r>
          <w:fldChar w:fldCharType="end"/>
        </w:r>
      </w:hyperlink>
    </w:p>
    <w:p w:rsidR="003663E4" w:rsidRDefault="00FD3F7D">
      <w:pPr>
        <w:pStyle w:val="31"/>
        <w:tabs>
          <w:tab w:val="right" w:leader="dot" w:pos="9070"/>
        </w:tabs>
        <w:ind w:left="840"/>
      </w:pPr>
      <w:hyperlink w:anchor="_Toc19702" w:history="1">
        <w:r>
          <w:rPr>
            <w:kern w:val="0"/>
            <w:szCs w:val="21"/>
          </w:rPr>
          <w:t>8.2.6</w:t>
        </w:r>
        <w:r>
          <w:rPr>
            <w:rFonts w:hint="eastAsia"/>
            <w:kern w:val="0"/>
            <w:szCs w:val="21"/>
          </w:rPr>
          <w:t xml:space="preserve"> </w:t>
        </w:r>
        <w:r>
          <w:rPr>
            <w:kern w:val="0"/>
            <w:szCs w:val="21"/>
          </w:rPr>
          <w:t>期末按摊余成本占基金资产净值比例大小排</w:t>
        </w:r>
        <w:r>
          <w:rPr>
            <w:rFonts w:hint="eastAsia"/>
            <w:kern w:val="0"/>
            <w:szCs w:val="21"/>
          </w:rPr>
          <w:t>名</w:t>
        </w:r>
        <w:r>
          <w:rPr>
            <w:kern w:val="0"/>
            <w:szCs w:val="21"/>
          </w:rPr>
          <w:t>的前十名</w:t>
        </w:r>
        <w:r>
          <w:rPr>
            <w:kern w:val="0"/>
            <w:szCs w:val="21"/>
          </w:rPr>
          <w:t>债券投资明细</w:t>
        </w:r>
        <w:r>
          <w:tab/>
        </w:r>
        <w:r>
          <w:fldChar w:fldCharType="begin"/>
        </w:r>
        <w:r>
          <w:instrText xml:space="preserve"> PAGEREF _Toc19702 \h </w:instrText>
        </w:r>
        <w:r>
          <w:fldChar w:fldCharType="separate"/>
        </w:r>
        <w:r>
          <w:t>82</w:t>
        </w:r>
        <w:r>
          <w:fldChar w:fldCharType="end"/>
        </w:r>
      </w:hyperlink>
    </w:p>
    <w:p w:rsidR="003663E4" w:rsidRDefault="00FD3F7D">
      <w:pPr>
        <w:pStyle w:val="31"/>
        <w:tabs>
          <w:tab w:val="right" w:leader="dot" w:pos="9070"/>
        </w:tabs>
        <w:ind w:left="840"/>
      </w:pPr>
      <w:hyperlink w:anchor="_Toc32001" w:history="1">
        <w:r>
          <w:rPr>
            <w:kern w:val="0"/>
            <w:szCs w:val="21"/>
          </w:rPr>
          <w:t>8.2.7</w:t>
        </w:r>
        <w:r>
          <w:rPr>
            <w:rFonts w:hint="eastAsia"/>
            <w:kern w:val="0"/>
            <w:szCs w:val="21"/>
          </w:rPr>
          <w:t xml:space="preserve"> </w:t>
        </w:r>
        <w:r>
          <w:rPr>
            <w:kern w:val="0"/>
            <w:szCs w:val="21"/>
          </w:rPr>
          <w:t>“</w:t>
        </w:r>
        <w:r>
          <w:rPr>
            <w:kern w:val="0"/>
            <w:szCs w:val="21"/>
          </w:rPr>
          <w:t>影子定价</w:t>
        </w:r>
        <w:r>
          <w:rPr>
            <w:kern w:val="0"/>
            <w:szCs w:val="21"/>
          </w:rPr>
          <w:t>”</w:t>
        </w:r>
        <w:r>
          <w:rPr>
            <w:kern w:val="0"/>
            <w:szCs w:val="21"/>
          </w:rPr>
          <w:t>与</w:t>
        </w:r>
        <w:r>
          <w:rPr>
            <w:kern w:val="0"/>
            <w:szCs w:val="21"/>
          </w:rPr>
          <w:t>“</w:t>
        </w:r>
        <w:r>
          <w:rPr>
            <w:kern w:val="0"/>
            <w:szCs w:val="21"/>
          </w:rPr>
          <w:t>摊余成本法</w:t>
        </w:r>
        <w:r>
          <w:rPr>
            <w:kern w:val="0"/>
            <w:szCs w:val="21"/>
          </w:rPr>
          <w:t>”</w:t>
        </w:r>
        <w:r>
          <w:rPr>
            <w:kern w:val="0"/>
            <w:szCs w:val="21"/>
          </w:rPr>
          <w:t>确定的基金资产净值的偏离</w:t>
        </w:r>
        <w:r>
          <w:tab/>
        </w:r>
        <w:r>
          <w:fldChar w:fldCharType="begin"/>
        </w:r>
        <w:r>
          <w:instrText xml:space="preserve"> PAGEREF _Toc32001 \h </w:instrText>
        </w:r>
        <w:r>
          <w:fldChar w:fldCharType="separate"/>
        </w:r>
        <w:r>
          <w:t>82</w:t>
        </w:r>
        <w:r>
          <w:fldChar w:fldCharType="end"/>
        </w:r>
      </w:hyperlink>
    </w:p>
    <w:p w:rsidR="003663E4" w:rsidRDefault="00FD3F7D">
      <w:pPr>
        <w:pStyle w:val="31"/>
        <w:tabs>
          <w:tab w:val="right" w:leader="dot" w:pos="9070"/>
        </w:tabs>
        <w:ind w:left="840"/>
      </w:pPr>
      <w:hyperlink w:anchor="_Toc28951" w:history="1">
        <w:r>
          <w:rPr>
            <w:kern w:val="0"/>
            <w:szCs w:val="21"/>
          </w:rPr>
          <w:t>8.2.8</w:t>
        </w:r>
        <w:r>
          <w:rPr>
            <w:rFonts w:hint="eastAsia"/>
            <w:kern w:val="0"/>
            <w:szCs w:val="21"/>
          </w:rPr>
          <w:t xml:space="preserve"> </w:t>
        </w:r>
        <w:r>
          <w:rPr>
            <w:rFonts w:hint="eastAsia"/>
            <w:kern w:val="0"/>
            <w:szCs w:val="21"/>
          </w:rPr>
          <w:t>期末按公允价值占基金资产净值比例大小排名的所有资产支持证券投资明细</w:t>
        </w:r>
        <w:r>
          <w:tab/>
        </w:r>
        <w:r>
          <w:fldChar w:fldCharType="begin"/>
        </w:r>
        <w:r>
          <w:instrText xml:space="preserve"> PAGEREF _Toc28951 \h </w:instrText>
        </w:r>
        <w:r>
          <w:fldChar w:fldCharType="separate"/>
        </w:r>
        <w:r>
          <w:t>82</w:t>
        </w:r>
        <w:r>
          <w:fldChar w:fldCharType="end"/>
        </w:r>
      </w:hyperlink>
    </w:p>
    <w:p w:rsidR="003663E4" w:rsidRDefault="00FD3F7D">
      <w:pPr>
        <w:pStyle w:val="31"/>
        <w:tabs>
          <w:tab w:val="right" w:leader="dot" w:pos="9070"/>
        </w:tabs>
        <w:ind w:left="840"/>
      </w:pPr>
      <w:hyperlink w:anchor="_Toc14159" w:history="1">
        <w:r>
          <w:rPr>
            <w:kern w:val="0"/>
            <w:szCs w:val="21"/>
          </w:rPr>
          <w:t>8.2.9</w:t>
        </w:r>
        <w:r>
          <w:rPr>
            <w:rFonts w:hint="eastAsia"/>
            <w:kern w:val="0"/>
            <w:szCs w:val="21"/>
          </w:rPr>
          <w:t xml:space="preserve"> </w:t>
        </w:r>
        <w:r>
          <w:rPr>
            <w:rFonts w:hint="eastAsia"/>
            <w:kern w:val="0"/>
            <w:szCs w:val="21"/>
          </w:rPr>
          <w:t>投资组合报告附注</w:t>
        </w:r>
        <w:r>
          <w:tab/>
        </w:r>
        <w:r>
          <w:fldChar w:fldCharType="begin"/>
        </w:r>
        <w:r>
          <w:instrText xml:space="preserve"> PAGEREF _Toc14159 \h </w:instrText>
        </w:r>
        <w:r>
          <w:fldChar w:fldCharType="separate"/>
        </w:r>
        <w:r>
          <w:t>82</w:t>
        </w:r>
        <w:r>
          <w:fldChar w:fldCharType="end"/>
        </w:r>
      </w:hyperlink>
    </w:p>
    <w:p w:rsidR="003663E4" w:rsidRDefault="00FD3F7D">
      <w:pPr>
        <w:pStyle w:val="11"/>
        <w:tabs>
          <w:tab w:val="clear" w:pos="9072"/>
          <w:tab w:val="right" w:leader="dot" w:pos="9070"/>
        </w:tabs>
      </w:pPr>
      <w:hyperlink w:anchor="_Toc16496" w:history="1">
        <w:r>
          <w:rPr>
            <w:rFonts w:hint="eastAsia"/>
            <w:bCs/>
            <w:szCs w:val="21"/>
          </w:rPr>
          <w:t>§</w:t>
        </w:r>
        <w:r>
          <w:rPr>
            <w:rFonts w:hint="eastAsia"/>
            <w:bCs/>
            <w:szCs w:val="21"/>
          </w:rPr>
          <w:t xml:space="preserve">9 </w:t>
        </w:r>
        <w:r>
          <w:rPr>
            <w:rFonts w:hint="eastAsia"/>
            <w:bCs/>
            <w:szCs w:val="21"/>
          </w:rPr>
          <w:t>基金份额持有人信息</w:t>
        </w:r>
        <w:r>
          <w:tab/>
        </w:r>
        <w:r>
          <w:fldChar w:fldCharType="begin"/>
        </w:r>
        <w:r>
          <w:instrText xml:space="preserve"> PAGEREF _Toc16496 \h </w:instrText>
        </w:r>
        <w:r>
          <w:fldChar w:fldCharType="separate"/>
        </w:r>
        <w:r>
          <w:t>83</w:t>
        </w:r>
        <w:r>
          <w:fldChar w:fldCharType="end"/>
        </w:r>
      </w:hyperlink>
    </w:p>
    <w:p w:rsidR="003663E4" w:rsidRDefault="00FD3F7D">
      <w:pPr>
        <w:pStyle w:val="23"/>
        <w:tabs>
          <w:tab w:val="clear" w:pos="9072"/>
          <w:tab w:val="right" w:leader="dot" w:pos="9070"/>
        </w:tabs>
      </w:pPr>
      <w:hyperlink w:anchor="_Toc8093" w:history="1">
        <w:r>
          <w:t xml:space="preserve">9.1 </w:t>
        </w:r>
        <w:r>
          <w:t>交银施罗德裕惠纯债债券型证券投资基金</w:t>
        </w:r>
        <w:r>
          <w:tab/>
        </w:r>
        <w:r>
          <w:fldChar w:fldCharType="begin"/>
        </w:r>
        <w:r>
          <w:instrText xml:space="preserve"> PAGEREF _Toc8093 \h </w:instrText>
        </w:r>
        <w:r>
          <w:fldChar w:fldCharType="separate"/>
        </w:r>
        <w:r>
          <w:t>83</w:t>
        </w:r>
        <w:r>
          <w:fldChar w:fldCharType="end"/>
        </w:r>
      </w:hyperlink>
    </w:p>
    <w:p w:rsidR="003663E4" w:rsidRDefault="00FD3F7D">
      <w:pPr>
        <w:pStyle w:val="31"/>
        <w:tabs>
          <w:tab w:val="right" w:leader="dot" w:pos="9070"/>
        </w:tabs>
        <w:ind w:left="840"/>
      </w:pPr>
      <w:hyperlink w:anchor="_Toc10391" w:history="1">
        <w:r>
          <w:rPr>
            <w:kern w:val="0"/>
            <w:szCs w:val="21"/>
          </w:rPr>
          <w:t xml:space="preserve">9.1.1 </w:t>
        </w:r>
        <w:r>
          <w:rPr>
            <w:kern w:val="0"/>
            <w:szCs w:val="21"/>
          </w:rPr>
          <w:t>期末基金份额持有人户数及持有人结构</w:t>
        </w:r>
        <w:r>
          <w:tab/>
        </w:r>
        <w:r>
          <w:fldChar w:fldCharType="begin"/>
        </w:r>
        <w:r>
          <w:instrText xml:space="preserve"> PAGEREF _Toc10391 \h </w:instrText>
        </w:r>
        <w:r>
          <w:fldChar w:fldCharType="separate"/>
        </w:r>
        <w:r>
          <w:t>83</w:t>
        </w:r>
        <w:r>
          <w:fldChar w:fldCharType="end"/>
        </w:r>
      </w:hyperlink>
    </w:p>
    <w:p w:rsidR="003663E4" w:rsidRDefault="00FD3F7D">
      <w:pPr>
        <w:pStyle w:val="31"/>
        <w:tabs>
          <w:tab w:val="right" w:leader="dot" w:pos="9070"/>
        </w:tabs>
        <w:ind w:left="840"/>
      </w:pPr>
      <w:hyperlink w:anchor="_Toc6041" w:history="1">
        <w:r>
          <w:rPr>
            <w:kern w:val="0"/>
            <w:szCs w:val="21"/>
          </w:rPr>
          <w:t xml:space="preserve">9.1.2 </w:t>
        </w:r>
        <w:r>
          <w:rPr>
            <w:kern w:val="0"/>
            <w:szCs w:val="21"/>
          </w:rPr>
          <w:t>期末基金管理人的从业人员持有本基金的情况</w:t>
        </w:r>
        <w:r>
          <w:tab/>
        </w:r>
        <w:r>
          <w:fldChar w:fldCharType="begin"/>
        </w:r>
        <w:r>
          <w:instrText xml:space="preserve"> PAGEREF _Toc6041 \h </w:instrText>
        </w:r>
        <w:r>
          <w:fldChar w:fldCharType="separate"/>
        </w:r>
        <w:r>
          <w:t>83</w:t>
        </w:r>
        <w:r>
          <w:fldChar w:fldCharType="end"/>
        </w:r>
      </w:hyperlink>
    </w:p>
    <w:p w:rsidR="003663E4" w:rsidRDefault="00FD3F7D">
      <w:pPr>
        <w:pStyle w:val="31"/>
        <w:tabs>
          <w:tab w:val="right" w:leader="dot" w:pos="9070"/>
        </w:tabs>
        <w:ind w:left="840"/>
      </w:pPr>
      <w:hyperlink w:anchor="_Toc29816" w:history="1">
        <w:r>
          <w:rPr>
            <w:kern w:val="0"/>
            <w:szCs w:val="21"/>
          </w:rPr>
          <w:t>9.1.3</w:t>
        </w:r>
        <w:r>
          <w:rPr>
            <w:rFonts w:hint="eastAsia"/>
            <w:kern w:val="0"/>
            <w:szCs w:val="21"/>
          </w:rPr>
          <w:t xml:space="preserve"> </w:t>
        </w:r>
        <w:r>
          <w:rPr>
            <w:kern w:val="0"/>
            <w:szCs w:val="21"/>
          </w:rPr>
          <w:t>期末基金管理人的从业人员持有本开放式基金份额总</w:t>
        </w:r>
        <w:r>
          <w:rPr>
            <w:kern w:val="0"/>
            <w:szCs w:val="21"/>
          </w:rPr>
          <w:t>量区间情况</w:t>
        </w:r>
        <w:r>
          <w:tab/>
        </w:r>
        <w:r>
          <w:fldChar w:fldCharType="begin"/>
        </w:r>
        <w:r>
          <w:instrText xml:space="preserve"> PAGEREF _Toc29816 \h </w:instrText>
        </w:r>
        <w:r>
          <w:fldChar w:fldCharType="separate"/>
        </w:r>
        <w:r>
          <w:t>83</w:t>
        </w:r>
        <w:r>
          <w:fldChar w:fldCharType="end"/>
        </w:r>
      </w:hyperlink>
    </w:p>
    <w:p w:rsidR="003663E4" w:rsidRDefault="00FD3F7D">
      <w:pPr>
        <w:pStyle w:val="23"/>
        <w:tabs>
          <w:tab w:val="clear" w:pos="9072"/>
          <w:tab w:val="right" w:leader="dot" w:pos="9070"/>
        </w:tabs>
      </w:pPr>
      <w:hyperlink w:anchor="_Toc18712" w:history="1">
        <w:r>
          <w:t xml:space="preserve">9.2 </w:t>
        </w:r>
        <w:r>
          <w:t>交银施罗德理财</w:t>
        </w:r>
        <w:r>
          <w:t>60</w:t>
        </w:r>
        <w:r>
          <w:t>天债券型证券投资基金</w:t>
        </w:r>
        <w:r>
          <w:tab/>
        </w:r>
        <w:r>
          <w:fldChar w:fldCharType="begin"/>
        </w:r>
        <w:r>
          <w:instrText xml:space="preserve"> PAGEREF _Toc18712 \h </w:instrText>
        </w:r>
        <w:r>
          <w:fldChar w:fldCharType="separate"/>
        </w:r>
        <w:r>
          <w:t>84</w:t>
        </w:r>
        <w:r>
          <w:fldChar w:fldCharType="end"/>
        </w:r>
      </w:hyperlink>
    </w:p>
    <w:p w:rsidR="003663E4" w:rsidRDefault="00FD3F7D">
      <w:pPr>
        <w:pStyle w:val="31"/>
        <w:tabs>
          <w:tab w:val="right" w:leader="dot" w:pos="9070"/>
        </w:tabs>
        <w:ind w:left="840"/>
      </w:pPr>
      <w:hyperlink w:anchor="_Toc3754" w:history="1">
        <w:r>
          <w:rPr>
            <w:kern w:val="0"/>
            <w:szCs w:val="21"/>
          </w:rPr>
          <w:t xml:space="preserve">9.2.1 </w:t>
        </w:r>
        <w:r>
          <w:rPr>
            <w:kern w:val="0"/>
            <w:szCs w:val="21"/>
          </w:rPr>
          <w:t>期末基金份额持有人户数及持有人结构</w:t>
        </w:r>
        <w:r>
          <w:tab/>
        </w:r>
        <w:r>
          <w:fldChar w:fldCharType="begin"/>
        </w:r>
        <w:r>
          <w:instrText xml:space="preserve"> PAGEREF _Toc3754 \h </w:instrText>
        </w:r>
        <w:r>
          <w:fldChar w:fldCharType="separate"/>
        </w:r>
        <w:r>
          <w:t>84</w:t>
        </w:r>
        <w:r>
          <w:fldChar w:fldCharType="end"/>
        </w:r>
      </w:hyperlink>
    </w:p>
    <w:p w:rsidR="003663E4" w:rsidRDefault="00FD3F7D">
      <w:pPr>
        <w:pStyle w:val="31"/>
        <w:tabs>
          <w:tab w:val="right" w:leader="dot" w:pos="9070"/>
        </w:tabs>
        <w:ind w:left="840"/>
      </w:pPr>
      <w:hyperlink w:anchor="_Toc9234" w:history="1">
        <w:r>
          <w:rPr>
            <w:rFonts w:eastAsiaTheme="minorEastAsia"/>
            <w:kern w:val="0"/>
            <w:szCs w:val="21"/>
          </w:rPr>
          <w:t xml:space="preserve">9.2.2 </w:t>
        </w:r>
        <w:r>
          <w:rPr>
            <w:rFonts w:eastAsiaTheme="minorEastAsia"/>
            <w:kern w:val="0"/>
            <w:szCs w:val="21"/>
          </w:rPr>
          <w:t>期末基金管理人的从业人员持有本基金的情况</w:t>
        </w:r>
        <w:r>
          <w:tab/>
        </w:r>
        <w:r>
          <w:fldChar w:fldCharType="begin"/>
        </w:r>
        <w:r>
          <w:instrText xml:space="preserve"> PAGEREF _Toc9234 \h </w:instrText>
        </w:r>
        <w:r>
          <w:fldChar w:fldCharType="separate"/>
        </w:r>
        <w:r>
          <w:t>84</w:t>
        </w:r>
        <w:r>
          <w:fldChar w:fldCharType="end"/>
        </w:r>
      </w:hyperlink>
    </w:p>
    <w:p w:rsidR="003663E4" w:rsidRDefault="00FD3F7D">
      <w:pPr>
        <w:pStyle w:val="31"/>
        <w:tabs>
          <w:tab w:val="right" w:leader="dot" w:pos="9070"/>
        </w:tabs>
        <w:ind w:left="840"/>
      </w:pPr>
      <w:hyperlink w:anchor="_Toc24629" w:history="1">
        <w:r>
          <w:rPr>
            <w:kern w:val="0"/>
            <w:szCs w:val="21"/>
          </w:rPr>
          <w:t>9.2.3</w:t>
        </w:r>
        <w:r>
          <w:rPr>
            <w:rFonts w:hint="eastAsia"/>
            <w:kern w:val="0"/>
            <w:szCs w:val="21"/>
          </w:rPr>
          <w:t xml:space="preserve"> </w:t>
        </w:r>
        <w:r>
          <w:rPr>
            <w:kern w:val="0"/>
            <w:szCs w:val="21"/>
          </w:rPr>
          <w:t>期末基金管理人的从业人员持有本开放式基金份额总量区间情况</w:t>
        </w:r>
        <w:r>
          <w:tab/>
        </w:r>
        <w:r>
          <w:fldChar w:fldCharType="begin"/>
        </w:r>
        <w:r>
          <w:instrText xml:space="preserve"> PAGEREF _Toc24629 \h </w:instrText>
        </w:r>
        <w:r>
          <w:fldChar w:fldCharType="separate"/>
        </w:r>
        <w:r>
          <w:t>84</w:t>
        </w:r>
        <w:r>
          <w:fldChar w:fldCharType="end"/>
        </w:r>
      </w:hyperlink>
    </w:p>
    <w:p w:rsidR="003663E4" w:rsidRDefault="00FD3F7D">
      <w:pPr>
        <w:pStyle w:val="11"/>
        <w:tabs>
          <w:tab w:val="clear" w:pos="9072"/>
          <w:tab w:val="right" w:leader="dot" w:pos="9070"/>
        </w:tabs>
      </w:pPr>
      <w:hyperlink w:anchor="_Toc27304" w:history="1">
        <w:r>
          <w:rPr>
            <w:rFonts w:hint="eastAsia"/>
            <w:bCs/>
            <w:szCs w:val="21"/>
          </w:rPr>
          <w:t>§</w:t>
        </w:r>
        <w:r>
          <w:rPr>
            <w:rFonts w:hint="eastAsia"/>
            <w:bCs/>
            <w:szCs w:val="21"/>
          </w:rPr>
          <w:t xml:space="preserve">10 </w:t>
        </w:r>
        <w:r>
          <w:rPr>
            <w:rFonts w:hint="eastAsia"/>
            <w:bCs/>
            <w:szCs w:val="21"/>
          </w:rPr>
          <w:t>开放式基金份额变动</w:t>
        </w:r>
        <w:r>
          <w:tab/>
        </w:r>
        <w:r>
          <w:fldChar w:fldCharType="begin"/>
        </w:r>
        <w:r>
          <w:instrText xml:space="preserve"> PAGEREF _Toc27304 \h </w:instrText>
        </w:r>
        <w:r>
          <w:fldChar w:fldCharType="separate"/>
        </w:r>
        <w:r>
          <w:t>85</w:t>
        </w:r>
        <w:r>
          <w:fldChar w:fldCharType="end"/>
        </w:r>
      </w:hyperlink>
    </w:p>
    <w:p w:rsidR="003663E4" w:rsidRDefault="00FD3F7D">
      <w:pPr>
        <w:pStyle w:val="11"/>
        <w:tabs>
          <w:tab w:val="clear" w:pos="9072"/>
          <w:tab w:val="right" w:leader="dot" w:pos="9070"/>
        </w:tabs>
      </w:pPr>
      <w:hyperlink w:anchor="_Toc13035" w:history="1">
        <w:r>
          <w:rPr>
            <w:rFonts w:hint="eastAsia"/>
            <w:bCs/>
            <w:szCs w:val="21"/>
          </w:rPr>
          <w:t>§</w:t>
        </w:r>
        <w:r>
          <w:rPr>
            <w:rFonts w:hint="eastAsia"/>
            <w:bCs/>
            <w:szCs w:val="21"/>
          </w:rPr>
          <w:t xml:space="preserve">11 </w:t>
        </w:r>
        <w:r>
          <w:rPr>
            <w:rFonts w:hint="eastAsia"/>
            <w:bCs/>
            <w:szCs w:val="21"/>
          </w:rPr>
          <w:t>重大事件揭示</w:t>
        </w:r>
        <w:r>
          <w:tab/>
        </w:r>
        <w:r>
          <w:fldChar w:fldCharType="begin"/>
        </w:r>
        <w:r>
          <w:instrText xml:space="preserve"> PAGEREF _Toc13035 \h </w:instrText>
        </w:r>
        <w:r>
          <w:fldChar w:fldCharType="separate"/>
        </w:r>
        <w:r>
          <w:t>85</w:t>
        </w:r>
        <w:r>
          <w:fldChar w:fldCharType="end"/>
        </w:r>
      </w:hyperlink>
    </w:p>
    <w:p w:rsidR="003663E4" w:rsidRDefault="00FD3F7D">
      <w:pPr>
        <w:pStyle w:val="23"/>
        <w:tabs>
          <w:tab w:val="clear" w:pos="9072"/>
          <w:tab w:val="right" w:leader="dot" w:pos="9070"/>
        </w:tabs>
      </w:pPr>
      <w:hyperlink w:anchor="_Toc30392" w:history="1">
        <w:r>
          <w:rPr>
            <w:rFonts w:hint="eastAsia"/>
          </w:rPr>
          <w:t xml:space="preserve">11.1 </w:t>
        </w:r>
        <w:r>
          <w:t>基金份额持有人大会决议</w:t>
        </w:r>
        <w:r>
          <w:tab/>
        </w:r>
        <w:r>
          <w:fldChar w:fldCharType="begin"/>
        </w:r>
        <w:r>
          <w:instrText xml:space="preserve"> PAGEREF _Toc30392 \h </w:instrText>
        </w:r>
        <w:r>
          <w:fldChar w:fldCharType="separate"/>
        </w:r>
        <w:r>
          <w:t>85</w:t>
        </w:r>
        <w:r>
          <w:fldChar w:fldCharType="end"/>
        </w:r>
      </w:hyperlink>
    </w:p>
    <w:p w:rsidR="003663E4" w:rsidRDefault="00FD3F7D">
      <w:pPr>
        <w:pStyle w:val="23"/>
        <w:tabs>
          <w:tab w:val="clear" w:pos="9072"/>
          <w:tab w:val="right" w:leader="dot" w:pos="9070"/>
        </w:tabs>
      </w:pPr>
      <w:hyperlink w:anchor="_Toc6977" w:history="1">
        <w:r>
          <w:rPr>
            <w:rFonts w:hint="eastAsia"/>
          </w:rPr>
          <w:t>11.2</w:t>
        </w:r>
        <w:r>
          <w:t xml:space="preserve"> </w:t>
        </w:r>
        <w:r>
          <w:t>基金管理人、基金托管人的专门基金托管部门的重大人事变动</w:t>
        </w:r>
        <w:r>
          <w:tab/>
        </w:r>
        <w:r>
          <w:fldChar w:fldCharType="begin"/>
        </w:r>
        <w:r>
          <w:instrText xml:space="preserve"> PAGEREF _Toc6977 \h </w:instrText>
        </w:r>
        <w:r>
          <w:fldChar w:fldCharType="separate"/>
        </w:r>
        <w:r>
          <w:t>86</w:t>
        </w:r>
        <w:r>
          <w:fldChar w:fldCharType="end"/>
        </w:r>
      </w:hyperlink>
    </w:p>
    <w:p w:rsidR="003663E4" w:rsidRDefault="00FD3F7D">
      <w:pPr>
        <w:pStyle w:val="23"/>
        <w:tabs>
          <w:tab w:val="clear" w:pos="9072"/>
          <w:tab w:val="right" w:leader="dot" w:pos="9070"/>
        </w:tabs>
      </w:pPr>
      <w:hyperlink w:anchor="_Toc19658" w:history="1">
        <w:r>
          <w:rPr>
            <w:rFonts w:hint="eastAsia"/>
          </w:rPr>
          <w:t>11.3</w:t>
        </w:r>
        <w:r>
          <w:t xml:space="preserve"> </w:t>
        </w:r>
        <w:r>
          <w:t>涉及基金管理人、基金财产、基金托</w:t>
        </w:r>
        <w:r>
          <w:t>管业务的诉讼</w:t>
        </w:r>
        <w:r>
          <w:tab/>
        </w:r>
        <w:r>
          <w:fldChar w:fldCharType="begin"/>
        </w:r>
        <w:r>
          <w:instrText xml:space="preserve"> PAGEREF _Toc19658 \h </w:instrText>
        </w:r>
        <w:r>
          <w:fldChar w:fldCharType="separate"/>
        </w:r>
        <w:r>
          <w:t>86</w:t>
        </w:r>
        <w:r>
          <w:fldChar w:fldCharType="end"/>
        </w:r>
      </w:hyperlink>
    </w:p>
    <w:p w:rsidR="003663E4" w:rsidRDefault="00FD3F7D">
      <w:pPr>
        <w:pStyle w:val="23"/>
        <w:tabs>
          <w:tab w:val="clear" w:pos="9072"/>
          <w:tab w:val="right" w:leader="dot" w:pos="9070"/>
        </w:tabs>
      </w:pPr>
      <w:hyperlink w:anchor="_Toc19956" w:history="1">
        <w:r>
          <w:rPr>
            <w:rFonts w:hint="eastAsia"/>
          </w:rPr>
          <w:t>11.4</w:t>
        </w:r>
        <w:r>
          <w:t xml:space="preserve"> </w:t>
        </w:r>
        <w:r>
          <w:t>基金投资策略的改变</w:t>
        </w:r>
        <w:r>
          <w:tab/>
        </w:r>
        <w:r>
          <w:fldChar w:fldCharType="begin"/>
        </w:r>
        <w:r>
          <w:instrText xml:space="preserve"> PAGEREF _Toc19956 \h </w:instrText>
        </w:r>
        <w:r>
          <w:fldChar w:fldCharType="separate"/>
        </w:r>
        <w:r>
          <w:t>86</w:t>
        </w:r>
        <w:r>
          <w:fldChar w:fldCharType="end"/>
        </w:r>
      </w:hyperlink>
    </w:p>
    <w:p w:rsidR="003663E4" w:rsidRDefault="00FD3F7D">
      <w:pPr>
        <w:pStyle w:val="23"/>
        <w:tabs>
          <w:tab w:val="clear" w:pos="9072"/>
          <w:tab w:val="right" w:leader="dot" w:pos="9070"/>
        </w:tabs>
      </w:pPr>
      <w:hyperlink w:anchor="_Toc28562" w:history="1">
        <w:r>
          <w:rPr>
            <w:rFonts w:hint="eastAsia"/>
          </w:rPr>
          <w:t>11.5</w:t>
        </w:r>
        <w:r>
          <w:rPr>
            <w:rFonts w:hint="eastAsia"/>
          </w:rPr>
          <w:t xml:space="preserve"> </w:t>
        </w:r>
        <w:r>
          <w:t>为基金进行审计的会计师事务所情况</w:t>
        </w:r>
        <w:r>
          <w:tab/>
        </w:r>
        <w:r>
          <w:fldChar w:fldCharType="begin"/>
        </w:r>
        <w:r>
          <w:instrText xml:space="preserve"> PAGEREF _Toc28562 \h </w:instrText>
        </w:r>
        <w:r>
          <w:fldChar w:fldCharType="separate"/>
        </w:r>
        <w:r>
          <w:t>86</w:t>
        </w:r>
        <w:r>
          <w:fldChar w:fldCharType="end"/>
        </w:r>
      </w:hyperlink>
    </w:p>
    <w:p w:rsidR="003663E4" w:rsidRDefault="00FD3F7D">
      <w:pPr>
        <w:pStyle w:val="23"/>
        <w:tabs>
          <w:tab w:val="clear" w:pos="9072"/>
          <w:tab w:val="right" w:leader="dot" w:pos="9070"/>
        </w:tabs>
      </w:pPr>
      <w:hyperlink w:anchor="_Toc10262" w:history="1">
        <w:r>
          <w:rPr>
            <w:rFonts w:hint="eastAsia"/>
          </w:rPr>
          <w:t>11.6</w:t>
        </w:r>
        <w:r>
          <w:t xml:space="preserve"> </w:t>
        </w:r>
        <w:r>
          <w:t>管理人、托管人及其高级管理人员受稽查或处罚等情况</w:t>
        </w:r>
        <w:r>
          <w:tab/>
        </w:r>
        <w:r>
          <w:fldChar w:fldCharType="begin"/>
        </w:r>
        <w:r>
          <w:instrText xml:space="preserve"> PAGEREF _Toc10262 \h </w:instrText>
        </w:r>
        <w:r>
          <w:fldChar w:fldCharType="separate"/>
        </w:r>
        <w:r>
          <w:t>86</w:t>
        </w:r>
        <w:r>
          <w:fldChar w:fldCharType="end"/>
        </w:r>
      </w:hyperlink>
    </w:p>
    <w:p w:rsidR="003663E4" w:rsidRDefault="00FD3F7D">
      <w:pPr>
        <w:pStyle w:val="23"/>
        <w:tabs>
          <w:tab w:val="clear" w:pos="9072"/>
          <w:tab w:val="right" w:leader="dot" w:pos="9070"/>
        </w:tabs>
      </w:pPr>
      <w:hyperlink w:anchor="_Toc16481" w:history="1">
        <w:r>
          <w:rPr>
            <w:rFonts w:hint="eastAsia"/>
          </w:rPr>
          <w:t>11.7</w:t>
        </w:r>
        <w:r>
          <w:t xml:space="preserve"> </w:t>
        </w:r>
        <w:r>
          <w:t>基金租用证券公司交易单元的有关情况</w:t>
        </w:r>
        <w:r>
          <w:tab/>
        </w:r>
        <w:r>
          <w:fldChar w:fldCharType="begin"/>
        </w:r>
        <w:r>
          <w:instrText xml:space="preserve"> PAGEREF _Toc16481 \h </w:instrText>
        </w:r>
        <w:r>
          <w:fldChar w:fldCharType="separate"/>
        </w:r>
        <w:r>
          <w:t>86</w:t>
        </w:r>
        <w:r>
          <w:fldChar w:fldCharType="end"/>
        </w:r>
      </w:hyperlink>
    </w:p>
    <w:p w:rsidR="003663E4" w:rsidRDefault="00FD3F7D">
      <w:pPr>
        <w:pStyle w:val="23"/>
        <w:tabs>
          <w:tab w:val="clear" w:pos="9072"/>
          <w:tab w:val="right" w:leader="dot" w:pos="9070"/>
        </w:tabs>
      </w:pPr>
      <w:hyperlink w:anchor="_Toc9260" w:history="1">
        <w:r>
          <w:t xml:space="preserve">11.8 </w:t>
        </w:r>
        <w:r>
          <w:rPr>
            <w:rFonts w:hint="eastAsia"/>
          </w:rPr>
          <w:t>偏离度绝对值超过</w:t>
        </w:r>
        <w:r>
          <w:t>0.5%</w:t>
        </w:r>
        <w:r>
          <w:rPr>
            <w:rFonts w:hint="eastAsia"/>
          </w:rPr>
          <w:t>的情况</w:t>
        </w:r>
        <w:r>
          <w:tab/>
        </w:r>
        <w:r>
          <w:fldChar w:fldCharType="begin"/>
        </w:r>
        <w:r>
          <w:instrText xml:space="preserve"> PAGEREF _Toc9260 \h </w:instrText>
        </w:r>
        <w:r>
          <w:fldChar w:fldCharType="separate"/>
        </w:r>
        <w:r>
          <w:t>88</w:t>
        </w:r>
        <w:r>
          <w:fldChar w:fldCharType="end"/>
        </w:r>
      </w:hyperlink>
    </w:p>
    <w:p w:rsidR="003663E4" w:rsidRDefault="00FD3F7D">
      <w:pPr>
        <w:pStyle w:val="23"/>
        <w:tabs>
          <w:tab w:val="clear" w:pos="9072"/>
          <w:tab w:val="right" w:leader="dot" w:pos="9070"/>
        </w:tabs>
      </w:pPr>
      <w:hyperlink w:anchor="_Toc23606" w:history="1">
        <w:r>
          <w:rPr>
            <w:rFonts w:hint="eastAsia"/>
          </w:rPr>
          <w:t xml:space="preserve">11.9 </w:t>
        </w:r>
        <w:r>
          <w:rPr>
            <w:rFonts w:hint="eastAsia"/>
          </w:rPr>
          <w:t>其他重大事件</w:t>
        </w:r>
        <w:r>
          <w:tab/>
        </w:r>
        <w:r>
          <w:fldChar w:fldCharType="begin"/>
        </w:r>
        <w:r>
          <w:instrText xml:space="preserve"> PAGEREF _Toc23606 \h </w:instrText>
        </w:r>
        <w:r>
          <w:fldChar w:fldCharType="separate"/>
        </w:r>
        <w:r>
          <w:t>8</w:t>
        </w:r>
        <w:r>
          <w:t>8</w:t>
        </w:r>
        <w:r>
          <w:fldChar w:fldCharType="end"/>
        </w:r>
      </w:hyperlink>
    </w:p>
    <w:p w:rsidR="003663E4" w:rsidRDefault="00FD3F7D">
      <w:pPr>
        <w:pStyle w:val="11"/>
        <w:tabs>
          <w:tab w:val="clear" w:pos="9072"/>
          <w:tab w:val="right" w:leader="dot" w:pos="9070"/>
        </w:tabs>
      </w:pPr>
      <w:hyperlink w:anchor="_Toc3457" w:history="1">
        <w:r>
          <w:rPr>
            <w:rFonts w:hint="eastAsia"/>
            <w:bCs/>
            <w:szCs w:val="21"/>
          </w:rPr>
          <w:t>§</w:t>
        </w:r>
        <w:r>
          <w:rPr>
            <w:rFonts w:hint="eastAsia"/>
            <w:bCs/>
            <w:szCs w:val="21"/>
          </w:rPr>
          <w:t xml:space="preserve">12 </w:t>
        </w:r>
        <w:r>
          <w:rPr>
            <w:rFonts w:hint="eastAsia"/>
            <w:bCs/>
            <w:szCs w:val="21"/>
          </w:rPr>
          <w:t>影响投资者决策的其他重要信息</w:t>
        </w:r>
        <w:r>
          <w:tab/>
        </w:r>
        <w:r>
          <w:fldChar w:fldCharType="begin"/>
        </w:r>
        <w:r>
          <w:instrText xml:space="preserve"> PAGEREF _Toc3457 \h </w:instrText>
        </w:r>
        <w:r>
          <w:fldChar w:fldCharType="separate"/>
        </w:r>
        <w:r>
          <w:t>90</w:t>
        </w:r>
        <w:r>
          <w:fldChar w:fldCharType="end"/>
        </w:r>
      </w:hyperlink>
    </w:p>
    <w:p w:rsidR="003663E4" w:rsidRDefault="00FD3F7D">
      <w:pPr>
        <w:pStyle w:val="23"/>
        <w:tabs>
          <w:tab w:val="clear" w:pos="9072"/>
          <w:tab w:val="right" w:leader="dot" w:pos="9070"/>
        </w:tabs>
      </w:pPr>
      <w:hyperlink w:anchor="_Toc8791" w:history="1">
        <w:r>
          <w:t xml:space="preserve">12.1 </w:t>
        </w:r>
        <w:r>
          <w:t>交银施罗德裕惠纯债债券型证券投资基金</w:t>
        </w:r>
        <w:r>
          <w:tab/>
        </w:r>
        <w:r>
          <w:fldChar w:fldCharType="begin"/>
        </w:r>
        <w:r>
          <w:instrText xml:space="preserve"> PAGEREF _</w:instrText>
        </w:r>
        <w:r>
          <w:instrText xml:space="preserve">Toc8791 \h </w:instrText>
        </w:r>
        <w:r>
          <w:fldChar w:fldCharType="separate"/>
        </w:r>
        <w:r>
          <w:t>90</w:t>
        </w:r>
        <w:r>
          <w:fldChar w:fldCharType="end"/>
        </w:r>
      </w:hyperlink>
    </w:p>
    <w:p w:rsidR="003663E4" w:rsidRDefault="00FD3F7D">
      <w:pPr>
        <w:pStyle w:val="31"/>
        <w:tabs>
          <w:tab w:val="right" w:leader="dot" w:pos="9070"/>
        </w:tabs>
        <w:ind w:left="840"/>
      </w:pPr>
      <w:hyperlink w:anchor="_Toc2785" w:history="1">
        <w:r>
          <w:rPr>
            <w:kern w:val="0"/>
            <w:szCs w:val="21"/>
          </w:rPr>
          <w:t xml:space="preserve">12.1.1 </w:t>
        </w:r>
        <w:r>
          <w:rPr>
            <w:kern w:val="0"/>
            <w:szCs w:val="21"/>
          </w:rPr>
          <w:t>报告期内单一投资者持有基金份额比例达到或超过</w:t>
        </w:r>
        <w:r>
          <w:rPr>
            <w:kern w:val="0"/>
            <w:szCs w:val="21"/>
          </w:rPr>
          <w:t>20%</w:t>
        </w:r>
        <w:r>
          <w:rPr>
            <w:kern w:val="0"/>
            <w:szCs w:val="21"/>
          </w:rPr>
          <w:t>的情况</w:t>
        </w:r>
        <w:r>
          <w:tab/>
        </w:r>
        <w:r>
          <w:fldChar w:fldCharType="begin"/>
        </w:r>
        <w:r>
          <w:instrText xml:space="preserve"> PAGEREF _Toc2785 \h </w:instrText>
        </w:r>
        <w:r>
          <w:fldChar w:fldCharType="separate"/>
        </w:r>
        <w:r>
          <w:t>90</w:t>
        </w:r>
        <w:r>
          <w:fldChar w:fldCharType="end"/>
        </w:r>
      </w:hyperlink>
    </w:p>
    <w:p w:rsidR="003663E4" w:rsidRDefault="00FD3F7D">
      <w:pPr>
        <w:pStyle w:val="23"/>
        <w:tabs>
          <w:tab w:val="clear" w:pos="9072"/>
          <w:tab w:val="right" w:leader="dot" w:pos="9070"/>
        </w:tabs>
      </w:pPr>
      <w:hyperlink w:anchor="_Toc14479" w:history="1">
        <w:r>
          <w:t xml:space="preserve">12.2 </w:t>
        </w:r>
        <w:r>
          <w:t>交银施罗德理财</w:t>
        </w:r>
        <w:r>
          <w:t>60</w:t>
        </w:r>
        <w:r>
          <w:t>天债券型证券投资基金</w:t>
        </w:r>
        <w:r>
          <w:tab/>
        </w:r>
        <w:r>
          <w:fldChar w:fldCharType="begin"/>
        </w:r>
        <w:r>
          <w:instrText xml:space="preserve"> PAGEREF _Toc14479 \h </w:instrText>
        </w:r>
        <w:r>
          <w:fldChar w:fldCharType="separate"/>
        </w:r>
        <w:r>
          <w:t>90</w:t>
        </w:r>
        <w:r>
          <w:fldChar w:fldCharType="end"/>
        </w:r>
      </w:hyperlink>
    </w:p>
    <w:p w:rsidR="003663E4" w:rsidRDefault="00FD3F7D">
      <w:pPr>
        <w:pStyle w:val="31"/>
        <w:tabs>
          <w:tab w:val="right" w:leader="dot" w:pos="9070"/>
        </w:tabs>
        <w:ind w:left="840"/>
      </w:pPr>
      <w:hyperlink w:anchor="_Toc9300" w:history="1">
        <w:r>
          <w:rPr>
            <w:kern w:val="0"/>
            <w:szCs w:val="21"/>
          </w:rPr>
          <w:t xml:space="preserve">12.2.1 </w:t>
        </w:r>
        <w:r>
          <w:rPr>
            <w:kern w:val="0"/>
            <w:szCs w:val="21"/>
          </w:rPr>
          <w:t>报告期内单一投资者持有基金份额比例达到或超过</w:t>
        </w:r>
        <w:r>
          <w:rPr>
            <w:kern w:val="0"/>
            <w:szCs w:val="21"/>
          </w:rPr>
          <w:t>20%</w:t>
        </w:r>
        <w:r>
          <w:rPr>
            <w:kern w:val="0"/>
            <w:szCs w:val="21"/>
          </w:rPr>
          <w:t>的情况</w:t>
        </w:r>
        <w:r>
          <w:tab/>
        </w:r>
        <w:r>
          <w:fldChar w:fldCharType="begin"/>
        </w:r>
        <w:r>
          <w:instrText xml:space="preserve"> PAGEREF _Toc9300 \h </w:instrText>
        </w:r>
        <w:r>
          <w:fldChar w:fldCharType="separate"/>
        </w:r>
        <w:r>
          <w:t>90</w:t>
        </w:r>
        <w:r>
          <w:fldChar w:fldCharType="end"/>
        </w:r>
      </w:hyperlink>
    </w:p>
    <w:p w:rsidR="003663E4" w:rsidRDefault="00FD3F7D">
      <w:pPr>
        <w:pStyle w:val="11"/>
        <w:tabs>
          <w:tab w:val="clear" w:pos="9072"/>
          <w:tab w:val="right" w:leader="dot" w:pos="9070"/>
        </w:tabs>
      </w:pPr>
      <w:hyperlink w:anchor="_Toc17031" w:history="1">
        <w:r>
          <w:rPr>
            <w:rFonts w:hint="eastAsia"/>
            <w:bCs/>
            <w:szCs w:val="21"/>
          </w:rPr>
          <w:t>§</w:t>
        </w:r>
        <w:r>
          <w:rPr>
            <w:rFonts w:hint="eastAsia"/>
            <w:bCs/>
            <w:szCs w:val="21"/>
          </w:rPr>
          <w:t xml:space="preserve">13 </w:t>
        </w:r>
        <w:r>
          <w:rPr>
            <w:rFonts w:hint="eastAsia"/>
            <w:bCs/>
            <w:szCs w:val="21"/>
          </w:rPr>
          <w:t>备查文件目录</w:t>
        </w:r>
        <w:r>
          <w:tab/>
        </w:r>
        <w:r>
          <w:fldChar w:fldCharType="begin"/>
        </w:r>
        <w:r>
          <w:instrText xml:space="preserve"> PAGEREF _Toc17031 \h </w:instrText>
        </w:r>
        <w:r>
          <w:fldChar w:fldCharType="separate"/>
        </w:r>
        <w:r>
          <w:t>91</w:t>
        </w:r>
        <w:r>
          <w:fldChar w:fldCharType="end"/>
        </w:r>
      </w:hyperlink>
    </w:p>
    <w:p w:rsidR="003663E4" w:rsidRDefault="00FD3F7D">
      <w:pPr>
        <w:pStyle w:val="23"/>
        <w:tabs>
          <w:tab w:val="clear" w:pos="9072"/>
          <w:tab w:val="right" w:leader="dot" w:pos="9070"/>
        </w:tabs>
      </w:pPr>
      <w:hyperlink w:anchor="_Toc17303" w:history="1">
        <w:r>
          <w:rPr>
            <w:rFonts w:hint="eastAsia"/>
          </w:rPr>
          <w:t xml:space="preserve">13.1 </w:t>
        </w:r>
        <w:r>
          <w:rPr>
            <w:rFonts w:hint="eastAsia"/>
          </w:rPr>
          <w:t>备查文件目录</w:t>
        </w:r>
        <w:r>
          <w:tab/>
        </w:r>
        <w:r>
          <w:fldChar w:fldCharType="begin"/>
        </w:r>
        <w:r>
          <w:instrText xml:space="preserve"> PAGEREF _Toc17303 \h </w:instrText>
        </w:r>
        <w:r>
          <w:fldChar w:fldCharType="separate"/>
        </w:r>
        <w:r>
          <w:t>91</w:t>
        </w:r>
        <w:r>
          <w:fldChar w:fldCharType="end"/>
        </w:r>
      </w:hyperlink>
    </w:p>
    <w:p w:rsidR="003663E4" w:rsidRDefault="00FD3F7D">
      <w:pPr>
        <w:pStyle w:val="23"/>
        <w:tabs>
          <w:tab w:val="clear" w:pos="9072"/>
          <w:tab w:val="right" w:leader="dot" w:pos="9070"/>
        </w:tabs>
      </w:pPr>
      <w:hyperlink w:anchor="_Toc27869" w:history="1">
        <w:r>
          <w:rPr>
            <w:rFonts w:hint="eastAsia"/>
          </w:rPr>
          <w:t xml:space="preserve">13.2 </w:t>
        </w:r>
        <w:r>
          <w:rPr>
            <w:rFonts w:hint="eastAsia"/>
          </w:rPr>
          <w:t>存放地点</w:t>
        </w:r>
        <w:r>
          <w:tab/>
        </w:r>
        <w:r>
          <w:fldChar w:fldCharType="begin"/>
        </w:r>
        <w:r>
          <w:instrText xml:space="preserve"> PAGEREF _Toc27869 \h </w:instrText>
        </w:r>
        <w:r>
          <w:fldChar w:fldCharType="separate"/>
        </w:r>
        <w:r>
          <w:t>91</w:t>
        </w:r>
        <w:r>
          <w:fldChar w:fldCharType="end"/>
        </w:r>
      </w:hyperlink>
    </w:p>
    <w:p w:rsidR="003663E4" w:rsidRDefault="00FD3F7D">
      <w:pPr>
        <w:pStyle w:val="23"/>
        <w:tabs>
          <w:tab w:val="clear" w:pos="9072"/>
          <w:tab w:val="right" w:leader="dot" w:pos="9070"/>
        </w:tabs>
      </w:pPr>
      <w:hyperlink w:anchor="_Toc27996" w:history="1">
        <w:r>
          <w:rPr>
            <w:rFonts w:hint="eastAsia"/>
          </w:rPr>
          <w:t xml:space="preserve">13.3 </w:t>
        </w:r>
        <w:r>
          <w:rPr>
            <w:rFonts w:hint="eastAsia"/>
          </w:rPr>
          <w:t>查阅方式</w:t>
        </w:r>
        <w:r>
          <w:tab/>
        </w:r>
        <w:r>
          <w:fldChar w:fldCharType="begin"/>
        </w:r>
        <w:r>
          <w:instrText xml:space="preserve"> PAGEREF _Toc27996 \h </w:instrText>
        </w:r>
        <w:r>
          <w:fldChar w:fldCharType="separate"/>
        </w:r>
        <w:r>
          <w:t>91</w:t>
        </w:r>
        <w:r>
          <w:fldChar w:fldCharType="end"/>
        </w:r>
      </w:hyperlink>
    </w:p>
    <w:p w:rsidR="003663E4" w:rsidRDefault="00FD3F7D">
      <w:pPr>
        <w:pStyle w:val="23"/>
      </w:pPr>
      <w:r>
        <w:fldChar w:fldCharType="end"/>
      </w:r>
      <w:r>
        <w:br w:type="page"/>
      </w:r>
    </w:p>
    <w:p w:rsidR="003663E4" w:rsidRDefault="00FD3F7D">
      <w:pPr>
        <w:pStyle w:val="1"/>
        <w:keepNext/>
        <w:keepLines/>
        <w:widowControl w:val="0"/>
        <w:spacing w:before="240" w:after="240" w:line="360" w:lineRule="auto"/>
        <w:jc w:val="center"/>
        <w:rPr>
          <w:b/>
          <w:bCs/>
          <w:color w:val="000000"/>
          <w:sz w:val="21"/>
          <w:szCs w:val="21"/>
        </w:rPr>
      </w:pPr>
      <w:bookmarkStart w:id="7" w:name="_Toc23339328"/>
      <w:bookmarkStart w:id="8" w:name="_Toc22696"/>
      <w:r>
        <w:rPr>
          <w:rFonts w:hint="eastAsia"/>
          <w:b/>
          <w:bCs/>
          <w:color w:val="000000"/>
          <w:sz w:val="21"/>
          <w:szCs w:val="21"/>
        </w:rPr>
        <w:t>§</w:t>
      </w:r>
      <w:r>
        <w:rPr>
          <w:rFonts w:hint="eastAsia"/>
          <w:b/>
          <w:bCs/>
          <w:color w:val="000000"/>
          <w:sz w:val="21"/>
          <w:szCs w:val="21"/>
        </w:rPr>
        <w:t xml:space="preserve">2 </w:t>
      </w:r>
      <w:r>
        <w:rPr>
          <w:rFonts w:hint="eastAsia"/>
          <w:b/>
          <w:bCs/>
          <w:color w:val="000000"/>
          <w:sz w:val="21"/>
          <w:szCs w:val="21"/>
        </w:rPr>
        <w:t>基金简介</w:t>
      </w:r>
      <w:bookmarkEnd w:id="7"/>
      <w:bookmarkEnd w:id="8"/>
    </w:p>
    <w:p w:rsidR="003663E4" w:rsidRDefault="00FD3F7D">
      <w:pPr>
        <w:pStyle w:val="2"/>
        <w:spacing w:before="0" w:after="0"/>
        <w:rPr>
          <w:rFonts w:ascii="Times New Roman" w:eastAsiaTheme="minorEastAsia" w:hAnsi="Times New Roman" w:cs="Times New Roman"/>
          <w:bCs w:val="0"/>
          <w:kern w:val="0"/>
          <w:sz w:val="21"/>
          <w:szCs w:val="21"/>
        </w:rPr>
      </w:pPr>
      <w:bookmarkStart w:id="9" w:name="_Toc23339329"/>
      <w:bookmarkStart w:id="10" w:name="_Toc487488995"/>
      <w:bookmarkStart w:id="11" w:name="_Toc268711012"/>
      <w:bookmarkStart w:id="12" w:name="_Toc14583"/>
      <w:r>
        <w:rPr>
          <w:rFonts w:ascii="Times New Roman" w:eastAsiaTheme="minorEastAsia" w:hAnsi="Times New Roman" w:cs="Times New Roman"/>
          <w:bCs w:val="0"/>
          <w:kern w:val="0"/>
          <w:sz w:val="21"/>
          <w:szCs w:val="21"/>
        </w:rPr>
        <w:t xml:space="preserve">2.1 </w:t>
      </w:r>
      <w:r>
        <w:rPr>
          <w:rFonts w:ascii="Times New Roman" w:eastAsiaTheme="minorEastAsia" w:hAnsi="Times New Roman" w:cs="Times New Roman"/>
          <w:bCs w:val="0"/>
          <w:kern w:val="0"/>
          <w:sz w:val="21"/>
          <w:szCs w:val="21"/>
        </w:rPr>
        <w:t>基金基本情况</w:t>
      </w:r>
      <w:bookmarkEnd w:id="9"/>
      <w:bookmarkEnd w:id="10"/>
      <w:bookmarkEnd w:id="11"/>
      <w:bookmarkEnd w:id="12"/>
    </w:p>
    <w:p w:rsidR="003663E4" w:rsidRDefault="00FD3F7D">
      <w:pPr>
        <w:autoSpaceDE w:val="0"/>
        <w:autoSpaceDN w:val="0"/>
        <w:adjustRightInd w:val="0"/>
        <w:snapToGrid w:val="0"/>
        <w:spacing w:line="360" w:lineRule="auto"/>
        <w:jc w:val="left"/>
        <w:rPr>
          <w:rFonts w:eastAsiaTheme="minorEastAsia"/>
          <w:b/>
          <w:bCs/>
          <w:kern w:val="0"/>
          <w:szCs w:val="21"/>
        </w:rPr>
      </w:pPr>
      <w:bookmarkStart w:id="13" w:name="_Toc487488996"/>
      <w:r>
        <w:rPr>
          <w:rFonts w:eastAsiaTheme="minorEastAsia"/>
          <w:b/>
          <w:bCs/>
          <w:kern w:val="0"/>
          <w:szCs w:val="21"/>
        </w:rPr>
        <w:t xml:space="preserve">2.1.1 </w:t>
      </w:r>
      <w:r>
        <w:rPr>
          <w:rFonts w:eastAsiaTheme="minorEastAsia"/>
          <w:b/>
          <w:bCs/>
          <w:kern w:val="0"/>
          <w:szCs w:val="21"/>
        </w:rPr>
        <w:t>交银施罗德裕惠纯债债券型证券投资基金</w:t>
      </w:r>
      <w:bookmarkEnd w:id="13"/>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12"/>
      </w:tblGrid>
      <w:tr w:rsidR="003663E4">
        <w:tc>
          <w:tcPr>
            <w:tcW w:w="3119" w:type="dxa"/>
            <w:vAlign w:val="center"/>
          </w:tcPr>
          <w:p w:rsidR="003663E4" w:rsidRDefault="00FD3F7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基金名称</w:t>
            </w:r>
          </w:p>
        </w:tc>
        <w:tc>
          <w:tcPr>
            <w:tcW w:w="5812" w:type="dxa"/>
            <w:vAlign w:val="center"/>
          </w:tcPr>
          <w:p w:rsidR="003663E4" w:rsidRDefault="00FD3F7D">
            <w:pPr>
              <w:autoSpaceDE w:val="0"/>
              <w:autoSpaceDN w:val="0"/>
              <w:adjustRightInd w:val="0"/>
              <w:spacing w:line="276" w:lineRule="auto"/>
              <w:ind w:left="15"/>
              <w:jc w:val="right"/>
              <w:rPr>
                <w:rFonts w:eastAsiaTheme="minorEastAsia"/>
                <w:color w:val="000000"/>
                <w:kern w:val="0"/>
                <w:szCs w:val="21"/>
              </w:rPr>
            </w:pPr>
            <w:r>
              <w:rPr>
                <w:rFonts w:eastAsiaTheme="minorEastAsia"/>
                <w:color w:val="000000"/>
                <w:szCs w:val="21"/>
              </w:rPr>
              <w:t>交银施罗德裕惠纯债债券型证券投资基金</w:t>
            </w:r>
          </w:p>
        </w:tc>
      </w:tr>
      <w:tr w:rsidR="003663E4">
        <w:tc>
          <w:tcPr>
            <w:tcW w:w="3119" w:type="dxa"/>
            <w:vAlign w:val="center"/>
          </w:tcPr>
          <w:p w:rsidR="003663E4" w:rsidRDefault="00FD3F7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基金简称</w:t>
            </w:r>
          </w:p>
        </w:tc>
        <w:tc>
          <w:tcPr>
            <w:tcW w:w="5812" w:type="dxa"/>
            <w:vAlign w:val="center"/>
          </w:tcPr>
          <w:p w:rsidR="003663E4" w:rsidRDefault="00FD3F7D">
            <w:pPr>
              <w:autoSpaceDE w:val="0"/>
              <w:autoSpaceDN w:val="0"/>
              <w:adjustRightInd w:val="0"/>
              <w:spacing w:line="276" w:lineRule="auto"/>
              <w:ind w:left="15"/>
              <w:jc w:val="right"/>
              <w:rPr>
                <w:rFonts w:eastAsiaTheme="minorEastAsia"/>
                <w:color w:val="000000"/>
                <w:kern w:val="0"/>
                <w:szCs w:val="21"/>
              </w:rPr>
            </w:pPr>
            <w:r>
              <w:rPr>
                <w:rFonts w:eastAsiaTheme="minorEastAsia"/>
                <w:color w:val="000000"/>
                <w:szCs w:val="21"/>
              </w:rPr>
              <w:t>交银裕惠纯债债券</w:t>
            </w:r>
          </w:p>
        </w:tc>
      </w:tr>
      <w:tr w:rsidR="003663E4">
        <w:tc>
          <w:tcPr>
            <w:tcW w:w="3119" w:type="dxa"/>
            <w:vAlign w:val="center"/>
          </w:tcPr>
          <w:p w:rsidR="003663E4" w:rsidRDefault="00FD3F7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基金主代码</w:t>
            </w:r>
          </w:p>
        </w:tc>
        <w:tc>
          <w:tcPr>
            <w:tcW w:w="5812" w:type="dxa"/>
            <w:vAlign w:val="center"/>
          </w:tcPr>
          <w:p w:rsidR="003663E4" w:rsidRDefault="00FD3F7D">
            <w:pPr>
              <w:autoSpaceDE w:val="0"/>
              <w:autoSpaceDN w:val="0"/>
              <w:adjustRightInd w:val="0"/>
              <w:spacing w:line="276" w:lineRule="auto"/>
              <w:ind w:left="15"/>
              <w:jc w:val="right"/>
              <w:rPr>
                <w:rFonts w:eastAsiaTheme="minorEastAsia"/>
                <w:color w:val="000000"/>
                <w:kern w:val="0"/>
                <w:szCs w:val="21"/>
              </w:rPr>
            </w:pPr>
            <w:r>
              <w:rPr>
                <w:rFonts w:eastAsiaTheme="minorEastAsia"/>
                <w:color w:val="000000"/>
                <w:szCs w:val="21"/>
              </w:rPr>
              <w:t>519722</w:t>
            </w:r>
          </w:p>
        </w:tc>
      </w:tr>
      <w:tr w:rsidR="003663E4">
        <w:tc>
          <w:tcPr>
            <w:tcW w:w="3119" w:type="dxa"/>
            <w:vAlign w:val="center"/>
          </w:tcPr>
          <w:p w:rsidR="003663E4" w:rsidRDefault="00FD3F7D">
            <w:pPr>
              <w:autoSpaceDE w:val="0"/>
              <w:autoSpaceDN w:val="0"/>
              <w:adjustRightInd w:val="0"/>
              <w:spacing w:line="276" w:lineRule="auto"/>
              <w:ind w:left="15"/>
              <w:jc w:val="left"/>
              <w:rPr>
                <w:rFonts w:eastAsiaTheme="minorEastAsia"/>
                <w:color w:val="000000"/>
                <w:kern w:val="0"/>
                <w:szCs w:val="21"/>
              </w:rPr>
            </w:pPr>
            <w:r>
              <w:rPr>
                <w:rFonts w:hint="eastAsia"/>
                <w:color w:val="000000"/>
                <w:kern w:val="0"/>
              </w:rPr>
              <w:t>交易代码</w:t>
            </w:r>
          </w:p>
        </w:tc>
        <w:tc>
          <w:tcPr>
            <w:tcW w:w="5812" w:type="dxa"/>
            <w:vAlign w:val="center"/>
          </w:tcPr>
          <w:p w:rsidR="003663E4" w:rsidRDefault="00FD3F7D">
            <w:pPr>
              <w:autoSpaceDE w:val="0"/>
              <w:autoSpaceDN w:val="0"/>
              <w:adjustRightInd w:val="0"/>
              <w:spacing w:line="276" w:lineRule="auto"/>
              <w:ind w:left="15"/>
              <w:jc w:val="right"/>
              <w:rPr>
                <w:rFonts w:eastAsiaTheme="minorEastAsia"/>
                <w:color w:val="000000"/>
                <w:szCs w:val="21"/>
              </w:rPr>
            </w:pPr>
            <w:r>
              <w:rPr>
                <w:color w:val="000000"/>
              </w:rPr>
              <w:t>519722</w:t>
            </w:r>
          </w:p>
        </w:tc>
      </w:tr>
      <w:tr w:rsidR="003663E4">
        <w:tc>
          <w:tcPr>
            <w:tcW w:w="3119" w:type="dxa"/>
            <w:vAlign w:val="center"/>
          </w:tcPr>
          <w:p w:rsidR="003663E4" w:rsidRDefault="00FD3F7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基金运作方式</w:t>
            </w:r>
          </w:p>
        </w:tc>
        <w:tc>
          <w:tcPr>
            <w:tcW w:w="5812" w:type="dxa"/>
            <w:vAlign w:val="center"/>
          </w:tcPr>
          <w:p w:rsidR="003663E4" w:rsidRDefault="00FD3F7D">
            <w:pPr>
              <w:autoSpaceDE w:val="0"/>
              <w:autoSpaceDN w:val="0"/>
              <w:adjustRightInd w:val="0"/>
              <w:spacing w:line="276" w:lineRule="auto"/>
              <w:ind w:left="15"/>
              <w:jc w:val="right"/>
              <w:rPr>
                <w:rFonts w:eastAsiaTheme="minorEastAsia"/>
                <w:color w:val="000000"/>
                <w:kern w:val="0"/>
                <w:szCs w:val="21"/>
              </w:rPr>
            </w:pPr>
            <w:r>
              <w:rPr>
                <w:rFonts w:eastAsiaTheme="minorEastAsia"/>
                <w:color w:val="000000"/>
                <w:szCs w:val="21"/>
              </w:rPr>
              <w:t>契约型开放式</w:t>
            </w:r>
          </w:p>
        </w:tc>
      </w:tr>
      <w:tr w:rsidR="003663E4">
        <w:tc>
          <w:tcPr>
            <w:tcW w:w="3119" w:type="dxa"/>
            <w:vAlign w:val="center"/>
          </w:tcPr>
          <w:p w:rsidR="003663E4" w:rsidRDefault="00FD3F7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基金合同生效日</w:t>
            </w:r>
          </w:p>
        </w:tc>
        <w:tc>
          <w:tcPr>
            <w:tcW w:w="5812" w:type="dxa"/>
            <w:vAlign w:val="center"/>
          </w:tcPr>
          <w:p w:rsidR="003663E4" w:rsidRDefault="00FD3F7D">
            <w:pPr>
              <w:autoSpaceDE w:val="0"/>
              <w:autoSpaceDN w:val="0"/>
              <w:adjustRightInd w:val="0"/>
              <w:spacing w:line="276" w:lineRule="auto"/>
              <w:ind w:left="15"/>
              <w:jc w:val="right"/>
              <w:rPr>
                <w:rFonts w:eastAsiaTheme="minorEastAsia"/>
                <w:color w:val="000000"/>
                <w:kern w:val="0"/>
                <w:szCs w:val="21"/>
              </w:rPr>
            </w:pPr>
            <w:r>
              <w:rPr>
                <w:rFonts w:eastAsiaTheme="minorEastAsia"/>
                <w:szCs w:val="21"/>
              </w:rPr>
              <w:t>2020</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28</w:t>
            </w:r>
            <w:r>
              <w:rPr>
                <w:rFonts w:eastAsiaTheme="minorEastAsia"/>
                <w:szCs w:val="21"/>
              </w:rPr>
              <w:t>日</w:t>
            </w:r>
          </w:p>
        </w:tc>
      </w:tr>
      <w:tr w:rsidR="003663E4">
        <w:tc>
          <w:tcPr>
            <w:tcW w:w="3119" w:type="dxa"/>
            <w:vAlign w:val="center"/>
          </w:tcPr>
          <w:p w:rsidR="003663E4" w:rsidRDefault="00FD3F7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基金管理人</w:t>
            </w:r>
          </w:p>
        </w:tc>
        <w:tc>
          <w:tcPr>
            <w:tcW w:w="5812" w:type="dxa"/>
            <w:vAlign w:val="center"/>
          </w:tcPr>
          <w:p w:rsidR="003663E4" w:rsidRDefault="00FD3F7D">
            <w:pPr>
              <w:autoSpaceDE w:val="0"/>
              <w:autoSpaceDN w:val="0"/>
              <w:adjustRightInd w:val="0"/>
              <w:spacing w:line="276" w:lineRule="auto"/>
              <w:ind w:left="15"/>
              <w:jc w:val="right"/>
              <w:rPr>
                <w:rFonts w:eastAsiaTheme="minorEastAsia"/>
                <w:color w:val="000000"/>
                <w:kern w:val="0"/>
                <w:szCs w:val="21"/>
              </w:rPr>
            </w:pPr>
            <w:r>
              <w:rPr>
                <w:rFonts w:eastAsiaTheme="minorEastAsia"/>
                <w:color w:val="000000"/>
                <w:szCs w:val="21"/>
              </w:rPr>
              <w:t>交银施罗德基金管理有限公司</w:t>
            </w:r>
          </w:p>
        </w:tc>
      </w:tr>
      <w:tr w:rsidR="003663E4">
        <w:tc>
          <w:tcPr>
            <w:tcW w:w="3119" w:type="dxa"/>
            <w:vAlign w:val="center"/>
          </w:tcPr>
          <w:p w:rsidR="003663E4" w:rsidRDefault="00FD3F7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基金托管人</w:t>
            </w:r>
          </w:p>
        </w:tc>
        <w:tc>
          <w:tcPr>
            <w:tcW w:w="5812" w:type="dxa"/>
            <w:vAlign w:val="center"/>
          </w:tcPr>
          <w:p w:rsidR="003663E4" w:rsidRDefault="00FD3F7D">
            <w:pPr>
              <w:autoSpaceDE w:val="0"/>
              <w:autoSpaceDN w:val="0"/>
              <w:adjustRightInd w:val="0"/>
              <w:spacing w:line="276" w:lineRule="auto"/>
              <w:ind w:left="15"/>
              <w:jc w:val="right"/>
              <w:rPr>
                <w:rFonts w:eastAsiaTheme="minorEastAsia"/>
                <w:color w:val="000000"/>
                <w:kern w:val="0"/>
                <w:szCs w:val="21"/>
              </w:rPr>
            </w:pPr>
            <w:r>
              <w:rPr>
                <w:rFonts w:eastAsiaTheme="minorEastAsia"/>
                <w:color w:val="000000"/>
                <w:szCs w:val="21"/>
              </w:rPr>
              <w:t>中国建设银行股份有限公司</w:t>
            </w:r>
          </w:p>
        </w:tc>
      </w:tr>
      <w:tr w:rsidR="003663E4">
        <w:tc>
          <w:tcPr>
            <w:tcW w:w="3119" w:type="dxa"/>
            <w:vAlign w:val="center"/>
          </w:tcPr>
          <w:p w:rsidR="003663E4" w:rsidRDefault="00FD3F7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报告期末基金份额总额</w:t>
            </w:r>
          </w:p>
        </w:tc>
        <w:tc>
          <w:tcPr>
            <w:tcW w:w="5812" w:type="dxa"/>
            <w:vAlign w:val="center"/>
          </w:tcPr>
          <w:p w:rsidR="003663E4" w:rsidRDefault="00FD3F7D">
            <w:pPr>
              <w:autoSpaceDE w:val="0"/>
              <w:autoSpaceDN w:val="0"/>
              <w:adjustRightInd w:val="0"/>
              <w:spacing w:line="276" w:lineRule="auto"/>
              <w:ind w:left="15"/>
              <w:jc w:val="right"/>
              <w:rPr>
                <w:rFonts w:eastAsiaTheme="minorEastAsia"/>
                <w:color w:val="000000"/>
                <w:kern w:val="0"/>
                <w:szCs w:val="21"/>
              </w:rPr>
            </w:pPr>
            <w:r>
              <w:rPr>
                <w:rFonts w:eastAsiaTheme="minorEastAsia"/>
                <w:color w:val="000000"/>
                <w:szCs w:val="21"/>
              </w:rPr>
              <w:t>769,512,873.77</w:t>
            </w:r>
            <w:r>
              <w:rPr>
                <w:rFonts w:eastAsiaTheme="minorEastAsia"/>
                <w:color w:val="000000"/>
                <w:kern w:val="0"/>
                <w:szCs w:val="21"/>
              </w:rPr>
              <w:t>份</w:t>
            </w:r>
          </w:p>
        </w:tc>
      </w:tr>
      <w:tr w:rsidR="003663E4">
        <w:tc>
          <w:tcPr>
            <w:tcW w:w="3119" w:type="dxa"/>
            <w:vAlign w:val="center"/>
          </w:tcPr>
          <w:p w:rsidR="003663E4" w:rsidRDefault="00FD3F7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基金合同存续期</w:t>
            </w:r>
          </w:p>
        </w:tc>
        <w:tc>
          <w:tcPr>
            <w:tcW w:w="5812" w:type="dxa"/>
            <w:vAlign w:val="center"/>
          </w:tcPr>
          <w:p w:rsidR="003663E4" w:rsidRDefault="00FD3F7D">
            <w:pPr>
              <w:autoSpaceDE w:val="0"/>
              <w:autoSpaceDN w:val="0"/>
              <w:adjustRightInd w:val="0"/>
              <w:spacing w:line="276" w:lineRule="auto"/>
              <w:ind w:left="15"/>
              <w:jc w:val="right"/>
              <w:rPr>
                <w:rFonts w:eastAsiaTheme="minorEastAsia"/>
                <w:color w:val="000000"/>
                <w:kern w:val="0"/>
                <w:szCs w:val="21"/>
              </w:rPr>
            </w:pPr>
            <w:r>
              <w:rPr>
                <w:rFonts w:eastAsiaTheme="minorEastAsia"/>
                <w:color w:val="000000"/>
                <w:szCs w:val="21"/>
              </w:rPr>
              <w:t>不定期</w:t>
            </w:r>
          </w:p>
        </w:tc>
      </w:tr>
    </w:tbl>
    <w:p w:rsidR="003663E4" w:rsidRDefault="00FD3F7D">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、上表中</w:t>
      </w:r>
      <w:r>
        <w:rPr>
          <w:rFonts w:eastAsiaTheme="minorEastAsia"/>
          <w:kern w:val="0"/>
          <w:szCs w:val="21"/>
        </w:rPr>
        <w:t>“</w:t>
      </w:r>
      <w:r>
        <w:rPr>
          <w:rFonts w:eastAsiaTheme="minorEastAsia"/>
          <w:kern w:val="0"/>
          <w:szCs w:val="21"/>
        </w:rPr>
        <w:t>报告期末</w:t>
      </w:r>
      <w:r>
        <w:rPr>
          <w:rFonts w:eastAsiaTheme="minorEastAsia"/>
          <w:kern w:val="0"/>
          <w:szCs w:val="21"/>
        </w:rPr>
        <w:t>”</w:t>
      </w:r>
      <w:r>
        <w:rPr>
          <w:rFonts w:eastAsiaTheme="minorEastAsia"/>
          <w:kern w:val="0"/>
          <w:szCs w:val="21"/>
        </w:rPr>
        <w:t>指</w:t>
      </w:r>
      <w:r>
        <w:rPr>
          <w:rFonts w:eastAsiaTheme="minorEastAsia"/>
          <w:kern w:val="0"/>
          <w:szCs w:val="21"/>
        </w:rPr>
        <w:t>2020</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p>
    <w:p w:rsidR="003663E4" w:rsidRDefault="00FD3F7D">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、本基金于</w:t>
      </w:r>
      <w:r>
        <w:rPr>
          <w:rFonts w:eastAsiaTheme="minorEastAsia"/>
          <w:kern w:val="0"/>
          <w:szCs w:val="21"/>
        </w:rPr>
        <w:t>2020</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28</w:t>
      </w:r>
      <w:r>
        <w:rPr>
          <w:rFonts w:eastAsiaTheme="minorEastAsia"/>
          <w:kern w:val="0"/>
          <w:szCs w:val="21"/>
        </w:rPr>
        <w:t>日由交银施罗德理财</w:t>
      </w:r>
      <w:r>
        <w:rPr>
          <w:rFonts w:eastAsiaTheme="minorEastAsia"/>
          <w:kern w:val="0"/>
          <w:szCs w:val="21"/>
        </w:rPr>
        <w:t>60</w:t>
      </w:r>
      <w:r>
        <w:rPr>
          <w:rFonts w:eastAsiaTheme="minorEastAsia"/>
          <w:kern w:val="0"/>
          <w:szCs w:val="21"/>
        </w:rPr>
        <w:t>天债券型证券投资基金转型为交银施罗德裕惠纯债债券型证券投资基金，新基金合同及托管协议即日起生效。</w:t>
      </w:r>
    </w:p>
    <w:p w:rsidR="003663E4" w:rsidRDefault="00FD3F7D">
      <w:pPr>
        <w:autoSpaceDE w:val="0"/>
        <w:autoSpaceDN w:val="0"/>
        <w:adjustRightInd w:val="0"/>
        <w:snapToGrid w:val="0"/>
        <w:spacing w:line="360" w:lineRule="auto"/>
        <w:jc w:val="left"/>
        <w:rPr>
          <w:rFonts w:eastAsiaTheme="minorEastAsia"/>
          <w:b/>
          <w:bCs/>
          <w:kern w:val="0"/>
          <w:szCs w:val="21"/>
        </w:rPr>
      </w:pPr>
      <w:bookmarkStart w:id="14" w:name="_Toc487488997"/>
      <w:r>
        <w:rPr>
          <w:rFonts w:eastAsiaTheme="minorEastAsia"/>
          <w:b/>
          <w:bCs/>
          <w:kern w:val="0"/>
          <w:szCs w:val="21"/>
        </w:rPr>
        <w:t>2</w:t>
      </w:r>
      <w:r>
        <w:rPr>
          <w:rFonts w:eastAsiaTheme="minorEastAsia" w:hint="eastAsia"/>
          <w:b/>
          <w:bCs/>
          <w:kern w:val="0"/>
          <w:szCs w:val="21"/>
        </w:rPr>
        <w:t>.</w:t>
      </w:r>
      <w:r>
        <w:rPr>
          <w:rFonts w:eastAsiaTheme="minorEastAsia"/>
          <w:b/>
          <w:bCs/>
          <w:kern w:val="0"/>
          <w:szCs w:val="21"/>
        </w:rPr>
        <w:t>1</w:t>
      </w:r>
      <w:r>
        <w:rPr>
          <w:rFonts w:eastAsiaTheme="minorEastAsia" w:hint="eastAsia"/>
          <w:b/>
          <w:bCs/>
          <w:kern w:val="0"/>
          <w:szCs w:val="21"/>
        </w:rPr>
        <w:t>.</w:t>
      </w:r>
      <w:r>
        <w:rPr>
          <w:rFonts w:eastAsiaTheme="minorEastAsia"/>
          <w:b/>
          <w:bCs/>
          <w:kern w:val="0"/>
          <w:szCs w:val="21"/>
        </w:rPr>
        <w:t xml:space="preserve">2 </w:t>
      </w:r>
      <w:r>
        <w:rPr>
          <w:rFonts w:eastAsiaTheme="minorEastAsia"/>
          <w:b/>
          <w:bCs/>
          <w:kern w:val="0"/>
          <w:szCs w:val="21"/>
        </w:rPr>
        <w:t>交银施罗德理财</w:t>
      </w:r>
      <w:r>
        <w:rPr>
          <w:rFonts w:eastAsiaTheme="minorEastAsia"/>
          <w:b/>
          <w:bCs/>
          <w:kern w:val="0"/>
          <w:szCs w:val="21"/>
        </w:rPr>
        <w:t>60</w:t>
      </w:r>
      <w:r>
        <w:rPr>
          <w:rFonts w:eastAsiaTheme="minorEastAsia"/>
          <w:b/>
          <w:bCs/>
          <w:kern w:val="0"/>
          <w:szCs w:val="21"/>
        </w:rPr>
        <w:t>天债券型证券投资基金</w:t>
      </w:r>
      <w:bookmarkEnd w:id="14"/>
    </w:p>
    <w:tbl>
      <w:tblPr>
        <w:tblW w:w="94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2"/>
        <w:gridCol w:w="3277"/>
        <w:gridCol w:w="3277"/>
      </w:tblGrid>
      <w:tr w:rsidR="003663E4">
        <w:trPr>
          <w:jc w:val="center"/>
        </w:trPr>
        <w:tc>
          <w:tcPr>
            <w:tcW w:w="2872" w:type="dxa"/>
            <w:vAlign w:val="center"/>
          </w:tcPr>
          <w:p w:rsidR="003663E4" w:rsidRDefault="00FD3F7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基金名称</w:t>
            </w:r>
          </w:p>
        </w:tc>
        <w:tc>
          <w:tcPr>
            <w:tcW w:w="6554" w:type="dxa"/>
            <w:gridSpan w:val="2"/>
            <w:vAlign w:val="center"/>
          </w:tcPr>
          <w:p w:rsidR="003663E4" w:rsidRDefault="00FD3F7D">
            <w:pPr>
              <w:autoSpaceDE w:val="0"/>
              <w:autoSpaceDN w:val="0"/>
              <w:adjustRightInd w:val="0"/>
              <w:spacing w:line="276" w:lineRule="auto"/>
              <w:ind w:left="15"/>
              <w:jc w:val="right"/>
              <w:rPr>
                <w:rFonts w:eastAsiaTheme="minorEastAsia"/>
                <w:color w:val="000000"/>
                <w:kern w:val="0"/>
                <w:szCs w:val="21"/>
              </w:rPr>
            </w:pPr>
            <w:r>
              <w:rPr>
                <w:rFonts w:eastAsiaTheme="minorEastAsia"/>
                <w:color w:val="000000"/>
                <w:szCs w:val="21"/>
              </w:rPr>
              <w:t>交银施罗德理财</w:t>
            </w:r>
            <w:r>
              <w:rPr>
                <w:rFonts w:eastAsiaTheme="minorEastAsia"/>
                <w:color w:val="000000"/>
                <w:szCs w:val="21"/>
              </w:rPr>
              <w:t>60</w:t>
            </w:r>
            <w:r>
              <w:rPr>
                <w:rFonts w:eastAsiaTheme="minorEastAsia"/>
                <w:color w:val="000000"/>
                <w:szCs w:val="21"/>
              </w:rPr>
              <w:t>天债券型证券投资基金</w:t>
            </w:r>
          </w:p>
        </w:tc>
      </w:tr>
      <w:tr w:rsidR="003663E4">
        <w:trPr>
          <w:jc w:val="center"/>
        </w:trPr>
        <w:tc>
          <w:tcPr>
            <w:tcW w:w="2872" w:type="dxa"/>
            <w:vAlign w:val="center"/>
          </w:tcPr>
          <w:p w:rsidR="003663E4" w:rsidRDefault="00FD3F7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基金简称</w:t>
            </w:r>
          </w:p>
        </w:tc>
        <w:tc>
          <w:tcPr>
            <w:tcW w:w="6554" w:type="dxa"/>
            <w:gridSpan w:val="2"/>
            <w:vAlign w:val="center"/>
          </w:tcPr>
          <w:p w:rsidR="003663E4" w:rsidRDefault="00FD3F7D">
            <w:pPr>
              <w:autoSpaceDE w:val="0"/>
              <w:autoSpaceDN w:val="0"/>
              <w:adjustRightInd w:val="0"/>
              <w:spacing w:line="276" w:lineRule="auto"/>
              <w:ind w:left="15"/>
              <w:jc w:val="right"/>
              <w:rPr>
                <w:rFonts w:eastAsiaTheme="minorEastAsia"/>
                <w:color w:val="000000"/>
                <w:kern w:val="0"/>
                <w:szCs w:val="21"/>
              </w:rPr>
            </w:pPr>
            <w:r>
              <w:rPr>
                <w:rFonts w:eastAsiaTheme="minorEastAsia"/>
                <w:color w:val="000000"/>
                <w:szCs w:val="21"/>
              </w:rPr>
              <w:t>交银理财</w:t>
            </w:r>
            <w:r>
              <w:rPr>
                <w:rFonts w:eastAsiaTheme="minorEastAsia"/>
                <w:color w:val="000000"/>
                <w:szCs w:val="21"/>
              </w:rPr>
              <w:t>60</w:t>
            </w:r>
            <w:r>
              <w:rPr>
                <w:rFonts w:eastAsiaTheme="minorEastAsia"/>
                <w:color w:val="000000"/>
                <w:szCs w:val="21"/>
              </w:rPr>
              <w:t>天债券</w:t>
            </w:r>
          </w:p>
        </w:tc>
      </w:tr>
      <w:tr w:rsidR="003663E4">
        <w:trPr>
          <w:jc w:val="center"/>
        </w:trPr>
        <w:tc>
          <w:tcPr>
            <w:tcW w:w="2872" w:type="dxa"/>
            <w:vAlign w:val="center"/>
          </w:tcPr>
          <w:p w:rsidR="003663E4" w:rsidRDefault="00FD3F7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基金主代码</w:t>
            </w:r>
          </w:p>
        </w:tc>
        <w:tc>
          <w:tcPr>
            <w:tcW w:w="6554" w:type="dxa"/>
            <w:gridSpan w:val="2"/>
            <w:vAlign w:val="center"/>
          </w:tcPr>
          <w:p w:rsidR="003663E4" w:rsidRDefault="00FD3F7D">
            <w:pPr>
              <w:autoSpaceDE w:val="0"/>
              <w:autoSpaceDN w:val="0"/>
              <w:adjustRightInd w:val="0"/>
              <w:spacing w:line="276" w:lineRule="auto"/>
              <w:ind w:left="15"/>
              <w:jc w:val="right"/>
              <w:rPr>
                <w:rFonts w:eastAsiaTheme="minorEastAsia"/>
                <w:color w:val="000000"/>
                <w:kern w:val="0"/>
                <w:szCs w:val="21"/>
              </w:rPr>
            </w:pPr>
            <w:r>
              <w:rPr>
                <w:rFonts w:eastAsiaTheme="minorEastAsia"/>
                <w:color w:val="000000"/>
                <w:szCs w:val="21"/>
              </w:rPr>
              <w:t>519721</w:t>
            </w:r>
          </w:p>
        </w:tc>
      </w:tr>
      <w:tr w:rsidR="003663E4">
        <w:trPr>
          <w:jc w:val="center"/>
        </w:trPr>
        <w:tc>
          <w:tcPr>
            <w:tcW w:w="2872" w:type="dxa"/>
            <w:vAlign w:val="center"/>
          </w:tcPr>
          <w:p w:rsidR="003663E4" w:rsidRDefault="00FD3F7D">
            <w:pPr>
              <w:autoSpaceDE w:val="0"/>
              <w:autoSpaceDN w:val="0"/>
              <w:adjustRightInd w:val="0"/>
              <w:spacing w:line="276" w:lineRule="auto"/>
              <w:ind w:left="15"/>
              <w:jc w:val="left"/>
              <w:rPr>
                <w:rFonts w:eastAsiaTheme="minorEastAsia"/>
                <w:color w:val="000000"/>
                <w:kern w:val="0"/>
                <w:szCs w:val="21"/>
              </w:rPr>
            </w:pPr>
            <w:r>
              <w:rPr>
                <w:rFonts w:hint="eastAsia"/>
                <w:color w:val="000000"/>
                <w:kern w:val="0"/>
              </w:rPr>
              <w:t>交易代码</w:t>
            </w:r>
          </w:p>
        </w:tc>
        <w:tc>
          <w:tcPr>
            <w:tcW w:w="6554" w:type="dxa"/>
            <w:gridSpan w:val="2"/>
            <w:vAlign w:val="center"/>
          </w:tcPr>
          <w:p w:rsidR="003663E4" w:rsidRDefault="00FD3F7D">
            <w:pPr>
              <w:autoSpaceDE w:val="0"/>
              <w:autoSpaceDN w:val="0"/>
              <w:adjustRightInd w:val="0"/>
              <w:spacing w:line="276" w:lineRule="auto"/>
              <w:ind w:left="15"/>
              <w:jc w:val="right"/>
              <w:rPr>
                <w:rFonts w:eastAsiaTheme="minorEastAsia"/>
                <w:color w:val="000000"/>
                <w:szCs w:val="21"/>
              </w:rPr>
            </w:pPr>
            <w:r>
              <w:rPr>
                <w:color w:val="000000"/>
              </w:rPr>
              <w:t>519721</w:t>
            </w:r>
          </w:p>
        </w:tc>
      </w:tr>
      <w:tr w:rsidR="003663E4">
        <w:trPr>
          <w:jc w:val="center"/>
        </w:trPr>
        <w:tc>
          <w:tcPr>
            <w:tcW w:w="2872" w:type="dxa"/>
            <w:vAlign w:val="center"/>
          </w:tcPr>
          <w:p w:rsidR="003663E4" w:rsidRDefault="00FD3F7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基金运作方式</w:t>
            </w:r>
          </w:p>
        </w:tc>
        <w:tc>
          <w:tcPr>
            <w:tcW w:w="6554" w:type="dxa"/>
            <w:gridSpan w:val="2"/>
            <w:vAlign w:val="center"/>
          </w:tcPr>
          <w:p w:rsidR="003663E4" w:rsidRDefault="00FD3F7D">
            <w:pPr>
              <w:autoSpaceDE w:val="0"/>
              <w:autoSpaceDN w:val="0"/>
              <w:adjustRightInd w:val="0"/>
              <w:spacing w:line="276" w:lineRule="auto"/>
              <w:ind w:left="15"/>
              <w:jc w:val="right"/>
              <w:rPr>
                <w:rFonts w:eastAsiaTheme="minorEastAsia"/>
                <w:color w:val="000000"/>
                <w:kern w:val="0"/>
                <w:szCs w:val="21"/>
              </w:rPr>
            </w:pPr>
            <w:r>
              <w:rPr>
                <w:rFonts w:eastAsiaTheme="minorEastAsia"/>
                <w:color w:val="000000"/>
                <w:szCs w:val="21"/>
              </w:rPr>
              <w:t>契约型开放式</w:t>
            </w:r>
          </w:p>
        </w:tc>
      </w:tr>
      <w:tr w:rsidR="003663E4">
        <w:trPr>
          <w:jc w:val="center"/>
        </w:trPr>
        <w:tc>
          <w:tcPr>
            <w:tcW w:w="2872" w:type="dxa"/>
            <w:vAlign w:val="center"/>
          </w:tcPr>
          <w:p w:rsidR="003663E4" w:rsidRDefault="00FD3F7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基金合同生效日</w:t>
            </w:r>
          </w:p>
        </w:tc>
        <w:tc>
          <w:tcPr>
            <w:tcW w:w="6554" w:type="dxa"/>
            <w:gridSpan w:val="2"/>
            <w:vAlign w:val="center"/>
          </w:tcPr>
          <w:p w:rsidR="003663E4" w:rsidRDefault="00FD3F7D">
            <w:pPr>
              <w:autoSpaceDE w:val="0"/>
              <w:autoSpaceDN w:val="0"/>
              <w:adjustRightInd w:val="0"/>
              <w:spacing w:line="276" w:lineRule="auto"/>
              <w:ind w:left="15"/>
              <w:jc w:val="right"/>
              <w:rPr>
                <w:rFonts w:eastAsiaTheme="minorEastAsia"/>
                <w:color w:val="000000"/>
                <w:kern w:val="0"/>
                <w:szCs w:val="21"/>
              </w:rPr>
            </w:pPr>
            <w:r>
              <w:rPr>
                <w:rFonts w:eastAsiaTheme="minorEastAsia"/>
                <w:szCs w:val="21"/>
              </w:rPr>
              <w:t>2013</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13</w:t>
            </w:r>
            <w:r>
              <w:rPr>
                <w:rFonts w:eastAsiaTheme="minorEastAsia"/>
                <w:szCs w:val="21"/>
              </w:rPr>
              <w:t>日</w:t>
            </w:r>
          </w:p>
        </w:tc>
      </w:tr>
      <w:tr w:rsidR="003663E4">
        <w:trPr>
          <w:jc w:val="center"/>
        </w:trPr>
        <w:tc>
          <w:tcPr>
            <w:tcW w:w="2872" w:type="dxa"/>
            <w:vAlign w:val="center"/>
          </w:tcPr>
          <w:p w:rsidR="003663E4" w:rsidRDefault="00FD3F7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基金管理人</w:t>
            </w:r>
          </w:p>
        </w:tc>
        <w:tc>
          <w:tcPr>
            <w:tcW w:w="6554" w:type="dxa"/>
            <w:gridSpan w:val="2"/>
            <w:vAlign w:val="center"/>
          </w:tcPr>
          <w:p w:rsidR="003663E4" w:rsidRDefault="00FD3F7D">
            <w:pPr>
              <w:autoSpaceDE w:val="0"/>
              <w:autoSpaceDN w:val="0"/>
              <w:adjustRightInd w:val="0"/>
              <w:spacing w:line="276" w:lineRule="auto"/>
              <w:ind w:left="15"/>
              <w:jc w:val="right"/>
              <w:rPr>
                <w:rFonts w:eastAsiaTheme="minorEastAsia"/>
                <w:color w:val="000000"/>
                <w:kern w:val="0"/>
                <w:szCs w:val="21"/>
              </w:rPr>
            </w:pPr>
            <w:r>
              <w:rPr>
                <w:rFonts w:eastAsiaTheme="minorEastAsia"/>
                <w:color w:val="000000"/>
                <w:szCs w:val="21"/>
              </w:rPr>
              <w:t>交银施罗德基金管理有限公司</w:t>
            </w:r>
          </w:p>
        </w:tc>
      </w:tr>
      <w:tr w:rsidR="003663E4">
        <w:trPr>
          <w:jc w:val="center"/>
        </w:trPr>
        <w:tc>
          <w:tcPr>
            <w:tcW w:w="2872" w:type="dxa"/>
            <w:vAlign w:val="center"/>
          </w:tcPr>
          <w:p w:rsidR="003663E4" w:rsidRDefault="00FD3F7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基金托管人</w:t>
            </w:r>
          </w:p>
        </w:tc>
        <w:tc>
          <w:tcPr>
            <w:tcW w:w="6554" w:type="dxa"/>
            <w:gridSpan w:val="2"/>
            <w:vAlign w:val="center"/>
          </w:tcPr>
          <w:p w:rsidR="003663E4" w:rsidRDefault="00FD3F7D">
            <w:pPr>
              <w:autoSpaceDE w:val="0"/>
              <w:autoSpaceDN w:val="0"/>
              <w:adjustRightInd w:val="0"/>
              <w:spacing w:line="276" w:lineRule="auto"/>
              <w:ind w:left="15"/>
              <w:jc w:val="right"/>
              <w:rPr>
                <w:rFonts w:eastAsiaTheme="minorEastAsia"/>
                <w:color w:val="000000"/>
                <w:kern w:val="0"/>
                <w:szCs w:val="21"/>
              </w:rPr>
            </w:pPr>
            <w:r>
              <w:rPr>
                <w:rFonts w:eastAsiaTheme="minorEastAsia"/>
                <w:color w:val="000000"/>
                <w:szCs w:val="21"/>
              </w:rPr>
              <w:t>中国建设银行股份有限公司</w:t>
            </w:r>
          </w:p>
        </w:tc>
      </w:tr>
      <w:tr w:rsidR="003663E4">
        <w:trPr>
          <w:jc w:val="center"/>
        </w:trPr>
        <w:tc>
          <w:tcPr>
            <w:tcW w:w="2872" w:type="dxa"/>
            <w:vAlign w:val="center"/>
          </w:tcPr>
          <w:p w:rsidR="003663E4" w:rsidRDefault="00FD3F7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报告期末基金份额总额</w:t>
            </w:r>
          </w:p>
        </w:tc>
        <w:tc>
          <w:tcPr>
            <w:tcW w:w="6554" w:type="dxa"/>
            <w:gridSpan w:val="2"/>
            <w:vAlign w:val="center"/>
          </w:tcPr>
          <w:p w:rsidR="003663E4" w:rsidRDefault="00FD3F7D">
            <w:pPr>
              <w:autoSpaceDE w:val="0"/>
              <w:autoSpaceDN w:val="0"/>
              <w:adjustRightInd w:val="0"/>
              <w:spacing w:line="276" w:lineRule="auto"/>
              <w:ind w:left="15"/>
              <w:jc w:val="right"/>
              <w:rPr>
                <w:rFonts w:eastAsiaTheme="minorEastAsia"/>
                <w:color w:val="000000"/>
                <w:kern w:val="0"/>
                <w:szCs w:val="21"/>
              </w:rPr>
            </w:pPr>
            <w:r>
              <w:rPr>
                <w:rFonts w:eastAsiaTheme="minorEastAsia"/>
                <w:color w:val="000000"/>
                <w:szCs w:val="21"/>
              </w:rPr>
              <w:t>770,059,000.76</w:t>
            </w:r>
            <w:r>
              <w:rPr>
                <w:rFonts w:eastAsiaTheme="minorEastAsia"/>
                <w:color w:val="000000"/>
                <w:kern w:val="0"/>
                <w:szCs w:val="21"/>
              </w:rPr>
              <w:t>份</w:t>
            </w:r>
          </w:p>
        </w:tc>
      </w:tr>
      <w:tr w:rsidR="003663E4">
        <w:trPr>
          <w:jc w:val="center"/>
        </w:trPr>
        <w:tc>
          <w:tcPr>
            <w:tcW w:w="2872" w:type="dxa"/>
            <w:vAlign w:val="center"/>
          </w:tcPr>
          <w:p w:rsidR="003663E4" w:rsidRDefault="00FD3F7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基金合同存续期</w:t>
            </w:r>
          </w:p>
        </w:tc>
        <w:tc>
          <w:tcPr>
            <w:tcW w:w="6554" w:type="dxa"/>
            <w:gridSpan w:val="2"/>
            <w:vAlign w:val="center"/>
          </w:tcPr>
          <w:p w:rsidR="003663E4" w:rsidRDefault="00FD3F7D">
            <w:pPr>
              <w:autoSpaceDE w:val="0"/>
              <w:autoSpaceDN w:val="0"/>
              <w:adjustRightInd w:val="0"/>
              <w:spacing w:line="276" w:lineRule="auto"/>
              <w:ind w:left="15"/>
              <w:jc w:val="right"/>
              <w:rPr>
                <w:rFonts w:eastAsiaTheme="minorEastAsia"/>
                <w:color w:val="000000"/>
                <w:kern w:val="0"/>
                <w:szCs w:val="21"/>
              </w:rPr>
            </w:pPr>
            <w:r>
              <w:rPr>
                <w:rFonts w:eastAsiaTheme="minorEastAsia"/>
                <w:color w:val="000000"/>
                <w:szCs w:val="21"/>
              </w:rPr>
              <w:t>不定期</w:t>
            </w:r>
          </w:p>
        </w:tc>
      </w:tr>
      <w:tr w:rsidR="003663E4">
        <w:trPr>
          <w:trHeight w:val="369"/>
          <w:jc w:val="center"/>
        </w:trPr>
        <w:tc>
          <w:tcPr>
            <w:tcW w:w="2872" w:type="dxa"/>
            <w:vAlign w:val="center"/>
          </w:tcPr>
          <w:p w:rsidR="003663E4" w:rsidRDefault="00FD3F7D">
            <w:pPr>
              <w:spacing w:line="276" w:lineRule="auto"/>
              <w:rPr>
                <w:rFonts w:eastAsiaTheme="minorEastAsia"/>
                <w:szCs w:val="21"/>
              </w:rPr>
            </w:pPr>
            <w:r>
              <w:rPr>
                <w:rFonts w:eastAsiaTheme="minorEastAsia"/>
                <w:szCs w:val="21"/>
              </w:rPr>
              <w:t>下属分级基金的基金简称</w:t>
            </w:r>
          </w:p>
        </w:tc>
        <w:tc>
          <w:tcPr>
            <w:tcW w:w="3277" w:type="dxa"/>
            <w:vAlign w:val="center"/>
          </w:tcPr>
          <w:p w:rsidR="003663E4" w:rsidRDefault="00FD3F7D">
            <w:pPr>
              <w:spacing w:line="276" w:lineRule="auto"/>
              <w:jc w:val="right"/>
              <w:rPr>
                <w:rFonts w:eastAsiaTheme="minorEastAsia"/>
                <w:szCs w:val="21"/>
              </w:rPr>
            </w:pPr>
            <w:r>
              <w:rPr>
                <w:rFonts w:eastAsiaTheme="minorEastAsia"/>
                <w:szCs w:val="21"/>
              </w:rPr>
              <w:t>交银理财</w:t>
            </w:r>
            <w:r>
              <w:rPr>
                <w:rFonts w:eastAsiaTheme="minorEastAsia"/>
                <w:szCs w:val="21"/>
              </w:rPr>
              <w:t>60</w:t>
            </w:r>
            <w:r>
              <w:rPr>
                <w:rFonts w:eastAsiaTheme="minorEastAsia"/>
                <w:szCs w:val="21"/>
              </w:rPr>
              <w:t>天债券</w:t>
            </w:r>
            <w:r>
              <w:rPr>
                <w:rFonts w:eastAsiaTheme="minorEastAsia"/>
                <w:szCs w:val="21"/>
              </w:rPr>
              <w:t>A</w:t>
            </w:r>
          </w:p>
        </w:tc>
        <w:tc>
          <w:tcPr>
            <w:tcW w:w="3277" w:type="dxa"/>
            <w:vAlign w:val="center"/>
          </w:tcPr>
          <w:p w:rsidR="003663E4" w:rsidRDefault="00FD3F7D">
            <w:pPr>
              <w:spacing w:line="276" w:lineRule="auto"/>
              <w:jc w:val="right"/>
              <w:rPr>
                <w:rFonts w:eastAsiaTheme="minorEastAsia"/>
                <w:color w:val="000000" w:themeColor="text1"/>
                <w:szCs w:val="21"/>
              </w:rPr>
            </w:pPr>
            <w:r>
              <w:rPr>
                <w:rFonts w:eastAsiaTheme="minorEastAsia"/>
                <w:szCs w:val="21"/>
              </w:rPr>
              <w:t>交银理财</w:t>
            </w:r>
            <w:r>
              <w:rPr>
                <w:rFonts w:eastAsiaTheme="minorEastAsia"/>
                <w:szCs w:val="21"/>
              </w:rPr>
              <w:t>60</w:t>
            </w:r>
            <w:r>
              <w:rPr>
                <w:rFonts w:eastAsiaTheme="minorEastAsia"/>
                <w:szCs w:val="21"/>
              </w:rPr>
              <w:t>天债券</w:t>
            </w:r>
            <w:r>
              <w:rPr>
                <w:rFonts w:eastAsiaTheme="minorEastAsia"/>
                <w:szCs w:val="21"/>
              </w:rPr>
              <w:t>B</w:t>
            </w:r>
          </w:p>
        </w:tc>
      </w:tr>
      <w:tr w:rsidR="003663E4">
        <w:trPr>
          <w:trHeight w:val="475"/>
          <w:jc w:val="center"/>
        </w:trPr>
        <w:tc>
          <w:tcPr>
            <w:tcW w:w="2872" w:type="dxa"/>
            <w:vAlign w:val="center"/>
          </w:tcPr>
          <w:p w:rsidR="003663E4" w:rsidRDefault="00FD3F7D">
            <w:pPr>
              <w:spacing w:line="276" w:lineRule="auto"/>
              <w:rPr>
                <w:rFonts w:eastAsiaTheme="minorEastAsia"/>
                <w:szCs w:val="21"/>
              </w:rPr>
            </w:pPr>
            <w:r>
              <w:rPr>
                <w:rFonts w:eastAsiaTheme="minorEastAsia"/>
                <w:szCs w:val="21"/>
              </w:rPr>
              <w:t>下属分级基金的交易代码</w:t>
            </w:r>
          </w:p>
        </w:tc>
        <w:tc>
          <w:tcPr>
            <w:tcW w:w="3277" w:type="dxa"/>
            <w:vAlign w:val="center"/>
          </w:tcPr>
          <w:p w:rsidR="003663E4" w:rsidRDefault="00FD3F7D">
            <w:pPr>
              <w:spacing w:line="276" w:lineRule="auto"/>
              <w:jc w:val="right"/>
              <w:rPr>
                <w:rFonts w:eastAsiaTheme="minorEastAsia"/>
                <w:szCs w:val="21"/>
              </w:rPr>
            </w:pPr>
            <w:r>
              <w:rPr>
                <w:rFonts w:eastAsiaTheme="minorEastAsia"/>
                <w:szCs w:val="21"/>
              </w:rPr>
              <w:t>519721</w:t>
            </w:r>
          </w:p>
        </w:tc>
        <w:tc>
          <w:tcPr>
            <w:tcW w:w="3277" w:type="dxa"/>
            <w:vAlign w:val="center"/>
          </w:tcPr>
          <w:p w:rsidR="003663E4" w:rsidRDefault="00FD3F7D">
            <w:pPr>
              <w:spacing w:line="276" w:lineRule="auto"/>
              <w:jc w:val="right"/>
              <w:rPr>
                <w:rFonts w:eastAsiaTheme="minorEastAsia"/>
                <w:color w:val="000000" w:themeColor="text1"/>
                <w:szCs w:val="21"/>
              </w:rPr>
            </w:pPr>
            <w:r>
              <w:rPr>
                <w:rFonts w:eastAsiaTheme="minorEastAsia"/>
                <w:szCs w:val="21"/>
              </w:rPr>
              <w:t>519722</w:t>
            </w:r>
          </w:p>
        </w:tc>
      </w:tr>
      <w:tr w:rsidR="003663E4">
        <w:trPr>
          <w:trHeight w:val="696"/>
          <w:jc w:val="center"/>
        </w:trPr>
        <w:tc>
          <w:tcPr>
            <w:tcW w:w="2872" w:type="dxa"/>
            <w:vAlign w:val="center"/>
          </w:tcPr>
          <w:p w:rsidR="003663E4" w:rsidRDefault="00FD3F7D">
            <w:pPr>
              <w:spacing w:line="276" w:lineRule="auto"/>
              <w:rPr>
                <w:rFonts w:eastAsiaTheme="minorEastAsia"/>
                <w:szCs w:val="21"/>
              </w:rPr>
            </w:pPr>
            <w:r>
              <w:rPr>
                <w:rFonts w:eastAsiaTheme="minorEastAsia"/>
                <w:szCs w:val="21"/>
              </w:rPr>
              <w:t>报告期末下属分级基金的份额总额</w:t>
            </w:r>
          </w:p>
        </w:tc>
        <w:tc>
          <w:tcPr>
            <w:tcW w:w="3277" w:type="dxa"/>
            <w:vAlign w:val="center"/>
          </w:tcPr>
          <w:p w:rsidR="003663E4" w:rsidRDefault="00FD3F7D">
            <w:pPr>
              <w:spacing w:line="276" w:lineRule="auto"/>
              <w:jc w:val="right"/>
              <w:rPr>
                <w:rFonts w:eastAsiaTheme="minorEastAsia"/>
                <w:szCs w:val="21"/>
              </w:rPr>
            </w:pPr>
            <w:r>
              <w:rPr>
                <w:rFonts w:eastAsiaTheme="minorEastAsia"/>
                <w:szCs w:val="21"/>
              </w:rPr>
              <w:t>3,346,487.94</w:t>
            </w:r>
            <w:r>
              <w:rPr>
                <w:rFonts w:eastAsiaTheme="minorEastAsia"/>
                <w:szCs w:val="21"/>
              </w:rPr>
              <w:t>份</w:t>
            </w:r>
          </w:p>
        </w:tc>
        <w:tc>
          <w:tcPr>
            <w:tcW w:w="3277" w:type="dxa"/>
            <w:vAlign w:val="center"/>
          </w:tcPr>
          <w:p w:rsidR="003663E4" w:rsidRDefault="00FD3F7D">
            <w:pPr>
              <w:spacing w:line="276" w:lineRule="auto"/>
              <w:jc w:val="right"/>
              <w:rPr>
                <w:rFonts w:eastAsiaTheme="minorEastAsia"/>
                <w:color w:val="000000" w:themeColor="text1"/>
                <w:szCs w:val="21"/>
              </w:rPr>
            </w:pPr>
            <w:r>
              <w:rPr>
                <w:rFonts w:eastAsiaTheme="minorEastAsia"/>
                <w:szCs w:val="21"/>
              </w:rPr>
              <w:t>766,712,512.82</w:t>
            </w:r>
            <w:r>
              <w:rPr>
                <w:rFonts w:eastAsiaTheme="minorEastAsia"/>
                <w:szCs w:val="21"/>
              </w:rPr>
              <w:t>份</w:t>
            </w:r>
          </w:p>
        </w:tc>
      </w:tr>
    </w:tbl>
    <w:p w:rsidR="003663E4" w:rsidRDefault="00FD3F7D">
      <w:pPr>
        <w:tabs>
          <w:tab w:val="left" w:pos="426"/>
        </w:tabs>
        <w:spacing w:line="360" w:lineRule="auto"/>
        <w:ind w:firstLineChars="200" w:firstLine="420"/>
        <w:jc w:val="left"/>
        <w:rPr>
          <w:rFonts w:eastAsiaTheme="minorEastAsia"/>
          <w:kern w:val="0"/>
          <w:szCs w:val="21"/>
        </w:rPr>
      </w:pPr>
      <w:r>
        <w:rPr>
          <w:rFonts w:eastAsiaTheme="minorEastAsia"/>
          <w:kern w:val="0"/>
          <w:szCs w:val="21"/>
        </w:rPr>
        <w:t>注：上表中</w:t>
      </w:r>
      <w:r>
        <w:rPr>
          <w:rFonts w:eastAsiaTheme="minorEastAsia"/>
          <w:kern w:val="0"/>
          <w:szCs w:val="21"/>
        </w:rPr>
        <w:t>“</w:t>
      </w:r>
      <w:r>
        <w:rPr>
          <w:rFonts w:eastAsiaTheme="minorEastAsia"/>
          <w:kern w:val="0"/>
          <w:szCs w:val="21"/>
        </w:rPr>
        <w:t>报告期末</w:t>
      </w:r>
      <w:r>
        <w:rPr>
          <w:rFonts w:eastAsiaTheme="minorEastAsia"/>
          <w:kern w:val="0"/>
          <w:szCs w:val="21"/>
        </w:rPr>
        <w:t>”</w:t>
      </w:r>
      <w:r>
        <w:rPr>
          <w:rFonts w:eastAsiaTheme="minorEastAsia"/>
          <w:kern w:val="0"/>
          <w:szCs w:val="21"/>
        </w:rPr>
        <w:t>指</w:t>
      </w:r>
      <w:r>
        <w:rPr>
          <w:rFonts w:eastAsiaTheme="minorEastAsia"/>
          <w:kern w:val="0"/>
          <w:szCs w:val="21"/>
        </w:rPr>
        <w:t>2020</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27</w:t>
      </w:r>
      <w:r>
        <w:rPr>
          <w:rFonts w:eastAsiaTheme="minorEastAsia"/>
          <w:kern w:val="0"/>
          <w:szCs w:val="21"/>
        </w:rPr>
        <w:t>日。</w:t>
      </w:r>
    </w:p>
    <w:p w:rsidR="003663E4" w:rsidRDefault="00FD3F7D">
      <w:pPr>
        <w:pStyle w:val="2"/>
        <w:spacing w:before="0" w:after="0"/>
        <w:rPr>
          <w:rFonts w:ascii="Times New Roman" w:eastAsiaTheme="minorEastAsia" w:hAnsi="Times New Roman" w:cs="Times New Roman"/>
          <w:bCs w:val="0"/>
          <w:kern w:val="0"/>
          <w:sz w:val="21"/>
          <w:szCs w:val="21"/>
        </w:rPr>
      </w:pPr>
      <w:bookmarkStart w:id="15" w:name="_Toc23339330"/>
      <w:bookmarkStart w:id="16" w:name="_Toc268711013"/>
      <w:bookmarkStart w:id="17" w:name="_Toc487488998"/>
      <w:bookmarkStart w:id="18" w:name="_Toc31394"/>
      <w:r>
        <w:rPr>
          <w:rFonts w:ascii="Times New Roman" w:eastAsiaTheme="minorEastAsia" w:hAnsi="Times New Roman" w:cs="Times New Roman"/>
          <w:bCs w:val="0"/>
          <w:kern w:val="0"/>
          <w:sz w:val="21"/>
          <w:szCs w:val="21"/>
        </w:rPr>
        <w:t>2.2</w:t>
      </w:r>
      <w:r>
        <w:rPr>
          <w:rFonts w:ascii="Times New Roman" w:eastAsiaTheme="minorEastAsia" w:hAnsi="Times New Roman" w:cs="Times New Roman" w:hint="eastAsia"/>
          <w:bCs w:val="0"/>
          <w:kern w:val="0"/>
          <w:sz w:val="21"/>
          <w:szCs w:val="21"/>
        </w:rPr>
        <w:t xml:space="preserve"> </w:t>
      </w:r>
      <w:r>
        <w:rPr>
          <w:rFonts w:ascii="Times New Roman" w:eastAsiaTheme="minorEastAsia" w:hAnsi="Times New Roman" w:cs="Times New Roman"/>
          <w:bCs w:val="0"/>
          <w:kern w:val="0"/>
          <w:sz w:val="21"/>
          <w:szCs w:val="21"/>
        </w:rPr>
        <w:t>基金产品说明</w:t>
      </w:r>
      <w:bookmarkEnd w:id="15"/>
      <w:bookmarkEnd w:id="16"/>
      <w:bookmarkEnd w:id="17"/>
      <w:bookmarkEnd w:id="18"/>
    </w:p>
    <w:p w:rsidR="003663E4" w:rsidRDefault="00FD3F7D">
      <w:pPr>
        <w:autoSpaceDE w:val="0"/>
        <w:autoSpaceDN w:val="0"/>
        <w:adjustRightInd w:val="0"/>
        <w:snapToGrid w:val="0"/>
        <w:spacing w:line="360" w:lineRule="auto"/>
        <w:jc w:val="left"/>
        <w:rPr>
          <w:rFonts w:eastAsiaTheme="minorEastAsia"/>
          <w:b/>
          <w:bCs/>
          <w:kern w:val="0"/>
          <w:szCs w:val="21"/>
        </w:rPr>
      </w:pPr>
      <w:bookmarkStart w:id="19" w:name="_Toc487488999"/>
      <w:r>
        <w:rPr>
          <w:rFonts w:eastAsiaTheme="minorEastAsia"/>
          <w:b/>
          <w:bCs/>
          <w:kern w:val="0"/>
          <w:szCs w:val="21"/>
        </w:rPr>
        <w:t>2</w:t>
      </w:r>
      <w:r>
        <w:rPr>
          <w:rFonts w:eastAsiaTheme="minorEastAsia" w:hint="eastAsia"/>
          <w:b/>
          <w:bCs/>
          <w:kern w:val="0"/>
          <w:szCs w:val="21"/>
        </w:rPr>
        <w:t>.</w:t>
      </w:r>
      <w:r>
        <w:rPr>
          <w:rFonts w:eastAsiaTheme="minorEastAsia"/>
          <w:b/>
          <w:bCs/>
          <w:kern w:val="0"/>
          <w:szCs w:val="21"/>
        </w:rPr>
        <w:t>2</w:t>
      </w:r>
      <w:r>
        <w:rPr>
          <w:rFonts w:eastAsiaTheme="minorEastAsia" w:hint="eastAsia"/>
          <w:b/>
          <w:bCs/>
          <w:kern w:val="0"/>
          <w:szCs w:val="21"/>
        </w:rPr>
        <w:t>.</w:t>
      </w:r>
      <w:r>
        <w:rPr>
          <w:rFonts w:eastAsiaTheme="minorEastAsia"/>
          <w:b/>
          <w:bCs/>
          <w:kern w:val="0"/>
          <w:szCs w:val="21"/>
        </w:rPr>
        <w:t>1</w:t>
      </w:r>
      <w:r>
        <w:rPr>
          <w:rFonts w:eastAsiaTheme="minorEastAsia" w:hint="eastAsia"/>
          <w:b/>
          <w:bCs/>
          <w:kern w:val="0"/>
          <w:szCs w:val="21"/>
        </w:rPr>
        <w:t xml:space="preserve"> </w:t>
      </w:r>
      <w:r>
        <w:rPr>
          <w:rFonts w:eastAsiaTheme="minorEastAsia"/>
          <w:b/>
          <w:bCs/>
          <w:kern w:val="0"/>
          <w:szCs w:val="21"/>
        </w:rPr>
        <w:t>交银施罗德裕惠纯债债券型证券投资基金</w:t>
      </w:r>
      <w:bookmarkEnd w:id="19"/>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6804"/>
      </w:tblGrid>
      <w:tr w:rsidR="003663E4">
        <w:tc>
          <w:tcPr>
            <w:tcW w:w="2268" w:type="dxa"/>
            <w:vAlign w:val="center"/>
          </w:tcPr>
          <w:p w:rsidR="003663E4" w:rsidRDefault="00FD3F7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投资目标</w:t>
            </w:r>
          </w:p>
        </w:tc>
        <w:tc>
          <w:tcPr>
            <w:tcW w:w="6804" w:type="dxa"/>
            <w:vAlign w:val="center"/>
          </w:tcPr>
          <w:p w:rsidR="003663E4" w:rsidRDefault="00FD3F7D">
            <w:pPr>
              <w:spacing w:line="276" w:lineRule="auto"/>
              <w:rPr>
                <w:rFonts w:eastAsiaTheme="minorEastAsia"/>
                <w:color w:val="000000"/>
                <w:kern w:val="0"/>
                <w:szCs w:val="21"/>
              </w:rPr>
            </w:pPr>
            <w:r>
              <w:rPr>
                <w:rFonts w:eastAsiaTheme="minorEastAsia"/>
                <w:color w:val="000000"/>
                <w:kern w:val="0"/>
                <w:szCs w:val="21"/>
              </w:rPr>
              <w:t>在严格控制风险和保持较高流动性的前提下，力求获得高于业绩比较基准的投资收益。</w:t>
            </w:r>
          </w:p>
        </w:tc>
      </w:tr>
      <w:tr w:rsidR="003663E4">
        <w:tc>
          <w:tcPr>
            <w:tcW w:w="2268" w:type="dxa"/>
            <w:vAlign w:val="center"/>
          </w:tcPr>
          <w:p w:rsidR="003663E4" w:rsidRDefault="00FD3F7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投资策略</w:t>
            </w:r>
          </w:p>
        </w:tc>
        <w:tc>
          <w:tcPr>
            <w:tcW w:w="6804" w:type="dxa"/>
            <w:vAlign w:val="center"/>
          </w:tcPr>
          <w:p w:rsidR="003663E4" w:rsidRDefault="00FD3F7D">
            <w:pPr>
              <w:spacing w:line="276" w:lineRule="auto"/>
              <w:rPr>
                <w:rFonts w:eastAsiaTheme="minorEastAsia"/>
                <w:color w:val="000000"/>
                <w:kern w:val="0"/>
                <w:szCs w:val="21"/>
              </w:rPr>
            </w:pPr>
            <w:r>
              <w:rPr>
                <w:rFonts w:eastAsiaTheme="minorEastAsia"/>
                <w:color w:val="000000"/>
                <w:kern w:val="0"/>
                <w:szCs w:val="21"/>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3663E4">
        <w:tc>
          <w:tcPr>
            <w:tcW w:w="2268" w:type="dxa"/>
            <w:vAlign w:val="center"/>
          </w:tcPr>
          <w:p w:rsidR="003663E4" w:rsidRDefault="00FD3F7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业绩比较基准</w:t>
            </w:r>
          </w:p>
        </w:tc>
        <w:tc>
          <w:tcPr>
            <w:tcW w:w="6804" w:type="dxa"/>
            <w:vAlign w:val="center"/>
          </w:tcPr>
          <w:p w:rsidR="003663E4" w:rsidRDefault="00FD3F7D">
            <w:pPr>
              <w:spacing w:line="276" w:lineRule="auto"/>
              <w:rPr>
                <w:rFonts w:eastAsiaTheme="minorEastAsia"/>
                <w:color w:val="000000"/>
                <w:kern w:val="0"/>
                <w:szCs w:val="21"/>
              </w:rPr>
            </w:pPr>
            <w:r>
              <w:rPr>
                <w:rFonts w:eastAsiaTheme="minorEastAsia"/>
                <w:color w:val="000000"/>
                <w:kern w:val="0"/>
                <w:szCs w:val="21"/>
              </w:rPr>
              <w:t>中债综合全价指数收益率</w:t>
            </w:r>
          </w:p>
        </w:tc>
      </w:tr>
      <w:tr w:rsidR="003663E4">
        <w:tc>
          <w:tcPr>
            <w:tcW w:w="2268" w:type="dxa"/>
            <w:vAlign w:val="center"/>
          </w:tcPr>
          <w:p w:rsidR="003663E4" w:rsidRDefault="00FD3F7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风险收益特征</w:t>
            </w:r>
          </w:p>
        </w:tc>
        <w:tc>
          <w:tcPr>
            <w:tcW w:w="6804" w:type="dxa"/>
            <w:vAlign w:val="center"/>
          </w:tcPr>
          <w:p w:rsidR="003663E4" w:rsidRDefault="00FD3F7D">
            <w:pPr>
              <w:spacing w:line="276" w:lineRule="auto"/>
              <w:rPr>
                <w:rFonts w:eastAsiaTheme="minorEastAsia"/>
                <w:color w:val="000000"/>
                <w:kern w:val="0"/>
                <w:szCs w:val="21"/>
              </w:rPr>
            </w:pPr>
            <w:r>
              <w:rPr>
                <w:rFonts w:eastAsiaTheme="minorEastAsia"/>
                <w:color w:val="000000"/>
                <w:kern w:val="0"/>
                <w:szCs w:val="21"/>
              </w:rPr>
              <w:t>本基金是一只债券型基金，其预期风险与预期收益高于货币市场基金，低于混合型基金和股票型基金。</w:t>
            </w:r>
          </w:p>
        </w:tc>
      </w:tr>
    </w:tbl>
    <w:p w:rsidR="003663E4" w:rsidRDefault="00FD3F7D">
      <w:pPr>
        <w:autoSpaceDE w:val="0"/>
        <w:autoSpaceDN w:val="0"/>
        <w:adjustRightInd w:val="0"/>
        <w:snapToGrid w:val="0"/>
        <w:spacing w:line="360" w:lineRule="auto"/>
        <w:jc w:val="left"/>
        <w:rPr>
          <w:rFonts w:eastAsiaTheme="minorEastAsia"/>
          <w:b/>
          <w:bCs/>
          <w:kern w:val="0"/>
          <w:szCs w:val="21"/>
        </w:rPr>
      </w:pPr>
      <w:bookmarkStart w:id="20" w:name="_Toc487489000"/>
      <w:r>
        <w:rPr>
          <w:rFonts w:eastAsiaTheme="minorEastAsia"/>
          <w:b/>
          <w:bCs/>
          <w:kern w:val="0"/>
          <w:szCs w:val="21"/>
        </w:rPr>
        <w:t>2</w:t>
      </w:r>
      <w:r>
        <w:rPr>
          <w:rFonts w:eastAsiaTheme="minorEastAsia" w:hint="eastAsia"/>
          <w:b/>
          <w:bCs/>
          <w:kern w:val="0"/>
          <w:szCs w:val="21"/>
        </w:rPr>
        <w:t>.</w:t>
      </w:r>
      <w:r>
        <w:rPr>
          <w:rFonts w:eastAsiaTheme="minorEastAsia"/>
          <w:b/>
          <w:bCs/>
          <w:kern w:val="0"/>
          <w:szCs w:val="21"/>
        </w:rPr>
        <w:t>2</w:t>
      </w:r>
      <w:r>
        <w:rPr>
          <w:rFonts w:eastAsiaTheme="minorEastAsia" w:hint="eastAsia"/>
          <w:b/>
          <w:bCs/>
          <w:kern w:val="0"/>
          <w:szCs w:val="21"/>
        </w:rPr>
        <w:t>.</w:t>
      </w:r>
      <w:r>
        <w:rPr>
          <w:rFonts w:eastAsiaTheme="minorEastAsia"/>
          <w:b/>
          <w:bCs/>
          <w:kern w:val="0"/>
          <w:szCs w:val="21"/>
        </w:rPr>
        <w:t>2</w:t>
      </w:r>
      <w:r>
        <w:rPr>
          <w:rFonts w:eastAsiaTheme="minorEastAsia" w:hint="eastAsia"/>
          <w:b/>
          <w:bCs/>
          <w:kern w:val="0"/>
          <w:szCs w:val="21"/>
        </w:rPr>
        <w:t xml:space="preserve"> </w:t>
      </w:r>
      <w:r>
        <w:rPr>
          <w:rFonts w:eastAsiaTheme="minorEastAsia"/>
          <w:b/>
          <w:bCs/>
          <w:kern w:val="0"/>
          <w:szCs w:val="21"/>
        </w:rPr>
        <w:t>交银施罗德理财</w:t>
      </w:r>
      <w:r>
        <w:rPr>
          <w:rFonts w:eastAsiaTheme="minorEastAsia"/>
          <w:b/>
          <w:bCs/>
          <w:kern w:val="0"/>
          <w:szCs w:val="21"/>
        </w:rPr>
        <w:t>6</w:t>
      </w:r>
      <w:r>
        <w:rPr>
          <w:rFonts w:eastAsiaTheme="minorEastAsia"/>
          <w:b/>
          <w:bCs/>
          <w:kern w:val="0"/>
          <w:szCs w:val="21"/>
        </w:rPr>
        <w:t>0</w:t>
      </w:r>
      <w:r>
        <w:rPr>
          <w:rFonts w:eastAsiaTheme="minorEastAsia"/>
          <w:b/>
          <w:bCs/>
          <w:kern w:val="0"/>
          <w:szCs w:val="21"/>
        </w:rPr>
        <w:t>天债券型证券投资基金</w:t>
      </w:r>
      <w:bookmarkEnd w:id="20"/>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6804"/>
      </w:tblGrid>
      <w:tr w:rsidR="003663E4">
        <w:tc>
          <w:tcPr>
            <w:tcW w:w="2268" w:type="dxa"/>
            <w:vAlign w:val="center"/>
          </w:tcPr>
          <w:p w:rsidR="003663E4" w:rsidRDefault="00FD3F7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投资目标</w:t>
            </w:r>
          </w:p>
        </w:tc>
        <w:tc>
          <w:tcPr>
            <w:tcW w:w="6804" w:type="dxa"/>
            <w:vAlign w:val="center"/>
          </w:tcPr>
          <w:p w:rsidR="003663E4" w:rsidRDefault="00FD3F7D">
            <w:pPr>
              <w:spacing w:line="276" w:lineRule="auto"/>
              <w:rPr>
                <w:rFonts w:eastAsiaTheme="minorEastAsia"/>
                <w:color w:val="000000"/>
                <w:szCs w:val="21"/>
              </w:rPr>
            </w:pPr>
            <w:r>
              <w:rPr>
                <w:rFonts w:eastAsiaTheme="minorEastAsia"/>
                <w:color w:val="000000"/>
                <w:szCs w:val="21"/>
              </w:rPr>
              <w:t>本基金在追求本金安全、保持资产流动性的基础上，努力追求绝对收益，为基金份额持有人谋求资产的稳定增值。</w:t>
            </w:r>
          </w:p>
        </w:tc>
      </w:tr>
      <w:tr w:rsidR="003663E4">
        <w:tc>
          <w:tcPr>
            <w:tcW w:w="2268" w:type="dxa"/>
            <w:vAlign w:val="center"/>
          </w:tcPr>
          <w:p w:rsidR="003663E4" w:rsidRDefault="00FD3F7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投资策略</w:t>
            </w:r>
          </w:p>
        </w:tc>
        <w:tc>
          <w:tcPr>
            <w:tcW w:w="6804" w:type="dxa"/>
            <w:vAlign w:val="center"/>
          </w:tcPr>
          <w:p w:rsidR="003663E4" w:rsidRDefault="00FD3F7D">
            <w:pPr>
              <w:spacing w:line="276" w:lineRule="auto"/>
              <w:rPr>
                <w:rFonts w:eastAsiaTheme="minorEastAsia"/>
                <w:color w:val="000000"/>
                <w:szCs w:val="21"/>
              </w:rPr>
            </w:pPr>
            <w:r>
              <w:rPr>
                <w:rFonts w:eastAsiaTheme="minorEastAsia"/>
                <w:color w:val="000000"/>
                <w:szCs w:val="21"/>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3663E4">
        <w:tc>
          <w:tcPr>
            <w:tcW w:w="2268" w:type="dxa"/>
            <w:vAlign w:val="center"/>
          </w:tcPr>
          <w:p w:rsidR="003663E4" w:rsidRDefault="00FD3F7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业绩比较基准</w:t>
            </w:r>
          </w:p>
        </w:tc>
        <w:tc>
          <w:tcPr>
            <w:tcW w:w="6804" w:type="dxa"/>
            <w:vAlign w:val="center"/>
          </w:tcPr>
          <w:p w:rsidR="003663E4" w:rsidRDefault="00FD3F7D">
            <w:pPr>
              <w:spacing w:line="276" w:lineRule="auto"/>
              <w:rPr>
                <w:rFonts w:eastAsiaTheme="minorEastAsia"/>
                <w:color w:val="000000"/>
                <w:szCs w:val="21"/>
              </w:rPr>
            </w:pPr>
            <w:r>
              <w:rPr>
                <w:rFonts w:eastAsiaTheme="minorEastAsia"/>
                <w:color w:val="000000"/>
                <w:szCs w:val="21"/>
              </w:rPr>
              <w:t>人民币七天通知存款税后利率</w:t>
            </w:r>
          </w:p>
        </w:tc>
      </w:tr>
      <w:tr w:rsidR="003663E4">
        <w:tc>
          <w:tcPr>
            <w:tcW w:w="2268" w:type="dxa"/>
            <w:vAlign w:val="center"/>
          </w:tcPr>
          <w:p w:rsidR="003663E4" w:rsidRDefault="00FD3F7D">
            <w:pPr>
              <w:autoSpaceDE w:val="0"/>
              <w:autoSpaceDN w:val="0"/>
              <w:adjustRightInd w:val="0"/>
              <w:spacing w:line="276" w:lineRule="auto"/>
              <w:ind w:left="15"/>
              <w:jc w:val="left"/>
              <w:rPr>
                <w:rFonts w:eastAsiaTheme="minorEastAsia"/>
                <w:color w:val="000000"/>
                <w:kern w:val="0"/>
                <w:szCs w:val="21"/>
              </w:rPr>
            </w:pPr>
            <w:r>
              <w:rPr>
                <w:rFonts w:eastAsiaTheme="minorEastAsia"/>
                <w:color w:val="000000"/>
                <w:kern w:val="0"/>
                <w:szCs w:val="21"/>
              </w:rPr>
              <w:t>风险收益特征</w:t>
            </w:r>
          </w:p>
        </w:tc>
        <w:tc>
          <w:tcPr>
            <w:tcW w:w="6804" w:type="dxa"/>
            <w:vAlign w:val="center"/>
          </w:tcPr>
          <w:p w:rsidR="003663E4" w:rsidRDefault="00FD3F7D">
            <w:pPr>
              <w:spacing w:line="276" w:lineRule="auto"/>
              <w:rPr>
                <w:rFonts w:eastAsiaTheme="minorEastAsia"/>
                <w:color w:val="000000"/>
                <w:szCs w:val="21"/>
              </w:rPr>
            </w:pPr>
            <w:r>
              <w:rPr>
                <w:rFonts w:eastAsiaTheme="minorEastAsia"/>
                <w:color w:val="000000"/>
                <w:szCs w:val="21"/>
              </w:rPr>
              <w:t>本基金属于短期理财债券型证券投资基金，长期风险收益水平低于股票型基金、混合型基金及普通债券型基金，高于货币市场型证券投资基金。</w:t>
            </w:r>
          </w:p>
        </w:tc>
      </w:tr>
    </w:tbl>
    <w:p w:rsidR="003663E4" w:rsidRDefault="00FD3F7D">
      <w:pPr>
        <w:pStyle w:val="2"/>
        <w:spacing w:before="0" w:after="0"/>
        <w:rPr>
          <w:rFonts w:ascii="Times New Roman" w:eastAsiaTheme="minorEastAsia" w:hAnsi="Times New Roman" w:cs="Times New Roman"/>
          <w:bCs w:val="0"/>
          <w:kern w:val="0"/>
          <w:sz w:val="21"/>
          <w:szCs w:val="21"/>
        </w:rPr>
      </w:pPr>
      <w:bookmarkStart w:id="21" w:name="_Toc23339331"/>
      <w:bookmarkStart w:id="22" w:name="_Toc487489001"/>
      <w:bookmarkStart w:id="23" w:name="_Toc268711014"/>
      <w:bookmarkStart w:id="24" w:name="_Toc31437"/>
      <w:r>
        <w:rPr>
          <w:rFonts w:ascii="Times New Roman" w:eastAsiaTheme="minorEastAsia" w:hAnsi="Times New Roman" w:cs="Times New Roman"/>
          <w:bCs w:val="0"/>
          <w:kern w:val="0"/>
          <w:sz w:val="21"/>
          <w:szCs w:val="21"/>
        </w:rPr>
        <w:t>2.3</w:t>
      </w:r>
      <w:r>
        <w:rPr>
          <w:rFonts w:ascii="Times New Roman" w:eastAsiaTheme="minorEastAsia" w:hAnsi="Times New Roman" w:cs="Times New Roman" w:hint="eastAsia"/>
          <w:bCs w:val="0"/>
          <w:kern w:val="0"/>
          <w:sz w:val="21"/>
          <w:szCs w:val="21"/>
        </w:rPr>
        <w:t xml:space="preserve"> </w:t>
      </w:r>
      <w:r>
        <w:rPr>
          <w:rFonts w:ascii="Times New Roman" w:eastAsiaTheme="minorEastAsia" w:hAnsi="Times New Roman" w:cs="Times New Roman"/>
          <w:bCs w:val="0"/>
          <w:kern w:val="0"/>
          <w:sz w:val="21"/>
          <w:szCs w:val="21"/>
        </w:rPr>
        <w:t>基金管理人和基金托管人</w:t>
      </w:r>
      <w:bookmarkEnd w:id="21"/>
      <w:bookmarkEnd w:id="22"/>
      <w:bookmarkEnd w:id="23"/>
      <w:bookmarkEnd w:id="24"/>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5"/>
        <w:gridCol w:w="1139"/>
        <w:gridCol w:w="3444"/>
        <w:gridCol w:w="3444"/>
      </w:tblGrid>
      <w:tr w:rsidR="003663E4">
        <w:tc>
          <w:tcPr>
            <w:tcW w:w="2184" w:type="dxa"/>
            <w:gridSpan w:val="2"/>
            <w:vAlign w:val="center"/>
          </w:tcPr>
          <w:p w:rsidR="003663E4" w:rsidRDefault="00FD3F7D">
            <w:pPr>
              <w:autoSpaceDE w:val="0"/>
              <w:autoSpaceDN w:val="0"/>
              <w:adjustRightInd w:val="0"/>
              <w:spacing w:before="29" w:line="276" w:lineRule="auto"/>
              <w:ind w:left="15"/>
              <w:jc w:val="center"/>
              <w:rPr>
                <w:rFonts w:eastAsiaTheme="minorEastAsia"/>
                <w:color w:val="000000"/>
                <w:kern w:val="0"/>
                <w:szCs w:val="21"/>
              </w:rPr>
            </w:pPr>
            <w:r>
              <w:rPr>
                <w:rFonts w:hint="eastAsia"/>
                <w:color w:val="000000"/>
                <w:kern w:val="0"/>
              </w:rPr>
              <w:t>项目</w:t>
            </w:r>
          </w:p>
        </w:tc>
        <w:tc>
          <w:tcPr>
            <w:tcW w:w="3444" w:type="dxa"/>
            <w:vAlign w:val="center"/>
          </w:tcPr>
          <w:p w:rsidR="003663E4" w:rsidRDefault="00FD3F7D">
            <w:pPr>
              <w:spacing w:line="276" w:lineRule="auto"/>
              <w:jc w:val="center"/>
              <w:rPr>
                <w:rFonts w:eastAsiaTheme="minorEastAsia"/>
                <w:color w:val="000000"/>
                <w:szCs w:val="21"/>
              </w:rPr>
            </w:pPr>
            <w:r>
              <w:rPr>
                <w:rFonts w:hint="eastAsia"/>
                <w:color w:val="000000"/>
              </w:rPr>
              <w:t>基金管理人</w:t>
            </w:r>
          </w:p>
        </w:tc>
        <w:tc>
          <w:tcPr>
            <w:tcW w:w="3444" w:type="dxa"/>
            <w:vAlign w:val="center"/>
          </w:tcPr>
          <w:p w:rsidR="003663E4" w:rsidRDefault="00FD3F7D">
            <w:pPr>
              <w:spacing w:line="276" w:lineRule="auto"/>
              <w:jc w:val="center"/>
              <w:rPr>
                <w:rFonts w:eastAsiaTheme="minorEastAsia"/>
                <w:color w:val="000000"/>
                <w:szCs w:val="21"/>
              </w:rPr>
            </w:pPr>
            <w:r>
              <w:rPr>
                <w:rFonts w:hint="eastAsia"/>
                <w:color w:val="000000"/>
              </w:rPr>
              <w:t>基金托管人</w:t>
            </w:r>
          </w:p>
        </w:tc>
      </w:tr>
      <w:tr w:rsidR="003663E4">
        <w:tc>
          <w:tcPr>
            <w:tcW w:w="2184" w:type="dxa"/>
            <w:gridSpan w:val="2"/>
            <w:vAlign w:val="center"/>
          </w:tcPr>
          <w:p w:rsidR="003663E4" w:rsidRDefault="00FD3F7D">
            <w:pPr>
              <w:autoSpaceDE w:val="0"/>
              <w:autoSpaceDN w:val="0"/>
              <w:adjustRightInd w:val="0"/>
              <w:spacing w:before="29" w:line="276" w:lineRule="auto"/>
              <w:ind w:left="15"/>
              <w:rPr>
                <w:rFonts w:eastAsiaTheme="minorEastAsia"/>
                <w:color w:val="000000"/>
                <w:kern w:val="0"/>
                <w:szCs w:val="21"/>
              </w:rPr>
            </w:pPr>
            <w:r>
              <w:rPr>
                <w:rFonts w:hint="eastAsia"/>
                <w:color w:val="000000"/>
                <w:kern w:val="0"/>
              </w:rPr>
              <w:t>名称</w:t>
            </w:r>
          </w:p>
        </w:tc>
        <w:tc>
          <w:tcPr>
            <w:tcW w:w="3444" w:type="dxa"/>
            <w:vAlign w:val="center"/>
          </w:tcPr>
          <w:p w:rsidR="003663E4" w:rsidRDefault="00FD3F7D">
            <w:pPr>
              <w:autoSpaceDE w:val="0"/>
              <w:autoSpaceDN w:val="0"/>
              <w:adjustRightInd w:val="0"/>
              <w:spacing w:before="29" w:line="276" w:lineRule="auto"/>
              <w:ind w:left="15"/>
              <w:jc w:val="center"/>
              <w:rPr>
                <w:rFonts w:eastAsiaTheme="minorEastAsia"/>
                <w:color w:val="000000"/>
                <w:kern w:val="0"/>
                <w:szCs w:val="21"/>
              </w:rPr>
            </w:pPr>
            <w:r>
              <w:rPr>
                <w:color w:val="000000"/>
                <w:kern w:val="0"/>
              </w:rPr>
              <w:t>交银施罗德基金管理有限公司</w:t>
            </w:r>
          </w:p>
        </w:tc>
        <w:tc>
          <w:tcPr>
            <w:tcW w:w="3444" w:type="dxa"/>
            <w:vAlign w:val="center"/>
          </w:tcPr>
          <w:p w:rsidR="003663E4" w:rsidRDefault="00FD3F7D">
            <w:pPr>
              <w:autoSpaceDE w:val="0"/>
              <w:autoSpaceDN w:val="0"/>
              <w:adjustRightInd w:val="0"/>
              <w:spacing w:before="29" w:line="276" w:lineRule="auto"/>
              <w:ind w:left="15"/>
              <w:jc w:val="center"/>
              <w:rPr>
                <w:rFonts w:eastAsiaTheme="minorEastAsia"/>
                <w:color w:val="000000"/>
                <w:kern w:val="0"/>
                <w:szCs w:val="21"/>
              </w:rPr>
            </w:pPr>
            <w:r>
              <w:rPr>
                <w:color w:val="000000"/>
                <w:kern w:val="0"/>
              </w:rPr>
              <w:t>中国建设银行股份有限公司</w:t>
            </w:r>
          </w:p>
        </w:tc>
      </w:tr>
      <w:tr w:rsidR="003663E4">
        <w:tc>
          <w:tcPr>
            <w:tcW w:w="1045" w:type="dxa"/>
            <w:vMerge w:val="restart"/>
            <w:vAlign w:val="center"/>
          </w:tcPr>
          <w:p w:rsidR="003663E4" w:rsidRDefault="00FD3F7D">
            <w:pPr>
              <w:autoSpaceDE w:val="0"/>
              <w:autoSpaceDN w:val="0"/>
              <w:adjustRightInd w:val="0"/>
              <w:spacing w:before="29" w:line="276" w:lineRule="auto"/>
              <w:ind w:left="15"/>
              <w:rPr>
                <w:rFonts w:eastAsiaTheme="minorEastAsia"/>
                <w:color w:val="000000"/>
                <w:kern w:val="0"/>
                <w:szCs w:val="21"/>
              </w:rPr>
            </w:pPr>
            <w:r>
              <w:rPr>
                <w:rFonts w:hint="eastAsia"/>
                <w:color w:val="000000"/>
              </w:rPr>
              <w:t>信息披露负责人</w:t>
            </w:r>
          </w:p>
        </w:tc>
        <w:tc>
          <w:tcPr>
            <w:tcW w:w="1139" w:type="dxa"/>
            <w:vAlign w:val="center"/>
          </w:tcPr>
          <w:p w:rsidR="003663E4" w:rsidRDefault="00FD3F7D">
            <w:pPr>
              <w:spacing w:line="276" w:lineRule="auto"/>
              <w:jc w:val="center"/>
              <w:rPr>
                <w:rFonts w:eastAsiaTheme="minorEastAsia"/>
                <w:color w:val="000000"/>
                <w:szCs w:val="21"/>
              </w:rPr>
            </w:pPr>
            <w:r>
              <w:rPr>
                <w:rFonts w:hint="eastAsia"/>
                <w:color w:val="000000"/>
              </w:rPr>
              <w:t>姓名</w:t>
            </w:r>
          </w:p>
        </w:tc>
        <w:tc>
          <w:tcPr>
            <w:tcW w:w="3444" w:type="dxa"/>
            <w:vAlign w:val="center"/>
          </w:tcPr>
          <w:p w:rsidR="003663E4" w:rsidRDefault="00FD3F7D">
            <w:pPr>
              <w:autoSpaceDE w:val="0"/>
              <w:autoSpaceDN w:val="0"/>
              <w:adjustRightInd w:val="0"/>
              <w:spacing w:before="29" w:line="276" w:lineRule="auto"/>
              <w:ind w:left="15"/>
              <w:jc w:val="center"/>
              <w:rPr>
                <w:rFonts w:eastAsiaTheme="minorEastAsia"/>
                <w:color w:val="000000"/>
                <w:kern w:val="0"/>
                <w:szCs w:val="21"/>
              </w:rPr>
            </w:pPr>
            <w:r>
              <w:rPr>
                <w:color w:val="000000"/>
                <w:kern w:val="0"/>
              </w:rPr>
              <w:t>王晚婷</w:t>
            </w:r>
          </w:p>
        </w:tc>
        <w:tc>
          <w:tcPr>
            <w:tcW w:w="3444" w:type="dxa"/>
            <w:vAlign w:val="center"/>
          </w:tcPr>
          <w:p w:rsidR="003663E4" w:rsidRDefault="00FD3F7D">
            <w:pPr>
              <w:autoSpaceDE w:val="0"/>
              <w:autoSpaceDN w:val="0"/>
              <w:adjustRightInd w:val="0"/>
              <w:spacing w:before="29" w:line="276" w:lineRule="auto"/>
              <w:ind w:left="15"/>
              <w:jc w:val="center"/>
              <w:rPr>
                <w:rFonts w:eastAsiaTheme="minorEastAsia"/>
                <w:color w:val="000000"/>
                <w:kern w:val="0"/>
                <w:szCs w:val="21"/>
              </w:rPr>
            </w:pPr>
            <w:r>
              <w:rPr>
                <w:color w:val="000000"/>
                <w:kern w:val="0"/>
              </w:rPr>
              <w:t>李申</w:t>
            </w:r>
          </w:p>
        </w:tc>
      </w:tr>
      <w:tr w:rsidR="003663E4">
        <w:tc>
          <w:tcPr>
            <w:tcW w:w="1045" w:type="dxa"/>
            <w:vMerge/>
            <w:vAlign w:val="center"/>
          </w:tcPr>
          <w:p w:rsidR="003663E4" w:rsidRDefault="003663E4">
            <w:pPr>
              <w:widowControl/>
              <w:spacing w:line="276" w:lineRule="auto"/>
              <w:jc w:val="left"/>
              <w:rPr>
                <w:rFonts w:eastAsiaTheme="minorEastAsia"/>
                <w:color w:val="000000"/>
                <w:kern w:val="0"/>
                <w:szCs w:val="21"/>
              </w:rPr>
            </w:pPr>
          </w:p>
        </w:tc>
        <w:tc>
          <w:tcPr>
            <w:tcW w:w="1139" w:type="dxa"/>
            <w:vAlign w:val="center"/>
          </w:tcPr>
          <w:p w:rsidR="003663E4" w:rsidRDefault="00FD3F7D">
            <w:pPr>
              <w:autoSpaceDE w:val="0"/>
              <w:autoSpaceDN w:val="0"/>
              <w:adjustRightInd w:val="0"/>
              <w:spacing w:before="29" w:line="276" w:lineRule="auto"/>
              <w:ind w:left="15"/>
              <w:jc w:val="center"/>
              <w:rPr>
                <w:rFonts w:eastAsiaTheme="minorEastAsia"/>
                <w:color w:val="000000"/>
                <w:kern w:val="0"/>
                <w:szCs w:val="21"/>
              </w:rPr>
            </w:pPr>
            <w:r>
              <w:rPr>
                <w:rFonts w:hint="eastAsia"/>
                <w:color w:val="000000"/>
              </w:rPr>
              <w:t>联系电话</w:t>
            </w:r>
          </w:p>
        </w:tc>
        <w:tc>
          <w:tcPr>
            <w:tcW w:w="3444" w:type="dxa"/>
            <w:vAlign w:val="center"/>
          </w:tcPr>
          <w:p w:rsidR="003663E4" w:rsidRDefault="00FD3F7D">
            <w:pPr>
              <w:autoSpaceDE w:val="0"/>
              <w:autoSpaceDN w:val="0"/>
              <w:adjustRightInd w:val="0"/>
              <w:spacing w:before="29" w:line="276" w:lineRule="auto"/>
              <w:ind w:left="15"/>
              <w:jc w:val="center"/>
              <w:rPr>
                <w:rFonts w:eastAsiaTheme="minorEastAsia"/>
                <w:color w:val="000000"/>
                <w:kern w:val="0"/>
                <w:szCs w:val="21"/>
              </w:rPr>
            </w:pPr>
            <w:r>
              <w:rPr>
                <w:color w:val="000000"/>
                <w:kern w:val="0"/>
              </w:rPr>
              <w:t>（</w:t>
            </w:r>
            <w:r>
              <w:rPr>
                <w:color w:val="000000"/>
                <w:kern w:val="0"/>
              </w:rPr>
              <w:t>021</w:t>
            </w:r>
            <w:r>
              <w:rPr>
                <w:color w:val="000000"/>
                <w:kern w:val="0"/>
              </w:rPr>
              <w:t>）</w:t>
            </w:r>
            <w:r>
              <w:rPr>
                <w:color w:val="000000"/>
                <w:kern w:val="0"/>
              </w:rPr>
              <w:t>61055050</w:t>
            </w:r>
          </w:p>
        </w:tc>
        <w:tc>
          <w:tcPr>
            <w:tcW w:w="3444" w:type="dxa"/>
            <w:vAlign w:val="center"/>
          </w:tcPr>
          <w:p w:rsidR="003663E4" w:rsidRDefault="00FD3F7D">
            <w:pPr>
              <w:autoSpaceDE w:val="0"/>
              <w:autoSpaceDN w:val="0"/>
              <w:adjustRightInd w:val="0"/>
              <w:spacing w:before="29" w:line="276" w:lineRule="auto"/>
              <w:ind w:left="15"/>
              <w:jc w:val="center"/>
              <w:rPr>
                <w:rFonts w:eastAsiaTheme="minorEastAsia"/>
                <w:color w:val="000000"/>
                <w:kern w:val="0"/>
                <w:szCs w:val="21"/>
              </w:rPr>
            </w:pPr>
            <w:r>
              <w:rPr>
                <w:color w:val="000000"/>
                <w:kern w:val="0"/>
              </w:rPr>
              <w:t>021-60637102</w:t>
            </w:r>
          </w:p>
        </w:tc>
      </w:tr>
      <w:tr w:rsidR="003663E4">
        <w:tc>
          <w:tcPr>
            <w:tcW w:w="1045" w:type="dxa"/>
            <w:vMerge/>
            <w:vAlign w:val="center"/>
          </w:tcPr>
          <w:p w:rsidR="003663E4" w:rsidRDefault="003663E4">
            <w:pPr>
              <w:widowControl/>
              <w:spacing w:line="276" w:lineRule="auto"/>
              <w:jc w:val="left"/>
              <w:rPr>
                <w:rFonts w:eastAsiaTheme="minorEastAsia"/>
                <w:color w:val="000000"/>
                <w:kern w:val="0"/>
                <w:szCs w:val="21"/>
              </w:rPr>
            </w:pPr>
          </w:p>
        </w:tc>
        <w:tc>
          <w:tcPr>
            <w:tcW w:w="1139" w:type="dxa"/>
            <w:vAlign w:val="center"/>
          </w:tcPr>
          <w:p w:rsidR="003663E4" w:rsidRDefault="00FD3F7D">
            <w:pPr>
              <w:autoSpaceDE w:val="0"/>
              <w:autoSpaceDN w:val="0"/>
              <w:adjustRightInd w:val="0"/>
              <w:spacing w:before="29" w:line="276" w:lineRule="auto"/>
              <w:ind w:left="15"/>
              <w:jc w:val="center"/>
              <w:rPr>
                <w:rFonts w:eastAsiaTheme="minorEastAsia"/>
                <w:color w:val="000000"/>
                <w:kern w:val="0"/>
                <w:szCs w:val="21"/>
              </w:rPr>
            </w:pPr>
            <w:r>
              <w:rPr>
                <w:rFonts w:hint="eastAsia"/>
                <w:color w:val="000000"/>
              </w:rPr>
              <w:t>电子邮箱</w:t>
            </w:r>
          </w:p>
        </w:tc>
        <w:tc>
          <w:tcPr>
            <w:tcW w:w="3444" w:type="dxa"/>
            <w:vAlign w:val="center"/>
          </w:tcPr>
          <w:p w:rsidR="003663E4" w:rsidRDefault="00FD3F7D">
            <w:pPr>
              <w:autoSpaceDE w:val="0"/>
              <w:autoSpaceDN w:val="0"/>
              <w:adjustRightInd w:val="0"/>
              <w:spacing w:before="29" w:line="276" w:lineRule="auto"/>
              <w:ind w:left="15"/>
              <w:jc w:val="center"/>
              <w:rPr>
                <w:rFonts w:eastAsiaTheme="minorEastAsia"/>
                <w:color w:val="000000"/>
                <w:kern w:val="0"/>
                <w:szCs w:val="21"/>
              </w:rPr>
            </w:pPr>
            <w:r>
              <w:rPr>
                <w:color w:val="000000"/>
                <w:kern w:val="0"/>
              </w:rPr>
              <w:t>xxpl@jysld.com,disclosure@jysld.com</w:t>
            </w:r>
          </w:p>
        </w:tc>
        <w:tc>
          <w:tcPr>
            <w:tcW w:w="3444" w:type="dxa"/>
            <w:vAlign w:val="center"/>
          </w:tcPr>
          <w:p w:rsidR="003663E4" w:rsidRDefault="00FD3F7D">
            <w:pPr>
              <w:autoSpaceDE w:val="0"/>
              <w:autoSpaceDN w:val="0"/>
              <w:adjustRightInd w:val="0"/>
              <w:spacing w:before="29" w:line="276" w:lineRule="auto"/>
              <w:ind w:left="15"/>
              <w:jc w:val="center"/>
              <w:rPr>
                <w:rFonts w:eastAsiaTheme="minorEastAsia"/>
                <w:color w:val="000000"/>
                <w:kern w:val="0"/>
                <w:szCs w:val="21"/>
              </w:rPr>
            </w:pPr>
            <w:r>
              <w:rPr>
                <w:color w:val="000000"/>
                <w:kern w:val="0"/>
              </w:rPr>
              <w:t>lishen.zh@ccb.com</w:t>
            </w:r>
          </w:p>
        </w:tc>
      </w:tr>
      <w:tr w:rsidR="003663E4">
        <w:tc>
          <w:tcPr>
            <w:tcW w:w="2184" w:type="dxa"/>
            <w:gridSpan w:val="2"/>
            <w:vAlign w:val="center"/>
          </w:tcPr>
          <w:p w:rsidR="003663E4" w:rsidRDefault="00FD3F7D">
            <w:pPr>
              <w:spacing w:line="276" w:lineRule="auto"/>
              <w:rPr>
                <w:rFonts w:eastAsiaTheme="minorEastAsia"/>
                <w:color w:val="000000"/>
                <w:szCs w:val="21"/>
              </w:rPr>
            </w:pPr>
            <w:r>
              <w:rPr>
                <w:rFonts w:hint="eastAsia"/>
                <w:color w:val="000000"/>
              </w:rPr>
              <w:t>客户服务电话</w:t>
            </w:r>
          </w:p>
        </w:tc>
        <w:tc>
          <w:tcPr>
            <w:tcW w:w="3444" w:type="dxa"/>
            <w:vAlign w:val="center"/>
          </w:tcPr>
          <w:p w:rsidR="003663E4" w:rsidRDefault="00FD3F7D">
            <w:pPr>
              <w:autoSpaceDE w:val="0"/>
              <w:autoSpaceDN w:val="0"/>
              <w:adjustRightInd w:val="0"/>
              <w:spacing w:before="29" w:line="276" w:lineRule="auto"/>
              <w:ind w:left="15"/>
              <w:jc w:val="center"/>
              <w:rPr>
                <w:rFonts w:eastAsiaTheme="minorEastAsia"/>
                <w:color w:val="000000"/>
                <w:kern w:val="0"/>
                <w:szCs w:val="21"/>
              </w:rPr>
            </w:pPr>
            <w:r>
              <w:rPr>
                <w:color w:val="000000"/>
                <w:kern w:val="0"/>
              </w:rPr>
              <w:t>400-700-5000</w:t>
            </w:r>
            <w:r>
              <w:rPr>
                <w:color w:val="000000"/>
                <w:kern w:val="0"/>
              </w:rPr>
              <w:t>，</w:t>
            </w:r>
            <w:r>
              <w:rPr>
                <w:color w:val="000000"/>
                <w:kern w:val="0"/>
              </w:rPr>
              <w:t>021-61055000</w:t>
            </w:r>
          </w:p>
        </w:tc>
        <w:tc>
          <w:tcPr>
            <w:tcW w:w="3444" w:type="dxa"/>
            <w:vAlign w:val="center"/>
          </w:tcPr>
          <w:p w:rsidR="003663E4" w:rsidRDefault="00FD3F7D">
            <w:pPr>
              <w:autoSpaceDE w:val="0"/>
              <w:autoSpaceDN w:val="0"/>
              <w:adjustRightInd w:val="0"/>
              <w:spacing w:before="29" w:line="276" w:lineRule="auto"/>
              <w:ind w:left="15"/>
              <w:jc w:val="center"/>
              <w:rPr>
                <w:rFonts w:eastAsiaTheme="minorEastAsia"/>
                <w:color w:val="000000"/>
                <w:kern w:val="0"/>
                <w:szCs w:val="21"/>
              </w:rPr>
            </w:pPr>
            <w:r>
              <w:rPr>
                <w:color w:val="000000"/>
                <w:kern w:val="0"/>
              </w:rPr>
              <w:t xml:space="preserve">021-60637111 </w:t>
            </w:r>
          </w:p>
        </w:tc>
      </w:tr>
      <w:tr w:rsidR="003663E4">
        <w:tc>
          <w:tcPr>
            <w:tcW w:w="2184" w:type="dxa"/>
            <w:gridSpan w:val="2"/>
            <w:vAlign w:val="center"/>
          </w:tcPr>
          <w:p w:rsidR="003663E4" w:rsidRDefault="00FD3F7D">
            <w:pPr>
              <w:spacing w:line="276" w:lineRule="auto"/>
              <w:rPr>
                <w:rFonts w:eastAsiaTheme="minorEastAsia"/>
                <w:color w:val="000000"/>
                <w:szCs w:val="21"/>
              </w:rPr>
            </w:pPr>
            <w:r>
              <w:rPr>
                <w:rFonts w:hint="eastAsia"/>
                <w:color w:val="000000"/>
              </w:rPr>
              <w:t>传真</w:t>
            </w:r>
          </w:p>
        </w:tc>
        <w:tc>
          <w:tcPr>
            <w:tcW w:w="3444" w:type="dxa"/>
            <w:vAlign w:val="center"/>
          </w:tcPr>
          <w:p w:rsidR="003663E4" w:rsidRDefault="00FD3F7D">
            <w:pPr>
              <w:autoSpaceDE w:val="0"/>
              <w:autoSpaceDN w:val="0"/>
              <w:adjustRightInd w:val="0"/>
              <w:spacing w:before="29" w:line="276" w:lineRule="auto"/>
              <w:ind w:left="15"/>
              <w:jc w:val="center"/>
              <w:rPr>
                <w:rFonts w:eastAsiaTheme="minorEastAsia"/>
                <w:color w:val="000000"/>
                <w:kern w:val="0"/>
                <w:szCs w:val="21"/>
              </w:rPr>
            </w:pPr>
            <w:r>
              <w:rPr>
                <w:color w:val="000000"/>
                <w:kern w:val="0"/>
              </w:rPr>
              <w:t>（</w:t>
            </w:r>
            <w:r>
              <w:rPr>
                <w:color w:val="000000"/>
                <w:kern w:val="0"/>
              </w:rPr>
              <w:t>021</w:t>
            </w:r>
            <w:r>
              <w:rPr>
                <w:color w:val="000000"/>
                <w:kern w:val="0"/>
              </w:rPr>
              <w:t>）</w:t>
            </w:r>
            <w:r>
              <w:rPr>
                <w:color w:val="000000"/>
                <w:kern w:val="0"/>
              </w:rPr>
              <w:t>61055054</w:t>
            </w:r>
          </w:p>
        </w:tc>
        <w:tc>
          <w:tcPr>
            <w:tcW w:w="3444" w:type="dxa"/>
            <w:vAlign w:val="center"/>
          </w:tcPr>
          <w:p w:rsidR="003663E4" w:rsidRDefault="00FD3F7D">
            <w:pPr>
              <w:autoSpaceDE w:val="0"/>
              <w:autoSpaceDN w:val="0"/>
              <w:adjustRightInd w:val="0"/>
              <w:spacing w:before="29" w:line="276" w:lineRule="auto"/>
              <w:ind w:left="15"/>
              <w:jc w:val="center"/>
              <w:rPr>
                <w:rFonts w:eastAsiaTheme="minorEastAsia"/>
                <w:color w:val="000000"/>
                <w:kern w:val="0"/>
                <w:szCs w:val="21"/>
              </w:rPr>
            </w:pPr>
            <w:r>
              <w:rPr>
                <w:color w:val="000000"/>
                <w:kern w:val="0"/>
              </w:rPr>
              <w:t>021-60635778</w:t>
            </w:r>
          </w:p>
        </w:tc>
      </w:tr>
      <w:tr w:rsidR="003663E4">
        <w:tc>
          <w:tcPr>
            <w:tcW w:w="2184" w:type="dxa"/>
            <w:gridSpan w:val="2"/>
            <w:vAlign w:val="center"/>
          </w:tcPr>
          <w:p w:rsidR="003663E4" w:rsidRDefault="00FD3F7D">
            <w:pPr>
              <w:spacing w:line="276" w:lineRule="auto"/>
              <w:rPr>
                <w:rFonts w:eastAsiaTheme="minorEastAsia"/>
                <w:color w:val="000000"/>
                <w:szCs w:val="21"/>
              </w:rPr>
            </w:pPr>
            <w:r>
              <w:rPr>
                <w:rFonts w:hint="eastAsia"/>
                <w:color w:val="000000"/>
              </w:rPr>
              <w:t>注册地址</w:t>
            </w:r>
          </w:p>
        </w:tc>
        <w:tc>
          <w:tcPr>
            <w:tcW w:w="3444" w:type="dxa"/>
            <w:vAlign w:val="center"/>
          </w:tcPr>
          <w:p w:rsidR="003663E4" w:rsidRDefault="00FD3F7D">
            <w:pPr>
              <w:autoSpaceDE w:val="0"/>
              <w:autoSpaceDN w:val="0"/>
              <w:adjustRightInd w:val="0"/>
              <w:spacing w:before="29" w:line="276" w:lineRule="auto"/>
              <w:ind w:left="15"/>
              <w:jc w:val="center"/>
              <w:rPr>
                <w:rFonts w:eastAsiaTheme="minorEastAsia"/>
                <w:color w:val="000000"/>
                <w:kern w:val="0"/>
                <w:szCs w:val="21"/>
              </w:rPr>
            </w:pPr>
            <w:r>
              <w:rPr>
                <w:color w:val="000000"/>
                <w:kern w:val="0"/>
              </w:rPr>
              <w:t>中国（上海）自由贸易试验区银城中路</w:t>
            </w:r>
            <w:r>
              <w:rPr>
                <w:color w:val="000000"/>
                <w:kern w:val="0"/>
              </w:rPr>
              <w:t>188</w:t>
            </w:r>
            <w:r>
              <w:rPr>
                <w:color w:val="000000"/>
                <w:kern w:val="0"/>
              </w:rPr>
              <w:t>号交通银行大楼二层（裙）</w:t>
            </w:r>
          </w:p>
        </w:tc>
        <w:tc>
          <w:tcPr>
            <w:tcW w:w="3444" w:type="dxa"/>
            <w:vAlign w:val="center"/>
          </w:tcPr>
          <w:p w:rsidR="003663E4" w:rsidRDefault="00FD3F7D">
            <w:pPr>
              <w:autoSpaceDE w:val="0"/>
              <w:autoSpaceDN w:val="0"/>
              <w:adjustRightInd w:val="0"/>
              <w:spacing w:before="29" w:line="276" w:lineRule="auto"/>
              <w:ind w:left="15"/>
              <w:jc w:val="center"/>
              <w:rPr>
                <w:rFonts w:eastAsiaTheme="minorEastAsia"/>
                <w:color w:val="000000"/>
                <w:kern w:val="0"/>
                <w:szCs w:val="21"/>
              </w:rPr>
            </w:pPr>
            <w:r>
              <w:rPr>
                <w:color w:val="000000"/>
                <w:kern w:val="0"/>
              </w:rPr>
              <w:t>北京市西城区金融大街</w:t>
            </w:r>
            <w:r>
              <w:rPr>
                <w:color w:val="000000"/>
                <w:kern w:val="0"/>
              </w:rPr>
              <w:t>25</w:t>
            </w:r>
            <w:r>
              <w:rPr>
                <w:color w:val="000000"/>
                <w:kern w:val="0"/>
              </w:rPr>
              <w:t>号</w:t>
            </w:r>
          </w:p>
        </w:tc>
      </w:tr>
      <w:tr w:rsidR="003663E4">
        <w:tc>
          <w:tcPr>
            <w:tcW w:w="2184" w:type="dxa"/>
            <w:gridSpan w:val="2"/>
            <w:vAlign w:val="center"/>
          </w:tcPr>
          <w:p w:rsidR="003663E4" w:rsidRDefault="00FD3F7D">
            <w:pPr>
              <w:spacing w:line="276" w:lineRule="auto"/>
              <w:rPr>
                <w:rFonts w:eastAsiaTheme="minorEastAsia"/>
                <w:color w:val="000000"/>
                <w:szCs w:val="21"/>
              </w:rPr>
            </w:pPr>
            <w:r>
              <w:rPr>
                <w:rFonts w:hint="eastAsia"/>
                <w:color w:val="000000"/>
              </w:rPr>
              <w:t>办公地址</w:t>
            </w:r>
          </w:p>
        </w:tc>
        <w:tc>
          <w:tcPr>
            <w:tcW w:w="3444" w:type="dxa"/>
            <w:vAlign w:val="center"/>
          </w:tcPr>
          <w:p w:rsidR="003663E4" w:rsidRDefault="00FD3F7D">
            <w:pPr>
              <w:autoSpaceDE w:val="0"/>
              <w:autoSpaceDN w:val="0"/>
              <w:adjustRightInd w:val="0"/>
              <w:spacing w:before="29" w:line="276" w:lineRule="auto"/>
              <w:ind w:left="15"/>
              <w:jc w:val="center"/>
              <w:rPr>
                <w:rFonts w:eastAsiaTheme="minorEastAsia"/>
                <w:color w:val="000000"/>
                <w:kern w:val="0"/>
                <w:szCs w:val="21"/>
              </w:rPr>
            </w:pPr>
            <w:r>
              <w:rPr>
                <w:color w:val="000000"/>
                <w:kern w:val="0"/>
              </w:rPr>
              <w:t>上海市浦东新区世纪大道</w:t>
            </w:r>
            <w:r>
              <w:rPr>
                <w:color w:val="000000"/>
                <w:kern w:val="0"/>
              </w:rPr>
              <w:t>8</w:t>
            </w:r>
            <w:r>
              <w:rPr>
                <w:color w:val="000000"/>
                <w:kern w:val="0"/>
              </w:rPr>
              <w:t>号国金中心二期</w:t>
            </w:r>
            <w:r>
              <w:rPr>
                <w:color w:val="000000"/>
                <w:kern w:val="0"/>
              </w:rPr>
              <w:t>21-22</w:t>
            </w:r>
            <w:r>
              <w:rPr>
                <w:color w:val="000000"/>
                <w:kern w:val="0"/>
              </w:rPr>
              <w:t>楼</w:t>
            </w:r>
          </w:p>
        </w:tc>
        <w:tc>
          <w:tcPr>
            <w:tcW w:w="3444" w:type="dxa"/>
            <w:vAlign w:val="center"/>
          </w:tcPr>
          <w:p w:rsidR="003663E4" w:rsidRDefault="00FD3F7D">
            <w:pPr>
              <w:autoSpaceDE w:val="0"/>
              <w:autoSpaceDN w:val="0"/>
              <w:adjustRightInd w:val="0"/>
              <w:spacing w:before="29" w:line="276" w:lineRule="auto"/>
              <w:ind w:left="15"/>
              <w:jc w:val="center"/>
              <w:rPr>
                <w:rFonts w:eastAsiaTheme="minorEastAsia"/>
                <w:color w:val="000000"/>
                <w:kern w:val="0"/>
                <w:szCs w:val="21"/>
              </w:rPr>
            </w:pPr>
            <w:r>
              <w:rPr>
                <w:color w:val="000000"/>
                <w:kern w:val="0"/>
              </w:rPr>
              <w:t>北京市西城区闹市口大街</w:t>
            </w:r>
            <w:r>
              <w:rPr>
                <w:color w:val="000000"/>
                <w:kern w:val="0"/>
              </w:rPr>
              <w:t>1</w:t>
            </w:r>
            <w:r>
              <w:rPr>
                <w:color w:val="000000"/>
                <w:kern w:val="0"/>
              </w:rPr>
              <w:t>号院</w:t>
            </w:r>
            <w:r>
              <w:rPr>
                <w:color w:val="000000"/>
                <w:kern w:val="0"/>
              </w:rPr>
              <w:t>1</w:t>
            </w:r>
            <w:r>
              <w:rPr>
                <w:color w:val="000000"/>
                <w:kern w:val="0"/>
              </w:rPr>
              <w:t>号楼</w:t>
            </w:r>
          </w:p>
        </w:tc>
      </w:tr>
      <w:tr w:rsidR="003663E4">
        <w:tc>
          <w:tcPr>
            <w:tcW w:w="2184" w:type="dxa"/>
            <w:gridSpan w:val="2"/>
            <w:vAlign w:val="center"/>
          </w:tcPr>
          <w:p w:rsidR="003663E4" w:rsidRDefault="00FD3F7D">
            <w:pPr>
              <w:spacing w:line="276" w:lineRule="auto"/>
              <w:rPr>
                <w:rFonts w:eastAsiaTheme="minorEastAsia"/>
                <w:color w:val="000000"/>
                <w:szCs w:val="21"/>
              </w:rPr>
            </w:pPr>
            <w:r>
              <w:rPr>
                <w:rFonts w:hint="eastAsia"/>
                <w:color w:val="000000"/>
              </w:rPr>
              <w:t>邮政编码</w:t>
            </w:r>
          </w:p>
        </w:tc>
        <w:tc>
          <w:tcPr>
            <w:tcW w:w="3444" w:type="dxa"/>
            <w:vAlign w:val="center"/>
          </w:tcPr>
          <w:p w:rsidR="003663E4" w:rsidRDefault="00FD3F7D">
            <w:pPr>
              <w:autoSpaceDE w:val="0"/>
              <w:autoSpaceDN w:val="0"/>
              <w:adjustRightInd w:val="0"/>
              <w:spacing w:before="29" w:line="276" w:lineRule="auto"/>
              <w:ind w:left="15"/>
              <w:jc w:val="center"/>
              <w:rPr>
                <w:rFonts w:eastAsiaTheme="minorEastAsia"/>
                <w:color w:val="000000"/>
                <w:kern w:val="0"/>
                <w:szCs w:val="21"/>
              </w:rPr>
            </w:pPr>
            <w:r>
              <w:rPr>
                <w:color w:val="000000"/>
                <w:kern w:val="0"/>
              </w:rPr>
              <w:t>200120</w:t>
            </w:r>
          </w:p>
        </w:tc>
        <w:tc>
          <w:tcPr>
            <w:tcW w:w="3444" w:type="dxa"/>
            <w:vAlign w:val="center"/>
          </w:tcPr>
          <w:p w:rsidR="003663E4" w:rsidRDefault="00FD3F7D">
            <w:pPr>
              <w:autoSpaceDE w:val="0"/>
              <w:autoSpaceDN w:val="0"/>
              <w:adjustRightInd w:val="0"/>
              <w:spacing w:before="29" w:line="276" w:lineRule="auto"/>
              <w:ind w:left="15"/>
              <w:jc w:val="center"/>
              <w:rPr>
                <w:rFonts w:eastAsiaTheme="minorEastAsia"/>
                <w:color w:val="000000"/>
                <w:kern w:val="0"/>
                <w:szCs w:val="21"/>
              </w:rPr>
            </w:pPr>
            <w:r>
              <w:rPr>
                <w:color w:val="000000"/>
                <w:kern w:val="0"/>
              </w:rPr>
              <w:t>100033</w:t>
            </w:r>
          </w:p>
        </w:tc>
      </w:tr>
      <w:tr w:rsidR="003663E4">
        <w:tc>
          <w:tcPr>
            <w:tcW w:w="2184" w:type="dxa"/>
            <w:gridSpan w:val="2"/>
            <w:vAlign w:val="center"/>
          </w:tcPr>
          <w:p w:rsidR="003663E4" w:rsidRDefault="00FD3F7D">
            <w:pPr>
              <w:spacing w:line="276" w:lineRule="auto"/>
              <w:rPr>
                <w:rFonts w:eastAsiaTheme="minorEastAsia"/>
                <w:color w:val="000000"/>
                <w:szCs w:val="21"/>
              </w:rPr>
            </w:pPr>
            <w:r>
              <w:rPr>
                <w:rFonts w:hint="eastAsia"/>
                <w:color w:val="000000"/>
              </w:rPr>
              <w:t>法定代表人</w:t>
            </w:r>
          </w:p>
        </w:tc>
        <w:tc>
          <w:tcPr>
            <w:tcW w:w="3444" w:type="dxa"/>
            <w:vAlign w:val="center"/>
          </w:tcPr>
          <w:p w:rsidR="003663E4" w:rsidRDefault="00FD3F7D">
            <w:pPr>
              <w:autoSpaceDE w:val="0"/>
              <w:autoSpaceDN w:val="0"/>
              <w:adjustRightInd w:val="0"/>
              <w:spacing w:before="29" w:line="276" w:lineRule="auto"/>
              <w:ind w:left="15"/>
              <w:jc w:val="center"/>
              <w:rPr>
                <w:rFonts w:eastAsiaTheme="minorEastAsia"/>
                <w:color w:val="000000"/>
                <w:kern w:val="0"/>
                <w:szCs w:val="21"/>
              </w:rPr>
            </w:pPr>
            <w:r>
              <w:rPr>
                <w:color w:val="000000"/>
                <w:kern w:val="0"/>
              </w:rPr>
              <w:t>阮红</w:t>
            </w:r>
          </w:p>
        </w:tc>
        <w:tc>
          <w:tcPr>
            <w:tcW w:w="3444" w:type="dxa"/>
            <w:vAlign w:val="center"/>
          </w:tcPr>
          <w:p w:rsidR="003663E4" w:rsidRDefault="00FD3F7D">
            <w:pPr>
              <w:autoSpaceDE w:val="0"/>
              <w:autoSpaceDN w:val="0"/>
              <w:adjustRightInd w:val="0"/>
              <w:spacing w:before="29" w:line="276" w:lineRule="auto"/>
              <w:ind w:left="15"/>
              <w:jc w:val="center"/>
              <w:rPr>
                <w:rFonts w:eastAsiaTheme="minorEastAsia"/>
                <w:color w:val="000000"/>
                <w:kern w:val="0"/>
                <w:szCs w:val="21"/>
              </w:rPr>
            </w:pPr>
            <w:r>
              <w:rPr>
                <w:color w:val="000000"/>
                <w:kern w:val="0"/>
              </w:rPr>
              <w:t>田国立</w:t>
            </w:r>
          </w:p>
        </w:tc>
      </w:tr>
    </w:tbl>
    <w:p w:rsidR="003663E4" w:rsidRDefault="00FD3F7D">
      <w:pPr>
        <w:pStyle w:val="2"/>
        <w:spacing w:before="0" w:after="0"/>
        <w:rPr>
          <w:rFonts w:ascii="Times New Roman" w:eastAsiaTheme="minorEastAsia" w:hAnsi="Times New Roman" w:cs="Times New Roman"/>
          <w:bCs w:val="0"/>
          <w:kern w:val="0"/>
          <w:sz w:val="21"/>
          <w:szCs w:val="21"/>
        </w:rPr>
      </w:pPr>
      <w:bookmarkStart w:id="25" w:name="_Toc268711015"/>
      <w:bookmarkStart w:id="26" w:name="_Toc23339332"/>
      <w:bookmarkStart w:id="27" w:name="_Toc487489002"/>
      <w:bookmarkStart w:id="28" w:name="_Toc9208"/>
      <w:r>
        <w:rPr>
          <w:rFonts w:ascii="Times New Roman" w:eastAsiaTheme="minorEastAsia" w:hAnsi="Times New Roman" w:cs="Times New Roman"/>
          <w:bCs w:val="0"/>
          <w:kern w:val="0"/>
          <w:sz w:val="21"/>
          <w:szCs w:val="21"/>
        </w:rPr>
        <w:t>2.4</w:t>
      </w:r>
      <w:r>
        <w:rPr>
          <w:rFonts w:ascii="Times New Roman" w:eastAsiaTheme="minorEastAsia" w:hAnsi="Times New Roman" w:cs="Times New Roman" w:hint="eastAsia"/>
          <w:bCs w:val="0"/>
          <w:kern w:val="0"/>
          <w:sz w:val="21"/>
          <w:szCs w:val="21"/>
        </w:rPr>
        <w:t xml:space="preserve"> </w:t>
      </w:r>
      <w:r>
        <w:rPr>
          <w:rFonts w:ascii="Times New Roman" w:eastAsiaTheme="minorEastAsia" w:hAnsi="Times New Roman" w:cs="Times New Roman"/>
          <w:bCs w:val="0"/>
          <w:kern w:val="0"/>
          <w:sz w:val="21"/>
          <w:szCs w:val="21"/>
        </w:rPr>
        <w:t>信息披露方式</w:t>
      </w:r>
      <w:bookmarkEnd w:id="25"/>
      <w:bookmarkEnd w:id="26"/>
      <w:bookmarkEnd w:id="27"/>
      <w:bookmarkEnd w:id="28"/>
      <w:r>
        <w:rPr>
          <w:rFonts w:ascii="Times New Roman" w:eastAsiaTheme="minorEastAsia" w:hAnsi="Times New Roman" w:cs="Times New Roman"/>
          <w:bCs w:val="0"/>
          <w:kern w:val="0"/>
          <w:sz w:val="21"/>
          <w:szCs w:val="21"/>
        </w:rPr>
        <w:t xml:space="preserve"> </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5244"/>
      </w:tblGrid>
      <w:tr w:rsidR="003663E4">
        <w:tc>
          <w:tcPr>
            <w:tcW w:w="3828" w:type="dxa"/>
          </w:tcPr>
          <w:p w:rsidR="003663E4" w:rsidRDefault="00FD3F7D">
            <w:pPr>
              <w:tabs>
                <w:tab w:val="left" w:pos="1740"/>
              </w:tabs>
              <w:spacing w:line="360" w:lineRule="auto"/>
              <w:rPr>
                <w:rFonts w:eastAsiaTheme="minorEastAsia"/>
                <w:szCs w:val="21"/>
              </w:rPr>
            </w:pPr>
            <w:r>
              <w:rPr>
                <w:rFonts w:eastAsiaTheme="minorEastAsia"/>
                <w:szCs w:val="21"/>
              </w:rPr>
              <w:t>本基金选定的信息披露报纸名称</w:t>
            </w:r>
          </w:p>
        </w:tc>
        <w:tc>
          <w:tcPr>
            <w:tcW w:w="5244" w:type="dxa"/>
            <w:vAlign w:val="center"/>
          </w:tcPr>
          <w:p w:rsidR="003663E4" w:rsidRDefault="00FD3F7D">
            <w:pPr>
              <w:tabs>
                <w:tab w:val="left" w:pos="1740"/>
              </w:tabs>
              <w:spacing w:line="276" w:lineRule="auto"/>
              <w:rPr>
                <w:rFonts w:eastAsiaTheme="minorEastAsia"/>
                <w:color w:val="000000"/>
                <w:szCs w:val="21"/>
              </w:rPr>
            </w:pPr>
            <w:r>
              <w:rPr>
                <w:rFonts w:eastAsiaTheme="minorEastAsia" w:hint="eastAsia"/>
                <w:color w:val="000000"/>
                <w:szCs w:val="21"/>
              </w:rPr>
              <w:t>《</w:t>
            </w:r>
            <w:r>
              <w:rPr>
                <w:rFonts w:eastAsiaTheme="minorEastAsia"/>
                <w:color w:val="000000"/>
                <w:szCs w:val="21"/>
              </w:rPr>
              <w:t>中国证券报</w:t>
            </w:r>
            <w:r>
              <w:rPr>
                <w:rFonts w:eastAsiaTheme="minorEastAsia" w:hint="eastAsia"/>
                <w:color w:val="000000"/>
                <w:szCs w:val="21"/>
              </w:rPr>
              <w:t>》</w:t>
            </w:r>
          </w:p>
        </w:tc>
      </w:tr>
      <w:tr w:rsidR="003663E4">
        <w:tc>
          <w:tcPr>
            <w:tcW w:w="3828" w:type="dxa"/>
          </w:tcPr>
          <w:p w:rsidR="003663E4" w:rsidRDefault="00FD3F7D">
            <w:pPr>
              <w:tabs>
                <w:tab w:val="left" w:pos="1740"/>
              </w:tabs>
              <w:spacing w:line="360" w:lineRule="auto"/>
              <w:rPr>
                <w:rFonts w:eastAsiaTheme="minorEastAsia"/>
                <w:szCs w:val="21"/>
              </w:rPr>
            </w:pPr>
            <w:r>
              <w:rPr>
                <w:rFonts w:eastAsiaTheme="minorEastAsia"/>
                <w:szCs w:val="21"/>
              </w:rPr>
              <w:t>登载基金年度报告正文的管理人互联网网址</w:t>
            </w:r>
          </w:p>
        </w:tc>
        <w:tc>
          <w:tcPr>
            <w:tcW w:w="5244" w:type="dxa"/>
            <w:vAlign w:val="center"/>
          </w:tcPr>
          <w:p w:rsidR="003663E4" w:rsidRDefault="00FD3F7D">
            <w:pPr>
              <w:tabs>
                <w:tab w:val="left" w:pos="1740"/>
              </w:tabs>
              <w:spacing w:line="276" w:lineRule="auto"/>
              <w:rPr>
                <w:rFonts w:eastAsiaTheme="minorEastAsia"/>
                <w:color w:val="000000"/>
                <w:szCs w:val="21"/>
              </w:rPr>
            </w:pPr>
            <w:r>
              <w:rPr>
                <w:rFonts w:eastAsiaTheme="minorEastAsia"/>
                <w:color w:val="000000"/>
                <w:szCs w:val="21"/>
              </w:rPr>
              <w:t>www.fund001.com</w:t>
            </w:r>
          </w:p>
        </w:tc>
      </w:tr>
      <w:tr w:rsidR="003663E4">
        <w:tc>
          <w:tcPr>
            <w:tcW w:w="3828" w:type="dxa"/>
          </w:tcPr>
          <w:p w:rsidR="003663E4" w:rsidRDefault="00FD3F7D">
            <w:pPr>
              <w:tabs>
                <w:tab w:val="left" w:pos="1740"/>
              </w:tabs>
              <w:spacing w:line="360" w:lineRule="auto"/>
              <w:rPr>
                <w:rFonts w:eastAsiaTheme="minorEastAsia"/>
                <w:szCs w:val="21"/>
              </w:rPr>
            </w:pPr>
            <w:r>
              <w:rPr>
                <w:rFonts w:eastAsiaTheme="minorEastAsia"/>
                <w:szCs w:val="21"/>
              </w:rPr>
              <w:t>基金年度报告备置地点</w:t>
            </w:r>
          </w:p>
        </w:tc>
        <w:tc>
          <w:tcPr>
            <w:tcW w:w="5244" w:type="dxa"/>
            <w:vAlign w:val="center"/>
          </w:tcPr>
          <w:p w:rsidR="003663E4" w:rsidRDefault="00FD3F7D">
            <w:pPr>
              <w:tabs>
                <w:tab w:val="left" w:pos="1740"/>
              </w:tabs>
              <w:spacing w:line="276" w:lineRule="auto"/>
              <w:rPr>
                <w:rFonts w:eastAsiaTheme="minorEastAsia"/>
                <w:color w:val="000000"/>
                <w:szCs w:val="21"/>
              </w:rPr>
            </w:pPr>
            <w:r>
              <w:rPr>
                <w:rFonts w:eastAsiaTheme="minorEastAsia"/>
                <w:color w:val="000000"/>
                <w:szCs w:val="21"/>
              </w:rPr>
              <w:t>基金管理人的办公场所</w:t>
            </w:r>
          </w:p>
        </w:tc>
      </w:tr>
    </w:tbl>
    <w:p w:rsidR="003663E4" w:rsidRDefault="00FD3F7D">
      <w:pPr>
        <w:pStyle w:val="2"/>
        <w:spacing w:before="0" w:after="0"/>
        <w:rPr>
          <w:rFonts w:ascii="Times New Roman" w:eastAsiaTheme="minorEastAsia" w:hAnsi="Times New Roman" w:cs="Times New Roman"/>
          <w:bCs w:val="0"/>
          <w:kern w:val="0"/>
          <w:sz w:val="21"/>
          <w:szCs w:val="21"/>
        </w:rPr>
      </w:pPr>
      <w:bookmarkStart w:id="29" w:name="_Toc487489003"/>
      <w:bookmarkStart w:id="30" w:name="_Toc23339333"/>
      <w:bookmarkStart w:id="31" w:name="_Toc268711016"/>
      <w:bookmarkStart w:id="32" w:name="_Toc32743"/>
      <w:r>
        <w:rPr>
          <w:rFonts w:ascii="Times New Roman" w:eastAsiaTheme="minorEastAsia" w:hAnsi="Times New Roman" w:cs="Times New Roman"/>
          <w:bCs w:val="0"/>
          <w:kern w:val="0"/>
          <w:sz w:val="21"/>
          <w:szCs w:val="21"/>
        </w:rPr>
        <w:t>2.5</w:t>
      </w:r>
      <w:r>
        <w:rPr>
          <w:rFonts w:ascii="Times New Roman" w:eastAsiaTheme="minorEastAsia" w:hAnsi="Times New Roman" w:cs="Times New Roman" w:hint="eastAsia"/>
          <w:bCs w:val="0"/>
          <w:kern w:val="0"/>
          <w:sz w:val="21"/>
          <w:szCs w:val="21"/>
        </w:rPr>
        <w:t xml:space="preserve"> </w:t>
      </w:r>
      <w:r>
        <w:rPr>
          <w:rFonts w:ascii="Times New Roman" w:eastAsiaTheme="minorEastAsia" w:hAnsi="Times New Roman" w:cs="Times New Roman"/>
          <w:bCs w:val="0"/>
          <w:kern w:val="0"/>
          <w:sz w:val="21"/>
          <w:szCs w:val="21"/>
        </w:rPr>
        <w:t>其他相关资料</w:t>
      </w:r>
      <w:bookmarkEnd w:id="29"/>
      <w:bookmarkEnd w:id="30"/>
      <w:bookmarkEnd w:id="31"/>
      <w:bookmarkEnd w:id="32"/>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60"/>
        <w:gridCol w:w="3419"/>
        <w:gridCol w:w="3493"/>
      </w:tblGrid>
      <w:tr w:rsidR="003663E4">
        <w:tc>
          <w:tcPr>
            <w:tcW w:w="2160" w:type="dxa"/>
            <w:vAlign w:val="center"/>
          </w:tcPr>
          <w:p w:rsidR="003663E4" w:rsidRDefault="00FD3F7D">
            <w:pPr>
              <w:spacing w:line="276" w:lineRule="auto"/>
              <w:jc w:val="center"/>
              <w:rPr>
                <w:rFonts w:eastAsiaTheme="minorEastAsia"/>
                <w:color w:val="000000"/>
                <w:szCs w:val="21"/>
              </w:rPr>
            </w:pPr>
            <w:r>
              <w:rPr>
                <w:rFonts w:eastAsiaTheme="minorEastAsia"/>
                <w:color w:val="000000"/>
                <w:szCs w:val="21"/>
              </w:rPr>
              <w:t>项目</w:t>
            </w:r>
          </w:p>
        </w:tc>
        <w:tc>
          <w:tcPr>
            <w:tcW w:w="3419" w:type="dxa"/>
            <w:vAlign w:val="center"/>
          </w:tcPr>
          <w:p w:rsidR="003663E4" w:rsidRDefault="00FD3F7D">
            <w:pPr>
              <w:spacing w:line="276" w:lineRule="auto"/>
              <w:jc w:val="center"/>
              <w:rPr>
                <w:rFonts w:eastAsiaTheme="minorEastAsia"/>
                <w:color w:val="000000"/>
                <w:szCs w:val="21"/>
              </w:rPr>
            </w:pPr>
            <w:r>
              <w:rPr>
                <w:rFonts w:eastAsiaTheme="minorEastAsia"/>
                <w:color w:val="000000"/>
                <w:szCs w:val="21"/>
              </w:rPr>
              <w:t>名称</w:t>
            </w:r>
          </w:p>
        </w:tc>
        <w:tc>
          <w:tcPr>
            <w:tcW w:w="3493" w:type="dxa"/>
            <w:vAlign w:val="center"/>
          </w:tcPr>
          <w:p w:rsidR="003663E4" w:rsidRDefault="00FD3F7D">
            <w:pPr>
              <w:spacing w:line="276" w:lineRule="auto"/>
              <w:jc w:val="center"/>
              <w:rPr>
                <w:rFonts w:eastAsiaTheme="minorEastAsia"/>
                <w:color w:val="000000"/>
                <w:szCs w:val="21"/>
              </w:rPr>
            </w:pPr>
            <w:r>
              <w:rPr>
                <w:rFonts w:eastAsiaTheme="minorEastAsia"/>
                <w:color w:val="000000"/>
                <w:szCs w:val="21"/>
              </w:rPr>
              <w:t>办公地址</w:t>
            </w:r>
          </w:p>
        </w:tc>
      </w:tr>
      <w:tr w:rsidR="003663E4">
        <w:tc>
          <w:tcPr>
            <w:tcW w:w="2160" w:type="dxa"/>
            <w:vAlign w:val="center"/>
          </w:tcPr>
          <w:p w:rsidR="003663E4" w:rsidRDefault="00FD3F7D">
            <w:pPr>
              <w:tabs>
                <w:tab w:val="left" w:pos="1740"/>
              </w:tabs>
              <w:spacing w:line="360" w:lineRule="auto"/>
              <w:rPr>
                <w:rFonts w:eastAsiaTheme="minorEastAsia"/>
                <w:color w:val="000000"/>
                <w:szCs w:val="21"/>
              </w:rPr>
            </w:pPr>
            <w:r>
              <w:rPr>
                <w:rFonts w:eastAsiaTheme="minorEastAsia"/>
                <w:color w:val="000000"/>
                <w:szCs w:val="21"/>
              </w:rPr>
              <w:t>会计师事务所</w:t>
            </w:r>
          </w:p>
        </w:tc>
        <w:tc>
          <w:tcPr>
            <w:tcW w:w="3419" w:type="dxa"/>
            <w:vAlign w:val="center"/>
          </w:tcPr>
          <w:p w:rsidR="003663E4" w:rsidRDefault="00FD3F7D">
            <w:pPr>
              <w:tabs>
                <w:tab w:val="left" w:pos="1740"/>
              </w:tabs>
              <w:spacing w:line="360" w:lineRule="auto"/>
              <w:rPr>
                <w:rFonts w:eastAsiaTheme="minorEastAsia"/>
                <w:color w:val="000000"/>
                <w:szCs w:val="21"/>
              </w:rPr>
            </w:pPr>
            <w:r>
              <w:rPr>
                <w:rFonts w:eastAsiaTheme="minorEastAsia"/>
                <w:color w:val="000000"/>
                <w:szCs w:val="21"/>
              </w:rPr>
              <w:t>普华永道中天会计师事务所（特殊普通合伙）</w:t>
            </w:r>
          </w:p>
        </w:tc>
        <w:tc>
          <w:tcPr>
            <w:tcW w:w="3493" w:type="dxa"/>
            <w:vAlign w:val="center"/>
          </w:tcPr>
          <w:p w:rsidR="003663E4" w:rsidRDefault="00FD3F7D">
            <w:pPr>
              <w:tabs>
                <w:tab w:val="left" w:pos="1740"/>
              </w:tabs>
              <w:spacing w:line="360" w:lineRule="auto"/>
              <w:rPr>
                <w:rFonts w:eastAsiaTheme="minorEastAsia"/>
                <w:color w:val="000000"/>
                <w:szCs w:val="21"/>
              </w:rPr>
            </w:pPr>
            <w:r>
              <w:rPr>
                <w:rFonts w:eastAsiaTheme="minorEastAsia"/>
                <w:color w:val="000000"/>
                <w:szCs w:val="21"/>
              </w:rPr>
              <w:t>上海市湖滨路</w:t>
            </w:r>
            <w:r>
              <w:rPr>
                <w:rFonts w:eastAsiaTheme="minorEastAsia"/>
                <w:color w:val="000000"/>
                <w:szCs w:val="21"/>
              </w:rPr>
              <w:t>202</w:t>
            </w:r>
            <w:r>
              <w:rPr>
                <w:rFonts w:eastAsiaTheme="minorEastAsia"/>
                <w:color w:val="000000"/>
                <w:szCs w:val="21"/>
              </w:rPr>
              <w:t>号普华永道中心</w:t>
            </w:r>
            <w:r>
              <w:rPr>
                <w:rFonts w:eastAsiaTheme="minorEastAsia"/>
                <w:color w:val="000000"/>
                <w:szCs w:val="21"/>
              </w:rPr>
              <w:t>11</w:t>
            </w:r>
            <w:r>
              <w:rPr>
                <w:rFonts w:eastAsiaTheme="minorEastAsia"/>
                <w:color w:val="000000"/>
                <w:szCs w:val="21"/>
              </w:rPr>
              <w:t>楼</w:t>
            </w:r>
          </w:p>
        </w:tc>
      </w:tr>
      <w:tr w:rsidR="003663E4">
        <w:tc>
          <w:tcPr>
            <w:tcW w:w="2160" w:type="dxa"/>
            <w:vAlign w:val="center"/>
          </w:tcPr>
          <w:p w:rsidR="003663E4" w:rsidRDefault="00FD3F7D">
            <w:pPr>
              <w:spacing w:line="276" w:lineRule="auto"/>
              <w:rPr>
                <w:rFonts w:eastAsiaTheme="minorEastAsia"/>
                <w:color w:val="000000"/>
                <w:szCs w:val="21"/>
              </w:rPr>
            </w:pPr>
            <w:r>
              <w:rPr>
                <w:rFonts w:eastAsiaTheme="minorEastAsia"/>
                <w:color w:val="000000"/>
                <w:szCs w:val="21"/>
              </w:rPr>
              <w:t>注册登记机构</w:t>
            </w:r>
          </w:p>
        </w:tc>
        <w:tc>
          <w:tcPr>
            <w:tcW w:w="3419" w:type="dxa"/>
            <w:vAlign w:val="center"/>
          </w:tcPr>
          <w:p w:rsidR="003663E4" w:rsidRDefault="00FD3F7D">
            <w:pPr>
              <w:tabs>
                <w:tab w:val="left" w:pos="1740"/>
              </w:tabs>
              <w:spacing w:line="276" w:lineRule="auto"/>
              <w:rPr>
                <w:rFonts w:eastAsiaTheme="minorEastAsia"/>
                <w:color w:val="000000"/>
                <w:szCs w:val="21"/>
              </w:rPr>
            </w:pPr>
            <w:r>
              <w:rPr>
                <w:rFonts w:eastAsiaTheme="minorEastAsia"/>
                <w:color w:val="000000"/>
                <w:szCs w:val="21"/>
              </w:rPr>
              <w:t>中国证券登记结算有限责任公司</w:t>
            </w:r>
          </w:p>
        </w:tc>
        <w:tc>
          <w:tcPr>
            <w:tcW w:w="3493" w:type="dxa"/>
            <w:vAlign w:val="center"/>
          </w:tcPr>
          <w:p w:rsidR="003663E4" w:rsidRDefault="00FD3F7D">
            <w:pPr>
              <w:tabs>
                <w:tab w:val="left" w:pos="1740"/>
              </w:tabs>
              <w:spacing w:line="276" w:lineRule="auto"/>
              <w:rPr>
                <w:rFonts w:eastAsiaTheme="minorEastAsia"/>
                <w:color w:val="000000"/>
                <w:szCs w:val="21"/>
              </w:rPr>
            </w:pPr>
            <w:r>
              <w:rPr>
                <w:rFonts w:eastAsiaTheme="minorEastAsia"/>
                <w:color w:val="000000"/>
                <w:szCs w:val="21"/>
              </w:rPr>
              <w:t>北京市西城区太平桥大街</w:t>
            </w:r>
            <w:r>
              <w:rPr>
                <w:rFonts w:eastAsiaTheme="minorEastAsia"/>
                <w:color w:val="000000"/>
                <w:szCs w:val="21"/>
              </w:rPr>
              <w:t>17</w:t>
            </w:r>
            <w:r>
              <w:rPr>
                <w:rFonts w:eastAsiaTheme="minorEastAsia"/>
                <w:color w:val="000000"/>
                <w:szCs w:val="21"/>
              </w:rPr>
              <w:t>号</w:t>
            </w:r>
          </w:p>
        </w:tc>
      </w:tr>
    </w:tbl>
    <w:p w:rsidR="003663E4" w:rsidRDefault="00FD3F7D">
      <w:pPr>
        <w:pStyle w:val="1"/>
        <w:keepNext/>
        <w:keepLines/>
        <w:widowControl w:val="0"/>
        <w:spacing w:before="240" w:after="240" w:line="360" w:lineRule="auto"/>
        <w:jc w:val="center"/>
        <w:rPr>
          <w:b/>
          <w:bCs/>
          <w:color w:val="000000"/>
          <w:sz w:val="21"/>
          <w:szCs w:val="21"/>
        </w:rPr>
      </w:pPr>
      <w:bookmarkStart w:id="33" w:name="_Toc23339334"/>
      <w:bookmarkStart w:id="34" w:name="_Toc10360"/>
      <w:r>
        <w:rPr>
          <w:rFonts w:hint="eastAsia"/>
          <w:b/>
          <w:bCs/>
          <w:color w:val="000000"/>
          <w:sz w:val="21"/>
          <w:szCs w:val="21"/>
        </w:rPr>
        <w:t>§</w:t>
      </w:r>
      <w:r>
        <w:rPr>
          <w:b/>
          <w:bCs/>
          <w:color w:val="000000"/>
          <w:sz w:val="21"/>
          <w:szCs w:val="21"/>
        </w:rPr>
        <w:t>3</w:t>
      </w:r>
      <w:r>
        <w:rPr>
          <w:rFonts w:hint="eastAsia"/>
          <w:b/>
          <w:bCs/>
          <w:color w:val="000000"/>
          <w:sz w:val="21"/>
          <w:szCs w:val="21"/>
        </w:rPr>
        <w:t xml:space="preserve"> </w:t>
      </w:r>
      <w:r>
        <w:rPr>
          <w:rFonts w:hint="eastAsia"/>
          <w:b/>
          <w:bCs/>
          <w:color w:val="000000"/>
          <w:sz w:val="21"/>
          <w:szCs w:val="21"/>
        </w:rPr>
        <w:t>主要财务指标、基金净值表现及利润分配情况</w:t>
      </w:r>
      <w:bookmarkEnd w:id="33"/>
      <w:bookmarkEnd w:id="34"/>
    </w:p>
    <w:p w:rsidR="003663E4" w:rsidRDefault="00FD3F7D">
      <w:pPr>
        <w:pStyle w:val="2"/>
        <w:spacing w:before="0" w:after="0"/>
        <w:rPr>
          <w:rFonts w:ascii="Times New Roman" w:eastAsiaTheme="minorEastAsia" w:hAnsi="Times New Roman" w:cs="Times New Roman"/>
          <w:bCs w:val="0"/>
          <w:kern w:val="0"/>
          <w:sz w:val="21"/>
          <w:szCs w:val="21"/>
        </w:rPr>
      </w:pPr>
      <w:bookmarkStart w:id="35" w:name="_Toc487489005"/>
      <w:bookmarkStart w:id="36" w:name="_Toc23339335"/>
      <w:bookmarkStart w:id="37" w:name="_Toc29084"/>
      <w:bookmarkStart w:id="38" w:name="_Toc268711018"/>
      <w:r>
        <w:rPr>
          <w:rFonts w:ascii="Times New Roman" w:eastAsiaTheme="minorEastAsia" w:hAnsi="Times New Roman" w:cs="Times New Roman"/>
          <w:bCs w:val="0"/>
          <w:kern w:val="0"/>
          <w:sz w:val="21"/>
          <w:szCs w:val="21"/>
        </w:rPr>
        <w:t xml:space="preserve">3.1 </w:t>
      </w:r>
      <w:r>
        <w:rPr>
          <w:rFonts w:ascii="Times New Roman" w:eastAsiaTheme="minorEastAsia" w:hAnsi="Times New Roman" w:cs="Times New Roman"/>
          <w:bCs w:val="0"/>
          <w:kern w:val="0"/>
          <w:sz w:val="21"/>
          <w:szCs w:val="21"/>
        </w:rPr>
        <w:t>交银施罗德裕惠纯债债券型证券投资基金</w:t>
      </w:r>
      <w:bookmarkEnd w:id="35"/>
      <w:bookmarkEnd w:id="36"/>
      <w:bookmarkEnd w:id="37"/>
    </w:p>
    <w:p w:rsidR="003663E4" w:rsidRDefault="00FD3F7D">
      <w:pPr>
        <w:pStyle w:val="3"/>
        <w:spacing w:before="0" w:after="0" w:line="360" w:lineRule="auto"/>
        <w:rPr>
          <w:color w:val="000000"/>
          <w:kern w:val="0"/>
          <w:sz w:val="21"/>
          <w:szCs w:val="21"/>
        </w:rPr>
      </w:pPr>
      <w:bookmarkStart w:id="39" w:name="_Toc23339336"/>
      <w:bookmarkStart w:id="40" w:name="_Toc487489006"/>
      <w:bookmarkStart w:id="41" w:name="_Toc9687"/>
      <w:r>
        <w:rPr>
          <w:rFonts w:hint="eastAsia"/>
          <w:color w:val="000000"/>
          <w:kern w:val="0"/>
          <w:sz w:val="21"/>
          <w:szCs w:val="21"/>
        </w:rPr>
        <w:t xml:space="preserve">3.1.1 </w:t>
      </w:r>
      <w:r>
        <w:rPr>
          <w:color w:val="000000"/>
          <w:kern w:val="0"/>
          <w:sz w:val="21"/>
          <w:szCs w:val="21"/>
        </w:rPr>
        <w:t>主要会计数据和财务指标</w:t>
      </w:r>
      <w:bookmarkEnd w:id="38"/>
      <w:bookmarkEnd w:id="39"/>
      <w:bookmarkEnd w:id="40"/>
      <w:bookmarkEnd w:id="41"/>
    </w:p>
    <w:p w:rsidR="003663E4" w:rsidRDefault="00FD3F7D">
      <w:pPr>
        <w:autoSpaceDE w:val="0"/>
        <w:autoSpaceDN w:val="0"/>
        <w:adjustRightInd w:val="0"/>
        <w:spacing w:line="360" w:lineRule="auto"/>
        <w:ind w:left="15"/>
        <w:jc w:val="right"/>
        <w:rPr>
          <w:rFonts w:eastAsiaTheme="minorEastAsia"/>
          <w:color w:val="000000"/>
          <w:kern w:val="0"/>
          <w:szCs w:val="21"/>
        </w:rPr>
      </w:pPr>
      <w:r>
        <w:rPr>
          <w:rFonts w:eastAsiaTheme="minorEastAsia"/>
          <w:color w:val="000000"/>
          <w:kern w:val="0"/>
          <w:szCs w:val="21"/>
        </w:rPr>
        <w:t>金额单位：人民币元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5670"/>
      </w:tblGrid>
      <w:tr w:rsidR="003663E4">
        <w:trPr>
          <w:trHeight w:val="1902"/>
        </w:trPr>
        <w:tc>
          <w:tcPr>
            <w:tcW w:w="3402" w:type="dxa"/>
            <w:vAlign w:val="center"/>
          </w:tcPr>
          <w:p w:rsidR="003663E4" w:rsidRDefault="00FD3F7D">
            <w:pPr>
              <w:spacing w:line="276" w:lineRule="auto"/>
              <w:ind w:leftChars="-51" w:left="-107" w:rightChars="-51" w:right="-107"/>
              <w:rPr>
                <w:rFonts w:eastAsiaTheme="minorEastAsia"/>
                <w:b/>
                <w:color w:val="000000"/>
                <w:szCs w:val="21"/>
              </w:rPr>
            </w:pPr>
            <w:r>
              <w:rPr>
                <w:rFonts w:eastAsiaTheme="minorEastAsia" w:hint="eastAsia"/>
                <w:b/>
                <w:color w:val="000000"/>
                <w:szCs w:val="21"/>
              </w:rPr>
              <w:t>3.1.1.1</w:t>
            </w:r>
            <w:r>
              <w:rPr>
                <w:rFonts w:eastAsiaTheme="minorEastAsia"/>
                <w:b/>
                <w:color w:val="000000"/>
                <w:szCs w:val="21"/>
              </w:rPr>
              <w:t>期间数据和指标</w:t>
            </w:r>
          </w:p>
        </w:tc>
        <w:tc>
          <w:tcPr>
            <w:tcW w:w="5670" w:type="dxa"/>
            <w:vAlign w:val="center"/>
          </w:tcPr>
          <w:p w:rsidR="003663E4" w:rsidRDefault="00FD3F7D">
            <w:pPr>
              <w:spacing w:line="276" w:lineRule="auto"/>
              <w:jc w:val="center"/>
              <w:rPr>
                <w:rFonts w:eastAsiaTheme="minorEastAsia"/>
                <w:b/>
                <w:szCs w:val="21"/>
              </w:rPr>
            </w:pPr>
            <w:r>
              <w:rPr>
                <w:rFonts w:eastAsiaTheme="minorEastAsia"/>
                <w:b/>
                <w:szCs w:val="21"/>
              </w:rPr>
              <w:t>报告期</w:t>
            </w:r>
            <w:r>
              <w:rPr>
                <w:rFonts w:eastAsiaTheme="minorEastAsia"/>
                <w:b/>
                <w:color w:val="000000"/>
                <w:szCs w:val="21"/>
              </w:rPr>
              <w:t>(2020</w:t>
            </w:r>
            <w:r>
              <w:rPr>
                <w:rFonts w:eastAsiaTheme="minorEastAsia"/>
                <w:b/>
                <w:color w:val="000000"/>
                <w:szCs w:val="21"/>
              </w:rPr>
              <w:t>年</w:t>
            </w:r>
            <w:r>
              <w:rPr>
                <w:rFonts w:eastAsiaTheme="minorEastAsia"/>
                <w:b/>
                <w:color w:val="000000"/>
                <w:szCs w:val="21"/>
              </w:rPr>
              <w:t>7</w:t>
            </w:r>
            <w:r>
              <w:rPr>
                <w:rFonts w:eastAsiaTheme="minorEastAsia"/>
                <w:b/>
                <w:color w:val="000000"/>
                <w:szCs w:val="21"/>
              </w:rPr>
              <w:t>月</w:t>
            </w:r>
            <w:r>
              <w:rPr>
                <w:rFonts w:eastAsiaTheme="minorEastAsia"/>
                <w:b/>
                <w:color w:val="000000"/>
                <w:szCs w:val="21"/>
              </w:rPr>
              <w:t>28</w:t>
            </w:r>
            <w:r>
              <w:rPr>
                <w:rFonts w:eastAsiaTheme="minorEastAsia"/>
                <w:b/>
                <w:color w:val="000000"/>
                <w:szCs w:val="21"/>
              </w:rPr>
              <w:t>日（基金合同生效日）至</w:t>
            </w:r>
            <w:r>
              <w:rPr>
                <w:rFonts w:eastAsiaTheme="minorEastAsia"/>
                <w:b/>
                <w:color w:val="000000"/>
                <w:szCs w:val="21"/>
              </w:rPr>
              <w:t>2020</w:t>
            </w:r>
            <w:r>
              <w:rPr>
                <w:rFonts w:eastAsiaTheme="minorEastAsia"/>
                <w:b/>
                <w:color w:val="000000"/>
                <w:szCs w:val="21"/>
              </w:rPr>
              <w:t>年</w:t>
            </w:r>
            <w:r>
              <w:rPr>
                <w:rFonts w:eastAsiaTheme="minorEastAsia"/>
                <w:b/>
                <w:color w:val="000000"/>
                <w:szCs w:val="21"/>
              </w:rPr>
              <w:t>12</w:t>
            </w:r>
            <w:r>
              <w:rPr>
                <w:rFonts w:eastAsiaTheme="minorEastAsia"/>
                <w:b/>
                <w:color w:val="000000"/>
                <w:szCs w:val="21"/>
              </w:rPr>
              <w:t>月</w:t>
            </w:r>
            <w:r>
              <w:rPr>
                <w:rFonts w:eastAsiaTheme="minorEastAsia"/>
                <w:b/>
                <w:color w:val="000000"/>
                <w:szCs w:val="21"/>
              </w:rPr>
              <w:t>31</w:t>
            </w:r>
            <w:r>
              <w:rPr>
                <w:rFonts w:eastAsiaTheme="minorEastAsia"/>
                <w:b/>
                <w:color w:val="000000"/>
                <w:szCs w:val="21"/>
              </w:rPr>
              <w:t>日</w:t>
            </w:r>
            <w:r>
              <w:rPr>
                <w:rFonts w:eastAsiaTheme="minorEastAsia"/>
                <w:b/>
                <w:color w:val="000000"/>
                <w:szCs w:val="21"/>
              </w:rPr>
              <w:t>)</w:t>
            </w:r>
          </w:p>
        </w:tc>
      </w:tr>
      <w:tr w:rsidR="003663E4">
        <w:tc>
          <w:tcPr>
            <w:tcW w:w="3402" w:type="dxa"/>
            <w:vAlign w:val="center"/>
          </w:tcPr>
          <w:p w:rsidR="003663E4" w:rsidRDefault="00FD3F7D">
            <w:pPr>
              <w:spacing w:line="276" w:lineRule="auto"/>
              <w:rPr>
                <w:rFonts w:eastAsiaTheme="minorEastAsia"/>
                <w:szCs w:val="21"/>
              </w:rPr>
            </w:pPr>
            <w:r>
              <w:rPr>
                <w:rFonts w:eastAsiaTheme="minorEastAsia"/>
                <w:szCs w:val="21"/>
              </w:rPr>
              <w:t>本期已实现收益</w:t>
            </w:r>
          </w:p>
        </w:tc>
        <w:tc>
          <w:tcPr>
            <w:tcW w:w="5670" w:type="dxa"/>
            <w:vAlign w:val="center"/>
          </w:tcPr>
          <w:p w:rsidR="003663E4" w:rsidRDefault="00FD3F7D">
            <w:pPr>
              <w:spacing w:line="276" w:lineRule="auto"/>
              <w:jc w:val="right"/>
              <w:rPr>
                <w:rFonts w:eastAsiaTheme="minorEastAsia"/>
                <w:szCs w:val="21"/>
              </w:rPr>
            </w:pPr>
            <w:r>
              <w:rPr>
                <w:rFonts w:eastAsiaTheme="minorEastAsia"/>
                <w:szCs w:val="21"/>
              </w:rPr>
              <w:t>9,005,781.25</w:t>
            </w:r>
          </w:p>
        </w:tc>
      </w:tr>
      <w:tr w:rsidR="003663E4">
        <w:trPr>
          <w:trHeight w:val="754"/>
        </w:trPr>
        <w:tc>
          <w:tcPr>
            <w:tcW w:w="3402" w:type="dxa"/>
            <w:vAlign w:val="center"/>
          </w:tcPr>
          <w:p w:rsidR="003663E4" w:rsidRDefault="00FD3F7D">
            <w:pPr>
              <w:spacing w:line="276" w:lineRule="auto"/>
              <w:rPr>
                <w:rFonts w:eastAsiaTheme="minorEastAsia"/>
                <w:szCs w:val="21"/>
              </w:rPr>
            </w:pPr>
            <w:r>
              <w:rPr>
                <w:rFonts w:eastAsiaTheme="minorEastAsia"/>
                <w:szCs w:val="21"/>
              </w:rPr>
              <w:t>本期利润</w:t>
            </w:r>
          </w:p>
        </w:tc>
        <w:tc>
          <w:tcPr>
            <w:tcW w:w="5670" w:type="dxa"/>
            <w:vAlign w:val="center"/>
          </w:tcPr>
          <w:p w:rsidR="003663E4" w:rsidRDefault="00FD3F7D">
            <w:pPr>
              <w:spacing w:line="276" w:lineRule="auto"/>
              <w:jc w:val="right"/>
              <w:rPr>
                <w:rFonts w:eastAsiaTheme="minorEastAsia"/>
                <w:szCs w:val="21"/>
              </w:rPr>
            </w:pPr>
            <w:r>
              <w:rPr>
                <w:rFonts w:eastAsiaTheme="minorEastAsia"/>
                <w:szCs w:val="21"/>
              </w:rPr>
              <w:t>8,882,484.66</w:t>
            </w:r>
          </w:p>
        </w:tc>
      </w:tr>
      <w:tr w:rsidR="003663E4">
        <w:tc>
          <w:tcPr>
            <w:tcW w:w="3402" w:type="dxa"/>
            <w:vAlign w:val="center"/>
          </w:tcPr>
          <w:p w:rsidR="003663E4" w:rsidRDefault="00FD3F7D">
            <w:pPr>
              <w:spacing w:line="276" w:lineRule="auto"/>
              <w:rPr>
                <w:rFonts w:eastAsiaTheme="minorEastAsia"/>
                <w:szCs w:val="21"/>
              </w:rPr>
            </w:pPr>
            <w:r>
              <w:rPr>
                <w:rFonts w:eastAsiaTheme="minorEastAsia"/>
                <w:szCs w:val="21"/>
              </w:rPr>
              <w:t>加权平均基金份额本期利润</w:t>
            </w:r>
          </w:p>
        </w:tc>
        <w:tc>
          <w:tcPr>
            <w:tcW w:w="5670" w:type="dxa"/>
            <w:vAlign w:val="center"/>
          </w:tcPr>
          <w:p w:rsidR="003663E4" w:rsidRDefault="00FD3F7D">
            <w:pPr>
              <w:spacing w:line="276" w:lineRule="auto"/>
              <w:jc w:val="right"/>
              <w:rPr>
                <w:rFonts w:eastAsiaTheme="minorEastAsia"/>
                <w:szCs w:val="21"/>
              </w:rPr>
            </w:pPr>
            <w:r>
              <w:rPr>
                <w:rFonts w:eastAsiaTheme="minorEastAsia"/>
                <w:szCs w:val="21"/>
              </w:rPr>
              <w:t>0.0115</w:t>
            </w:r>
          </w:p>
        </w:tc>
      </w:tr>
      <w:tr w:rsidR="003663E4">
        <w:tc>
          <w:tcPr>
            <w:tcW w:w="3402" w:type="dxa"/>
            <w:vAlign w:val="center"/>
          </w:tcPr>
          <w:p w:rsidR="003663E4" w:rsidRDefault="00FD3F7D">
            <w:pPr>
              <w:spacing w:line="276" w:lineRule="auto"/>
              <w:rPr>
                <w:rFonts w:eastAsiaTheme="minorEastAsia"/>
                <w:szCs w:val="21"/>
              </w:rPr>
            </w:pPr>
            <w:r>
              <w:rPr>
                <w:rFonts w:eastAsiaTheme="minorEastAsia"/>
                <w:szCs w:val="21"/>
              </w:rPr>
              <w:t>本期加权平均净值利润率</w:t>
            </w:r>
          </w:p>
        </w:tc>
        <w:tc>
          <w:tcPr>
            <w:tcW w:w="5670" w:type="dxa"/>
            <w:vAlign w:val="center"/>
          </w:tcPr>
          <w:p w:rsidR="003663E4" w:rsidRDefault="00FD3F7D">
            <w:pPr>
              <w:spacing w:line="276" w:lineRule="auto"/>
              <w:jc w:val="right"/>
              <w:rPr>
                <w:rFonts w:eastAsiaTheme="minorEastAsia"/>
                <w:szCs w:val="21"/>
              </w:rPr>
            </w:pPr>
            <w:r>
              <w:rPr>
                <w:rFonts w:eastAsiaTheme="minorEastAsia"/>
                <w:szCs w:val="21"/>
              </w:rPr>
              <w:t>1.15%</w:t>
            </w:r>
          </w:p>
        </w:tc>
      </w:tr>
      <w:tr w:rsidR="003663E4">
        <w:tc>
          <w:tcPr>
            <w:tcW w:w="3402" w:type="dxa"/>
            <w:vAlign w:val="center"/>
          </w:tcPr>
          <w:p w:rsidR="003663E4" w:rsidRDefault="00FD3F7D">
            <w:pPr>
              <w:spacing w:line="276" w:lineRule="auto"/>
              <w:rPr>
                <w:rFonts w:eastAsiaTheme="minorEastAsia"/>
                <w:szCs w:val="21"/>
              </w:rPr>
            </w:pPr>
            <w:r>
              <w:rPr>
                <w:rFonts w:eastAsiaTheme="minorEastAsia"/>
                <w:szCs w:val="21"/>
              </w:rPr>
              <w:t>本期基金份额净值增长率</w:t>
            </w:r>
          </w:p>
        </w:tc>
        <w:tc>
          <w:tcPr>
            <w:tcW w:w="5670" w:type="dxa"/>
            <w:vAlign w:val="center"/>
          </w:tcPr>
          <w:p w:rsidR="003663E4" w:rsidRDefault="00FD3F7D">
            <w:pPr>
              <w:spacing w:line="276" w:lineRule="auto"/>
              <w:jc w:val="right"/>
              <w:rPr>
                <w:rFonts w:eastAsiaTheme="minorEastAsia"/>
                <w:szCs w:val="21"/>
              </w:rPr>
            </w:pPr>
            <w:r>
              <w:rPr>
                <w:rFonts w:eastAsiaTheme="minorEastAsia"/>
                <w:szCs w:val="21"/>
              </w:rPr>
              <w:t>1.15%</w:t>
            </w:r>
          </w:p>
        </w:tc>
      </w:tr>
      <w:tr w:rsidR="003663E4">
        <w:trPr>
          <w:trHeight w:val="1070"/>
        </w:trPr>
        <w:tc>
          <w:tcPr>
            <w:tcW w:w="3402" w:type="dxa"/>
            <w:vAlign w:val="center"/>
          </w:tcPr>
          <w:p w:rsidR="003663E4" w:rsidRDefault="00FD3F7D">
            <w:pPr>
              <w:spacing w:line="276" w:lineRule="auto"/>
              <w:ind w:leftChars="-51" w:left="-107" w:rightChars="-51" w:right="-107"/>
              <w:rPr>
                <w:rFonts w:eastAsiaTheme="minorEastAsia"/>
                <w:b/>
                <w:color w:val="000000"/>
                <w:szCs w:val="21"/>
              </w:rPr>
            </w:pPr>
            <w:r>
              <w:rPr>
                <w:rFonts w:eastAsiaTheme="minorEastAsia" w:hint="eastAsia"/>
                <w:b/>
                <w:color w:val="000000"/>
                <w:szCs w:val="21"/>
              </w:rPr>
              <w:t>3.1.1.2</w:t>
            </w:r>
            <w:r>
              <w:rPr>
                <w:rFonts w:eastAsiaTheme="minorEastAsia"/>
                <w:b/>
                <w:color w:val="000000"/>
                <w:szCs w:val="21"/>
              </w:rPr>
              <w:t>期末数据和指标</w:t>
            </w:r>
          </w:p>
        </w:tc>
        <w:tc>
          <w:tcPr>
            <w:tcW w:w="5670" w:type="dxa"/>
            <w:vAlign w:val="center"/>
          </w:tcPr>
          <w:p w:rsidR="003663E4" w:rsidRDefault="00FD3F7D">
            <w:pPr>
              <w:spacing w:line="276" w:lineRule="auto"/>
              <w:jc w:val="center"/>
              <w:rPr>
                <w:rFonts w:eastAsiaTheme="minorEastAsia"/>
                <w:b/>
                <w:szCs w:val="21"/>
              </w:rPr>
            </w:pPr>
            <w:r>
              <w:rPr>
                <w:rFonts w:eastAsiaTheme="minorEastAsia"/>
                <w:b/>
                <w:szCs w:val="21"/>
              </w:rPr>
              <w:t>报告期末</w:t>
            </w:r>
            <w:r>
              <w:rPr>
                <w:rFonts w:eastAsiaTheme="minorEastAsia" w:hint="eastAsia"/>
                <w:b/>
                <w:szCs w:val="21"/>
              </w:rPr>
              <w:t>(</w:t>
            </w:r>
            <w:r>
              <w:rPr>
                <w:rFonts w:eastAsiaTheme="minorEastAsia"/>
                <w:b/>
                <w:color w:val="000000"/>
                <w:szCs w:val="21"/>
              </w:rPr>
              <w:t>2020</w:t>
            </w:r>
            <w:r>
              <w:rPr>
                <w:rFonts w:eastAsiaTheme="minorEastAsia"/>
                <w:b/>
                <w:color w:val="000000"/>
                <w:szCs w:val="21"/>
              </w:rPr>
              <w:t>年</w:t>
            </w:r>
            <w:r>
              <w:rPr>
                <w:rFonts w:eastAsiaTheme="minorEastAsia"/>
                <w:b/>
                <w:color w:val="000000"/>
                <w:szCs w:val="21"/>
              </w:rPr>
              <w:t>12</w:t>
            </w:r>
            <w:r>
              <w:rPr>
                <w:rFonts w:eastAsiaTheme="minorEastAsia"/>
                <w:b/>
                <w:color w:val="000000"/>
                <w:szCs w:val="21"/>
              </w:rPr>
              <w:t>月</w:t>
            </w:r>
            <w:r>
              <w:rPr>
                <w:rFonts w:eastAsiaTheme="minorEastAsia"/>
                <w:b/>
                <w:color w:val="000000"/>
                <w:szCs w:val="21"/>
              </w:rPr>
              <w:t>31</w:t>
            </w:r>
            <w:r>
              <w:rPr>
                <w:rFonts w:eastAsiaTheme="minorEastAsia"/>
                <w:b/>
                <w:color w:val="000000"/>
                <w:szCs w:val="21"/>
              </w:rPr>
              <w:t>日</w:t>
            </w:r>
            <w:r>
              <w:rPr>
                <w:rFonts w:eastAsiaTheme="minorEastAsia"/>
                <w:b/>
                <w:color w:val="000000"/>
                <w:szCs w:val="21"/>
              </w:rPr>
              <w:t>)</w:t>
            </w:r>
          </w:p>
        </w:tc>
      </w:tr>
      <w:tr w:rsidR="003663E4">
        <w:tc>
          <w:tcPr>
            <w:tcW w:w="3402" w:type="dxa"/>
            <w:vAlign w:val="center"/>
          </w:tcPr>
          <w:p w:rsidR="003663E4" w:rsidRDefault="00FD3F7D">
            <w:pPr>
              <w:spacing w:line="276" w:lineRule="auto"/>
              <w:rPr>
                <w:rFonts w:eastAsiaTheme="minorEastAsia"/>
                <w:szCs w:val="21"/>
              </w:rPr>
            </w:pPr>
            <w:r>
              <w:rPr>
                <w:rFonts w:eastAsiaTheme="minorEastAsia"/>
                <w:szCs w:val="21"/>
              </w:rPr>
              <w:t>期末可供分配利润</w:t>
            </w:r>
          </w:p>
        </w:tc>
        <w:tc>
          <w:tcPr>
            <w:tcW w:w="5670" w:type="dxa"/>
            <w:vAlign w:val="center"/>
          </w:tcPr>
          <w:p w:rsidR="003663E4" w:rsidRDefault="00FD3F7D">
            <w:pPr>
              <w:spacing w:line="276" w:lineRule="auto"/>
              <w:jc w:val="right"/>
              <w:rPr>
                <w:rFonts w:eastAsiaTheme="minorEastAsia"/>
                <w:szCs w:val="21"/>
              </w:rPr>
            </w:pPr>
            <w:r>
              <w:rPr>
                <w:rFonts w:eastAsiaTheme="minorEastAsia"/>
                <w:szCs w:val="21"/>
              </w:rPr>
              <w:t>8,881,634.33</w:t>
            </w:r>
          </w:p>
        </w:tc>
      </w:tr>
      <w:tr w:rsidR="003663E4">
        <w:tc>
          <w:tcPr>
            <w:tcW w:w="3402" w:type="dxa"/>
            <w:vAlign w:val="center"/>
          </w:tcPr>
          <w:p w:rsidR="003663E4" w:rsidRDefault="00FD3F7D">
            <w:pPr>
              <w:spacing w:line="276" w:lineRule="auto"/>
              <w:rPr>
                <w:rFonts w:eastAsiaTheme="minorEastAsia"/>
                <w:szCs w:val="21"/>
              </w:rPr>
            </w:pPr>
            <w:r>
              <w:rPr>
                <w:rFonts w:eastAsiaTheme="minorEastAsia"/>
                <w:szCs w:val="21"/>
              </w:rPr>
              <w:t>期末可供分配基金份额利润</w:t>
            </w:r>
          </w:p>
        </w:tc>
        <w:tc>
          <w:tcPr>
            <w:tcW w:w="5670" w:type="dxa"/>
            <w:vAlign w:val="center"/>
          </w:tcPr>
          <w:p w:rsidR="003663E4" w:rsidRDefault="00FD3F7D">
            <w:pPr>
              <w:spacing w:line="276" w:lineRule="auto"/>
              <w:jc w:val="right"/>
              <w:rPr>
                <w:rFonts w:eastAsiaTheme="minorEastAsia"/>
                <w:szCs w:val="21"/>
              </w:rPr>
            </w:pPr>
            <w:r>
              <w:rPr>
                <w:rFonts w:eastAsiaTheme="minorEastAsia"/>
                <w:szCs w:val="21"/>
              </w:rPr>
              <w:t>0.0115</w:t>
            </w:r>
          </w:p>
        </w:tc>
      </w:tr>
      <w:tr w:rsidR="003663E4">
        <w:tc>
          <w:tcPr>
            <w:tcW w:w="3402" w:type="dxa"/>
            <w:vAlign w:val="center"/>
          </w:tcPr>
          <w:p w:rsidR="003663E4" w:rsidRDefault="00FD3F7D">
            <w:pPr>
              <w:spacing w:line="276" w:lineRule="auto"/>
              <w:rPr>
                <w:rFonts w:eastAsiaTheme="minorEastAsia"/>
                <w:szCs w:val="21"/>
              </w:rPr>
            </w:pPr>
            <w:r>
              <w:rPr>
                <w:rFonts w:eastAsiaTheme="minorEastAsia"/>
                <w:szCs w:val="21"/>
              </w:rPr>
              <w:t>期末基金资产净值</w:t>
            </w:r>
          </w:p>
        </w:tc>
        <w:tc>
          <w:tcPr>
            <w:tcW w:w="5670" w:type="dxa"/>
            <w:vAlign w:val="center"/>
          </w:tcPr>
          <w:p w:rsidR="003663E4" w:rsidRDefault="00FD3F7D">
            <w:pPr>
              <w:spacing w:line="276" w:lineRule="auto"/>
              <w:jc w:val="right"/>
              <w:rPr>
                <w:rFonts w:eastAsiaTheme="minorEastAsia"/>
                <w:szCs w:val="21"/>
              </w:rPr>
            </w:pPr>
            <w:r>
              <w:rPr>
                <w:rFonts w:eastAsiaTheme="minorEastAsia"/>
                <w:szCs w:val="21"/>
              </w:rPr>
              <w:t>778,394,508.10</w:t>
            </w:r>
          </w:p>
        </w:tc>
      </w:tr>
      <w:tr w:rsidR="003663E4">
        <w:tc>
          <w:tcPr>
            <w:tcW w:w="3402" w:type="dxa"/>
            <w:vAlign w:val="center"/>
          </w:tcPr>
          <w:p w:rsidR="003663E4" w:rsidRDefault="00FD3F7D">
            <w:pPr>
              <w:spacing w:line="276" w:lineRule="auto"/>
              <w:rPr>
                <w:rFonts w:eastAsiaTheme="minorEastAsia"/>
                <w:szCs w:val="21"/>
              </w:rPr>
            </w:pPr>
            <w:r>
              <w:rPr>
                <w:rFonts w:eastAsiaTheme="minorEastAsia"/>
                <w:szCs w:val="21"/>
              </w:rPr>
              <w:t>期末基金份额净值</w:t>
            </w:r>
          </w:p>
        </w:tc>
        <w:tc>
          <w:tcPr>
            <w:tcW w:w="5670" w:type="dxa"/>
            <w:vAlign w:val="center"/>
          </w:tcPr>
          <w:p w:rsidR="003663E4" w:rsidRDefault="00FD3F7D">
            <w:pPr>
              <w:spacing w:line="276" w:lineRule="auto"/>
              <w:jc w:val="right"/>
              <w:rPr>
                <w:rFonts w:eastAsiaTheme="minorEastAsia"/>
                <w:szCs w:val="21"/>
              </w:rPr>
            </w:pPr>
            <w:r>
              <w:rPr>
                <w:rFonts w:eastAsiaTheme="minorEastAsia"/>
                <w:szCs w:val="21"/>
              </w:rPr>
              <w:t>1.0115</w:t>
            </w:r>
          </w:p>
        </w:tc>
      </w:tr>
      <w:tr w:rsidR="003663E4">
        <w:trPr>
          <w:trHeight w:val="1055"/>
        </w:trPr>
        <w:tc>
          <w:tcPr>
            <w:tcW w:w="3402" w:type="dxa"/>
            <w:vAlign w:val="center"/>
          </w:tcPr>
          <w:p w:rsidR="003663E4" w:rsidRDefault="00FD3F7D">
            <w:pPr>
              <w:spacing w:line="276" w:lineRule="auto"/>
              <w:ind w:leftChars="-51" w:left="-107" w:rightChars="-51" w:right="-107"/>
              <w:rPr>
                <w:rFonts w:eastAsiaTheme="minorEastAsia"/>
                <w:b/>
                <w:color w:val="000000"/>
                <w:szCs w:val="21"/>
              </w:rPr>
            </w:pPr>
            <w:r>
              <w:rPr>
                <w:rFonts w:eastAsiaTheme="minorEastAsia" w:hint="eastAsia"/>
                <w:b/>
                <w:color w:val="000000"/>
                <w:szCs w:val="21"/>
              </w:rPr>
              <w:t>3.1.1.3</w:t>
            </w:r>
            <w:r>
              <w:rPr>
                <w:rFonts w:eastAsiaTheme="minorEastAsia"/>
                <w:b/>
                <w:color w:val="000000"/>
                <w:szCs w:val="21"/>
              </w:rPr>
              <w:t>累计期末指标</w:t>
            </w:r>
          </w:p>
        </w:tc>
        <w:tc>
          <w:tcPr>
            <w:tcW w:w="5670" w:type="dxa"/>
            <w:vAlign w:val="center"/>
          </w:tcPr>
          <w:p w:rsidR="003663E4" w:rsidRDefault="00FD3F7D">
            <w:pPr>
              <w:spacing w:line="276" w:lineRule="auto"/>
              <w:jc w:val="center"/>
              <w:rPr>
                <w:rFonts w:eastAsiaTheme="minorEastAsia"/>
                <w:b/>
                <w:szCs w:val="21"/>
              </w:rPr>
            </w:pPr>
            <w:r>
              <w:rPr>
                <w:rFonts w:eastAsiaTheme="minorEastAsia"/>
                <w:b/>
                <w:szCs w:val="21"/>
              </w:rPr>
              <w:t>报告期末</w:t>
            </w:r>
            <w:r>
              <w:rPr>
                <w:rFonts w:eastAsiaTheme="minorEastAsia" w:hint="eastAsia"/>
                <w:b/>
                <w:szCs w:val="21"/>
              </w:rPr>
              <w:t>(</w:t>
            </w:r>
            <w:r>
              <w:rPr>
                <w:rFonts w:eastAsiaTheme="minorEastAsia"/>
                <w:b/>
                <w:color w:val="000000"/>
                <w:szCs w:val="21"/>
              </w:rPr>
              <w:t>2020</w:t>
            </w:r>
            <w:r>
              <w:rPr>
                <w:rFonts w:eastAsiaTheme="minorEastAsia"/>
                <w:b/>
                <w:color w:val="000000"/>
                <w:szCs w:val="21"/>
              </w:rPr>
              <w:t>年</w:t>
            </w:r>
            <w:r>
              <w:rPr>
                <w:rFonts w:eastAsiaTheme="minorEastAsia"/>
                <w:b/>
                <w:color w:val="000000"/>
                <w:szCs w:val="21"/>
              </w:rPr>
              <w:t>12</w:t>
            </w:r>
            <w:r>
              <w:rPr>
                <w:rFonts w:eastAsiaTheme="minorEastAsia"/>
                <w:b/>
                <w:color w:val="000000"/>
                <w:szCs w:val="21"/>
              </w:rPr>
              <w:t>月</w:t>
            </w:r>
            <w:r>
              <w:rPr>
                <w:rFonts w:eastAsiaTheme="minorEastAsia"/>
                <w:b/>
                <w:color w:val="000000"/>
                <w:szCs w:val="21"/>
              </w:rPr>
              <w:t>31</w:t>
            </w:r>
            <w:r>
              <w:rPr>
                <w:rFonts w:eastAsiaTheme="minorEastAsia"/>
                <w:b/>
                <w:color w:val="000000"/>
                <w:szCs w:val="21"/>
              </w:rPr>
              <w:t>日</w:t>
            </w:r>
            <w:r>
              <w:rPr>
                <w:rFonts w:eastAsiaTheme="minorEastAsia"/>
                <w:b/>
                <w:color w:val="000000"/>
                <w:szCs w:val="21"/>
              </w:rPr>
              <w:t>)</w:t>
            </w:r>
          </w:p>
        </w:tc>
      </w:tr>
      <w:tr w:rsidR="003663E4">
        <w:tc>
          <w:tcPr>
            <w:tcW w:w="3402" w:type="dxa"/>
            <w:vAlign w:val="center"/>
          </w:tcPr>
          <w:p w:rsidR="003663E4" w:rsidRDefault="00FD3F7D">
            <w:pPr>
              <w:spacing w:line="276" w:lineRule="auto"/>
              <w:rPr>
                <w:rFonts w:eastAsiaTheme="minorEastAsia"/>
                <w:szCs w:val="21"/>
              </w:rPr>
            </w:pPr>
            <w:r>
              <w:rPr>
                <w:rFonts w:eastAsiaTheme="minorEastAsia"/>
                <w:szCs w:val="21"/>
              </w:rPr>
              <w:t>基金份额累计净值增长率</w:t>
            </w:r>
          </w:p>
        </w:tc>
        <w:tc>
          <w:tcPr>
            <w:tcW w:w="5670" w:type="dxa"/>
            <w:vAlign w:val="center"/>
          </w:tcPr>
          <w:p w:rsidR="003663E4" w:rsidRDefault="00FD3F7D">
            <w:pPr>
              <w:spacing w:line="276" w:lineRule="auto"/>
              <w:jc w:val="right"/>
              <w:rPr>
                <w:rFonts w:eastAsiaTheme="minorEastAsia"/>
                <w:szCs w:val="21"/>
              </w:rPr>
            </w:pPr>
            <w:r>
              <w:rPr>
                <w:rFonts w:eastAsiaTheme="minorEastAsia"/>
                <w:szCs w:val="21"/>
              </w:rPr>
              <w:t>1.15%</w:t>
            </w:r>
          </w:p>
        </w:tc>
      </w:tr>
    </w:tbl>
    <w:p w:rsidR="003663E4" w:rsidRDefault="00FD3F7D">
      <w:pPr>
        <w:ind w:firstLineChars="200" w:firstLine="420"/>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、上述基金业绩指标不包括持有人认购或交易基金的各项费用，计入费用后的实际收益水平要低于所列数字。</w:t>
      </w:r>
      <w:r>
        <w:rPr>
          <w:rFonts w:eastAsiaTheme="minorEastAsia"/>
          <w:kern w:val="0"/>
          <w:szCs w:val="21"/>
        </w:rPr>
        <w:t xml:space="preserve">  </w:t>
      </w:r>
    </w:p>
    <w:p w:rsidR="003663E4" w:rsidRDefault="00FD3F7D">
      <w:pPr>
        <w:ind w:firstLineChars="200" w:firstLine="420"/>
        <w:rPr>
          <w:rFonts w:eastAsiaTheme="minorEastAsia"/>
          <w:kern w:val="0"/>
          <w:szCs w:val="21"/>
        </w:rPr>
      </w:pPr>
      <w:r>
        <w:rPr>
          <w:rFonts w:eastAsiaTheme="minorEastAsia"/>
          <w:kern w:val="0"/>
          <w:szCs w:val="21"/>
        </w:rPr>
        <w:t>2</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3663E4" w:rsidRDefault="00FD3F7D">
      <w:pPr>
        <w:ind w:firstLineChars="200" w:firstLine="420"/>
        <w:rPr>
          <w:rFonts w:eastAsiaTheme="minorEastAsia"/>
          <w:kern w:val="0"/>
          <w:szCs w:val="21"/>
        </w:rPr>
      </w:pPr>
      <w:r>
        <w:rPr>
          <w:rFonts w:eastAsiaTheme="minorEastAsia"/>
          <w:kern w:val="0"/>
          <w:szCs w:val="21"/>
        </w:rPr>
        <w:t>3</w:t>
      </w:r>
      <w:r>
        <w:rPr>
          <w:rFonts w:eastAsiaTheme="minorEastAsia"/>
          <w:kern w:val="0"/>
          <w:szCs w:val="21"/>
        </w:rPr>
        <w:t>、交银施罗德理财</w:t>
      </w:r>
      <w:r>
        <w:rPr>
          <w:rFonts w:eastAsiaTheme="minorEastAsia"/>
          <w:kern w:val="0"/>
          <w:szCs w:val="21"/>
        </w:rPr>
        <w:t>60</w:t>
      </w:r>
      <w:r>
        <w:rPr>
          <w:rFonts w:eastAsiaTheme="minorEastAsia"/>
          <w:kern w:val="0"/>
          <w:szCs w:val="21"/>
        </w:rPr>
        <w:t>天债券型证券投资基金从</w:t>
      </w:r>
      <w:r>
        <w:rPr>
          <w:rFonts w:eastAsiaTheme="minorEastAsia"/>
          <w:kern w:val="0"/>
          <w:szCs w:val="21"/>
        </w:rPr>
        <w:t>2020</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28</w:t>
      </w:r>
      <w:r>
        <w:rPr>
          <w:rFonts w:eastAsiaTheme="minorEastAsia"/>
          <w:kern w:val="0"/>
          <w:szCs w:val="21"/>
        </w:rPr>
        <w:t>日起正式转型为交银施罗德裕惠纯债债券型证券投资基金。截至本报告期末</w:t>
      </w:r>
      <w:r>
        <w:rPr>
          <w:rFonts w:eastAsiaTheme="minorEastAsia"/>
          <w:kern w:val="0"/>
          <w:szCs w:val="21"/>
        </w:rPr>
        <w:t>(2020</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w:t>
      </w:r>
      <w:r>
        <w:rPr>
          <w:rFonts w:eastAsiaTheme="minorEastAsia"/>
          <w:kern w:val="0"/>
          <w:szCs w:val="21"/>
        </w:rPr>
        <w:t>)</w:t>
      </w:r>
      <w:r>
        <w:rPr>
          <w:rFonts w:eastAsiaTheme="minorEastAsia"/>
          <w:kern w:val="0"/>
          <w:szCs w:val="21"/>
        </w:rPr>
        <w:t>，交银施罗德裕惠纯债债券型证券投资基金转型时间未满一年。</w:t>
      </w:r>
    </w:p>
    <w:p w:rsidR="003663E4" w:rsidRDefault="00FD3F7D">
      <w:pPr>
        <w:pStyle w:val="3"/>
        <w:spacing w:before="0" w:after="0" w:line="360" w:lineRule="auto"/>
        <w:rPr>
          <w:color w:val="000000"/>
          <w:kern w:val="0"/>
          <w:sz w:val="21"/>
          <w:szCs w:val="21"/>
        </w:rPr>
      </w:pPr>
      <w:bookmarkStart w:id="42" w:name="_Toc268711019"/>
      <w:bookmarkStart w:id="43" w:name="_Toc23339337"/>
      <w:bookmarkStart w:id="44" w:name="_Toc487489007"/>
      <w:bookmarkStart w:id="45" w:name="_Toc194312020"/>
      <w:bookmarkStart w:id="46" w:name="_Toc193947513"/>
      <w:bookmarkStart w:id="47" w:name="_Toc4513"/>
      <w:r>
        <w:rPr>
          <w:rFonts w:hint="eastAsia"/>
          <w:color w:val="000000"/>
          <w:kern w:val="0"/>
          <w:sz w:val="21"/>
          <w:szCs w:val="21"/>
        </w:rPr>
        <w:t xml:space="preserve">3.1.2 </w:t>
      </w:r>
      <w:r>
        <w:rPr>
          <w:color w:val="000000"/>
          <w:kern w:val="0"/>
          <w:sz w:val="21"/>
          <w:szCs w:val="21"/>
        </w:rPr>
        <w:t>基金净值表现</w:t>
      </w:r>
      <w:bookmarkEnd w:id="42"/>
      <w:bookmarkEnd w:id="43"/>
      <w:bookmarkEnd w:id="44"/>
      <w:bookmarkEnd w:id="45"/>
      <w:bookmarkEnd w:id="46"/>
      <w:bookmarkEnd w:id="47"/>
    </w:p>
    <w:p w:rsidR="003663E4" w:rsidRDefault="00FD3F7D">
      <w:pPr>
        <w:spacing w:line="360" w:lineRule="auto"/>
        <w:rPr>
          <w:rFonts w:eastAsiaTheme="minorEastAsia"/>
          <w:b/>
          <w:color w:val="000000"/>
          <w:kern w:val="0"/>
          <w:szCs w:val="21"/>
        </w:rPr>
      </w:pPr>
      <w:r>
        <w:rPr>
          <w:rFonts w:eastAsiaTheme="minorEastAsia" w:hint="eastAsia"/>
          <w:b/>
          <w:color w:val="000000"/>
          <w:szCs w:val="21"/>
        </w:rPr>
        <w:t>3.1.2.1</w:t>
      </w:r>
      <w:r>
        <w:rPr>
          <w:rFonts w:eastAsiaTheme="minorEastAsia" w:hint="eastAsia"/>
          <w:b/>
          <w:color w:val="000000"/>
          <w:kern w:val="0"/>
          <w:szCs w:val="21"/>
        </w:rPr>
        <w:t xml:space="preserve"> </w:t>
      </w:r>
      <w:r>
        <w:rPr>
          <w:rFonts w:eastAsiaTheme="minorEastAsia"/>
          <w:b/>
          <w:color w:val="000000"/>
          <w:kern w:val="0"/>
          <w:szCs w:val="21"/>
        </w:rPr>
        <w:t>基金份额净值增长率及其与同期业绩比较基准收益率的比较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276"/>
        <w:gridCol w:w="1275"/>
        <w:gridCol w:w="1276"/>
        <w:gridCol w:w="1276"/>
        <w:gridCol w:w="1276"/>
        <w:gridCol w:w="1203"/>
      </w:tblGrid>
      <w:tr w:rsidR="003663E4">
        <w:tc>
          <w:tcPr>
            <w:tcW w:w="1418" w:type="dxa"/>
            <w:vAlign w:val="center"/>
          </w:tcPr>
          <w:p w:rsidR="003663E4" w:rsidRDefault="00FD3F7D">
            <w:pPr>
              <w:spacing w:line="276" w:lineRule="auto"/>
              <w:jc w:val="center"/>
              <w:rPr>
                <w:rFonts w:eastAsiaTheme="minorEastAsia"/>
                <w:color w:val="000000"/>
                <w:szCs w:val="21"/>
              </w:rPr>
            </w:pPr>
            <w:r>
              <w:rPr>
                <w:rFonts w:eastAsiaTheme="minorEastAsia"/>
                <w:color w:val="000000"/>
                <w:szCs w:val="21"/>
              </w:rPr>
              <w:t>阶段</w:t>
            </w:r>
          </w:p>
        </w:tc>
        <w:tc>
          <w:tcPr>
            <w:tcW w:w="1276" w:type="dxa"/>
            <w:vAlign w:val="center"/>
          </w:tcPr>
          <w:p w:rsidR="003663E4" w:rsidRDefault="00FD3F7D">
            <w:pPr>
              <w:spacing w:line="276" w:lineRule="auto"/>
              <w:jc w:val="center"/>
              <w:rPr>
                <w:rFonts w:eastAsiaTheme="minorEastAsia"/>
                <w:color w:val="000000"/>
                <w:szCs w:val="21"/>
              </w:rPr>
            </w:pPr>
            <w:r>
              <w:rPr>
                <w:rFonts w:eastAsiaTheme="minorEastAsia"/>
                <w:color w:val="000000"/>
                <w:szCs w:val="21"/>
              </w:rPr>
              <w:t>份额净值增长率</w:t>
            </w:r>
            <w:r>
              <w:rPr>
                <w:rFonts w:ascii="宋体" w:hAnsi="宋体" w:cs="宋体" w:hint="eastAsia"/>
                <w:color w:val="000000"/>
                <w:szCs w:val="21"/>
              </w:rPr>
              <w:t>①</w:t>
            </w:r>
          </w:p>
        </w:tc>
        <w:tc>
          <w:tcPr>
            <w:tcW w:w="1275" w:type="dxa"/>
            <w:vAlign w:val="center"/>
          </w:tcPr>
          <w:p w:rsidR="003663E4" w:rsidRDefault="00FD3F7D">
            <w:pPr>
              <w:spacing w:line="276" w:lineRule="auto"/>
              <w:jc w:val="center"/>
              <w:rPr>
                <w:rFonts w:eastAsiaTheme="minorEastAsia"/>
                <w:color w:val="000000"/>
                <w:szCs w:val="21"/>
              </w:rPr>
            </w:pPr>
            <w:r>
              <w:rPr>
                <w:rFonts w:eastAsiaTheme="minorEastAsia"/>
                <w:color w:val="000000"/>
                <w:szCs w:val="21"/>
              </w:rPr>
              <w:t>份额净值增长率标准差</w:t>
            </w:r>
            <w:r>
              <w:rPr>
                <w:rFonts w:ascii="宋体" w:hAnsi="宋体" w:cs="宋体" w:hint="eastAsia"/>
                <w:color w:val="000000"/>
                <w:szCs w:val="21"/>
              </w:rPr>
              <w:t>②</w:t>
            </w:r>
          </w:p>
        </w:tc>
        <w:tc>
          <w:tcPr>
            <w:tcW w:w="1276" w:type="dxa"/>
            <w:vAlign w:val="center"/>
          </w:tcPr>
          <w:p w:rsidR="003663E4" w:rsidRDefault="00FD3F7D">
            <w:pPr>
              <w:spacing w:line="276" w:lineRule="auto"/>
              <w:jc w:val="center"/>
              <w:rPr>
                <w:rFonts w:eastAsiaTheme="minorEastAsia"/>
                <w:color w:val="000000"/>
                <w:szCs w:val="21"/>
              </w:rPr>
            </w:pPr>
            <w:r>
              <w:rPr>
                <w:rFonts w:eastAsiaTheme="minorEastAsia"/>
                <w:color w:val="000000"/>
                <w:szCs w:val="21"/>
              </w:rPr>
              <w:t>业绩比较基准收益率</w:t>
            </w:r>
            <w:r>
              <w:rPr>
                <w:rFonts w:ascii="宋体" w:hAnsi="宋体" w:cs="宋体" w:hint="eastAsia"/>
                <w:color w:val="000000"/>
                <w:szCs w:val="21"/>
              </w:rPr>
              <w:t>③</w:t>
            </w:r>
          </w:p>
        </w:tc>
        <w:tc>
          <w:tcPr>
            <w:tcW w:w="1276" w:type="dxa"/>
            <w:vAlign w:val="center"/>
          </w:tcPr>
          <w:p w:rsidR="003663E4" w:rsidRDefault="00FD3F7D">
            <w:pPr>
              <w:spacing w:line="276" w:lineRule="auto"/>
              <w:jc w:val="center"/>
              <w:rPr>
                <w:rFonts w:eastAsiaTheme="minorEastAsia"/>
                <w:color w:val="000000"/>
                <w:szCs w:val="21"/>
              </w:rPr>
            </w:pPr>
            <w:r>
              <w:rPr>
                <w:rFonts w:eastAsiaTheme="minorEastAsia"/>
                <w:color w:val="000000"/>
                <w:szCs w:val="21"/>
              </w:rPr>
              <w:t>业绩比较基准收益率标准差</w:t>
            </w:r>
            <w:r>
              <w:rPr>
                <w:rFonts w:ascii="宋体" w:hAnsi="宋体" w:cs="宋体" w:hint="eastAsia"/>
                <w:color w:val="000000"/>
                <w:szCs w:val="21"/>
              </w:rPr>
              <w:t>④</w:t>
            </w:r>
          </w:p>
        </w:tc>
        <w:tc>
          <w:tcPr>
            <w:tcW w:w="1276" w:type="dxa"/>
            <w:vAlign w:val="center"/>
          </w:tcPr>
          <w:p w:rsidR="003663E4" w:rsidRDefault="00FD3F7D">
            <w:pPr>
              <w:spacing w:line="276" w:lineRule="auto"/>
              <w:jc w:val="center"/>
              <w:rPr>
                <w:rFonts w:eastAsiaTheme="minorEastAsia"/>
                <w:color w:val="000000"/>
                <w:szCs w:val="21"/>
              </w:rPr>
            </w:pPr>
            <w:r>
              <w:rPr>
                <w:rFonts w:ascii="宋体" w:hAnsi="宋体" w:cs="宋体" w:hint="eastAsia"/>
                <w:color w:val="000000"/>
                <w:szCs w:val="21"/>
              </w:rPr>
              <w:t>①</w:t>
            </w:r>
            <w:r>
              <w:rPr>
                <w:rFonts w:eastAsiaTheme="minorEastAsia"/>
                <w:color w:val="000000"/>
                <w:szCs w:val="21"/>
              </w:rPr>
              <w:t>－</w:t>
            </w:r>
            <w:r>
              <w:rPr>
                <w:rFonts w:ascii="宋体" w:hAnsi="宋体" w:cs="宋体" w:hint="eastAsia"/>
                <w:color w:val="000000"/>
                <w:szCs w:val="21"/>
              </w:rPr>
              <w:t>③</w:t>
            </w:r>
          </w:p>
        </w:tc>
        <w:tc>
          <w:tcPr>
            <w:tcW w:w="1203" w:type="dxa"/>
            <w:vAlign w:val="center"/>
          </w:tcPr>
          <w:p w:rsidR="003663E4" w:rsidRDefault="00FD3F7D">
            <w:pPr>
              <w:spacing w:line="276" w:lineRule="auto"/>
              <w:jc w:val="center"/>
              <w:rPr>
                <w:rFonts w:eastAsiaTheme="minorEastAsia"/>
                <w:color w:val="000000"/>
                <w:szCs w:val="21"/>
              </w:rPr>
            </w:pPr>
            <w:r>
              <w:rPr>
                <w:rFonts w:ascii="宋体" w:hAnsi="宋体" w:cs="宋体" w:hint="eastAsia"/>
                <w:color w:val="000000"/>
                <w:szCs w:val="21"/>
              </w:rPr>
              <w:t>②</w:t>
            </w:r>
            <w:r>
              <w:rPr>
                <w:rFonts w:eastAsiaTheme="minorEastAsia"/>
                <w:color w:val="000000"/>
                <w:szCs w:val="21"/>
              </w:rPr>
              <w:t>－</w:t>
            </w:r>
            <w:r>
              <w:rPr>
                <w:rFonts w:ascii="宋体" w:hAnsi="宋体" w:cs="宋体" w:hint="eastAsia"/>
                <w:color w:val="000000"/>
                <w:szCs w:val="21"/>
              </w:rPr>
              <w:t>④</w:t>
            </w:r>
          </w:p>
        </w:tc>
      </w:tr>
      <w:tr w:rsidR="003663E4">
        <w:tc>
          <w:tcPr>
            <w:tcW w:w="1418" w:type="dxa"/>
            <w:vAlign w:val="center"/>
          </w:tcPr>
          <w:p w:rsidR="003663E4" w:rsidRDefault="00FD3F7D">
            <w:pPr>
              <w:jc w:val="left"/>
            </w:pPr>
            <w:r>
              <w:rPr>
                <w:rFonts w:eastAsiaTheme="minorEastAsia"/>
                <w:color w:val="000000"/>
                <w:szCs w:val="21"/>
              </w:rPr>
              <w:t>过去三个月</w:t>
            </w:r>
          </w:p>
        </w:tc>
        <w:tc>
          <w:tcPr>
            <w:tcW w:w="1276" w:type="dxa"/>
            <w:vAlign w:val="center"/>
          </w:tcPr>
          <w:p w:rsidR="003663E4" w:rsidRDefault="00FD3F7D">
            <w:pPr>
              <w:jc w:val="center"/>
            </w:pPr>
            <w:r>
              <w:rPr>
                <w:rFonts w:eastAsiaTheme="minorEastAsia"/>
                <w:color w:val="000000"/>
                <w:szCs w:val="21"/>
              </w:rPr>
              <w:t>0.95%</w:t>
            </w:r>
          </w:p>
        </w:tc>
        <w:tc>
          <w:tcPr>
            <w:tcW w:w="1275" w:type="dxa"/>
            <w:vAlign w:val="center"/>
          </w:tcPr>
          <w:p w:rsidR="003663E4" w:rsidRDefault="00FD3F7D">
            <w:pPr>
              <w:jc w:val="center"/>
            </w:pPr>
            <w:r>
              <w:rPr>
                <w:rFonts w:eastAsiaTheme="minorEastAsia"/>
                <w:color w:val="000000"/>
                <w:szCs w:val="21"/>
              </w:rPr>
              <w:t>0.02%</w:t>
            </w:r>
          </w:p>
        </w:tc>
        <w:tc>
          <w:tcPr>
            <w:tcW w:w="1276" w:type="dxa"/>
            <w:vAlign w:val="center"/>
          </w:tcPr>
          <w:p w:rsidR="003663E4" w:rsidRDefault="00FD3F7D">
            <w:pPr>
              <w:jc w:val="center"/>
            </w:pPr>
            <w:r>
              <w:rPr>
                <w:rFonts w:eastAsiaTheme="minorEastAsia"/>
                <w:color w:val="000000"/>
                <w:szCs w:val="21"/>
              </w:rPr>
              <w:t>0.64%</w:t>
            </w:r>
          </w:p>
        </w:tc>
        <w:tc>
          <w:tcPr>
            <w:tcW w:w="1276" w:type="dxa"/>
            <w:vAlign w:val="center"/>
          </w:tcPr>
          <w:p w:rsidR="003663E4" w:rsidRDefault="00FD3F7D">
            <w:pPr>
              <w:jc w:val="center"/>
            </w:pPr>
            <w:r>
              <w:rPr>
                <w:rFonts w:eastAsiaTheme="minorEastAsia"/>
                <w:color w:val="000000"/>
                <w:szCs w:val="21"/>
              </w:rPr>
              <w:t>0.04%</w:t>
            </w:r>
          </w:p>
        </w:tc>
        <w:tc>
          <w:tcPr>
            <w:tcW w:w="1276" w:type="dxa"/>
            <w:vAlign w:val="center"/>
          </w:tcPr>
          <w:p w:rsidR="003663E4" w:rsidRDefault="00FD3F7D">
            <w:pPr>
              <w:jc w:val="center"/>
            </w:pPr>
            <w:r>
              <w:rPr>
                <w:rFonts w:eastAsiaTheme="minorEastAsia"/>
                <w:color w:val="000000"/>
                <w:szCs w:val="21"/>
              </w:rPr>
              <w:t>0.31%</w:t>
            </w:r>
          </w:p>
        </w:tc>
        <w:tc>
          <w:tcPr>
            <w:tcW w:w="1203" w:type="dxa"/>
            <w:vAlign w:val="center"/>
          </w:tcPr>
          <w:p w:rsidR="003663E4" w:rsidRDefault="00FD3F7D">
            <w:pPr>
              <w:jc w:val="center"/>
            </w:pPr>
            <w:r>
              <w:rPr>
                <w:rFonts w:eastAsiaTheme="minorEastAsia"/>
                <w:color w:val="000000"/>
                <w:szCs w:val="21"/>
              </w:rPr>
              <w:t>-0.02%</w:t>
            </w:r>
          </w:p>
        </w:tc>
      </w:tr>
      <w:tr w:rsidR="003663E4">
        <w:tc>
          <w:tcPr>
            <w:tcW w:w="1418" w:type="dxa"/>
            <w:vAlign w:val="center"/>
          </w:tcPr>
          <w:p w:rsidR="003663E4" w:rsidRDefault="00FD3F7D">
            <w:pPr>
              <w:jc w:val="left"/>
            </w:pPr>
            <w:r>
              <w:rPr>
                <w:rFonts w:eastAsiaTheme="minorEastAsia"/>
                <w:color w:val="000000"/>
                <w:szCs w:val="21"/>
              </w:rPr>
              <w:t>自基金合同生效起至今</w:t>
            </w:r>
          </w:p>
        </w:tc>
        <w:tc>
          <w:tcPr>
            <w:tcW w:w="1276" w:type="dxa"/>
            <w:vAlign w:val="center"/>
          </w:tcPr>
          <w:p w:rsidR="003663E4" w:rsidRDefault="00FD3F7D">
            <w:pPr>
              <w:jc w:val="center"/>
            </w:pPr>
            <w:r>
              <w:rPr>
                <w:rFonts w:eastAsiaTheme="minorEastAsia"/>
                <w:color w:val="000000"/>
                <w:szCs w:val="21"/>
              </w:rPr>
              <w:t>1.15%</w:t>
            </w:r>
          </w:p>
        </w:tc>
        <w:tc>
          <w:tcPr>
            <w:tcW w:w="1275" w:type="dxa"/>
            <w:vAlign w:val="center"/>
          </w:tcPr>
          <w:p w:rsidR="003663E4" w:rsidRDefault="00FD3F7D">
            <w:pPr>
              <w:jc w:val="center"/>
            </w:pPr>
            <w:r>
              <w:rPr>
                <w:rFonts w:eastAsiaTheme="minorEastAsia"/>
                <w:color w:val="000000"/>
                <w:szCs w:val="21"/>
              </w:rPr>
              <w:t>0.02%</w:t>
            </w:r>
          </w:p>
        </w:tc>
        <w:tc>
          <w:tcPr>
            <w:tcW w:w="1276" w:type="dxa"/>
            <w:vAlign w:val="center"/>
          </w:tcPr>
          <w:p w:rsidR="003663E4" w:rsidRDefault="00FD3F7D">
            <w:pPr>
              <w:jc w:val="center"/>
            </w:pPr>
            <w:r>
              <w:rPr>
                <w:rFonts w:eastAsiaTheme="minorEastAsia"/>
                <w:color w:val="000000"/>
                <w:szCs w:val="21"/>
              </w:rPr>
              <w:t>-0.43%</w:t>
            </w:r>
          </w:p>
        </w:tc>
        <w:tc>
          <w:tcPr>
            <w:tcW w:w="1276" w:type="dxa"/>
            <w:vAlign w:val="center"/>
          </w:tcPr>
          <w:p w:rsidR="003663E4" w:rsidRDefault="00FD3F7D">
            <w:pPr>
              <w:jc w:val="center"/>
            </w:pPr>
            <w:r>
              <w:rPr>
                <w:rFonts w:eastAsiaTheme="minorEastAsia"/>
                <w:color w:val="000000"/>
                <w:szCs w:val="21"/>
              </w:rPr>
              <w:t>0.05%</w:t>
            </w:r>
          </w:p>
        </w:tc>
        <w:tc>
          <w:tcPr>
            <w:tcW w:w="1276" w:type="dxa"/>
            <w:vAlign w:val="center"/>
          </w:tcPr>
          <w:p w:rsidR="003663E4" w:rsidRDefault="00FD3F7D">
            <w:pPr>
              <w:jc w:val="center"/>
            </w:pPr>
            <w:r>
              <w:rPr>
                <w:rFonts w:eastAsiaTheme="minorEastAsia"/>
                <w:color w:val="000000"/>
                <w:szCs w:val="21"/>
              </w:rPr>
              <w:t>1.58%</w:t>
            </w:r>
          </w:p>
        </w:tc>
        <w:tc>
          <w:tcPr>
            <w:tcW w:w="1203" w:type="dxa"/>
            <w:vAlign w:val="center"/>
          </w:tcPr>
          <w:p w:rsidR="003663E4" w:rsidRDefault="00FD3F7D">
            <w:pPr>
              <w:jc w:val="center"/>
            </w:pPr>
            <w:r>
              <w:rPr>
                <w:rFonts w:eastAsiaTheme="minorEastAsia"/>
                <w:color w:val="000000"/>
                <w:szCs w:val="21"/>
              </w:rPr>
              <w:t>-0.03%</w:t>
            </w:r>
          </w:p>
        </w:tc>
      </w:tr>
    </w:tbl>
    <w:p w:rsidR="003663E4" w:rsidRDefault="00FD3F7D">
      <w:pPr>
        <w:tabs>
          <w:tab w:val="left" w:pos="426"/>
        </w:tabs>
        <w:spacing w:line="360" w:lineRule="auto"/>
        <w:ind w:firstLineChars="200" w:firstLine="420"/>
        <w:jc w:val="left"/>
        <w:rPr>
          <w:rFonts w:eastAsiaTheme="minorEastAsia"/>
          <w:kern w:val="0"/>
          <w:szCs w:val="21"/>
        </w:rPr>
      </w:pPr>
      <w:r>
        <w:rPr>
          <w:rFonts w:eastAsiaTheme="minorEastAsia"/>
          <w:kern w:val="0"/>
          <w:szCs w:val="21"/>
        </w:rPr>
        <w:t>注：交银施罗德理财</w:t>
      </w:r>
      <w:r>
        <w:rPr>
          <w:rFonts w:eastAsiaTheme="minorEastAsia"/>
          <w:kern w:val="0"/>
          <w:szCs w:val="21"/>
        </w:rPr>
        <w:t>60</w:t>
      </w:r>
      <w:r>
        <w:rPr>
          <w:rFonts w:eastAsiaTheme="minorEastAsia"/>
          <w:kern w:val="0"/>
          <w:szCs w:val="21"/>
        </w:rPr>
        <w:t>天债券型证券投资基金从</w:t>
      </w:r>
      <w:r>
        <w:rPr>
          <w:rFonts w:eastAsiaTheme="minorEastAsia"/>
          <w:kern w:val="0"/>
          <w:szCs w:val="21"/>
        </w:rPr>
        <w:t>2020</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28</w:t>
      </w:r>
      <w:r>
        <w:rPr>
          <w:rFonts w:eastAsiaTheme="minorEastAsia"/>
          <w:kern w:val="0"/>
          <w:szCs w:val="21"/>
        </w:rPr>
        <w:t>日起正式转型为交银施罗德裕惠纯债债券型证券投资基金，本表列示的是本报告期基金转型后的基金净值表现，转型后基金的业绩比较基准为中债综合全价指数收益率。</w:t>
      </w:r>
    </w:p>
    <w:p w:rsidR="003663E4" w:rsidRDefault="00FD3F7D">
      <w:pPr>
        <w:spacing w:line="360" w:lineRule="auto"/>
        <w:rPr>
          <w:rFonts w:eastAsiaTheme="minorEastAsia"/>
          <w:b/>
          <w:color w:val="000000"/>
          <w:kern w:val="0"/>
          <w:szCs w:val="21"/>
        </w:rPr>
      </w:pPr>
      <w:r>
        <w:rPr>
          <w:rFonts w:eastAsiaTheme="minorEastAsia" w:hint="eastAsia"/>
          <w:b/>
          <w:color w:val="000000"/>
          <w:szCs w:val="21"/>
        </w:rPr>
        <w:t>3.1.2.2</w:t>
      </w:r>
      <w:r>
        <w:rPr>
          <w:rFonts w:eastAsiaTheme="minorEastAsia" w:hint="eastAsia"/>
          <w:b/>
          <w:color w:val="000000"/>
          <w:kern w:val="0"/>
          <w:szCs w:val="21"/>
        </w:rPr>
        <w:t xml:space="preserve"> </w:t>
      </w:r>
      <w:r>
        <w:rPr>
          <w:rStyle w:val="afd"/>
          <w:color w:val="000000"/>
          <w:shd w:val="clear" w:color="auto" w:fill="FFFFFF"/>
        </w:rPr>
        <w:t>自基金转型以来</w:t>
      </w:r>
      <w:r>
        <w:rPr>
          <w:rFonts w:eastAsiaTheme="minorEastAsia"/>
          <w:b/>
          <w:color w:val="000000"/>
          <w:kern w:val="0"/>
          <w:szCs w:val="21"/>
        </w:rPr>
        <w:t>基金份额累计净值增长率变动及其与同期业绩比较基准收益率变动的比较</w:t>
      </w:r>
    </w:p>
    <w:p w:rsidR="003663E4" w:rsidRDefault="00FD3F7D">
      <w:pPr>
        <w:spacing w:line="360" w:lineRule="auto"/>
        <w:jc w:val="center"/>
        <w:rPr>
          <w:rFonts w:eastAsiaTheme="minorEastAsia"/>
          <w:color w:val="000000"/>
          <w:szCs w:val="21"/>
        </w:rPr>
      </w:pPr>
      <w:r>
        <w:rPr>
          <w:rFonts w:eastAsiaTheme="minorEastAsia"/>
          <w:color w:val="000000"/>
          <w:szCs w:val="21"/>
        </w:rPr>
        <w:t>交银施罗德裕惠纯债债券型证券投资基金</w:t>
      </w:r>
    </w:p>
    <w:p w:rsidR="003663E4" w:rsidRDefault="00FD3F7D">
      <w:pPr>
        <w:spacing w:line="360" w:lineRule="auto"/>
        <w:jc w:val="center"/>
        <w:rPr>
          <w:rFonts w:eastAsiaTheme="minorEastAsia"/>
          <w:color w:val="000000"/>
          <w:szCs w:val="21"/>
        </w:rPr>
      </w:pPr>
      <w:r>
        <w:rPr>
          <w:color w:val="000000"/>
          <w:kern w:val="0"/>
        </w:rPr>
        <w:t>自基金转型以来</w:t>
      </w:r>
      <w:r>
        <w:rPr>
          <w:rFonts w:eastAsiaTheme="minorEastAsia"/>
          <w:color w:val="000000"/>
          <w:szCs w:val="21"/>
        </w:rPr>
        <w:t>份额累计净值增长率与业绩比较基准收益率历史走势对比图</w:t>
      </w:r>
    </w:p>
    <w:p w:rsidR="003663E4" w:rsidRDefault="00FD3F7D">
      <w:pPr>
        <w:spacing w:line="360" w:lineRule="auto"/>
        <w:jc w:val="center"/>
      </w:pPr>
      <w:r>
        <w:rPr>
          <w:rFonts w:hint="eastAsia"/>
        </w:rPr>
        <w:t>(</w:t>
      </w:r>
      <w:r>
        <w:t>2020</w:t>
      </w:r>
      <w:r>
        <w:t>年</w:t>
      </w:r>
      <w:r>
        <w:t>7</w:t>
      </w:r>
      <w:r>
        <w:t>月</w:t>
      </w:r>
      <w:r>
        <w:t>28</w:t>
      </w:r>
      <w:r>
        <w:t>日（基金合同生效日）至</w:t>
      </w:r>
      <w:r>
        <w:rPr>
          <w:rFonts w:hint="eastAsia"/>
        </w:rPr>
        <w:t>2020</w:t>
      </w:r>
      <w:r>
        <w:rPr>
          <w:rFonts w:hint="eastAsia"/>
        </w:rPr>
        <w:t>年</w:t>
      </w:r>
      <w:r>
        <w:rPr>
          <w:rFonts w:hint="eastAsia"/>
        </w:rPr>
        <w:t>12</w:t>
      </w:r>
      <w:r>
        <w:rPr>
          <w:rFonts w:hint="eastAsia"/>
        </w:rPr>
        <w:t>月</w:t>
      </w:r>
      <w:r>
        <w:rPr>
          <w:rFonts w:hint="eastAsia"/>
        </w:rPr>
        <w:t>31</w:t>
      </w:r>
      <w:r>
        <w:rPr>
          <w:rFonts w:hint="eastAsia"/>
        </w:rPr>
        <w:t>日</w:t>
      </w:r>
      <w:r>
        <w:rPr>
          <w:rFonts w:hint="eastAsia"/>
        </w:rPr>
        <w:t>)</w:t>
      </w:r>
    </w:p>
    <w:p w:rsidR="003663E4" w:rsidRDefault="00FD3F7D">
      <w:pPr>
        <w:pStyle w:val="21"/>
        <w:spacing w:line="360" w:lineRule="auto"/>
        <w:ind w:firstLineChars="0" w:firstLine="0"/>
        <w:rPr>
          <w:rFonts w:ascii="Times New Roman" w:eastAsiaTheme="minorEastAsia" w:hAnsi="Times New Roman"/>
          <w:color w:val="auto"/>
          <w:sz w:val="21"/>
          <w:szCs w:val="21"/>
        </w:rPr>
      </w:pPr>
      <w:r>
        <w:rPr>
          <w:rFonts w:ascii="Times New Roman" w:hAnsi="Times New Roman"/>
          <w:noProof/>
          <w:color w:val="000000"/>
          <w:sz w:val="21"/>
          <w:szCs w:val="21"/>
        </w:rPr>
        <w:drawing>
          <wp:inline distT="0" distB="0" distL="0" distR="0">
            <wp:extent cx="5737860" cy="3375660"/>
            <wp:effectExtent l="0" t="0" r="0" b="0"/>
            <wp:docPr id="7" name="图片 7" descr="说明: 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37860" cy="3375660"/>
                    </a:xfrm>
                    <a:prstGeom prst="rect">
                      <a:avLst/>
                    </a:prstGeom>
                    <a:noFill/>
                    <a:ln>
                      <a:noFill/>
                    </a:ln>
                  </pic:spPr>
                </pic:pic>
              </a:graphicData>
            </a:graphic>
          </wp:inline>
        </w:drawing>
      </w:r>
    </w:p>
    <w:p w:rsidR="003663E4" w:rsidRDefault="00FD3F7D">
      <w:pPr>
        <w:spacing w:beforeLines="100" w:before="312" w:line="360" w:lineRule="auto"/>
        <w:rPr>
          <w:color w:val="000000"/>
          <w:kern w:val="0"/>
          <w:szCs w:val="21"/>
        </w:rPr>
      </w:pPr>
      <w:r>
        <w:rPr>
          <w:rFonts w:hint="eastAsia"/>
          <w:color w:val="000000"/>
          <w:kern w:val="0"/>
          <w:szCs w:val="21"/>
        </w:rPr>
        <w:t>注：本基金由交银施罗德理财</w:t>
      </w:r>
      <w:r>
        <w:rPr>
          <w:color w:val="000000"/>
          <w:kern w:val="0"/>
          <w:szCs w:val="21"/>
        </w:rPr>
        <w:t>60</w:t>
      </w:r>
      <w:r>
        <w:rPr>
          <w:rFonts w:hint="eastAsia"/>
          <w:color w:val="000000"/>
          <w:kern w:val="0"/>
          <w:szCs w:val="21"/>
        </w:rPr>
        <w:t>天债券型证券投资基金转型而来。基金转型日为</w:t>
      </w:r>
      <w:r>
        <w:rPr>
          <w:color w:val="000000"/>
          <w:kern w:val="0"/>
          <w:szCs w:val="21"/>
        </w:rPr>
        <w:t>2020</w:t>
      </w:r>
      <w:r>
        <w:rPr>
          <w:rFonts w:hint="eastAsia"/>
          <w:color w:val="000000"/>
          <w:kern w:val="0"/>
          <w:szCs w:val="21"/>
        </w:rPr>
        <w:t>年</w:t>
      </w:r>
      <w:r>
        <w:rPr>
          <w:color w:val="000000"/>
          <w:kern w:val="0"/>
          <w:szCs w:val="21"/>
        </w:rPr>
        <w:t>7</w:t>
      </w:r>
      <w:r>
        <w:rPr>
          <w:rFonts w:hint="eastAsia"/>
          <w:color w:val="000000"/>
          <w:kern w:val="0"/>
          <w:szCs w:val="21"/>
        </w:rPr>
        <w:t>月</w:t>
      </w:r>
      <w:r>
        <w:rPr>
          <w:color w:val="000000"/>
          <w:kern w:val="0"/>
          <w:szCs w:val="21"/>
        </w:rPr>
        <w:t>28</w:t>
      </w:r>
      <w:r>
        <w:rPr>
          <w:rFonts w:hint="eastAsia"/>
          <w:color w:val="000000"/>
          <w:kern w:val="0"/>
          <w:szCs w:val="21"/>
        </w:rPr>
        <w:t>日。本基金基金合同生效日为</w:t>
      </w:r>
      <w:r>
        <w:rPr>
          <w:color w:val="000000"/>
          <w:kern w:val="0"/>
          <w:szCs w:val="21"/>
        </w:rPr>
        <w:t>2020</w:t>
      </w:r>
      <w:r>
        <w:rPr>
          <w:rFonts w:hint="eastAsia"/>
          <w:color w:val="000000"/>
          <w:kern w:val="0"/>
          <w:szCs w:val="21"/>
        </w:rPr>
        <w:t>年</w:t>
      </w:r>
      <w:r>
        <w:rPr>
          <w:color w:val="000000"/>
          <w:kern w:val="0"/>
          <w:szCs w:val="21"/>
        </w:rPr>
        <w:t>7</w:t>
      </w:r>
      <w:r>
        <w:rPr>
          <w:rFonts w:hint="eastAsia"/>
          <w:color w:val="000000"/>
          <w:kern w:val="0"/>
          <w:szCs w:val="21"/>
        </w:rPr>
        <w:t>月</w:t>
      </w:r>
      <w:r>
        <w:rPr>
          <w:color w:val="000000"/>
          <w:kern w:val="0"/>
          <w:szCs w:val="21"/>
        </w:rPr>
        <w:t>28</w:t>
      </w:r>
      <w:r>
        <w:rPr>
          <w:rFonts w:hint="eastAsia"/>
          <w:color w:val="000000"/>
          <w:kern w:val="0"/>
          <w:szCs w:val="21"/>
        </w:rPr>
        <w:t>日，基金合同生效日至报告期期末，本基金运作时间未满一年。本基金建仓期为自基金合同生效日起的</w:t>
      </w:r>
      <w:r>
        <w:rPr>
          <w:color w:val="000000"/>
          <w:kern w:val="0"/>
          <w:szCs w:val="21"/>
        </w:rPr>
        <w:t>6</w:t>
      </w:r>
      <w:r>
        <w:rPr>
          <w:rFonts w:hint="eastAsia"/>
          <w:color w:val="000000"/>
          <w:kern w:val="0"/>
          <w:szCs w:val="21"/>
        </w:rPr>
        <w:t>个月。截至</w:t>
      </w:r>
      <w:r>
        <w:rPr>
          <w:color w:val="000000"/>
          <w:kern w:val="0"/>
          <w:szCs w:val="21"/>
        </w:rPr>
        <w:t>2020</w:t>
      </w:r>
      <w:r>
        <w:rPr>
          <w:rFonts w:hint="eastAsia"/>
          <w:color w:val="000000"/>
          <w:kern w:val="0"/>
          <w:szCs w:val="21"/>
        </w:rPr>
        <w:t>年</w:t>
      </w:r>
      <w:r>
        <w:rPr>
          <w:color w:val="000000"/>
          <w:kern w:val="0"/>
          <w:szCs w:val="21"/>
        </w:rPr>
        <w:t>12</w:t>
      </w:r>
      <w:r>
        <w:rPr>
          <w:rFonts w:hint="eastAsia"/>
          <w:color w:val="000000"/>
          <w:kern w:val="0"/>
          <w:szCs w:val="21"/>
        </w:rPr>
        <w:t>月</w:t>
      </w:r>
      <w:r>
        <w:rPr>
          <w:color w:val="000000"/>
          <w:kern w:val="0"/>
          <w:szCs w:val="21"/>
        </w:rPr>
        <w:t>31</w:t>
      </w:r>
      <w:r>
        <w:rPr>
          <w:rFonts w:hint="eastAsia"/>
          <w:color w:val="000000"/>
          <w:kern w:val="0"/>
          <w:szCs w:val="21"/>
        </w:rPr>
        <w:t>日，本基金尚处于建仓期。</w:t>
      </w:r>
    </w:p>
    <w:p w:rsidR="003663E4" w:rsidRDefault="00FD3F7D">
      <w:pPr>
        <w:spacing w:beforeLines="100" w:before="312" w:line="360" w:lineRule="auto"/>
        <w:rPr>
          <w:b/>
          <w:color w:val="000000"/>
          <w:szCs w:val="21"/>
        </w:rPr>
      </w:pPr>
      <w:r>
        <w:rPr>
          <w:b/>
          <w:color w:val="000000"/>
          <w:kern w:val="0"/>
          <w:szCs w:val="21"/>
        </w:rPr>
        <w:t>3.1.2.3</w:t>
      </w:r>
      <w:r>
        <w:rPr>
          <w:b/>
          <w:color w:val="000000"/>
          <w:szCs w:val="21"/>
        </w:rPr>
        <w:t>基金每年净值增长率及其与同期业绩比较基准收益率的比较</w:t>
      </w:r>
    </w:p>
    <w:p w:rsidR="003663E4" w:rsidRDefault="00FD3F7D">
      <w:pPr>
        <w:spacing w:line="360" w:lineRule="auto"/>
        <w:jc w:val="center"/>
        <w:rPr>
          <w:color w:val="000000"/>
          <w:szCs w:val="21"/>
        </w:rPr>
      </w:pPr>
      <w:r>
        <w:rPr>
          <w:color w:val="000000"/>
          <w:szCs w:val="21"/>
        </w:rPr>
        <w:t>交银施罗德裕惠纯债债券型证券投资基金</w:t>
      </w:r>
    </w:p>
    <w:p w:rsidR="003663E4" w:rsidRDefault="00FD3F7D">
      <w:pPr>
        <w:spacing w:line="360" w:lineRule="auto"/>
        <w:jc w:val="center"/>
        <w:rPr>
          <w:color w:val="000000"/>
          <w:szCs w:val="21"/>
        </w:rPr>
      </w:pPr>
      <w:r>
        <w:rPr>
          <w:noProof/>
          <w:color w:val="000000"/>
          <w:szCs w:val="21"/>
        </w:rPr>
        <w:drawing>
          <wp:inline distT="0" distB="0" distL="0" distR="0">
            <wp:extent cx="5755005" cy="3375660"/>
            <wp:effectExtent l="0" t="0" r="0" b="0"/>
            <wp:docPr id="8" name="图片 8" descr="说明: 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755005" cy="3375660"/>
                    </a:xfrm>
                    <a:prstGeom prst="rect">
                      <a:avLst/>
                    </a:prstGeom>
                    <a:noFill/>
                    <a:ln>
                      <a:noFill/>
                    </a:ln>
                  </pic:spPr>
                </pic:pic>
              </a:graphicData>
            </a:graphic>
          </wp:inline>
        </w:drawing>
      </w:r>
    </w:p>
    <w:p w:rsidR="003663E4" w:rsidRDefault="00FD3F7D">
      <w:pPr>
        <w:snapToGrid w:val="0"/>
        <w:spacing w:line="360" w:lineRule="auto"/>
        <w:rPr>
          <w:color w:val="000000"/>
          <w:szCs w:val="21"/>
        </w:rPr>
      </w:pPr>
      <w:r>
        <w:rPr>
          <w:color w:val="000000"/>
          <w:kern w:val="0"/>
          <w:szCs w:val="21"/>
        </w:rPr>
        <w:t>注：图示日期为</w:t>
      </w:r>
      <w:r>
        <w:rPr>
          <w:color w:val="000000"/>
          <w:kern w:val="0"/>
          <w:szCs w:val="21"/>
        </w:rPr>
        <w:t>2020</w:t>
      </w:r>
      <w:r>
        <w:rPr>
          <w:color w:val="000000"/>
          <w:kern w:val="0"/>
          <w:szCs w:val="21"/>
        </w:rPr>
        <w:t>年</w:t>
      </w:r>
      <w:r>
        <w:rPr>
          <w:color w:val="000000"/>
          <w:kern w:val="0"/>
          <w:szCs w:val="21"/>
        </w:rPr>
        <w:t>7</w:t>
      </w:r>
      <w:r>
        <w:rPr>
          <w:color w:val="000000"/>
          <w:kern w:val="0"/>
          <w:szCs w:val="21"/>
        </w:rPr>
        <w:t>月</w:t>
      </w:r>
      <w:r>
        <w:rPr>
          <w:color w:val="000000"/>
          <w:kern w:val="0"/>
          <w:szCs w:val="21"/>
        </w:rPr>
        <w:t>28</w:t>
      </w:r>
      <w:r>
        <w:rPr>
          <w:color w:val="000000"/>
          <w:kern w:val="0"/>
          <w:szCs w:val="21"/>
        </w:rPr>
        <w:t>日至</w:t>
      </w:r>
      <w:r>
        <w:rPr>
          <w:color w:val="000000"/>
          <w:kern w:val="0"/>
          <w:szCs w:val="21"/>
        </w:rPr>
        <w:t>2020</w:t>
      </w:r>
      <w:r>
        <w:rPr>
          <w:color w:val="000000"/>
          <w:kern w:val="0"/>
          <w:szCs w:val="21"/>
        </w:rPr>
        <w:t>年</w:t>
      </w:r>
      <w:r>
        <w:rPr>
          <w:color w:val="000000"/>
          <w:kern w:val="0"/>
          <w:szCs w:val="21"/>
        </w:rPr>
        <w:t>12</w:t>
      </w:r>
      <w:r>
        <w:rPr>
          <w:color w:val="000000"/>
          <w:kern w:val="0"/>
          <w:szCs w:val="21"/>
        </w:rPr>
        <w:t>月</w:t>
      </w:r>
      <w:r>
        <w:rPr>
          <w:color w:val="000000"/>
          <w:kern w:val="0"/>
          <w:szCs w:val="21"/>
        </w:rPr>
        <w:t>31</w:t>
      </w:r>
      <w:r>
        <w:rPr>
          <w:color w:val="000000"/>
          <w:kern w:val="0"/>
          <w:szCs w:val="21"/>
        </w:rPr>
        <w:t>日。基金转型生效当年的净值增长率按照当年实际存续期计算。</w:t>
      </w:r>
    </w:p>
    <w:p w:rsidR="003663E4" w:rsidRDefault="00FD3F7D">
      <w:pPr>
        <w:pStyle w:val="3"/>
        <w:spacing w:before="0" w:after="0" w:line="360" w:lineRule="auto"/>
        <w:rPr>
          <w:color w:val="000000"/>
          <w:kern w:val="0"/>
          <w:sz w:val="21"/>
          <w:szCs w:val="21"/>
        </w:rPr>
      </w:pPr>
      <w:bookmarkStart w:id="48" w:name="_Toc508540653"/>
      <w:bookmarkStart w:id="49" w:name="_Toc23339339"/>
      <w:bookmarkStart w:id="50" w:name="_Toc20097"/>
      <w:r>
        <w:rPr>
          <w:color w:val="000000"/>
          <w:kern w:val="0"/>
          <w:sz w:val="21"/>
          <w:szCs w:val="21"/>
        </w:rPr>
        <w:t>3.1</w:t>
      </w:r>
      <w:r>
        <w:rPr>
          <w:rFonts w:hint="eastAsia"/>
          <w:color w:val="000000"/>
          <w:kern w:val="0"/>
          <w:sz w:val="21"/>
          <w:szCs w:val="21"/>
        </w:rPr>
        <w:t xml:space="preserve">.3 </w:t>
      </w:r>
      <w:r>
        <w:rPr>
          <w:color w:val="000000"/>
          <w:kern w:val="0"/>
          <w:sz w:val="21"/>
          <w:szCs w:val="21"/>
        </w:rPr>
        <w:t>过去三年基金的利润分配情况</w:t>
      </w:r>
      <w:bookmarkEnd w:id="48"/>
      <w:bookmarkEnd w:id="49"/>
      <w:bookmarkEnd w:id="50"/>
    </w:p>
    <w:p w:rsidR="003663E4" w:rsidRDefault="00FD3F7D">
      <w:pPr>
        <w:pStyle w:val="a0"/>
        <w:spacing w:line="360" w:lineRule="auto"/>
        <w:jc w:val="right"/>
        <w:rPr>
          <w:color w:val="000000"/>
          <w:szCs w:val="21"/>
        </w:rPr>
      </w:pPr>
      <w:r>
        <w:rPr>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7"/>
        <w:gridCol w:w="1378"/>
        <w:gridCol w:w="1839"/>
        <w:gridCol w:w="1950"/>
        <w:gridCol w:w="1894"/>
        <w:gridCol w:w="1068"/>
      </w:tblGrid>
      <w:tr w:rsidR="003663E4">
        <w:tc>
          <w:tcPr>
            <w:tcW w:w="1157" w:type="dxa"/>
            <w:vAlign w:val="center"/>
          </w:tcPr>
          <w:p w:rsidR="003663E4" w:rsidRDefault="00FD3F7D">
            <w:pPr>
              <w:widowControl/>
              <w:tabs>
                <w:tab w:val="left" w:pos="1680"/>
              </w:tabs>
              <w:autoSpaceDE w:val="0"/>
              <w:autoSpaceDN w:val="0"/>
              <w:spacing w:line="360" w:lineRule="auto"/>
              <w:jc w:val="center"/>
              <w:textAlignment w:val="bottom"/>
              <w:rPr>
                <w:color w:val="000000"/>
                <w:szCs w:val="21"/>
              </w:rPr>
            </w:pPr>
            <w:r>
              <w:rPr>
                <w:color w:val="000000"/>
                <w:szCs w:val="21"/>
              </w:rPr>
              <w:t>年度</w:t>
            </w:r>
          </w:p>
        </w:tc>
        <w:tc>
          <w:tcPr>
            <w:tcW w:w="1378" w:type="dxa"/>
            <w:vAlign w:val="center"/>
          </w:tcPr>
          <w:p w:rsidR="003663E4" w:rsidRDefault="00FD3F7D">
            <w:pPr>
              <w:widowControl/>
              <w:tabs>
                <w:tab w:val="left" w:pos="1680"/>
              </w:tabs>
              <w:autoSpaceDE w:val="0"/>
              <w:autoSpaceDN w:val="0"/>
              <w:spacing w:line="360" w:lineRule="auto"/>
              <w:jc w:val="center"/>
              <w:textAlignment w:val="bottom"/>
              <w:rPr>
                <w:color w:val="000000"/>
                <w:szCs w:val="21"/>
              </w:rPr>
            </w:pPr>
            <w:r>
              <w:rPr>
                <w:color w:val="000000"/>
                <w:szCs w:val="21"/>
              </w:rPr>
              <w:t>每</w:t>
            </w:r>
            <w:r>
              <w:rPr>
                <w:color w:val="000000"/>
                <w:szCs w:val="21"/>
              </w:rPr>
              <w:t>10</w:t>
            </w:r>
            <w:r>
              <w:rPr>
                <w:color w:val="000000"/>
                <w:szCs w:val="21"/>
              </w:rPr>
              <w:t>份基金份额分红数</w:t>
            </w:r>
          </w:p>
        </w:tc>
        <w:tc>
          <w:tcPr>
            <w:tcW w:w="1839" w:type="dxa"/>
            <w:vAlign w:val="center"/>
          </w:tcPr>
          <w:p w:rsidR="003663E4" w:rsidRDefault="00FD3F7D">
            <w:pPr>
              <w:widowControl/>
              <w:tabs>
                <w:tab w:val="left" w:pos="1680"/>
              </w:tabs>
              <w:autoSpaceDE w:val="0"/>
              <w:autoSpaceDN w:val="0"/>
              <w:spacing w:line="360" w:lineRule="auto"/>
              <w:jc w:val="center"/>
              <w:textAlignment w:val="bottom"/>
              <w:rPr>
                <w:color w:val="000000"/>
                <w:szCs w:val="21"/>
              </w:rPr>
            </w:pPr>
            <w:r>
              <w:rPr>
                <w:color w:val="000000"/>
                <w:szCs w:val="21"/>
                <w:lang w:val="en-AU"/>
              </w:rPr>
              <w:t>现金</w:t>
            </w:r>
            <w:r>
              <w:rPr>
                <w:color w:val="000000"/>
                <w:szCs w:val="21"/>
              </w:rPr>
              <w:t>形式发放总额</w:t>
            </w:r>
          </w:p>
        </w:tc>
        <w:tc>
          <w:tcPr>
            <w:tcW w:w="1950" w:type="dxa"/>
            <w:vAlign w:val="center"/>
          </w:tcPr>
          <w:p w:rsidR="003663E4" w:rsidRDefault="00FD3F7D">
            <w:pPr>
              <w:widowControl/>
              <w:tabs>
                <w:tab w:val="left" w:pos="1680"/>
              </w:tabs>
              <w:autoSpaceDE w:val="0"/>
              <w:autoSpaceDN w:val="0"/>
              <w:spacing w:line="360" w:lineRule="auto"/>
              <w:jc w:val="center"/>
              <w:textAlignment w:val="bottom"/>
              <w:rPr>
                <w:color w:val="000000"/>
                <w:szCs w:val="21"/>
              </w:rPr>
            </w:pPr>
            <w:r>
              <w:rPr>
                <w:color w:val="000000"/>
                <w:szCs w:val="21"/>
                <w:lang w:val="en-AU"/>
              </w:rPr>
              <w:t>再投资形式发放总额</w:t>
            </w:r>
          </w:p>
        </w:tc>
        <w:tc>
          <w:tcPr>
            <w:tcW w:w="1894" w:type="dxa"/>
            <w:vAlign w:val="center"/>
          </w:tcPr>
          <w:p w:rsidR="003663E4" w:rsidRDefault="00FD3F7D">
            <w:pPr>
              <w:spacing w:line="360" w:lineRule="auto"/>
              <w:jc w:val="center"/>
              <w:rPr>
                <w:color w:val="000000"/>
                <w:szCs w:val="21"/>
                <w:lang w:val="en-AU"/>
              </w:rPr>
            </w:pPr>
            <w:r>
              <w:rPr>
                <w:color w:val="000000"/>
                <w:szCs w:val="21"/>
                <w:lang w:val="en-AU"/>
              </w:rPr>
              <w:t>年度利润分配合计</w:t>
            </w:r>
          </w:p>
        </w:tc>
        <w:tc>
          <w:tcPr>
            <w:tcW w:w="1068" w:type="dxa"/>
            <w:vAlign w:val="center"/>
          </w:tcPr>
          <w:p w:rsidR="003663E4" w:rsidRDefault="00FD3F7D">
            <w:pPr>
              <w:spacing w:line="360" w:lineRule="auto"/>
              <w:jc w:val="center"/>
              <w:rPr>
                <w:color w:val="000000"/>
                <w:szCs w:val="21"/>
                <w:lang w:val="en-AU"/>
              </w:rPr>
            </w:pPr>
            <w:r>
              <w:rPr>
                <w:color w:val="000000"/>
                <w:szCs w:val="21"/>
                <w:lang w:val="en-AU"/>
              </w:rPr>
              <w:t>备注</w:t>
            </w:r>
          </w:p>
        </w:tc>
      </w:tr>
      <w:tr w:rsidR="003663E4">
        <w:tc>
          <w:tcPr>
            <w:tcW w:w="1157" w:type="dxa"/>
            <w:vAlign w:val="center"/>
          </w:tcPr>
          <w:p w:rsidR="003663E4" w:rsidRDefault="00FD3F7D">
            <w:pPr>
              <w:jc w:val="center"/>
            </w:pPr>
            <w:r>
              <w:rPr>
                <w:color w:val="000000"/>
                <w:szCs w:val="21"/>
              </w:rPr>
              <w:t>2020</w:t>
            </w:r>
            <w:r>
              <w:rPr>
                <w:color w:val="000000"/>
                <w:szCs w:val="21"/>
              </w:rPr>
              <w:t>年</w:t>
            </w:r>
          </w:p>
        </w:tc>
        <w:tc>
          <w:tcPr>
            <w:tcW w:w="1378" w:type="dxa"/>
            <w:vAlign w:val="center"/>
          </w:tcPr>
          <w:p w:rsidR="003663E4" w:rsidRDefault="00FD3F7D">
            <w:pPr>
              <w:jc w:val="right"/>
            </w:pPr>
            <w:r>
              <w:rPr>
                <w:color w:val="000000"/>
                <w:szCs w:val="21"/>
              </w:rPr>
              <w:t>-</w:t>
            </w:r>
          </w:p>
        </w:tc>
        <w:tc>
          <w:tcPr>
            <w:tcW w:w="1839" w:type="dxa"/>
            <w:vAlign w:val="center"/>
          </w:tcPr>
          <w:p w:rsidR="003663E4" w:rsidRDefault="00FD3F7D">
            <w:pPr>
              <w:jc w:val="right"/>
            </w:pPr>
            <w:r>
              <w:rPr>
                <w:color w:val="000000"/>
                <w:szCs w:val="21"/>
              </w:rPr>
              <w:t>-</w:t>
            </w:r>
          </w:p>
        </w:tc>
        <w:tc>
          <w:tcPr>
            <w:tcW w:w="1950" w:type="dxa"/>
            <w:vAlign w:val="center"/>
          </w:tcPr>
          <w:p w:rsidR="003663E4" w:rsidRDefault="00FD3F7D">
            <w:pPr>
              <w:jc w:val="right"/>
            </w:pPr>
            <w:r>
              <w:rPr>
                <w:color w:val="000000"/>
                <w:szCs w:val="21"/>
              </w:rPr>
              <w:t>-</w:t>
            </w:r>
          </w:p>
        </w:tc>
        <w:tc>
          <w:tcPr>
            <w:tcW w:w="1894" w:type="dxa"/>
            <w:vAlign w:val="center"/>
          </w:tcPr>
          <w:p w:rsidR="003663E4" w:rsidRDefault="00FD3F7D">
            <w:pPr>
              <w:jc w:val="right"/>
            </w:pPr>
            <w:r>
              <w:rPr>
                <w:color w:val="000000"/>
                <w:szCs w:val="21"/>
              </w:rPr>
              <w:t>-</w:t>
            </w:r>
          </w:p>
        </w:tc>
        <w:tc>
          <w:tcPr>
            <w:tcW w:w="1068" w:type="dxa"/>
            <w:vAlign w:val="center"/>
          </w:tcPr>
          <w:p w:rsidR="003663E4" w:rsidRDefault="00FD3F7D">
            <w:pPr>
              <w:jc w:val="left"/>
            </w:pPr>
            <w:r>
              <w:rPr>
                <w:color w:val="000000"/>
                <w:szCs w:val="21"/>
              </w:rPr>
              <w:t>-</w:t>
            </w:r>
          </w:p>
        </w:tc>
      </w:tr>
      <w:tr w:rsidR="003663E4">
        <w:tc>
          <w:tcPr>
            <w:tcW w:w="1157" w:type="dxa"/>
            <w:vAlign w:val="center"/>
          </w:tcPr>
          <w:p w:rsidR="003663E4" w:rsidRDefault="00FD3F7D">
            <w:pPr>
              <w:widowControl/>
              <w:tabs>
                <w:tab w:val="left" w:pos="1680"/>
              </w:tabs>
              <w:autoSpaceDE w:val="0"/>
              <w:autoSpaceDN w:val="0"/>
              <w:spacing w:line="360" w:lineRule="auto"/>
              <w:jc w:val="center"/>
              <w:textAlignment w:val="bottom"/>
              <w:rPr>
                <w:color w:val="000000"/>
                <w:szCs w:val="21"/>
              </w:rPr>
            </w:pPr>
            <w:r>
              <w:rPr>
                <w:color w:val="000000"/>
                <w:szCs w:val="21"/>
              </w:rPr>
              <w:t>合计</w:t>
            </w:r>
          </w:p>
        </w:tc>
        <w:tc>
          <w:tcPr>
            <w:tcW w:w="1378" w:type="dxa"/>
            <w:vAlign w:val="center"/>
          </w:tcPr>
          <w:p w:rsidR="003663E4" w:rsidRDefault="00FD3F7D">
            <w:pPr>
              <w:spacing w:line="360" w:lineRule="auto"/>
              <w:jc w:val="right"/>
              <w:rPr>
                <w:color w:val="000000"/>
                <w:szCs w:val="21"/>
                <w:lang w:val="en-AU"/>
              </w:rPr>
            </w:pPr>
            <w:r>
              <w:rPr>
                <w:color w:val="000000"/>
                <w:szCs w:val="21"/>
              </w:rPr>
              <w:t>-</w:t>
            </w:r>
          </w:p>
        </w:tc>
        <w:tc>
          <w:tcPr>
            <w:tcW w:w="1839" w:type="dxa"/>
            <w:vAlign w:val="center"/>
          </w:tcPr>
          <w:p w:rsidR="003663E4" w:rsidRDefault="00FD3F7D">
            <w:pPr>
              <w:spacing w:line="360" w:lineRule="auto"/>
              <w:jc w:val="right"/>
              <w:rPr>
                <w:color w:val="000000"/>
                <w:szCs w:val="21"/>
                <w:lang w:val="en-AU"/>
              </w:rPr>
            </w:pPr>
            <w:r>
              <w:rPr>
                <w:color w:val="000000"/>
                <w:szCs w:val="21"/>
              </w:rPr>
              <w:t>-</w:t>
            </w:r>
          </w:p>
        </w:tc>
        <w:tc>
          <w:tcPr>
            <w:tcW w:w="1950" w:type="dxa"/>
            <w:vAlign w:val="center"/>
          </w:tcPr>
          <w:p w:rsidR="003663E4" w:rsidRDefault="00FD3F7D">
            <w:pPr>
              <w:spacing w:line="360" w:lineRule="auto"/>
              <w:jc w:val="right"/>
              <w:rPr>
                <w:color w:val="000000"/>
                <w:szCs w:val="21"/>
                <w:lang w:val="en-AU"/>
              </w:rPr>
            </w:pPr>
            <w:r>
              <w:rPr>
                <w:color w:val="000000"/>
                <w:szCs w:val="21"/>
              </w:rPr>
              <w:t>-</w:t>
            </w:r>
          </w:p>
        </w:tc>
        <w:tc>
          <w:tcPr>
            <w:tcW w:w="1894" w:type="dxa"/>
            <w:vAlign w:val="center"/>
          </w:tcPr>
          <w:p w:rsidR="003663E4" w:rsidRDefault="00FD3F7D">
            <w:pPr>
              <w:spacing w:line="360" w:lineRule="auto"/>
              <w:jc w:val="right"/>
              <w:rPr>
                <w:color w:val="000000"/>
                <w:szCs w:val="21"/>
                <w:lang w:val="en-AU"/>
              </w:rPr>
            </w:pPr>
            <w:r>
              <w:rPr>
                <w:color w:val="000000"/>
                <w:szCs w:val="21"/>
              </w:rPr>
              <w:t>-</w:t>
            </w:r>
          </w:p>
        </w:tc>
        <w:tc>
          <w:tcPr>
            <w:tcW w:w="1068" w:type="dxa"/>
            <w:vAlign w:val="center"/>
          </w:tcPr>
          <w:p w:rsidR="003663E4" w:rsidRDefault="00FD3F7D">
            <w:pPr>
              <w:spacing w:line="360" w:lineRule="auto"/>
              <w:rPr>
                <w:color w:val="000000"/>
                <w:szCs w:val="21"/>
                <w:lang w:val="en-AU"/>
              </w:rPr>
            </w:pPr>
            <w:r>
              <w:rPr>
                <w:color w:val="000000"/>
                <w:szCs w:val="21"/>
              </w:rPr>
              <w:t>-</w:t>
            </w:r>
          </w:p>
        </w:tc>
      </w:tr>
    </w:tbl>
    <w:p w:rsidR="003663E4" w:rsidRDefault="00FD3F7D">
      <w:pPr>
        <w:pStyle w:val="2"/>
        <w:spacing w:before="0" w:after="0"/>
        <w:rPr>
          <w:rFonts w:ascii="Times New Roman" w:eastAsiaTheme="minorEastAsia" w:hAnsi="Times New Roman" w:cs="Times New Roman"/>
          <w:bCs w:val="0"/>
          <w:kern w:val="0"/>
          <w:sz w:val="21"/>
          <w:szCs w:val="21"/>
        </w:rPr>
      </w:pPr>
      <w:bookmarkStart w:id="51" w:name="_Toc23339340"/>
      <w:bookmarkStart w:id="52" w:name="_Toc2578"/>
      <w:r>
        <w:rPr>
          <w:rFonts w:ascii="Times New Roman" w:eastAsiaTheme="minorEastAsia" w:hAnsi="Times New Roman" w:cs="Times New Roman"/>
          <w:bCs w:val="0"/>
          <w:kern w:val="0"/>
          <w:sz w:val="21"/>
          <w:szCs w:val="21"/>
        </w:rPr>
        <w:t xml:space="preserve">3.2 </w:t>
      </w:r>
      <w:r>
        <w:rPr>
          <w:rFonts w:ascii="Times New Roman" w:eastAsiaTheme="minorEastAsia" w:hAnsi="Times New Roman" w:cs="Times New Roman"/>
          <w:bCs w:val="0"/>
          <w:kern w:val="0"/>
          <w:sz w:val="21"/>
          <w:szCs w:val="21"/>
        </w:rPr>
        <w:t>交银施罗德理财</w:t>
      </w:r>
      <w:r>
        <w:rPr>
          <w:rFonts w:ascii="Times New Roman" w:eastAsiaTheme="minorEastAsia" w:hAnsi="Times New Roman" w:cs="Times New Roman"/>
          <w:bCs w:val="0"/>
          <w:kern w:val="0"/>
          <w:sz w:val="21"/>
          <w:szCs w:val="21"/>
        </w:rPr>
        <w:t>60</w:t>
      </w:r>
      <w:r>
        <w:rPr>
          <w:rFonts w:ascii="Times New Roman" w:eastAsiaTheme="minorEastAsia" w:hAnsi="Times New Roman" w:cs="Times New Roman"/>
          <w:bCs w:val="0"/>
          <w:kern w:val="0"/>
          <w:sz w:val="21"/>
          <w:szCs w:val="21"/>
        </w:rPr>
        <w:t>天债券型证券投资基金</w:t>
      </w:r>
      <w:bookmarkEnd w:id="51"/>
      <w:bookmarkEnd w:id="52"/>
    </w:p>
    <w:p w:rsidR="003663E4" w:rsidRDefault="00FD3F7D">
      <w:pPr>
        <w:pStyle w:val="3"/>
        <w:spacing w:before="0" w:after="0" w:line="360" w:lineRule="auto"/>
        <w:rPr>
          <w:color w:val="000000" w:themeColor="text1"/>
          <w:kern w:val="0"/>
          <w:sz w:val="21"/>
          <w:szCs w:val="21"/>
        </w:rPr>
      </w:pPr>
      <w:bookmarkStart w:id="53" w:name="_Toc23339341"/>
      <w:bookmarkStart w:id="54" w:name="_Toc487489010"/>
      <w:bookmarkStart w:id="55" w:name="_Toc26624"/>
      <w:r>
        <w:rPr>
          <w:color w:val="000000" w:themeColor="text1"/>
          <w:kern w:val="0"/>
          <w:sz w:val="21"/>
          <w:szCs w:val="21"/>
        </w:rPr>
        <w:t xml:space="preserve">3.2.1 </w:t>
      </w:r>
      <w:r>
        <w:rPr>
          <w:color w:val="000000" w:themeColor="text1"/>
          <w:kern w:val="0"/>
          <w:sz w:val="21"/>
          <w:szCs w:val="21"/>
        </w:rPr>
        <w:t>主要会计数据和财务指标</w:t>
      </w:r>
      <w:bookmarkEnd w:id="53"/>
      <w:bookmarkEnd w:id="54"/>
      <w:bookmarkEnd w:id="55"/>
    </w:p>
    <w:p w:rsidR="003663E4" w:rsidRDefault="003663E4">
      <w:pPr>
        <w:autoSpaceDE w:val="0"/>
        <w:autoSpaceDN w:val="0"/>
        <w:adjustRightInd w:val="0"/>
        <w:spacing w:before="29" w:line="360" w:lineRule="auto"/>
        <w:ind w:left="17"/>
        <w:jc w:val="right"/>
        <w:rPr>
          <w:rFonts w:eastAsiaTheme="minorEastAsia"/>
          <w:szCs w:val="21"/>
        </w:rPr>
      </w:pPr>
    </w:p>
    <w:tbl>
      <w:tblPr>
        <w:tblW w:w="548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7"/>
        <w:gridCol w:w="1427"/>
        <w:gridCol w:w="1429"/>
        <w:gridCol w:w="1429"/>
        <w:gridCol w:w="1429"/>
        <w:gridCol w:w="1429"/>
        <w:gridCol w:w="1429"/>
      </w:tblGrid>
      <w:tr w:rsidR="003663E4">
        <w:trPr>
          <w:trHeight w:val="487"/>
          <w:jc w:val="center"/>
        </w:trPr>
        <w:tc>
          <w:tcPr>
            <w:tcW w:w="793" w:type="pct"/>
            <w:vMerge w:val="restart"/>
            <w:tcBorders>
              <w:top w:val="single" w:sz="4" w:space="0" w:color="000000"/>
              <w:left w:val="single" w:sz="4" w:space="0" w:color="000000"/>
              <w:bottom w:val="single" w:sz="4" w:space="0" w:color="000000"/>
              <w:right w:val="single" w:sz="4" w:space="0" w:color="000000"/>
            </w:tcBorders>
            <w:vAlign w:val="center"/>
          </w:tcPr>
          <w:p w:rsidR="003663E4" w:rsidRDefault="00FD3F7D">
            <w:pPr>
              <w:ind w:leftChars="-51" w:left="-107" w:rightChars="-51" w:right="-107"/>
              <w:jc w:val="center"/>
              <w:rPr>
                <w:rFonts w:eastAsiaTheme="minorEastAsia"/>
                <w:b/>
                <w:szCs w:val="21"/>
              </w:rPr>
            </w:pPr>
            <w:r>
              <w:rPr>
                <w:rFonts w:eastAsiaTheme="minorEastAsia" w:hint="eastAsia"/>
                <w:b/>
                <w:color w:val="000000"/>
                <w:szCs w:val="21"/>
              </w:rPr>
              <w:t>3.2.1.1</w:t>
            </w:r>
            <w:r>
              <w:rPr>
                <w:rFonts w:eastAsiaTheme="minorEastAsia"/>
                <w:b/>
                <w:szCs w:val="21"/>
              </w:rPr>
              <w:t>期间数据和指标</w:t>
            </w:r>
          </w:p>
        </w:tc>
        <w:tc>
          <w:tcPr>
            <w:tcW w:w="1401" w:type="pct"/>
            <w:gridSpan w:val="2"/>
            <w:tcBorders>
              <w:top w:val="single" w:sz="4" w:space="0" w:color="000000"/>
              <w:left w:val="single" w:sz="4" w:space="0" w:color="000000"/>
              <w:bottom w:val="single" w:sz="4" w:space="0" w:color="000000"/>
              <w:right w:val="single" w:sz="4" w:space="0" w:color="000000"/>
            </w:tcBorders>
            <w:vAlign w:val="center"/>
          </w:tcPr>
          <w:p w:rsidR="003663E4" w:rsidRDefault="00FD3F7D">
            <w:pPr>
              <w:ind w:leftChars="-51" w:left="-107" w:rightChars="-51" w:right="-107"/>
              <w:jc w:val="center"/>
              <w:rPr>
                <w:rFonts w:eastAsiaTheme="minorEastAsia"/>
                <w:b/>
                <w:szCs w:val="21"/>
              </w:rPr>
            </w:pPr>
            <w:r>
              <w:rPr>
                <w:rFonts w:eastAsiaTheme="minorEastAsia" w:hint="eastAsia"/>
                <w:b/>
                <w:szCs w:val="21"/>
              </w:rPr>
              <w:t>报告期</w:t>
            </w:r>
          </w:p>
          <w:p w:rsidR="003663E4" w:rsidRDefault="00FD3F7D">
            <w:pPr>
              <w:ind w:leftChars="-51" w:left="-107" w:rightChars="-51" w:right="-107"/>
              <w:jc w:val="center"/>
              <w:rPr>
                <w:rFonts w:eastAsiaTheme="minorEastAsia"/>
                <w:b/>
                <w:szCs w:val="21"/>
              </w:rPr>
            </w:pPr>
            <w:r>
              <w:rPr>
                <w:rFonts w:eastAsiaTheme="minorEastAsia" w:hint="eastAsia"/>
                <w:b/>
                <w:szCs w:val="21"/>
              </w:rPr>
              <w:t>(2020</w:t>
            </w:r>
            <w:r>
              <w:rPr>
                <w:rFonts w:eastAsiaTheme="minorEastAsia" w:hint="eastAsia"/>
                <w:b/>
                <w:szCs w:val="21"/>
              </w:rPr>
              <w:t>年</w:t>
            </w:r>
            <w:r>
              <w:rPr>
                <w:rFonts w:eastAsiaTheme="minorEastAsia" w:hint="eastAsia"/>
                <w:b/>
                <w:szCs w:val="21"/>
              </w:rPr>
              <w:t>1</w:t>
            </w:r>
            <w:r>
              <w:rPr>
                <w:rFonts w:eastAsiaTheme="minorEastAsia" w:hint="eastAsia"/>
                <w:b/>
                <w:szCs w:val="21"/>
              </w:rPr>
              <w:t>月</w:t>
            </w:r>
            <w:r>
              <w:rPr>
                <w:rFonts w:eastAsiaTheme="minorEastAsia" w:hint="eastAsia"/>
                <w:b/>
                <w:szCs w:val="21"/>
              </w:rPr>
              <w:t>1</w:t>
            </w:r>
            <w:r>
              <w:rPr>
                <w:rFonts w:eastAsiaTheme="minorEastAsia" w:hint="eastAsia"/>
                <w:b/>
                <w:szCs w:val="21"/>
              </w:rPr>
              <w:t>日至</w:t>
            </w:r>
            <w:r>
              <w:rPr>
                <w:rFonts w:eastAsiaTheme="minorEastAsia" w:hint="eastAsia"/>
                <w:b/>
                <w:szCs w:val="21"/>
              </w:rPr>
              <w:t>2020</w:t>
            </w:r>
            <w:r>
              <w:rPr>
                <w:rFonts w:eastAsiaTheme="minorEastAsia" w:hint="eastAsia"/>
                <w:b/>
                <w:szCs w:val="21"/>
              </w:rPr>
              <w:t>年</w:t>
            </w:r>
            <w:r>
              <w:rPr>
                <w:rFonts w:eastAsiaTheme="minorEastAsia" w:hint="eastAsia"/>
                <w:b/>
                <w:szCs w:val="21"/>
              </w:rPr>
              <w:t>7</w:t>
            </w:r>
            <w:r>
              <w:rPr>
                <w:rFonts w:eastAsiaTheme="minorEastAsia" w:hint="eastAsia"/>
                <w:b/>
                <w:szCs w:val="21"/>
              </w:rPr>
              <w:t>月</w:t>
            </w:r>
            <w:r>
              <w:rPr>
                <w:rFonts w:eastAsiaTheme="minorEastAsia" w:hint="eastAsia"/>
                <w:b/>
                <w:szCs w:val="21"/>
              </w:rPr>
              <w:t>27</w:t>
            </w:r>
            <w:r>
              <w:rPr>
                <w:rFonts w:eastAsiaTheme="minorEastAsia" w:hint="eastAsia"/>
                <w:b/>
                <w:szCs w:val="21"/>
              </w:rPr>
              <w:t>日</w:t>
            </w:r>
            <w:r>
              <w:rPr>
                <w:rFonts w:eastAsiaTheme="minorEastAsia" w:hint="eastAsia"/>
                <w:b/>
                <w:szCs w:val="21"/>
              </w:rPr>
              <w:t xml:space="preserve"> )</w:t>
            </w:r>
          </w:p>
        </w:tc>
        <w:tc>
          <w:tcPr>
            <w:tcW w:w="1402" w:type="pct"/>
            <w:gridSpan w:val="2"/>
            <w:tcBorders>
              <w:top w:val="single" w:sz="4" w:space="0" w:color="000000"/>
              <w:left w:val="single" w:sz="4" w:space="0" w:color="000000"/>
              <w:bottom w:val="single" w:sz="4" w:space="0" w:color="000000"/>
              <w:right w:val="single" w:sz="4" w:space="0" w:color="000000"/>
            </w:tcBorders>
            <w:vAlign w:val="center"/>
          </w:tcPr>
          <w:p w:rsidR="003663E4" w:rsidRDefault="00FD3F7D">
            <w:pPr>
              <w:ind w:leftChars="-51" w:left="-107" w:rightChars="-51" w:right="-107"/>
              <w:jc w:val="center"/>
              <w:rPr>
                <w:b/>
                <w:color w:val="000000"/>
                <w:szCs w:val="21"/>
              </w:rPr>
            </w:pPr>
            <w:r>
              <w:rPr>
                <w:b/>
                <w:color w:val="000000"/>
                <w:szCs w:val="21"/>
              </w:rPr>
              <w:t>2019</w:t>
            </w:r>
            <w:r>
              <w:rPr>
                <w:rFonts w:eastAsiaTheme="minorEastAsia"/>
                <w:b/>
                <w:szCs w:val="21"/>
              </w:rPr>
              <w:t>年</w:t>
            </w:r>
          </w:p>
        </w:tc>
        <w:tc>
          <w:tcPr>
            <w:tcW w:w="1402" w:type="pct"/>
            <w:gridSpan w:val="2"/>
            <w:tcBorders>
              <w:top w:val="single" w:sz="4" w:space="0" w:color="000000"/>
              <w:left w:val="single" w:sz="4" w:space="0" w:color="000000"/>
              <w:bottom w:val="single" w:sz="4" w:space="0" w:color="000000"/>
              <w:right w:val="single" w:sz="4" w:space="0" w:color="000000"/>
            </w:tcBorders>
            <w:vAlign w:val="center"/>
          </w:tcPr>
          <w:p w:rsidR="003663E4" w:rsidRDefault="00FD3F7D">
            <w:pPr>
              <w:ind w:leftChars="-51" w:left="-107" w:rightChars="-51" w:right="-107"/>
              <w:jc w:val="center"/>
              <w:rPr>
                <w:rFonts w:eastAsiaTheme="minorEastAsia"/>
                <w:b/>
                <w:szCs w:val="21"/>
              </w:rPr>
            </w:pPr>
            <w:r>
              <w:rPr>
                <w:b/>
                <w:color w:val="000000"/>
                <w:szCs w:val="21"/>
              </w:rPr>
              <w:t>2018</w:t>
            </w:r>
            <w:r>
              <w:rPr>
                <w:rFonts w:eastAsiaTheme="minorEastAsia"/>
                <w:b/>
                <w:szCs w:val="21"/>
              </w:rPr>
              <w:t>年</w:t>
            </w:r>
          </w:p>
        </w:tc>
      </w:tr>
      <w:tr w:rsidR="003663E4">
        <w:trPr>
          <w:trHeight w:val="487"/>
          <w:jc w:val="center"/>
        </w:trPr>
        <w:tc>
          <w:tcPr>
            <w:tcW w:w="793" w:type="pct"/>
            <w:vMerge/>
            <w:tcBorders>
              <w:top w:val="single" w:sz="4" w:space="0" w:color="000000"/>
              <w:left w:val="single" w:sz="4" w:space="0" w:color="000000"/>
              <w:bottom w:val="single" w:sz="4" w:space="0" w:color="000000"/>
              <w:right w:val="single" w:sz="4" w:space="0" w:color="000000"/>
            </w:tcBorders>
            <w:vAlign w:val="center"/>
          </w:tcPr>
          <w:p w:rsidR="003663E4" w:rsidRDefault="003663E4">
            <w:pPr>
              <w:widowControl/>
              <w:jc w:val="left"/>
              <w:rPr>
                <w:rFonts w:eastAsiaTheme="minorEastAsia"/>
                <w:b/>
                <w:szCs w:val="21"/>
              </w:rPr>
            </w:pPr>
          </w:p>
        </w:tc>
        <w:tc>
          <w:tcPr>
            <w:tcW w:w="700" w:type="pct"/>
            <w:tcBorders>
              <w:top w:val="single" w:sz="4" w:space="0" w:color="000000"/>
              <w:left w:val="single" w:sz="4" w:space="0" w:color="000000"/>
              <w:bottom w:val="single" w:sz="4" w:space="0" w:color="000000"/>
              <w:right w:val="single" w:sz="4" w:space="0" w:color="000000"/>
            </w:tcBorders>
            <w:vAlign w:val="center"/>
          </w:tcPr>
          <w:p w:rsidR="003663E4" w:rsidRDefault="00FD3F7D">
            <w:pPr>
              <w:jc w:val="center"/>
              <w:rPr>
                <w:rFonts w:eastAsiaTheme="minorEastAsia"/>
                <w:szCs w:val="21"/>
              </w:rPr>
            </w:pPr>
            <w:r>
              <w:rPr>
                <w:rFonts w:eastAsiaTheme="minorEastAsia"/>
                <w:szCs w:val="21"/>
              </w:rPr>
              <w:t>交银理财</w:t>
            </w:r>
            <w:r>
              <w:rPr>
                <w:rFonts w:eastAsiaTheme="minorEastAsia"/>
                <w:szCs w:val="21"/>
              </w:rPr>
              <w:t>60</w:t>
            </w:r>
            <w:r>
              <w:rPr>
                <w:rFonts w:eastAsiaTheme="minorEastAsia"/>
                <w:szCs w:val="21"/>
              </w:rPr>
              <w:t>天债券</w:t>
            </w:r>
            <w:r>
              <w:rPr>
                <w:rFonts w:eastAsiaTheme="minorEastAsia"/>
                <w:szCs w:val="21"/>
              </w:rPr>
              <w:t>A</w:t>
            </w:r>
          </w:p>
        </w:tc>
        <w:tc>
          <w:tcPr>
            <w:tcW w:w="700" w:type="pct"/>
            <w:tcBorders>
              <w:top w:val="single" w:sz="4" w:space="0" w:color="000000"/>
              <w:left w:val="single" w:sz="4" w:space="0" w:color="000000"/>
              <w:bottom w:val="single" w:sz="4" w:space="0" w:color="000000"/>
              <w:right w:val="single" w:sz="4" w:space="0" w:color="000000"/>
            </w:tcBorders>
            <w:vAlign w:val="center"/>
          </w:tcPr>
          <w:p w:rsidR="003663E4" w:rsidRDefault="00FD3F7D">
            <w:pPr>
              <w:jc w:val="center"/>
              <w:rPr>
                <w:rFonts w:eastAsiaTheme="minorEastAsia"/>
                <w:szCs w:val="21"/>
              </w:rPr>
            </w:pPr>
            <w:r>
              <w:rPr>
                <w:rFonts w:eastAsiaTheme="minorEastAsia"/>
                <w:szCs w:val="21"/>
              </w:rPr>
              <w:t>交银理财</w:t>
            </w:r>
            <w:r>
              <w:rPr>
                <w:rFonts w:eastAsiaTheme="minorEastAsia"/>
                <w:szCs w:val="21"/>
              </w:rPr>
              <w:t>60</w:t>
            </w:r>
            <w:r>
              <w:rPr>
                <w:rFonts w:eastAsiaTheme="minorEastAsia"/>
                <w:szCs w:val="21"/>
              </w:rPr>
              <w:t>天债券</w:t>
            </w:r>
            <w:r>
              <w:rPr>
                <w:rFonts w:eastAsiaTheme="minorEastAsia"/>
                <w:szCs w:val="21"/>
              </w:rPr>
              <w:t>B</w:t>
            </w:r>
          </w:p>
          <w:p w:rsidR="003663E4" w:rsidRDefault="003663E4">
            <w:pPr>
              <w:jc w:val="center"/>
              <w:rPr>
                <w:rFonts w:eastAsiaTheme="minorEastAsia"/>
                <w:szCs w:val="21"/>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3663E4" w:rsidRDefault="00FD3F7D">
            <w:pPr>
              <w:jc w:val="center"/>
              <w:rPr>
                <w:rFonts w:eastAsiaTheme="minorEastAsia"/>
                <w:szCs w:val="21"/>
              </w:rPr>
            </w:pPr>
            <w:r>
              <w:rPr>
                <w:rFonts w:eastAsiaTheme="minorEastAsia"/>
                <w:szCs w:val="21"/>
              </w:rPr>
              <w:t>交银理财</w:t>
            </w:r>
            <w:r>
              <w:rPr>
                <w:rFonts w:eastAsiaTheme="minorEastAsia"/>
                <w:szCs w:val="21"/>
              </w:rPr>
              <w:t>60</w:t>
            </w:r>
            <w:r>
              <w:rPr>
                <w:rFonts w:eastAsiaTheme="minorEastAsia"/>
                <w:szCs w:val="21"/>
              </w:rPr>
              <w:t>天债券</w:t>
            </w:r>
            <w:r>
              <w:rPr>
                <w:rFonts w:eastAsiaTheme="minorEastAsia"/>
                <w:szCs w:val="21"/>
              </w:rPr>
              <w:t>A</w:t>
            </w:r>
          </w:p>
        </w:tc>
        <w:tc>
          <w:tcPr>
            <w:tcW w:w="701" w:type="pct"/>
            <w:tcBorders>
              <w:top w:val="single" w:sz="4" w:space="0" w:color="000000"/>
              <w:left w:val="single" w:sz="4" w:space="0" w:color="000000"/>
              <w:bottom w:val="single" w:sz="4" w:space="0" w:color="000000"/>
              <w:right w:val="single" w:sz="4" w:space="0" w:color="000000"/>
            </w:tcBorders>
            <w:vAlign w:val="center"/>
          </w:tcPr>
          <w:p w:rsidR="003663E4" w:rsidRDefault="00FD3F7D">
            <w:pPr>
              <w:jc w:val="center"/>
              <w:rPr>
                <w:rFonts w:eastAsiaTheme="minorEastAsia"/>
                <w:szCs w:val="21"/>
              </w:rPr>
            </w:pPr>
            <w:r>
              <w:rPr>
                <w:rFonts w:eastAsiaTheme="minorEastAsia"/>
                <w:szCs w:val="21"/>
              </w:rPr>
              <w:t>交银理财</w:t>
            </w:r>
            <w:r>
              <w:rPr>
                <w:rFonts w:eastAsiaTheme="minorEastAsia"/>
                <w:szCs w:val="21"/>
              </w:rPr>
              <w:t>60</w:t>
            </w:r>
            <w:r>
              <w:rPr>
                <w:rFonts w:eastAsiaTheme="minorEastAsia"/>
                <w:szCs w:val="21"/>
              </w:rPr>
              <w:t>天债券</w:t>
            </w:r>
            <w:r>
              <w:rPr>
                <w:rFonts w:eastAsiaTheme="minorEastAsia"/>
                <w:szCs w:val="21"/>
              </w:rPr>
              <w:t>B</w:t>
            </w:r>
          </w:p>
          <w:p w:rsidR="003663E4" w:rsidRDefault="003663E4">
            <w:pPr>
              <w:jc w:val="center"/>
              <w:rPr>
                <w:rFonts w:eastAsiaTheme="minorEastAsia"/>
                <w:szCs w:val="21"/>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3663E4" w:rsidRDefault="00FD3F7D">
            <w:pPr>
              <w:jc w:val="center"/>
              <w:rPr>
                <w:rFonts w:eastAsiaTheme="minorEastAsia"/>
                <w:szCs w:val="21"/>
              </w:rPr>
            </w:pPr>
            <w:r>
              <w:rPr>
                <w:rFonts w:eastAsiaTheme="minorEastAsia"/>
                <w:szCs w:val="21"/>
              </w:rPr>
              <w:t>交银理财</w:t>
            </w:r>
            <w:r>
              <w:rPr>
                <w:rFonts w:eastAsiaTheme="minorEastAsia"/>
                <w:szCs w:val="21"/>
              </w:rPr>
              <w:t>60</w:t>
            </w:r>
            <w:r>
              <w:rPr>
                <w:rFonts w:eastAsiaTheme="minorEastAsia"/>
                <w:szCs w:val="21"/>
              </w:rPr>
              <w:t>天债券</w:t>
            </w:r>
            <w:r>
              <w:rPr>
                <w:rFonts w:eastAsiaTheme="minorEastAsia"/>
                <w:szCs w:val="21"/>
              </w:rPr>
              <w:t>A</w:t>
            </w:r>
          </w:p>
        </w:tc>
        <w:tc>
          <w:tcPr>
            <w:tcW w:w="701" w:type="pct"/>
            <w:tcBorders>
              <w:top w:val="single" w:sz="4" w:space="0" w:color="000000"/>
              <w:left w:val="single" w:sz="4" w:space="0" w:color="000000"/>
              <w:bottom w:val="single" w:sz="4" w:space="0" w:color="000000"/>
              <w:right w:val="single" w:sz="4" w:space="0" w:color="000000"/>
            </w:tcBorders>
            <w:vAlign w:val="center"/>
          </w:tcPr>
          <w:p w:rsidR="003663E4" w:rsidRDefault="00FD3F7D">
            <w:pPr>
              <w:jc w:val="center"/>
              <w:rPr>
                <w:rFonts w:eastAsiaTheme="minorEastAsia"/>
                <w:szCs w:val="21"/>
              </w:rPr>
            </w:pPr>
            <w:r>
              <w:rPr>
                <w:rFonts w:eastAsiaTheme="minorEastAsia"/>
                <w:szCs w:val="21"/>
              </w:rPr>
              <w:t>交银理财</w:t>
            </w:r>
            <w:r>
              <w:rPr>
                <w:rFonts w:eastAsiaTheme="minorEastAsia"/>
                <w:szCs w:val="21"/>
              </w:rPr>
              <w:t>60</w:t>
            </w:r>
            <w:r>
              <w:rPr>
                <w:rFonts w:eastAsiaTheme="minorEastAsia"/>
                <w:szCs w:val="21"/>
              </w:rPr>
              <w:t>天债券</w:t>
            </w:r>
            <w:r>
              <w:rPr>
                <w:rFonts w:eastAsiaTheme="minorEastAsia"/>
                <w:szCs w:val="21"/>
              </w:rPr>
              <w:t>B</w:t>
            </w:r>
          </w:p>
          <w:p w:rsidR="003663E4" w:rsidRDefault="003663E4">
            <w:pPr>
              <w:jc w:val="center"/>
              <w:rPr>
                <w:rFonts w:eastAsiaTheme="minorEastAsia"/>
                <w:szCs w:val="21"/>
              </w:rPr>
            </w:pPr>
          </w:p>
        </w:tc>
      </w:tr>
      <w:tr w:rsidR="003663E4">
        <w:trPr>
          <w:jc w:val="center"/>
        </w:trPr>
        <w:tc>
          <w:tcPr>
            <w:tcW w:w="793" w:type="pct"/>
            <w:tcBorders>
              <w:top w:val="single" w:sz="4" w:space="0" w:color="000000"/>
              <w:left w:val="single" w:sz="4" w:space="0" w:color="000000"/>
              <w:bottom w:val="single" w:sz="4" w:space="0" w:color="000000"/>
              <w:right w:val="single" w:sz="4" w:space="0" w:color="000000"/>
            </w:tcBorders>
            <w:vAlign w:val="center"/>
          </w:tcPr>
          <w:p w:rsidR="003663E4" w:rsidRDefault="00FD3F7D">
            <w:pPr>
              <w:rPr>
                <w:rFonts w:eastAsiaTheme="minorEastAsia"/>
                <w:szCs w:val="21"/>
              </w:rPr>
            </w:pPr>
            <w:r>
              <w:rPr>
                <w:rFonts w:eastAsiaTheme="minorEastAsia"/>
                <w:szCs w:val="21"/>
              </w:rPr>
              <w:t>本期已实现收益</w:t>
            </w:r>
          </w:p>
        </w:tc>
        <w:tc>
          <w:tcPr>
            <w:tcW w:w="700" w:type="pct"/>
            <w:tcBorders>
              <w:top w:val="single" w:sz="4" w:space="0" w:color="000000"/>
              <w:left w:val="single" w:sz="4" w:space="0" w:color="000000"/>
              <w:bottom w:val="single" w:sz="4" w:space="0" w:color="000000"/>
              <w:right w:val="single" w:sz="4" w:space="0" w:color="000000"/>
            </w:tcBorders>
            <w:vAlign w:val="bottom"/>
          </w:tcPr>
          <w:p w:rsidR="003663E4" w:rsidRDefault="00FD3F7D">
            <w:pPr>
              <w:jc w:val="center"/>
              <w:rPr>
                <w:rFonts w:eastAsiaTheme="minorEastAsia"/>
                <w:szCs w:val="21"/>
              </w:rPr>
            </w:pPr>
            <w:r>
              <w:rPr>
                <w:rFonts w:eastAsiaTheme="minorEastAsia"/>
                <w:szCs w:val="21"/>
              </w:rPr>
              <w:t>59,131.25</w:t>
            </w:r>
          </w:p>
        </w:tc>
        <w:tc>
          <w:tcPr>
            <w:tcW w:w="700" w:type="pct"/>
            <w:tcBorders>
              <w:top w:val="single" w:sz="4" w:space="0" w:color="000000"/>
              <w:left w:val="single" w:sz="4" w:space="0" w:color="000000"/>
              <w:bottom w:val="single" w:sz="4" w:space="0" w:color="000000"/>
              <w:right w:val="single" w:sz="4" w:space="0" w:color="000000"/>
            </w:tcBorders>
            <w:vAlign w:val="bottom"/>
          </w:tcPr>
          <w:p w:rsidR="003663E4" w:rsidRDefault="00FD3F7D">
            <w:pPr>
              <w:jc w:val="center"/>
              <w:rPr>
                <w:rFonts w:eastAsiaTheme="minorEastAsia"/>
                <w:szCs w:val="21"/>
              </w:rPr>
            </w:pPr>
            <w:r>
              <w:rPr>
                <w:rFonts w:eastAsiaTheme="minorEastAsia"/>
                <w:szCs w:val="21"/>
              </w:rPr>
              <w:t>91,116,697.57</w:t>
            </w:r>
          </w:p>
          <w:p w:rsidR="003663E4" w:rsidRDefault="003663E4">
            <w:pPr>
              <w:jc w:val="center"/>
              <w:rPr>
                <w:rFonts w:eastAsiaTheme="minorEastAsia"/>
                <w:szCs w:val="21"/>
              </w:rPr>
            </w:pPr>
          </w:p>
        </w:tc>
        <w:tc>
          <w:tcPr>
            <w:tcW w:w="701" w:type="pct"/>
            <w:tcBorders>
              <w:top w:val="single" w:sz="4" w:space="0" w:color="000000"/>
              <w:left w:val="single" w:sz="4" w:space="0" w:color="000000"/>
              <w:bottom w:val="single" w:sz="4" w:space="0" w:color="000000"/>
              <w:right w:val="single" w:sz="4" w:space="0" w:color="000000"/>
            </w:tcBorders>
            <w:vAlign w:val="bottom"/>
          </w:tcPr>
          <w:p w:rsidR="003663E4" w:rsidRDefault="00FD3F7D">
            <w:pPr>
              <w:jc w:val="center"/>
              <w:rPr>
                <w:rFonts w:eastAsiaTheme="minorEastAsia"/>
                <w:szCs w:val="21"/>
              </w:rPr>
            </w:pPr>
            <w:r>
              <w:rPr>
                <w:rFonts w:eastAsiaTheme="minorEastAsia"/>
                <w:szCs w:val="21"/>
              </w:rPr>
              <w:t>253,459.46</w:t>
            </w:r>
          </w:p>
        </w:tc>
        <w:tc>
          <w:tcPr>
            <w:tcW w:w="701" w:type="pct"/>
            <w:tcBorders>
              <w:top w:val="single" w:sz="4" w:space="0" w:color="000000"/>
              <w:left w:val="single" w:sz="4" w:space="0" w:color="000000"/>
              <w:bottom w:val="single" w:sz="4" w:space="0" w:color="000000"/>
              <w:right w:val="single" w:sz="4" w:space="0" w:color="000000"/>
            </w:tcBorders>
            <w:vAlign w:val="bottom"/>
          </w:tcPr>
          <w:p w:rsidR="003663E4" w:rsidRDefault="00FD3F7D">
            <w:pPr>
              <w:jc w:val="center"/>
              <w:rPr>
                <w:rFonts w:eastAsiaTheme="minorEastAsia"/>
                <w:szCs w:val="21"/>
              </w:rPr>
            </w:pPr>
            <w:r>
              <w:rPr>
                <w:rFonts w:eastAsiaTheme="minorEastAsia"/>
                <w:szCs w:val="21"/>
              </w:rPr>
              <w:t>269,156,843.81</w:t>
            </w:r>
          </w:p>
          <w:p w:rsidR="003663E4" w:rsidRDefault="003663E4">
            <w:pPr>
              <w:jc w:val="center"/>
              <w:rPr>
                <w:rFonts w:eastAsiaTheme="minorEastAsia"/>
                <w:szCs w:val="21"/>
              </w:rPr>
            </w:pPr>
          </w:p>
        </w:tc>
        <w:tc>
          <w:tcPr>
            <w:tcW w:w="701" w:type="pct"/>
            <w:tcBorders>
              <w:top w:val="single" w:sz="4" w:space="0" w:color="000000"/>
              <w:left w:val="single" w:sz="4" w:space="0" w:color="000000"/>
              <w:bottom w:val="single" w:sz="4" w:space="0" w:color="000000"/>
              <w:right w:val="single" w:sz="4" w:space="0" w:color="000000"/>
            </w:tcBorders>
            <w:vAlign w:val="bottom"/>
          </w:tcPr>
          <w:p w:rsidR="003663E4" w:rsidRDefault="00FD3F7D">
            <w:pPr>
              <w:jc w:val="center"/>
              <w:rPr>
                <w:rFonts w:eastAsiaTheme="minorEastAsia"/>
                <w:szCs w:val="21"/>
              </w:rPr>
            </w:pPr>
            <w:r>
              <w:rPr>
                <w:rFonts w:eastAsiaTheme="minorEastAsia"/>
                <w:szCs w:val="21"/>
              </w:rPr>
              <w:t>392,490.36</w:t>
            </w:r>
          </w:p>
        </w:tc>
        <w:tc>
          <w:tcPr>
            <w:tcW w:w="701" w:type="pct"/>
            <w:tcBorders>
              <w:top w:val="single" w:sz="4" w:space="0" w:color="000000"/>
              <w:left w:val="single" w:sz="4" w:space="0" w:color="000000"/>
              <w:bottom w:val="single" w:sz="4" w:space="0" w:color="000000"/>
              <w:right w:val="single" w:sz="4" w:space="0" w:color="000000"/>
            </w:tcBorders>
            <w:vAlign w:val="bottom"/>
          </w:tcPr>
          <w:p w:rsidR="003663E4" w:rsidRDefault="00FD3F7D">
            <w:pPr>
              <w:jc w:val="center"/>
              <w:rPr>
                <w:rFonts w:eastAsiaTheme="minorEastAsia"/>
                <w:szCs w:val="21"/>
              </w:rPr>
            </w:pPr>
            <w:r>
              <w:rPr>
                <w:rFonts w:eastAsiaTheme="minorEastAsia"/>
                <w:szCs w:val="21"/>
              </w:rPr>
              <w:t>563,352,364.35</w:t>
            </w:r>
          </w:p>
          <w:p w:rsidR="003663E4" w:rsidRDefault="003663E4">
            <w:pPr>
              <w:jc w:val="center"/>
              <w:rPr>
                <w:rFonts w:eastAsiaTheme="minorEastAsia"/>
                <w:szCs w:val="21"/>
              </w:rPr>
            </w:pPr>
          </w:p>
        </w:tc>
      </w:tr>
      <w:tr w:rsidR="003663E4">
        <w:trPr>
          <w:trHeight w:val="754"/>
          <w:jc w:val="center"/>
        </w:trPr>
        <w:tc>
          <w:tcPr>
            <w:tcW w:w="793" w:type="pct"/>
            <w:tcBorders>
              <w:top w:val="single" w:sz="4" w:space="0" w:color="000000"/>
              <w:left w:val="single" w:sz="4" w:space="0" w:color="000000"/>
              <w:bottom w:val="single" w:sz="4" w:space="0" w:color="000000"/>
              <w:right w:val="single" w:sz="4" w:space="0" w:color="000000"/>
            </w:tcBorders>
            <w:vAlign w:val="center"/>
          </w:tcPr>
          <w:p w:rsidR="003663E4" w:rsidRDefault="00FD3F7D">
            <w:pPr>
              <w:rPr>
                <w:rFonts w:eastAsiaTheme="minorEastAsia"/>
                <w:szCs w:val="21"/>
              </w:rPr>
            </w:pPr>
            <w:r>
              <w:rPr>
                <w:rFonts w:eastAsiaTheme="minorEastAsia"/>
                <w:szCs w:val="21"/>
              </w:rPr>
              <w:t>本期利润</w:t>
            </w:r>
          </w:p>
        </w:tc>
        <w:tc>
          <w:tcPr>
            <w:tcW w:w="700" w:type="pct"/>
            <w:tcBorders>
              <w:top w:val="single" w:sz="4" w:space="0" w:color="000000"/>
              <w:left w:val="single" w:sz="4" w:space="0" w:color="000000"/>
              <w:bottom w:val="single" w:sz="4" w:space="0" w:color="000000"/>
              <w:right w:val="single" w:sz="4" w:space="0" w:color="000000"/>
            </w:tcBorders>
            <w:vAlign w:val="bottom"/>
          </w:tcPr>
          <w:p w:rsidR="003663E4" w:rsidRDefault="00FD3F7D">
            <w:pPr>
              <w:jc w:val="center"/>
              <w:rPr>
                <w:rFonts w:eastAsiaTheme="minorEastAsia"/>
                <w:szCs w:val="21"/>
              </w:rPr>
            </w:pPr>
            <w:r>
              <w:rPr>
                <w:rFonts w:eastAsiaTheme="minorEastAsia"/>
                <w:szCs w:val="21"/>
              </w:rPr>
              <w:t>59,131.25</w:t>
            </w:r>
          </w:p>
        </w:tc>
        <w:tc>
          <w:tcPr>
            <w:tcW w:w="700" w:type="pct"/>
            <w:tcBorders>
              <w:top w:val="single" w:sz="4" w:space="0" w:color="000000"/>
              <w:left w:val="single" w:sz="4" w:space="0" w:color="000000"/>
              <w:bottom w:val="single" w:sz="4" w:space="0" w:color="000000"/>
              <w:right w:val="single" w:sz="4" w:space="0" w:color="000000"/>
            </w:tcBorders>
            <w:vAlign w:val="bottom"/>
          </w:tcPr>
          <w:p w:rsidR="003663E4" w:rsidRDefault="00FD3F7D">
            <w:pPr>
              <w:jc w:val="center"/>
              <w:rPr>
                <w:rFonts w:eastAsiaTheme="minorEastAsia"/>
                <w:szCs w:val="21"/>
              </w:rPr>
            </w:pPr>
            <w:r>
              <w:rPr>
                <w:rFonts w:eastAsiaTheme="minorEastAsia"/>
                <w:szCs w:val="21"/>
              </w:rPr>
              <w:t>91,116,697.57</w:t>
            </w:r>
          </w:p>
          <w:p w:rsidR="003663E4" w:rsidRDefault="003663E4">
            <w:pPr>
              <w:jc w:val="center"/>
              <w:rPr>
                <w:rFonts w:eastAsiaTheme="minorEastAsia"/>
                <w:szCs w:val="21"/>
              </w:rPr>
            </w:pPr>
          </w:p>
        </w:tc>
        <w:tc>
          <w:tcPr>
            <w:tcW w:w="701" w:type="pct"/>
            <w:tcBorders>
              <w:top w:val="single" w:sz="4" w:space="0" w:color="000000"/>
              <w:left w:val="single" w:sz="4" w:space="0" w:color="000000"/>
              <w:bottom w:val="single" w:sz="4" w:space="0" w:color="000000"/>
              <w:right w:val="single" w:sz="4" w:space="0" w:color="000000"/>
            </w:tcBorders>
            <w:vAlign w:val="bottom"/>
          </w:tcPr>
          <w:p w:rsidR="003663E4" w:rsidRDefault="00FD3F7D">
            <w:pPr>
              <w:jc w:val="center"/>
              <w:rPr>
                <w:rFonts w:eastAsiaTheme="minorEastAsia"/>
                <w:szCs w:val="21"/>
              </w:rPr>
            </w:pPr>
            <w:r>
              <w:rPr>
                <w:rFonts w:eastAsiaTheme="minorEastAsia"/>
                <w:szCs w:val="21"/>
              </w:rPr>
              <w:t>253,459.46</w:t>
            </w:r>
          </w:p>
        </w:tc>
        <w:tc>
          <w:tcPr>
            <w:tcW w:w="701" w:type="pct"/>
            <w:tcBorders>
              <w:top w:val="single" w:sz="4" w:space="0" w:color="000000"/>
              <w:left w:val="single" w:sz="4" w:space="0" w:color="000000"/>
              <w:bottom w:val="single" w:sz="4" w:space="0" w:color="000000"/>
              <w:right w:val="single" w:sz="4" w:space="0" w:color="000000"/>
            </w:tcBorders>
            <w:vAlign w:val="bottom"/>
          </w:tcPr>
          <w:p w:rsidR="003663E4" w:rsidRDefault="00FD3F7D">
            <w:pPr>
              <w:jc w:val="center"/>
              <w:rPr>
                <w:rFonts w:eastAsiaTheme="minorEastAsia"/>
                <w:szCs w:val="21"/>
              </w:rPr>
            </w:pPr>
            <w:r>
              <w:rPr>
                <w:rFonts w:eastAsiaTheme="minorEastAsia"/>
                <w:szCs w:val="21"/>
              </w:rPr>
              <w:t>269,156,843.81</w:t>
            </w:r>
          </w:p>
          <w:p w:rsidR="003663E4" w:rsidRDefault="003663E4">
            <w:pPr>
              <w:jc w:val="center"/>
              <w:rPr>
                <w:rFonts w:eastAsiaTheme="minorEastAsia"/>
                <w:szCs w:val="21"/>
              </w:rPr>
            </w:pPr>
          </w:p>
        </w:tc>
        <w:tc>
          <w:tcPr>
            <w:tcW w:w="701" w:type="pct"/>
            <w:tcBorders>
              <w:top w:val="single" w:sz="4" w:space="0" w:color="000000"/>
              <w:left w:val="single" w:sz="4" w:space="0" w:color="000000"/>
              <w:bottom w:val="single" w:sz="4" w:space="0" w:color="000000"/>
              <w:right w:val="single" w:sz="4" w:space="0" w:color="000000"/>
            </w:tcBorders>
            <w:vAlign w:val="bottom"/>
          </w:tcPr>
          <w:p w:rsidR="003663E4" w:rsidRDefault="00FD3F7D">
            <w:pPr>
              <w:jc w:val="center"/>
              <w:rPr>
                <w:rFonts w:eastAsiaTheme="minorEastAsia"/>
                <w:szCs w:val="21"/>
              </w:rPr>
            </w:pPr>
            <w:r>
              <w:rPr>
                <w:rFonts w:eastAsiaTheme="minorEastAsia"/>
                <w:szCs w:val="21"/>
              </w:rPr>
              <w:t>392,490.36</w:t>
            </w:r>
          </w:p>
        </w:tc>
        <w:tc>
          <w:tcPr>
            <w:tcW w:w="701" w:type="pct"/>
            <w:tcBorders>
              <w:top w:val="single" w:sz="4" w:space="0" w:color="000000"/>
              <w:left w:val="single" w:sz="4" w:space="0" w:color="000000"/>
              <w:bottom w:val="single" w:sz="4" w:space="0" w:color="000000"/>
              <w:right w:val="single" w:sz="4" w:space="0" w:color="000000"/>
            </w:tcBorders>
            <w:vAlign w:val="bottom"/>
          </w:tcPr>
          <w:p w:rsidR="003663E4" w:rsidRDefault="00FD3F7D">
            <w:pPr>
              <w:jc w:val="center"/>
              <w:rPr>
                <w:rFonts w:eastAsiaTheme="minorEastAsia"/>
                <w:szCs w:val="21"/>
              </w:rPr>
            </w:pPr>
            <w:r>
              <w:rPr>
                <w:rFonts w:eastAsiaTheme="minorEastAsia"/>
                <w:szCs w:val="21"/>
              </w:rPr>
              <w:t>563,352,364.35</w:t>
            </w:r>
          </w:p>
          <w:p w:rsidR="003663E4" w:rsidRDefault="003663E4">
            <w:pPr>
              <w:jc w:val="center"/>
              <w:rPr>
                <w:rFonts w:eastAsiaTheme="minorEastAsia"/>
                <w:szCs w:val="21"/>
              </w:rPr>
            </w:pPr>
          </w:p>
        </w:tc>
      </w:tr>
      <w:tr w:rsidR="003663E4">
        <w:trPr>
          <w:jc w:val="center"/>
        </w:trPr>
        <w:tc>
          <w:tcPr>
            <w:tcW w:w="793" w:type="pct"/>
            <w:tcBorders>
              <w:top w:val="single" w:sz="4" w:space="0" w:color="000000"/>
              <w:left w:val="single" w:sz="4" w:space="0" w:color="000000"/>
              <w:bottom w:val="single" w:sz="4" w:space="0" w:color="000000"/>
              <w:right w:val="single" w:sz="4" w:space="0" w:color="000000"/>
            </w:tcBorders>
            <w:vAlign w:val="center"/>
          </w:tcPr>
          <w:p w:rsidR="003663E4" w:rsidRDefault="00FD3F7D">
            <w:pPr>
              <w:rPr>
                <w:rFonts w:eastAsiaTheme="minorEastAsia"/>
                <w:szCs w:val="21"/>
              </w:rPr>
            </w:pPr>
            <w:r>
              <w:rPr>
                <w:rFonts w:eastAsiaTheme="minorEastAsia"/>
                <w:szCs w:val="21"/>
              </w:rPr>
              <w:t>本期净值收益率</w:t>
            </w:r>
          </w:p>
        </w:tc>
        <w:tc>
          <w:tcPr>
            <w:tcW w:w="700" w:type="pct"/>
            <w:tcBorders>
              <w:top w:val="single" w:sz="4" w:space="0" w:color="000000"/>
              <w:left w:val="single" w:sz="4" w:space="0" w:color="000000"/>
              <w:bottom w:val="single" w:sz="4" w:space="0" w:color="000000"/>
              <w:right w:val="single" w:sz="4" w:space="0" w:color="000000"/>
            </w:tcBorders>
            <w:vAlign w:val="bottom"/>
          </w:tcPr>
          <w:p w:rsidR="003663E4" w:rsidRDefault="00FD3F7D">
            <w:pPr>
              <w:jc w:val="center"/>
              <w:rPr>
                <w:rFonts w:eastAsiaTheme="minorEastAsia"/>
                <w:szCs w:val="21"/>
              </w:rPr>
            </w:pPr>
            <w:r>
              <w:rPr>
                <w:rFonts w:eastAsiaTheme="minorEastAsia"/>
                <w:szCs w:val="21"/>
              </w:rPr>
              <w:t>1.26%</w:t>
            </w:r>
          </w:p>
        </w:tc>
        <w:tc>
          <w:tcPr>
            <w:tcW w:w="700" w:type="pct"/>
            <w:tcBorders>
              <w:top w:val="single" w:sz="4" w:space="0" w:color="000000"/>
              <w:left w:val="single" w:sz="4" w:space="0" w:color="000000"/>
              <w:bottom w:val="single" w:sz="4" w:space="0" w:color="000000"/>
              <w:right w:val="single" w:sz="4" w:space="0" w:color="000000"/>
            </w:tcBorders>
            <w:vAlign w:val="bottom"/>
          </w:tcPr>
          <w:p w:rsidR="003663E4" w:rsidRDefault="00FD3F7D">
            <w:pPr>
              <w:jc w:val="center"/>
              <w:rPr>
                <w:rFonts w:eastAsiaTheme="minorEastAsia"/>
                <w:szCs w:val="21"/>
              </w:rPr>
            </w:pPr>
            <w:r>
              <w:rPr>
                <w:rFonts w:eastAsiaTheme="minorEastAsia"/>
                <w:szCs w:val="21"/>
              </w:rPr>
              <w:t>1.43%</w:t>
            </w:r>
          </w:p>
          <w:p w:rsidR="003663E4" w:rsidRDefault="003663E4">
            <w:pPr>
              <w:jc w:val="center"/>
              <w:rPr>
                <w:rFonts w:eastAsiaTheme="minorEastAsia"/>
                <w:szCs w:val="21"/>
              </w:rPr>
            </w:pPr>
          </w:p>
        </w:tc>
        <w:tc>
          <w:tcPr>
            <w:tcW w:w="701" w:type="pct"/>
            <w:tcBorders>
              <w:top w:val="single" w:sz="4" w:space="0" w:color="000000"/>
              <w:left w:val="single" w:sz="4" w:space="0" w:color="000000"/>
              <w:bottom w:val="single" w:sz="4" w:space="0" w:color="000000"/>
              <w:right w:val="single" w:sz="4" w:space="0" w:color="000000"/>
            </w:tcBorders>
            <w:vAlign w:val="bottom"/>
          </w:tcPr>
          <w:p w:rsidR="003663E4" w:rsidRDefault="00FD3F7D">
            <w:pPr>
              <w:jc w:val="center"/>
              <w:rPr>
                <w:rFonts w:eastAsiaTheme="minorEastAsia"/>
                <w:szCs w:val="21"/>
              </w:rPr>
            </w:pPr>
            <w:r>
              <w:rPr>
                <w:rFonts w:eastAsiaTheme="minorEastAsia"/>
                <w:szCs w:val="21"/>
              </w:rPr>
              <w:t>2.82%</w:t>
            </w:r>
          </w:p>
        </w:tc>
        <w:tc>
          <w:tcPr>
            <w:tcW w:w="701" w:type="pct"/>
            <w:tcBorders>
              <w:top w:val="single" w:sz="4" w:space="0" w:color="000000"/>
              <w:left w:val="single" w:sz="4" w:space="0" w:color="000000"/>
              <w:bottom w:val="single" w:sz="4" w:space="0" w:color="000000"/>
              <w:right w:val="single" w:sz="4" w:space="0" w:color="000000"/>
            </w:tcBorders>
            <w:vAlign w:val="bottom"/>
          </w:tcPr>
          <w:p w:rsidR="003663E4" w:rsidRDefault="00FD3F7D">
            <w:pPr>
              <w:jc w:val="center"/>
              <w:rPr>
                <w:rFonts w:eastAsiaTheme="minorEastAsia"/>
                <w:szCs w:val="21"/>
              </w:rPr>
            </w:pPr>
            <w:r>
              <w:rPr>
                <w:rFonts w:eastAsiaTheme="minorEastAsia"/>
                <w:szCs w:val="21"/>
              </w:rPr>
              <w:t>3.12%</w:t>
            </w:r>
          </w:p>
          <w:p w:rsidR="003663E4" w:rsidRDefault="003663E4">
            <w:pPr>
              <w:jc w:val="center"/>
              <w:rPr>
                <w:rFonts w:eastAsiaTheme="minorEastAsia"/>
                <w:szCs w:val="21"/>
              </w:rPr>
            </w:pPr>
          </w:p>
        </w:tc>
        <w:tc>
          <w:tcPr>
            <w:tcW w:w="701" w:type="pct"/>
            <w:tcBorders>
              <w:top w:val="single" w:sz="4" w:space="0" w:color="000000"/>
              <w:left w:val="single" w:sz="4" w:space="0" w:color="000000"/>
              <w:bottom w:val="single" w:sz="4" w:space="0" w:color="000000"/>
              <w:right w:val="single" w:sz="4" w:space="0" w:color="000000"/>
            </w:tcBorders>
            <w:vAlign w:val="bottom"/>
          </w:tcPr>
          <w:p w:rsidR="003663E4" w:rsidRDefault="00FD3F7D">
            <w:pPr>
              <w:jc w:val="center"/>
              <w:rPr>
                <w:rFonts w:eastAsiaTheme="minorEastAsia"/>
                <w:szCs w:val="21"/>
              </w:rPr>
            </w:pPr>
            <w:r>
              <w:rPr>
                <w:rFonts w:eastAsiaTheme="minorEastAsia"/>
                <w:szCs w:val="21"/>
              </w:rPr>
              <w:t>4.10%</w:t>
            </w:r>
          </w:p>
        </w:tc>
        <w:tc>
          <w:tcPr>
            <w:tcW w:w="701" w:type="pct"/>
            <w:tcBorders>
              <w:top w:val="single" w:sz="4" w:space="0" w:color="000000"/>
              <w:left w:val="single" w:sz="4" w:space="0" w:color="000000"/>
              <w:bottom w:val="single" w:sz="4" w:space="0" w:color="000000"/>
              <w:right w:val="single" w:sz="4" w:space="0" w:color="000000"/>
            </w:tcBorders>
            <w:vAlign w:val="bottom"/>
          </w:tcPr>
          <w:p w:rsidR="003663E4" w:rsidRDefault="00FD3F7D">
            <w:pPr>
              <w:jc w:val="center"/>
              <w:rPr>
                <w:rFonts w:eastAsiaTheme="minorEastAsia"/>
                <w:szCs w:val="21"/>
              </w:rPr>
            </w:pPr>
            <w:r>
              <w:rPr>
                <w:rFonts w:eastAsiaTheme="minorEastAsia"/>
                <w:szCs w:val="21"/>
              </w:rPr>
              <w:t>4.40%</w:t>
            </w:r>
          </w:p>
          <w:p w:rsidR="003663E4" w:rsidRDefault="003663E4">
            <w:pPr>
              <w:jc w:val="center"/>
              <w:rPr>
                <w:rFonts w:eastAsiaTheme="minorEastAsia"/>
                <w:szCs w:val="21"/>
              </w:rPr>
            </w:pPr>
          </w:p>
        </w:tc>
      </w:tr>
      <w:tr w:rsidR="003663E4">
        <w:trPr>
          <w:jc w:val="center"/>
        </w:trPr>
        <w:tc>
          <w:tcPr>
            <w:tcW w:w="793" w:type="pct"/>
            <w:vMerge w:val="restart"/>
            <w:tcBorders>
              <w:top w:val="single" w:sz="4" w:space="0" w:color="000000"/>
              <w:left w:val="single" w:sz="4" w:space="0" w:color="000000"/>
              <w:bottom w:val="single" w:sz="4" w:space="0" w:color="000000"/>
              <w:right w:val="single" w:sz="4" w:space="0" w:color="000000"/>
            </w:tcBorders>
            <w:vAlign w:val="center"/>
          </w:tcPr>
          <w:p w:rsidR="003663E4" w:rsidRDefault="00FD3F7D">
            <w:pPr>
              <w:ind w:leftChars="-51" w:left="-107" w:rightChars="-51" w:right="-107"/>
              <w:rPr>
                <w:rFonts w:eastAsiaTheme="minorEastAsia"/>
                <w:b/>
                <w:szCs w:val="21"/>
              </w:rPr>
            </w:pPr>
            <w:r>
              <w:rPr>
                <w:rFonts w:eastAsiaTheme="minorEastAsia" w:hint="eastAsia"/>
                <w:b/>
                <w:color w:val="000000"/>
                <w:szCs w:val="21"/>
              </w:rPr>
              <w:t>3.2.1.2</w:t>
            </w:r>
            <w:r>
              <w:rPr>
                <w:rFonts w:eastAsiaTheme="minorEastAsia"/>
                <w:b/>
                <w:szCs w:val="21"/>
              </w:rPr>
              <w:t>期末数据和指标</w:t>
            </w:r>
          </w:p>
        </w:tc>
        <w:tc>
          <w:tcPr>
            <w:tcW w:w="1401" w:type="pct"/>
            <w:gridSpan w:val="2"/>
            <w:tcBorders>
              <w:top w:val="single" w:sz="4" w:space="0" w:color="000000"/>
              <w:left w:val="single" w:sz="4" w:space="0" w:color="000000"/>
              <w:bottom w:val="single" w:sz="4" w:space="0" w:color="000000"/>
              <w:right w:val="single" w:sz="4" w:space="0" w:color="000000"/>
            </w:tcBorders>
            <w:vAlign w:val="center"/>
          </w:tcPr>
          <w:p w:rsidR="003663E4" w:rsidRDefault="00FD3F7D">
            <w:pPr>
              <w:ind w:leftChars="-51" w:left="-107" w:rightChars="-51" w:right="-107"/>
              <w:jc w:val="center"/>
              <w:rPr>
                <w:rFonts w:eastAsiaTheme="minorEastAsia"/>
                <w:b/>
                <w:szCs w:val="21"/>
              </w:rPr>
            </w:pPr>
            <w:r>
              <w:rPr>
                <w:rFonts w:eastAsiaTheme="minorEastAsia" w:hint="eastAsia"/>
                <w:b/>
                <w:szCs w:val="21"/>
              </w:rPr>
              <w:t>报告期末</w:t>
            </w:r>
            <w:r>
              <w:rPr>
                <w:rFonts w:eastAsiaTheme="minorEastAsia" w:hint="eastAsia"/>
                <w:b/>
                <w:szCs w:val="21"/>
              </w:rPr>
              <w:t>(2020</w:t>
            </w:r>
            <w:r>
              <w:rPr>
                <w:rFonts w:eastAsiaTheme="minorEastAsia" w:hint="eastAsia"/>
                <w:b/>
                <w:szCs w:val="21"/>
              </w:rPr>
              <w:t>年</w:t>
            </w:r>
            <w:r>
              <w:rPr>
                <w:rFonts w:eastAsiaTheme="minorEastAsia" w:hint="eastAsia"/>
                <w:b/>
                <w:szCs w:val="21"/>
              </w:rPr>
              <w:t>7</w:t>
            </w:r>
            <w:r>
              <w:rPr>
                <w:rFonts w:eastAsiaTheme="minorEastAsia" w:hint="eastAsia"/>
                <w:b/>
                <w:szCs w:val="21"/>
              </w:rPr>
              <w:t>月</w:t>
            </w:r>
            <w:r>
              <w:rPr>
                <w:rFonts w:eastAsiaTheme="minorEastAsia" w:hint="eastAsia"/>
                <w:b/>
                <w:szCs w:val="21"/>
              </w:rPr>
              <w:t>27</w:t>
            </w:r>
            <w:r>
              <w:rPr>
                <w:rFonts w:eastAsiaTheme="minorEastAsia" w:hint="eastAsia"/>
                <w:b/>
                <w:szCs w:val="21"/>
              </w:rPr>
              <w:t>日</w:t>
            </w:r>
            <w:r>
              <w:rPr>
                <w:rFonts w:eastAsiaTheme="minorEastAsia" w:hint="eastAsia"/>
                <w:b/>
                <w:szCs w:val="21"/>
              </w:rPr>
              <w:t>)</w:t>
            </w:r>
          </w:p>
        </w:tc>
        <w:tc>
          <w:tcPr>
            <w:tcW w:w="1402" w:type="pct"/>
            <w:gridSpan w:val="2"/>
            <w:tcBorders>
              <w:top w:val="single" w:sz="4" w:space="0" w:color="000000"/>
              <w:left w:val="single" w:sz="4" w:space="0" w:color="000000"/>
              <w:bottom w:val="single" w:sz="4" w:space="0" w:color="000000"/>
              <w:right w:val="single" w:sz="4" w:space="0" w:color="000000"/>
            </w:tcBorders>
            <w:vAlign w:val="center"/>
          </w:tcPr>
          <w:p w:rsidR="003663E4" w:rsidRDefault="00FD3F7D">
            <w:pPr>
              <w:jc w:val="center"/>
              <w:rPr>
                <w:rFonts w:eastAsiaTheme="minorEastAsia"/>
                <w:b/>
                <w:szCs w:val="21"/>
              </w:rPr>
            </w:pPr>
            <w:r>
              <w:rPr>
                <w:rFonts w:eastAsiaTheme="minorEastAsia"/>
                <w:b/>
                <w:szCs w:val="21"/>
              </w:rPr>
              <w:t>2019</w:t>
            </w:r>
            <w:r>
              <w:rPr>
                <w:rFonts w:eastAsiaTheme="minorEastAsia"/>
                <w:b/>
                <w:szCs w:val="21"/>
              </w:rPr>
              <w:t>年末</w:t>
            </w:r>
          </w:p>
        </w:tc>
        <w:tc>
          <w:tcPr>
            <w:tcW w:w="1402" w:type="pct"/>
            <w:gridSpan w:val="2"/>
            <w:tcBorders>
              <w:top w:val="single" w:sz="4" w:space="0" w:color="000000"/>
              <w:left w:val="single" w:sz="4" w:space="0" w:color="000000"/>
              <w:bottom w:val="single" w:sz="4" w:space="0" w:color="000000"/>
              <w:right w:val="single" w:sz="4" w:space="0" w:color="000000"/>
            </w:tcBorders>
            <w:vAlign w:val="center"/>
          </w:tcPr>
          <w:p w:rsidR="003663E4" w:rsidRDefault="00FD3F7D">
            <w:pPr>
              <w:jc w:val="center"/>
              <w:rPr>
                <w:rFonts w:eastAsiaTheme="minorEastAsia"/>
                <w:b/>
                <w:szCs w:val="21"/>
              </w:rPr>
            </w:pPr>
            <w:r>
              <w:rPr>
                <w:rFonts w:eastAsiaTheme="minorEastAsia"/>
                <w:b/>
                <w:szCs w:val="21"/>
              </w:rPr>
              <w:t>2018</w:t>
            </w:r>
            <w:r>
              <w:rPr>
                <w:rFonts w:eastAsiaTheme="minorEastAsia"/>
                <w:b/>
                <w:szCs w:val="21"/>
              </w:rPr>
              <w:t>年末</w:t>
            </w:r>
          </w:p>
        </w:tc>
      </w:tr>
      <w:tr w:rsidR="003663E4">
        <w:trPr>
          <w:trHeight w:val="373"/>
          <w:jc w:val="center"/>
        </w:trPr>
        <w:tc>
          <w:tcPr>
            <w:tcW w:w="793" w:type="pct"/>
            <w:vMerge/>
            <w:tcBorders>
              <w:top w:val="single" w:sz="4" w:space="0" w:color="000000"/>
              <w:left w:val="single" w:sz="4" w:space="0" w:color="000000"/>
              <w:bottom w:val="single" w:sz="4" w:space="0" w:color="000000"/>
              <w:right w:val="single" w:sz="4" w:space="0" w:color="000000"/>
            </w:tcBorders>
            <w:vAlign w:val="center"/>
          </w:tcPr>
          <w:p w:rsidR="003663E4" w:rsidRDefault="003663E4">
            <w:pPr>
              <w:widowControl/>
              <w:jc w:val="left"/>
              <w:rPr>
                <w:rFonts w:eastAsiaTheme="minorEastAsia"/>
                <w:b/>
                <w:szCs w:val="21"/>
              </w:rPr>
            </w:pPr>
          </w:p>
        </w:tc>
        <w:tc>
          <w:tcPr>
            <w:tcW w:w="700" w:type="pct"/>
            <w:tcBorders>
              <w:top w:val="single" w:sz="4" w:space="0" w:color="000000"/>
              <w:left w:val="single" w:sz="4" w:space="0" w:color="000000"/>
              <w:bottom w:val="single" w:sz="4" w:space="0" w:color="000000"/>
              <w:right w:val="single" w:sz="4" w:space="0" w:color="000000"/>
            </w:tcBorders>
            <w:vAlign w:val="center"/>
          </w:tcPr>
          <w:p w:rsidR="003663E4" w:rsidRDefault="00FD3F7D">
            <w:pPr>
              <w:ind w:leftChars="-51" w:left="-107" w:rightChars="-51" w:right="-107"/>
              <w:jc w:val="center"/>
              <w:rPr>
                <w:rFonts w:eastAsiaTheme="minorEastAsia"/>
                <w:szCs w:val="21"/>
              </w:rPr>
            </w:pPr>
            <w:r>
              <w:rPr>
                <w:rFonts w:eastAsiaTheme="minorEastAsia"/>
                <w:szCs w:val="21"/>
              </w:rPr>
              <w:t>交银理财</w:t>
            </w:r>
            <w:r>
              <w:rPr>
                <w:rFonts w:eastAsiaTheme="minorEastAsia"/>
                <w:szCs w:val="21"/>
              </w:rPr>
              <w:t>60</w:t>
            </w:r>
            <w:r>
              <w:rPr>
                <w:rFonts w:eastAsiaTheme="minorEastAsia"/>
                <w:szCs w:val="21"/>
              </w:rPr>
              <w:t>天债券</w:t>
            </w:r>
            <w:r>
              <w:rPr>
                <w:rFonts w:eastAsiaTheme="minorEastAsia"/>
                <w:szCs w:val="21"/>
              </w:rPr>
              <w:t>A</w:t>
            </w:r>
          </w:p>
        </w:tc>
        <w:tc>
          <w:tcPr>
            <w:tcW w:w="700" w:type="pct"/>
            <w:tcBorders>
              <w:top w:val="single" w:sz="4" w:space="0" w:color="000000"/>
              <w:left w:val="single" w:sz="4" w:space="0" w:color="000000"/>
              <w:bottom w:val="single" w:sz="4" w:space="0" w:color="000000"/>
              <w:right w:val="single" w:sz="4" w:space="0" w:color="000000"/>
            </w:tcBorders>
            <w:vAlign w:val="center"/>
          </w:tcPr>
          <w:p w:rsidR="003663E4" w:rsidRDefault="00FD3F7D">
            <w:pPr>
              <w:ind w:leftChars="-51" w:left="-107" w:rightChars="-51" w:right="-107"/>
              <w:jc w:val="center"/>
              <w:rPr>
                <w:rFonts w:eastAsiaTheme="minorEastAsia"/>
                <w:szCs w:val="21"/>
              </w:rPr>
            </w:pPr>
            <w:r>
              <w:rPr>
                <w:rFonts w:eastAsiaTheme="minorEastAsia"/>
                <w:szCs w:val="21"/>
              </w:rPr>
              <w:t>交银理财</w:t>
            </w:r>
            <w:r>
              <w:rPr>
                <w:rFonts w:eastAsiaTheme="minorEastAsia"/>
                <w:szCs w:val="21"/>
              </w:rPr>
              <w:t>60</w:t>
            </w:r>
            <w:r>
              <w:rPr>
                <w:rFonts w:eastAsiaTheme="minorEastAsia"/>
                <w:szCs w:val="21"/>
              </w:rPr>
              <w:t>天债券</w:t>
            </w:r>
            <w:r>
              <w:rPr>
                <w:rFonts w:eastAsiaTheme="minorEastAsia"/>
                <w:szCs w:val="21"/>
              </w:rPr>
              <w:t>B</w:t>
            </w:r>
          </w:p>
          <w:p w:rsidR="003663E4" w:rsidRDefault="003663E4">
            <w:pPr>
              <w:ind w:leftChars="-51" w:left="-107" w:rightChars="-51" w:right="-107"/>
              <w:jc w:val="center"/>
              <w:rPr>
                <w:rFonts w:eastAsiaTheme="minorEastAsia"/>
                <w:szCs w:val="21"/>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3663E4" w:rsidRDefault="00FD3F7D">
            <w:pPr>
              <w:ind w:leftChars="-51" w:left="-107" w:rightChars="-51" w:right="-107"/>
              <w:jc w:val="center"/>
              <w:rPr>
                <w:rFonts w:eastAsiaTheme="minorEastAsia"/>
                <w:szCs w:val="21"/>
              </w:rPr>
            </w:pPr>
            <w:r>
              <w:rPr>
                <w:rFonts w:eastAsiaTheme="minorEastAsia"/>
                <w:szCs w:val="21"/>
              </w:rPr>
              <w:t>交银理财</w:t>
            </w:r>
            <w:r>
              <w:rPr>
                <w:rFonts w:eastAsiaTheme="minorEastAsia"/>
                <w:szCs w:val="21"/>
              </w:rPr>
              <w:t>60</w:t>
            </w:r>
            <w:r>
              <w:rPr>
                <w:rFonts w:eastAsiaTheme="minorEastAsia"/>
                <w:szCs w:val="21"/>
              </w:rPr>
              <w:t>天债券</w:t>
            </w:r>
            <w:r>
              <w:rPr>
                <w:rFonts w:eastAsiaTheme="minorEastAsia"/>
                <w:szCs w:val="21"/>
              </w:rPr>
              <w:t>A</w:t>
            </w:r>
          </w:p>
        </w:tc>
        <w:tc>
          <w:tcPr>
            <w:tcW w:w="701" w:type="pct"/>
            <w:tcBorders>
              <w:top w:val="single" w:sz="4" w:space="0" w:color="000000"/>
              <w:left w:val="single" w:sz="4" w:space="0" w:color="000000"/>
              <w:bottom w:val="single" w:sz="4" w:space="0" w:color="000000"/>
              <w:right w:val="single" w:sz="4" w:space="0" w:color="000000"/>
            </w:tcBorders>
            <w:vAlign w:val="center"/>
          </w:tcPr>
          <w:p w:rsidR="003663E4" w:rsidRDefault="00FD3F7D">
            <w:pPr>
              <w:ind w:leftChars="-51" w:left="-107" w:rightChars="-51" w:right="-107"/>
              <w:jc w:val="center"/>
              <w:rPr>
                <w:rFonts w:eastAsiaTheme="minorEastAsia"/>
                <w:szCs w:val="21"/>
              </w:rPr>
            </w:pPr>
            <w:r>
              <w:rPr>
                <w:rFonts w:eastAsiaTheme="minorEastAsia"/>
                <w:szCs w:val="21"/>
              </w:rPr>
              <w:t>交银理财</w:t>
            </w:r>
            <w:r>
              <w:rPr>
                <w:rFonts w:eastAsiaTheme="minorEastAsia"/>
                <w:szCs w:val="21"/>
              </w:rPr>
              <w:t>60</w:t>
            </w:r>
            <w:r>
              <w:rPr>
                <w:rFonts w:eastAsiaTheme="minorEastAsia"/>
                <w:szCs w:val="21"/>
              </w:rPr>
              <w:t>天债券</w:t>
            </w:r>
            <w:r>
              <w:rPr>
                <w:rFonts w:eastAsiaTheme="minorEastAsia"/>
                <w:szCs w:val="21"/>
              </w:rPr>
              <w:t>B</w:t>
            </w:r>
          </w:p>
          <w:p w:rsidR="003663E4" w:rsidRDefault="003663E4">
            <w:pPr>
              <w:ind w:leftChars="-51" w:left="-107" w:rightChars="-51" w:right="-107"/>
              <w:jc w:val="center"/>
              <w:rPr>
                <w:rFonts w:eastAsiaTheme="minorEastAsia"/>
                <w:szCs w:val="21"/>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3663E4" w:rsidRDefault="00FD3F7D">
            <w:pPr>
              <w:ind w:leftChars="-51" w:left="-107" w:rightChars="-51" w:right="-107"/>
              <w:jc w:val="center"/>
              <w:rPr>
                <w:rFonts w:eastAsiaTheme="minorEastAsia"/>
                <w:szCs w:val="21"/>
              </w:rPr>
            </w:pPr>
            <w:r>
              <w:rPr>
                <w:rFonts w:eastAsiaTheme="minorEastAsia"/>
                <w:szCs w:val="21"/>
              </w:rPr>
              <w:t>交银理财</w:t>
            </w:r>
            <w:r>
              <w:rPr>
                <w:rFonts w:eastAsiaTheme="minorEastAsia"/>
                <w:szCs w:val="21"/>
              </w:rPr>
              <w:t>60</w:t>
            </w:r>
            <w:r>
              <w:rPr>
                <w:rFonts w:eastAsiaTheme="minorEastAsia"/>
                <w:szCs w:val="21"/>
              </w:rPr>
              <w:t>天债券</w:t>
            </w:r>
            <w:r>
              <w:rPr>
                <w:rFonts w:eastAsiaTheme="minorEastAsia"/>
                <w:szCs w:val="21"/>
              </w:rPr>
              <w:t>A</w:t>
            </w:r>
          </w:p>
        </w:tc>
        <w:tc>
          <w:tcPr>
            <w:tcW w:w="701" w:type="pct"/>
            <w:tcBorders>
              <w:top w:val="single" w:sz="4" w:space="0" w:color="000000"/>
              <w:left w:val="single" w:sz="4" w:space="0" w:color="000000"/>
              <w:bottom w:val="single" w:sz="4" w:space="0" w:color="000000"/>
              <w:right w:val="single" w:sz="4" w:space="0" w:color="000000"/>
            </w:tcBorders>
            <w:vAlign w:val="center"/>
          </w:tcPr>
          <w:p w:rsidR="003663E4" w:rsidRDefault="00FD3F7D">
            <w:pPr>
              <w:ind w:leftChars="-51" w:left="-107" w:rightChars="-51" w:right="-107"/>
              <w:jc w:val="center"/>
              <w:rPr>
                <w:rFonts w:eastAsiaTheme="minorEastAsia"/>
                <w:szCs w:val="21"/>
              </w:rPr>
            </w:pPr>
            <w:r>
              <w:rPr>
                <w:rFonts w:eastAsiaTheme="minorEastAsia"/>
                <w:szCs w:val="21"/>
              </w:rPr>
              <w:t>交银理财</w:t>
            </w:r>
            <w:r>
              <w:rPr>
                <w:rFonts w:eastAsiaTheme="minorEastAsia"/>
                <w:szCs w:val="21"/>
              </w:rPr>
              <w:t>60</w:t>
            </w:r>
            <w:r>
              <w:rPr>
                <w:rFonts w:eastAsiaTheme="minorEastAsia"/>
                <w:szCs w:val="21"/>
              </w:rPr>
              <w:t>天债券</w:t>
            </w:r>
            <w:r>
              <w:rPr>
                <w:rFonts w:eastAsiaTheme="minorEastAsia"/>
                <w:szCs w:val="21"/>
              </w:rPr>
              <w:t>B</w:t>
            </w:r>
          </w:p>
          <w:p w:rsidR="003663E4" w:rsidRDefault="003663E4">
            <w:pPr>
              <w:ind w:leftChars="-51" w:left="-107" w:rightChars="-51" w:right="-107"/>
              <w:jc w:val="center"/>
              <w:rPr>
                <w:rFonts w:eastAsiaTheme="minorEastAsia"/>
                <w:szCs w:val="21"/>
              </w:rPr>
            </w:pPr>
          </w:p>
        </w:tc>
      </w:tr>
      <w:tr w:rsidR="003663E4">
        <w:trPr>
          <w:jc w:val="center"/>
        </w:trPr>
        <w:tc>
          <w:tcPr>
            <w:tcW w:w="793" w:type="pct"/>
            <w:tcBorders>
              <w:top w:val="single" w:sz="4" w:space="0" w:color="000000"/>
              <w:left w:val="single" w:sz="4" w:space="0" w:color="000000"/>
              <w:bottom w:val="single" w:sz="4" w:space="0" w:color="000000"/>
              <w:right w:val="single" w:sz="4" w:space="0" w:color="000000"/>
            </w:tcBorders>
            <w:vAlign w:val="center"/>
          </w:tcPr>
          <w:p w:rsidR="003663E4" w:rsidRDefault="00FD3F7D">
            <w:pPr>
              <w:rPr>
                <w:rFonts w:eastAsiaTheme="minorEastAsia"/>
                <w:szCs w:val="21"/>
              </w:rPr>
            </w:pPr>
            <w:r>
              <w:rPr>
                <w:rFonts w:eastAsiaTheme="minorEastAsia"/>
                <w:szCs w:val="21"/>
              </w:rPr>
              <w:t>期末基金资产净值</w:t>
            </w:r>
          </w:p>
        </w:tc>
        <w:tc>
          <w:tcPr>
            <w:tcW w:w="700" w:type="pct"/>
            <w:tcBorders>
              <w:top w:val="single" w:sz="4" w:space="0" w:color="000000"/>
              <w:left w:val="single" w:sz="4" w:space="0" w:color="000000"/>
              <w:bottom w:val="single" w:sz="4" w:space="0" w:color="000000"/>
              <w:right w:val="single" w:sz="4" w:space="0" w:color="000000"/>
            </w:tcBorders>
            <w:vAlign w:val="bottom"/>
          </w:tcPr>
          <w:p w:rsidR="003663E4" w:rsidRDefault="00FD3F7D">
            <w:pPr>
              <w:jc w:val="right"/>
              <w:rPr>
                <w:rFonts w:eastAsiaTheme="minorEastAsia"/>
                <w:szCs w:val="21"/>
              </w:rPr>
            </w:pPr>
            <w:r>
              <w:rPr>
                <w:rFonts w:eastAsiaTheme="minorEastAsia"/>
                <w:szCs w:val="21"/>
              </w:rPr>
              <w:t>3,346,487.94</w:t>
            </w:r>
          </w:p>
        </w:tc>
        <w:tc>
          <w:tcPr>
            <w:tcW w:w="700" w:type="pct"/>
            <w:tcBorders>
              <w:top w:val="single" w:sz="4" w:space="0" w:color="000000"/>
              <w:left w:val="single" w:sz="4" w:space="0" w:color="000000"/>
              <w:bottom w:val="single" w:sz="4" w:space="0" w:color="000000"/>
              <w:right w:val="single" w:sz="4" w:space="0" w:color="000000"/>
            </w:tcBorders>
            <w:vAlign w:val="bottom"/>
          </w:tcPr>
          <w:p w:rsidR="003663E4" w:rsidRDefault="00FD3F7D">
            <w:pPr>
              <w:jc w:val="right"/>
              <w:rPr>
                <w:rFonts w:eastAsiaTheme="minorEastAsia"/>
                <w:szCs w:val="21"/>
              </w:rPr>
            </w:pPr>
            <w:r>
              <w:rPr>
                <w:rFonts w:eastAsiaTheme="minorEastAsia"/>
                <w:szCs w:val="21"/>
              </w:rPr>
              <w:t>766,712,512.82</w:t>
            </w:r>
          </w:p>
          <w:p w:rsidR="003663E4" w:rsidRDefault="003663E4">
            <w:pPr>
              <w:jc w:val="center"/>
              <w:rPr>
                <w:rFonts w:eastAsiaTheme="minorEastAsia"/>
                <w:szCs w:val="21"/>
              </w:rPr>
            </w:pPr>
          </w:p>
        </w:tc>
        <w:tc>
          <w:tcPr>
            <w:tcW w:w="701" w:type="pct"/>
            <w:tcBorders>
              <w:top w:val="single" w:sz="4" w:space="0" w:color="000000"/>
              <w:left w:val="single" w:sz="4" w:space="0" w:color="000000"/>
              <w:bottom w:val="single" w:sz="4" w:space="0" w:color="000000"/>
              <w:right w:val="single" w:sz="4" w:space="0" w:color="000000"/>
            </w:tcBorders>
            <w:vAlign w:val="bottom"/>
          </w:tcPr>
          <w:p w:rsidR="003663E4" w:rsidRDefault="00FD3F7D">
            <w:pPr>
              <w:jc w:val="right"/>
              <w:rPr>
                <w:rFonts w:eastAsiaTheme="minorEastAsia"/>
                <w:szCs w:val="21"/>
              </w:rPr>
            </w:pPr>
            <w:r>
              <w:rPr>
                <w:rFonts w:eastAsiaTheme="minorEastAsia"/>
                <w:szCs w:val="21"/>
              </w:rPr>
              <w:t>5,498,988.29</w:t>
            </w:r>
          </w:p>
        </w:tc>
        <w:tc>
          <w:tcPr>
            <w:tcW w:w="701" w:type="pct"/>
            <w:tcBorders>
              <w:top w:val="single" w:sz="4" w:space="0" w:color="000000"/>
              <w:left w:val="single" w:sz="4" w:space="0" w:color="000000"/>
              <w:bottom w:val="single" w:sz="4" w:space="0" w:color="000000"/>
              <w:right w:val="single" w:sz="4" w:space="0" w:color="000000"/>
            </w:tcBorders>
            <w:vAlign w:val="bottom"/>
          </w:tcPr>
          <w:p w:rsidR="003663E4" w:rsidRDefault="00FD3F7D">
            <w:pPr>
              <w:jc w:val="right"/>
              <w:rPr>
                <w:rFonts w:eastAsiaTheme="minorEastAsia"/>
                <w:szCs w:val="21"/>
              </w:rPr>
            </w:pPr>
            <w:r>
              <w:rPr>
                <w:rFonts w:eastAsiaTheme="minorEastAsia"/>
                <w:szCs w:val="21"/>
              </w:rPr>
              <w:t>7,089,630,685.43</w:t>
            </w:r>
          </w:p>
          <w:p w:rsidR="003663E4" w:rsidRDefault="003663E4">
            <w:pPr>
              <w:jc w:val="right"/>
              <w:rPr>
                <w:rFonts w:eastAsiaTheme="minorEastAsia"/>
                <w:szCs w:val="21"/>
              </w:rPr>
            </w:pPr>
          </w:p>
        </w:tc>
        <w:tc>
          <w:tcPr>
            <w:tcW w:w="701" w:type="pct"/>
            <w:tcBorders>
              <w:top w:val="single" w:sz="4" w:space="0" w:color="000000"/>
              <w:left w:val="single" w:sz="4" w:space="0" w:color="000000"/>
              <w:bottom w:val="single" w:sz="4" w:space="0" w:color="000000"/>
              <w:right w:val="single" w:sz="4" w:space="0" w:color="000000"/>
            </w:tcBorders>
            <w:vAlign w:val="bottom"/>
          </w:tcPr>
          <w:p w:rsidR="003663E4" w:rsidRDefault="00FD3F7D">
            <w:pPr>
              <w:jc w:val="right"/>
              <w:rPr>
                <w:rFonts w:eastAsiaTheme="minorEastAsia"/>
                <w:szCs w:val="21"/>
              </w:rPr>
            </w:pPr>
            <w:r>
              <w:rPr>
                <w:rFonts w:eastAsiaTheme="minorEastAsia"/>
                <w:szCs w:val="21"/>
              </w:rPr>
              <w:t>8,956,638.90</w:t>
            </w:r>
          </w:p>
        </w:tc>
        <w:tc>
          <w:tcPr>
            <w:tcW w:w="701" w:type="pct"/>
            <w:tcBorders>
              <w:top w:val="single" w:sz="4" w:space="0" w:color="000000"/>
              <w:left w:val="single" w:sz="4" w:space="0" w:color="000000"/>
              <w:bottom w:val="single" w:sz="4" w:space="0" w:color="000000"/>
              <w:right w:val="single" w:sz="4" w:space="0" w:color="000000"/>
            </w:tcBorders>
            <w:vAlign w:val="bottom"/>
          </w:tcPr>
          <w:p w:rsidR="003663E4" w:rsidRDefault="00FD3F7D">
            <w:pPr>
              <w:jc w:val="right"/>
              <w:rPr>
                <w:rFonts w:eastAsiaTheme="minorEastAsia"/>
                <w:szCs w:val="21"/>
              </w:rPr>
            </w:pPr>
            <w:r>
              <w:rPr>
                <w:rFonts w:eastAsiaTheme="minorEastAsia"/>
                <w:szCs w:val="21"/>
              </w:rPr>
              <w:t>11,759,859,670.82</w:t>
            </w:r>
          </w:p>
          <w:p w:rsidR="003663E4" w:rsidRDefault="003663E4">
            <w:pPr>
              <w:jc w:val="right"/>
              <w:rPr>
                <w:rFonts w:eastAsiaTheme="minorEastAsia"/>
                <w:szCs w:val="21"/>
              </w:rPr>
            </w:pPr>
          </w:p>
        </w:tc>
      </w:tr>
      <w:tr w:rsidR="003663E4">
        <w:trPr>
          <w:jc w:val="center"/>
        </w:trPr>
        <w:tc>
          <w:tcPr>
            <w:tcW w:w="793" w:type="pct"/>
            <w:tcBorders>
              <w:top w:val="single" w:sz="4" w:space="0" w:color="000000"/>
              <w:left w:val="single" w:sz="4" w:space="0" w:color="000000"/>
              <w:bottom w:val="single" w:sz="4" w:space="0" w:color="000000"/>
              <w:right w:val="single" w:sz="4" w:space="0" w:color="000000"/>
            </w:tcBorders>
            <w:vAlign w:val="center"/>
          </w:tcPr>
          <w:p w:rsidR="003663E4" w:rsidRDefault="00FD3F7D">
            <w:pPr>
              <w:rPr>
                <w:rFonts w:eastAsiaTheme="minorEastAsia"/>
                <w:szCs w:val="21"/>
              </w:rPr>
            </w:pPr>
            <w:r>
              <w:rPr>
                <w:rFonts w:eastAsiaTheme="minorEastAsia"/>
                <w:szCs w:val="21"/>
              </w:rPr>
              <w:t>期末基金份额净值</w:t>
            </w:r>
          </w:p>
        </w:tc>
        <w:tc>
          <w:tcPr>
            <w:tcW w:w="700" w:type="pct"/>
            <w:tcBorders>
              <w:top w:val="single" w:sz="4" w:space="0" w:color="000000"/>
              <w:left w:val="single" w:sz="4" w:space="0" w:color="000000"/>
              <w:bottom w:val="single" w:sz="4" w:space="0" w:color="000000"/>
              <w:right w:val="single" w:sz="4" w:space="0" w:color="000000"/>
            </w:tcBorders>
            <w:vAlign w:val="bottom"/>
          </w:tcPr>
          <w:p w:rsidR="003663E4" w:rsidRDefault="00FD3F7D">
            <w:pPr>
              <w:jc w:val="right"/>
              <w:rPr>
                <w:rFonts w:eastAsiaTheme="minorEastAsia"/>
                <w:szCs w:val="21"/>
              </w:rPr>
            </w:pPr>
            <w:r>
              <w:rPr>
                <w:rFonts w:eastAsiaTheme="minorEastAsia"/>
                <w:szCs w:val="21"/>
              </w:rPr>
              <w:t>1</w:t>
            </w:r>
          </w:p>
        </w:tc>
        <w:tc>
          <w:tcPr>
            <w:tcW w:w="700" w:type="pct"/>
            <w:tcBorders>
              <w:top w:val="single" w:sz="4" w:space="0" w:color="000000"/>
              <w:left w:val="single" w:sz="4" w:space="0" w:color="000000"/>
              <w:bottom w:val="single" w:sz="4" w:space="0" w:color="000000"/>
              <w:right w:val="single" w:sz="4" w:space="0" w:color="000000"/>
            </w:tcBorders>
            <w:vAlign w:val="bottom"/>
          </w:tcPr>
          <w:p w:rsidR="003663E4" w:rsidRDefault="00FD3F7D">
            <w:pPr>
              <w:jc w:val="right"/>
              <w:rPr>
                <w:rFonts w:eastAsiaTheme="minorEastAsia"/>
                <w:szCs w:val="21"/>
              </w:rPr>
            </w:pPr>
            <w:r>
              <w:rPr>
                <w:rFonts w:eastAsiaTheme="minorEastAsia"/>
                <w:szCs w:val="21"/>
              </w:rPr>
              <w:t>1</w:t>
            </w:r>
          </w:p>
          <w:p w:rsidR="003663E4" w:rsidRDefault="003663E4">
            <w:pPr>
              <w:jc w:val="right"/>
              <w:rPr>
                <w:rFonts w:eastAsiaTheme="minorEastAsia"/>
                <w:szCs w:val="21"/>
              </w:rPr>
            </w:pPr>
          </w:p>
        </w:tc>
        <w:tc>
          <w:tcPr>
            <w:tcW w:w="701" w:type="pct"/>
            <w:tcBorders>
              <w:top w:val="single" w:sz="4" w:space="0" w:color="000000"/>
              <w:left w:val="single" w:sz="4" w:space="0" w:color="000000"/>
              <w:bottom w:val="single" w:sz="4" w:space="0" w:color="000000"/>
              <w:right w:val="single" w:sz="4" w:space="0" w:color="000000"/>
            </w:tcBorders>
            <w:vAlign w:val="bottom"/>
          </w:tcPr>
          <w:p w:rsidR="003663E4" w:rsidRDefault="00FD3F7D">
            <w:pPr>
              <w:jc w:val="right"/>
              <w:rPr>
                <w:rFonts w:eastAsiaTheme="minorEastAsia"/>
                <w:szCs w:val="21"/>
              </w:rPr>
            </w:pPr>
            <w:r>
              <w:rPr>
                <w:rFonts w:eastAsiaTheme="minorEastAsia"/>
                <w:szCs w:val="21"/>
              </w:rPr>
              <w:t>1</w:t>
            </w:r>
          </w:p>
        </w:tc>
        <w:tc>
          <w:tcPr>
            <w:tcW w:w="701" w:type="pct"/>
            <w:tcBorders>
              <w:top w:val="single" w:sz="4" w:space="0" w:color="000000"/>
              <w:left w:val="single" w:sz="4" w:space="0" w:color="000000"/>
              <w:bottom w:val="single" w:sz="4" w:space="0" w:color="000000"/>
              <w:right w:val="single" w:sz="4" w:space="0" w:color="000000"/>
            </w:tcBorders>
            <w:vAlign w:val="bottom"/>
          </w:tcPr>
          <w:p w:rsidR="003663E4" w:rsidRDefault="00FD3F7D">
            <w:pPr>
              <w:jc w:val="right"/>
              <w:rPr>
                <w:rFonts w:eastAsiaTheme="minorEastAsia"/>
                <w:szCs w:val="21"/>
              </w:rPr>
            </w:pPr>
            <w:r>
              <w:rPr>
                <w:rFonts w:eastAsiaTheme="minorEastAsia"/>
                <w:szCs w:val="21"/>
              </w:rPr>
              <w:t>1</w:t>
            </w:r>
          </w:p>
          <w:p w:rsidR="003663E4" w:rsidRDefault="003663E4">
            <w:pPr>
              <w:jc w:val="right"/>
              <w:rPr>
                <w:rFonts w:eastAsiaTheme="minorEastAsia"/>
                <w:szCs w:val="21"/>
              </w:rPr>
            </w:pPr>
          </w:p>
        </w:tc>
        <w:tc>
          <w:tcPr>
            <w:tcW w:w="701" w:type="pct"/>
            <w:tcBorders>
              <w:top w:val="single" w:sz="4" w:space="0" w:color="000000"/>
              <w:left w:val="single" w:sz="4" w:space="0" w:color="000000"/>
              <w:bottom w:val="single" w:sz="4" w:space="0" w:color="000000"/>
              <w:right w:val="single" w:sz="4" w:space="0" w:color="000000"/>
            </w:tcBorders>
            <w:vAlign w:val="bottom"/>
          </w:tcPr>
          <w:p w:rsidR="003663E4" w:rsidRDefault="00FD3F7D">
            <w:pPr>
              <w:jc w:val="right"/>
              <w:rPr>
                <w:rFonts w:eastAsiaTheme="minorEastAsia"/>
                <w:szCs w:val="21"/>
              </w:rPr>
            </w:pPr>
            <w:r>
              <w:rPr>
                <w:rFonts w:eastAsiaTheme="minorEastAsia"/>
                <w:szCs w:val="21"/>
              </w:rPr>
              <w:t>1</w:t>
            </w:r>
          </w:p>
        </w:tc>
        <w:tc>
          <w:tcPr>
            <w:tcW w:w="701" w:type="pct"/>
            <w:tcBorders>
              <w:top w:val="single" w:sz="4" w:space="0" w:color="000000"/>
              <w:left w:val="single" w:sz="4" w:space="0" w:color="000000"/>
              <w:bottom w:val="single" w:sz="4" w:space="0" w:color="000000"/>
              <w:right w:val="single" w:sz="4" w:space="0" w:color="000000"/>
            </w:tcBorders>
            <w:vAlign w:val="bottom"/>
          </w:tcPr>
          <w:p w:rsidR="003663E4" w:rsidRDefault="00FD3F7D">
            <w:pPr>
              <w:jc w:val="right"/>
              <w:rPr>
                <w:rFonts w:eastAsiaTheme="minorEastAsia"/>
                <w:szCs w:val="21"/>
              </w:rPr>
            </w:pPr>
            <w:r>
              <w:rPr>
                <w:rFonts w:eastAsiaTheme="minorEastAsia"/>
                <w:szCs w:val="21"/>
              </w:rPr>
              <w:t>1</w:t>
            </w:r>
          </w:p>
          <w:p w:rsidR="003663E4" w:rsidRDefault="003663E4">
            <w:pPr>
              <w:jc w:val="right"/>
              <w:rPr>
                <w:rFonts w:eastAsiaTheme="minorEastAsia"/>
                <w:szCs w:val="21"/>
              </w:rPr>
            </w:pPr>
          </w:p>
        </w:tc>
      </w:tr>
      <w:tr w:rsidR="003663E4">
        <w:trPr>
          <w:jc w:val="center"/>
        </w:trPr>
        <w:tc>
          <w:tcPr>
            <w:tcW w:w="793" w:type="pct"/>
            <w:vMerge w:val="restart"/>
            <w:tcBorders>
              <w:top w:val="single" w:sz="4" w:space="0" w:color="000000"/>
              <w:left w:val="single" w:sz="4" w:space="0" w:color="000000"/>
              <w:bottom w:val="single" w:sz="4" w:space="0" w:color="000000"/>
              <w:right w:val="single" w:sz="4" w:space="0" w:color="000000"/>
            </w:tcBorders>
            <w:vAlign w:val="center"/>
          </w:tcPr>
          <w:p w:rsidR="003663E4" w:rsidRDefault="00FD3F7D">
            <w:pPr>
              <w:ind w:leftChars="-51" w:left="-107" w:rightChars="-51" w:right="-107"/>
              <w:rPr>
                <w:rFonts w:eastAsiaTheme="minorEastAsia"/>
                <w:b/>
                <w:szCs w:val="21"/>
              </w:rPr>
            </w:pPr>
            <w:r>
              <w:rPr>
                <w:rFonts w:eastAsiaTheme="minorEastAsia" w:hint="eastAsia"/>
                <w:b/>
                <w:color w:val="000000"/>
                <w:szCs w:val="21"/>
              </w:rPr>
              <w:t>3.2.1.3</w:t>
            </w:r>
            <w:r>
              <w:rPr>
                <w:rFonts w:eastAsiaTheme="minorEastAsia"/>
                <w:b/>
                <w:szCs w:val="21"/>
              </w:rPr>
              <w:t>累计期末指标</w:t>
            </w:r>
          </w:p>
        </w:tc>
        <w:tc>
          <w:tcPr>
            <w:tcW w:w="1401" w:type="pct"/>
            <w:gridSpan w:val="2"/>
            <w:tcBorders>
              <w:top w:val="single" w:sz="4" w:space="0" w:color="000000"/>
              <w:left w:val="single" w:sz="4" w:space="0" w:color="000000"/>
              <w:bottom w:val="single" w:sz="4" w:space="0" w:color="000000"/>
              <w:right w:val="single" w:sz="4" w:space="0" w:color="000000"/>
            </w:tcBorders>
            <w:vAlign w:val="center"/>
          </w:tcPr>
          <w:p w:rsidR="003663E4" w:rsidRDefault="00FD3F7D">
            <w:pPr>
              <w:ind w:leftChars="-51" w:left="-107" w:rightChars="-51" w:right="-107"/>
              <w:jc w:val="center"/>
              <w:rPr>
                <w:rFonts w:eastAsiaTheme="minorEastAsia"/>
                <w:b/>
                <w:szCs w:val="21"/>
              </w:rPr>
            </w:pPr>
            <w:r>
              <w:rPr>
                <w:rFonts w:eastAsiaTheme="minorEastAsia" w:hint="eastAsia"/>
                <w:b/>
                <w:szCs w:val="21"/>
              </w:rPr>
              <w:t>报告期末</w:t>
            </w:r>
            <w:r>
              <w:rPr>
                <w:rFonts w:eastAsiaTheme="minorEastAsia" w:hint="eastAsia"/>
                <w:b/>
                <w:szCs w:val="21"/>
              </w:rPr>
              <w:t>(2020</w:t>
            </w:r>
            <w:r>
              <w:rPr>
                <w:rFonts w:eastAsiaTheme="minorEastAsia" w:hint="eastAsia"/>
                <w:b/>
                <w:szCs w:val="21"/>
              </w:rPr>
              <w:t>年</w:t>
            </w:r>
            <w:r>
              <w:rPr>
                <w:rFonts w:eastAsiaTheme="minorEastAsia" w:hint="eastAsia"/>
                <w:b/>
                <w:szCs w:val="21"/>
              </w:rPr>
              <w:t>7</w:t>
            </w:r>
            <w:r>
              <w:rPr>
                <w:rFonts w:eastAsiaTheme="minorEastAsia" w:hint="eastAsia"/>
                <w:b/>
                <w:szCs w:val="21"/>
              </w:rPr>
              <w:t>月</w:t>
            </w:r>
            <w:r>
              <w:rPr>
                <w:rFonts w:eastAsiaTheme="minorEastAsia" w:hint="eastAsia"/>
                <w:b/>
                <w:szCs w:val="21"/>
              </w:rPr>
              <w:t>27</w:t>
            </w:r>
            <w:r>
              <w:rPr>
                <w:rFonts w:eastAsiaTheme="minorEastAsia" w:hint="eastAsia"/>
                <w:b/>
                <w:szCs w:val="21"/>
              </w:rPr>
              <w:t>日</w:t>
            </w:r>
            <w:r>
              <w:rPr>
                <w:rFonts w:eastAsiaTheme="minorEastAsia" w:hint="eastAsia"/>
                <w:b/>
                <w:szCs w:val="21"/>
              </w:rPr>
              <w:t>)</w:t>
            </w:r>
          </w:p>
        </w:tc>
        <w:tc>
          <w:tcPr>
            <w:tcW w:w="1402" w:type="pct"/>
            <w:gridSpan w:val="2"/>
            <w:tcBorders>
              <w:top w:val="single" w:sz="4" w:space="0" w:color="000000"/>
              <w:left w:val="single" w:sz="4" w:space="0" w:color="000000"/>
              <w:bottom w:val="single" w:sz="4" w:space="0" w:color="000000"/>
              <w:right w:val="single" w:sz="4" w:space="0" w:color="000000"/>
            </w:tcBorders>
            <w:vAlign w:val="center"/>
          </w:tcPr>
          <w:p w:rsidR="003663E4" w:rsidRDefault="00FD3F7D">
            <w:pPr>
              <w:jc w:val="center"/>
              <w:rPr>
                <w:rFonts w:eastAsiaTheme="minorEastAsia"/>
                <w:b/>
                <w:szCs w:val="21"/>
              </w:rPr>
            </w:pPr>
            <w:r>
              <w:rPr>
                <w:rFonts w:eastAsiaTheme="minorEastAsia"/>
                <w:b/>
                <w:szCs w:val="21"/>
              </w:rPr>
              <w:t>2019</w:t>
            </w:r>
            <w:r>
              <w:rPr>
                <w:rFonts w:eastAsiaTheme="minorEastAsia"/>
                <w:b/>
                <w:szCs w:val="21"/>
              </w:rPr>
              <w:t>年末</w:t>
            </w:r>
          </w:p>
        </w:tc>
        <w:tc>
          <w:tcPr>
            <w:tcW w:w="1402" w:type="pct"/>
            <w:gridSpan w:val="2"/>
            <w:tcBorders>
              <w:top w:val="single" w:sz="4" w:space="0" w:color="000000"/>
              <w:left w:val="single" w:sz="4" w:space="0" w:color="000000"/>
              <w:bottom w:val="single" w:sz="4" w:space="0" w:color="000000"/>
              <w:right w:val="single" w:sz="4" w:space="0" w:color="000000"/>
            </w:tcBorders>
            <w:vAlign w:val="center"/>
          </w:tcPr>
          <w:p w:rsidR="003663E4" w:rsidRDefault="00FD3F7D">
            <w:pPr>
              <w:jc w:val="center"/>
              <w:rPr>
                <w:rFonts w:eastAsiaTheme="minorEastAsia"/>
                <w:b/>
                <w:szCs w:val="21"/>
              </w:rPr>
            </w:pPr>
            <w:r>
              <w:rPr>
                <w:rFonts w:eastAsiaTheme="minorEastAsia"/>
                <w:b/>
                <w:szCs w:val="21"/>
              </w:rPr>
              <w:t>2018</w:t>
            </w:r>
            <w:r>
              <w:rPr>
                <w:rFonts w:eastAsiaTheme="minorEastAsia"/>
                <w:b/>
                <w:szCs w:val="21"/>
              </w:rPr>
              <w:t>年末</w:t>
            </w:r>
          </w:p>
        </w:tc>
      </w:tr>
      <w:tr w:rsidR="003663E4">
        <w:trPr>
          <w:jc w:val="center"/>
        </w:trPr>
        <w:tc>
          <w:tcPr>
            <w:tcW w:w="793" w:type="pct"/>
            <w:vMerge/>
            <w:tcBorders>
              <w:top w:val="single" w:sz="4" w:space="0" w:color="000000"/>
              <w:left w:val="single" w:sz="4" w:space="0" w:color="000000"/>
              <w:bottom w:val="single" w:sz="4" w:space="0" w:color="000000"/>
              <w:right w:val="single" w:sz="4" w:space="0" w:color="000000"/>
            </w:tcBorders>
            <w:vAlign w:val="center"/>
          </w:tcPr>
          <w:p w:rsidR="003663E4" w:rsidRDefault="003663E4">
            <w:pPr>
              <w:widowControl/>
              <w:jc w:val="left"/>
              <w:rPr>
                <w:rFonts w:eastAsiaTheme="minorEastAsia"/>
                <w:b/>
                <w:szCs w:val="21"/>
              </w:rPr>
            </w:pPr>
          </w:p>
        </w:tc>
        <w:tc>
          <w:tcPr>
            <w:tcW w:w="700" w:type="pct"/>
            <w:tcBorders>
              <w:top w:val="single" w:sz="4" w:space="0" w:color="000000"/>
              <w:left w:val="single" w:sz="4" w:space="0" w:color="000000"/>
              <w:bottom w:val="single" w:sz="4" w:space="0" w:color="000000"/>
              <w:right w:val="single" w:sz="4" w:space="0" w:color="000000"/>
            </w:tcBorders>
            <w:vAlign w:val="center"/>
          </w:tcPr>
          <w:p w:rsidR="003663E4" w:rsidRDefault="00FD3F7D">
            <w:pPr>
              <w:jc w:val="center"/>
              <w:rPr>
                <w:rFonts w:eastAsiaTheme="minorEastAsia"/>
                <w:szCs w:val="21"/>
              </w:rPr>
            </w:pPr>
            <w:r>
              <w:rPr>
                <w:rFonts w:eastAsiaTheme="minorEastAsia"/>
                <w:szCs w:val="21"/>
              </w:rPr>
              <w:t>交银理财</w:t>
            </w:r>
            <w:r>
              <w:rPr>
                <w:rFonts w:eastAsiaTheme="minorEastAsia"/>
                <w:szCs w:val="21"/>
              </w:rPr>
              <w:t>60</w:t>
            </w:r>
            <w:r>
              <w:rPr>
                <w:rFonts w:eastAsiaTheme="minorEastAsia"/>
                <w:szCs w:val="21"/>
              </w:rPr>
              <w:t>天债券</w:t>
            </w:r>
            <w:r>
              <w:rPr>
                <w:rFonts w:eastAsiaTheme="minorEastAsia"/>
                <w:szCs w:val="21"/>
              </w:rPr>
              <w:t>A</w:t>
            </w:r>
          </w:p>
        </w:tc>
        <w:tc>
          <w:tcPr>
            <w:tcW w:w="700" w:type="pct"/>
            <w:tcBorders>
              <w:top w:val="single" w:sz="4" w:space="0" w:color="000000"/>
              <w:left w:val="single" w:sz="4" w:space="0" w:color="000000"/>
              <w:bottom w:val="single" w:sz="4" w:space="0" w:color="000000"/>
              <w:right w:val="single" w:sz="4" w:space="0" w:color="000000"/>
            </w:tcBorders>
            <w:vAlign w:val="center"/>
          </w:tcPr>
          <w:p w:rsidR="003663E4" w:rsidRDefault="00FD3F7D">
            <w:pPr>
              <w:jc w:val="center"/>
              <w:rPr>
                <w:rFonts w:eastAsiaTheme="minorEastAsia"/>
                <w:szCs w:val="21"/>
              </w:rPr>
            </w:pPr>
            <w:r>
              <w:rPr>
                <w:rFonts w:eastAsiaTheme="minorEastAsia"/>
                <w:szCs w:val="21"/>
              </w:rPr>
              <w:t>交银理财</w:t>
            </w:r>
            <w:r>
              <w:rPr>
                <w:rFonts w:eastAsiaTheme="minorEastAsia"/>
                <w:szCs w:val="21"/>
              </w:rPr>
              <w:t>60</w:t>
            </w:r>
            <w:r>
              <w:rPr>
                <w:rFonts w:eastAsiaTheme="minorEastAsia"/>
                <w:szCs w:val="21"/>
              </w:rPr>
              <w:t>天债券</w:t>
            </w:r>
            <w:r>
              <w:rPr>
                <w:rFonts w:eastAsiaTheme="minorEastAsia"/>
                <w:szCs w:val="21"/>
              </w:rPr>
              <w:t>B</w:t>
            </w:r>
          </w:p>
          <w:p w:rsidR="003663E4" w:rsidRDefault="003663E4">
            <w:pPr>
              <w:jc w:val="center"/>
              <w:rPr>
                <w:rFonts w:eastAsiaTheme="minorEastAsia"/>
                <w:szCs w:val="21"/>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3663E4" w:rsidRDefault="00FD3F7D">
            <w:pPr>
              <w:jc w:val="center"/>
              <w:rPr>
                <w:rFonts w:eastAsiaTheme="minorEastAsia"/>
                <w:szCs w:val="21"/>
              </w:rPr>
            </w:pPr>
            <w:r>
              <w:rPr>
                <w:rFonts w:eastAsiaTheme="minorEastAsia"/>
                <w:szCs w:val="21"/>
              </w:rPr>
              <w:t>交银理财</w:t>
            </w:r>
            <w:r>
              <w:rPr>
                <w:rFonts w:eastAsiaTheme="minorEastAsia"/>
                <w:szCs w:val="21"/>
              </w:rPr>
              <w:t>60</w:t>
            </w:r>
            <w:r>
              <w:rPr>
                <w:rFonts w:eastAsiaTheme="minorEastAsia"/>
                <w:szCs w:val="21"/>
              </w:rPr>
              <w:t>天债券</w:t>
            </w:r>
            <w:r>
              <w:rPr>
                <w:rFonts w:eastAsiaTheme="minorEastAsia"/>
                <w:szCs w:val="21"/>
              </w:rPr>
              <w:t>A</w:t>
            </w:r>
          </w:p>
        </w:tc>
        <w:tc>
          <w:tcPr>
            <w:tcW w:w="701" w:type="pct"/>
            <w:tcBorders>
              <w:top w:val="single" w:sz="4" w:space="0" w:color="000000"/>
              <w:left w:val="single" w:sz="4" w:space="0" w:color="000000"/>
              <w:bottom w:val="single" w:sz="4" w:space="0" w:color="000000"/>
              <w:right w:val="single" w:sz="4" w:space="0" w:color="000000"/>
            </w:tcBorders>
            <w:vAlign w:val="center"/>
          </w:tcPr>
          <w:p w:rsidR="003663E4" w:rsidRDefault="00FD3F7D">
            <w:pPr>
              <w:jc w:val="center"/>
              <w:rPr>
                <w:rFonts w:eastAsiaTheme="minorEastAsia"/>
                <w:szCs w:val="21"/>
              </w:rPr>
            </w:pPr>
            <w:r>
              <w:rPr>
                <w:rFonts w:eastAsiaTheme="minorEastAsia"/>
                <w:szCs w:val="21"/>
              </w:rPr>
              <w:t>交银理财</w:t>
            </w:r>
            <w:r>
              <w:rPr>
                <w:rFonts w:eastAsiaTheme="minorEastAsia"/>
                <w:szCs w:val="21"/>
              </w:rPr>
              <w:t>60</w:t>
            </w:r>
            <w:r>
              <w:rPr>
                <w:rFonts w:eastAsiaTheme="minorEastAsia"/>
                <w:szCs w:val="21"/>
              </w:rPr>
              <w:t>天债券</w:t>
            </w:r>
            <w:r>
              <w:rPr>
                <w:rFonts w:eastAsiaTheme="minorEastAsia"/>
                <w:szCs w:val="21"/>
              </w:rPr>
              <w:t>B</w:t>
            </w:r>
          </w:p>
          <w:p w:rsidR="003663E4" w:rsidRDefault="003663E4">
            <w:pPr>
              <w:jc w:val="center"/>
              <w:rPr>
                <w:rFonts w:eastAsiaTheme="minorEastAsia"/>
                <w:szCs w:val="21"/>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3663E4" w:rsidRDefault="00FD3F7D">
            <w:pPr>
              <w:jc w:val="center"/>
              <w:rPr>
                <w:rFonts w:eastAsiaTheme="minorEastAsia"/>
                <w:szCs w:val="21"/>
              </w:rPr>
            </w:pPr>
            <w:r>
              <w:rPr>
                <w:rFonts w:eastAsiaTheme="minorEastAsia"/>
                <w:szCs w:val="21"/>
              </w:rPr>
              <w:t>交银理财</w:t>
            </w:r>
            <w:r>
              <w:rPr>
                <w:rFonts w:eastAsiaTheme="minorEastAsia"/>
                <w:szCs w:val="21"/>
              </w:rPr>
              <w:t>60</w:t>
            </w:r>
            <w:r>
              <w:rPr>
                <w:rFonts w:eastAsiaTheme="minorEastAsia"/>
                <w:szCs w:val="21"/>
              </w:rPr>
              <w:t>天债券</w:t>
            </w:r>
            <w:r>
              <w:rPr>
                <w:rFonts w:eastAsiaTheme="minorEastAsia"/>
                <w:szCs w:val="21"/>
              </w:rPr>
              <w:t>A</w:t>
            </w:r>
          </w:p>
        </w:tc>
        <w:tc>
          <w:tcPr>
            <w:tcW w:w="701" w:type="pct"/>
            <w:tcBorders>
              <w:top w:val="single" w:sz="4" w:space="0" w:color="000000"/>
              <w:left w:val="single" w:sz="4" w:space="0" w:color="000000"/>
              <w:bottom w:val="single" w:sz="4" w:space="0" w:color="000000"/>
              <w:right w:val="single" w:sz="4" w:space="0" w:color="000000"/>
            </w:tcBorders>
            <w:vAlign w:val="center"/>
          </w:tcPr>
          <w:p w:rsidR="003663E4" w:rsidRDefault="00FD3F7D">
            <w:pPr>
              <w:jc w:val="center"/>
              <w:rPr>
                <w:rFonts w:eastAsiaTheme="minorEastAsia"/>
                <w:szCs w:val="21"/>
              </w:rPr>
            </w:pPr>
            <w:r>
              <w:rPr>
                <w:rFonts w:eastAsiaTheme="minorEastAsia"/>
                <w:szCs w:val="21"/>
              </w:rPr>
              <w:t>交银理财</w:t>
            </w:r>
            <w:r>
              <w:rPr>
                <w:rFonts w:eastAsiaTheme="minorEastAsia"/>
                <w:szCs w:val="21"/>
              </w:rPr>
              <w:t>60</w:t>
            </w:r>
            <w:r>
              <w:rPr>
                <w:rFonts w:eastAsiaTheme="minorEastAsia"/>
                <w:szCs w:val="21"/>
              </w:rPr>
              <w:t>天债券</w:t>
            </w:r>
            <w:r>
              <w:rPr>
                <w:rFonts w:eastAsiaTheme="minorEastAsia"/>
                <w:szCs w:val="21"/>
              </w:rPr>
              <w:t>B</w:t>
            </w:r>
          </w:p>
          <w:p w:rsidR="003663E4" w:rsidRDefault="003663E4">
            <w:pPr>
              <w:jc w:val="center"/>
              <w:rPr>
                <w:rFonts w:eastAsiaTheme="minorEastAsia"/>
                <w:szCs w:val="21"/>
              </w:rPr>
            </w:pPr>
          </w:p>
        </w:tc>
      </w:tr>
      <w:tr w:rsidR="003663E4">
        <w:trPr>
          <w:jc w:val="center"/>
        </w:trPr>
        <w:tc>
          <w:tcPr>
            <w:tcW w:w="793" w:type="pct"/>
            <w:tcBorders>
              <w:top w:val="single" w:sz="4" w:space="0" w:color="000000"/>
              <w:left w:val="single" w:sz="4" w:space="0" w:color="000000"/>
              <w:bottom w:val="single" w:sz="4" w:space="0" w:color="000000"/>
              <w:right w:val="single" w:sz="4" w:space="0" w:color="000000"/>
            </w:tcBorders>
            <w:vAlign w:val="center"/>
          </w:tcPr>
          <w:p w:rsidR="003663E4" w:rsidRDefault="00FD3F7D">
            <w:pPr>
              <w:rPr>
                <w:rFonts w:eastAsiaTheme="minorEastAsia"/>
                <w:szCs w:val="21"/>
              </w:rPr>
            </w:pPr>
            <w:r>
              <w:rPr>
                <w:rFonts w:eastAsiaTheme="minorEastAsia"/>
                <w:szCs w:val="21"/>
              </w:rPr>
              <w:t>累计净值收益率</w:t>
            </w:r>
          </w:p>
        </w:tc>
        <w:tc>
          <w:tcPr>
            <w:tcW w:w="700" w:type="pct"/>
            <w:tcBorders>
              <w:top w:val="single" w:sz="4" w:space="0" w:color="000000"/>
              <w:left w:val="single" w:sz="4" w:space="0" w:color="000000"/>
              <w:bottom w:val="single" w:sz="4" w:space="0" w:color="000000"/>
              <w:right w:val="single" w:sz="4" w:space="0" w:color="000000"/>
            </w:tcBorders>
            <w:vAlign w:val="center"/>
          </w:tcPr>
          <w:p w:rsidR="003663E4" w:rsidRDefault="00FD3F7D">
            <w:pPr>
              <w:jc w:val="right"/>
              <w:rPr>
                <w:rFonts w:eastAsiaTheme="minorEastAsia"/>
                <w:szCs w:val="21"/>
              </w:rPr>
            </w:pPr>
            <w:r>
              <w:rPr>
                <w:rFonts w:eastAsiaTheme="minorEastAsia"/>
                <w:szCs w:val="21"/>
              </w:rPr>
              <w:t>26.92%</w:t>
            </w:r>
          </w:p>
        </w:tc>
        <w:tc>
          <w:tcPr>
            <w:tcW w:w="700" w:type="pct"/>
            <w:tcBorders>
              <w:top w:val="single" w:sz="4" w:space="0" w:color="000000"/>
              <w:left w:val="single" w:sz="4" w:space="0" w:color="000000"/>
              <w:bottom w:val="single" w:sz="4" w:space="0" w:color="000000"/>
              <w:right w:val="single" w:sz="4" w:space="0" w:color="000000"/>
            </w:tcBorders>
            <w:vAlign w:val="center"/>
          </w:tcPr>
          <w:p w:rsidR="003663E4" w:rsidRDefault="00FD3F7D">
            <w:pPr>
              <w:jc w:val="right"/>
              <w:rPr>
                <w:rFonts w:eastAsiaTheme="minorEastAsia"/>
                <w:szCs w:val="21"/>
              </w:rPr>
            </w:pPr>
            <w:r>
              <w:rPr>
                <w:rFonts w:eastAsiaTheme="minorEastAsia"/>
                <w:szCs w:val="21"/>
              </w:rPr>
              <w:t>25.77%</w:t>
            </w:r>
          </w:p>
          <w:p w:rsidR="003663E4" w:rsidRDefault="003663E4">
            <w:pPr>
              <w:jc w:val="right"/>
              <w:rPr>
                <w:rFonts w:eastAsiaTheme="minorEastAsia"/>
                <w:szCs w:val="21"/>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3663E4" w:rsidRDefault="00FD3F7D">
            <w:pPr>
              <w:jc w:val="right"/>
              <w:rPr>
                <w:rFonts w:eastAsiaTheme="minorEastAsia"/>
                <w:szCs w:val="21"/>
              </w:rPr>
            </w:pPr>
            <w:r>
              <w:rPr>
                <w:rFonts w:eastAsiaTheme="minorEastAsia"/>
                <w:szCs w:val="21"/>
              </w:rPr>
              <w:t>25.34%</w:t>
            </w:r>
          </w:p>
        </w:tc>
        <w:tc>
          <w:tcPr>
            <w:tcW w:w="701" w:type="pct"/>
            <w:tcBorders>
              <w:top w:val="single" w:sz="4" w:space="0" w:color="000000"/>
              <w:left w:val="single" w:sz="4" w:space="0" w:color="000000"/>
              <w:bottom w:val="single" w:sz="4" w:space="0" w:color="000000"/>
              <w:right w:val="single" w:sz="4" w:space="0" w:color="000000"/>
            </w:tcBorders>
            <w:vAlign w:val="center"/>
          </w:tcPr>
          <w:p w:rsidR="003663E4" w:rsidRDefault="00FD3F7D">
            <w:pPr>
              <w:jc w:val="right"/>
              <w:rPr>
                <w:rFonts w:eastAsiaTheme="minorEastAsia"/>
                <w:szCs w:val="21"/>
              </w:rPr>
            </w:pPr>
            <w:r>
              <w:rPr>
                <w:rFonts w:eastAsiaTheme="minorEastAsia"/>
                <w:szCs w:val="21"/>
              </w:rPr>
              <w:t>23.99%</w:t>
            </w:r>
          </w:p>
          <w:p w:rsidR="003663E4" w:rsidRDefault="003663E4">
            <w:pPr>
              <w:jc w:val="right"/>
              <w:rPr>
                <w:rFonts w:eastAsiaTheme="minorEastAsia"/>
                <w:szCs w:val="21"/>
              </w:rPr>
            </w:pPr>
          </w:p>
        </w:tc>
        <w:tc>
          <w:tcPr>
            <w:tcW w:w="701" w:type="pct"/>
            <w:tcBorders>
              <w:top w:val="single" w:sz="4" w:space="0" w:color="000000"/>
              <w:left w:val="single" w:sz="4" w:space="0" w:color="000000"/>
              <w:bottom w:val="single" w:sz="4" w:space="0" w:color="000000"/>
              <w:right w:val="single" w:sz="4" w:space="0" w:color="000000"/>
            </w:tcBorders>
            <w:vAlign w:val="center"/>
          </w:tcPr>
          <w:p w:rsidR="003663E4" w:rsidRDefault="00FD3F7D">
            <w:pPr>
              <w:jc w:val="right"/>
              <w:rPr>
                <w:rFonts w:eastAsiaTheme="minorEastAsia"/>
                <w:szCs w:val="21"/>
              </w:rPr>
            </w:pPr>
            <w:r>
              <w:rPr>
                <w:rFonts w:eastAsiaTheme="minorEastAsia"/>
                <w:szCs w:val="21"/>
              </w:rPr>
              <w:t>21.90%</w:t>
            </w:r>
          </w:p>
        </w:tc>
        <w:tc>
          <w:tcPr>
            <w:tcW w:w="701" w:type="pct"/>
            <w:tcBorders>
              <w:top w:val="single" w:sz="4" w:space="0" w:color="000000"/>
              <w:left w:val="single" w:sz="4" w:space="0" w:color="000000"/>
              <w:bottom w:val="single" w:sz="4" w:space="0" w:color="000000"/>
              <w:right w:val="single" w:sz="4" w:space="0" w:color="000000"/>
            </w:tcBorders>
            <w:vAlign w:val="center"/>
          </w:tcPr>
          <w:p w:rsidR="003663E4" w:rsidRDefault="00FD3F7D">
            <w:pPr>
              <w:jc w:val="right"/>
              <w:rPr>
                <w:rFonts w:eastAsiaTheme="minorEastAsia"/>
                <w:szCs w:val="21"/>
              </w:rPr>
            </w:pPr>
            <w:r>
              <w:rPr>
                <w:rFonts w:eastAsiaTheme="minorEastAsia"/>
                <w:szCs w:val="21"/>
              </w:rPr>
              <w:t>20.24%</w:t>
            </w:r>
          </w:p>
          <w:p w:rsidR="003663E4" w:rsidRDefault="003663E4">
            <w:pPr>
              <w:jc w:val="right"/>
              <w:rPr>
                <w:rFonts w:eastAsiaTheme="minorEastAsia"/>
                <w:szCs w:val="21"/>
              </w:rPr>
            </w:pPr>
          </w:p>
        </w:tc>
      </w:tr>
    </w:tbl>
    <w:p w:rsidR="003663E4" w:rsidRDefault="00FD3F7D">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、本基金申购赎回费为零。</w:t>
      </w:r>
    </w:p>
    <w:p w:rsidR="003663E4" w:rsidRDefault="00FD3F7D">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、本基金收益分配按运作期结转份额。</w:t>
      </w:r>
    </w:p>
    <w:p w:rsidR="003663E4" w:rsidRDefault="00FD3F7D">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、自合同生效日起，本基金实行销售服务费分类收费方式，分设两类基金份额：</w:t>
      </w:r>
      <w:r>
        <w:rPr>
          <w:rFonts w:eastAsiaTheme="minorEastAsia"/>
          <w:kern w:val="0"/>
          <w:szCs w:val="21"/>
        </w:rPr>
        <w:t>A</w:t>
      </w:r>
      <w:r>
        <w:rPr>
          <w:rFonts w:eastAsiaTheme="minorEastAsia"/>
          <w:kern w:val="0"/>
          <w:szCs w:val="21"/>
        </w:rPr>
        <w:t>类基金份额和</w:t>
      </w:r>
      <w:r>
        <w:rPr>
          <w:rFonts w:eastAsiaTheme="minorEastAsia"/>
          <w:kern w:val="0"/>
          <w:szCs w:val="21"/>
        </w:rPr>
        <w:t>B</w:t>
      </w:r>
      <w:r>
        <w:rPr>
          <w:rFonts w:eastAsiaTheme="minorEastAsia"/>
          <w:kern w:val="0"/>
          <w:szCs w:val="21"/>
        </w:rPr>
        <w:t>类基金份额。</w:t>
      </w:r>
      <w:r>
        <w:rPr>
          <w:rFonts w:eastAsiaTheme="minorEastAsia"/>
          <w:kern w:val="0"/>
          <w:szCs w:val="21"/>
        </w:rPr>
        <w:t>A</w:t>
      </w:r>
      <w:r>
        <w:rPr>
          <w:rFonts w:eastAsiaTheme="minorEastAsia"/>
          <w:kern w:val="0"/>
          <w:szCs w:val="21"/>
        </w:rPr>
        <w:t>类基金份额与</w:t>
      </w:r>
      <w:r>
        <w:rPr>
          <w:rFonts w:eastAsiaTheme="minorEastAsia"/>
          <w:kern w:val="0"/>
          <w:szCs w:val="21"/>
        </w:rPr>
        <w:t>B</w:t>
      </w:r>
      <w:r>
        <w:rPr>
          <w:rFonts w:eastAsiaTheme="minorEastAsia"/>
          <w:kern w:val="0"/>
          <w:szCs w:val="21"/>
        </w:rPr>
        <w:t>类基金份额的管理费、托管费相同，</w:t>
      </w:r>
      <w:r>
        <w:rPr>
          <w:rFonts w:eastAsiaTheme="minorEastAsia"/>
          <w:kern w:val="0"/>
          <w:szCs w:val="21"/>
        </w:rPr>
        <w:t>A</w:t>
      </w:r>
      <w:r>
        <w:rPr>
          <w:rFonts w:eastAsiaTheme="minorEastAsia"/>
          <w:kern w:val="0"/>
          <w:szCs w:val="21"/>
        </w:rPr>
        <w:t>类基金份额按照</w:t>
      </w:r>
      <w:r>
        <w:rPr>
          <w:rFonts w:eastAsiaTheme="minorEastAsia"/>
          <w:kern w:val="0"/>
          <w:szCs w:val="21"/>
        </w:rPr>
        <w:t>0.30%</w:t>
      </w:r>
      <w:r>
        <w:rPr>
          <w:rFonts w:eastAsiaTheme="minorEastAsia"/>
          <w:kern w:val="0"/>
          <w:szCs w:val="21"/>
        </w:rPr>
        <w:t>的年费率计提销售服务费，</w:t>
      </w:r>
      <w:r>
        <w:rPr>
          <w:rFonts w:eastAsiaTheme="minorEastAsia"/>
          <w:kern w:val="0"/>
          <w:szCs w:val="21"/>
        </w:rPr>
        <w:t>B</w:t>
      </w:r>
      <w:r>
        <w:rPr>
          <w:rFonts w:eastAsiaTheme="minorEastAsia"/>
          <w:kern w:val="0"/>
          <w:szCs w:val="21"/>
        </w:rPr>
        <w:t>类基金份额按照</w:t>
      </w:r>
      <w:r>
        <w:rPr>
          <w:rFonts w:eastAsiaTheme="minorEastAsia"/>
          <w:kern w:val="0"/>
          <w:szCs w:val="21"/>
        </w:rPr>
        <w:t>0.01%</w:t>
      </w:r>
      <w:r>
        <w:rPr>
          <w:rFonts w:eastAsiaTheme="minorEastAsia"/>
          <w:kern w:val="0"/>
          <w:szCs w:val="21"/>
        </w:rPr>
        <w:t>的年费率计提销售服务费。</w:t>
      </w:r>
    </w:p>
    <w:p w:rsidR="003663E4" w:rsidRDefault="00FD3F7D">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3663E4" w:rsidRDefault="00FD3F7D">
      <w:pPr>
        <w:tabs>
          <w:tab w:val="left" w:pos="426"/>
        </w:tabs>
        <w:spacing w:line="360" w:lineRule="auto"/>
        <w:ind w:firstLineChars="200" w:firstLine="420"/>
        <w:jc w:val="left"/>
        <w:rPr>
          <w:rFonts w:eastAsiaTheme="minorEastAsia"/>
          <w:kern w:val="0"/>
          <w:szCs w:val="21"/>
        </w:rPr>
      </w:pPr>
      <w:r>
        <w:rPr>
          <w:rFonts w:eastAsiaTheme="minorEastAsia"/>
          <w:kern w:val="0"/>
          <w:szCs w:val="21"/>
        </w:rPr>
        <w:t>5</w:t>
      </w:r>
      <w:r>
        <w:rPr>
          <w:rFonts w:eastAsiaTheme="minorEastAsia"/>
          <w:kern w:val="0"/>
          <w:szCs w:val="21"/>
        </w:rPr>
        <w:t>、交银施罗德</w:t>
      </w:r>
      <w:r>
        <w:rPr>
          <w:rFonts w:eastAsiaTheme="minorEastAsia"/>
          <w:kern w:val="0"/>
          <w:szCs w:val="21"/>
        </w:rPr>
        <w:t>理财</w:t>
      </w:r>
      <w:r>
        <w:rPr>
          <w:rFonts w:eastAsiaTheme="minorEastAsia"/>
          <w:kern w:val="0"/>
          <w:szCs w:val="21"/>
        </w:rPr>
        <w:t>60</w:t>
      </w:r>
      <w:r>
        <w:rPr>
          <w:rFonts w:eastAsiaTheme="minorEastAsia"/>
          <w:kern w:val="0"/>
          <w:szCs w:val="21"/>
        </w:rPr>
        <w:t>天债券型证券投资基金从</w:t>
      </w:r>
      <w:r>
        <w:rPr>
          <w:rFonts w:eastAsiaTheme="minorEastAsia"/>
          <w:kern w:val="0"/>
          <w:szCs w:val="21"/>
        </w:rPr>
        <w:t>2020</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28</w:t>
      </w:r>
      <w:r>
        <w:rPr>
          <w:rFonts w:eastAsiaTheme="minorEastAsia"/>
          <w:kern w:val="0"/>
          <w:szCs w:val="21"/>
        </w:rPr>
        <w:t>日起正式转型为交银施罗德裕惠纯债债券型证券投资基金。</w:t>
      </w:r>
    </w:p>
    <w:p w:rsidR="003663E4" w:rsidRDefault="00FD3F7D">
      <w:pPr>
        <w:pStyle w:val="3"/>
        <w:spacing w:before="0" w:after="0" w:line="360" w:lineRule="auto"/>
        <w:rPr>
          <w:color w:val="000000"/>
          <w:kern w:val="0"/>
          <w:sz w:val="21"/>
          <w:szCs w:val="21"/>
        </w:rPr>
      </w:pPr>
      <w:bookmarkStart w:id="56" w:name="_Toc23339342"/>
      <w:bookmarkStart w:id="57" w:name="_Toc9926"/>
      <w:r>
        <w:rPr>
          <w:rFonts w:hint="eastAsia"/>
          <w:color w:val="000000"/>
          <w:kern w:val="0"/>
          <w:sz w:val="21"/>
          <w:szCs w:val="21"/>
        </w:rPr>
        <w:t>3.2.2</w:t>
      </w:r>
      <w:r>
        <w:rPr>
          <w:color w:val="000000"/>
          <w:kern w:val="0"/>
          <w:sz w:val="21"/>
          <w:szCs w:val="21"/>
        </w:rPr>
        <w:t xml:space="preserve"> </w:t>
      </w:r>
      <w:r>
        <w:rPr>
          <w:rFonts w:hint="eastAsia"/>
          <w:color w:val="000000"/>
          <w:kern w:val="0"/>
          <w:sz w:val="21"/>
          <w:szCs w:val="21"/>
        </w:rPr>
        <w:t>基金净值表现</w:t>
      </w:r>
      <w:bookmarkEnd w:id="56"/>
      <w:bookmarkEnd w:id="57"/>
    </w:p>
    <w:p w:rsidR="003663E4" w:rsidRDefault="00FD3F7D">
      <w:pPr>
        <w:spacing w:line="360" w:lineRule="auto"/>
        <w:rPr>
          <w:rFonts w:eastAsiaTheme="minorEastAsia"/>
          <w:b/>
          <w:color w:val="000000"/>
          <w:szCs w:val="21"/>
        </w:rPr>
      </w:pPr>
      <w:r>
        <w:rPr>
          <w:rFonts w:eastAsiaTheme="minorEastAsia" w:hint="eastAsia"/>
          <w:b/>
          <w:color w:val="000000"/>
          <w:szCs w:val="21"/>
        </w:rPr>
        <w:t>3.2.2.1</w:t>
      </w:r>
      <w:r>
        <w:rPr>
          <w:rFonts w:eastAsiaTheme="minorEastAsia" w:hint="eastAsia"/>
          <w:b/>
          <w:color w:val="000000"/>
          <w:szCs w:val="21"/>
        </w:rPr>
        <w:t>基金份额净值收益率及其与同期业绩比较基准收益率的比较</w:t>
      </w:r>
    </w:p>
    <w:p w:rsidR="003663E4" w:rsidRDefault="00FD3F7D">
      <w:pPr>
        <w:pStyle w:val="21"/>
        <w:spacing w:line="360" w:lineRule="auto"/>
        <w:ind w:firstLineChars="0" w:firstLine="0"/>
        <w:rPr>
          <w:b/>
          <w:bCs/>
          <w:color w:val="000000"/>
          <w:sz w:val="21"/>
          <w:szCs w:val="21"/>
        </w:rPr>
      </w:pPr>
      <w:r>
        <w:rPr>
          <w:rFonts w:ascii="Times New Roman" w:eastAsiaTheme="minorEastAsia" w:hAnsi="Times New Roman"/>
          <w:color w:val="auto"/>
          <w:sz w:val="21"/>
          <w:szCs w:val="21"/>
        </w:rPr>
        <w:t>交银理财</w:t>
      </w:r>
      <w:r>
        <w:rPr>
          <w:rFonts w:ascii="Times New Roman" w:eastAsiaTheme="minorEastAsia" w:hAnsi="Times New Roman"/>
          <w:color w:val="auto"/>
          <w:sz w:val="21"/>
          <w:szCs w:val="21"/>
        </w:rPr>
        <w:t>60</w:t>
      </w:r>
      <w:r>
        <w:rPr>
          <w:rFonts w:ascii="Times New Roman" w:eastAsiaTheme="minorEastAsia" w:hAnsi="Times New Roman"/>
          <w:color w:val="auto"/>
          <w:sz w:val="21"/>
          <w:szCs w:val="21"/>
        </w:rPr>
        <w:t>天债券</w:t>
      </w:r>
      <w:r>
        <w:rPr>
          <w:rFonts w:ascii="Times New Roman" w:eastAsiaTheme="minorEastAsia" w:hAnsi="Times New Roman"/>
          <w:color w:val="auto"/>
          <w:sz w:val="21"/>
          <w:szCs w:val="21"/>
        </w:rPr>
        <w:t>A</w:t>
      </w:r>
    </w:p>
    <w:tbl>
      <w:tblPr>
        <w:tblW w:w="9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7"/>
        <w:gridCol w:w="1326"/>
        <w:gridCol w:w="1327"/>
        <w:gridCol w:w="1327"/>
        <w:gridCol w:w="1327"/>
        <w:gridCol w:w="1327"/>
        <w:gridCol w:w="1327"/>
      </w:tblGrid>
      <w:tr w:rsidR="003663E4">
        <w:trPr>
          <w:jc w:val="center"/>
        </w:trPr>
        <w:tc>
          <w:tcPr>
            <w:tcW w:w="1727" w:type="dxa"/>
            <w:vAlign w:val="center"/>
          </w:tcPr>
          <w:p w:rsidR="003663E4" w:rsidRDefault="00FD3F7D">
            <w:pPr>
              <w:pStyle w:val="af9"/>
              <w:adjustRightInd w:val="0"/>
              <w:snapToGrid w:val="0"/>
              <w:spacing w:before="0" w:beforeAutospacing="0" w:after="0" w:afterAutospacing="0" w:line="380" w:lineRule="exact"/>
              <w:jc w:val="center"/>
              <w:rPr>
                <w:rFonts w:ascii="Times New Roman" w:hAnsi="Times New Roman"/>
                <w:kern w:val="2"/>
                <w:sz w:val="21"/>
                <w:szCs w:val="21"/>
              </w:rPr>
            </w:pPr>
            <w:r>
              <w:rPr>
                <w:rFonts w:ascii="Times New Roman" w:hAnsi="Times New Roman" w:hint="eastAsia"/>
                <w:kern w:val="2"/>
                <w:sz w:val="21"/>
                <w:szCs w:val="21"/>
              </w:rPr>
              <w:t>阶段</w:t>
            </w:r>
          </w:p>
        </w:tc>
        <w:tc>
          <w:tcPr>
            <w:tcW w:w="1326" w:type="dxa"/>
            <w:vAlign w:val="center"/>
          </w:tcPr>
          <w:p w:rsidR="003663E4" w:rsidRDefault="00FD3F7D">
            <w:pPr>
              <w:pStyle w:val="af9"/>
              <w:adjustRightInd w:val="0"/>
              <w:snapToGrid w:val="0"/>
              <w:spacing w:before="0" w:beforeAutospacing="0" w:after="0" w:afterAutospacing="0" w:line="380" w:lineRule="exact"/>
              <w:jc w:val="center"/>
              <w:rPr>
                <w:rFonts w:ascii="Times New Roman" w:hAnsi="Times New Roman"/>
                <w:kern w:val="2"/>
                <w:sz w:val="21"/>
                <w:szCs w:val="21"/>
              </w:rPr>
            </w:pPr>
            <w:r>
              <w:rPr>
                <w:rFonts w:ascii="Times New Roman" w:hAnsi="Times New Roman" w:hint="eastAsia"/>
                <w:sz w:val="21"/>
                <w:szCs w:val="21"/>
              </w:rPr>
              <w:t>份额</w:t>
            </w:r>
            <w:r>
              <w:rPr>
                <w:rFonts w:ascii="Times New Roman" w:hAnsi="Times New Roman" w:hint="eastAsia"/>
                <w:kern w:val="2"/>
                <w:sz w:val="21"/>
                <w:szCs w:val="21"/>
              </w:rPr>
              <w:t>净值收益率</w:t>
            </w:r>
            <w:r>
              <w:rPr>
                <w:rFonts w:cs="宋体" w:hint="eastAsia"/>
                <w:kern w:val="2"/>
                <w:sz w:val="21"/>
                <w:szCs w:val="21"/>
              </w:rPr>
              <w:t>①</w:t>
            </w:r>
          </w:p>
        </w:tc>
        <w:tc>
          <w:tcPr>
            <w:tcW w:w="1327" w:type="dxa"/>
            <w:vAlign w:val="center"/>
          </w:tcPr>
          <w:p w:rsidR="003663E4" w:rsidRDefault="00FD3F7D">
            <w:pPr>
              <w:pStyle w:val="af9"/>
              <w:adjustRightInd w:val="0"/>
              <w:snapToGrid w:val="0"/>
              <w:spacing w:before="0" w:beforeAutospacing="0" w:after="0" w:afterAutospacing="0" w:line="380" w:lineRule="exact"/>
              <w:jc w:val="center"/>
              <w:rPr>
                <w:rFonts w:ascii="Times New Roman" w:hAnsi="Times New Roman"/>
                <w:kern w:val="2"/>
                <w:sz w:val="21"/>
                <w:szCs w:val="21"/>
              </w:rPr>
            </w:pPr>
            <w:r>
              <w:rPr>
                <w:rFonts w:ascii="Times New Roman" w:hAnsi="Times New Roman" w:hint="eastAsia"/>
                <w:kern w:val="2"/>
                <w:sz w:val="21"/>
                <w:szCs w:val="21"/>
              </w:rPr>
              <w:t>份额净值收益率标准差</w:t>
            </w:r>
            <w:r>
              <w:rPr>
                <w:rFonts w:cs="宋体" w:hint="eastAsia"/>
                <w:kern w:val="2"/>
                <w:sz w:val="21"/>
                <w:szCs w:val="21"/>
              </w:rPr>
              <w:t>②</w:t>
            </w:r>
          </w:p>
        </w:tc>
        <w:tc>
          <w:tcPr>
            <w:tcW w:w="1327" w:type="dxa"/>
            <w:vAlign w:val="center"/>
          </w:tcPr>
          <w:p w:rsidR="003663E4" w:rsidRDefault="00FD3F7D">
            <w:pPr>
              <w:pStyle w:val="af9"/>
              <w:adjustRightInd w:val="0"/>
              <w:snapToGrid w:val="0"/>
              <w:spacing w:before="0" w:beforeAutospacing="0" w:after="0" w:afterAutospacing="0" w:line="380" w:lineRule="exact"/>
              <w:jc w:val="center"/>
              <w:rPr>
                <w:rFonts w:ascii="Times New Roman" w:hAnsi="Times New Roman"/>
                <w:kern w:val="2"/>
                <w:sz w:val="21"/>
                <w:szCs w:val="21"/>
              </w:rPr>
            </w:pPr>
            <w:r>
              <w:rPr>
                <w:rFonts w:ascii="Times New Roman" w:hAnsi="Times New Roman" w:hint="eastAsia"/>
                <w:kern w:val="2"/>
                <w:sz w:val="21"/>
                <w:szCs w:val="21"/>
              </w:rPr>
              <w:t>业绩比较基准收益率</w:t>
            </w:r>
            <w:r>
              <w:rPr>
                <w:rFonts w:cs="宋体" w:hint="eastAsia"/>
                <w:kern w:val="2"/>
                <w:sz w:val="21"/>
                <w:szCs w:val="21"/>
              </w:rPr>
              <w:t>③</w:t>
            </w:r>
          </w:p>
        </w:tc>
        <w:tc>
          <w:tcPr>
            <w:tcW w:w="1327" w:type="dxa"/>
            <w:vAlign w:val="center"/>
          </w:tcPr>
          <w:p w:rsidR="003663E4" w:rsidRDefault="00FD3F7D">
            <w:pPr>
              <w:pStyle w:val="af9"/>
              <w:adjustRightInd w:val="0"/>
              <w:snapToGrid w:val="0"/>
              <w:spacing w:before="0" w:beforeAutospacing="0" w:after="0" w:afterAutospacing="0" w:line="380" w:lineRule="exact"/>
              <w:jc w:val="center"/>
              <w:rPr>
                <w:rFonts w:ascii="Times New Roman" w:hAnsi="Times New Roman"/>
                <w:kern w:val="2"/>
                <w:sz w:val="21"/>
                <w:szCs w:val="21"/>
              </w:rPr>
            </w:pPr>
            <w:r>
              <w:rPr>
                <w:rFonts w:ascii="Times New Roman" w:hAnsi="Times New Roman" w:hint="eastAsia"/>
                <w:kern w:val="2"/>
                <w:sz w:val="21"/>
                <w:szCs w:val="21"/>
              </w:rPr>
              <w:t>业绩比较基准收益率标准差</w:t>
            </w:r>
            <w:r>
              <w:rPr>
                <w:rFonts w:cs="宋体" w:hint="eastAsia"/>
                <w:kern w:val="2"/>
                <w:sz w:val="21"/>
                <w:szCs w:val="21"/>
              </w:rPr>
              <w:t>④</w:t>
            </w:r>
          </w:p>
        </w:tc>
        <w:tc>
          <w:tcPr>
            <w:tcW w:w="1327" w:type="dxa"/>
            <w:vAlign w:val="center"/>
          </w:tcPr>
          <w:p w:rsidR="003663E4" w:rsidRDefault="00FD3F7D">
            <w:pPr>
              <w:pStyle w:val="af9"/>
              <w:adjustRightInd w:val="0"/>
              <w:snapToGrid w:val="0"/>
              <w:spacing w:before="0" w:beforeAutospacing="0" w:after="0" w:afterAutospacing="0" w:line="380" w:lineRule="exact"/>
              <w:jc w:val="center"/>
              <w:rPr>
                <w:rFonts w:ascii="Times New Roman" w:hAnsi="Times New Roman"/>
                <w:kern w:val="2"/>
                <w:sz w:val="21"/>
                <w:szCs w:val="21"/>
              </w:rPr>
            </w:pPr>
            <w:r>
              <w:rPr>
                <w:rFonts w:cs="宋体" w:hint="eastAsia"/>
                <w:kern w:val="2"/>
                <w:sz w:val="21"/>
                <w:szCs w:val="21"/>
              </w:rPr>
              <w:t>①</w:t>
            </w:r>
            <w:r>
              <w:rPr>
                <w:rFonts w:ascii="Times New Roman" w:hAnsi="Times New Roman"/>
                <w:kern w:val="2"/>
                <w:sz w:val="21"/>
                <w:szCs w:val="21"/>
              </w:rPr>
              <w:t>-</w:t>
            </w:r>
            <w:r>
              <w:rPr>
                <w:rFonts w:cs="宋体" w:hint="eastAsia"/>
                <w:kern w:val="2"/>
                <w:sz w:val="21"/>
                <w:szCs w:val="21"/>
              </w:rPr>
              <w:t>③</w:t>
            </w:r>
          </w:p>
        </w:tc>
        <w:tc>
          <w:tcPr>
            <w:tcW w:w="1327" w:type="dxa"/>
            <w:vAlign w:val="center"/>
          </w:tcPr>
          <w:p w:rsidR="003663E4" w:rsidRDefault="00FD3F7D">
            <w:pPr>
              <w:pStyle w:val="af9"/>
              <w:adjustRightInd w:val="0"/>
              <w:snapToGrid w:val="0"/>
              <w:spacing w:before="0" w:beforeAutospacing="0" w:after="0" w:afterAutospacing="0" w:line="380" w:lineRule="exact"/>
              <w:jc w:val="center"/>
              <w:rPr>
                <w:rFonts w:ascii="Times New Roman" w:hAnsi="Times New Roman"/>
                <w:kern w:val="2"/>
                <w:sz w:val="21"/>
                <w:szCs w:val="21"/>
              </w:rPr>
            </w:pPr>
            <w:r>
              <w:rPr>
                <w:rFonts w:cs="宋体" w:hint="eastAsia"/>
                <w:kern w:val="2"/>
                <w:sz w:val="21"/>
                <w:szCs w:val="21"/>
              </w:rPr>
              <w:t>②</w:t>
            </w:r>
            <w:r>
              <w:rPr>
                <w:rFonts w:ascii="Times New Roman" w:hAnsi="Times New Roman"/>
                <w:kern w:val="2"/>
                <w:sz w:val="21"/>
                <w:szCs w:val="21"/>
              </w:rPr>
              <w:t>-</w:t>
            </w:r>
            <w:r>
              <w:rPr>
                <w:rFonts w:cs="宋体" w:hint="eastAsia"/>
                <w:kern w:val="2"/>
                <w:sz w:val="21"/>
                <w:szCs w:val="21"/>
              </w:rPr>
              <w:t>④</w:t>
            </w:r>
          </w:p>
        </w:tc>
      </w:tr>
      <w:tr w:rsidR="003663E4">
        <w:trPr>
          <w:jc w:val="center"/>
        </w:trPr>
        <w:tc>
          <w:tcPr>
            <w:tcW w:w="1727" w:type="dxa"/>
            <w:vAlign w:val="center"/>
          </w:tcPr>
          <w:p w:rsidR="003663E4" w:rsidRDefault="00FD3F7D">
            <w:pPr>
              <w:jc w:val="left"/>
            </w:pPr>
            <w:r>
              <w:rPr>
                <w:szCs w:val="21"/>
              </w:rPr>
              <w:t>2020</w:t>
            </w:r>
            <w:r>
              <w:rPr>
                <w:szCs w:val="21"/>
              </w:rPr>
              <w:t>年</w:t>
            </w:r>
            <w:r>
              <w:rPr>
                <w:szCs w:val="21"/>
              </w:rPr>
              <w:t>7</w:t>
            </w:r>
            <w:r>
              <w:rPr>
                <w:szCs w:val="21"/>
              </w:rPr>
              <w:t>月</w:t>
            </w:r>
            <w:r>
              <w:rPr>
                <w:szCs w:val="21"/>
              </w:rPr>
              <w:t>1</w:t>
            </w:r>
            <w:r>
              <w:rPr>
                <w:szCs w:val="21"/>
              </w:rPr>
              <w:t>日至</w:t>
            </w:r>
            <w:r>
              <w:rPr>
                <w:szCs w:val="21"/>
              </w:rPr>
              <w:t>2020</w:t>
            </w:r>
            <w:r>
              <w:rPr>
                <w:szCs w:val="21"/>
              </w:rPr>
              <w:t>年</w:t>
            </w:r>
            <w:r>
              <w:rPr>
                <w:szCs w:val="21"/>
              </w:rPr>
              <w:t>7</w:t>
            </w:r>
            <w:r>
              <w:rPr>
                <w:szCs w:val="21"/>
              </w:rPr>
              <w:t>月</w:t>
            </w:r>
            <w:r>
              <w:rPr>
                <w:szCs w:val="21"/>
              </w:rPr>
              <w:t>27</w:t>
            </w:r>
            <w:r>
              <w:rPr>
                <w:szCs w:val="21"/>
              </w:rPr>
              <w:t>日</w:t>
            </w:r>
          </w:p>
        </w:tc>
        <w:tc>
          <w:tcPr>
            <w:tcW w:w="1326" w:type="dxa"/>
            <w:vAlign w:val="center"/>
          </w:tcPr>
          <w:p w:rsidR="003663E4" w:rsidRDefault="00FD3F7D">
            <w:pPr>
              <w:jc w:val="center"/>
            </w:pPr>
            <w:r>
              <w:rPr>
                <w:szCs w:val="21"/>
              </w:rPr>
              <w:t>0.2236%</w:t>
            </w:r>
          </w:p>
        </w:tc>
        <w:tc>
          <w:tcPr>
            <w:tcW w:w="1327" w:type="dxa"/>
            <w:vAlign w:val="center"/>
          </w:tcPr>
          <w:p w:rsidR="003663E4" w:rsidRDefault="00FD3F7D">
            <w:pPr>
              <w:jc w:val="center"/>
            </w:pPr>
            <w:r>
              <w:rPr>
                <w:szCs w:val="21"/>
              </w:rPr>
              <w:t>0.0084%</w:t>
            </w:r>
          </w:p>
        </w:tc>
        <w:tc>
          <w:tcPr>
            <w:tcW w:w="1327" w:type="dxa"/>
          </w:tcPr>
          <w:p w:rsidR="003663E4" w:rsidRDefault="003663E4">
            <w:pPr>
              <w:jc w:val="center"/>
            </w:pPr>
          </w:p>
          <w:p w:rsidR="003663E4" w:rsidRDefault="00FD3F7D">
            <w:pPr>
              <w:jc w:val="center"/>
            </w:pPr>
            <w:r>
              <w:t>0.0999%</w:t>
            </w:r>
          </w:p>
        </w:tc>
        <w:tc>
          <w:tcPr>
            <w:tcW w:w="1327" w:type="dxa"/>
          </w:tcPr>
          <w:p w:rsidR="003663E4" w:rsidRDefault="003663E4">
            <w:pPr>
              <w:jc w:val="center"/>
            </w:pPr>
          </w:p>
          <w:p w:rsidR="003663E4" w:rsidRDefault="00FD3F7D">
            <w:pPr>
              <w:jc w:val="center"/>
            </w:pPr>
            <w:r>
              <w:t>0.0000%</w:t>
            </w:r>
          </w:p>
        </w:tc>
        <w:tc>
          <w:tcPr>
            <w:tcW w:w="1327" w:type="dxa"/>
            <w:vAlign w:val="center"/>
          </w:tcPr>
          <w:p w:rsidR="003663E4" w:rsidRDefault="00FD3F7D">
            <w:pPr>
              <w:jc w:val="center"/>
            </w:pPr>
            <w:r>
              <w:rPr>
                <w:szCs w:val="21"/>
              </w:rPr>
              <w:t>0.1237%</w:t>
            </w:r>
          </w:p>
        </w:tc>
        <w:tc>
          <w:tcPr>
            <w:tcW w:w="1327" w:type="dxa"/>
            <w:vAlign w:val="center"/>
          </w:tcPr>
          <w:p w:rsidR="003663E4" w:rsidRDefault="00FD3F7D">
            <w:pPr>
              <w:jc w:val="center"/>
            </w:pPr>
            <w:r>
              <w:rPr>
                <w:szCs w:val="21"/>
              </w:rPr>
              <w:t>0.0084%</w:t>
            </w:r>
          </w:p>
        </w:tc>
      </w:tr>
      <w:tr w:rsidR="003663E4">
        <w:trPr>
          <w:jc w:val="center"/>
        </w:trPr>
        <w:tc>
          <w:tcPr>
            <w:tcW w:w="1727" w:type="dxa"/>
            <w:vAlign w:val="center"/>
          </w:tcPr>
          <w:p w:rsidR="003663E4" w:rsidRDefault="00FD3F7D">
            <w:pPr>
              <w:jc w:val="left"/>
            </w:pPr>
            <w:r>
              <w:rPr>
                <w:szCs w:val="21"/>
              </w:rPr>
              <w:t>2020</w:t>
            </w:r>
            <w:r>
              <w:rPr>
                <w:szCs w:val="21"/>
              </w:rPr>
              <w:t>年</w:t>
            </w:r>
            <w:r>
              <w:rPr>
                <w:szCs w:val="21"/>
              </w:rPr>
              <w:t>4</w:t>
            </w:r>
            <w:r>
              <w:rPr>
                <w:szCs w:val="21"/>
              </w:rPr>
              <w:t>月</w:t>
            </w:r>
            <w:r>
              <w:rPr>
                <w:szCs w:val="21"/>
              </w:rPr>
              <w:t>1</w:t>
            </w:r>
            <w:r>
              <w:rPr>
                <w:szCs w:val="21"/>
              </w:rPr>
              <w:t>日至</w:t>
            </w:r>
            <w:r>
              <w:rPr>
                <w:szCs w:val="21"/>
              </w:rPr>
              <w:t>2020</w:t>
            </w:r>
            <w:r>
              <w:rPr>
                <w:szCs w:val="21"/>
              </w:rPr>
              <w:t>年</w:t>
            </w:r>
            <w:r>
              <w:rPr>
                <w:szCs w:val="21"/>
              </w:rPr>
              <w:t>7</w:t>
            </w:r>
            <w:r>
              <w:rPr>
                <w:szCs w:val="21"/>
              </w:rPr>
              <w:t>月</w:t>
            </w:r>
            <w:r>
              <w:rPr>
                <w:szCs w:val="21"/>
              </w:rPr>
              <w:t>27</w:t>
            </w:r>
            <w:r>
              <w:rPr>
                <w:szCs w:val="21"/>
              </w:rPr>
              <w:t>日</w:t>
            </w:r>
          </w:p>
        </w:tc>
        <w:tc>
          <w:tcPr>
            <w:tcW w:w="1326" w:type="dxa"/>
            <w:vAlign w:val="center"/>
          </w:tcPr>
          <w:p w:rsidR="003663E4" w:rsidRDefault="00FD3F7D">
            <w:pPr>
              <w:jc w:val="center"/>
            </w:pPr>
            <w:r>
              <w:rPr>
                <w:szCs w:val="21"/>
              </w:rPr>
              <w:t>0.6819%</w:t>
            </w:r>
          </w:p>
        </w:tc>
        <w:tc>
          <w:tcPr>
            <w:tcW w:w="1327" w:type="dxa"/>
            <w:vAlign w:val="center"/>
          </w:tcPr>
          <w:p w:rsidR="003663E4" w:rsidRDefault="00FD3F7D">
            <w:pPr>
              <w:jc w:val="center"/>
            </w:pPr>
            <w:r>
              <w:rPr>
                <w:szCs w:val="21"/>
              </w:rPr>
              <w:t>0.0050%</w:t>
            </w:r>
          </w:p>
        </w:tc>
        <w:tc>
          <w:tcPr>
            <w:tcW w:w="1327" w:type="dxa"/>
          </w:tcPr>
          <w:p w:rsidR="003663E4" w:rsidRDefault="003663E4">
            <w:pPr>
              <w:jc w:val="center"/>
            </w:pPr>
          </w:p>
          <w:p w:rsidR="003663E4" w:rsidRDefault="00FD3F7D">
            <w:pPr>
              <w:jc w:val="center"/>
            </w:pPr>
            <w:r>
              <w:t>0.4364%</w:t>
            </w:r>
          </w:p>
        </w:tc>
        <w:tc>
          <w:tcPr>
            <w:tcW w:w="1327" w:type="dxa"/>
          </w:tcPr>
          <w:p w:rsidR="003663E4" w:rsidRDefault="003663E4">
            <w:pPr>
              <w:jc w:val="center"/>
            </w:pPr>
          </w:p>
          <w:p w:rsidR="003663E4" w:rsidRDefault="00FD3F7D">
            <w:pPr>
              <w:jc w:val="center"/>
            </w:pPr>
            <w:r>
              <w:t>0.0000%</w:t>
            </w:r>
          </w:p>
        </w:tc>
        <w:tc>
          <w:tcPr>
            <w:tcW w:w="1327" w:type="dxa"/>
            <w:vAlign w:val="center"/>
          </w:tcPr>
          <w:p w:rsidR="003663E4" w:rsidRDefault="00FD3F7D">
            <w:pPr>
              <w:jc w:val="center"/>
            </w:pPr>
            <w:r>
              <w:rPr>
                <w:szCs w:val="21"/>
              </w:rPr>
              <w:t>0.2455%</w:t>
            </w:r>
          </w:p>
        </w:tc>
        <w:tc>
          <w:tcPr>
            <w:tcW w:w="1327" w:type="dxa"/>
            <w:vAlign w:val="center"/>
          </w:tcPr>
          <w:p w:rsidR="003663E4" w:rsidRDefault="00FD3F7D">
            <w:pPr>
              <w:jc w:val="center"/>
            </w:pPr>
            <w:r>
              <w:rPr>
                <w:szCs w:val="21"/>
              </w:rPr>
              <w:t>0.0050%</w:t>
            </w:r>
          </w:p>
        </w:tc>
      </w:tr>
      <w:tr w:rsidR="003663E4">
        <w:trPr>
          <w:jc w:val="center"/>
        </w:trPr>
        <w:tc>
          <w:tcPr>
            <w:tcW w:w="1727" w:type="dxa"/>
            <w:vAlign w:val="center"/>
          </w:tcPr>
          <w:p w:rsidR="003663E4" w:rsidRDefault="00FD3F7D">
            <w:pPr>
              <w:jc w:val="left"/>
            </w:pPr>
            <w:r>
              <w:rPr>
                <w:szCs w:val="21"/>
              </w:rPr>
              <w:t>2019</w:t>
            </w:r>
            <w:r>
              <w:rPr>
                <w:szCs w:val="21"/>
              </w:rPr>
              <w:t>年</w:t>
            </w:r>
            <w:r>
              <w:rPr>
                <w:szCs w:val="21"/>
              </w:rPr>
              <w:t>10</w:t>
            </w:r>
            <w:r>
              <w:rPr>
                <w:szCs w:val="21"/>
              </w:rPr>
              <w:t>月</w:t>
            </w:r>
            <w:r>
              <w:rPr>
                <w:szCs w:val="21"/>
              </w:rPr>
              <w:t>1</w:t>
            </w:r>
            <w:r>
              <w:rPr>
                <w:szCs w:val="21"/>
              </w:rPr>
              <w:t>日至</w:t>
            </w:r>
            <w:r>
              <w:rPr>
                <w:szCs w:val="21"/>
              </w:rPr>
              <w:t>2020</w:t>
            </w:r>
            <w:r>
              <w:rPr>
                <w:szCs w:val="21"/>
              </w:rPr>
              <w:t>年</w:t>
            </w:r>
            <w:r>
              <w:rPr>
                <w:szCs w:val="21"/>
              </w:rPr>
              <w:t>7</w:t>
            </w:r>
            <w:r>
              <w:rPr>
                <w:szCs w:val="21"/>
              </w:rPr>
              <w:t>月</w:t>
            </w:r>
            <w:r>
              <w:rPr>
                <w:szCs w:val="21"/>
              </w:rPr>
              <w:t>27</w:t>
            </w:r>
            <w:r>
              <w:rPr>
                <w:szCs w:val="21"/>
              </w:rPr>
              <w:t>日</w:t>
            </w:r>
          </w:p>
        </w:tc>
        <w:tc>
          <w:tcPr>
            <w:tcW w:w="1326" w:type="dxa"/>
            <w:vAlign w:val="center"/>
          </w:tcPr>
          <w:p w:rsidR="003663E4" w:rsidRDefault="00FD3F7D">
            <w:pPr>
              <w:jc w:val="center"/>
            </w:pPr>
            <w:r>
              <w:rPr>
                <w:szCs w:val="21"/>
              </w:rPr>
              <w:t>1.9164%</w:t>
            </w:r>
          </w:p>
        </w:tc>
        <w:tc>
          <w:tcPr>
            <w:tcW w:w="1327" w:type="dxa"/>
            <w:vAlign w:val="center"/>
          </w:tcPr>
          <w:p w:rsidR="003663E4" w:rsidRDefault="00FD3F7D">
            <w:pPr>
              <w:jc w:val="center"/>
            </w:pPr>
            <w:r>
              <w:rPr>
                <w:szCs w:val="21"/>
              </w:rPr>
              <w:t>0.0034%</w:t>
            </w:r>
          </w:p>
        </w:tc>
        <w:tc>
          <w:tcPr>
            <w:tcW w:w="1327" w:type="dxa"/>
          </w:tcPr>
          <w:p w:rsidR="003663E4" w:rsidRDefault="003663E4">
            <w:pPr>
              <w:jc w:val="center"/>
            </w:pPr>
          </w:p>
          <w:p w:rsidR="003663E4" w:rsidRDefault="00FD3F7D">
            <w:pPr>
              <w:jc w:val="center"/>
            </w:pPr>
            <w:r>
              <w:t>1.1133%</w:t>
            </w:r>
          </w:p>
        </w:tc>
        <w:tc>
          <w:tcPr>
            <w:tcW w:w="1327" w:type="dxa"/>
          </w:tcPr>
          <w:p w:rsidR="003663E4" w:rsidRDefault="003663E4">
            <w:pPr>
              <w:jc w:val="center"/>
            </w:pPr>
          </w:p>
          <w:p w:rsidR="003663E4" w:rsidRDefault="00FD3F7D">
            <w:pPr>
              <w:jc w:val="center"/>
            </w:pPr>
            <w:r>
              <w:t>0.0000%</w:t>
            </w:r>
          </w:p>
        </w:tc>
        <w:tc>
          <w:tcPr>
            <w:tcW w:w="1327" w:type="dxa"/>
            <w:vAlign w:val="center"/>
          </w:tcPr>
          <w:p w:rsidR="003663E4" w:rsidRDefault="00FD3F7D">
            <w:pPr>
              <w:jc w:val="center"/>
            </w:pPr>
            <w:r>
              <w:rPr>
                <w:szCs w:val="21"/>
              </w:rPr>
              <w:t>0.8031%</w:t>
            </w:r>
          </w:p>
        </w:tc>
        <w:tc>
          <w:tcPr>
            <w:tcW w:w="1327" w:type="dxa"/>
            <w:vAlign w:val="center"/>
          </w:tcPr>
          <w:p w:rsidR="003663E4" w:rsidRDefault="00FD3F7D">
            <w:pPr>
              <w:jc w:val="center"/>
            </w:pPr>
            <w:r>
              <w:rPr>
                <w:szCs w:val="21"/>
              </w:rPr>
              <w:t>0.0034%</w:t>
            </w:r>
          </w:p>
        </w:tc>
      </w:tr>
      <w:tr w:rsidR="003663E4">
        <w:trPr>
          <w:jc w:val="center"/>
        </w:trPr>
        <w:tc>
          <w:tcPr>
            <w:tcW w:w="1727" w:type="dxa"/>
            <w:vAlign w:val="center"/>
          </w:tcPr>
          <w:p w:rsidR="003663E4" w:rsidRDefault="00FD3F7D">
            <w:pPr>
              <w:jc w:val="left"/>
            </w:pPr>
            <w:r>
              <w:rPr>
                <w:szCs w:val="21"/>
              </w:rPr>
              <w:t>2017</w:t>
            </w:r>
            <w:r>
              <w:rPr>
                <w:szCs w:val="21"/>
              </w:rPr>
              <w:t>年</w:t>
            </w:r>
            <w:r>
              <w:rPr>
                <w:szCs w:val="21"/>
              </w:rPr>
              <w:t>10</w:t>
            </w:r>
            <w:r>
              <w:rPr>
                <w:szCs w:val="21"/>
              </w:rPr>
              <w:t>月</w:t>
            </w:r>
            <w:r>
              <w:rPr>
                <w:szCs w:val="21"/>
              </w:rPr>
              <w:t>1</w:t>
            </w:r>
            <w:r>
              <w:rPr>
                <w:szCs w:val="21"/>
              </w:rPr>
              <w:t>日至</w:t>
            </w:r>
            <w:r>
              <w:rPr>
                <w:szCs w:val="21"/>
              </w:rPr>
              <w:t>2020</w:t>
            </w:r>
            <w:r>
              <w:rPr>
                <w:szCs w:val="21"/>
              </w:rPr>
              <w:t>年</w:t>
            </w:r>
            <w:r>
              <w:rPr>
                <w:szCs w:val="21"/>
              </w:rPr>
              <w:t>7</w:t>
            </w:r>
            <w:r>
              <w:rPr>
                <w:szCs w:val="21"/>
              </w:rPr>
              <w:t>月</w:t>
            </w:r>
            <w:r>
              <w:rPr>
                <w:szCs w:val="21"/>
              </w:rPr>
              <w:t>27</w:t>
            </w:r>
            <w:r>
              <w:rPr>
                <w:szCs w:val="21"/>
              </w:rPr>
              <w:t>日</w:t>
            </w:r>
          </w:p>
        </w:tc>
        <w:tc>
          <w:tcPr>
            <w:tcW w:w="1326" w:type="dxa"/>
            <w:vAlign w:val="center"/>
          </w:tcPr>
          <w:p w:rsidR="003663E4" w:rsidRDefault="00FD3F7D">
            <w:pPr>
              <w:jc w:val="center"/>
            </w:pPr>
            <w:r>
              <w:rPr>
                <w:szCs w:val="21"/>
              </w:rPr>
              <w:t>9.5399%</w:t>
            </w:r>
          </w:p>
        </w:tc>
        <w:tc>
          <w:tcPr>
            <w:tcW w:w="1327" w:type="dxa"/>
            <w:vAlign w:val="center"/>
          </w:tcPr>
          <w:p w:rsidR="003663E4" w:rsidRDefault="00FD3F7D">
            <w:pPr>
              <w:jc w:val="center"/>
            </w:pPr>
            <w:r>
              <w:rPr>
                <w:szCs w:val="21"/>
              </w:rPr>
              <w:t>0.0031%</w:t>
            </w:r>
          </w:p>
        </w:tc>
        <w:tc>
          <w:tcPr>
            <w:tcW w:w="1327" w:type="dxa"/>
          </w:tcPr>
          <w:p w:rsidR="003663E4" w:rsidRDefault="003663E4">
            <w:pPr>
              <w:jc w:val="center"/>
            </w:pPr>
          </w:p>
          <w:p w:rsidR="003663E4" w:rsidRDefault="00FD3F7D">
            <w:pPr>
              <w:jc w:val="center"/>
            </w:pPr>
            <w:r>
              <w:t>3.8133%</w:t>
            </w:r>
          </w:p>
        </w:tc>
        <w:tc>
          <w:tcPr>
            <w:tcW w:w="1327" w:type="dxa"/>
          </w:tcPr>
          <w:p w:rsidR="003663E4" w:rsidRDefault="003663E4">
            <w:pPr>
              <w:jc w:val="center"/>
            </w:pPr>
          </w:p>
          <w:p w:rsidR="003663E4" w:rsidRDefault="00FD3F7D">
            <w:pPr>
              <w:jc w:val="center"/>
            </w:pPr>
            <w:r>
              <w:t>0.0000%</w:t>
            </w:r>
          </w:p>
        </w:tc>
        <w:tc>
          <w:tcPr>
            <w:tcW w:w="1327" w:type="dxa"/>
            <w:vAlign w:val="center"/>
          </w:tcPr>
          <w:p w:rsidR="003663E4" w:rsidRDefault="00FD3F7D">
            <w:pPr>
              <w:jc w:val="center"/>
            </w:pPr>
            <w:r>
              <w:rPr>
                <w:szCs w:val="21"/>
              </w:rPr>
              <w:t>5.7266%</w:t>
            </w:r>
          </w:p>
        </w:tc>
        <w:tc>
          <w:tcPr>
            <w:tcW w:w="1327" w:type="dxa"/>
            <w:vAlign w:val="center"/>
          </w:tcPr>
          <w:p w:rsidR="003663E4" w:rsidRDefault="00FD3F7D">
            <w:pPr>
              <w:jc w:val="center"/>
            </w:pPr>
            <w:r>
              <w:rPr>
                <w:szCs w:val="21"/>
              </w:rPr>
              <w:t>0.0031%</w:t>
            </w:r>
          </w:p>
        </w:tc>
      </w:tr>
      <w:tr w:rsidR="003663E4">
        <w:trPr>
          <w:jc w:val="center"/>
        </w:trPr>
        <w:tc>
          <w:tcPr>
            <w:tcW w:w="1727" w:type="dxa"/>
            <w:vAlign w:val="center"/>
          </w:tcPr>
          <w:p w:rsidR="003663E4" w:rsidRDefault="00FD3F7D">
            <w:pPr>
              <w:jc w:val="left"/>
            </w:pPr>
            <w:r>
              <w:rPr>
                <w:szCs w:val="21"/>
              </w:rPr>
              <w:t>2015</w:t>
            </w:r>
            <w:r>
              <w:rPr>
                <w:szCs w:val="21"/>
              </w:rPr>
              <w:t>年</w:t>
            </w:r>
            <w:r>
              <w:rPr>
                <w:szCs w:val="21"/>
              </w:rPr>
              <w:t>10</w:t>
            </w:r>
            <w:r>
              <w:rPr>
                <w:szCs w:val="21"/>
              </w:rPr>
              <w:t>月</w:t>
            </w:r>
            <w:r>
              <w:rPr>
                <w:szCs w:val="21"/>
              </w:rPr>
              <w:t>01</w:t>
            </w:r>
            <w:r>
              <w:rPr>
                <w:szCs w:val="21"/>
              </w:rPr>
              <w:t>至</w:t>
            </w:r>
            <w:r>
              <w:rPr>
                <w:szCs w:val="21"/>
              </w:rPr>
              <w:t>2020</w:t>
            </w:r>
            <w:r>
              <w:rPr>
                <w:szCs w:val="21"/>
              </w:rPr>
              <w:t>年</w:t>
            </w:r>
            <w:r>
              <w:rPr>
                <w:szCs w:val="21"/>
              </w:rPr>
              <w:t>7</w:t>
            </w:r>
            <w:r>
              <w:rPr>
                <w:szCs w:val="21"/>
              </w:rPr>
              <w:t>月</w:t>
            </w:r>
            <w:r>
              <w:rPr>
                <w:szCs w:val="21"/>
              </w:rPr>
              <w:t>27</w:t>
            </w:r>
            <w:r>
              <w:rPr>
                <w:szCs w:val="21"/>
              </w:rPr>
              <w:t>日</w:t>
            </w:r>
          </w:p>
        </w:tc>
        <w:tc>
          <w:tcPr>
            <w:tcW w:w="1326" w:type="dxa"/>
            <w:vAlign w:val="center"/>
          </w:tcPr>
          <w:p w:rsidR="003663E4" w:rsidRDefault="00FD3F7D">
            <w:pPr>
              <w:jc w:val="center"/>
            </w:pPr>
            <w:r>
              <w:rPr>
                <w:szCs w:val="21"/>
              </w:rPr>
              <w:t>15.2922%</w:t>
            </w:r>
          </w:p>
        </w:tc>
        <w:tc>
          <w:tcPr>
            <w:tcW w:w="1327" w:type="dxa"/>
            <w:vAlign w:val="center"/>
          </w:tcPr>
          <w:p w:rsidR="003663E4" w:rsidRDefault="00FD3F7D">
            <w:pPr>
              <w:jc w:val="center"/>
            </w:pPr>
            <w:r>
              <w:rPr>
                <w:szCs w:val="21"/>
              </w:rPr>
              <w:t>0.0033%</w:t>
            </w:r>
          </w:p>
        </w:tc>
        <w:tc>
          <w:tcPr>
            <w:tcW w:w="1327" w:type="dxa"/>
          </w:tcPr>
          <w:p w:rsidR="003663E4" w:rsidRDefault="003663E4">
            <w:pPr>
              <w:jc w:val="center"/>
            </w:pPr>
          </w:p>
          <w:p w:rsidR="003663E4" w:rsidRDefault="00FD3F7D">
            <w:pPr>
              <w:jc w:val="center"/>
            </w:pPr>
            <w:r>
              <w:t>6.5170%</w:t>
            </w:r>
          </w:p>
        </w:tc>
        <w:tc>
          <w:tcPr>
            <w:tcW w:w="1327" w:type="dxa"/>
          </w:tcPr>
          <w:p w:rsidR="003663E4" w:rsidRDefault="003663E4">
            <w:pPr>
              <w:jc w:val="center"/>
            </w:pPr>
          </w:p>
          <w:p w:rsidR="003663E4" w:rsidRDefault="00FD3F7D">
            <w:pPr>
              <w:jc w:val="center"/>
            </w:pPr>
            <w:r>
              <w:t>0.0000%</w:t>
            </w:r>
          </w:p>
        </w:tc>
        <w:tc>
          <w:tcPr>
            <w:tcW w:w="1327" w:type="dxa"/>
            <w:vAlign w:val="center"/>
          </w:tcPr>
          <w:p w:rsidR="003663E4" w:rsidRDefault="00FD3F7D">
            <w:pPr>
              <w:jc w:val="center"/>
            </w:pPr>
            <w:r>
              <w:rPr>
                <w:szCs w:val="21"/>
              </w:rPr>
              <w:t>8.7752%</w:t>
            </w:r>
          </w:p>
        </w:tc>
        <w:tc>
          <w:tcPr>
            <w:tcW w:w="1327" w:type="dxa"/>
            <w:vAlign w:val="center"/>
          </w:tcPr>
          <w:p w:rsidR="003663E4" w:rsidRDefault="00FD3F7D">
            <w:pPr>
              <w:jc w:val="center"/>
            </w:pPr>
            <w:r>
              <w:rPr>
                <w:szCs w:val="21"/>
              </w:rPr>
              <w:t>0.0033%</w:t>
            </w:r>
          </w:p>
        </w:tc>
      </w:tr>
      <w:tr w:rsidR="003663E4">
        <w:trPr>
          <w:jc w:val="center"/>
        </w:trPr>
        <w:tc>
          <w:tcPr>
            <w:tcW w:w="1727" w:type="dxa"/>
            <w:vAlign w:val="center"/>
          </w:tcPr>
          <w:p w:rsidR="003663E4" w:rsidRDefault="00FD3F7D">
            <w:pPr>
              <w:jc w:val="left"/>
            </w:pPr>
            <w:r>
              <w:rPr>
                <w:szCs w:val="21"/>
              </w:rPr>
              <w:t>自基金合同生效起至</w:t>
            </w:r>
            <w:r>
              <w:rPr>
                <w:szCs w:val="21"/>
              </w:rPr>
              <w:t>2020</w:t>
            </w:r>
            <w:r>
              <w:rPr>
                <w:szCs w:val="21"/>
              </w:rPr>
              <w:t>年</w:t>
            </w:r>
            <w:r>
              <w:rPr>
                <w:szCs w:val="21"/>
              </w:rPr>
              <w:t>7</w:t>
            </w:r>
            <w:r>
              <w:rPr>
                <w:szCs w:val="21"/>
              </w:rPr>
              <w:t>月</w:t>
            </w:r>
            <w:r>
              <w:rPr>
                <w:szCs w:val="21"/>
              </w:rPr>
              <w:t>27</w:t>
            </w:r>
            <w:r>
              <w:rPr>
                <w:szCs w:val="21"/>
              </w:rPr>
              <w:t>日</w:t>
            </w:r>
          </w:p>
        </w:tc>
        <w:tc>
          <w:tcPr>
            <w:tcW w:w="1326" w:type="dxa"/>
            <w:vAlign w:val="center"/>
          </w:tcPr>
          <w:p w:rsidR="003663E4" w:rsidRDefault="00FD3F7D">
            <w:pPr>
              <w:jc w:val="center"/>
            </w:pPr>
            <w:r>
              <w:rPr>
                <w:szCs w:val="21"/>
              </w:rPr>
              <w:t>26.9249%</w:t>
            </w:r>
          </w:p>
        </w:tc>
        <w:tc>
          <w:tcPr>
            <w:tcW w:w="1327" w:type="dxa"/>
            <w:vAlign w:val="center"/>
          </w:tcPr>
          <w:p w:rsidR="003663E4" w:rsidRDefault="00FD3F7D">
            <w:pPr>
              <w:jc w:val="center"/>
            </w:pPr>
            <w:r>
              <w:rPr>
                <w:szCs w:val="21"/>
              </w:rPr>
              <w:t>0.0068%</w:t>
            </w:r>
          </w:p>
        </w:tc>
        <w:tc>
          <w:tcPr>
            <w:tcW w:w="1327" w:type="dxa"/>
          </w:tcPr>
          <w:p w:rsidR="003663E4" w:rsidRDefault="003663E4">
            <w:pPr>
              <w:jc w:val="center"/>
            </w:pPr>
          </w:p>
          <w:p w:rsidR="003663E4" w:rsidRDefault="00FD3F7D">
            <w:pPr>
              <w:jc w:val="center"/>
            </w:pPr>
            <w:r>
              <w:t>9.9641%</w:t>
            </w:r>
          </w:p>
        </w:tc>
        <w:tc>
          <w:tcPr>
            <w:tcW w:w="1327" w:type="dxa"/>
          </w:tcPr>
          <w:p w:rsidR="003663E4" w:rsidRDefault="003663E4">
            <w:pPr>
              <w:jc w:val="center"/>
            </w:pPr>
          </w:p>
          <w:p w:rsidR="003663E4" w:rsidRDefault="00FD3F7D">
            <w:pPr>
              <w:jc w:val="center"/>
            </w:pPr>
            <w:r>
              <w:t>0.0000%</w:t>
            </w:r>
          </w:p>
        </w:tc>
        <w:tc>
          <w:tcPr>
            <w:tcW w:w="1327" w:type="dxa"/>
            <w:vAlign w:val="center"/>
          </w:tcPr>
          <w:p w:rsidR="003663E4" w:rsidRDefault="00FD3F7D">
            <w:pPr>
              <w:jc w:val="center"/>
            </w:pPr>
            <w:r>
              <w:rPr>
                <w:szCs w:val="21"/>
              </w:rPr>
              <w:t>16.9608%</w:t>
            </w:r>
          </w:p>
        </w:tc>
        <w:tc>
          <w:tcPr>
            <w:tcW w:w="1327" w:type="dxa"/>
            <w:vAlign w:val="center"/>
          </w:tcPr>
          <w:p w:rsidR="003663E4" w:rsidRDefault="00FD3F7D">
            <w:pPr>
              <w:jc w:val="center"/>
            </w:pPr>
            <w:r>
              <w:rPr>
                <w:szCs w:val="21"/>
              </w:rPr>
              <w:t>0.0068%</w:t>
            </w:r>
          </w:p>
        </w:tc>
      </w:tr>
    </w:tbl>
    <w:p w:rsidR="003663E4" w:rsidRDefault="00FD3F7D">
      <w:pPr>
        <w:spacing w:line="360" w:lineRule="auto"/>
        <w:ind w:firstLineChars="200" w:firstLine="420"/>
        <w:rPr>
          <w:color w:val="000000"/>
          <w:szCs w:val="21"/>
        </w:rPr>
      </w:pPr>
      <w:r>
        <w:rPr>
          <w:color w:val="000000"/>
          <w:szCs w:val="21"/>
        </w:rPr>
        <w:t>注：</w:t>
      </w:r>
      <w:r>
        <w:rPr>
          <w:color w:val="000000"/>
          <w:szCs w:val="21"/>
        </w:rPr>
        <w:t>1</w:t>
      </w:r>
      <w:r>
        <w:rPr>
          <w:color w:val="000000"/>
          <w:szCs w:val="21"/>
        </w:rPr>
        <w:t>、本表净值收益率数据所取的基金运作周期为基金合同生效日为起始日的运作周期。</w:t>
      </w:r>
    </w:p>
    <w:p w:rsidR="003663E4" w:rsidRDefault="00FD3F7D">
      <w:pPr>
        <w:spacing w:line="360" w:lineRule="auto"/>
        <w:ind w:firstLineChars="200" w:firstLine="420"/>
        <w:rPr>
          <w:color w:val="000000"/>
          <w:szCs w:val="21"/>
        </w:rPr>
      </w:pPr>
      <w:r>
        <w:rPr>
          <w:color w:val="000000"/>
          <w:szCs w:val="21"/>
        </w:rPr>
        <w:t>2</w:t>
      </w:r>
      <w:r>
        <w:rPr>
          <w:color w:val="000000"/>
          <w:szCs w:val="21"/>
        </w:rPr>
        <w:t>、本基金每日计算当日收益并分配，并在运作期期末集中支付。</w:t>
      </w:r>
    </w:p>
    <w:p w:rsidR="003663E4" w:rsidRDefault="00FD3F7D">
      <w:pPr>
        <w:spacing w:line="360" w:lineRule="auto"/>
        <w:ind w:firstLineChars="200" w:firstLine="420"/>
        <w:rPr>
          <w:color w:val="000000"/>
          <w:szCs w:val="21"/>
        </w:rPr>
      </w:pPr>
      <w:r>
        <w:rPr>
          <w:color w:val="000000"/>
          <w:szCs w:val="21"/>
        </w:rPr>
        <w:t>3</w:t>
      </w:r>
      <w:r>
        <w:rPr>
          <w:color w:val="000000"/>
          <w:szCs w:val="21"/>
        </w:rPr>
        <w:t>、交银施罗德理财</w:t>
      </w:r>
      <w:r>
        <w:rPr>
          <w:color w:val="000000"/>
          <w:szCs w:val="21"/>
        </w:rPr>
        <w:t>60</w:t>
      </w:r>
      <w:r>
        <w:rPr>
          <w:color w:val="000000"/>
          <w:szCs w:val="21"/>
        </w:rPr>
        <w:t>天债券型证券投资基金从</w:t>
      </w: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日起正式转型为交银施罗德裕惠纯债债券型证券投资基金，本表列示的是本报告期基金转型前的基金净值表现，转型前基金的业绩比较基准为人民币七天通知存款税后利率。</w:t>
      </w:r>
    </w:p>
    <w:p w:rsidR="003663E4" w:rsidRDefault="00FD3F7D">
      <w:pPr>
        <w:pStyle w:val="21"/>
        <w:spacing w:beforeLines="50" w:before="156" w:line="360" w:lineRule="auto"/>
        <w:ind w:firstLineChars="0" w:firstLine="0"/>
        <w:rPr>
          <w:rFonts w:ascii="Times New Roman" w:eastAsiaTheme="minorEastAsia" w:hAnsi="Times New Roman"/>
          <w:color w:val="auto"/>
          <w:sz w:val="21"/>
          <w:szCs w:val="21"/>
        </w:rPr>
      </w:pPr>
      <w:r>
        <w:rPr>
          <w:rFonts w:ascii="Times New Roman" w:eastAsiaTheme="minorEastAsia" w:hAnsi="Times New Roman"/>
          <w:color w:val="auto"/>
          <w:sz w:val="21"/>
          <w:szCs w:val="21"/>
        </w:rPr>
        <w:t>交银理财</w:t>
      </w:r>
      <w:r>
        <w:rPr>
          <w:rFonts w:ascii="Times New Roman" w:eastAsiaTheme="minorEastAsia" w:hAnsi="Times New Roman"/>
          <w:color w:val="auto"/>
          <w:sz w:val="21"/>
          <w:szCs w:val="21"/>
        </w:rPr>
        <w:t>60</w:t>
      </w:r>
      <w:r>
        <w:rPr>
          <w:rFonts w:ascii="Times New Roman" w:eastAsiaTheme="minorEastAsia" w:hAnsi="Times New Roman"/>
          <w:color w:val="auto"/>
          <w:sz w:val="21"/>
          <w:szCs w:val="21"/>
        </w:rPr>
        <w:t>天债券</w:t>
      </w:r>
      <w:r>
        <w:rPr>
          <w:rFonts w:ascii="Times New Roman" w:eastAsiaTheme="minorEastAsia" w:hAnsi="Times New Roman"/>
          <w:color w:val="auto"/>
          <w:sz w:val="21"/>
          <w:szCs w:val="21"/>
        </w:rPr>
        <w:t>B</w:t>
      </w:r>
    </w:p>
    <w:tbl>
      <w:tblPr>
        <w:tblW w:w="9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7"/>
        <w:gridCol w:w="1326"/>
        <w:gridCol w:w="1327"/>
        <w:gridCol w:w="1327"/>
        <w:gridCol w:w="1327"/>
        <w:gridCol w:w="1327"/>
        <w:gridCol w:w="1327"/>
      </w:tblGrid>
      <w:tr w:rsidR="003663E4">
        <w:trPr>
          <w:jc w:val="center"/>
        </w:trPr>
        <w:tc>
          <w:tcPr>
            <w:tcW w:w="1727" w:type="dxa"/>
            <w:vAlign w:val="center"/>
          </w:tcPr>
          <w:p w:rsidR="003663E4" w:rsidRDefault="00FD3F7D">
            <w:pPr>
              <w:pStyle w:val="af9"/>
              <w:adjustRightInd w:val="0"/>
              <w:snapToGrid w:val="0"/>
              <w:spacing w:before="0" w:beforeAutospacing="0" w:after="0" w:afterAutospacing="0" w:line="380" w:lineRule="exact"/>
              <w:jc w:val="center"/>
              <w:rPr>
                <w:rFonts w:ascii="Times New Roman" w:hAnsi="Times New Roman"/>
                <w:kern w:val="2"/>
                <w:sz w:val="21"/>
                <w:szCs w:val="21"/>
              </w:rPr>
            </w:pPr>
            <w:r>
              <w:rPr>
                <w:rFonts w:ascii="Times New Roman" w:hAnsi="Times New Roman" w:hint="eastAsia"/>
                <w:kern w:val="2"/>
                <w:sz w:val="21"/>
                <w:szCs w:val="21"/>
              </w:rPr>
              <w:t>阶段</w:t>
            </w:r>
          </w:p>
        </w:tc>
        <w:tc>
          <w:tcPr>
            <w:tcW w:w="1326" w:type="dxa"/>
            <w:vAlign w:val="center"/>
          </w:tcPr>
          <w:p w:rsidR="003663E4" w:rsidRDefault="00FD3F7D">
            <w:pPr>
              <w:pStyle w:val="af9"/>
              <w:adjustRightInd w:val="0"/>
              <w:snapToGrid w:val="0"/>
              <w:spacing w:before="0" w:beforeAutospacing="0" w:after="0" w:afterAutospacing="0" w:line="380" w:lineRule="exact"/>
              <w:jc w:val="center"/>
              <w:rPr>
                <w:rFonts w:ascii="Times New Roman" w:hAnsi="Times New Roman"/>
                <w:kern w:val="2"/>
                <w:sz w:val="21"/>
                <w:szCs w:val="21"/>
              </w:rPr>
            </w:pPr>
            <w:r>
              <w:rPr>
                <w:rFonts w:ascii="Times New Roman" w:hAnsi="Times New Roman" w:hint="eastAsia"/>
                <w:sz w:val="21"/>
                <w:szCs w:val="21"/>
              </w:rPr>
              <w:t>份额</w:t>
            </w:r>
            <w:r>
              <w:rPr>
                <w:rFonts w:ascii="Times New Roman" w:hAnsi="Times New Roman" w:hint="eastAsia"/>
                <w:kern w:val="2"/>
                <w:sz w:val="21"/>
                <w:szCs w:val="21"/>
              </w:rPr>
              <w:t>净值收益率</w:t>
            </w:r>
            <w:r>
              <w:rPr>
                <w:rFonts w:cs="宋体" w:hint="eastAsia"/>
                <w:kern w:val="2"/>
                <w:sz w:val="21"/>
                <w:szCs w:val="21"/>
              </w:rPr>
              <w:t>①</w:t>
            </w:r>
          </w:p>
        </w:tc>
        <w:tc>
          <w:tcPr>
            <w:tcW w:w="1327" w:type="dxa"/>
            <w:vAlign w:val="center"/>
          </w:tcPr>
          <w:p w:rsidR="003663E4" w:rsidRDefault="00FD3F7D">
            <w:pPr>
              <w:pStyle w:val="af9"/>
              <w:adjustRightInd w:val="0"/>
              <w:snapToGrid w:val="0"/>
              <w:spacing w:before="0" w:beforeAutospacing="0" w:after="0" w:afterAutospacing="0" w:line="380" w:lineRule="exact"/>
              <w:jc w:val="center"/>
              <w:rPr>
                <w:rFonts w:ascii="Times New Roman" w:hAnsi="Times New Roman"/>
                <w:kern w:val="2"/>
                <w:sz w:val="21"/>
                <w:szCs w:val="21"/>
              </w:rPr>
            </w:pPr>
            <w:r>
              <w:rPr>
                <w:rFonts w:ascii="Times New Roman" w:hAnsi="Times New Roman" w:hint="eastAsia"/>
                <w:kern w:val="2"/>
                <w:sz w:val="21"/>
                <w:szCs w:val="21"/>
              </w:rPr>
              <w:t>份额净值收益率标准差</w:t>
            </w:r>
            <w:r>
              <w:rPr>
                <w:rFonts w:cs="宋体" w:hint="eastAsia"/>
                <w:kern w:val="2"/>
                <w:sz w:val="21"/>
                <w:szCs w:val="21"/>
              </w:rPr>
              <w:t>②</w:t>
            </w:r>
          </w:p>
        </w:tc>
        <w:tc>
          <w:tcPr>
            <w:tcW w:w="1327" w:type="dxa"/>
            <w:vAlign w:val="center"/>
          </w:tcPr>
          <w:p w:rsidR="003663E4" w:rsidRDefault="00FD3F7D">
            <w:pPr>
              <w:pStyle w:val="af9"/>
              <w:adjustRightInd w:val="0"/>
              <w:snapToGrid w:val="0"/>
              <w:spacing w:before="0" w:beforeAutospacing="0" w:after="0" w:afterAutospacing="0" w:line="380" w:lineRule="exact"/>
              <w:jc w:val="center"/>
              <w:rPr>
                <w:rFonts w:ascii="Times New Roman" w:hAnsi="Times New Roman"/>
                <w:kern w:val="2"/>
                <w:sz w:val="21"/>
                <w:szCs w:val="21"/>
              </w:rPr>
            </w:pPr>
            <w:r>
              <w:rPr>
                <w:rFonts w:ascii="Times New Roman" w:hAnsi="Times New Roman" w:hint="eastAsia"/>
                <w:kern w:val="2"/>
                <w:sz w:val="21"/>
                <w:szCs w:val="21"/>
              </w:rPr>
              <w:t>业绩比较基准收益率</w:t>
            </w:r>
            <w:r>
              <w:rPr>
                <w:rFonts w:cs="宋体" w:hint="eastAsia"/>
                <w:kern w:val="2"/>
                <w:sz w:val="21"/>
                <w:szCs w:val="21"/>
              </w:rPr>
              <w:t>③</w:t>
            </w:r>
          </w:p>
        </w:tc>
        <w:tc>
          <w:tcPr>
            <w:tcW w:w="1327" w:type="dxa"/>
            <w:vAlign w:val="center"/>
          </w:tcPr>
          <w:p w:rsidR="003663E4" w:rsidRDefault="00FD3F7D">
            <w:pPr>
              <w:pStyle w:val="af9"/>
              <w:adjustRightInd w:val="0"/>
              <w:snapToGrid w:val="0"/>
              <w:spacing w:before="0" w:beforeAutospacing="0" w:after="0" w:afterAutospacing="0" w:line="380" w:lineRule="exact"/>
              <w:jc w:val="center"/>
              <w:rPr>
                <w:rFonts w:ascii="Times New Roman" w:hAnsi="Times New Roman"/>
                <w:kern w:val="2"/>
                <w:sz w:val="21"/>
                <w:szCs w:val="21"/>
              </w:rPr>
            </w:pPr>
            <w:r>
              <w:rPr>
                <w:rFonts w:ascii="Times New Roman" w:hAnsi="Times New Roman" w:hint="eastAsia"/>
                <w:kern w:val="2"/>
                <w:sz w:val="21"/>
                <w:szCs w:val="21"/>
              </w:rPr>
              <w:t>业绩比较基准收益率标准差</w:t>
            </w:r>
            <w:r>
              <w:rPr>
                <w:rFonts w:cs="宋体" w:hint="eastAsia"/>
                <w:kern w:val="2"/>
                <w:sz w:val="21"/>
                <w:szCs w:val="21"/>
              </w:rPr>
              <w:t>④</w:t>
            </w:r>
          </w:p>
        </w:tc>
        <w:tc>
          <w:tcPr>
            <w:tcW w:w="1327" w:type="dxa"/>
            <w:vAlign w:val="center"/>
          </w:tcPr>
          <w:p w:rsidR="003663E4" w:rsidRDefault="00FD3F7D">
            <w:pPr>
              <w:pStyle w:val="af9"/>
              <w:adjustRightInd w:val="0"/>
              <w:snapToGrid w:val="0"/>
              <w:spacing w:before="0" w:beforeAutospacing="0" w:after="0" w:afterAutospacing="0" w:line="380" w:lineRule="exact"/>
              <w:jc w:val="center"/>
              <w:rPr>
                <w:rFonts w:ascii="Times New Roman" w:hAnsi="Times New Roman"/>
                <w:kern w:val="2"/>
                <w:sz w:val="21"/>
                <w:szCs w:val="21"/>
              </w:rPr>
            </w:pPr>
            <w:r>
              <w:rPr>
                <w:rFonts w:cs="宋体" w:hint="eastAsia"/>
                <w:kern w:val="2"/>
                <w:sz w:val="21"/>
                <w:szCs w:val="21"/>
              </w:rPr>
              <w:t>①</w:t>
            </w:r>
            <w:r>
              <w:rPr>
                <w:rFonts w:ascii="Times New Roman" w:hAnsi="Times New Roman"/>
                <w:kern w:val="2"/>
                <w:sz w:val="21"/>
                <w:szCs w:val="21"/>
              </w:rPr>
              <w:t>-</w:t>
            </w:r>
            <w:r>
              <w:rPr>
                <w:rFonts w:cs="宋体" w:hint="eastAsia"/>
                <w:kern w:val="2"/>
                <w:sz w:val="21"/>
                <w:szCs w:val="21"/>
              </w:rPr>
              <w:t>③</w:t>
            </w:r>
          </w:p>
        </w:tc>
        <w:tc>
          <w:tcPr>
            <w:tcW w:w="1327" w:type="dxa"/>
            <w:vAlign w:val="center"/>
          </w:tcPr>
          <w:p w:rsidR="003663E4" w:rsidRDefault="00FD3F7D">
            <w:pPr>
              <w:pStyle w:val="af9"/>
              <w:adjustRightInd w:val="0"/>
              <w:snapToGrid w:val="0"/>
              <w:spacing w:before="0" w:beforeAutospacing="0" w:after="0" w:afterAutospacing="0" w:line="380" w:lineRule="exact"/>
              <w:jc w:val="center"/>
              <w:rPr>
                <w:rFonts w:ascii="Times New Roman" w:hAnsi="Times New Roman"/>
                <w:kern w:val="2"/>
                <w:sz w:val="21"/>
                <w:szCs w:val="21"/>
              </w:rPr>
            </w:pPr>
            <w:r>
              <w:rPr>
                <w:rFonts w:cs="宋体" w:hint="eastAsia"/>
                <w:kern w:val="2"/>
                <w:sz w:val="21"/>
                <w:szCs w:val="21"/>
              </w:rPr>
              <w:t>②</w:t>
            </w:r>
            <w:r>
              <w:rPr>
                <w:rFonts w:ascii="Times New Roman" w:hAnsi="Times New Roman"/>
                <w:kern w:val="2"/>
                <w:sz w:val="21"/>
                <w:szCs w:val="21"/>
              </w:rPr>
              <w:t>-</w:t>
            </w:r>
            <w:r>
              <w:rPr>
                <w:rFonts w:cs="宋体" w:hint="eastAsia"/>
                <w:kern w:val="2"/>
                <w:sz w:val="21"/>
                <w:szCs w:val="21"/>
              </w:rPr>
              <w:t>④</w:t>
            </w:r>
          </w:p>
        </w:tc>
      </w:tr>
      <w:tr w:rsidR="003663E4">
        <w:trPr>
          <w:jc w:val="center"/>
        </w:trPr>
        <w:tc>
          <w:tcPr>
            <w:tcW w:w="1727" w:type="dxa"/>
            <w:vAlign w:val="center"/>
          </w:tcPr>
          <w:p w:rsidR="003663E4" w:rsidRDefault="00FD3F7D">
            <w:pPr>
              <w:jc w:val="left"/>
            </w:pPr>
            <w:r>
              <w:rPr>
                <w:szCs w:val="21"/>
              </w:rPr>
              <w:t>2020</w:t>
            </w:r>
            <w:r>
              <w:rPr>
                <w:szCs w:val="21"/>
              </w:rPr>
              <w:t>年</w:t>
            </w:r>
            <w:r>
              <w:rPr>
                <w:szCs w:val="21"/>
              </w:rPr>
              <w:t>7</w:t>
            </w:r>
            <w:r>
              <w:rPr>
                <w:szCs w:val="21"/>
              </w:rPr>
              <w:t>月</w:t>
            </w:r>
            <w:r>
              <w:rPr>
                <w:szCs w:val="21"/>
              </w:rPr>
              <w:t>1</w:t>
            </w:r>
            <w:r>
              <w:rPr>
                <w:szCs w:val="21"/>
              </w:rPr>
              <w:t>日至</w:t>
            </w:r>
            <w:r>
              <w:rPr>
                <w:szCs w:val="21"/>
              </w:rPr>
              <w:t>2020</w:t>
            </w:r>
            <w:r>
              <w:rPr>
                <w:szCs w:val="21"/>
              </w:rPr>
              <w:t>年</w:t>
            </w:r>
            <w:r>
              <w:rPr>
                <w:szCs w:val="21"/>
              </w:rPr>
              <w:t>7</w:t>
            </w:r>
            <w:r>
              <w:rPr>
                <w:szCs w:val="21"/>
              </w:rPr>
              <w:t>月</w:t>
            </w:r>
            <w:r>
              <w:rPr>
                <w:szCs w:val="21"/>
              </w:rPr>
              <w:t>27</w:t>
            </w:r>
            <w:r>
              <w:rPr>
                <w:szCs w:val="21"/>
              </w:rPr>
              <w:t>日</w:t>
            </w:r>
          </w:p>
        </w:tc>
        <w:tc>
          <w:tcPr>
            <w:tcW w:w="1326" w:type="dxa"/>
            <w:vAlign w:val="center"/>
          </w:tcPr>
          <w:p w:rsidR="003663E4" w:rsidRDefault="00FD3F7D">
            <w:pPr>
              <w:jc w:val="center"/>
            </w:pPr>
            <w:r>
              <w:rPr>
                <w:szCs w:val="21"/>
              </w:rPr>
              <w:t>0.2458%</w:t>
            </w:r>
          </w:p>
        </w:tc>
        <w:tc>
          <w:tcPr>
            <w:tcW w:w="1327" w:type="dxa"/>
            <w:vAlign w:val="center"/>
          </w:tcPr>
          <w:p w:rsidR="003663E4" w:rsidRDefault="00FD3F7D">
            <w:pPr>
              <w:jc w:val="center"/>
            </w:pPr>
            <w:r>
              <w:rPr>
                <w:szCs w:val="21"/>
              </w:rPr>
              <w:t>0.0083%</w:t>
            </w:r>
          </w:p>
        </w:tc>
        <w:tc>
          <w:tcPr>
            <w:tcW w:w="1327" w:type="dxa"/>
          </w:tcPr>
          <w:p w:rsidR="003663E4" w:rsidRDefault="003663E4">
            <w:pPr>
              <w:jc w:val="center"/>
            </w:pPr>
          </w:p>
          <w:p w:rsidR="003663E4" w:rsidRDefault="00FD3F7D">
            <w:pPr>
              <w:jc w:val="center"/>
            </w:pPr>
            <w:r>
              <w:t>0.0999%</w:t>
            </w:r>
          </w:p>
        </w:tc>
        <w:tc>
          <w:tcPr>
            <w:tcW w:w="1327" w:type="dxa"/>
          </w:tcPr>
          <w:p w:rsidR="003663E4" w:rsidRDefault="003663E4">
            <w:pPr>
              <w:jc w:val="center"/>
            </w:pPr>
          </w:p>
          <w:p w:rsidR="003663E4" w:rsidRDefault="00FD3F7D">
            <w:pPr>
              <w:jc w:val="center"/>
            </w:pPr>
            <w:r>
              <w:t>0.0000%</w:t>
            </w:r>
          </w:p>
        </w:tc>
        <w:tc>
          <w:tcPr>
            <w:tcW w:w="1327" w:type="dxa"/>
            <w:vAlign w:val="center"/>
          </w:tcPr>
          <w:p w:rsidR="003663E4" w:rsidRDefault="00FD3F7D">
            <w:pPr>
              <w:jc w:val="center"/>
            </w:pPr>
            <w:r>
              <w:rPr>
                <w:szCs w:val="21"/>
              </w:rPr>
              <w:t>0.1459%</w:t>
            </w:r>
          </w:p>
        </w:tc>
        <w:tc>
          <w:tcPr>
            <w:tcW w:w="1327" w:type="dxa"/>
            <w:vAlign w:val="center"/>
          </w:tcPr>
          <w:p w:rsidR="003663E4" w:rsidRDefault="00FD3F7D">
            <w:pPr>
              <w:jc w:val="center"/>
            </w:pPr>
            <w:r>
              <w:rPr>
                <w:szCs w:val="21"/>
              </w:rPr>
              <w:t>0.0083%</w:t>
            </w:r>
          </w:p>
        </w:tc>
      </w:tr>
      <w:tr w:rsidR="003663E4">
        <w:trPr>
          <w:jc w:val="center"/>
        </w:trPr>
        <w:tc>
          <w:tcPr>
            <w:tcW w:w="1727" w:type="dxa"/>
            <w:vAlign w:val="center"/>
          </w:tcPr>
          <w:p w:rsidR="003663E4" w:rsidRDefault="00FD3F7D">
            <w:pPr>
              <w:jc w:val="left"/>
            </w:pPr>
            <w:r>
              <w:rPr>
                <w:szCs w:val="21"/>
              </w:rPr>
              <w:t>2020</w:t>
            </w:r>
            <w:r>
              <w:rPr>
                <w:szCs w:val="21"/>
              </w:rPr>
              <w:t>年</w:t>
            </w:r>
            <w:r>
              <w:rPr>
                <w:szCs w:val="21"/>
              </w:rPr>
              <w:t>4</w:t>
            </w:r>
            <w:r>
              <w:rPr>
                <w:szCs w:val="21"/>
              </w:rPr>
              <w:t>月</w:t>
            </w:r>
            <w:r>
              <w:rPr>
                <w:szCs w:val="21"/>
              </w:rPr>
              <w:t>1</w:t>
            </w:r>
            <w:r>
              <w:rPr>
                <w:szCs w:val="21"/>
              </w:rPr>
              <w:t>日至</w:t>
            </w:r>
            <w:r>
              <w:rPr>
                <w:szCs w:val="21"/>
              </w:rPr>
              <w:t>2020</w:t>
            </w:r>
            <w:r>
              <w:rPr>
                <w:szCs w:val="21"/>
              </w:rPr>
              <w:t>年</w:t>
            </w:r>
            <w:r>
              <w:rPr>
                <w:szCs w:val="21"/>
              </w:rPr>
              <w:t>7</w:t>
            </w:r>
            <w:r>
              <w:rPr>
                <w:szCs w:val="21"/>
              </w:rPr>
              <w:t>月</w:t>
            </w:r>
            <w:r>
              <w:rPr>
                <w:szCs w:val="21"/>
              </w:rPr>
              <w:t>27</w:t>
            </w:r>
            <w:r>
              <w:rPr>
                <w:szCs w:val="21"/>
              </w:rPr>
              <w:t>日</w:t>
            </w:r>
          </w:p>
        </w:tc>
        <w:tc>
          <w:tcPr>
            <w:tcW w:w="1326" w:type="dxa"/>
            <w:vAlign w:val="center"/>
          </w:tcPr>
          <w:p w:rsidR="003663E4" w:rsidRDefault="00FD3F7D">
            <w:pPr>
              <w:jc w:val="center"/>
            </w:pPr>
            <w:r>
              <w:rPr>
                <w:szCs w:val="21"/>
              </w:rPr>
              <w:t>0.7770%</w:t>
            </w:r>
          </w:p>
        </w:tc>
        <w:tc>
          <w:tcPr>
            <w:tcW w:w="1327" w:type="dxa"/>
            <w:vAlign w:val="center"/>
          </w:tcPr>
          <w:p w:rsidR="003663E4" w:rsidRDefault="00FD3F7D">
            <w:pPr>
              <w:jc w:val="center"/>
            </w:pPr>
            <w:r>
              <w:rPr>
                <w:szCs w:val="21"/>
              </w:rPr>
              <w:t>0.0050%</w:t>
            </w:r>
          </w:p>
        </w:tc>
        <w:tc>
          <w:tcPr>
            <w:tcW w:w="1327" w:type="dxa"/>
          </w:tcPr>
          <w:p w:rsidR="003663E4" w:rsidRDefault="003663E4">
            <w:pPr>
              <w:jc w:val="center"/>
            </w:pPr>
          </w:p>
          <w:p w:rsidR="003663E4" w:rsidRDefault="00FD3F7D">
            <w:pPr>
              <w:jc w:val="center"/>
            </w:pPr>
            <w:r>
              <w:t>0.4364%</w:t>
            </w:r>
          </w:p>
        </w:tc>
        <w:tc>
          <w:tcPr>
            <w:tcW w:w="1327" w:type="dxa"/>
          </w:tcPr>
          <w:p w:rsidR="003663E4" w:rsidRDefault="003663E4">
            <w:pPr>
              <w:jc w:val="center"/>
            </w:pPr>
          </w:p>
          <w:p w:rsidR="003663E4" w:rsidRDefault="00FD3F7D">
            <w:pPr>
              <w:jc w:val="center"/>
            </w:pPr>
            <w:r>
              <w:t>0.0000%</w:t>
            </w:r>
          </w:p>
        </w:tc>
        <w:tc>
          <w:tcPr>
            <w:tcW w:w="1327" w:type="dxa"/>
            <w:vAlign w:val="center"/>
          </w:tcPr>
          <w:p w:rsidR="003663E4" w:rsidRDefault="00FD3F7D">
            <w:pPr>
              <w:jc w:val="center"/>
            </w:pPr>
            <w:r>
              <w:rPr>
                <w:szCs w:val="21"/>
              </w:rPr>
              <w:t>0.3406%</w:t>
            </w:r>
          </w:p>
        </w:tc>
        <w:tc>
          <w:tcPr>
            <w:tcW w:w="1327" w:type="dxa"/>
            <w:vAlign w:val="center"/>
          </w:tcPr>
          <w:p w:rsidR="003663E4" w:rsidRDefault="00FD3F7D">
            <w:pPr>
              <w:jc w:val="center"/>
            </w:pPr>
            <w:r>
              <w:rPr>
                <w:szCs w:val="21"/>
              </w:rPr>
              <w:t>0.0050%</w:t>
            </w:r>
          </w:p>
        </w:tc>
      </w:tr>
      <w:tr w:rsidR="003663E4">
        <w:trPr>
          <w:jc w:val="center"/>
        </w:trPr>
        <w:tc>
          <w:tcPr>
            <w:tcW w:w="1727" w:type="dxa"/>
            <w:vAlign w:val="center"/>
          </w:tcPr>
          <w:p w:rsidR="003663E4" w:rsidRDefault="00FD3F7D">
            <w:pPr>
              <w:jc w:val="left"/>
            </w:pPr>
            <w:r>
              <w:rPr>
                <w:szCs w:val="21"/>
              </w:rPr>
              <w:t>2019</w:t>
            </w:r>
            <w:r>
              <w:rPr>
                <w:szCs w:val="21"/>
              </w:rPr>
              <w:t>年</w:t>
            </w:r>
            <w:r>
              <w:rPr>
                <w:szCs w:val="21"/>
              </w:rPr>
              <w:t>10</w:t>
            </w:r>
            <w:r>
              <w:rPr>
                <w:szCs w:val="21"/>
              </w:rPr>
              <w:t>月</w:t>
            </w:r>
            <w:r>
              <w:rPr>
                <w:szCs w:val="21"/>
              </w:rPr>
              <w:t>1</w:t>
            </w:r>
            <w:r>
              <w:rPr>
                <w:szCs w:val="21"/>
              </w:rPr>
              <w:t>日至</w:t>
            </w:r>
            <w:r>
              <w:rPr>
                <w:szCs w:val="21"/>
              </w:rPr>
              <w:t>2020</w:t>
            </w:r>
            <w:r>
              <w:rPr>
                <w:szCs w:val="21"/>
              </w:rPr>
              <w:t>年</w:t>
            </w:r>
            <w:r>
              <w:rPr>
                <w:szCs w:val="21"/>
              </w:rPr>
              <w:t>7</w:t>
            </w:r>
            <w:r>
              <w:rPr>
                <w:szCs w:val="21"/>
              </w:rPr>
              <w:t>月</w:t>
            </w:r>
            <w:r>
              <w:rPr>
                <w:szCs w:val="21"/>
              </w:rPr>
              <w:t>27</w:t>
            </w:r>
            <w:r>
              <w:rPr>
                <w:szCs w:val="21"/>
              </w:rPr>
              <w:t>日</w:t>
            </w:r>
          </w:p>
        </w:tc>
        <w:tc>
          <w:tcPr>
            <w:tcW w:w="1326" w:type="dxa"/>
            <w:vAlign w:val="center"/>
          </w:tcPr>
          <w:p w:rsidR="003663E4" w:rsidRDefault="00FD3F7D">
            <w:pPr>
              <w:jc w:val="center"/>
            </w:pPr>
            <w:r>
              <w:rPr>
                <w:szCs w:val="21"/>
              </w:rPr>
              <w:t>2.1610%</w:t>
            </w:r>
          </w:p>
        </w:tc>
        <w:tc>
          <w:tcPr>
            <w:tcW w:w="1327" w:type="dxa"/>
            <w:vAlign w:val="center"/>
          </w:tcPr>
          <w:p w:rsidR="003663E4" w:rsidRDefault="00FD3F7D">
            <w:pPr>
              <w:jc w:val="center"/>
            </w:pPr>
            <w:r>
              <w:rPr>
                <w:szCs w:val="21"/>
              </w:rPr>
              <w:t>0.0034%</w:t>
            </w:r>
          </w:p>
        </w:tc>
        <w:tc>
          <w:tcPr>
            <w:tcW w:w="1327" w:type="dxa"/>
          </w:tcPr>
          <w:p w:rsidR="003663E4" w:rsidRDefault="003663E4">
            <w:pPr>
              <w:jc w:val="center"/>
            </w:pPr>
          </w:p>
          <w:p w:rsidR="003663E4" w:rsidRDefault="00FD3F7D">
            <w:pPr>
              <w:jc w:val="center"/>
            </w:pPr>
            <w:r>
              <w:t>1.1133%</w:t>
            </w:r>
          </w:p>
        </w:tc>
        <w:tc>
          <w:tcPr>
            <w:tcW w:w="1327" w:type="dxa"/>
          </w:tcPr>
          <w:p w:rsidR="003663E4" w:rsidRDefault="003663E4">
            <w:pPr>
              <w:jc w:val="center"/>
            </w:pPr>
          </w:p>
          <w:p w:rsidR="003663E4" w:rsidRDefault="00FD3F7D">
            <w:pPr>
              <w:jc w:val="center"/>
            </w:pPr>
            <w:r>
              <w:t>0.0000%</w:t>
            </w:r>
          </w:p>
        </w:tc>
        <w:tc>
          <w:tcPr>
            <w:tcW w:w="1327" w:type="dxa"/>
            <w:vAlign w:val="center"/>
          </w:tcPr>
          <w:p w:rsidR="003663E4" w:rsidRDefault="00FD3F7D">
            <w:pPr>
              <w:jc w:val="center"/>
            </w:pPr>
            <w:r>
              <w:rPr>
                <w:szCs w:val="21"/>
              </w:rPr>
              <w:t>1.0477%</w:t>
            </w:r>
          </w:p>
        </w:tc>
        <w:tc>
          <w:tcPr>
            <w:tcW w:w="1327" w:type="dxa"/>
            <w:vAlign w:val="center"/>
          </w:tcPr>
          <w:p w:rsidR="003663E4" w:rsidRDefault="00FD3F7D">
            <w:pPr>
              <w:jc w:val="center"/>
            </w:pPr>
            <w:r>
              <w:rPr>
                <w:szCs w:val="21"/>
              </w:rPr>
              <w:t>0.0034%</w:t>
            </w:r>
          </w:p>
        </w:tc>
      </w:tr>
      <w:tr w:rsidR="003663E4">
        <w:trPr>
          <w:jc w:val="center"/>
        </w:trPr>
        <w:tc>
          <w:tcPr>
            <w:tcW w:w="1727" w:type="dxa"/>
            <w:vAlign w:val="center"/>
          </w:tcPr>
          <w:p w:rsidR="003663E4" w:rsidRDefault="00FD3F7D">
            <w:pPr>
              <w:jc w:val="left"/>
            </w:pPr>
            <w:r>
              <w:rPr>
                <w:szCs w:val="21"/>
              </w:rPr>
              <w:t>2017</w:t>
            </w:r>
            <w:r>
              <w:rPr>
                <w:szCs w:val="21"/>
              </w:rPr>
              <w:t>年</w:t>
            </w:r>
            <w:r>
              <w:rPr>
                <w:szCs w:val="21"/>
              </w:rPr>
              <w:t>10</w:t>
            </w:r>
            <w:r>
              <w:rPr>
                <w:szCs w:val="21"/>
              </w:rPr>
              <w:t>月</w:t>
            </w:r>
            <w:r>
              <w:rPr>
                <w:szCs w:val="21"/>
              </w:rPr>
              <w:t>1</w:t>
            </w:r>
            <w:r>
              <w:rPr>
                <w:szCs w:val="21"/>
              </w:rPr>
              <w:t>日至</w:t>
            </w:r>
            <w:r>
              <w:rPr>
                <w:szCs w:val="21"/>
              </w:rPr>
              <w:t>2020</w:t>
            </w:r>
            <w:r>
              <w:rPr>
                <w:szCs w:val="21"/>
              </w:rPr>
              <w:t>年</w:t>
            </w:r>
            <w:r>
              <w:rPr>
                <w:szCs w:val="21"/>
              </w:rPr>
              <w:t>7</w:t>
            </w:r>
            <w:r>
              <w:rPr>
                <w:szCs w:val="21"/>
              </w:rPr>
              <w:t>月</w:t>
            </w:r>
            <w:r>
              <w:rPr>
                <w:szCs w:val="21"/>
              </w:rPr>
              <w:t>27</w:t>
            </w:r>
            <w:r>
              <w:rPr>
                <w:szCs w:val="21"/>
              </w:rPr>
              <w:t>日</w:t>
            </w:r>
          </w:p>
        </w:tc>
        <w:tc>
          <w:tcPr>
            <w:tcW w:w="1326" w:type="dxa"/>
            <w:vAlign w:val="center"/>
          </w:tcPr>
          <w:p w:rsidR="003663E4" w:rsidRDefault="00FD3F7D">
            <w:pPr>
              <w:jc w:val="center"/>
            </w:pPr>
            <w:r>
              <w:rPr>
                <w:szCs w:val="21"/>
              </w:rPr>
              <w:t>10.4376%</w:t>
            </w:r>
          </w:p>
        </w:tc>
        <w:tc>
          <w:tcPr>
            <w:tcW w:w="1327" w:type="dxa"/>
            <w:vAlign w:val="center"/>
          </w:tcPr>
          <w:p w:rsidR="003663E4" w:rsidRDefault="00FD3F7D">
            <w:pPr>
              <w:jc w:val="center"/>
            </w:pPr>
            <w:r>
              <w:rPr>
                <w:szCs w:val="21"/>
              </w:rPr>
              <w:t>0.0031%</w:t>
            </w:r>
          </w:p>
        </w:tc>
        <w:tc>
          <w:tcPr>
            <w:tcW w:w="1327" w:type="dxa"/>
          </w:tcPr>
          <w:p w:rsidR="003663E4" w:rsidRDefault="003663E4">
            <w:pPr>
              <w:jc w:val="center"/>
            </w:pPr>
          </w:p>
          <w:p w:rsidR="003663E4" w:rsidRDefault="00FD3F7D">
            <w:pPr>
              <w:jc w:val="center"/>
            </w:pPr>
            <w:r>
              <w:t>3.8133%</w:t>
            </w:r>
          </w:p>
        </w:tc>
        <w:tc>
          <w:tcPr>
            <w:tcW w:w="1327" w:type="dxa"/>
          </w:tcPr>
          <w:p w:rsidR="003663E4" w:rsidRDefault="003663E4">
            <w:pPr>
              <w:jc w:val="center"/>
            </w:pPr>
          </w:p>
          <w:p w:rsidR="003663E4" w:rsidRDefault="00FD3F7D">
            <w:pPr>
              <w:jc w:val="center"/>
            </w:pPr>
            <w:r>
              <w:t>0.0000%</w:t>
            </w:r>
          </w:p>
        </w:tc>
        <w:tc>
          <w:tcPr>
            <w:tcW w:w="1327" w:type="dxa"/>
            <w:vAlign w:val="center"/>
          </w:tcPr>
          <w:p w:rsidR="003663E4" w:rsidRDefault="00FD3F7D">
            <w:pPr>
              <w:jc w:val="center"/>
            </w:pPr>
            <w:r>
              <w:rPr>
                <w:szCs w:val="21"/>
              </w:rPr>
              <w:t>6.6243%</w:t>
            </w:r>
          </w:p>
        </w:tc>
        <w:tc>
          <w:tcPr>
            <w:tcW w:w="1327" w:type="dxa"/>
            <w:vAlign w:val="center"/>
          </w:tcPr>
          <w:p w:rsidR="003663E4" w:rsidRDefault="00FD3F7D">
            <w:pPr>
              <w:jc w:val="center"/>
            </w:pPr>
            <w:r>
              <w:rPr>
                <w:szCs w:val="21"/>
              </w:rPr>
              <w:t>0.0031%</w:t>
            </w:r>
          </w:p>
        </w:tc>
      </w:tr>
      <w:tr w:rsidR="003663E4">
        <w:trPr>
          <w:jc w:val="center"/>
        </w:trPr>
        <w:tc>
          <w:tcPr>
            <w:tcW w:w="1727" w:type="dxa"/>
            <w:vAlign w:val="center"/>
          </w:tcPr>
          <w:p w:rsidR="003663E4" w:rsidRDefault="00FD3F7D">
            <w:pPr>
              <w:jc w:val="left"/>
            </w:pPr>
            <w:r>
              <w:rPr>
                <w:szCs w:val="21"/>
              </w:rPr>
              <w:t>2015</w:t>
            </w:r>
            <w:r>
              <w:rPr>
                <w:szCs w:val="21"/>
              </w:rPr>
              <w:t>年</w:t>
            </w:r>
            <w:r>
              <w:rPr>
                <w:szCs w:val="21"/>
              </w:rPr>
              <w:t>10</w:t>
            </w:r>
            <w:r>
              <w:rPr>
                <w:szCs w:val="21"/>
              </w:rPr>
              <w:t>月</w:t>
            </w:r>
            <w:r>
              <w:rPr>
                <w:szCs w:val="21"/>
              </w:rPr>
              <w:t>01</w:t>
            </w:r>
            <w:r>
              <w:rPr>
                <w:szCs w:val="21"/>
              </w:rPr>
              <w:t>至</w:t>
            </w:r>
            <w:r>
              <w:rPr>
                <w:szCs w:val="21"/>
              </w:rPr>
              <w:t>2020</w:t>
            </w:r>
            <w:r>
              <w:rPr>
                <w:szCs w:val="21"/>
              </w:rPr>
              <w:t>年</w:t>
            </w:r>
            <w:r>
              <w:rPr>
                <w:szCs w:val="21"/>
              </w:rPr>
              <w:t>7</w:t>
            </w:r>
            <w:r>
              <w:rPr>
                <w:szCs w:val="21"/>
              </w:rPr>
              <w:t>月</w:t>
            </w:r>
            <w:r>
              <w:rPr>
                <w:szCs w:val="21"/>
              </w:rPr>
              <w:t>27</w:t>
            </w:r>
            <w:r>
              <w:rPr>
                <w:szCs w:val="21"/>
              </w:rPr>
              <w:t>日</w:t>
            </w:r>
          </w:p>
        </w:tc>
        <w:tc>
          <w:tcPr>
            <w:tcW w:w="1326" w:type="dxa"/>
            <w:vAlign w:val="center"/>
          </w:tcPr>
          <w:p w:rsidR="003663E4" w:rsidRDefault="00FD3F7D">
            <w:pPr>
              <w:jc w:val="center"/>
            </w:pPr>
            <w:r>
              <w:rPr>
                <w:szCs w:val="21"/>
              </w:rPr>
              <w:t>16.2971%</w:t>
            </w:r>
          </w:p>
        </w:tc>
        <w:tc>
          <w:tcPr>
            <w:tcW w:w="1327" w:type="dxa"/>
            <w:vAlign w:val="center"/>
          </w:tcPr>
          <w:p w:rsidR="003663E4" w:rsidRDefault="00FD3F7D">
            <w:pPr>
              <w:jc w:val="center"/>
            </w:pPr>
            <w:r>
              <w:rPr>
                <w:szCs w:val="21"/>
              </w:rPr>
              <w:t>0.0038%</w:t>
            </w:r>
          </w:p>
        </w:tc>
        <w:tc>
          <w:tcPr>
            <w:tcW w:w="1327" w:type="dxa"/>
          </w:tcPr>
          <w:p w:rsidR="003663E4" w:rsidRDefault="003663E4">
            <w:pPr>
              <w:jc w:val="center"/>
            </w:pPr>
          </w:p>
          <w:p w:rsidR="003663E4" w:rsidRDefault="00FD3F7D">
            <w:pPr>
              <w:jc w:val="center"/>
            </w:pPr>
            <w:r>
              <w:t>6.5170%</w:t>
            </w:r>
          </w:p>
        </w:tc>
        <w:tc>
          <w:tcPr>
            <w:tcW w:w="1327" w:type="dxa"/>
          </w:tcPr>
          <w:p w:rsidR="003663E4" w:rsidRDefault="003663E4">
            <w:pPr>
              <w:jc w:val="center"/>
            </w:pPr>
          </w:p>
          <w:p w:rsidR="003663E4" w:rsidRDefault="00FD3F7D">
            <w:pPr>
              <w:jc w:val="center"/>
            </w:pPr>
            <w:r>
              <w:t>0.0000%</w:t>
            </w:r>
          </w:p>
        </w:tc>
        <w:tc>
          <w:tcPr>
            <w:tcW w:w="1327" w:type="dxa"/>
            <w:vAlign w:val="center"/>
          </w:tcPr>
          <w:p w:rsidR="003663E4" w:rsidRDefault="00FD3F7D">
            <w:pPr>
              <w:jc w:val="center"/>
            </w:pPr>
            <w:r>
              <w:rPr>
                <w:szCs w:val="21"/>
              </w:rPr>
              <w:t>9.7801%</w:t>
            </w:r>
          </w:p>
        </w:tc>
        <w:tc>
          <w:tcPr>
            <w:tcW w:w="1327" w:type="dxa"/>
            <w:vAlign w:val="center"/>
          </w:tcPr>
          <w:p w:rsidR="003663E4" w:rsidRDefault="00FD3F7D">
            <w:pPr>
              <w:jc w:val="center"/>
            </w:pPr>
            <w:r>
              <w:rPr>
                <w:szCs w:val="21"/>
              </w:rPr>
              <w:t>0.0038%</w:t>
            </w:r>
          </w:p>
        </w:tc>
      </w:tr>
      <w:tr w:rsidR="003663E4">
        <w:trPr>
          <w:jc w:val="center"/>
        </w:trPr>
        <w:tc>
          <w:tcPr>
            <w:tcW w:w="1727" w:type="dxa"/>
            <w:vAlign w:val="center"/>
          </w:tcPr>
          <w:p w:rsidR="003663E4" w:rsidRDefault="00FD3F7D">
            <w:pPr>
              <w:jc w:val="left"/>
            </w:pPr>
            <w:r>
              <w:rPr>
                <w:szCs w:val="21"/>
              </w:rPr>
              <w:t>自基金合同生效起至</w:t>
            </w:r>
            <w:r>
              <w:rPr>
                <w:szCs w:val="21"/>
              </w:rPr>
              <w:t>2020</w:t>
            </w:r>
            <w:r>
              <w:rPr>
                <w:szCs w:val="21"/>
              </w:rPr>
              <w:t>年</w:t>
            </w:r>
            <w:r>
              <w:rPr>
                <w:szCs w:val="21"/>
              </w:rPr>
              <w:t>7</w:t>
            </w:r>
            <w:r>
              <w:rPr>
                <w:szCs w:val="21"/>
              </w:rPr>
              <w:t>月</w:t>
            </w:r>
            <w:r>
              <w:rPr>
                <w:szCs w:val="21"/>
              </w:rPr>
              <w:t>27</w:t>
            </w:r>
            <w:r>
              <w:rPr>
                <w:szCs w:val="21"/>
              </w:rPr>
              <w:t>日</w:t>
            </w:r>
          </w:p>
        </w:tc>
        <w:tc>
          <w:tcPr>
            <w:tcW w:w="1326" w:type="dxa"/>
            <w:vAlign w:val="center"/>
          </w:tcPr>
          <w:p w:rsidR="003663E4" w:rsidRDefault="00FD3F7D">
            <w:pPr>
              <w:jc w:val="center"/>
            </w:pPr>
            <w:r>
              <w:rPr>
                <w:szCs w:val="21"/>
              </w:rPr>
              <w:t>25.7653%</w:t>
            </w:r>
          </w:p>
        </w:tc>
        <w:tc>
          <w:tcPr>
            <w:tcW w:w="1327" w:type="dxa"/>
            <w:vAlign w:val="center"/>
          </w:tcPr>
          <w:p w:rsidR="003663E4" w:rsidRDefault="00FD3F7D">
            <w:pPr>
              <w:jc w:val="center"/>
            </w:pPr>
            <w:r>
              <w:rPr>
                <w:szCs w:val="21"/>
              </w:rPr>
              <w:t>0.0070%</w:t>
            </w:r>
          </w:p>
        </w:tc>
        <w:tc>
          <w:tcPr>
            <w:tcW w:w="1327" w:type="dxa"/>
          </w:tcPr>
          <w:p w:rsidR="003663E4" w:rsidRDefault="003663E4">
            <w:pPr>
              <w:jc w:val="center"/>
            </w:pPr>
          </w:p>
          <w:p w:rsidR="003663E4" w:rsidRDefault="00FD3F7D">
            <w:pPr>
              <w:jc w:val="center"/>
            </w:pPr>
            <w:r>
              <w:t>9.9641%</w:t>
            </w:r>
          </w:p>
        </w:tc>
        <w:tc>
          <w:tcPr>
            <w:tcW w:w="1327" w:type="dxa"/>
          </w:tcPr>
          <w:p w:rsidR="003663E4" w:rsidRDefault="003663E4">
            <w:pPr>
              <w:jc w:val="center"/>
            </w:pPr>
          </w:p>
          <w:p w:rsidR="003663E4" w:rsidRDefault="00FD3F7D">
            <w:pPr>
              <w:jc w:val="center"/>
            </w:pPr>
            <w:r>
              <w:t>0.0000%</w:t>
            </w:r>
          </w:p>
        </w:tc>
        <w:tc>
          <w:tcPr>
            <w:tcW w:w="1327" w:type="dxa"/>
            <w:vAlign w:val="center"/>
          </w:tcPr>
          <w:p w:rsidR="003663E4" w:rsidRDefault="00FD3F7D">
            <w:pPr>
              <w:jc w:val="center"/>
            </w:pPr>
            <w:r>
              <w:rPr>
                <w:szCs w:val="21"/>
              </w:rPr>
              <w:t>15.8012%</w:t>
            </w:r>
          </w:p>
        </w:tc>
        <w:tc>
          <w:tcPr>
            <w:tcW w:w="1327" w:type="dxa"/>
            <w:vAlign w:val="center"/>
          </w:tcPr>
          <w:p w:rsidR="003663E4" w:rsidRDefault="00FD3F7D">
            <w:pPr>
              <w:jc w:val="center"/>
            </w:pPr>
            <w:r>
              <w:rPr>
                <w:szCs w:val="21"/>
              </w:rPr>
              <w:t>0.0070%</w:t>
            </w:r>
          </w:p>
        </w:tc>
      </w:tr>
    </w:tbl>
    <w:p w:rsidR="003663E4" w:rsidRDefault="00FD3F7D">
      <w:pPr>
        <w:spacing w:line="360" w:lineRule="auto"/>
        <w:ind w:firstLineChars="200" w:firstLine="420"/>
        <w:rPr>
          <w:color w:val="000000"/>
          <w:szCs w:val="21"/>
        </w:rPr>
      </w:pPr>
      <w:r>
        <w:rPr>
          <w:color w:val="000000"/>
          <w:szCs w:val="21"/>
        </w:rPr>
        <w:t>注：</w:t>
      </w:r>
      <w:r>
        <w:rPr>
          <w:color w:val="000000"/>
          <w:szCs w:val="21"/>
        </w:rPr>
        <w:t>1</w:t>
      </w:r>
      <w:r>
        <w:rPr>
          <w:color w:val="000000"/>
          <w:szCs w:val="21"/>
        </w:rPr>
        <w:t>、本表净值收益率数据所取的基金运作周期为基金合同生效日为起始日的运作周期。</w:t>
      </w:r>
    </w:p>
    <w:p w:rsidR="003663E4" w:rsidRDefault="00FD3F7D">
      <w:pPr>
        <w:spacing w:line="360" w:lineRule="auto"/>
        <w:ind w:firstLineChars="200" w:firstLine="420"/>
        <w:rPr>
          <w:color w:val="000000"/>
          <w:szCs w:val="21"/>
        </w:rPr>
      </w:pPr>
      <w:r>
        <w:rPr>
          <w:color w:val="000000"/>
          <w:szCs w:val="21"/>
        </w:rPr>
        <w:t>2</w:t>
      </w:r>
      <w:r>
        <w:rPr>
          <w:color w:val="000000"/>
          <w:szCs w:val="21"/>
        </w:rPr>
        <w:t>、本基金每日计算当日收益并分配，并在运作期期末集中支付。</w:t>
      </w:r>
    </w:p>
    <w:p w:rsidR="003663E4" w:rsidRDefault="00FD3F7D">
      <w:pPr>
        <w:spacing w:line="360" w:lineRule="auto"/>
        <w:ind w:firstLineChars="200" w:firstLine="420"/>
        <w:rPr>
          <w:color w:val="000000"/>
          <w:szCs w:val="21"/>
        </w:rPr>
      </w:pPr>
      <w:r>
        <w:rPr>
          <w:color w:val="000000"/>
          <w:szCs w:val="21"/>
        </w:rPr>
        <w:t>3</w:t>
      </w:r>
      <w:r>
        <w:rPr>
          <w:color w:val="000000"/>
          <w:szCs w:val="21"/>
        </w:rPr>
        <w:t>、交银施罗德理财</w:t>
      </w:r>
      <w:r>
        <w:rPr>
          <w:color w:val="000000"/>
          <w:szCs w:val="21"/>
        </w:rPr>
        <w:t>60</w:t>
      </w:r>
      <w:r>
        <w:rPr>
          <w:color w:val="000000"/>
          <w:szCs w:val="21"/>
        </w:rPr>
        <w:t>天债券型证券投资基金从</w:t>
      </w: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日起正式转型为交银施罗德裕惠纯债债券型证券投资基金，本表列示的是本报告期基金转型前的基金净值表现，转型前基金的业绩比较基准为人民币七天通知存款税后利率。</w:t>
      </w:r>
    </w:p>
    <w:p w:rsidR="003663E4" w:rsidRDefault="00FD3F7D">
      <w:pPr>
        <w:spacing w:line="360" w:lineRule="auto"/>
        <w:rPr>
          <w:rFonts w:eastAsiaTheme="minorEastAsia"/>
          <w:b/>
          <w:color w:val="000000"/>
          <w:kern w:val="0"/>
          <w:szCs w:val="21"/>
        </w:rPr>
      </w:pPr>
      <w:r>
        <w:rPr>
          <w:rFonts w:eastAsiaTheme="minorEastAsia" w:hint="eastAsia"/>
          <w:b/>
          <w:color w:val="000000"/>
          <w:szCs w:val="21"/>
        </w:rPr>
        <w:t>3.2.2.2</w:t>
      </w:r>
      <w:r>
        <w:rPr>
          <w:rFonts w:eastAsiaTheme="minorEastAsia" w:hint="eastAsia"/>
          <w:b/>
          <w:color w:val="000000"/>
          <w:kern w:val="0"/>
          <w:szCs w:val="21"/>
        </w:rPr>
        <w:t xml:space="preserve"> </w:t>
      </w:r>
      <w:r>
        <w:rPr>
          <w:rFonts w:eastAsiaTheme="minorEastAsia"/>
          <w:b/>
          <w:color w:val="000000"/>
          <w:kern w:val="0"/>
          <w:szCs w:val="21"/>
        </w:rPr>
        <w:t>自基金合同生效以来</w:t>
      </w:r>
      <w:r>
        <w:rPr>
          <w:rFonts w:ascii="宋体" w:hAnsi="宋体" w:hint="eastAsia"/>
          <w:b/>
          <w:color w:val="000000"/>
          <w:szCs w:val="21"/>
        </w:rPr>
        <w:t>基金份额累计净值收益率变动及其与同期业绩比较基准收益率变动的比较</w:t>
      </w:r>
    </w:p>
    <w:p w:rsidR="003663E4" w:rsidRDefault="00FD3F7D">
      <w:pPr>
        <w:spacing w:line="360" w:lineRule="auto"/>
        <w:jc w:val="center"/>
        <w:rPr>
          <w:rFonts w:eastAsiaTheme="minorEastAsia"/>
          <w:color w:val="000000"/>
          <w:szCs w:val="21"/>
        </w:rPr>
      </w:pPr>
      <w:r>
        <w:rPr>
          <w:rFonts w:eastAsiaTheme="minorEastAsia"/>
          <w:color w:val="000000"/>
          <w:szCs w:val="21"/>
        </w:rPr>
        <w:t>交银施罗德理财</w:t>
      </w:r>
      <w:r>
        <w:rPr>
          <w:rFonts w:eastAsiaTheme="minorEastAsia"/>
          <w:color w:val="000000"/>
          <w:szCs w:val="21"/>
        </w:rPr>
        <w:t>60</w:t>
      </w:r>
      <w:r>
        <w:rPr>
          <w:rFonts w:eastAsiaTheme="minorEastAsia"/>
          <w:color w:val="000000"/>
          <w:szCs w:val="21"/>
        </w:rPr>
        <w:t>天债券型证券投资基金</w:t>
      </w:r>
    </w:p>
    <w:p w:rsidR="003663E4" w:rsidRDefault="00FD3F7D">
      <w:pPr>
        <w:spacing w:line="360" w:lineRule="auto"/>
        <w:jc w:val="center"/>
        <w:rPr>
          <w:rFonts w:eastAsiaTheme="minorEastAsia"/>
          <w:color w:val="000000"/>
          <w:szCs w:val="21"/>
        </w:rPr>
      </w:pPr>
      <w:r>
        <w:rPr>
          <w:rFonts w:hint="eastAsia"/>
          <w:szCs w:val="21"/>
        </w:rPr>
        <w:t>份额累计净值收益率与业绩比较基准收益率历史走势对比图</w:t>
      </w:r>
    </w:p>
    <w:p w:rsidR="003663E4" w:rsidRDefault="00FD3F7D">
      <w:pPr>
        <w:spacing w:line="360" w:lineRule="auto"/>
        <w:jc w:val="center"/>
        <w:rPr>
          <w:rFonts w:eastAsiaTheme="minorEastAsia"/>
          <w:color w:val="000000"/>
          <w:szCs w:val="21"/>
        </w:rPr>
      </w:pPr>
      <w:r>
        <w:rPr>
          <w:rFonts w:eastAsiaTheme="minorEastAsia"/>
          <w:color w:val="000000"/>
          <w:szCs w:val="21"/>
        </w:rPr>
        <w:t>（</w:t>
      </w:r>
      <w:r>
        <w:rPr>
          <w:rFonts w:eastAsiaTheme="minorEastAsia"/>
          <w:color w:val="000000"/>
          <w:szCs w:val="21"/>
        </w:rPr>
        <w:t>2013</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13</w:t>
      </w:r>
      <w:r>
        <w:rPr>
          <w:rFonts w:eastAsiaTheme="minorEastAsia"/>
          <w:color w:val="000000"/>
          <w:szCs w:val="21"/>
        </w:rPr>
        <w:t>日至</w:t>
      </w:r>
      <w:r>
        <w:rPr>
          <w:rFonts w:eastAsiaTheme="minorEastAsia"/>
          <w:color w:val="000000"/>
          <w:szCs w:val="21"/>
        </w:rPr>
        <w:t>2020</w:t>
      </w:r>
      <w:r>
        <w:rPr>
          <w:rFonts w:eastAsiaTheme="minorEastAsia"/>
          <w:color w:val="000000"/>
          <w:szCs w:val="21"/>
        </w:rPr>
        <w:t>年</w:t>
      </w:r>
      <w:r>
        <w:rPr>
          <w:rFonts w:eastAsiaTheme="minorEastAsia"/>
          <w:color w:val="000000"/>
          <w:szCs w:val="21"/>
        </w:rPr>
        <w:t>7</w:t>
      </w:r>
      <w:r>
        <w:rPr>
          <w:rFonts w:eastAsiaTheme="minorEastAsia"/>
          <w:color w:val="000000"/>
          <w:szCs w:val="21"/>
        </w:rPr>
        <w:t>月</w:t>
      </w:r>
      <w:r>
        <w:rPr>
          <w:rFonts w:eastAsiaTheme="minorEastAsia"/>
          <w:color w:val="000000"/>
          <w:szCs w:val="21"/>
        </w:rPr>
        <w:t>27</w:t>
      </w:r>
      <w:r>
        <w:rPr>
          <w:rFonts w:eastAsiaTheme="minorEastAsia"/>
          <w:color w:val="000000"/>
          <w:szCs w:val="21"/>
        </w:rPr>
        <w:t>日）</w:t>
      </w:r>
    </w:p>
    <w:p w:rsidR="003663E4" w:rsidRDefault="00FD3F7D">
      <w:pPr>
        <w:pStyle w:val="21"/>
        <w:spacing w:line="360" w:lineRule="auto"/>
        <w:ind w:firstLineChars="0" w:firstLine="0"/>
        <w:rPr>
          <w:rFonts w:ascii="Times New Roman" w:eastAsiaTheme="minorEastAsia" w:hAnsi="Times New Roman"/>
          <w:color w:val="auto"/>
          <w:sz w:val="21"/>
          <w:szCs w:val="21"/>
        </w:rPr>
      </w:pPr>
      <w:r>
        <w:rPr>
          <w:rFonts w:ascii="Times New Roman" w:eastAsiaTheme="minorEastAsia" w:hAnsi="Times New Roman"/>
          <w:color w:val="auto"/>
          <w:sz w:val="21"/>
          <w:szCs w:val="21"/>
        </w:rPr>
        <w:t>交银理财</w:t>
      </w:r>
      <w:r>
        <w:rPr>
          <w:rFonts w:ascii="Times New Roman" w:eastAsiaTheme="minorEastAsia" w:hAnsi="Times New Roman"/>
          <w:color w:val="auto"/>
          <w:sz w:val="21"/>
          <w:szCs w:val="21"/>
        </w:rPr>
        <w:t>60</w:t>
      </w:r>
      <w:r>
        <w:rPr>
          <w:rFonts w:ascii="Times New Roman" w:eastAsiaTheme="minorEastAsia" w:hAnsi="Times New Roman"/>
          <w:color w:val="auto"/>
          <w:sz w:val="21"/>
          <w:szCs w:val="21"/>
        </w:rPr>
        <w:t>天债券</w:t>
      </w:r>
      <w:r>
        <w:rPr>
          <w:rFonts w:ascii="Times New Roman" w:eastAsiaTheme="minorEastAsia" w:hAnsi="Times New Roman"/>
          <w:color w:val="auto"/>
          <w:sz w:val="21"/>
          <w:szCs w:val="21"/>
        </w:rPr>
        <w:t>A</w:t>
      </w:r>
    </w:p>
    <w:p w:rsidR="003663E4" w:rsidRDefault="00FD3F7D">
      <w:pPr>
        <w:pStyle w:val="21"/>
        <w:spacing w:line="360" w:lineRule="auto"/>
        <w:ind w:firstLineChars="0" w:firstLine="0"/>
        <w:rPr>
          <w:rFonts w:ascii="Times New Roman" w:eastAsiaTheme="minorEastAsia" w:hAnsi="Times New Roman"/>
          <w:color w:val="auto"/>
          <w:sz w:val="21"/>
          <w:szCs w:val="21"/>
        </w:rPr>
      </w:pPr>
      <w:r>
        <w:rPr>
          <w:noProof/>
          <w:color w:val="000000"/>
          <w:szCs w:val="21"/>
        </w:rPr>
        <w:drawing>
          <wp:inline distT="0" distB="0" distL="0" distR="0">
            <wp:extent cx="5755005" cy="3375660"/>
            <wp:effectExtent l="0" t="0" r="17145" b="15240"/>
            <wp:docPr id="2" name="图片 2" descr="说明: 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说明: C:\Users\bonnieliu\Desktop\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755005" cy="3375660"/>
                    </a:xfrm>
                    <a:prstGeom prst="rect">
                      <a:avLst/>
                    </a:prstGeom>
                    <a:noFill/>
                    <a:ln>
                      <a:noFill/>
                    </a:ln>
                  </pic:spPr>
                </pic:pic>
              </a:graphicData>
            </a:graphic>
          </wp:inline>
        </w:drawing>
      </w:r>
    </w:p>
    <w:p w:rsidR="003663E4" w:rsidRDefault="00FD3F7D">
      <w:pPr>
        <w:pStyle w:val="21"/>
        <w:spacing w:beforeLines="50" w:before="156" w:line="360" w:lineRule="auto"/>
        <w:ind w:firstLineChars="0" w:firstLine="0"/>
        <w:rPr>
          <w:rFonts w:ascii="Times New Roman" w:eastAsiaTheme="minorEastAsia" w:hAnsi="Times New Roman"/>
          <w:color w:val="auto"/>
          <w:sz w:val="21"/>
          <w:szCs w:val="21"/>
        </w:rPr>
      </w:pPr>
      <w:r>
        <w:rPr>
          <w:rFonts w:ascii="Times New Roman" w:eastAsiaTheme="minorEastAsia" w:hAnsi="Times New Roman" w:hint="eastAsia"/>
          <w:color w:val="auto"/>
          <w:sz w:val="21"/>
          <w:szCs w:val="21"/>
        </w:rPr>
        <w:t>注：本基金建仓期为自基金合同生效日起的</w:t>
      </w:r>
      <w:r>
        <w:rPr>
          <w:rFonts w:ascii="Times New Roman" w:eastAsiaTheme="minorEastAsia" w:hAnsi="Times New Roman" w:hint="eastAsia"/>
          <w:color w:val="auto"/>
          <w:sz w:val="21"/>
          <w:szCs w:val="21"/>
        </w:rPr>
        <w:t>2</w:t>
      </w:r>
      <w:r>
        <w:rPr>
          <w:rFonts w:ascii="Times New Roman" w:eastAsiaTheme="minorEastAsia" w:hAnsi="Times New Roman" w:hint="eastAsia"/>
          <w:color w:val="auto"/>
          <w:sz w:val="21"/>
          <w:szCs w:val="21"/>
        </w:rPr>
        <w:t>个月。截至建仓期结束，本基金各项资产配置比例符合基金合同及招募说明书有关投资比例的约定。</w:t>
      </w:r>
    </w:p>
    <w:p w:rsidR="003663E4" w:rsidRDefault="00FD3F7D">
      <w:pPr>
        <w:pStyle w:val="21"/>
        <w:spacing w:beforeLines="50" w:before="156" w:line="360" w:lineRule="auto"/>
        <w:ind w:firstLineChars="0" w:firstLine="0"/>
        <w:rPr>
          <w:rFonts w:ascii="Times New Roman" w:eastAsiaTheme="minorEastAsia" w:hAnsi="Times New Roman"/>
          <w:color w:val="auto"/>
          <w:sz w:val="21"/>
          <w:szCs w:val="21"/>
        </w:rPr>
      </w:pPr>
      <w:r>
        <w:rPr>
          <w:rFonts w:ascii="Times New Roman" w:eastAsiaTheme="minorEastAsia" w:hAnsi="Times New Roman"/>
          <w:color w:val="auto"/>
          <w:sz w:val="21"/>
          <w:szCs w:val="21"/>
        </w:rPr>
        <w:t>交银理财</w:t>
      </w:r>
      <w:r>
        <w:rPr>
          <w:rFonts w:ascii="Times New Roman" w:eastAsiaTheme="minorEastAsia" w:hAnsi="Times New Roman"/>
          <w:color w:val="auto"/>
          <w:sz w:val="21"/>
          <w:szCs w:val="21"/>
        </w:rPr>
        <w:t>60</w:t>
      </w:r>
      <w:r>
        <w:rPr>
          <w:rFonts w:ascii="Times New Roman" w:eastAsiaTheme="minorEastAsia" w:hAnsi="Times New Roman"/>
          <w:color w:val="auto"/>
          <w:sz w:val="21"/>
          <w:szCs w:val="21"/>
        </w:rPr>
        <w:t>天债券</w:t>
      </w:r>
      <w:r>
        <w:rPr>
          <w:rFonts w:ascii="Times New Roman" w:eastAsiaTheme="minorEastAsia" w:hAnsi="Times New Roman"/>
          <w:color w:val="auto"/>
          <w:sz w:val="21"/>
          <w:szCs w:val="21"/>
        </w:rPr>
        <w:t>B</w:t>
      </w:r>
    </w:p>
    <w:p w:rsidR="003663E4" w:rsidRDefault="00FD3F7D">
      <w:pPr>
        <w:pStyle w:val="21"/>
        <w:spacing w:beforeLines="50" w:before="156" w:line="360" w:lineRule="auto"/>
        <w:ind w:firstLineChars="0" w:firstLine="0"/>
        <w:rPr>
          <w:rFonts w:ascii="Times New Roman" w:eastAsiaTheme="minorEastAsia" w:hAnsi="Times New Roman"/>
          <w:color w:val="auto"/>
          <w:sz w:val="21"/>
          <w:szCs w:val="21"/>
        </w:rPr>
      </w:pPr>
      <w:r>
        <w:rPr>
          <w:rFonts w:eastAsiaTheme="minorEastAsia"/>
          <w:noProof/>
          <w:color w:val="000000"/>
        </w:rPr>
        <w:drawing>
          <wp:inline distT="0" distB="0" distL="0" distR="0">
            <wp:extent cx="5600700" cy="3280410"/>
            <wp:effectExtent l="0" t="0" r="0" b="0"/>
            <wp:docPr id="9" name="图片 9"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600700" cy="3280938"/>
                    </a:xfrm>
                    <a:prstGeom prst="rect">
                      <a:avLst/>
                    </a:prstGeom>
                    <a:noFill/>
                    <a:ln>
                      <a:noFill/>
                    </a:ln>
                  </pic:spPr>
                </pic:pic>
              </a:graphicData>
            </a:graphic>
          </wp:inline>
        </w:drawing>
      </w:r>
    </w:p>
    <w:p w:rsidR="003663E4" w:rsidRDefault="00FD3F7D">
      <w:pPr>
        <w:spacing w:line="360" w:lineRule="auto"/>
        <w:jc w:val="left"/>
        <w:rPr>
          <w:rFonts w:eastAsiaTheme="minorEastAsia"/>
          <w:color w:val="000000"/>
          <w:szCs w:val="21"/>
        </w:rPr>
      </w:pPr>
      <w:r>
        <w:rPr>
          <w:rFonts w:eastAsiaTheme="minorEastAsia" w:hint="eastAsia"/>
          <w:color w:val="000000"/>
          <w:szCs w:val="21"/>
        </w:rPr>
        <w:t>注：本基金建仓期为自基金合同生效日起的</w:t>
      </w:r>
      <w:r>
        <w:rPr>
          <w:rFonts w:eastAsiaTheme="minorEastAsia" w:hint="eastAsia"/>
          <w:color w:val="000000"/>
          <w:szCs w:val="21"/>
        </w:rPr>
        <w:t>2</w:t>
      </w:r>
      <w:r>
        <w:rPr>
          <w:rFonts w:eastAsiaTheme="minorEastAsia" w:hint="eastAsia"/>
          <w:color w:val="000000"/>
          <w:szCs w:val="21"/>
        </w:rPr>
        <w:t>个月。截至建仓期结束，本基金各项资产配置比例符合基金合同及招募说明书有关投资比例的约定。</w:t>
      </w:r>
    </w:p>
    <w:p w:rsidR="003663E4" w:rsidRDefault="003663E4">
      <w:pPr>
        <w:autoSpaceDE w:val="0"/>
        <w:autoSpaceDN w:val="0"/>
        <w:adjustRightInd w:val="0"/>
        <w:spacing w:line="360" w:lineRule="auto"/>
        <w:ind w:firstLineChars="200" w:firstLine="420"/>
        <w:jc w:val="left"/>
        <w:rPr>
          <w:rFonts w:eastAsiaTheme="minorEastAsia"/>
          <w:kern w:val="0"/>
          <w:szCs w:val="21"/>
        </w:rPr>
      </w:pPr>
    </w:p>
    <w:p w:rsidR="003663E4" w:rsidRDefault="00FD3F7D">
      <w:pPr>
        <w:spacing w:line="360" w:lineRule="auto"/>
        <w:rPr>
          <w:rFonts w:eastAsiaTheme="minorEastAsia"/>
          <w:b/>
          <w:color w:val="000000"/>
          <w:szCs w:val="21"/>
        </w:rPr>
      </w:pPr>
      <w:r>
        <w:rPr>
          <w:rFonts w:eastAsiaTheme="minorEastAsia" w:hint="eastAsia"/>
          <w:b/>
          <w:color w:val="000000"/>
          <w:szCs w:val="21"/>
        </w:rPr>
        <w:t xml:space="preserve">3.2.2.3 </w:t>
      </w:r>
      <w:r>
        <w:rPr>
          <w:rFonts w:eastAsiaTheme="minorEastAsia" w:hint="eastAsia"/>
          <w:b/>
          <w:color w:val="000000"/>
          <w:szCs w:val="21"/>
        </w:rPr>
        <w:t>过去五年基金每年净值收益率及其与同期业绩比较基准收益率的比较</w:t>
      </w:r>
    </w:p>
    <w:p w:rsidR="003663E4" w:rsidRDefault="00FD3F7D">
      <w:pPr>
        <w:snapToGrid w:val="0"/>
        <w:spacing w:line="360" w:lineRule="auto"/>
        <w:ind w:firstLine="420"/>
        <w:rPr>
          <w:rFonts w:eastAsiaTheme="minorEastAsia"/>
          <w:szCs w:val="21"/>
        </w:rPr>
      </w:pPr>
      <w:r>
        <w:rPr>
          <w:rFonts w:eastAsiaTheme="minorEastAsia"/>
          <w:szCs w:val="21"/>
        </w:rPr>
        <w:t>交银理财</w:t>
      </w:r>
      <w:r>
        <w:rPr>
          <w:rFonts w:eastAsiaTheme="minorEastAsia"/>
          <w:szCs w:val="21"/>
        </w:rPr>
        <w:t>60</w:t>
      </w:r>
      <w:r>
        <w:rPr>
          <w:rFonts w:eastAsiaTheme="minorEastAsia"/>
          <w:szCs w:val="21"/>
        </w:rPr>
        <w:t>天债券</w:t>
      </w:r>
      <w:r>
        <w:rPr>
          <w:rFonts w:eastAsiaTheme="minorEastAsia"/>
          <w:szCs w:val="21"/>
        </w:rPr>
        <w:t>A</w:t>
      </w:r>
    </w:p>
    <w:p w:rsidR="003663E4" w:rsidRDefault="00FD3F7D">
      <w:pPr>
        <w:snapToGrid w:val="0"/>
        <w:spacing w:line="360" w:lineRule="auto"/>
        <w:ind w:firstLine="420"/>
        <w:rPr>
          <w:rFonts w:eastAsiaTheme="minorEastAsia"/>
          <w:szCs w:val="21"/>
        </w:rPr>
      </w:pPr>
      <w:r>
        <w:rPr>
          <w:noProof/>
          <w:color w:val="000000"/>
          <w:szCs w:val="21"/>
        </w:rPr>
        <w:drawing>
          <wp:inline distT="0" distB="0" distL="0" distR="0">
            <wp:extent cx="5755005" cy="3375660"/>
            <wp:effectExtent l="0" t="0" r="17145" b="15240"/>
            <wp:docPr id="4" name="图片 4" descr="说明: 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bonnieliu\Desktop\走势图柱状图\柱状图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55005" cy="3375660"/>
                    </a:xfrm>
                    <a:prstGeom prst="rect">
                      <a:avLst/>
                    </a:prstGeom>
                    <a:noFill/>
                    <a:ln>
                      <a:noFill/>
                    </a:ln>
                  </pic:spPr>
                </pic:pic>
              </a:graphicData>
            </a:graphic>
          </wp:inline>
        </w:drawing>
      </w:r>
    </w:p>
    <w:p w:rsidR="003663E4" w:rsidRDefault="00FD3F7D">
      <w:pPr>
        <w:adjustRightInd w:val="0"/>
        <w:snapToGrid w:val="0"/>
        <w:spacing w:line="360" w:lineRule="auto"/>
        <w:ind w:firstLineChars="200" w:firstLine="420"/>
        <w:jc w:val="left"/>
        <w:rPr>
          <w:color w:val="000000"/>
          <w:kern w:val="0"/>
          <w:szCs w:val="21"/>
        </w:rPr>
      </w:pPr>
      <w:r>
        <w:rPr>
          <w:color w:val="000000"/>
          <w:kern w:val="0"/>
          <w:szCs w:val="21"/>
        </w:rPr>
        <w:t>注：图示日期为</w:t>
      </w:r>
      <w:r>
        <w:rPr>
          <w:color w:val="000000"/>
          <w:kern w:val="0"/>
          <w:szCs w:val="21"/>
        </w:rPr>
        <w:t>2016</w:t>
      </w:r>
      <w:r>
        <w:rPr>
          <w:color w:val="000000"/>
          <w:kern w:val="0"/>
          <w:szCs w:val="21"/>
        </w:rPr>
        <w:t>年</w:t>
      </w:r>
      <w:r>
        <w:rPr>
          <w:color w:val="000000"/>
          <w:kern w:val="0"/>
          <w:szCs w:val="21"/>
        </w:rPr>
        <w:t>1</w:t>
      </w:r>
      <w:r>
        <w:rPr>
          <w:color w:val="000000"/>
          <w:kern w:val="0"/>
          <w:szCs w:val="21"/>
        </w:rPr>
        <w:t>月</w:t>
      </w:r>
      <w:r>
        <w:rPr>
          <w:color w:val="000000"/>
          <w:kern w:val="0"/>
          <w:szCs w:val="21"/>
        </w:rPr>
        <w:t>1</w:t>
      </w:r>
      <w:r>
        <w:rPr>
          <w:color w:val="000000"/>
          <w:kern w:val="0"/>
          <w:szCs w:val="21"/>
        </w:rPr>
        <w:t>日至</w:t>
      </w:r>
      <w:r>
        <w:rPr>
          <w:color w:val="000000"/>
          <w:kern w:val="0"/>
          <w:szCs w:val="21"/>
        </w:rPr>
        <w:t>2020</w:t>
      </w:r>
      <w:r>
        <w:rPr>
          <w:color w:val="000000"/>
          <w:kern w:val="0"/>
          <w:szCs w:val="21"/>
        </w:rPr>
        <w:t>年</w:t>
      </w:r>
      <w:r>
        <w:rPr>
          <w:color w:val="000000"/>
          <w:kern w:val="0"/>
          <w:szCs w:val="21"/>
        </w:rPr>
        <w:t>7</w:t>
      </w:r>
      <w:r>
        <w:rPr>
          <w:color w:val="000000"/>
          <w:kern w:val="0"/>
          <w:szCs w:val="21"/>
        </w:rPr>
        <w:t>月</w:t>
      </w:r>
      <w:r>
        <w:rPr>
          <w:color w:val="000000"/>
          <w:kern w:val="0"/>
          <w:szCs w:val="21"/>
        </w:rPr>
        <w:t>27</w:t>
      </w:r>
      <w:r>
        <w:rPr>
          <w:color w:val="000000"/>
          <w:kern w:val="0"/>
          <w:szCs w:val="21"/>
        </w:rPr>
        <w:t>日。</w:t>
      </w:r>
    </w:p>
    <w:p w:rsidR="003663E4" w:rsidRDefault="003663E4">
      <w:pPr>
        <w:snapToGrid w:val="0"/>
        <w:spacing w:line="360" w:lineRule="auto"/>
        <w:ind w:firstLine="420"/>
        <w:rPr>
          <w:rFonts w:eastAsiaTheme="minorEastAsia"/>
          <w:szCs w:val="21"/>
        </w:rPr>
      </w:pPr>
    </w:p>
    <w:p w:rsidR="003663E4" w:rsidRDefault="00FD3F7D">
      <w:pPr>
        <w:snapToGrid w:val="0"/>
        <w:spacing w:line="360" w:lineRule="auto"/>
        <w:ind w:firstLine="420"/>
        <w:rPr>
          <w:rFonts w:eastAsiaTheme="minorEastAsia"/>
          <w:szCs w:val="21"/>
        </w:rPr>
      </w:pPr>
      <w:r>
        <w:rPr>
          <w:rFonts w:eastAsiaTheme="minorEastAsia"/>
          <w:szCs w:val="21"/>
        </w:rPr>
        <w:t>交银理财</w:t>
      </w:r>
      <w:r>
        <w:rPr>
          <w:rFonts w:eastAsiaTheme="minorEastAsia"/>
          <w:szCs w:val="21"/>
        </w:rPr>
        <w:t>60</w:t>
      </w:r>
      <w:r>
        <w:rPr>
          <w:rFonts w:eastAsiaTheme="minorEastAsia"/>
          <w:szCs w:val="21"/>
        </w:rPr>
        <w:t>天债券</w:t>
      </w:r>
      <w:r>
        <w:rPr>
          <w:rFonts w:eastAsiaTheme="minorEastAsia"/>
          <w:szCs w:val="21"/>
        </w:rPr>
        <w:t>B</w:t>
      </w:r>
    </w:p>
    <w:p w:rsidR="003663E4" w:rsidRDefault="00FD3F7D">
      <w:pPr>
        <w:adjustRightInd w:val="0"/>
        <w:snapToGrid w:val="0"/>
        <w:spacing w:line="360" w:lineRule="auto"/>
        <w:ind w:firstLineChars="100" w:firstLine="210"/>
        <w:jc w:val="center"/>
        <w:rPr>
          <w:rFonts w:asciiTheme="minorEastAsia" w:eastAsiaTheme="minorEastAsia" w:hAnsiTheme="minorEastAsia"/>
          <w:szCs w:val="21"/>
        </w:rPr>
      </w:pPr>
      <w:r>
        <w:rPr>
          <w:noProof/>
          <w:color w:val="000000"/>
          <w:szCs w:val="21"/>
        </w:rPr>
        <w:drawing>
          <wp:inline distT="0" distB="0" distL="0" distR="0">
            <wp:extent cx="5755005" cy="3371850"/>
            <wp:effectExtent l="0" t="0" r="0" b="0"/>
            <wp:docPr id="15" name="图片 15" descr="说明: C:\Documents and Settings\Administrator\桌面\image\image\柱状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说明: C:\Documents and Settings\Administrator\桌面\image\image\柱状图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755005" cy="3371850"/>
                    </a:xfrm>
                    <a:prstGeom prst="rect">
                      <a:avLst/>
                    </a:prstGeom>
                    <a:noFill/>
                    <a:ln>
                      <a:noFill/>
                    </a:ln>
                  </pic:spPr>
                </pic:pic>
              </a:graphicData>
            </a:graphic>
          </wp:inline>
        </w:drawing>
      </w:r>
    </w:p>
    <w:p w:rsidR="003663E4" w:rsidRDefault="00FD3F7D">
      <w:pPr>
        <w:tabs>
          <w:tab w:val="left" w:pos="426"/>
        </w:tabs>
        <w:spacing w:line="360" w:lineRule="auto"/>
        <w:ind w:firstLineChars="200" w:firstLine="420"/>
        <w:jc w:val="left"/>
        <w:rPr>
          <w:rFonts w:eastAsiaTheme="minorEastAsia"/>
          <w:kern w:val="0"/>
          <w:szCs w:val="21"/>
        </w:rPr>
      </w:pPr>
      <w:r>
        <w:rPr>
          <w:color w:val="000000"/>
          <w:kern w:val="0"/>
          <w:szCs w:val="21"/>
        </w:rPr>
        <w:t>注：图示日期为</w:t>
      </w:r>
      <w:r>
        <w:rPr>
          <w:color w:val="000000"/>
          <w:kern w:val="0"/>
          <w:szCs w:val="21"/>
        </w:rPr>
        <w:t>2016</w:t>
      </w:r>
      <w:r>
        <w:rPr>
          <w:color w:val="000000"/>
          <w:kern w:val="0"/>
          <w:szCs w:val="21"/>
        </w:rPr>
        <w:t>年</w:t>
      </w:r>
      <w:r>
        <w:rPr>
          <w:color w:val="000000"/>
          <w:kern w:val="0"/>
          <w:szCs w:val="21"/>
        </w:rPr>
        <w:t>1</w:t>
      </w:r>
      <w:r>
        <w:rPr>
          <w:color w:val="000000"/>
          <w:kern w:val="0"/>
          <w:szCs w:val="21"/>
        </w:rPr>
        <w:t>月</w:t>
      </w:r>
      <w:r>
        <w:rPr>
          <w:color w:val="000000"/>
          <w:kern w:val="0"/>
          <w:szCs w:val="21"/>
        </w:rPr>
        <w:t>1</w:t>
      </w:r>
      <w:r>
        <w:rPr>
          <w:color w:val="000000"/>
          <w:kern w:val="0"/>
          <w:szCs w:val="21"/>
        </w:rPr>
        <w:t>日至</w:t>
      </w:r>
      <w:r>
        <w:rPr>
          <w:color w:val="000000"/>
          <w:kern w:val="0"/>
          <w:szCs w:val="21"/>
        </w:rPr>
        <w:t>2020</w:t>
      </w:r>
      <w:r>
        <w:rPr>
          <w:color w:val="000000"/>
          <w:kern w:val="0"/>
          <w:szCs w:val="21"/>
        </w:rPr>
        <w:t>年</w:t>
      </w:r>
      <w:r>
        <w:rPr>
          <w:color w:val="000000"/>
          <w:kern w:val="0"/>
          <w:szCs w:val="21"/>
        </w:rPr>
        <w:t>7</w:t>
      </w:r>
      <w:r>
        <w:rPr>
          <w:color w:val="000000"/>
          <w:kern w:val="0"/>
          <w:szCs w:val="21"/>
        </w:rPr>
        <w:t>月</w:t>
      </w:r>
      <w:r>
        <w:rPr>
          <w:color w:val="000000"/>
          <w:kern w:val="0"/>
          <w:szCs w:val="21"/>
        </w:rPr>
        <w:t>27</w:t>
      </w:r>
      <w:r>
        <w:rPr>
          <w:color w:val="000000"/>
          <w:kern w:val="0"/>
          <w:szCs w:val="21"/>
        </w:rPr>
        <w:t>日。</w:t>
      </w:r>
    </w:p>
    <w:p w:rsidR="003663E4" w:rsidRDefault="00FD3F7D">
      <w:pPr>
        <w:pStyle w:val="3"/>
        <w:spacing w:before="0" w:after="0" w:line="360" w:lineRule="auto"/>
        <w:rPr>
          <w:color w:val="000000"/>
          <w:kern w:val="0"/>
          <w:sz w:val="21"/>
          <w:szCs w:val="21"/>
        </w:rPr>
      </w:pPr>
      <w:bookmarkStart w:id="58" w:name="_Toc23339344"/>
      <w:bookmarkStart w:id="59" w:name="_Toc371"/>
      <w:r>
        <w:rPr>
          <w:rFonts w:hint="eastAsia"/>
          <w:color w:val="000000"/>
          <w:kern w:val="0"/>
          <w:sz w:val="21"/>
          <w:szCs w:val="21"/>
        </w:rPr>
        <w:t>3.2.3</w:t>
      </w:r>
      <w:r>
        <w:rPr>
          <w:color w:val="000000"/>
          <w:kern w:val="0"/>
          <w:sz w:val="21"/>
          <w:szCs w:val="21"/>
        </w:rPr>
        <w:t xml:space="preserve"> </w:t>
      </w:r>
      <w:r>
        <w:rPr>
          <w:rFonts w:hint="eastAsia"/>
          <w:color w:val="000000"/>
          <w:kern w:val="0"/>
          <w:sz w:val="21"/>
          <w:szCs w:val="21"/>
        </w:rPr>
        <w:t>过去三年基金的利润分配情况</w:t>
      </w:r>
      <w:bookmarkEnd w:id="58"/>
      <w:bookmarkEnd w:id="59"/>
    </w:p>
    <w:p w:rsidR="003663E4" w:rsidRDefault="00FD3F7D">
      <w:pPr>
        <w:adjustRightInd w:val="0"/>
        <w:snapToGrid w:val="0"/>
        <w:spacing w:line="360" w:lineRule="auto"/>
        <w:rPr>
          <w:rFonts w:eastAsiaTheme="minorEastAsia"/>
          <w:szCs w:val="21"/>
        </w:rPr>
      </w:pPr>
      <w:r>
        <w:rPr>
          <w:rFonts w:eastAsiaTheme="minorEastAsia"/>
          <w:szCs w:val="21"/>
        </w:rPr>
        <w:t>交银理财</w:t>
      </w:r>
      <w:r>
        <w:rPr>
          <w:rFonts w:eastAsiaTheme="minorEastAsia"/>
          <w:szCs w:val="21"/>
        </w:rPr>
        <w:t>60</w:t>
      </w:r>
      <w:r>
        <w:rPr>
          <w:rFonts w:eastAsiaTheme="minorEastAsia"/>
          <w:szCs w:val="21"/>
        </w:rPr>
        <w:t>天债券</w:t>
      </w:r>
      <w:r>
        <w:rPr>
          <w:rFonts w:eastAsiaTheme="minorEastAsia"/>
          <w:szCs w:val="21"/>
        </w:rPr>
        <w:t>A</w:t>
      </w:r>
    </w:p>
    <w:p w:rsidR="003663E4" w:rsidRDefault="00FD3F7D">
      <w:pPr>
        <w:adjustRightInd w:val="0"/>
        <w:snapToGrid w:val="0"/>
        <w:spacing w:line="360" w:lineRule="auto"/>
        <w:jc w:val="right"/>
        <w:rPr>
          <w:rFonts w:eastAsiaTheme="minorEastAsia"/>
          <w:szCs w:val="21"/>
        </w:rPr>
      </w:pPr>
      <w:r>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7"/>
        <w:gridCol w:w="1378"/>
        <w:gridCol w:w="1839"/>
        <w:gridCol w:w="1950"/>
        <w:gridCol w:w="1894"/>
        <w:gridCol w:w="1068"/>
      </w:tblGrid>
      <w:tr w:rsidR="003663E4">
        <w:trPr>
          <w:jc w:val="center"/>
        </w:trPr>
        <w:tc>
          <w:tcPr>
            <w:tcW w:w="1157" w:type="dxa"/>
            <w:vAlign w:val="center"/>
          </w:tcPr>
          <w:p w:rsidR="003663E4" w:rsidRDefault="00FD3F7D">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rPr>
              <w:t>年度</w:t>
            </w:r>
          </w:p>
        </w:tc>
        <w:tc>
          <w:tcPr>
            <w:tcW w:w="1378" w:type="dxa"/>
            <w:vAlign w:val="center"/>
          </w:tcPr>
          <w:p w:rsidR="003663E4" w:rsidRDefault="00FD3F7D">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lang w:val="en-AU"/>
              </w:rPr>
              <w:t>已按再投资形式转实收基金</w:t>
            </w:r>
          </w:p>
        </w:tc>
        <w:tc>
          <w:tcPr>
            <w:tcW w:w="1839" w:type="dxa"/>
          </w:tcPr>
          <w:p w:rsidR="003663E4" w:rsidRDefault="00FD3F7D">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rPr>
              <w:t>直接通过应付赎回款转出金额</w:t>
            </w:r>
          </w:p>
        </w:tc>
        <w:tc>
          <w:tcPr>
            <w:tcW w:w="1950" w:type="dxa"/>
            <w:vAlign w:val="center"/>
          </w:tcPr>
          <w:p w:rsidR="003663E4" w:rsidRDefault="00FD3F7D">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rPr>
              <w:t>应付利润本年变动</w:t>
            </w:r>
          </w:p>
        </w:tc>
        <w:tc>
          <w:tcPr>
            <w:tcW w:w="1894" w:type="dxa"/>
            <w:vAlign w:val="center"/>
          </w:tcPr>
          <w:p w:rsidR="003663E4" w:rsidRDefault="00FD3F7D">
            <w:pPr>
              <w:spacing w:line="360" w:lineRule="auto"/>
              <w:jc w:val="center"/>
              <w:rPr>
                <w:rFonts w:eastAsiaTheme="minorEastAsia"/>
                <w:szCs w:val="21"/>
                <w:lang w:val="en-AU"/>
              </w:rPr>
            </w:pPr>
            <w:r>
              <w:rPr>
                <w:rFonts w:eastAsiaTheme="minorEastAsia"/>
                <w:szCs w:val="21"/>
                <w:lang w:val="en-AU"/>
              </w:rPr>
              <w:t>年度利润分配合计</w:t>
            </w:r>
          </w:p>
        </w:tc>
        <w:tc>
          <w:tcPr>
            <w:tcW w:w="1068" w:type="dxa"/>
            <w:vAlign w:val="center"/>
          </w:tcPr>
          <w:p w:rsidR="003663E4" w:rsidRDefault="00FD3F7D">
            <w:pPr>
              <w:spacing w:line="360" w:lineRule="auto"/>
              <w:jc w:val="center"/>
              <w:rPr>
                <w:rFonts w:eastAsiaTheme="minorEastAsia"/>
                <w:szCs w:val="21"/>
                <w:lang w:val="en-AU"/>
              </w:rPr>
            </w:pPr>
            <w:r>
              <w:rPr>
                <w:rFonts w:eastAsiaTheme="minorEastAsia"/>
                <w:szCs w:val="21"/>
                <w:lang w:val="en-AU"/>
              </w:rPr>
              <w:t>备注</w:t>
            </w:r>
          </w:p>
        </w:tc>
      </w:tr>
      <w:tr w:rsidR="003663E4">
        <w:trPr>
          <w:jc w:val="center"/>
        </w:trPr>
        <w:tc>
          <w:tcPr>
            <w:tcW w:w="1157" w:type="dxa"/>
            <w:vAlign w:val="center"/>
          </w:tcPr>
          <w:p w:rsidR="003663E4" w:rsidRDefault="00FD3F7D">
            <w:pPr>
              <w:jc w:val="center"/>
            </w:pPr>
            <w:r>
              <w:rPr>
                <w:rFonts w:eastAsiaTheme="minorEastAsia"/>
                <w:szCs w:val="21"/>
              </w:rPr>
              <w:t>2020</w:t>
            </w:r>
            <w:r>
              <w:rPr>
                <w:rFonts w:eastAsiaTheme="minorEastAsia"/>
                <w:szCs w:val="21"/>
              </w:rPr>
              <w:t>年</w:t>
            </w:r>
          </w:p>
        </w:tc>
        <w:tc>
          <w:tcPr>
            <w:tcW w:w="1378" w:type="dxa"/>
            <w:vAlign w:val="center"/>
          </w:tcPr>
          <w:p w:rsidR="003663E4" w:rsidRDefault="00FD3F7D">
            <w:pPr>
              <w:jc w:val="right"/>
            </w:pPr>
            <w:r>
              <w:rPr>
                <w:rFonts w:eastAsiaTheme="minorEastAsia"/>
                <w:szCs w:val="21"/>
              </w:rPr>
              <w:t>64,673.86</w:t>
            </w:r>
          </w:p>
        </w:tc>
        <w:tc>
          <w:tcPr>
            <w:tcW w:w="1839" w:type="dxa"/>
            <w:vAlign w:val="center"/>
          </w:tcPr>
          <w:p w:rsidR="003663E4" w:rsidRDefault="00FD3F7D">
            <w:pPr>
              <w:jc w:val="right"/>
            </w:pPr>
            <w:r>
              <w:rPr>
                <w:rFonts w:eastAsiaTheme="minorEastAsia"/>
                <w:szCs w:val="21"/>
              </w:rPr>
              <w:t>7,281.76</w:t>
            </w:r>
          </w:p>
        </w:tc>
        <w:tc>
          <w:tcPr>
            <w:tcW w:w="1950" w:type="dxa"/>
            <w:vAlign w:val="center"/>
          </w:tcPr>
          <w:p w:rsidR="003663E4" w:rsidRDefault="00FD3F7D">
            <w:pPr>
              <w:jc w:val="center"/>
            </w:pPr>
            <w:r>
              <w:rPr>
                <w:rFonts w:eastAsiaTheme="minorEastAsia"/>
                <w:szCs w:val="21"/>
              </w:rPr>
              <w:t>-12,824.37</w:t>
            </w:r>
          </w:p>
        </w:tc>
        <w:tc>
          <w:tcPr>
            <w:tcW w:w="1894" w:type="dxa"/>
            <w:vAlign w:val="center"/>
          </w:tcPr>
          <w:p w:rsidR="003663E4" w:rsidRDefault="00FD3F7D">
            <w:pPr>
              <w:jc w:val="right"/>
            </w:pPr>
            <w:r>
              <w:rPr>
                <w:rFonts w:eastAsiaTheme="minorEastAsia"/>
                <w:szCs w:val="21"/>
              </w:rPr>
              <w:t>59,131.25</w:t>
            </w:r>
          </w:p>
        </w:tc>
        <w:tc>
          <w:tcPr>
            <w:tcW w:w="1068" w:type="dxa"/>
            <w:vAlign w:val="center"/>
          </w:tcPr>
          <w:p w:rsidR="003663E4" w:rsidRDefault="00FD3F7D">
            <w:pPr>
              <w:jc w:val="left"/>
            </w:pPr>
            <w:r>
              <w:rPr>
                <w:rFonts w:eastAsiaTheme="minorEastAsia"/>
                <w:szCs w:val="21"/>
              </w:rPr>
              <w:t>-</w:t>
            </w:r>
          </w:p>
        </w:tc>
      </w:tr>
      <w:tr w:rsidR="003663E4">
        <w:trPr>
          <w:jc w:val="center"/>
        </w:trPr>
        <w:tc>
          <w:tcPr>
            <w:tcW w:w="1157" w:type="dxa"/>
            <w:vAlign w:val="center"/>
          </w:tcPr>
          <w:p w:rsidR="003663E4" w:rsidRDefault="00FD3F7D">
            <w:pPr>
              <w:jc w:val="center"/>
            </w:pPr>
            <w:r>
              <w:rPr>
                <w:rFonts w:eastAsiaTheme="minorEastAsia"/>
                <w:szCs w:val="21"/>
              </w:rPr>
              <w:t>2019</w:t>
            </w:r>
            <w:r>
              <w:rPr>
                <w:rFonts w:eastAsiaTheme="minorEastAsia"/>
                <w:szCs w:val="21"/>
              </w:rPr>
              <w:t>年</w:t>
            </w:r>
          </w:p>
        </w:tc>
        <w:tc>
          <w:tcPr>
            <w:tcW w:w="1378" w:type="dxa"/>
            <w:vAlign w:val="center"/>
          </w:tcPr>
          <w:p w:rsidR="003663E4" w:rsidRDefault="00FD3F7D">
            <w:pPr>
              <w:jc w:val="right"/>
            </w:pPr>
            <w:r>
              <w:rPr>
                <w:rFonts w:eastAsiaTheme="minorEastAsia"/>
                <w:szCs w:val="21"/>
              </w:rPr>
              <w:t>243,941.16</w:t>
            </w:r>
          </w:p>
        </w:tc>
        <w:tc>
          <w:tcPr>
            <w:tcW w:w="1839" w:type="dxa"/>
            <w:vAlign w:val="center"/>
          </w:tcPr>
          <w:p w:rsidR="003663E4" w:rsidRDefault="00FD3F7D">
            <w:pPr>
              <w:jc w:val="right"/>
            </w:pPr>
            <w:r>
              <w:rPr>
                <w:rFonts w:eastAsiaTheme="minorEastAsia"/>
                <w:szCs w:val="21"/>
              </w:rPr>
              <w:t>23,359.03</w:t>
            </w:r>
          </w:p>
        </w:tc>
        <w:tc>
          <w:tcPr>
            <w:tcW w:w="1950" w:type="dxa"/>
            <w:vAlign w:val="center"/>
          </w:tcPr>
          <w:p w:rsidR="003663E4" w:rsidRDefault="00FD3F7D">
            <w:pPr>
              <w:jc w:val="center"/>
            </w:pPr>
            <w:r>
              <w:rPr>
                <w:rFonts w:eastAsiaTheme="minorEastAsia"/>
                <w:szCs w:val="21"/>
              </w:rPr>
              <w:t>-13,840.73</w:t>
            </w:r>
          </w:p>
        </w:tc>
        <w:tc>
          <w:tcPr>
            <w:tcW w:w="1894" w:type="dxa"/>
            <w:vAlign w:val="center"/>
          </w:tcPr>
          <w:p w:rsidR="003663E4" w:rsidRDefault="00FD3F7D">
            <w:pPr>
              <w:jc w:val="right"/>
            </w:pPr>
            <w:r>
              <w:rPr>
                <w:rFonts w:eastAsiaTheme="minorEastAsia"/>
                <w:szCs w:val="21"/>
              </w:rPr>
              <w:t>253,459.46</w:t>
            </w:r>
          </w:p>
        </w:tc>
        <w:tc>
          <w:tcPr>
            <w:tcW w:w="1068" w:type="dxa"/>
            <w:vAlign w:val="center"/>
          </w:tcPr>
          <w:p w:rsidR="003663E4" w:rsidRDefault="00FD3F7D">
            <w:pPr>
              <w:jc w:val="left"/>
            </w:pPr>
            <w:r>
              <w:rPr>
                <w:rFonts w:eastAsiaTheme="minorEastAsia"/>
                <w:szCs w:val="21"/>
              </w:rPr>
              <w:t>-</w:t>
            </w:r>
          </w:p>
        </w:tc>
      </w:tr>
      <w:tr w:rsidR="003663E4">
        <w:trPr>
          <w:jc w:val="center"/>
        </w:trPr>
        <w:tc>
          <w:tcPr>
            <w:tcW w:w="1157" w:type="dxa"/>
            <w:vAlign w:val="center"/>
          </w:tcPr>
          <w:p w:rsidR="003663E4" w:rsidRDefault="00FD3F7D">
            <w:pPr>
              <w:jc w:val="center"/>
            </w:pPr>
            <w:r>
              <w:rPr>
                <w:rFonts w:eastAsiaTheme="minorEastAsia"/>
                <w:szCs w:val="21"/>
              </w:rPr>
              <w:t>2018</w:t>
            </w:r>
            <w:r>
              <w:rPr>
                <w:rFonts w:eastAsiaTheme="minorEastAsia"/>
                <w:szCs w:val="21"/>
              </w:rPr>
              <w:t>年</w:t>
            </w:r>
          </w:p>
        </w:tc>
        <w:tc>
          <w:tcPr>
            <w:tcW w:w="1378" w:type="dxa"/>
            <w:vAlign w:val="center"/>
          </w:tcPr>
          <w:p w:rsidR="003663E4" w:rsidRDefault="00FD3F7D">
            <w:pPr>
              <w:jc w:val="right"/>
            </w:pPr>
            <w:r>
              <w:rPr>
                <w:rFonts w:eastAsiaTheme="minorEastAsia"/>
                <w:szCs w:val="21"/>
              </w:rPr>
              <w:t>335,042.16</w:t>
            </w:r>
          </w:p>
        </w:tc>
        <w:tc>
          <w:tcPr>
            <w:tcW w:w="1839" w:type="dxa"/>
            <w:vAlign w:val="center"/>
          </w:tcPr>
          <w:p w:rsidR="003663E4" w:rsidRDefault="00FD3F7D">
            <w:pPr>
              <w:jc w:val="right"/>
            </w:pPr>
            <w:r>
              <w:rPr>
                <w:rFonts w:eastAsiaTheme="minorEastAsia"/>
                <w:szCs w:val="21"/>
              </w:rPr>
              <w:t>66,132.36</w:t>
            </w:r>
          </w:p>
        </w:tc>
        <w:tc>
          <w:tcPr>
            <w:tcW w:w="1950" w:type="dxa"/>
            <w:vAlign w:val="center"/>
          </w:tcPr>
          <w:p w:rsidR="003663E4" w:rsidRDefault="00FD3F7D">
            <w:pPr>
              <w:jc w:val="center"/>
            </w:pPr>
            <w:r>
              <w:rPr>
                <w:rFonts w:eastAsiaTheme="minorEastAsia"/>
                <w:szCs w:val="21"/>
              </w:rPr>
              <w:t>-8,684.16</w:t>
            </w:r>
          </w:p>
        </w:tc>
        <w:tc>
          <w:tcPr>
            <w:tcW w:w="1894" w:type="dxa"/>
            <w:vAlign w:val="center"/>
          </w:tcPr>
          <w:p w:rsidR="003663E4" w:rsidRDefault="00FD3F7D">
            <w:pPr>
              <w:jc w:val="right"/>
            </w:pPr>
            <w:r>
              <w:rPr>
                <w:rFonts w:eastAsiaTheme="minorEastAsia"/>
                <w:szCs w:val="21"/>
              </w:rPr>
              <w:t>392,490.36</w:t>
            </w:r>
          </w:p>
        </w:tc>
        <w:tc>
          <w:tcPr>
            <w:tcW w:w="1068" w:type="dxa"/>
            <w:vAlign w:val="center"/>
          </w:tcPr>
          <w:p w:rsidR="003663E4" w:rsidRDefault="00FD3F7D">
            <w:pPr>
              <w:jc w:val="left"/>
            </w:pPr>
            <w:r>
              <w:rPr>
                <w:rFonts w:eastAsiaTheme="minorEastAsia"/>
                <w:szCs w:val="21"/>
              </w:rPr>
              <w:t>-</w:t>
            </w:r>
          </w:p>
        </w:tc>
      </w:tr>
      <w:tr w:rsidR="003663E4">
        <w:trPr>
          <w:jc w:val="center"/>
        </w:trPr>
        <w:tc>
          <w:tcPr>
            <w:tcW w:w="1157" w:type="dxa"/>
          </w:tcPr>
          <w:p w:rsidR="003663E4" w:rsidRDefault="00FD3F7D">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rPr>
              <w:t>合计</w:t>
            </w:r>
          </w:p>
        </w:tc>
        <w:tc>
          <w:tcPr>
            <w:tcW w:w="1378" w:type="dxa"/>
            <w:vAlign w:val="bottom"/>
          </w:tcPr>
          <w:p w:rsidR="003663E4" w:rsidRDefault="00FD3F7D">
            <w:pPr>
              <w:spacing w:line="360" w:lineRule="auto"/>
              <w:jc w:val="right"/>
              <w:rPr>
                <w:rFonts w:eastAsiaTheme="minorEastAsia"/>
                <w:szCs w:val="21"/>
              </w:rPr>
            </w:pPr>
            <w:r>
              <w:rPr>
                <w:rFonts w:eastAsiaTheme="minorEastAsia"/>
                <w:szCs w:val="21"/>
              </w:rPr>
              <w:t>643,657.18</w:t>
            </w:r>
          </w:p>
        </w:tc>
        <w:tc>
          <w:tcPr>
            <w:tcW w:w="1839" w:type="dxa"/>
            <w:vAlign w:val="bottom"/>
          </w:tcPr>
          <w:p w:rsidR="003663E4" w:rsidRDefault="00FD3F7D">
            <w:pPr>
              <w:spacing w:line="360" w:lineRule="auto"/>
              <w:jc w:val="right"/>
              <w:rPr>
                <w:rFonts w:eastAsiaTheme="minorEastAsia"/>
                <w:szCs w:val="21"/>
              </w:rPr>
            </w:pPr>
            <w:r>
              <w:rPr>
                <w:rFonts w:eastAsiaTheme="minorEastAsia"/>
                <w:szCs w:val="21"/>
              </w:rPr>
              <w:t>96,773.15</w:t>
            </w:r>
          </w:p>
        </w:tc>
        <w:tc>
          <w:tcPr>
            <w:tcW w:w="1950" w:type="dxa"/>
            <w:vAlign w:val="bottom"/>
          </w:tcPr>
          <w:p w:rsidR="003663E4" w:rsidRDefault="00FD3F7D">
            <w:pPr>
              <w:spacing w:line="360" w:lineRule="auto"/>
              <w:jc w:val="right"/>
              <w:rPr>
                <w:rFonts w:eastAsiaTheme="minorEastAsia"/>
                <w:szCs w:val="21"/>
              </w:rPr>
            </w:pPr>
            <w:r>
              <w:rPr>
                <w:rFonts w:eastAsiaTheme="minorEastAsia"/>
                <w:szCs w:val="21"/>
              </w:rPr>
              <w:t>-35,349.26</w:t>
            </w:r>
          </w:p>
        </w:tc>
        <w:tc>
          <w:tcPr>
            <w:tcW w:w="1894" w:type="dxa"/>
            <w:vAlign w:val="bottom"/>
          </w:tcPr>
          <w:p w:rsidR="003663E4" w:rsidRDefault="00FD3F7D">
            <w:pPr>
              <w:spacing w:line="360" w:lineRule="auto"/>
              <w:jc w:val="right"/>
              <w:rPr>
                <w:rFonts w:eastAsiaTheme="minorEastAsia"/>
                <w:szCs w:val="21"/>
              </w:rPr>
            </w:pPr>
            <w:r>
              <w:rPr>
                <w:rFonts w:eastAsiaTheme="minorEastAsia"/>
                <w:szCs w:val="21"/>
              </w:rPr>
              <w:t>705,081.07</w:t>
            </w:r>
          </w:p>
        </w:tc>
        <w:tc>
          <w:tcPr>
            <w:tcW w:w="1068" w:type="dxa"/>
            <w:vAlign w:val="bottom"/>
          </w:tcPr>
          <w:p w:rsidR="003663E4" w:rsidRDefault="00FD3F7D">
            <w:pPr>
              <w:spacing w:line="360" w:lineRule="auto"/>
              <w:jc w:val="right"/>
              <w:rPr>
                <w:rFonts w:eastAsiaTheme="minorEastAsia"/>
                <w:szCs w:val="21"/>
              </w:rPr>
            </w:pPr>
            <w:r>
              <w:rPr>
                <w:rFonts w:eastAsiaTheme="minorEastAsia"/>
                <w:szCs w:val="21"/>
              </w:rPr>
              <w:t>-</w:t>
            </w:r>
          </w:p>
        </w:tc>
      </w:tr>
    </w:tbl>
    <w:p w:rsidR="003663E4" w:rsidRDefault="00FD3F7D">
      <w:pPr>
        <w:adjustRightInd w:val="0"/>
        <w:snapToGrid w:val="0"/>
        <w:spacing w:line="360" w:lineRule="auto"/>
        <w:rPr>
          <w:rFonts w:eastAsiaTheme="minorEastAsia"/>
          <w:szCs w:val="21"/>
        </w:rPr>
      </w:pPr>
      <w:r>
        <w:rPr>
          <w:rFonts w:eastAsiaTheme="minorEastAsia"/>
          <w:szCs w:val="21"/>
        </w:rPr>
        <w:t>交银理财</w:t>
      </w:r>
      <w:r>
        <w:rPr>
          <w:rFonts w:eastAsiaTheme="minorEastAsia"/>
          <w:szCs w:val="21"/>
        </w:rPr>
        <w:t>60</w:t>
      </w:r>
      <w:r>
        <w:rPr>
          <w:rFonts w:eastAsiaTheme="minorEastAsia"/>
          <w:szCs w:val="21"/>
        </w:rPr>
        <w:t>天债券</w:t>
      </w:r>
      <w:r>
        <w:rPr>
          <w:rFonts w:eastAsiaTheme="minorEastAsia"/>
          <w:szCs w:val="21"/>
        </w:rPr>
        <w:t>B</w:t>
      </w:r>
    </w:p>
    <w:p w:rsidR="003663E4" w:rsidRDefault="00FD3F7D">
      <w:pPr>
        <w:adjustRightInd w:val="0"/>
        <w:snapToGrid w:val="0"/>
        <w:spacing w:line="360" w:lineRule="auto"/>
        <w:jc w:val="right"/>
        <w:rPr>
          <w:rFonts w:eastAsiaTheme="minorEastAsia"/>
          <w:szCs w:val="21"/>
        </w:rPr>
      </w:pPr>
      <w:r>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7"/>
        <w:gridCol w:w="1645"/>
        <w:gridCol w:w="1572"/>
        <w:gridCol w:w="1950"/>
        <w:gridCol w:w="1894"/>
        <w:gridCol w:w="1068"/>
      </w:tblGrid>
      <w:tr w:rsidR="003663E4">
        <w:trPr>
          <w:jc w:val="center"/>
        </w:trPr>
        <w:tc>
          <w:tcPr>
            <w:tcW w:w="1157" w:type="dxa"/>
            <w:vAlign w:val="center"/>
          </w:tcPr>
          <w:p w:rsidR="003663E4" w:rsidRDefault="00FD3F7D">
            <w:pPr>
              <w:widowControl/>
              <w:tabs>
                <w:tab w:val="left" w:pos="1680"/>
              </w:tabs>
              <w:autoSpaceDE w:val="0"/>
              <w:autoSpaceDN w:val="0"/>
              <w:spacing w:line="360" w:lineRule="auto"/>
              <w:jc w:val="center"/>
              <w:textAlignment w:val="bottom"/>
              <w:rPr>
                <w:rFonts w:eastAsiaTheme="minorEastAsia"/>
                <w:b/>
                <w:szCs w:val="21"/>
              </w:rPr>
            </w:pPr>
            <w:r>
              <w:rPr>
                <w:rFonts w:eastAsiaTheme="minorEastAsia"/>
                <w:szCs w:val="21"/>
              </w:rPr>
              <w:t>年度</w:t>
            </w:r>
          </w:p>
        </w:tc>
        <w:tc>
          <w:tcPr>
            <w:tcW w:w="1645" w:type="dxa"/>
            <w:vAlign w:val="center"/>
          </w:tcPr>
          <w:p w:rsidR="003663E4" w:rsidRDefault="00FD3F7D">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lang w:val="en-AU"/>
              </w:rPr>
              <w:t>已按再投资形式转实收基金</w:t>
            </w:r>
          </w:p>
        </w:tc>
        <w:tc>
          <w:tcPr>
            <w:tcW w:w="1572" w:type="dxa"/>
          </w:tcPr>
          <w:p w:rsidR="003663E4" w:rsidRDefault="00FD3F7D">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rPr>
              <w:t>直接通过应付赎回款转出金额</w:t>
            </w:r>
          </w:p>
        </w:tc>
        <w:tc>
          <w:tcPr>
            <w:tcW w:w="1950" w:type="dxa"/>
            <w:vAlign w:val="center"/>
          </w:tcPr>
          <w:p w:rsidR="003663E4" w:rsidRDefault="00FD3F7D">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rPr>
              <w:t>应付利润本年变动</w:t>
            </w:r>
          </w:p>
        </w:tc>
        <w:tc>
          <w:tcPr>
            <w:tcW w:w="1894" w:type="dxa"/>
            <w:vAlign w:val="center"/>
          </w:tcPr>
          <w:p w:rsidR="003663E4" w:rsidRDefault="00FD3F7D">
            <w:pPr>
              <w:spacing w:line="360" w:lineRule="auto"/>
              <w:jc w:val="center"/>
              <w:rPr>
                <w:rFonts w:eastAsiaTheme="minorEastAsia"/>
                <w:szCs w:val="21"/>
                <w:lang w:val="en-AU"/>
              </w:rPr>
            </w:pPr>
            <w:r>
              <w:rPr>
                <w:rFonts w:eastAsiaTheme="minorEastAsia"/>
                <w:szCs w:val="21"/>
                <w:lang w:val="en-AU"/>
              </w:rPr>
              <w:t>年度利润分配合计</w:t>
            </w:r>
          </w:p>
        </w:tc>
        <w:tc>
          <w:tcPr>
            <w:tcW w:w="1068" w:type="dxa"/>
            <w:vAlign w:val="center"/>
          </w:tcPr>
          <w:p w:rsidR="003663E4" w:rsidRDefault="00FD3F7D">
            <w:pPr>
              <w:spacing w:line="360" w:lineRule="auto"/>
              <w:jc w:val="center"/>
              <w:rPr>
                <w:rFonts w:eastAsiaTheme="minorEastAsia"/>
                <w:szCs w:val="21"/>
                <w:lang w:val="en-AU"/>
              </w:rPr>
            </w:pPr>
            <w:r>
              <w:rPr>
                <w:rFonts w:eastAsiaTheme="minorEastAsia"/>
                <w:szCs w:val="21"/>
                <w:lang w:val="en-AU"/>
              </w:rPr>
              <w:t>备注</w:t>
            </w:r>
          </w:p>
        </w:tc>
      </w:tr>
      <w:tr w:rsidR="003663E4">
        <w:trPr>
          <w:jc w:val="center"/>
        </w:trPr>
        <w:tc>
          <w:tcPr>
            <w:tcW w:w="1157" w:type="dxa"/>
            <w:vAlign w:val="center"/>
          </w:tcPr>
          <w:p w:rsidR="003663E4" w:rsidRDefault="00FD3F7D">
            <w:pPr>
              <w:jc w:val="center"/>
            </w:pPr>
            <w:r>
              <w:rPr>
                <w:rFonts w:eastAsiaTheme="minorEastAsia"/>
                <w:szCs w:val="21"/>
              </w:rPr>
              <w:t>2020</w:t>
            </w:r>
            <w:r>
              <w:rPr>
                <w:rFonts w:eastAsiaTheme="minorEastAsia"/>
                <w:szCs w:val="21"/>
              </w:rPr>
              <w:t>年</w:t>
            </w:r>
          </w:p>
        </w:tc>
        <w:tc>
          <w:tcPr>
            <w:tcW w:w="1645" w:type="dxa"/>
            <w:vAlign w:val="bottom"/>
          </w:tcPr>
          <w:p w:rsidR="003663E4" w:rsidRDefault="00FD3F7D">
            <w:pPr>
              <w:jc w:val="right"/>
            </w:pPr>
            <w:r>
              <w:rPr>
                <w:color w:val="000000"/>
                <w:szCs w:val="21"/>
                <w:lang w:val="en-AU"/>
              </w:rPr>
              <w:t>113,653,963.51</w:t>
            </w:r>
          </w:p>
        </w:tc>
        <w:tc>
          <w:tcPr>
            <w:tcW w:w="1572" w:type="dxa"/>
            <w:vAlign w:val="bottom"/>
          </w:tcPr>
          <w:p w:rsidR="003663E4" w:rsidRDefault="00FD3F7D">
            <w:pPr>
              <w:jc w:val="right"/>
            </w:pPr>
            <w:r>
              <w:rPr>
                <w:color w:val="000000"/>
                <w:szCs w:val="21"/>
                <w:lang w:val="en-AU"/>
              </w:rPr>
              <w:t>2,343,939.50</w:t>
            </w:r>
          </w:p>
        </w:tc>
        <w:tc>
          <w:tcPr>
            <w:tcW w:w="1950" w:type="dxa"/>
            <w:vAlign w:val="bottom"/>
          </w:tcPr>
          <w:p w:rsidR="003663E4" w:rsidRDefault="00FD3F7D">
            <w:pPr>
              <w:jc w:val="center"/>
            </w:pPr>
            <w:r>
              <w:rPr>
                <w:color w:val="000000"/>
                <w:szCs w:val="21"/>
                <w:lang w:val="en-AU"/>
              </w:rPr>
              <w:t>-24,881,205.44</w:t>
            </w:r>
          </w:p>
        </w:tc>
        <w:tc>
          <w:tcPr>
            <w:tcW w:w="1894" w:type="dxa"/>
            <w:vAlign w:val="bottom"/>
          </w:tcPr>
          <w:p w:rsidR="003663E4" w:rsidRDefault="00FD3F7D">
            <w:pPr>
              <w:jc w:val="right"/>
            </w:pPr>
            <w:r>
              <w:rPr>
                <w:color w:val="000000"/>
                <w:szCs w:val="21"/>
                <w:lang w:val="en-AU"/>
              </w:rPr>
              <w:t>91,116,697.57</w:t>
            </w:r>
          </w:p>
        </w:tc>
        <w:tc>
          <w:tcPr>
            <w:tcW w:w="1068" w:type="dxa"/>
            <w:vAlign w:val="center"/>
          </w:tcPr>
          <w:p w:rsidR="003663E4" w:rsidRDefault="00FD3F7D">
            <w:pPr>
              <w:jc w:val="left"/>
            </w:pPr>
            <w:r>
              <w:rPr>
                <w:rFonts w:eastAsiaTheme="minorEastAsia"/>
                <w:szCs w:val="21"/>
              </w:rPr>
              <w:t>-</w:t>
            </w:r>
          </w:p>
        </w:tc>
      </w:tr>
      <w:tr w:rsidR="003663E4">
        <w:trPr>
          <w:jc w:val="center"/>
        </w:trPr>
        <w:tc>
          <w:tcPr>
            <w:tcW w:w="1157" w:type="dxa"/>
            <w:vAlign w:val="center"/>
          </w:tcPr>
          <w:p w:rsidR="003663E4" w:rsidRDefault="00FD3F7D">
            <w:pPr>
              <w:jc w:val="center"/>
            </w:pPr>
            <w:r>
              <w:rPr>
                <w:rFonts w:eastAsiaTheme="minorEastAsia"/>
                <w:szCs w:val="21"/>
              </w:rPr>
              <w:t>2019</w:t>
            </w:r>
            <w:r>
              <w:rPr>
                <w:rFonts w:eastAsiaTheme="minorEastAsia"/>
                <w:szCs w:val="21"/>
              </w:rPr>
              <w:t>年</w:t>
            </w:r>
          </w:p>
        </w:tc>
        <w:tc>
          <w:tcPr>
            <w:tcW w:w="1645" w:type="dxa"/>
            <w:vAlign w:val="center"/>
          </w:tcPr>
          <w:p w:rsidR="003663E4" w:rsidRDefault="00FD3F7D">
            <w:pPr>
              <w:jc w:val="right"/>
            </w:pPr>
            <w:r>
              <w:rPr>
                <w:rFonts w:eastAsiaTheme="minorEastAsia"/>
                <w:szCs w:val="21"/>
              </w:rPr>
              <w:t>264,845,877.53</w:t>
            </w:r>
          </w:p>
        </w:tc>
        <w:tc>
          <w:tcPr>
            <w:tcW w:w="1572" w:type="dxa"/>
            <w:vAlign w:val="center"/>
          </w:tcPr>
          <w:p w:rsidR="003663E4" w:rsidRDefault="00FD3F7D">
            <w:pPr>
              <w:jc w:val="right"/>
            </w:pPr>
            <w:r>
              <w:rPr>
                <w:rFonts w:eastAsiaTheme="minorEastAsia"/>
                <w:szCs w:val="21"/>
              </w:rPr>
              <w:t>25,445,139.45</w:t>
            </w:r>
          </w:p>
        </w:tc>
        <w:tc>
          <w:tcPr>
            <w:tcW w:w="1950" w:type="dxa"/>
            <w:vAlign w:val="center"/>
          </w:tcPr>
          <w:p w:rsidR="003663E4" w:rsidRDefault="00FD3F7D">
            <w:pPr>
              <w:jc w:val="center"/>
            </w:pPr>
            <w:r>
              <w:rPr>
                <w:rFonts w:eastAsiaTheme="minorEastAsia"/>
                <w:szCs w:val="21"/>
              </w:rPr>
              <w:t>-21,134,173.17</w:t>
            </w:r>
          </w:p>
        </w:tc>
        <w:tc>
          <w:tcPr>
            <w:tcW w:w="1894" w:type="dxa"/>
            <w:vAlign w:val="center"/>
          </w:tcPr>
          <w:p w:rsidR="003663E4" w:rsidRDefault="00FD3F7D">
            <w:pPr>
              <w:jc w:val="right"/>
            </w:pPr>
            <w:r>
              <w:rPr>
                <w:rFonts w:eastAsiaTheme="minorEastAsia"/>
                <w:szCs w:val="21"/>
              </w:rPr>
              <w:t>269,156,843.81</w:t>
            </w:r>
          </w:p>
        </w:tc>
        <w:tc>
          <w:tcPr>
            <w:tcW w:w="1068" w:type="dxa"/>
            <w:vAlign w:val="center"/>
          </w:tcPr>
          <w:p w:rsidR="003663E4" w:rsidRDefault="00FD3F7D">
            <w:pPr>
              <w:jc w:val="left"/>
            </w:pPr>
            <w:r>
              <w:rPr>
                <w:rFonts w:eastAsiaTheme="minorEastAsia"/>
                <w:szCs w:val="21"/>
              </w:rPr>
              <w:t>-</w:t>
            </w:r>
          </w:p>
        </w:tc>
      </w:tr>
      <w:tr w:rsidR="003663E4">
        <w:trPr>
          <w:jc w:val="center"/>
        </w:trPr>
        <w:tc>
          <w:tcPr>
            <w:tcW w:w="1157" w:type="dxa"/>
            <w:vAlign w:val="center"/>
          </w:tcPr>
          <w:p w:rsidR="003663E4" w:rsidRDefault="00FD3F7D">
            <w:pPr>
              <w:jc w:val="center"/>
            </w:pPr>
            <w:r>
              <w:rPr>
                <w:rFonts w:eastAsiaTheme="minorEastAsia"/>
                <w:szCs w:val="21"/>
              </w:rPr>
              <w:t>2018</w:t>
            </w:r>
            <w:r>
              <w:rPr>
                <w:rFonts w:eastAsiaTheme="minorEastAsia"/>
                <w:szCs w:val="21"/>
              </w:rPr>
              <w:t>年</w:t>
            </w:r>
          </w:p>
        </w:tc>
        <w:tc>
          <w:tcPr>
            <w:tcW w:w="1645" w:type="dxa"/>
            <w:vAlign w:val="center"/>
          </w:tcPr>
          <w:p w:rsidR="003663E4" w:rsidRDefault="00FD3F7D">
            <w:pPr>
              <w:jc w:val="right"/>
            </w:pPr>
            <w:r>
              <w:rPr>
                <w:rFonts w:eastAsiaTheme="minorEastAsia"/>
                <w:szCs w:val="21"/>
              </w:rPr>
              <w:t>437,709,436.92</w:t>
            </w:r>
          </w:p>
        </w:tc>
        <w:tc>
          <w:tcPr>
            <w:tcW w:w="1572" w:type="dxa"/>
            <w:vAlign w:val="center"/>
          </w:tcPr>
          <w:p w:rsidR="003663E4" w:rsidRDefault="00FD3F7D">
            <w:pPr>
              <w:jc w:val="right"/>
            </w:pPr>
            <w:r>
              <w:rPr>
                <w:rFonts w:eastAsiaTheme="minorEastAsia"/>
                <w:szCs w:val="21"/>
              </w:rPr>
              <w:t>90,047,172.18</w:t>
            </w:r>
          </w:p>
        </w:tc>
        <w:tc>
          <w:tcPr>
            <w:tcW w:w="1950" w:type="dxa"/>
            <w:vAlign w:val="center"/>
          </w:tcPr>
          <w:p w:rsidR="003663E4" w:rsidRDefault="00FD3F7D">
            <w:pPr>
              <w:jc w:val="center"/>
            </w:pPr>
            <w:r>
              <w:rPr>
                <w:rFonts w:eastAsiaTheme="minorEastAsia"/>
                <w:szCs w:val="21"/>
              </w:rPr>
              <w:t>35,595,755.25</w:t>
            </w:r>
          </w:p>
        </w:tc>
        <w:tc>
          <w:tcPr>
            <w:tcW w:w="1894" w:type="dxa"/>
            <w:vAlign w:val="center"/>
          </w:tcPr>
          <w:p w:rsidR="003663E4" w:rsidRDefault="00FD3F7D">
            <w:pPr>
              <w:jc w:val="right"/>
            </w:pPr>
            <w:r>
              <w:rPr>
                <w:rFonts w:eastAsiaTheme="minorEastAsia"/>
                <w:szCs w:val="21"/>
              </w:rPr>
              <w:t>563,352,364.35</w:t>
            </w:r>
          </w:p>
        </w:tc>
        <w:tc>
          <w:tcPr>
            <w:tcW w:w="1068" w:type="dxa"/>
            <w:vAlign w:val="center"/>
          </w:tcPr>
          <w:p w:rsidR="003663E4" w:rsidRDefault="00FD3F7D">
            <w:pPr>
              <w:jc w:val="left"/>
            </w:pPr>
            <w:r>
              <w:rPr>
                <w:rFonts w:eastAsiaTheme="minorEastAsia"/>
                <w:szCs w:val="21"/>
              </w:rPr>
              <w:t>-</w:t>
            </w:r>
          </w:p>
        </w:tc>
      </w:tr>
      <w:tr w:rsidR="003663E4">
        <w:trPr>
          <w:jc w:val="center"/>
        </w:trPr>
        <w:tc>
          <w:tcPr>
            <w:tcW w:w="1157" w:type="dxa"/>
          </w:tcPr>
          <w:p w:rsidR="003663E4" w:rsidRDefault="00FD3F7D">
            <w:pPr>
              <w:spacing w:line="360" w:lineRule="auto"/>
              <w:jc w:val="center"/>
              <w:rPr>
                <w:rFonts w:eastAsiaTheme="minorEastAsia"/>
                <w:szCs w:val="21"/>
              </w:rPr>
            </w:pPr>
            <w:r>
              <w:rPr>
                <w:rFonts w:eastAsiaTheme="minorEastAsia"/>
                <w:szCs w:val="21"/>
              </w:rPr>
              <w:t>合计</w:t>
            </w:r>
          </w:p>
        </w:tc>
        <w:tc>
          <w:tcPr>
            <w:tcW w:w="1645" w:type="dxa"/>
            <w:vAlign w:val="bottom"/>
          </w:tcPr>
          <w:p w:rsidR="003663E4" w:rsidRDefault="00FD3F7D">
            <w:pPr>
              <w:spacing w:line="360" w:lineRule="auto"/>
              <w:jc w:val="right"/>
              <w:rPr>
                <w:rFonts w:eastAsiaTheme="minorEastAsia"/>
                <w:szCs w:val="21"/>
              </w:rPr>
            </w:pPr>
            <w:r>
              <w:rPr>
                <w:rFonts w:eastAsiaTheme="minorEastAsia"/>
                <w:szCs w:val="21"/>
              </w:rPr>
              <w:t>816,209,277.96</w:t>
            </w:r>
          </w:p>
        </w:tc>
        <w:tc>
          <w:tcPr>
            <w:tcW w:w="1572" w:type="dxa"/>
            <w:vAlign w:val="bottom"/>
          </w:tcPr>
          <w:p w:rsidR="003663E4" w:rsidRDefault="00FD3F7D">
            <w:pPr>
              <w:spacing w:line="360" w:lineRule="auto"/>
              <w:jc w:val="right"/>
              <w:rPr>
                <w:rFonts w:eastAsiaTheme="minorEastAsia"/>
                <w:szCs w:val="21"/>
              </w:rPr>
            </w:pPr>
            <w:r>
              <w:rPr>
                <w:rFonts w:eastAsiaTheme="minorEastAsia"/>
                <w:szCs w:val="21"/>
              </w:rPr>
              <w:t>117,836,251.13</w:t>
            </w:r>
          </w:p>
        </w:tc>
        <w:tc>
          <w:tcPr>
            <w:tcW w:w="1950" w:type="dxa"/>
            <w:vAlign w:val="bottom"/>
          </w:tcPr>
          <w:p w:rsidR="003663E4" w:rsidRDefault="00FD3F7D">
            <w:pPr>
              <w:spacing w:line="360" w:lineRule="auto"/>
              <w:jc w:val="right"/>
              <w:rPr>
                <w:rFonts w:eastAsiaTheme="minorEastAsia"/>
                <w:szCs w:val="21"/>
              </w:rPr>
            </w:pPr>
            <w:r>
              <w:rPr>
                <w:rFonts w:eastAsiaTheme="minorEastAsia"/>
                <w:szCs w:val="21"/>
              </w:rPr>
              <w:t>-10,419,623.36</w:t>
            </w:r>
          </w:p>
        </w:tc>
        <w:tc>
          <w:tcPr>
            <w:tcW w:w="1894" w:type="dxa"/>
            <w:vAlign w:val="bottom"/>
          </w:tcPr>
          <w:p w:rsidR="003663E4" w:rsidRDefault="00FD3F7D">
            <w:pPr>
              <w:spacing w:line="360" w:lineRule="auto"/>
              <w:jc w:val="right"/>
              <w:rPr>
                <w:rFonts w:eastAsiaTheme="minorEastAsia"/>
                <w:szCs w:val="21"/>
              </w:rPr>
            </w:pPr>
            <w:r>
              <w:rPr>
                <w:rFonts w:eastAsiaTheme="minorEastAsia"/>
                <w:szCs w:val="21"/>
              </w:rPr>
              <w:t>923,625,905.73</w:t>
            </w:r>
          </w:p>
        </w:tc>
        <w:tc>
          <w:tcPr>
            <w:tcW w:w="1068" w:type="dxa"/>
            <w:vAlign w:val="bottom"/>
          </w:tcPr>
          <w:p w:rsidR="003663E4" w:rsidRDefault="00FD3F7D">
            <w:pPr>
              <w:spacing w:line="360" w:lineRule="auto"/>
              <w:jc w:val="right"/>
              <w:rPr>
                <w:rFonts w:eastAsiaTheme="minorEastAsia"/>
                <w:szCs w:val="21"/>
              </w:rPr>
            </w:pPr>
            <w:r>
              <w:rPr>
                <w:rFonts w:eastAsiaTheme="minorEastAsia"/>
                <w:szCs w:val="21"/>
              </w:rPr>
              <w:t>-</w:t>
            </w:r>
          </w:p>
        </w:tc>
      </w:tr>
    </w:tbl>
    <w:p w:rsidR="003663E4" w:rsidRDefault="00FD3F7D">
      <w:pPr>
        <w:pStyle w:val="1"/>
        <w:keepNext/>
        <w:keepLines/>
        <w:widowControl w:val="0"/>
        <w:spacing w:before="240" w:after="240" w:line="360" w:lineRule="auto"/>
        <w:jc w:val="center"/>
        <w:rPr>
          <w:b/>
          <w:bCs/>
          <w:color w:val="000000"/>
          <w:sz w:val="21"/>
          <w:szCs w:val="21"/>
        </w:rPr>
      </w:pPr>
      <w:bookmarkStart w:id="60" w:name="_Toc23339345"/>
      <w:bookmarkStart w:id="61" w:name="_Toc2655"/>
      <w:r>
        <w:rPr>
          <w:rFonts w:hint="eastAsia"/>
          <w:b/>
          <w:bCs/>
          <w:color w:val="000000"/>
          <w:sz w:val="21"/>
          <w:szCs w:val="21"/>
        </w:rPr>
        <w:t>§</w:t>
      </w:r>
      <w:r>
        <w:rPr>
          <w:b/>
          <w:bCs/>
          <w:color w:val="000000"/>
          <w:sz w:val="21"/>
          <w:szCs w:val="21"/>
        </w:rPr>
        <w:t>4</w:t>
      </w:r>
      <w:r>
        <w:rPr>
          <w:rFonts w:hint="eastAsia"/>
          <w:b/>
          <w:bCs/>
          <w:color w:val="000000"/>
          <w:sz w:val="21"/>
          <w:szCs w:val="21"/>
        </w:rPr>
        <w:t xml:space="preserve"> </w:t>
      </w:r>
      <w:r>
        <w:rPr>
          <w:rFonts w:hint="eastAsia"/>
          <w:b/>
          <w:bCs/>
          <w:color w:val="000000"/>
          <w:sz w:val="21"/>
          <w:szCs w:val="21"/>
        </w:rPr>
        <w:t>管理人报告</w:t>
      </w:r>
      <w:bookmarkEnd w:id="60"/>
      <w:bookmarkEnd w:id="61"/>
    </w:p>
    <w:p w:rsidR="003663E4" w:rsidRDefault="00FD3F7D">
      <w:pPr>
        <w:pStyle w:val="2"/>
        <w:spacing w:before="0" w:after="0"/>
        <w:rPr>
          <w:rFonts w:asciiTheme="minorEastAsia" w:eastAsiaTheme="minorEastAsia" w:hAnsiTheme="minorEastAsia" w:cs="Times New Roman"/>
          <w:kern w:val="0"/>
          <w:sz w:val="21"/>
          <w:szCs w:val="21"/>
        </w:rPr>
      </w:pPr>
      <w:bookmarkStart w:id="62" w:name="_Toc23339346"/>
      <w:bookmarkStart w:id="63" w:name="_Toc19183"/>
      <w:r>
        <w:rPr>
          <w:rFonts w:asciiTheme="minorEastAsia" w:eastAsiaTheme="minorEastAsia" w:hAnsiTheme="minorEastAsia" w:cs="Times New Roman" w:hint="eastAsia"/>
          <w:kern w:val="0"/>
          <w:sz w:val="21"/>
          <w:szCs w:val="21"/>
        </w:rPr>
        <w:t xml:space="preserve">4.1 </w:t>
      </w:r>
      <w:r>
        <w:rPr>
          <w:rFonts w:asciiTheme="minorEastAsia" w:eastAsiaTheme="minorEastAsia" w:hAnsiTheme="minorEastAsia" w:cs="Times New Roman" w:hint="eastAsia"/>
          <w:kern w:val="0"/>
          <w:sz w:val="21"/>
          <w:szCs w:val="21"/>
        </w:rPr>
        <w:t>基金管理人及基金经理情况</w:t>
      </w:r>
      <w:bookmarkEnd w:id="62"/>
      <w:bookmarkEnd w:id="63"/>
    </w:p>
    <w:p w:rsidR="003663E4" w:rsidRDefault="00FD3F7D">
      <w:pPr>
        <w:autoSpaceDE w:val="0"/>
        <w:autoSpaceDN w:val="0"/>
        <w:adjustRightInd w:val="0"/>
        <w:snapToGrid w:val="0"/>
        <w:spacing w:line="360" w:lineRule="auto"/>
        <w:jc w:val="left"/>
        <w:rPr>
          <w:rFonts w:eastAsiaTheme="minorEastAsia"/>
          <w:b/>
          <w:bCs/>
          <w:kern w:val="0"/>
          <w:szCs w:val="21"/>
        </w:rPr>
      </w:pPr>
      <w:r>
        <w:rPr>
          <w:rFonts w:eastAsiaTheme="minorEastAsia"/>
          <w:b/>
          <w:bCs/>
          <w:kern w:val="0"/>
          <w:szCs w:val="21"/>
        </w:rPr>
        <w:t>4.1.1</w:t>
      </w:r>
      <w:r>
        <w:rPr>
          <w:rFonts w:eastAsiaTheme="minorEastAsia" w:hint="eastAsia"/>
          <w:b/>
          <w:bCs/>
          <w:kern w:val="0"/>
          <w:szCs w:val="21"/>
        </w:rPr>
        <w:t xml:space="preserve"> </w:t>
      </w:r>
      <w:r>
        <w:rPr>
          <w:rFonts w:eastAsiaTheme="minorEastAsia" w:hint="eastAsia"/>
          <w:b/>
          <w:bCs/>
          <w:kern w:val="0"/>
          <w:szCs w:val="21"/>
        </w:rPr>
        <w:t>基金管理人及其管理基金的经验</w:t>
      </w:r>
    </w:p>
    <w:p w:rsidR="003663E4" w:rsidRDefault="00FD3F7D">
      <w:pPr>
        <w:spacing w:line="360" w:lineRule="auto"/>
        <w:ind w:firstLineChars="200" w:firstLine="420"/>
        <w:rPr>
          <w:rFonts w:eastAsiaTheme="minorEastAsia"/>
          <w:szCs w:val="21"/>
        </w:rPr>
      </w:pPr>
      <w:r>
        <w:rPr>
          <w:rFonts w:eastAsiaTheme="minorEastAsia"/>
          <w:szCs w:val="21"/>
        </w:rPr>
        <w:t>交银施罗德基金管理有限公司是经中国证监会证监基金字</w:t>
      </w:r>
      <w:r>
        <w:rPr>
          <w:rFonts w:eastAsiaTheme="minorEastAsia"/>
          <w:szCs w:val="21"/>
        </w:rPr>
        <w:t>[2005]128</w:t>
      </w:r>
      <w:r>
        <w:rPr>
          <w:rFonts w:eastAsiaTheme="minorEastAsia"/>
          <w:szCs w:val="21"/>
        </w:rPr>
        <w:t>号文批准，由交通银行股份有限公司、施罗德投资管理有限公司、中国国际海运集装箱（集团）股份有限公司共同发起设立。公司成立于</w:t>
      </w:r>
      <w:r>
        <w:rPr>
          <w:rFonts w:eastAsiaTheme="minorEastAsia"/>
          <w:szCs w:val="21"/>
        </w:rPr>
        <w:t>2005</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4</w:t>
      </w:r>
      <w:r>
        <w:rPr>
          <w:rFonts w:eastAsiaTheme="minorEastAsia"/>
          <w:szCs w:val="21"/>
        </w:rPr>
        <w:t>日，注册地在中国上海，注册资本金为</w:t>
      </w:r>
      <w:r>
        <w:rPr>
          <w:rFonts w:eastAsiaTheme="minorEastAsia"/>
          <w:szCs w:val="21"/>
        </w:rPr>
        <w:t>2</w:t>
      </w:r>
      <w:r>
        <w:rPr>
          <w:rFonts w:eastAsiaTheme="minorEastAsia"/>
          <w:szCs w:val="21"/>
        </w:rPr>
        <w:t>亿元人民币。其中，交通银行股份有限公司持有</w:t>
      </w:r>
      <w:r>
        <w:rPr>
          <w:rFonts w:eastAsiaTheme="minorEastAsia"/>
          <w:szCs w:val="21"/>
        </w:rPr>
        <w:t>65%</w:t>
      </w:r>
      <w:r>
        <w:rPr>
          <w:rFonts w:eastAsiaTheme="minorEastAsia"/>
          <w:szCs w:val="21"/>
        </w:rPr>
        <w:t>的股份，施罗德投资管理有限公司持有</w:t>
      </w:r>
      <w:r>
        <w:rPr>
          <w:rFonts w:eastAsiaTheme="minorEastAsia"/>
          <w:szCs w:val="21"/>
        </w:rPr>
        <w:t>30%</w:t>
      </w:r>
      <w:r>
        <w:rPr>
          <w:rFonts w:eastAsiaTheme="minorEastAsia"/>
          <w:szCs w:val="21"/>
        </w:rPr>
        <w:t>的股份，中国国际海运集装箱（集团）股份有限公司持有</w:t>
      </w:r>
      <w:r>
        <w:rPr>
          <w:rFonts w:eastAsiaTheme="minorEastAsia"/>
          <w:szCs w:val="21"/>
        </w:rPr>
        <w:t>5%</w:t>
      </w:r>
      <w:r>
        <w:rPr>
          <w:rFonts w:eastAsiaTheme="minorEastAsia"/>
          <w:szCs w:val="21"/>
        </w:rPr>
        <w:t>的股份。公司并下设交银施罗德资产管理（香港）有限公司和交银施罗德资产管理有限公司。</w:t>
      </w:r>
    </w:p>
    <w:p w:rsidR="003663E4" w:rsidRDefault="00FD3F7D">
      <w:pPr>
        <w:spacing w:line="360" w:lineRule="auto"/>
        <w:ind w:firstLineChars="200" w:firstLine="420"/>
        <w:rPr>
          <w:rFonts w:eastAsiaTheme="minorEastAsia"/>
          <w:szCs w:val="21"/>
        </w:rPr>
      </w:pPr>
      <w:r>
        <w:rPr>
          <w:rFonts w:eastAsiaTheme="minorEastAsia"/>
          <w:szCs w:val="21"/>
        </w:rPr>
        <w:t>截至报告期末，公司管理了包括货币型、债券型、混</w:t>
      </w:r>
      <w:r>
        <w:rPr>
          <w:rFonts w:eastAsiaTheme="minorEastAsia"/>
          <w:szCs w:val="21"/>
        </w:rPr>
        <w:t>合型和股票型在内的</w:t>
      </w:r>
      <w:r>
        <w:rPr>
          <w:rFonts w:eastAsiaTheme="minorEastAsia"/>
          <w:szCs w:val="21"/>
        </w:rPr>
        <w:t>94</w:t>
      </w:r>
      <w:r>
        <w:rPr>
          <w:rFonts w:eastAsiaTheme="minorEastAsia"/>
          <w:szCs w:val="21"/>
        </w:rPr>
        <w:t>只基金，其中股票型涵盖普通指数型、交易型开放式（</w:t>
      </w:r>
      <w:r>
        <w:rPr>
          <w:rFonts w:eastAsiaTheme="minorEastAsia"/>
          <w:szCs w:val="21"/>
        </w:rPr>
        <w:t>ETF</w:t>
      </w:r>
      <w:r>
        <w:rPr>
          <w:rFonts w:eastAsiaTheme="minorEastAsia"/>
          <w:szCs w:val="21"/>
        </w:rPr>
        <w:t>）、</w:t>
      </w:r>
      <w:r>
        <w:rPr>
          <w:rFonts w:eastAsiaTheme="minorEastAsia"/>
          <w:szCs w:val="21"/>
        </w:rPr>
        <w:t>QDII</w:t>
      </w:r>
      <w:r>
        <w:rPr>
          <w:rFonts w:eastAsiaTheme="minorEastAsia"/>
          <w:szCs w:val="21"/>
        </w:rPr>
        <w:t>等不同类型基金。</w:t>
      </w:r>
    </w:p>
    <w:p w:rsidR="003663E4" w:rsidRDefault="00FD3F7D">
      <w:pPr>
        <w:autoSpaceDE w:val="0"/>
        <w:autoSpaceDN w:val="0"/>
        <w:adjustRightInd w:val="0"/>
        <w:snapToGrid w:val="0"/>
        <w:spacing w:line="360" w:lineRule="auto"/>
        <w:jc w:val="left"/>
        <w:rPr>
          <w:rFonts w:eastAsiaTheme="minorEastAsia"/>
          <w:b/>
          <w:bCs/>
          <w:kern w:val="0"/>
          <w:szCs w:val="21"/>
        </w:rPr>
      </w:pPr>
      <w:r>
        <w:rPr>
          <w:rFonts w:eastAsiaTheme="minorEastAsia"/>
          <w:b/>
          <w:bCs/>
          <w:kern w:val="0"/>
          <w:szCs w:val="21"/>
        </w:rPr>
        <w:t>4.1.2</w:t>
      </w:r>
      <w:r>
        <w:rPr>
          <w:rFonts w:eastAsiaTheme="minorEastAsia" w:hint="eastAsia"/>
          <w:b/>
          <w:bCs/>
          <w:kern w:val="0"/>
          <w:szCs w:val="21"/>
        </w:rPr>
        <w:t xml:space="preserve"> </w:t>
      </w:r>
      <w:r>
        <w:rPr>
          <w:rFonts w:eastAsiaTheme="minorEastAsia" w:hint="eastAsia"/>
          <w:b/>
          <w:bCs/>
          <w:kern w:val="0"/>
          <w:szCs w:val="21"/>
        </w:rPr>
        <w:t>基金经理（或基金经理小组）及基金经理助理简介</w:t>
      </w:r>
    </w:p>
    <w:tbl>
      <w:tblPr>
        <w:tblW w:w="954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4"/>
        <w:gridCol w:w="2882"/>
        <w:gridCol w:w="1130"/>
        <w:gridCol w:w="1200"/>
        <w:gridCol w:w="1031"/>
        <w:gridCol w:w="2313"/>
      </w:tblGrid>
      <w:tr w:rsidR="003663E4">
        <w:trPr>
          <w:cantSplit/>
        </w:trPr>
        <w:tc>
          <w:tcPr>
            <w:tcW w:w="984" w:type="dxa"/>
            <w:vMerge w:val="restart"/>
            <w:vAlign w:val="center"/>
          </w:tcPr>
          <w:p w:rsidR="003663E4" w:rsidRDefault="00FD3F7D">
            <w:pPr>
              <w:spacing w:line="360" w:lineRule="auto"/>
              <w:jc w:val="center"/>
              <w:rPr>
                <w:rFonts w:eastAsiaTheme="minorEastAsia"/>
                <w:color w:val="000000"/>
                <w:szCs w:val="21"/>
              </w:rPr>
            </w:pPr>
            <w:r>
              <w:rPr>
                <w:rFonts w:eastAsiaTheme="minorEastAsia"/>
                <w:color w:val="000000"/>
                <w:szCs w:val="21"/>
              </w:rPr>
              <w:t>姓名</w:t>
            </w:r>
          </w:p>
        </w:tc>
        <w:tc>
          <w:tcPr>
            <w:tcW w:w="2882" w:type="dxa"/>
            <w:vMerge w:val="restart"/>
            <w:vAlign w:val="center"/>
          </w:tcPr>
          <w:p w:rsidR="003663E4" w:rsidRDefault="00FD3F7D">
            <w:pPr>
              <w:spacing w:line="360" w:lineRule="auto"/>
              <w:jc w:val="center"/>
              <w:rPr>
                <w:rFonts w:eastAsiaTheme="minorEastAsia"/>
                <w:color w:val="000000"/>
                <w:szCs w:val="21"/>
              </w:rPr>
            </w:pPr>
            <w:r>
              <w:rPr>
                <w:rFonts w:eastAsiaTheme="minorEastAsia"/>
                <w:color w:val="000000"/>
                <w:szCs w:val="21"/>
              </w:rPr>
              <w:t>职务</w:t>
            </w:r>
          </w:p>
        </w:tc>
        <w:tc>
          <w:tcPr>
            <w:tcW w:w="2330" w:type="dxa"/>
            <w:gridSpan w:val="2"/>
          </w:tcPr>
          <w:p w:rsidR="003663E4" w:rsidRDefault="00FD3F7D">
            <w:pPr>
              <w:spacing w:line="360" w:lineRule="auto"/>
              <w:jc w:val="center"/>
              <w:rPr>
                <w:rFonts w:eastAsiaTheme="minorEastAsia"/>
                <w:color w:val="000000"/>
                <w:szCs w:val="21"/>
              </w:rPr>
            </w:pPr>
            <w:r>
              <w:rPr>
                <w:rFonts w:eastAsiaTheme="minorEastAsia"/>
                <w:color w:val="000000"/>
                <w:szCs w:val="21"/>
              </w:rPr>
              <w:t>任本基金的基金经理（助理）期限</w:t>
            </w:r>
          </w:p>
        </w:tc>
        <w:tc>
          <w:tcPr>
            <w:tcW w:w="1031" w:type="dxa"/>
            <w:vMerge w:val="restart"/>
            <w:vAlign w:val="center"/>
          </w:tcPr>
          <w:p w:rsidR="003663E4" w:rsidRDefault="00FD3F7D">
            <w:pPr>
              <w:spacing w:line="360" w:lineRule="auto"/>
              <w:jc w:val="center"/>
              <w:rPr>
                <w:rFonts w:eastAsiaTheme="minorEastAsia"/>
                <w:color w:val="000000"/>
                <w:szCs w:val="21"/>
              </w:rPr>
            </w:pPr>
            <w:r>
              <w:rPr>
                <w:rFonts w:eastAsiaTheme="minorEastAsia"/>
                <w:color w:val="000000"/>
                <w:szCs w:val="21"/>
              </w:rPr>
              <w:t>证券从业年限</w:t>
            </w:r>
          </w:p>
        </w:tc>
        <w:tc>
          <w:tcPr>
            <w:tcW w:w="2313" w:type="dxa"/>
            <w:vMerge w:val="restart"/>
            <w:vAlign w:val="center"/>
          </w:tcPr>
          <w:p w:rsidR="003663E4" w:rsidRDefault="00FD3F7D">
            <w:pPr>
              <w:spacing w:line="360" w:lineRule="auto"/>
              <w:jc w:val="center"/>
              <w:rPr>
                <w:rFonts w:eastAsiaTheme="minorEastAsia"/>
                <w:color w:val="000000"/>
                <w:szCs w:val="21"/>
              </w:rPr>
            </w:pPr>
            <w:r>
              <w:rPr>
                <w:rFonts w:eastAsiaTheme="minorEastAsia"/>
                <w:color w:val="000000"/>
                <w:szCs w:val="21"/>
              </w:rPr>
              <w:t>说明</w:t>
            </w:r>
          </w:p>
        </w:tc>
      </w:tr>
      <w:tr w:rsidR="003663E4">
        <w:trPr>
          <w:cantSplit/>
        </w:trPr>
        <w:tc>
          <w:tcPr>
            <w:tcW w:w="984" w:type="dxa"/>
            <w:vMerge/>
            <w:vAlign w:val="center"/>
          </w:tcPr>
          <w:p w:rsidR="003663E4" w:rsidRDefault="003663E4">
            <w:pPr>
              <w:widowControl/>
              <w:spacing w:line="360" w:lineRule="auto"/>
              <w:jc w:val="left"/>
              <w:rPr>
                <w:rFonts w:eastAsiaTheme="minorEastAsia"/>
                <w:color w:val="000000"/>
                <w:szCs w:val="21"/>
              </w:rPr>
            </w:pPr>
          </w:p>
        </w:tc>
        <w:tc>
          <w:tcPr>
            <w:tcW w:w="2882" w:type="dxa"/>
            <w:vMerge/>
            <w:vAlign w:val="center"/>
          </w:tcPr>
          <w:p w:rsidR="003663E4" w:rsidRDefault="003663E4">
            <w:pPr>
              <w:widowControl/>
              <w:spacing w:line="360" w:lineRule="auto"/>
              <w:jc w:val="left"/>
              <w:rPr>
                <w:rFonts w:eastAsiaTheme="minorEastAsia"/>
                <w:color w:val="000000"/>
                <w:szCs w:val="21"/>
              </w:rPr>
            </w:pPr>
          </w:p>
        </w:tc>
        <w:tc>
          <w:tcPr>
            <w:tcW w:w="1130" w:type="dxa"/>
            <w:vAlign w:val="center"/>
          </w:tcPr>
          <w:p w:rsidR="003663E4" w:rsidRDefault="00FD3F7D">
            <w:pPr>
              <w:spacing w:line="360" w:lineRule="auto"/>
              <w:jc w:val="center"/>
              <w:rPr>
                <w:rFonts w:eastAsiaTheme="minorEastAsia"/>
                <w:color w:val="000000"/>
                <w:szCs w:val="21"/>
              </w:rPr>
            </w:pPr>
            <w:r>
              <w:rPr>
                <w:rFonts w:eastAsiaTheme="minorEastAsia"/>
                <w:color w:val="000000"/>
                <w:szCs w:val="21"/>
              </w:rPr>
              <w:t>任职日期</w:t>
            </w:r>
          </w:p>
        </w:tc>
        <w:tc>
          <w:tcPr>
            <w:tcW w:w="1200" w:type="dxa"/>
            <w:vAlign w:val="center"/>
          </w:tcPr>
          <w:p w:rsidR="003663E4" w:rsidRDefault="00FD3F7D">
            <w:pPr>
              <w:spacing w:line="360" w:lineRule="auto"/>
              <w:jc w:val="center"/>
              <w:rPr>
                <w:rFonts w:eastAsiaTheme="minorEastAsia"/>
                <w:color w:val="000000"/>
                <w:szCs w:val="21"/>
              </w:rPr>
            </w:pPr>
            <w:r>
              <w:rPr>
                <w:rFonts w:eastAsiaTheme="minorEastAsia"/>
                <w:color w:val="000000"/>
                <w:szCs w:val="21"/>
              </w:rPr>
              <w:t>离任日期</w:t>
            </w:r>
          </w:p>
        </w:tc>
        <w:tc>
          <w:tcPr>
            <w:tcW w:w="1031" w:type="dxa"/>
            <w:vMerge/>
            <w:vAlign w:val="center"/>
          </w:tcPr>
          <w:p w:rsidR="003663E4" w:rsidRDefault="003663E4">
            <w:pPr>
              <w:widowControl/>
              <w:spacing w:line="360" w:lineRule="auto"/>
              <w:jc w:val="left"/>
              <w:rPr>
                <w:rFonts w:eastAsiaTheme="minorEastAsia"/>
                <w:color w:val="000000"/>
                <w:szCs w:val="21"/>
              </w:rPr>
            </w:pPr>
          </w:p>
        </w:tc>
        <w:tc>
          <w:tcPr>
            <w:tcW w:w="2313" w:type="dxa"/>
            <w:vMerge/>
            <w:vAlign w:val="center"/>
          </w:tcPr>
          <w:p w:rsidR="003663E4" w:rsidRDefault="003663E4">
            <w:pPr>
              <w:widowControl/>
              <w:spacing w:line="360" w:lineRule="auto"/>
              <w:jc w:val="left"/>
              <w:rPr>
                <w:rFonts w:eastAsiaTheme="minorEastAsia"/>
                <w:color w:val="000000"/>
                <w:szCs w:val="21"/>
              </w:rPr>
            </w:pPr>
          </w:p>
        </w:tc>
      </w:tr>
      <w:tr w:rsidR="003663E4">
        <w:tc>
          <w:tcPr>
            <w:tcW w:w="984" w:type="dxa"/>
            <w:vAlign w:val="center"/>
          </w:tcPr>
          <w:p w:rsidR="003663E4" w:rsidRDefault="00FD3F7D">
            <w:pPr>
              <w:jc w:val="center"/>
            </w:pPr>
            <w:r>
              <w:rPr>
                <w:rFonts w:eastAsiaTheme="minorEastAsia"/>
                <w:color w:val="000000"/>
                <w:szCs w:val="21"/>
              </w:rPr>
              <w:t>连端清</w:t>
            </w:r>
          </w:p>
        </w:tc>
        <w:tc>
          <w:tcPr>
            <w:tcW w:w="2882" w:type="dxa"/>
            <w:vAlign w:val="center"/>
          </w:tcPr>
          <w:p w:rsidR="003663E4" w:rsidRDefault="00FD3F7D">
            <w:pPr>
              <w:jc w:val="left"/>
            </w:pPr>
            <w:r>
              <w:rPr>
                <w:rFonts w:eastAsiaTheme="minorEastAsia"/>
                <w:color w:val="000000"/>
                <w:szCs w:val="21"/>
              </w:rPr>
              <w:t>交银丰盈收益债券、交银活期通货币、交银裕盈纯债债券、交银裕利纯债债券、交银裕惠纯债债券的基金经理</w:t>
            </w:r>
          </w:p>
          <w:p w:rsidR="003663E4" w:rsidRDefault="003663E4">
            <w:pPr>
              <w:jc w:val="left"/>
            </w:pPr>
          </w:p>
        </w:tc>
        <w:tc>
          <w:tcPr>
            <w:tcW w:w="1130" w:type="dxa"/>
            <w:vAlign w:val="center"/>
          </w:tcPr>
          <w:p w:rsidR="003663E4" w:rsidRDefault="00FD3F7D">
            <w:pPr>
              <w:jc w:val="center"/>
            </w:pPr>
            <w:r>
              <w:rPr>
                <w:rFonts w:eastAsiaTheme="minorEastAsia"/>
                <w:color w:val="000000"/>
                <w:szCs w:val="21"/>
              </w:rPr>
              <w:t>2020-07-28</w:t>
            </w:r>
          </w:p>
        </w:tc>
        <w:tc>
          <w:tcPr>
            <w:tcW w:w="1200" w:type="dxa"/>
            <w:vAlign w:val="center"/>
          </w:tcPr>
          <w:p w:rsidR="003663E4" w:rsidRDefault="00FD3F7D">
            <w:pPr>
              <w:jc w:val="center"/>
            </w:pPr>
            <w:r>
              <w:rPr>
                <w:rFonts w:eastAsiaTheme="minorEastAsia"/>
                <w:color w:val="000000"/>
                <w:szCs w:val="21"/>
              </w:rPr>
              <w:t>-</w:t>
            </w:r>
          </w:p>
        </w:tc>
        <w:tc>
          <w:tcPr>
            <w:tcW w:w="1031" w:type="dxa"/>
            <w:vAlign w:val="center"/>
          </w:tcPr>
          <w:p w:rsidR="003663E4" w:rsidRDefault="00FD3F7D">
            <w:pPr>
              <w:jc w:val="center"/>
            </w:pPr>
            <w:r>
              <w:rPr>
                <w:rFonts w:eastAsiaTheme="minorEastAsia"/>
                <w:color w:val="000000"/>
                <w:szCs w:val="21"/>
              </w:rPr>
              <w:t>7</w:t>
            </w:r>
            <w:r>
              <w:rPr>
                <w:rFonts w:eastAsiaTheme="minorEastAsia"/>
                <w:color w:val="000000"/>
                <w:szCs w:val="21"/>
              </w:rPr>
              <w:t>年</w:t>
            </w:r>
          </w:p>
        </w:tc>
        <w:tc>
          <w:tcPr>
            <w:tcW w:w="2313" w:type="dxa"/>
            <w:vAlign w:val="center"/>
          </w:tcPr>
          <w:p w:rsidR="003663E4" w:rsidRDefault="00FD3F7D">
            <w:r>
              <w:rPr>
                <w:rFonts w:eastAsiaTheme="minorEastAsia"/>
                <w:color w:val="000000"/>
                <w:szCs w:val="21"/>
              </w:rPr>
              <w:t>连端清先生，复旦大学经济学博士。历任交通银行总行金融市场部、湘财证券研究所研究员、中航信托资产管理部投资经理。</w:t>
            </w:r>
            <w:r>
              <w:rPr>
                <w:rFonts w:eastAsiaTheme="minorEastAsia"/>
                <w:color w:val="000000"/>
                <w:szCs w:val="21"/>
              </w:rPr>
              <w:t>2015</w:t>
            </w:r>
            <w:r>
              <w:rPr>
                <w:rFonts w:eastAsiaTheme="minorEastAsia"/>
                <w:color w:val="000000"/>
                <w:szCs w:val="21"/>
              </w:rPr>
              <w:t>年加入交银施罗德基金管理有限公司。</w:t>
            </w:r>
            <w:r>
              <w:rPr>
                <w:rFonts w:eastAsiaTheme="minorEastAsia"/>
                <w:color w:val="000000"/>
                <w:szCs w:val="21"/>
              </w:rPr>
              <w:t>2017</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31</w:t>
            </w:r>
            <w:r>
              <w:rPr>
                <w:rFonts w:eastAsiaTheme="minorEastAsia"/>
                <w:color w:val="000000"/>
                <w:szCs w:val="21"/>
              </w:rPr>
              <w:t>日至</w:t>
            </w:r>
            <w:r>
              <w:rPr>
                <w:rFonts w:eastAsiaTheme="minorEastAsia"/>
                <w:color w:val="000000"/>
                <w:szCs w:val="21"/>
              </w:rPr>
              <w:t>2018</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23</w:t>
            </w:r>
            <w:r>
              <w:rPr>
                <w:rFonts w:eastAsiaTheme="minorEastAsia"/>
                <w:color w:val="000000"/>
                <w:szCs w:val="21"/>
              </w:rPr>
              <w:t>日担任交银施罗德裕兴纯债债券型证券投资基金的基金经理。</w:t>
            </w:r>
            <w:r>
              <w:rPr>
                <w:rFonts w:eastAsiaTheme="minorEastAsia"/>
                <w:color w:val="000000"/>
                <w:szCs w:val="21"/>
              </w:rPr>
              <w:t>2015</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4</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2</w:t>
            </w:r>
            <w:r>
              <w:rPr>
                <w:rFonts w:eastAsiaTheme="minorEastAsia"/>
                <w:color w:val="000000"/>
                <w:szCs w:val="21"/>
              </w:rPr>
              <w:t>日担任交银施罗德现金宝货币市场基金的基金经理。</w:t>
            </w:r>
            <w:r>
              <w:rPr>
                <w:rFonts w:eastAsiaTheme="minorEastAsia"/>
                <w:color w:val="000000"/>
                <w:szCs w:val="21"/>
              </w:rPr>
              <w:t>2015</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16</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2</w:t>
            </w:r>
            <w:r>
              <w:rPr>
                <w:rFonts w:eastAsiaTheme="minorEastAsia"/>
                <w:color w:val="000000"/>
                <w:szCs w:val="21"/>
              </w:rPr>
              <w:t>日担任交银施罗德货币市场证券投资基金的基金经理。</w:t>
            </w:r>
            <w:r>
              <w:rPr>
                <w:rFonts w:eastAsiaTheme="minorEastAsia"/>
                <w:color w:val="000000"/>
                <w:szCs w:val="21"/>
              </w:rPr>
              <w:t>2016</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7</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2</w:t>
            </w:r>
            <w:r>
              <w:rPr>
                <w:rFonts w:eastAsiaTheme="minorEastAsia"/>
                <w:color w:val="000000"/>
                <w:szCs w:val="21"/>
              </w:rPr>
              <w:t>日担任交银施罗德天鑫宝货币市场基金的基金经理。</w:t>
            </w:r>
            <w:r>
              <w:rPr>
                <w:rFonts w:eastAsiaTheme="minorEastAsia"/>
                <w:color w:val="000000"/>
                <w:szCs w:val="21"/>
              </w:rPr>
              <w:t>2017</w:t>
            </w:r>
            <w:r>
              <w:rPr>
                <w:rFonts w:eastAsiaTheme="minorEastAsia"/>
                <w:color w:val="000000"/>
                <w:szCs w:val="21"/>
              </w:rPr>
              <w:t>年</w:t>
            </w:r>
            <w:r>
              <w:rPr>
                <w:rFonts w:eastAsiaTheme="minorEastAsia"/>
                <w:color w:val="000000"/>
                <w:szCs w:val="21"/>
              </w:rPr>
              <w:t>1</w:t>
            </w:r>
            <w:r>
              <w:rPr>
                <w:rFonts w:eastAsiaTheme="minorEastAsia"/>
                <w:color w:val="000000"/>
                <w:szCs w:val="21"/>
              </w:rPr>
              <w:t>2</w:t>
            </w:r>
            <w:r>
              <w:rPr>
                <w:rFonts w:eastAsiaTheme="minorEastAsia"/>
                <w:color w:val="000000"/>
                <w:szCs w:val="21"/>
              </w:rPr>
              <w:t>月</w:t>
            </w:r>
            <w:r>
              <w:rPr>
                <w:rFonts w:eastAsiaTheme="minorEastAsia"/>
                <w:color w:val="000000"/>
                <w:szCs w:val="21"/>
              </w:rPr>
              <w:t>29</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2</w:t>
            </w:r>
            <w:r>
              <w:rPr>
                <w:rFonts w:eastAsiaTheme="minorEastAsia"/>
                <w:color w:val="000000"/>
                <w:szCs w:val="21"/>
              </w:rPr>
              <w:t>日担任交银施罗德天运宝货币市场基金的基金经理。</w:t>
            </w:r>
            <w:r>
              <w:rPr>
                <w:rFonts w:eastAsiaTheme="minorEastAsia"/>
                <w:color w:val="000000"/>
                <w:szCs w:val="21"/>
              </w:rPr>
              <w:t>2016</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19</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9</w:t>
            </w:r>
            <w:r>
              <w:rPr>
                <w:rFonts w:eastAsiaTheme="minorEastAsia"/>
                <w:color w:val="000000"/>
                <w:szCs w:val="21"/>
              </w:rPr>
              <w:t>月</w:t>
            </w:r>
            <w:r>
              <w:rPr>
                <w:rFonts w:eastAsiaTheme="minorEastAsia"/>
                <w:color w:val="000000"/>
                <w:szCs w:val="21"/>
              </w:rPr>
              <w:t>29</w:t>
            </w:r>
            <w:r>
              <w:rPr>
                <w:rFonts w:eastAsiaTheme="minorEastAsia"/>
                <w:color w:val="000000"/>
                <w:szCs w:val="21"/>
              </w:rPr>
              <w:t>日担任交银施罗德天利宝货币市场基金的基金经理。</w:t>
            </w:r>
            <w:r>
              <w:rPr>
                <w:rFonts w:eastAsiaTheme="minorEastAsia"/>
                <w:color w:val="000000"/>
                <w:szCs w:val="21"/>
              </w:rPr>
              <w:t>2016</w:t>
            </w:r>
            <w:r>
              <w:rPr>
                <w:rFonts w:eastAsiaTheme="minorEastAsia"/>
                <w:color w:val="000000"/>
                <w:szCs w:val="21"/>
              </w:rPr>
              <w:t>年</w:t>
            </w:r>
            <w:r>
              <w:rPr>
                <w:rFonts w:eastAsiaTheme="minorEastAsia"/>
                <w:color w:val="000000"/>
                <w:szCs w:val="21"/>
              </w:rPr>
              <w:t>11</w:t>
            </w:r>
            <w:r>
              <w:rPr>
                <w:rFonts w:eastAsiaTheme="minorEastAsia"/>
                <w:color w:val="000000"/>
                <w:szCs w:val="21"/>
              </w:rPr>
              <w:t>月</w:t>
            </w:r>
            <w:r>
              <w:rPr>
                <w:rFonts w:eastAsiaTheme="minorEastAsia"/>
                <w:color w:val="000000"/>
                <w:szCs w:val="21"/>
              </w:rPr>
              <w:t>28</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9</w:t>
            </w:r>
            <w:r>
              <w:rPr>
                <w:rFonts w:eastAsiaTheme="minorEastAsia"/>
                <w:color w:val="000000"/>
                <w:szCs w:val="21"/>
              </w:rPr>
              <w:t>月</w:t>
            </w:r>
            <w:r>
              <w:rPr>
                <w:rFonts w:eastAsiaTheme="minorEastAsia"/>
                <w:color w:val="000000"/>
                <w:szCs w:val="21"/>
              </w:rPr>
              <w:t>29</w:t>
            </w:r>
            <w:r>
              <w:rPr>
                <w:rFonts w:eastAsiaTheme="minorEastAsia"/>
                <w:color w:val="000000"/>
                <w:szCs w:val="21"/>
              </w:rPr>
              <w:t>日担任交银施罗德裕隆纯债债券型证券投资基金的基金经理。</w:t>
            </w:r>
            <w:r>
              <w:rPr>
                <w:rFonts w:eastAsiaTheme="minorEastAsia"/>
                <w:color w:val="000000"/>
                <w:szCs w:val="21"/>
              </w:rPr>
              <w:t>2016</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20</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9</w:t>
            </w:r>
            <w:r>
              <w:rPr>
                <w:rFonts w:eastAsiaTheme="minorEastAsia"/>
                <w:color w:val="000000"/>
                <w:szCs w:val="21"/>
              </w:rPr>
              <w:t>月</w:t>
            </w:r>
            <w:r>
              <w:rPr>
                <w:rFonts w:eastAsiaTheme="minorEastAsia"/>
                <w:color w:val="000000"/>
                <w:szCs w:val="21"/>
              </w:rPr>
              <w:t>29</w:t>
            </w:r>
            <w:r>
              <w:rPr>
                <w:rFonts w:eastAsiaTheme="minorEastAsia"/>
                <w:color w:val="000000"/>
                <w:szCs w:val="21"/>
              </w:rPr>
              <w:t>日担任交银施罗德天益宝货币市场基金的基金经理。</w:t>
            </w:r>
            <w:r>
              <w:rPr>
                <w:rFonts w:eastAsiaTheme="minorEastAsia"/>
                <w:color w:val="000000"/>
                <w:szCs w:val="21"/>
              </w:rPr>
              <w:t>2017</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3</w:t>
            </w:r>
            <w:r>
              <w:rPr>
                <w:rFonts w:eastAsiaTheme="minorEastAsia"/>
                <w:color w:val="000000"/>
                <w:szCs w:val="21"/>
              </w:rPr>
              <w:t>日至</w:t>
            </w:r>
            <w:r>
              <w:rPr>
                <w:rFonts w:eastAsiaTheme="minorEastAsia"/>
                <w:color w:val="000000"/>
                <w:szCs w:val="21"/>
              </w:rPr>
              <w:t>2019</w:t>
            </w:r>
            <w:r>
              <w:rPr>
                <w:rFonts w:eastAsiaTheme="minorEastAsia"/>
                <w:color w:val="000000"/>
                <w:szCs w:val="21"/>
              </w:rPr>
              <w:t>年</w:t>
            </w:r>
            <w:r>
              <w:rPr>
                <w:rFonts w:eastAsiaTheme="minorEastAsia"/>
                <w:color w:val="000000"/>
                <w:szCs w:val="21"/>
              </w:rPr>
              <w:t>9</w:t>
            </w:r>
            <w:r>
              <w:rPr>
                <w:rFonts w:eastAsiaTheme="minorEastAsia"/>
                <w:color w:val="000000"/>
                <w:szCs w:val="21"/>
              </w:rPr>
              <w:t>月</w:t>
            </w:r>
            <w:r>
              <w:rPr>
                <w:rFonts w:eastAsiaTheme="minorEastAsia"/>
                <w:color w:val="000000"/>
                <w:szCs w:val="21"/>
              </w:rPr>
              <w:t>29</w:t>
            </w:r>
            <w:r>
              <w:rPr>
                <w:rFonts w:eastAsiaTheme="minorEastAsia"/>
                <w:color w:val="000000"/>
                <w:szCs w:val="21"/>
              </w:rPr>
              <w:t>日担任交银施罗德境尚收益债券型证券投资基金的基金经理。</w:t>
            </w:r>
            <w:r>
              <w:rPr>
                <w:rFonts w:eastAsiaTheme="minorEastAsia"/>
                <w:color w:val="000000"/>
                <w:szCs w:val="21"/>
              </w:rPr>
              <w:t>2015</w:t>
            </w:r>
            <w:r>
              <w:rPr>
                <w:rFonts w:eastAsiaTheme="minorEastAsia"/>
                <w:color w:val="000000"/>
                <w:szCs w:val="21"/>
              </w:rPr>
              <w:t>年</w:t>
            </w:r>
            <w:r>
              <w:rPr>
                <w:rFonts w:eastAsiaTheme="minorEastAsia"/>
                <w:color w:val="000000"/>
                <w:szCs w:val="21"/>
              </w:rPr>
              <w:t>10</w:t>
            </w:r>
            <w:r>
              <w:rPr>
                <w:rFonts w:eastAsiaTheme="minorEastAsia"/>
                <w:color w:val="000000"/>
                <w:szCs w:val="21"/>
              </w:rPr>
              <w:t>月</w:t>
            </w:r>
            <w:r>
              <w:rPr>
                <w:rFonts w:eastAsiaTheme="minorEastAsia"/>
                <w:color w:val="000000"/>
                <w:szCs w:val="21"/>
              </w:rPr>
              <w:t>16</w:t>
            </w:r>
            <w:r>
              <w:rPr>
                <w:rFonts w:eastAsiaTheme="minorEastAsia"/>
                <w:color w:val="000000"/>
                <w:szCs w:val="21"/>
              </w:rPr>
              <w:t>日至</w:t>
            </w:r>
            <w:r>
              <w:rPr>
                <w:rFonts w:eastAsiaTheme="minorEastAsia"/>
                <w:color w:val="000000"/>
                <w:szCs w:val="21"/>
              </w:rPr>
              <w:t>2020</w:t>
            </w:r>
            <w:r>
              <w:rPr>
                <w:rFonts w:eastAsiaTheme="minorEastAsia"/>
                <w:color w:val="000000"/>
                <w:szCs w:val="21"/>
              </w:rPr>
              <w:t>年</w:t>
            </w:r>
            <w:r>
              <w:rPr>
                <w:rFonts w:eastAsiaTheme="minorEastAsia"/>
                <w:color w:val="000000"/>
                <w:szCs w:val="21"/>
              </w:rPr>
              <w:t>7</w:t>
            </w:r>
            <w:r>
              <w:rPr>
                <w:rFonts w:eastAsiaTheme="minorEastAsia"/>
                <w:color w:val="000000"/>
                <w:szCs w:val="21"/>
              </w:rPr>
              <w:t>月</w:t>
            </w:r>
            <w:r>
              <w:rPr>
                <w:rFonts w:eastAsiaTheme="minorEastAsia"/>
                <w:color w:val="000000"/>
                <w:szCs w:val="21"/>
              </w:rPr>
              <w:t>27</w:t>
            </w:r>
            <w:r>
              <w:rPr>
                <w:rFonts w:eastAsiaTheme="minorEastAsia"/>
                <w:color w:val="000000"/>
                <w:szCs w:val="21"/>
              </w:rPr>
              <w:t>日担任转型前的交银施罗德理财</w:t>
            </w:r>
            <w:r>
              <w:rPr>
                <w:rFonts w:eastAsiaTheme="minorEastAsia"/>
                <w:color w:val="000000"/>
                <w:szCs w:val="21"/>
              </w:rPr>
              <w:t>60</w:t>
            </w:r>
            <w:r>
              <w:rPr>
                <w:rFonts w:eastAsiaTheme="minorEastAsia"/>
                <w:color w:val="000000"/>
                <w:szCs w:val="21"/>
              </w:rPr>
              <w:t>天债券型证券投资基金的基金经理。</w:t>
            </w:r>
            <w:r>
              <w:rPr>
                <w:rFonts w:eastAsiaTheme="minorEastAsia"/>
                <w:color w:val="000000"/>
                <w:szCs w:val="21"/>
              </w:rPr>
              <w:t>2015</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4</w:t>
            </w:r>
            <w:r>
              <w:rPr>
                <w:rFonts w:eastAsiaTheme="minorEastAsia"/>
                <w:color w:val="000000"/>
                <w:szCs w:val="21"/>
              </w:rPr>
              <w:t>日至</w:t>
            </w:r>
            <w:r>
              <w:rPr>
                <w:rFonts w:eastAsiaTheme="minorEastAsia"/>
                <w:color w:val="000000"/>
                <w:szCs w:val="21"/>
              </w:rPr>
              <w:t>2020</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21</w:t>
            </w:r>
            <w:r>
              <w:rPr>
                <w:rFonts w:eastAsiaTheme="minorEastAsia"/>
                <w:color w:val="000000"/>
                <w:szCs w:val="21"/>
              </w:rPr>
              <w:t>日担任交银施罗德丰润收益债券型证券投资基金的基金经理。</w:t>
            </w:r>
          </w:p>
          <w:p w:rsidR="003663E4" w:rsidRDefault="003663E4"/>
        </w:tc>
      </w:tr>
    </w:tbl>
    <w:p w:rsidR="003663E4" w:rsidRDefault="00FD3F7D">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、本表所列基金经理（助理）任职日期和离职日期均以基金合同生效日或公司作出决定并公告（如适用）之日为准。</w:t>
      </w:r>
    </w:p>
    <w:p w:rsidR="003663E4" w:rsidRDefault="00FD3F7D">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、本表所列基金经理（助理）证券从业年限中的</w:t>
      </w:r>
      <w:r>
        <w:rPr>
          <w:rFonts w:eastAsiaTheme="minorEastAsia"/>
          <w:kern w:val="0"/>
          <w:szCs w:val="21"/>
        </w:rPr>
        <w:t>“</w:t>
      </w:r>
      <w:r>
        <w:rPr>
          <w:rFonts w:eastAsiaTheme="minorEastAsia"/>
          <w:kern w:val="0"/>
          <w:szCs w:val="21"/>
        </w:rPr>
        <w:t>证券从业</w:t>
      </w:r>
      <w:r>
        <w:rPr>
          <w:rFonts w:eastAsiaTheme="minorEastAsia"/>
          <w:kern w:val="0"/>
          <w:szCs w:val="21"/>
        </w:rPr>
        <w:t>”</w:t>
      </w:r>
      <w:r>
        <w:rPr>
          <w:rFonts w:eastAsiaTheme="minorEastAsia"/>
          <w:kern w:val="0"/>
          <w:szCs w:val="21"/>
        </w:rPr>
        <w:t>的含义遵从中国证券业协会《证券业从业人员资格管理办法》的相关规定。</w:t>
      </w:r>
    </w:p>
    <w:p w:rsidR="003663E4" w:rsidRDefault="00FD3F7D">
      <w:pPr>
        <w:autoSpaceDE w:val="0"/>
        <w:autoSpaceDN w:val="0"/>
        <w:adjustRightInd w:val="0"/>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、基金经理（或基金经理小组）期后变动（如有）敬请关注基金管理人发布的相关公告。</w:t>
      </w:r>
    </w:p>
    <w:p w:rsidR="003663E4" w:rsidRDefault="00FD3F7D">
      <w:pPr>
        <w:pStyle w:val="2"/>
        <w:spacing w:before="0" w:after="0"/>
        <w:rPr>
          <w:rFonts w:asciiTheme="minorEastAsia" w:eastAsiaTheme="minorEastAsia" w:hAnsiTheme="minorEastAsia" w:cs="Times New Roman"/>
          <w:kern w:val="0"/>
          <w:sz w:val="21"/>
          <w:szCs w:val="21"/>
        </w:rPr>
      </w:pPr>
      <w:bookmarkStart w:id="64" w:name="_Toc23339347"/>
      <w:bookmarkStart w:id="65" w:name="_Toc17586"/>
      <w:r>
        <w:rPr>
          <w:rFonts w:asciiTheme="minorEastAsia" w:eastAsiaTheme="minorEastAsia" w:hAnsiTheme="minorEastAsia" w:cs="Times New Roman" w:hint="eastAsia"/>
          <w:kern w:val="0"/>
          <w:sz w:val="21"/>
          <w:szCs w:val="21"/>
        </w:rPr>
        <w:t xml:space="preserve">4.2 </w:t>
      </w:r>
      <w:r>
        <w:rPr>
          <w:rFonts w:asciiTheme="minorEastAsia" w:eastAsiaTheme="minorEastAsia" w:hAnsiTheme="minorEastAsia" w:cs="Times New Roman" w:hint="eastAsia"/>
          <w:kern w:val="0"/>
          <w:sz w:val="21"/>
          <w:szCs w:val="21"/>
        </w:rPr>
        <w:t>管理人对报告期内本基金运作遵规守信情况的说明</w:t>
      </w:r>
      <w:bookmarkEnd w:id="64"/>
      <w:bookmarkEnd w:id="65"/>
    </w:p>
    <w:p w:rsidR="003663E4" w:rsidRDefault="00FD3F7D">
      <w:pPr>
        <w:spacing w:line="360" w:lineRule="auto"/>
        <w:ind w:firstLineChars="200" w:firstLine="420"/>
        <w:rPr>
          <w:rFonts w:eastAsiaTheme="minorEastAsia"/>
          <w:szCs w:val="21"/>
        </w:rPr>
      </w:pPr>
      <w:r>
        <w:rPr>
          <w:rFonts w:eastAsiaTheme="minorEastAsia"/>
          <w:szCs w:val="21"/>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3663E4" w:rsidRDefault="00FD3F7D">
      <w:pPr>
        <w:pStyle w:val="2"/>
        <w:spacing w:before="0" w:after="0"/>
        <w:rPr>
          <w:rFonts w:asciiTheme="minorEastAsia" w:eastAsiaTheme="minorEastAsia" w:hAnsiTheme="minorEastAsia" w:cs="Times New Roman"/>
          <w:kern w:val="0"/>
          <w:sz w:val="21"/>
          <w:szCs w:val="21"/>
        </w:rPr>
      </w:pPr>
      <w:bookmarkStart w:id="66" w:name="_Toc23339348"/>
      <w:bookmarkStart w:id="67" w:name="_Toc31940"/>
      <w:r>
        <w:rPr>
          <w:rFonts w:asciiTheme="minorEastAsia" w:eastAsiaTheme="minorEastAsia" w:hAnsiTheme="minorEastAsia" w:cs="Times New Roman" w:hint="eastAsia"/>
          <w:kern w:val="0"/>
          <w:sz w:val="21"/>
          <w:szCs w:val="21"/>
        </w:rPr>
        <w:t xml:space="preserve">4.3 </w:t>
      </w:r>
      <w:r>
        <w:rPr>
          <w:rFonts w:asciiTheme="minorEastAsia" w:eastAsiaTheme="minorEastAsia" w:hAnsiTheme="minorEastAsia" w:cs="Times New Roman" w:hint="eastAsia"/>
          <w:kern w:val="0"/>
          <w:sz w:val="21"/>
          <w:szCs w:val="21"/>
        </w:rPr>
        <w:t>管理人对报告期内公平交易情况的专项说明</w:t>
      </w:r>
      <w:bookmarkEnd w:id="66"/>
      <w:bookmarkEnd w:id="67"/>
    </w:p>
    <w:p w:rsidR="003663E4" w:rsidRDefault="00FD3F7D">
      <w:pPr>
        <w:autoSpaceDE w:val="0"/>
        <w:autoSpaceDN w:val="0"/>
        <w:adjustRightInd w:val="0"/>
        <w:snapToGrid w:val="0"/>
        <w:spacing w:line="360" w:lineRule="auto"/>
        <w:jc w:val="left"/>
        <w:rPr>
          <w:rFonts w:eastAsiaTheme="minorEastAsia"/>
          <w:b/>
          <w:bCs/>
          <w:kern w:val="0"/>
          <w:szCs w:val="21"/>
        </w:rPr>
      </w:pPr>
      <w:r>
        <w:rPr>
          <w:rFonts w:eastAsiaTheme="minorEastAsia"/>
          <w:b/>
          <w:bCs/>
          <w:kern w:val="0"/>
          <w:szCs w:val="21"/>
        </w:rPr>
        <w:t>4.3.1</w:t>
      </w:r>
      <w:r>
        <w:rPr>
          <w:rFonts w:eastAsiaTheme="minorEastAsia" w:hint="eastAsia"/>
          <w:b/>
          <w:bCs/>
          <w:kern w:val="0"/>
          <w:szCs w:val="21"/>
        </w:rPr>
        <w:t xml:space="preserve"> </w:t>
      </w:r>
      <w:r>
        <w:rPr>
          <w:rFonts w:eastAsiaTheme="minorEastAsia" w:hint="eastAsia"/>
          <w:b/>
          <w:bCs/>
          <w:kern w:val="0"/>
          <w:szCs w:val="21"/>
        </w:rPr>
        <w:t>公平交易制度和控制方法</w:t>
      </w:r>
    </w:p>
    <w:p w:rsidR="003663E4" w:rsidRDefault="00FD3F7D">
      <w:pPr>
        <w:spacing w:line="360" w:lineRule="auto"/>
        <w:ind w:firstLineChars="200" w:firstLine="420"/>
        <w:rPr>
          <w:rFonts w:eastAsiaTheme="minorEastAsia"/>
          <w:szCs w:val="21"/>
        </w:rPr>
      </w:pPr>
      <w:r>
        <w:rPr>
          <w:rFonts w:eastAsiaTheme="minorEastAsia"/>
          <w:szCs w:val="21"/>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w:t>
      </w:r>
      <w:r>
        <w:rPr>
          <w:rFonts w:eastAsiaTheme="minorEastAsia"/>
          <w:szCs w:val="21"/>
        </w:rPr>
        <w:t>控制方法如下：</w:t>
      </w:r>
    </w:p>
    <w:p w:rsidR="003663E4" w:rsidRDefault="00FD3F7D">
      <w:pPr>
        <w:spacing w:line="360" w:lineRule="auto"/>
        <w:ind w:firstLineChars="200" w:firstLine="420"/>
        <w:rPr>
          <w:rFonts w:eastAsiaTheme="minorEastAsia"/>
          <w:szCs w:val="21"/>
        </w:rPr>
      </w:pPr>
      <w:r>
        <w:rPr>
          <w:rFonts w:eastAsiaTheme="minorEastAsia"/>
          <w:szCs w:val="21"/>
        </w:rPr>
        <w:t>（</w:t>
      </w:r>
      <w:r>
        <w:rPr>
          <w:rFonts w:eastAsiaTheme="minorEastAsia"/>
          <w:szCs w:val="21"/>
        </w:rPr>
        <w:t>1</w:t>
      </w:r>
      <w:r>
        <w:rPr>
          <w:rFonts w:eastAsiaTheme="minorEastAsia"/>
          <w:szCs w:val="21"/>
        </w:rPr>
        <w:t>）公司建立资源共享的投资研究信息平台，所有研究成果对所有投资组合公平开放，确保各投资组合在获得研究支持和实施投资决策方面享有公平的机会。</w:t>
      </w:r>
    </w:p>
    <w:p w:rsidR="003663E4" w:rsidRDefault="00FD3F7D">
      <w:pPr>
        <w:spacing w:line="360" w:lineRule="auto"/>
        <w:ind w:firstLineChars="200" w:firstLine="420"/>
        <w:rPr>
          <w:rFonts w:eastAsiaTheme="minorEastAsia"/>
          <w:szCs w:val="21"/>
        </w:rPr>
      </w:pPr>
      <w:r>
        <w:rPr>
          <w:rFonts w:eastAsiaTheme="minorEastAsia"/>
          <w:szCs w:val="21"/>
        </w:rPr>
        <w:t>（</w:t>
      </w:r>
      <w:r>
        <w:rPr>
          <w:rFonts w:eastAsiaTheme="minorEastAsia"/>
          <w:szCs w:val="21"/>
        </w:rPr>
        <w:t>2</w:t>
      </w:r>
      <w:r>
        <w:rPr>
          <w:rFonts w:eastAsiaTheme="minorEastAsia"/>
          <w:szCs w:val="21"/>
        </w:rPr>
        <w:t>）公司将投资管理职能和交易执行职能相隔离，实行集中交易制度，建立了合理且可操作的公平交易分配机制，确保各投资组合享有公平的交易执行机会。对于交易所公开竞价交易，遵循</w:t>
      </w:r>
      <w:r>
        <w:rPr>
          <w:rFonts w:eastAsiaTheme="minorEastAsia"/>
          <w:szCs w:val="21"/>
        </w:rPr>
        <w:t>“</w:t>
      </w:r>
      <w:r>
        <w:rPr>
          <w:rFonts w:eastAsiaTheme="minorEastAsia"/>
          <w:szCs w:val="21"/>
        </w:rPr>
        <w:t>时间优先、价格优先、比例分配</w:t>
      </w:r>
      <w:r>
        <w:rPr>
          <w:rFonts w:eastAsiaTheme="minorEastAsia"/>
          <w:szCs w:val="21"/>
        </w:rPr>
        <w:t>”</w:t>
      </w:r>
      <w:r>
        <w:rPr>
          <w:rFonts w:eastAsiaTheme="minorEastAsia"/>
          <w:szCs w:val="21"/>
        </w:rPr>
        <w:t>的原则，全部通过交易系统进行比例分配；对于非集中竞价交易、以公司名义进行的场外交易，遵循</w:t>
      </w:r>
      <w:r>
        <w:rPr>
          <w:rFonts w:eastAsiaTheme="minorEastAsia"/>
          <w:szCs w:val="21"/>
        </w:rPr>
        <w:t>“</w:t>
      </w:r>
      <w:r>
        <w:rPr>
          <w:rFonts w:eastAsiaTheme="minorEastAsia"/>
          <w:szCs w:val="21"/>
        </w:rPr>
        <w:t>价格优先、比例分配</w:t>
      </w:r>
      <w:r>
        <w:rPr>
          <w:rFonts w:eastAsiaTheme="minorEastAsia"/>
          <w:szCs w:val="21"/>
        </w:rPr>
        <w:t>”</w:t>
      </w:r>
      <w:r>
        <w:rPr>
          <w:rFonts w:eastAsiaTheme="minorEastAsia"/>
          <w:szCs w:val="21"/>
        </w:rPr>
        <w:t>的原则按事前独立确定的投资方案对交易结果进行分配。</w:t>
      </w:r>
    </w:p>
    <w:p w:rsidR="003663E4" w:rsidRDefault="00FD3F7D">
      <w:pPr>
        <w:spacing w:line="360" w:lineRule="auto"/>
        <w:ind w:firstLineChars="200" w:firstLine="420"/>
        <w:rPr>
          <w:rFonts w:eastAsiaTheme="minorEastAsia"/>
          <w:szCs w:val="21"/>
        </w:rPr>
      </w:pPr>
      <w:r>
        <w:rPr>
          <w:rFonts w:eastAsiaTheme="minorEastAsia"/>
          <w:szCs w:val="21"/>
        </w:rPr>
        <w:t>（</w:t>
      </w:r>
      <w:r>
        <w:rPr>
          <w:rFonts w:eastAsiaTheme="minorEastAsia"/>
          <w:szCs w:val="21"/>
        </w:rPr>
        <w:t>3</w:t>
      </w:r>
      <w:r>
        <w:rPr>
          <w:rFonts w:eastAsiaTheme="minorEastAsia"/>
          <w:szCs w:val="21"/>
        </w:rPr>
        <w:t>）公司建立了清晰的投资授权制度，明确各层级投资决策主体的职责和权限划分，组合投资经理充分发挥专业判断能力</w:t>
      </w:r>
      <w:r>
        <w:rPr>
          <w:rFonts w:eastAsiaTheme="minorEastAsia"/>
          <w:szCs w:val="21"/>
        </w:rPr>
        <w:t>,</w:t>
      </w:r>
      <w:r>
        <w:rPr>
          <w:rFonts w:eastAsiaTheme="minorEastAsia"/>
          <w:szCs w:val="21"/>
        </w:rPr>
        <w:t>不受他人干预</w:t>
      </w:r>
      <w:r>
        <w:rPr>
          <w:rFonts w:eastAsiaTheme="minorEastAsia"/>
          <w:szCs w:val="21"/>
        </w:rPr>
        <w:t>,</w:t>
      </w:r>
      <w:r>
        <w:rPr>
          <w:rFonts w:eastAsiaTheme="minorEastAsia"/>
          <w:szCs w:val="21"/>
        </w:rPr>
        <w:t>在授权范围内独立行使投资决</w:t>
      </w:r>
      <w:r>
        <w:rPr>
          <w:rFonts w:eastAsiaTheme="minorEastAsia"/>
          <w:szCs w:val="21"/>
        </w:rPr>
        <w:t>策权，维护公平的投资管理环境，维护所管理投资组合的合法利益</w:t>
      </w:r>
      <w:r>
        <w:rPr>
          <w:rFonts w:eastAsiaTheme="minorEastAsia"/>
          <w:szCs w:val="21"/>
        </w:rPr>
        <w:t>,</w:t>
      </w:r>
      <w:r>
        <w:rPr>
          <w:rFonts w:eastAsiaTheme="minorEastAsia"/>
          <w:szCs w:val="21"/>
        </w:rPr>
        <w:t>保证各投资组合交易决策的客观性和独立性，防范不公平及异常交易的发生。</w:t>
      </w:r>
    </w:p>
    <w:p w:rsidR="003663E4" w:rsidRDefault="00FD3F7D">
      <w:pPr>
        <w:spacing w:line="360" w:lineRule="auto"/>
        <w:ind w:firstLineChars="200" w:firstLine="420"/>
        <w:rPr>
          <w:rFonts w:eastAsiaTheme="minorEastAsia"/>
          <w:szCs w:val="21"/>
        </w:rPr>
      </w:pPr>
      <w:r>
        <w:rPr>
          <w:rFonts w:eastAsiaTheme="minorEastAsia"/>
          <w:szCs w:val="21"/>
        </w:rPr>
        <w:t>（</w:t>
      </w:r>
      <w:r>
        <w:rPr>
          <w:rFonts w:eastAsiaTheme="minorEastAsia"/>
          <w:szCs w:val="21"/>
        </w:rPr>
        <w:t>4</w:t>
      </w:r>
      <w:r>
        <w:rPr>
          <w:rFonts w:eastAsiaTheme="minorEastAsia"/>
          <w:szCs w:val="21"/>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3663E4" w:rsidRDefault="00FD3F7D">
      <w:pPr>
        <w:spacing w:line="360" w:lineRule="auto"/>
        <w:ind w:firstLineChars="200" w:firstLine="420"/>
        <w:rPr>
          <w:rFonts w:eastAsiaTheme="minorEastAsia"/>
          <w:szCs w:val="21"/>
        </w:rPr>
      </w:pPr>
      <w:r>
        <w:rPr>
          <w:rFonts w:eastAsiaTheme="minorEastAsia"/>
          <w:szCs w:val="21"/>
        </w:rPr>
        <w:t>（</w:t>
      </w:r>
      <w:r>
        <w:rPr>
          <w:rFonts w:eastAsiaTheme="minorEastAsia"/>
          <w:szCs w:val="21"/>
        </w:rPr>
        <w:t>5</w:t>
      </w:r>
      <w:r>
        <w:rPr>
          <w:rFonts w:eastAsiaTheme="minorEastAsia"/>
          <w:szCs w:val="21"/>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3663E4" w:rsidRDefault="00FD3F7D">
      <w:pPr>
        <w:autoSpaceDE w:val="0"/>
        <w:autoSpaceDN w:val="0"/>
        <w:adjustRightInd w:val="0"/>
        <w:snapToGrid w:val="0"/>
        <w:spacing w:line="360" w:lineRule="auto"/>
        <w:jc w:val="left"/>
        <w:rPr>
          <w:rFonts w:eastAsiaTheme="minorEastAsia"/>
          <w:b/>
          <w:bCs/>
          <w:kern w:val="0"/>
          <w:szCs w:val="21"/>
        </w:rPr>
      </w:pPr>
      <w:r>
        <w:rPr>
          <w:rFonts w:eastAsiaTheme="minorEastAsia"/>
          <w:b/>
          <w:bCs/>
          <w:kern w:val="0"/>
          <w:szCs w:val="21"/>
        </w:rPr>
        <w:t>4.3.2</w:t>
      </w:r>
      <w:r>
        <w:rPr>
          <w:rFonts w:eastAsiaTheme="minorEastAsia" w:hint="eastAsia"/>
          <w:b/>
          <w:bCs/>
          <w:kern w:val="0"/>
          <w:szCs w:val="21"/>
        </w:rPr>
        <w:t xml:space="preserve"> </w:t>
      </w:r>
      <w:r>
        <w:rPr>
          <w:rFonts w:eastAsiaTheme="minorEastAsia" w:hint="eastAsia"/>
          <w:b/>
          <w:bCs/>
          <w:kern w:val="0"/>
          <w:szCs w:val="21"/>
        </w:rPr>
        <w:t>公平交易制度的执行情况</w:t>
      </w:r>
    </w:p>
    <w:p w:rsidR="003663E4" w:rsidRDefault="00FD3F7D">
      <w:pPr>
        <w:tabs>
          <w:tab w:val="left" w:pos="426"/>
        </w:tabs>
        <w:spacing w:line="360" w:lineRule="auto"/>
        <w:ind w:firstLineChars="200" w:firstLine="420"/>
        <w:rPr>
          <w:kern w:val="0"/>
          <w:szCs w:val="21"/>
        </w:rPr>
      </w:pPr>
      <w:r>
        <w:rPr>
          <w:rFonts w:eastAsiaTheme="minorEastAsia"/>
          <w:szCs w:val="21"/>
        </w:rPr>
        <w:t>本公司制定了严格的投资控制制度和公平交易监控制度来保证旗下基金运作的公平，旗下所管理的所有资产组合，包括证券投资基金和私募资产管理计划均严格遵循制度进行公平交易。</w:t>
      </w:r>
    </w:p>
    <w:p w:rsidR="003663E4" w:rsidRDefault="00FD3F7D">
      <w:pPr>
        <w:tabs>
          <w:tab w:val="left" w:pos="426"/>
        </w:tabs>
        <w:spacing w:line="360" w:lineRule="auto"/>
        <w:ind w:firstLineChars="200" w:firstLine="420"/>
        <w:rPr>
          <w:kern w:val="0"/>
          <w:szCs w:val="21"/>
        </w:rPr>
      </w:pPr>
      <w:r>
        <w:rPr>
          <w:rFonts w:eastAsiaTheme="minorEastAsia"/>
          <w:szCs w:val="21"/>
        </w:rPr>
        <w:t>公司建立资源共享的投</w:t>
      </w:r>
      <w:r>
        <w:rPr>
          <w:rFonts w:eastAsiaTheme="minorEastAsia"/>
          <w:szCs w:val="21"/>
        </w:rPr>
        <w:t>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szCs w:val="21"/>
        </w:rPr>
        <w:t>“</w:t>
      </w:r>
      <w:r>
        <w:rPr>
          <w:rFonts w:eastAsiaTheme="minorEastAsia"/>
          <w:szCs w:val="21"/>
        </w:rPr>
        <w:t>价格优先、时间优先</w:t>
      </w:r>
      <w:r>
        <w:rPr>
          <w:rFonts w:eastAsiaTheme="minorEastAsia"/>
          <w:szCs w:val="21"/>
        </w:rPr>
        <w:t>”</w:t>
      </w:r>
      <w:r>
        <w:rPr>
          <w:rFonts w:eastAsiaTheme="minorEastAsia"/>
          <w:szCs w:val="21"/>
        </w:rPr>
        <w:t>的原则，全部通过交易系统进行比例分配；对于非集中竞价交易、以公司名义进行的场外交易，遵循公平交易分配原则对交易结果进行分配。</w:t>
      </w:r>
    </w:p>
    <w:p w:rsidR="003663E4" w:rsidRDefault="00FD3F7D">
      <w:pPr>
        <w:tabs>
          <w:tab w:val="left" w:pos="426"/>
        </w:tabs>
        <w:spacing w:line="360" w:lineRule="auto"/>
        <w:ind w:firstLineChars="200" w:firstLine="420"/>
        <w:rPr>
          <w:kern w:val="0"/>
          <w:szCs w:val="21"/>
        </w:rPr>
      </w:pPr>
      <w:r>
        <w:rPr>
          <w:rFonts w:eastAsiaTheme="minorEastAsia"/>
          <w:szCs w:val="21"/>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w:t>
      </w:r>
      <w:r>
        <w:rPr>
          <w:rFonts w:eastAsiaTheme="minorEastAsia"/>
          <w:szCs w:val="21"/>
        </w:rPr>
        <w:t>时间窗口同向交易的交易价差进行分析，通过分析评估和信息披露来加强对公平交易过程和结果的监督。</w:t>
      </w:r>
    </w:p>
    <w:p w:rsidR="003663E4" w:rsidRDefault="00FD3F7D">
      <w:pPr>
        <w:tabs>
          <w:tab w:val="left" w:pos="426"/>
        </w:tabs>
        <w:spacing w:line="360" w:lineRule="auto"/>
        <w:ind w:firstLineChars="200" w:firstLine="420"/>
        <w:rPr>
          <w:kern w:val="0"/>
          <w:szCs w:val="21"/>
        </w:rPr>
      </w:pPr>
      <w:r>
        <w:rPr>
          <w:rFonts w:eastAsiaTheme="minorEastAsia"/>
          <w:szCs w:val="21"/>
        </w:rPr>
        <w:t>报告期内本公司严格执行公平交易制度，公平对待旗下各投资组合，未发现任何违反公平交易的行为。</w:t>
      </w:r>
    </w:p>
    <w:p w:rsidR="003663E4" w:rsidRDefault="00FD3F7D">
      <w:pPr>
        <w:autoSpaceDE w:val="0"/>
        <w:autoSpaceDN w:val="0"/>
        <w:adjustRightInd w:val="0"/>
        <w:snapToGrid w:val="0"/>
        <w:spacing w:line="360" w:lineRule="auto"/>
        <w:jc w:val="left"/>
        <w:rPr>
          <w:rFonts w:eastAsiaTheme="minorEastAsia"/>
          <w:b/>
          <w:bCs/>
          <w:kern w:val="0"/>
          <w:szCs w:val="21"/>
        </w:rPr>
      </w:pPr>
      <w:r>
        <w:rPr>
          <w:rFonts w:eastAsiaTheme="minorEastAsia"/>
          <w:b/>
          <w:bCs/>
          <w:kern w:val="0"/>
          <w:szCs w:val="21"/>
        </w:rPr>
        <w:t>4.3.3</w:t>
      </w:r>
      <w:r>
        <w:rPr>
          <w:rFonts w:eastAsiaTheme="minorEastAsia" w:hint="eastAsia"/>
          <w:b/>
          <w:bCs/>
          <w:kern w:val="0"/>
          <w:szCs w:val="21"/>
        </w:rPr>
        <w:t xml:space="preserve"> </w:t>
      </w:r>
      <w:r>
        <w:rPr>
          <w:rFonts w:eastAsiaTheme="minorEastAsia" w:hint="eastAsia"/>
          <w:b/>
          <w:bCs/>
          <w:kern w:val="0"/>
          <w:szCs w:val="21"/>
        </w:rPr>
        <w:t>异常交易行为的专项说明</w:t>
      </w:r>
    </w:p>
    <w:p w:rsidR="003663E4" w:rsidRDefault="00FD3F7D">
      <w:pPr>
        <w:spacing w:line="360" w:lineRule="auto"/>
        <w:ind w:firstLineChars="200" w:firstLine="420"/>
        <w:rPr>
          <w:rFonts w:eastAsiaTheme="minorEastAsia"/>
          <w:szCs w:val="21"/>
        </w:rPr>
      </w:pPr>
      <w:r>
        <w:rPr>
          <w:rFonts w:eastAsiaTheme="minorEastAsia"/>
          <w:szCs w:val="21"/>
        </w:rPr>
        <w:t>本基金于本报告期内不存在异常交易行为。本报告期内，本公司管理的所有投资组合参与的交易所公开竞价同日反向交易成交较少的单边交易量没有超过该证券当日总成交量</w:t>
      </w:r>
      <w:r>
        <w:rPr>
          <w:rFonts w:eastAsiaTheme="minorEastAsia"/>
          <w:szCs w:val="21"/>
        </w:rPr>
        <w:t>5%</w:t>
      </w:r>
      <w:r>
        <w:rPr>
          <w:rFonts w:eastAsiaTheme="minorEastAsia"/>
          <w:szCs w:val="21"/>
        </w:rPr>
        <w:t>的情形，本基金与本公司管理的其他投资组合在不同时间窗下（如日内、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日内）同向交易的交易价差未出现异常。</w:t>
      </w:r>
    </w:p>
    <w:p w:rsidR="003663E4" w:rsidRDefault="00FD3F7D">
      <w:pPr>
        <w:pStyle w:val="2"/>
        <w:spacing w:before="0" w:after="0"/>
        <w:rPr>
          <w:rFonts w:asciiTheme="minorEastAsia" w:eastAsiaTheme="minorEastAsia" w:hAnsiTheme="minorEastAsia" w:cs="Times New Roman"/>
          <w:kern w:val="0"/>
          <w:sz w:val="21"/>
          <w:szCs w:val="21"/>
        </w:rPr>
      </w:pPr>
      <w:bookmarkStart w:id="68" w:name="_Toc23339349"/>
      <w:bookmarkStart w:id="69" w:name="_Toc7535"/>
      <w:r>
        <w:rPr>
          <w:rFonts w:asciiTheme="minorEastAsia" w:eastAsiaTheme="minorEastAsia" w:hAnsiTheme="minorEastAsia" w:cs="Times New Roman" w:hint="eastAsia"/>
          <w:kern w:val="0"/>
          <w:sz w:val="21"/>
          <w:szCs w:val="21"/>
        </w:rPr>
        <w:t xml:space="preserve">4.4 </w:t>
      </w:r>
      <w:r>
        <w:rPr>
          <w:rFonts w:asciiTheme="minorEastAsia" w:eastAsiaTheme="minorEastAsia" w:hAnsiTheme="minorEastAsia" w:cs="Times New Roman" w:hint="eastAsia"/>
          <w:kern w:val="0"/>
          <w:sz w:val="21"/>
          <w:szCs w:val="21"/>
        </w:rPr>
        <w:t>管理人对报告期</w:t>
      </w:r>
      <w:r>
        <w:rPr>
          <w:rFonts w:asciiTheme="minorEastAsia" w:eastAsiaTheme="minorEastAsia" w:hAnsiTheme="minorEastAsia" w:cs="Times New Roman" w:hint="eastAsia"/>
          <w:kern w:val="0"/>
          <w:sz w:val="21"/>
          <w:szCs w:val="21"/>
        </w:rPr>
        <w:t>内基金的投资策略和业绩表现的说明</w:t>
      </w:r>
      <w:bookmarkEnd w:id="68"/>
      <w:bookmarkEnd w:id="69"/>
    </w:p>
    <w:p w:rsidR="003663E4" w:rsidRDefault="00FD3F7D">
      <w:pPr>
        <w:autoSpaceDE w:val="0"/>
        <w:autoSpaceDN w:val="0"/>
        <w:adjustRightInd w:val="0"/>
        <w:snapToGrid w:val="0"/>
        <w:spacing w:line="360" w:lineRule="auto"/>
        <w:jc w:val="left"/>
        <w:rPr>
          <w:rFonts w:eastAsiaTheme="minorEastAsia"/>
          <w:b/>
          <w:bCs/>
          <w:kern w:val="0"/>
          <w:szCs w:val="21"/>
        </w:rPr>
      </w:pPr>
      <w:r>
        <w:rPr>
          <w:rFonts w:eastAsiaTheme="minorEastAsia"/>
          <w:b/>
          <w:bCs/>
          <w:kern w:val="0"/>
          <w:szCs w:val="21"/>
        </w:rPr>
        <w:t>4.4.1</w:t>
      </w:r>
      <w:r>
        <w:rPr>
          <w:rFonts w:eastAsiaTheme="minorEastAsia" w:hint="eastAsia"/>
          <w:b/>
          <w:bCs/>
          <w:kern w:val="0"/>
          <w:szCs w:val="21"/>
        </w:rPr>
        <w:t xml:space="preserve"> </w:t>
      </w:r>
      <w:r>
        <w:rPr>
          <w:rFonts w:eastAsiaTheme="minorEastAsia" w:hint="eastAsia"/>
          <w:b/>
          <w:bCs/>
          <w:kern w:val="0"/>
          <w:szCs w:val="21"/>
        </w:rPr>
        <w:t>报告期内基金投资策略和运作分析</w:t>
      </w:r>
    </w:p>
    <w:p w:rsidR="003663E4" w:rsidRDefault="00FD3F7D">
      <w:pPr>
        <w:spacing w:line="360" w:lineRule="auto"/>
        <w:ind w:firstLineChars="200" w:firstLine="420"/>
        <w:rPr>
          <w:rFonts w:eastAsiaTheme="minorEastAsia"/>
          <w:szCs w:val="21"/>
        </w:rPr>
      </w:pPr>
      <w:r>
        <w:rPr>
          <w:rFonts w:eastAsiaTheme="minorEastAsia"/>
          <w:szCs w:val="21"/>
        </w:rPr>
        <w:t>2020</w:t>
      </w:r>
      <w:r>
        <w:rPr>
          <w:rFonts w:eastAsiaTheme="minorEastAsia"/>
          <w:szCs w:val="21"/>
        </w:rPr>
        <w:t>年，突如其来的新冠疫情改变了整个世界。一季度新冠疫情导致我国经济大幅下滑。我国</w:t>
      </w:r>
      <w:r>
        <w:rPr>
          <w:rFonts w:eastAsiaTheme="minorEastAsia"/>
          <w:szCs w:val="21"/>
        </w:rPr>
        <w:t>GDP</w:t>
      </w:r>
      <w:r>
        <w:rPr>
          <w:rFonts w:eastAsiaTheme="minorEastAsia"/>
          <w:szCs w:val="21"/>
        </w:rPr>
        <w:t>同比下降</w:t>
      </w:r>
      <w:r>
        <w:rPr>
          <w:rFonts w:eastAsiaTheme="minorEastAsia"/>
          <w:szCs w:val="21"/>
        </w:rPr>
        <w:t>6.8%</w:t>
      </w:r>
      <w:r>
        <w:rPr>
          <w:rFonts w:eastAsiaTheme="minorEastAsia"/>
          <w:szCs w:val="21"/>
        </w:rPr>
        <w:t>，消费、投资与外贸较</w:t>
      </w:r>
      <w:r>
        <w:rPr>
          <w:rFonts w:eastAsiaTheme="minorEastAsia"/>
          <w:szCs w:val="21"/>
        </w:rPr>
        <w:t>2019</w:t>
      </w:r>
      <w:r>
        <w:rPr>
          <w:rFonts w:eastAsiaTheme="minorEastAsia"/>
          <w:szCs w:val="21"/>
        </w:rPr>
        <w:t>年同期均大幅下滑。在我国政府与人民齐心协力防控之下，二月中下旬之后，我国疫情防控形势逐步好转，复工复产逐渐展开。二季度以来，国内经济迎来修复期，主要经济指标逐渐改善。制造业景气度回升，房地产投资快速修复且保持较高增长，出口超预期高速增长，社会消费逐步改善。直至四季度，我国经济增速已恢复到潜在增长水</w:t>
      </w:r>
      <w:r>
        <w:rPr>
          <w:rFonts w:eastAsiaTheme="minorEastAsia"/>
          <w:szCs w:val="21"/>
        </w:rPr>
        <w:t>平以上，</w:t>
      </w:r>
      <w:r>
        <w:rPr>
          <w:rFonts w:eastAsiaTheme="minorEastAsia"/>
          <w:szCs w:val="21"/>
        </w:rPr>
        <w:t>GDP</w:t>
      </w:r>
      <w:r>
        <w:rPr>
          <w:rFonts w:eastAsiaTheme="minorEastAsia"/>
          <w:szCs w:val="21"/>
        </w:rPr>
        <w:t>同比增长</w:t>
      </w:r>
      <w:r>
        <w:rPr>
          <w:rFonts w:eastAsiaTheme="minorEastAsia"/>
          <w:szCs w:val="21"/>
        </w:rPr>
        <w:t>6.5%</w:t>
      </w:r>
      <w:r>
        <w:rPr>
          <w:rFonts w:eastAsiaTheme="minorEastAsia"/>
          <w:szCs w:val="21"/>
        </w:rPr>
        <w:t>。</w:t>
      </w:r>
    </w:p>
    <w:p w:rsidR="003663E4" w:rsidRDefault="00FD3F7D">
      <w:pPr>
        <w:spacing w:line="360" w:lineRule="auto"/>
        <w:ind w:firstLineChars="200" w:firstLine="420"/>
        <w:rPr>
          <w:rFonts w:eastAsiaTheme="minorEastAsia"/>
          <w:szCs w:val="21"/>
        </w:rPr>
      </w:pPr>
      <w:r>
        <w:rPr>
          <w:rFonts w:eastAsiaTheme="minorEastAsia"/>
          <w:szCs w:val="21"/>
        </w:rPr>
        <w:t>为了应对疫情造成的经济大幅波动，二月至四月我国货币政策与财政政策均加大宽松力度。货币政策方面，央行通过公开市场逆回购与</w:t>
      </w:r>
      <w:r>
        <w:rPr>
          <w:rFonts w:eastAsiaTheme="minorEastAsia"/>
          <w:szCs w:val="21"/>
        </w:rPr>
        <w:t>MLF</w:t>
      </w:r>
      <w:r>
        <w:rPr>
          <w:rFonts w:eastAsiaTheme="minorEastAsia"/>
          <w:szCs w:val="21"/>
        </w:rPr>
        <w:t>，以及降准等方式释放了充裕的流动性的同时下调了逆回购与</w:t>
      </w:r>
      <w:r>
        <w:rPr>
          <w:rFonts w:eastAsiaTheme="minorEastAsia"/>
          <w:szCs w:val="21"/>
        </w:rPr>
        <w:t>MLF</w:t>
      </w:r>
      <w:r>
        <w:rPr>
          <w:rFonts w:eastAsiaTheme="minorEastAsia"/>
          <w:szCs w:val="21"/>
        </w:rPr>
        <w:t>操作利率。但是，随着经济数据边际改善，以及资金套利空转引起监管层重视，自五月以来央行货币政策操作呈现边际收敛态势。直至十一月，信用债违约事件冲击债市，债市融资大幅萎缩，资金价格快速上升。当月下旬开始央行公开市场操作边际再次转向宽松，以维稳市场。</w:t>
      </w:r>
    </w:p>
    <w:p w:rsidR="003663E4" w:rsidRDefault="00FD3F7D">
      <w:pPr>
        <w:spacing w:line="360" w:lineRule="auto"/>
        <w:ind w:firstLineChars="200" w:firstLine="420"/>
        <w:rPr>
          <w:rFonts w:eastAsiaTheme="minorEastAsia"/>
          <w:szCs w:val="21"/>
        </w:rPr>
      </w:pPr>
      <w:r>
        <w:rPr>
          <w:rFonts w:eastAsiaTheme="minorEastAsia"/>
          <w:szCs w:val="21"/>
        </w:rPr>
        <w:t>新冠疫情冲击之下，</w:t>
      </w:r>
      <w:r>
        <w:rPr>
          <w:rFonts w:eastAsiaTheme="minorEastAsia" w:hint="eastAsia"/>
          <w:szCs w:val="21"/>
        </w:rPr>
        <w:t>2</w:t>
      </w:r>
      <w:r>
        <w:rPr>
          <w:rFonts w:eastAsiaTheme="minorEastAsia"/>
          <w:szCs w:val="21"/>
        </w:rPr>
        <w:t>020</w:t>
      </w:r>
      <w:r>
        <w:rPr>
          <w:rFonts w:eastAsiaTheme="minorEastAsia"/>
          <w:szCs w:val="21"/>
        </w:rPr>
        <w:t>年我国经济呈</w:t>
      </w:r>
      <w:r>
        <w:rPr>
          <w:rFonts w:eastAsiaTheme="minorEastAsia"/>
          <w:szCs w:val="21"/>
        </w:rPr>
        <w:t>V</w:t>
      </w:r>
      <w:r>
        <w:rPr>
          <w:rFonts w:eastAsiaTheme="minorEastAsia"/>
          <w:szCs w:val="21"/>
        </w:rPr>
        <w:t>型走势，</w:t>
      </w:r>
      <w:r>
        <w:rPr>
          <w:rFonts w:eastAsiaTheme="minorEastAsia"/>
          <w:szCs w:val="21"/>
        </w:rPr>
        <w:t>央行货币政策整体上从应对疫情的宽松模式转向边际收敛。受此影响，</w:t>
      </w:r>
      <w:r>
        <w:rPr>
          <w:rFonts w:eastAsiaTheme="minorEastAsia" w:hint="eastAsia"/>
          <w:szCs w:val="21"/>
        </w:rPr>
        <w:t>2</w:t>
      </w:r>
      <w:r>
        <w:rPr>
          <w:rFonts w:eastAsiaTheme="minorEastAsia"/>
          <w:szCs w:val="21"/>
        </w:rPr>
        <w:t>020</w:t>
      </w:r>
      <w:r>
        <w:rPr>
          <w:rFonts w:eastAsiaTheme="minorEastAsia"/>
          <w:szCs w:val="21"/>
        </w:rPr>
        <w:t>年银行间市场资金面与债市波动显著放大。资金面上，货币市场利率中枢在二月至五月持续下移至历史低位。随后主要由于央行货币政策边际收敛，货币市场利率中枢缓慢抬升，至十一月下旬之后货币市场利率中枢再次回落。债市方面，一季度与四月的债市大幅上涨，十年国债</w:t>
      </w:r>
      <w:r>
        <w:rPr>
          <w:rFonts w:eastAsiaTheme="minorEastAsia"/>
          <w:szCs w:val="21"/>
        </w:rPr>
        <w:t>YTM</w:t>
      </w:r>
      <w:r>
        <w:rPr>
          <w:rFonts w:eastAsiaTheme="minorEastAsia"/>
          <w:szCs w:val="21"/>
        </w:rPr>
        <w:t>降至历史低位。但自五月以来，国内经济修复超预期，央行货币政策边际收敛，利率债大幅回调。十一月信用债违约事件冲击之下，十年国债</w:t>
      </w:r>
      <w:r>
        <w:rPr>
          <w:rFonts w:eastAsiaTheme="minorEastAsia"/>
          <w:szCs w:val="21"/>
        </w:rPr>
        <w:t>YTM</w:t>
      </w:r>
      <w:r>
        <w:rPr>
          <w:rFonts w:eastAsiaTheme="minorEastAsia"/>
          <w:szCs w:val="21"/>
        </w:rPr>
        <w:t>上升至年内高点，当月下旬之后债市才有所回暖。</w:t>
      </w:r>
    </w:p>
    <w:p w:rsidR="003663E4" w:rsidRDefault="00FD3F7D">
      <w:pPr>
        <w:spacing w:line="360" w:lineRule="auto"/>
        <w:ind w:firstLineChars="200" w:firstLine="420"/>
        <w:rPr>
          <w:rFonts w:eastAsiaTheme="minorEastAsia"/>
          <w:szCs w:val="21"/>
        </w:rPr>
      </w:pPr>
      <w:r>
        <w:rPr>
          <w:rFonts w:eastAsiaTheme="minorEastAsia"/>
          <w:szCs w:val="21"/>
        </w:rPr>
        <w:t>基金操作方面，本</w:t>
      </w:r>
      <w:r>
        <w:rPr>
          <w:rFonts w:eastAsiaTheme="minorEastAsia"/>
          <w:szCs w:val="21"/>
        </w:rPr>
        <w:t>基金于三季度完成转型之后，根据债市行情，按防御策略下逐步完成组合债券配置。四季度调整组合久期、杠杆以及组合持仓品种结构，重点加仓中等期限利率债，在市场回调中努力控制风险，分享了十二月债市反弹回暖带来的机会。</w:t>
      </w:r>
    </w:p>
    <w:p w:rsidR="003663E4" w:rsidRDefault="00FD3F7D">
      <w:pPr>
        <w:autoSpaceDE w:val="0"/>
        <w:autoSpaceDN w:val="0"/>
        <w:adjustRightInd w:val="0"/>
        <w:snapToGrid w:val="0"/>
        <w:spacing w:line="360" w:lineRule="auto"/>
        <w:jc w:val="left"/>
        <w:rPr>
          <w:rFonts w:eastAsiaTheme="minorEastAsia"/>
          <w:b/>
          <w:bCs/>
          <w:kern w:val="0"/>
          <w:szCs w:val="21"/>
        </w:rPr>
      </w:pPr>
      <w:r>
        <w:rPr>
          <w:rFonts w:eastAsiaTheme="minorEastAsia"/>
          <w:b/>
          <w:bCs/>
          <w:kern w:val="0"/>
          <w:szCs w:val="21"/>
        </w:rPr>
        <w:t>4.4.2</w:t>
      </w:r>
      <w:r>
        <w:rPr>
          <w:rFonts w:eastAsiaTheme="minorEastAsia" w:hint="eastAsia"/>
          <w:b/>
          <w:bCs/>
          <w:kern w:val="0"/>
          <w:szCs w:val="21"/>
        </w:rPr>
        <w:t xml:space="preserve"> </w:t>
      </w:r>
      <w:r>
        <w:rPr>
          <w:rFonts w:eastAsiaTheme="minorEastAsia" w:hint="eastAsia"/>
          <w:b/>
          <w:bCs/>
          <w:kern w:val="0"/>
          <w:szCs w:val="21"/>
        </w:rPr>
        <w:t>报告期内基金的业绩表现</w:t>
      </w:r>
    </w:p>
    <w:p w:rsidR="003663E4" w:rsidRDefault="00FD3F7D">
      <w:pPr>
        <w:spacing w:line="360" w:lineRule="auto"/>
        <w:ind w:firstLineChars="200" w:firstLine="420"/>
        <w:rPr>
          <w:rFonts w:eastAsiaTheme="minorEastAsia"/>
          <w:szCs w:val="21"/>
        </w:rPr>
      </w:pPr>
      <w:r>
        <w:rPr>
          <w:rFonts w:eastAsiaTheme="minorEastAsia"/>
          <w:szCs w:val="21"/>
        </w:rPr>
        <w:t>本基金（各类）份额转型后净值及业绩表现请见</w:t>
      </w:r>
      <w:r>
        <w:rPr>
          <w:rFonts w:eastAsiaTheme="minorEastAsia"/>
          <w:szCs w:val="21"/>
        </w:rPr>
        <w:t>“3.1.1</w:t>
      </w:r>
      <w:r>
        <w:rPr>
          <w:rFonts w:eastAsiaTheme="minorEastAsia"/>
          <w:szCs w:val="21"/>
        </w:rPr>
        <w:t>主要会计数据和财务指标</w:t>
      </w:r>
      <w:r>
        <w:rPr>
          <w:rFonts w:eastAsiaTheme="minorEastAsia"/>
          <w:szCs w:val="21"/>
        </w:rPr>
        <w:t xml:space="preserve">” </w:t>
      </w:r>
      <w:r>
        <w:rPr>
          <w:rFonts w:eastAsiaTheme="minorEastAsia"/>
          <w:szCs w:val="21"/>
        </w:rPr>
        <w:t>及</w:t>
      </w:r>
      <w:r>
        <w:rPr>
          <w:rFonts w:eastAsiaTheme="minorEastAsia"/>
          <w:szCs w:val="21"/>
        </w:rPr>
        <w:t>“3.1.2.1</w:t>
      </w:r>
      <w:r>
        <w:rPr>
          <w:rFonts w:eastAsiaTheme="minorEastAsia"/>
          <w:szCs w:val="21"/>
        </w:rPr>
        <w:t>基金份额净值增长率及其与同期业绩比较基准收益率的比较</w:t>
      </w:r>
      <w:r>
        <w:rPr>
          <w:rFonts w:eastAsiaTheme="minorEastAsia"/>
          <w:szCs w:val="21"/>
        </w:rPr>
        <w:t>”</w:t>
      </w:r>
      <w:r>
        <w:rPr>
          <w:rFonts w:eastAsiaTheme="minorEastAsia"/>
          <w:szCs w:val="21"/>
        </w:rPr>
        <w:t>部分披露。</w:t>
      </w:r>
    </w:p>
    <w:p w:rsidR="003663E4" w:rsidRDefault="00FD3F7D">
      <w:pPr>
        <w:spacing w:line="360" w:lineRule="auto"/>
        <w:ind w:firstLineChars="200" w:firstLine="420"/>
        <w:rPr>
          <w:rFonts w:eastAsiaTheme="minorEastAsia"/>
          <w:szCs w:val="21"/>
        </w:rPr>
      </w:pPr>
      <w:r>
        <w:rPr>
          <w:rFonts w:eastAsiaTheme="minorEastAsia"/>
          <w:szCs w:val="21"/>
        </w:rPr>
        <w:t>本基金（各类）份额转型前净值及业绩表现请见</w:t>
      </w:r>
      <w:r>
        <w:rPr>
          <w:rFonts w:eastAsiaTheme="minorEastAsia"/>
          <w:szCs w:val="21"/>
        </w:rPr>
        <w:t>“3.2.1</w:t>
      </w:r>
      <w:r>
        <w:rPr>
          <w:rFonts w:eastAsiaTheme="minorEastAsia"/>
          <w:szCs w:val="21"/>
        </w:rPr>
        <w:t>主要会计数据和财务指标</w:t>
      </w:r>
      <w:r>
        <w:rPr>
          <w:rFonts w:eastAsiaTheme="minorEastAsia"/>
          <w:szCs w:val="21"/>
        </w:rPr>
        <w:t xml:space="preserve">” </w:t>
      </w:r>
      <w:r>
        <w:rPr>
          <w:rFonts w:eastAsiaTheme="minorEastAsia"/>
          <w:szCs w:val="21"/>
        </w:rPr>
        <w:t>及</w:t>
      </w:r>
      <w:r>
        <w:rPr>
          <w:rFonts w:eastAsiaTheme="minorEastAsia"/>
          <w:szCs w:val="21"/>
        </w:rPr>
        <w:t>“3.2.2.1</w:t>
      </w:r>
      <w:r>
        <w:rPr>
          <w:rFonts w:eastAsiaTheme="minorEastAsia"/>
          <w:szCs w:val="21"/>
        </w:rPr>
        <w:t>基金份</w:t>
      </w:r>
      <w:r>
        <w:rPr>
          <w:rFonts w:eastAsiaTheme="minorEastAsia"/>
          <w:szCs w:val="21"/>
        </w:rPr>
        <w:t>额净值增长率及其与同期业绩比较基准收益率的比较</w:t>
      </w:r>
      <w:r>
        <w:rPr>
          <w:rFonts w:eastAsiaTheme="minorEastAsia"/>
          <w:szCs w:val="21"/>
        </w:rPr>
        <w:t>”</w:t>
      </w:r>
      <w:r>
        <w:rPr>
          <w:rFonts w:eastAsiaTheme="minorEastAsia"/>
          <w:szCs w:val="21"/>
        </w:rPr>
        <w:t>部分披露。</w:t>
      </w:r>
    </w:p>
    <w:p w:rsidR="003663E4" w:rsidRDefault="00FD3F7D">
      <w:pPr>
        <w:pStyle w:val="2"/>
        <w:spacing w:before="0" w:after="0"/>
        <w:rPr>
          <w:rFonts w:asciiTheme="minorEastAsia" w:eastAsiaTheme="minorEastAsia" w:hAnsiTheme="minorEastAsia" w:cs="Times New Roman"/>
          <w:kern w:val="0"/>
          <w:sz w:val="21"/>
          <w:szCs w:val="21"/>
        </w:rPr>
      </w:pPr>
      <w:bookmarkStart w:id="70" w:name="_Toc23339350"/>
      <w:bookmarkStart w:id="71" w:name="_Toc30196"/>
      <w:r>
        <w:rPr>
          <w:rFonts w:asciiTheme="minorEastAsia" w:eastAsiaTheme="minorEastAsia" w:hAnsiTheme="minorEastAsia" w:cs="Times New Roman" w:hint="eastAsia"/>
          <w:kern w:val="0"/>
          <w:sz w:val="21"/>
          <w:szCs w:val="21"/>
        </w:rPr>
        <w:t xml:space="preserve">4.5 </w:t>
      </w:r>
      <w:r>
        <w:rPr>
          <w:rFonts w:asciiTheme="minorEastAsia" w:eastAsiaTheme="minorEastAsia" w:hAnsiTheme="minorEastAsia" w:cs="Times New Roman" w:hint="eastAsia"/>
          <w:kern w:val="0"/>
          <w:sz w:val="21"/>
          <w:szCs w:val="21"/>
        </w:rPr>
        <w:t>管理人对宏观经济、证券市场及行业走势的简要展望</w:t>
      </w:r>
      <w:bookmarkEnd w:id="70"/>
      <w:bookmarkEnd w:id="71"/>
    </w:p>
    <w:p w:rsidR="003663E4" w:rsidRDefault="00FD3F7D">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2021</w:t>
      </w:r>
      <w:r>
        <w:rPr>
          <w:rFonts w:eastAsiaTheme="minorEastAsia"/>
          <w:szCs w:val="21"/>
        </w:rPr>
        <w:t>年，国内经济整体上继续修复的概率较大。但是一方面由于疫苗接种与疫情的防控可能需较长时间，疫情等的不确定性依然存在，国内经济复苏的基础是否扎实尚待观察。另一方面，支撑</w:t>
      </w:r>
      <w:r>
        <w:rPr>
          <w:rFonts w:eastAsiaTheme="minorEastAsia"/>
          <w:szCs w:val="21"/>
        </w:rPr>
        <w:t>2020</w:t>
      </w:r>
      <w:r>
        <w:rPr>
          <w:rFonts w:eastAsiaTheme="minorEastAsia"/>
          <w:szCs w:val="21"/>
        </w:rPr>
        <w:t>年国内经济超预期的出口与房地产投资等经济变量走势值得关注。在海外，似乎海外风险有所收敛。但是，如何尽早控制住疫情，降低日益分化的社会分裂程度，并且引领发达经济体走向经济复苏，重重考验刚刚开始。在如此复杂的格局下，</w:t>
      </w:r>
      <w:r>
        <w:rPr>
          <w:rFonts w:eastAsiaTheme="minorEastAsia"/>
          <w:szCs w:val="21"/>
        </w:rPr>
        <w:t>预计短期内我国央行可能以中性货币政策为主。我们将密切关注央行货币政策操作边际上的变化以及疫情防控与疫苗接种进展。组合管理方面，本基金将跟踪研判宏观经济走势与央行货币政策操作，保持较好的流动性，力求把握市场波动机会，尽力控制风险，力争为投资者创造稳健的回报。</w:t>
      </w:r>
    </w:p>
    <w:p w:rsidR="003663E4" w:rsidRDefault="00FD3F7D">
      <w:pPr>
        <w:pStyle w:val="2"/>
        <w:spacing w:before="0" w:after="0"/>
        <w:rPr>
          <w:rFonts w:asciiTheme="minorEastAsia" w:eastAsiaTheme="minorEastAsia" w:hAnsiTheme="minorEastAsia" w:cs="Times New Roman"/>
          <w:kern w:val="0"/>
          <w:sz w:val="21"/>
          <w:szCs w:val="21"/>
        </w:rPr>
      </w:pPr>
      <w:bookmarkStart w:id="72" w:name="_Toc23339351"/>
      <w:bookmarkStart w:id="73" w:name="_Toc15685"/>
      <w:r>
        <w:rPr>
          <w:rFonts w:asciiTheme="minorEastAsia" w:eastAsiaTheme="minorEastAsia" w:hAnsiTheme="minorEastAsia" w:cs="Times New Roman" w:hint="eastAsia"/>
          <w:kern w:val="0"/>
          <w:sz w:val="21"/>
          <w:szCs w:val="21"/>
        </w:rPr>
        <w:t xml:space="preserve">4.6 </w:t>
      </w:r>
      <w:r>
        <w:rPr>
          <w:rFonts w:asciiTheme="minorEastAsia" w:eastAsiaTheme="minorEastAsia" w:hAnsiTheme="minorEastAsia" w:cs="Times New Roman" w:hint="eastAsia"/>
          <w:kern w:val="0"/>
          <w:sz w:val="21"/>
          <w:szCs w:val="21"/>
        </w:rPr>
        <w:t>管理人内部有关本基金的监察稽核工作情况</w:t>
      </w:r>
      <w:bookmarkEnd w:id="72"/>
      <w:bookmarkEnd w:id="73"/>
    </w:p>
    <w:p w:rsidR="003663E4" w:rsidRDefault="00FD3F7D">
      <w:pPr>
        <w:spacing w:line="360" w:lineRule="auto"/>
        <w:ind w:firstLineChars="200" w:firstLine="420"/>
        <w:rPr>
          <w:rFonts w:eastAsiaTheme="minorEastAsia"/>
          <w:szCs w:val="21"/>
        </w:rPr>
      </w:pPr>
      <w:r>
        <w:rPr>
          <w:rFonts w:eastAsiaTheme="minorEastAsia"/>
          <w:szCs w:val="21"/>
        </w:rPr>
        <w:t>2020</w:t>
      </w:r>
      <w:r>
        <w:rPr>
          <w:rFonts w:eastAsiaTheme="minorEastAsia"/>
          <w:szCs w:val="21"/>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3663E4" w:rsidRDefault="00FD3F7D">
      <w:pPr>
        <w:spacing w:line="360" w:lineRule="auto"/>
        <w:ind w:firstLineChars="200" w:firstLine="420"/>
        <w:rPr>
          <w:rFonts w:eastAsiaTheme="minorEastAsia"/>
          <w:szCs w:val="21"/>
        </w:rPr>
      </w:pPr>
      <w:r>
        <w:rPr>
          <w:rFonts w:eastAsiaTheme="minorEastAsia"/>
          <w:szCs w:val="21"/>
        </w:rPr>
        <w:t>本报告期内，本基金管理人为了确保公司业务的规范运作，主要做了以下工作：</w:t>
      </w:r>
    </w:p>
    <w:p w:rsidR="003663E4" w:rsidRDefault="00FD3F7D">
      <w:pPr>
        <w:spacing w:line="360" w:lineRule="auto"/>
        <w:ind w:firstLineChars="200" w:firstLine="420"/>
        <w:rPr>
          <w:rFonts w:eastAsiaTheme="minorEastAsia"/>
          <w:szCs w:val="21"/>
        </w:rPr>
      </w:pPr>
      <w:r>
        <w:rPr>
          <w:rFonts w:eastAsiaTheme="minorEastAsia"/>
          <w:szCs w:val="21"/>
        </w:rPr>
        <w:t>（一）继续深化全面风险管理，提高风险控制有效性。</w:t>
      </w:r>
    </w:p>
    <w:p w:rsidR="003663E4" w:rsidRDefault="00FD3F7D">
      <w:pPr>
        <w:spacing w:line="360" w:lineRule="auto"/>
        <w:ind w:firstLineChars="200" w:firstLine="420"/>
        <w:rPr>
          <w:rFonts w:eastAsiaTheme="minorEastAsia"/>
          <w:szCs w:val="21"/>
        </w:rPr>
      </w:pPr>
      <w:r>
        <w:rPr>
          <w:rFonts w:eastAsiaTheme="minorEastAsia"/>
          <w:szCs w:val="21"/>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3663E4" w:rsidRDefault="00FD3F7D">
      <w:pPr>
        <w:spacing w:line="360" w:lineRule="auto"/>
        <w:ind w:firstLineChars="200" w:firstLine="420"/>
        <w:rPr>
          <w:rFonts w:eastAsiaTheme="minorEastAsia"/>
          <w:szCs w:val="21"/>
        </w:rPr>
      </w:pPr>
      <w:r>
        <w:rPr>
          <w:rFonts w:eastAsiaTheme="minorEastAsia"/>
          <w:szCs w:val="21"/>
        </w:rPr>
        <w:t>（二）全面开展内部监督检查，强化公司内部控制。</w:t>
      </w:r>
    </w:p>
    <w:p w:rsidR="003663E4" w:rsidRDefault="00FD3F7D">
      <w:pPr>
        <w:spacing w:line="360" w:lineRule="auto"/>
        <w:ind w:firstLineChars="200" w:firstLine="420"/>
        <w:rPr>
          <w:rFonts w:eastAsiaTheme="minorEastAsia"/>
          <w:szCs w:val="21"/>
        </w:rPr>
      </w:pPr>
      <w:r>
        <w:rPr>
          <w:rFonts w:eastAsiaTheme="minorEastAsia"/>
          <w:szCs w:val="21"/>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3663E4" w:rsidRDefault="00FD3F7D">
      <w:pPr>
        <w:spacing w:line="360" w:lineRule="auto"/>
        <w:ind w:firstLineChars="200" w:firstLine="420"/>
        <w:rPr>
          <w:rFonts w:eastAsiaTheme="minorEastAsia"/>
          <w:szCs w:val="21"/>
        </w:rPr>
      </w:pPr>
      <w:r>
        <w:rPr>
          <w:rFonts w:eastAsiaTheme="minorEastAsia"/>
          <w:szCs w:val="21"/>
        </w:rPr>
        <w:t>（三）着力打造完备的合规管理体系，促进合规文化建设取得新成果。</w:t>
      </w:r>
    </w:p>
    <w:p w:rsidR="003663E4" w:rsidRDefault="00FD3F7D">
      <w:pPr>
        <w:spacing w:line="360" w:lineRule="auto"/>
        <w:ind w:firstLineChars="200" w:firstLine="420"/>
        <w:rPr>
          <w:rFonts w:eastAsiaTheme="minorEastAsia"/>
          <w:szCs w:val="21"/>
        </w:rPr>
      </w:pPr>
      <w:r>
        <w:rPr>
          <w:rFonts w:eastAsiaTheme="minorEastAsia"/>
          <w:szCs w:val="21"/>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3663E4" w:rsidRDefault="00FD3F7D">
      <w:pPr>
        <w:spacing w:line="360" w:lineRule="auto"/>
        <w:ind w:firstLineChars="200" w:firstLine="420"/>
        <w:rPr>
          <w:rFonts w:eastAsiaTheme="minorEastAsia"/>
          <w:szCs w:val="21"/>
        </w:rPr>
      </w:pPr>
      <w:r>
        <w:rPr>
          <w:rFonts w:eastAsiaTheme="minorEastAsia"/>
          <w:szCs w:val="21"/>
        </w:rPr>
        <w:t>（四）强化培训教育及重点领域合规提示，持续提高全员风险合规意识。</w:t>
      </w:r>
    </w:p>
    <w:p w:rsidR="003663E4" w:rsidRDefault="00FD3F7D">
      <w:pPr>
        <w:spacing w:line="360" w:lineRule="auto"/>
        <w:ind w:firstLineChars="200" w:firstLine="420"/>
        <w:rPr>
          <w:rFonts w:eastAsiaTheme="minorEastAsia"/>
          <w:szCs w:val="21"/>
        </w:rPr>
      </w:pPr>
      <w:r>
        <w:rPr>
          <w:rFonts w:eastAsiaTheme="minorEastAsia"/>
          <w:szCs w:val="21"/>
        </w:rPr>
        <w:t>公司继续抓好全员风险合规教育工作。公司围绕行业热点、重点、难点问题，组织开展了多场培训工作，加强重点领域合规提示，加深了员工对新法律法规的理解及强</w:t>
      </w:r>
      <w:r>
        <w:rPr>
          <w:rFonts w:eastAsiaTheme="minorEastAsia"/>
          <w:szCs w:val="21"/>
        </w:rPr>
        <w:t>化其风险合规意识，抓牢抓实员工合规底线教育，强化员工行为合规管控，提高了员工内部控制、风险管理的技能和水平，公司内部控制和风险管理基础得到进一步的夯实和优化。</w:t>
      </w:r>
    </w:p>
    <w:p w:rsidR="003663E4" w:rsidRDefault="00FD3F7D">
      <w:pPr>
        <w:pStyle w:val="2"/>
        <w:spacing w:before="0" w:after="0"/>
        <w:rPr>
          <w:rFonts w:asciiTheme="minorEastAsia" w:eastAsiaTheme="minorEastAsia" w:hAnsiTheme="minorEastAsia" w:cs="Times New Roman"/>
          <w:kern w:val="0"/>
          <w:sz w:val="21"/>
          <w:szCs w:val="21"/>
        </w:rPr>
      </w:pPr>
      <w:bookmarkStart w:id="74" w:name="_Toc23339352"/>
      <w:bookmarkStart w:id="75" w:name="_Toc13155"/>
      <w:r>
        <w:rPr>
          <w:rFonts w:asciiTheme="minorEastAsia" w:eastAsiaTheme="minorEastAsia" w:hAnsiTheme="minorEastAsia" w:cs="Times New Roman" w:hint="eastAsia"/>
          <w:kern w:val="0"/>
          <w:sz w:val="21"/>
          <w:szCs w:val="21"/>
        </w:rPr>
        <w:t xml:space="preserve">4.7 </w:t>
      </w:r>
      <w:r>
        <w:rPr>
          <w:rFonts w:asciiTheme="minorEastAsia" w:eastAsiaTheme="minorEastAsia" w:hAnsiTheme="minorEastAsia" w:cs="Times New Roman" w:hint="eastAsia"/>
          <w:kern w:val="0"/>
          <w:sz w:val="21"/>
          <w:szCs w:val="21"/>
        </w:rPr>
        <w:t>管理人对报告期内基金估值程序等事项的说明</w:t>
      </w:r>
      <w:bookmarkEnd w:id="74"/>
      <w:bookmarkEnd w:id="75"/>
    </w:p>
    <w:p w:rsidR="003663E4" w:rsidRDefault="00FD3F7D">
      <w:pPr>
        <w:spacing w:line="360" w:lineRule="auto"/>
        <w:ind w:firstLineChars="200" w:firstLine="420"/>
        <w:rPr>
          <w:rFonts w:eastAsiaTheme="minorEastAsia"/>
          <w:szCs w:val="21"/>
        </w:rPr>
      </w:pPr>
      <w:r>
        <w:rPr>
          <w:rFonts w:eastAsiaTheme="minorEastAsia"/>
          <w:szCs w:val="21"/>
        </w:rPr>
        <w:t>本基金管理人制定了健全、有效的估值政策和程序，经公司管理层批准后实行，并成立了估值委员会，估值委员会成员由研究部、基金运营部、风险管理部等人员和固定收益人员及基金经理组成。</w:t>
      </w:r>
    </w:p>
    <w:p w:rsidR="003663E4" w:rsidRDefault="00FD3F7D">
      <w:pPr>
        <w:spacing w:line="360" w:lineRule="auto"/>
        <w:ind w:firstLineChars="200" w:firstLine="420"/>
        <w:rPr>
          <w:rFonts w:eastAsiaTheme="minorEastAsia"/>
          <w:szCs w:val="21"/>
        </w:rPr>
      </w:pPr>
      <w:r>
        <w:rPr>
          <w:rFonts w:eastAsiaTheme="minorEastAsia"/>
          <w:szCs w:val="21"/>
        </w:rPr>
        <w:t>公司严格按照新会计准则、证监会相关规定和基金合同关于估值的约定进行估值，保证基金估值的公平、合理，保持估值政策和程序的一贯性。估</w:t>
      </w:r>
      <w:r>
        <w:rPr>
          <w:rFonts w:eastAsiaTheme="minorEastAsia"/>
          <w:szCs w:val="21"/>
        </w:rPr>
        <w:t>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3663E4" w:rsidRDefault="00FD3F7D">
      <w:pPr>
        <w:spacing w:line="360" w:lineRule="auto"/>
        <w:ind w:firstLineChars="200" w:firstLine="420"/>
        <w:rPr>
          <w:rFonts w:eastAsiaTheme="minorEastAsia"/>
          <w:szCs w:val="21"/>
        </w:rPr>
      </w:pPr>
      <w:r>
        <w:rPr>
          <w:rFonts w:eastAsiaTheme="minorEastAsia"/>
          <w:szCs w:val="21"/>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w:t>
      </w:r>
      <w:r>
        <w:rPr>
          <w:rFonts w:eastAsiaTheme="minorEastAsia"/>
          <w:szCs w:val="21"/>
        </w:rPr>
        <w:t>供估值参考信息，参与估值政策讨论。本基金管理人参与估值流程各方之间不存在任何重大利益冲突，截止报告期末未有与任何外部估值定价服务机构签约。</w:t>
      </w:r>
    </w:p>
    <w:p w:rsidR="003663E4" w:rsidRDefault="00FD3F7D">
      <w:pPr>
        <w:pStyle w:val="2"/>
        <w:spacing w:before="0" w:after="0"/>
        <w:rPr>
          <w:rFonts w:asciiTheme="minorEastAsia" w:eastAsiaTheme="minorEastAsia" w:hAnsiTheme="minorEastAsia"/>
          <w:kern w:val="0"/>
          <w:sz w:val="21"/>
          <w:szCs w:val="21"/>
        </w:rPr>
      </w:pPr>
      <w:bookmarkStart w:id="76" w:name="_Toc247959458"/>
      <w:bookmarkStart w:id="77" w:name="_Toc361324862"/>
      <w:bookmarkStart w:id="78" w:name="_Toc374438130"/>
      <w:bookmarkStart w:id="79" w:name="_Toc225570084"/>
      <w:bookmarkStart w:id="80" w:name="_Toc23339353"/>
      <w:bookmarkStart w:id="81" w:name="_Toc28874"/>
      <w:r>
        <w:rPr>
          <w:rFonts w:asciiTheme="minorEastAsia" w:eastAsiaTheme="minorEastAsia" w:hAnsiTheme="minorEastAsia" w:cs="Times New Roman" w:hint="eastAsia"/>
          <w:kern w:val="0"/>
          <w:sz w:val="21"/>
          <w:szCs w:val="21"/>
        </w:rPr>
        <w:t xml:space="preserve">4.8 </w:t>
      </w:r>
      <w:r>
        <w:rPr>
          <w:rFonts w:asciiTheme="minorEastAsia" w:eastAsiaTheme="minorEastAsia" w:hAnsiTheme="minorEastAsia" w:hint="eastAsia"/>
          <w:kern w:val="0"/>
          <w:sz w:val="21"/>
          <w:szCs w:val="21"/>
        </w:rPr>
        <w:t>管理人对报告期内基金利润分配情况的说明</w:t>
      </w:r>
      <w:bookmarkEnd w:id="76"/>
      <w:bookmarkEnd w:id="77"/>
      <w:bookmarkEnd w:id="78"/>
      <w:bookmarkEnd w:id="79"/>
      <w:bookmarkEnd w:id="80"/>
      <w:bookmarkEnd w:id="81"/>
    </w:p>
    <w:p w:rsidR="003663E4" w:rsidRDefault="00FD3F7D">
      <w:pPr>
        <w:tabs>
          <w:tab w:val="left" w:pos="426"/>
        </w:tabs>
        <w:spacing w:line="360" w:lineRule="auto"/>
        <w:ind w:firstLineChars="200" w:firstLine="420"/>
        <w:jc w:val="left"/>
        <w:rPr>
          <w:rFonts w:eastAsiaTheme="minorEastAsia"/>
          <w:kern w:val="0"/>
          <w:szCs w:val="21"/>
        </w:rPr>
      </w:pPr>
      <w:r>
        <w:rPr>
          <w:rFonts w:eastAsiaTheme="minorEastAsia"/>
          <w:szCs w:val="21"/>
        </w:rPr>
        <w:t>本基金（各类）份额转型后</w:t>
      </w:r>
      <w:r>
        <w:rPr>
          <w:rFonts w:eastAsiaTheme="minorEastAsia"/>
          <w:kern w:val="0"/>
          <w:szCs w:val="21"/>
        </w:rPr>
        <w:t>本报告期内未进行利润分配。</w:t>
      </w:r>
    </w:p>
    <w:p w:rsidR="003663E4" w:rsidRDefault="00FD3F7D">
      <w:pPr>
        <w:tabs>
          <w:tab w:val="left" w:pos="426"/>
        </w:tabs>
        <w:spacing w:line="360" w:lineRule="auto"/>
        <w:ind w:firstLineChars="200" w:firstLine="420"/>
        <w:jc w:val="left"/>
        <w:rPr>
          <w:rFonts w:eastAsiaTheme="minorEastAsia"/>
          <w:szCs w:val="21"/>
        </w:rPr>
      </w:pPr>
      <w:r>
        <w:rPr>
          <w:rFonts w:eastAsiaTheme="minorEastAsia"/>
          <w:szCs w:val="21"/>
        </w:rPr>
        <w:t>遵照法律法规及基金合同的约定，本基金（各类）份额转型</w:t>
      </w:r>
      <w:r>
        <w:rPr>
          <w:rFonts w:eastAsiaTheme="minorEastAsia" w:hint="eastAsia"/>
          <w:szCs w:val="21"/>
        </w:rPr>
        <w:t>前</w:t>
      </w:r>
      <w:r>
        <w:rPr>
          <w:rFonts w:eastAsiaTheme="minorEastAsia"/>
          <w:szCs w:val="21"/>
        </w:rPr>
        <w:t>每日分配收益，按运作期结转份额。本基金（各类）份额转型</w:t>
      </w:r>
      <w:r>
        <w:rPr>
          <w:rFonts w:eastAsiaTheme="minorEastAsia" w:hint="eastAsia"/>
          <w:szCs w:val="21"/>
        </w:rPr>
        <w:t>前</w:t>
      </w:r>
      <w:r>
        <w:rPr>
          <w:rFonts w:eastAsiaTheme="minorEastAsia"/>
          <w:szCs w:val="21"/>
        </w:rPr>
        <w:t>本报告期内利润分配情况参见</w:t>
      </w:r>
      <w:r>
        <w:rPr>
          <w:rFonts w:eastAsiaTheme="minorEastAsia"/>
          <w:szCs w:val="21"/>
        </w:rPr>
        <w:t>7.2.4.7.10</w:t>
      </w:r>
      <w:r>
        <w:rPr>
          <w:rFonts w:eastAsiaTheme="minorEastAsia"/>
          <w:szCs w:val="21"/>
        </w:rPr>
        <w:t>。</w:t>
      </w:r>
    </w:p>
    <w:p w:rsidR="003663E4" w:rsidRDefault="00FD3F7D">
      <w:pPr>
        <w:pStyle w:val="2"/>
        <w:spacing w:before="0" w:after="0"/>
        <w:rPr>
          <w:rFonts w:asciiTheme="minorEastAsia" w:eastAsiaTheme="minorEastAsia" w:hAnsiTheme="minorEastAsia" w:cs="Times New Roman"/>
          <w:kern w:val="0"/>
          <w:sz w:val="21"/>
          <w:szCs w:val="21"/>
        </w:rPr>
      </w:pPr>
      <w:bookmarkStart w:id="82" w:name="_Toc23339355"/>
      <w:bookmarkStart w:id="83" w:name="_Toc3463"/>
      <w:r>
        <w:rPr>
          <w:rFonts w:asciiTheme="minorEastAsia" w:eastAsiaTheme="minorEastAsia" w:hAnsiTheme="minorEastAsia" w:cs="Times New Roman"/>
          <w:kern w:val="0"/>
          <w:sz w:val="21"/>
          <w:szCs w:val="21"/>
        </w:rPr>
        <w:t>4.9</w:t>
      </w:r>
      <w:r>
        <w:rPr>
          <w:rFonts w:asciiTheme="minorEastAsia" w:eastAsiaTheme="minorEastAsia" w:hAnsiTheme="minorEastAsia" w:cs="Times New Roman" w:hint="eastAsia"/>
          <w:kern w:val="0"/>
          <w:sz w:val="21"/>
          <w:szCs w:val="21"/>
        </w:rPr>
        <w:t xml:space="preserve"> </w:t>
      </w:r>
      <w:r>
        <w:rPr>
          <w:rFonts w:asciiTheme="minorEastAsia" w:eastAsiaTheme="minorEastAsia" w:hAnsiTheme="minorEastAsia" w:cs="Times New Roman" w:hint="eastAsia"/>
          <w:kern w:val="0"/>
          <w:sz w:val="21"/>
          <w:szCs w:val="21"/>
        </w:rPr>
        <w:t>报告期内管理人对本基金持有人数或基金资产净值预警情形的说明</w:t>
      </w:r>
      <w:bookmarkEnd w:id="82"/>
      <w:bookmarkEnd w:id="83"/>
    </w:p>
    <w:p w:rsidR="003663E4" w:rsidRDefault="00FD3F7D">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本基金本报告期内无需预警说明。</w:t>
      </w:r>
      <w:r>
        <w:rPr>
          <w:rFonts w:eastAsiaTheme="minorEastAsia"/>
          <w:kern w:val="0"/>
          <w:szCs w:val="21"/>
        </w:rPr>
        <w:t xml:space="preserve"> </w:t>
      </w:r>
    </w:p>
    <w:p w:rsidR="003663E4" w:rsidRDefault="00FD3F7D">
      <w:pPr>
        <w:pStyle w:val="1"/>
        <w:keepNext/>
        <w:keepLines/>
        <w:widowControl w:val="0"/>
        <w:spacing w:before="240" w:after="240" w:line="360" w:lineRule="auto"/>
        <w:jc w:val="center"/>
        <w:rPr>
          <w:b/>
          <w:bCs/>
          <w:color w:val="000000"/>
          <w:sz w:val="21"/>
          <w:szCs w:val="21"/>
        </w:rPr>
      </w:pPr>
      <w:bookmarkStart w:id="84" w:name="_Toc23339356"/>
      <w:bookmarkStart w:id="85" w:name="_Toc23529"/>
      <w:r>
        <w:rPr>
          <w:rFonts w:hint="eastAsia"/>
          <w:b/>
          <w:bCs/>
          <w:color w:val="000000"/>
          <w:sz w:val="21"/>
          <w:szCs w:val="21"/>
        </w:rPr>
        <w:t>§</w:t>
      </w:r>
      <w:r>
        <w:rPr>
          <w:rFonts w:hint="eastAsia"/>
          <w:b/>
          <w:bCs/>
          <w:color w:val="000000"/>
          <w:sz w:val="21"/>
          <w:szCs w:val="21"/>
        </w:rPr>
        <w:t xml:space="preserve">5 </w:t>
      </w:r>
      <w:r>
        <w:rPr>
          <w:rFonts w:hint="eastAsia"/>
          <w:b/>
          <w:bCs/>
          <w:color w:val="000000"/>
          <w:sz w:val="21"/>
          <w:szCs w:val="21"/>
        </w:rPr>
        <w:t>托管</w:t>
      </w:r>
      <w:r>
        <w:rPr>
          <w:rFonts w:hint="eastAsia"/>
          <w:b/>
          <w:bCs/>
          <w:color w:val="000000"/>
          <w:sz w:val="21"/>
          <w:szCs w:val="21"/>
        </w:rPr>
        <w:t>人报告</w:t>
      </w:r>
      <w:bookmarkEnd w:id="84"/>
      <w:bookmarkEnd w:id="85"/>
    </w:p>
    <w:p w:rsidR="003663E4" w:rsidRDefault="00FD3F7D">
      <w:pPr>
        <w:pStyle w:val="2"/>
        <w:spacing w:before="0" w:after="0"/>
        <w:rPr>
          <w:rFonts w:asciiTheme="minorEastAsia" w:eastAsiaTheme="minorEastAsia" w:hAnsiTheme="minorEastAsia" w:cs="Times New Roman"/>
          <w:kern w:val="0"/>
          <w:sz w:val="21"/>
          <w:szCs w:val="21"/>
        </w:rPr>
      </w:pPr>
      <w:bookmarkStart w:id="86" w:name="_Toc23339357"/>
      <w:bookmarkStart w:id="87" w:name="_Toc22693"/>
      <w:r>
        <w:rPr>
          <w:rFonts w:asciiTheme="minorEastAsia" w:eastAsiaTheme="minorEastAsia" w:hAnsiTheme="minorEastAsia" w:cs="Times New Roman" w:hint="eastAsia"/>
          <w:kern w:val="0"/>
          <w:sz w:val="21"/>
          <w:szCs w:val="21"/>
        </w:rPr>
        <w:t xml:space="preserve">5.1 </w:t>
      </w:r>
      <w:r>
        <w:rPr>
          <w:rFonts w:asciiTheme="minorEastAsia" w:eastAsiaTheme="minorEastAsia" w:hAnsiTheme="minorEastAsia" w:cs="Times New Roman" w:hint="eastAsia"/>
          <w:kern w:val="0"/>
          <w:sz w:val="21"/>
          <w:szCs w:val="21"/>
        </w:rPr>
        <w:t>报告期内本基金托管人遵规守信情况声明</w:t>
      </w:r>
      <w:bookmarkEnd w:id="86"/>
      <w:bookmarkEnd w:id="87"/>
    </w:p>
    <w:p w:rsidR="003663E4" w:rsidRDefault="00FD3F7D">
      <w:pPr>
        <w:spacing w:line="360" w:lineRule="auto"/>
        <w:ind w:firstLineChars="200" w:firstLine="420"/>
        <w:rPr>
          <w:rFonts w:eastAsiaTheme="minorEastAsia"/>
          <w:szCs w:val="21"/>
        </w:rPr>
      </w:pPr>
      <w:r>
        <w:rPr>
          <w:rFonts w:eastAsiaTheme="minorEastAsia"/>
          <w:szCs w:val="21"/>
        </w:rPr>
        <w:t>本报告期，中国建设银行股份有限公司在本基金的托管过程中，严格遵守了</w:t>
      </w:r>
      <w:r>
        <w:rPr>
          <w:rFonts w:hint="eastAsia"/>
        </w:rPr>
        <w:t>《中华人民共和国证券投资基金法》</w:t>
      </w:r>
      <w:r>
        <w:rPr>
          <w:rFonts w:eastAsiaTheme="minorEastAsia"/>
          <w:szCs w:val="21"/>
        </w:rPr>
        <w:t>、基金合同、托管协议和其他有关规定，不存在损害基金份额持有人利益的行为，完全尽职尽责地履行了基金托管人应尽的义务。</w:t>
      </w:r>
    </w:p>
    <w:p w:rsidR="003663E4" w:rsidRDefault="00FD3F7D">
      <w:pPr>
        <w:pStyle w:val="2"/>
        <w:spacing w:before="0" w:after="0"/>
        <w:rPr>
          <w:rFonts w:asciiTheme="minorEastAsia" w:eastAsiaTheme="minorEastAsia" w:hAnsiTheme="minorEastAsia" w:cs="Times New Roman"/>
          <w:kern w:val="0"/>
          <w:sz w:val="21"/>
          <w:szCs w:val="21"/>
        </w:rPr>
      </w:pPr>
      <w:bookmarkStart w:id="88" w:name="_Toc23339358"/>
      <w:bookmarkStart w:id="89" w:name="_Toc27064"/>
      <w:r>
        <w:rPr>
          <w:rFonts w:asciiTheme="minorEastAsia" w:eastAsiaTheme="minorEastAsia" w:hAnsiTheme="minorEastAsia" w:cs="Times New Roman" w:hint="eastAsia"/>
          <w:kern w:val="0"/>
          <w:sz w:val="21"/>
          <w:szCs w:val="21"/>
        </w:rPr>
        <w:t>5.2</w:t>
      </w:r>
      <w:r>
        <w:rPr>
          <w:rFonts w:asciiTheme="minorEastAsia" w:eastAsiaTheme="minorEastAsia" w:hAnsiTheme="minorEastAsia" w:hint="eastAsia"/>
          <w:kern w:val="0"/>
          <w:sz w:val="21"/>
          <w:szCs w:val="21"/>
        </w:rPr>
        <w:t xml:space="preserve"> </w:t>
      </w:r>
      <w:r>
        <w:rPr>
          <w:rFonts w:asciiTheme="minorEastAsia" w:eastAsiaTheme="minorEastAsia" w:hAnsiTheme="minorEastAsia" w:cs="Times New Roman" w:hint="eastAsia"/>
          <w:kern w:val="0"/>
          <w:sz w:val="21"/>
          <w:szCs w:val="21"/>
        </w:rPr>
        <w:t>托管人对报告期内本基金投资运作遵规守信、净值计算、利润分配等情况的说明</w:t>
      </w:r>
      <w:bookmarkEnd w:id="88"/>
      <w:bookmarkEnd w:id="89"/>
    </w:p>
    <w:p w:rsidR="003663E4" w:rsidRDefault="00FD3F7D">
      <w:pPr>
        <w:spacing w:line="360" w:lineRule="auto"/>
        <w:ind w:firstLineChars="200" w:firstLine="420"/>
        <w:rPr>
          <w:rFonts w:eastAsiaTheme="minorEastAsia"/>
          <w:szCs w:val="21"/>
        </w:rPr>
      </w:pPr>
      <w:r>
        <w:rPr>
          <w:rFonts w:eastAsiaTheme="minorEastAsia"/>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3663E4" w:rsidRDefault="00FD3F7D">
      <w:pPr>
        <w:spacing w:line="360" w:lineRule="auto"/>
        <w:ind w:firstLineChars="200" w:firstLine="420"/>
        <w:rPr>
          <w:rFonts w:eastAsiaTheme="minorEastAsia"/>
          <w:szCs w:val="21"/>
        </w:rPr>
      </w:pPr>
      <w:r>
        <w:rPr>
          <w:rFonts w:eastAsiaTheme="minorEastAsia"/>
          <w:szCs w:val="21"/>
        </w:rPr>
        <w:t>报告期内，转型前交银施罗德理财</w:t>
      </w:r>
      <w:r>
        <w:rPr>
          <w:rFonts w:eastAsiaTheme="minorEastAsia"/>
          <w:szCs w:val="21"/>
        </w:rPr>
        <w:t>60</w:t>
      </w:r>
      <w:r>
        <w:rPr>
          <w:rFonts w:eastAsiaTheme="minorEastAsia"/>
          <w:szCs w:val="21"/>
        </w:rPr>
        <w:t>天债券型证券投资基金实施利润分配的金额为</w:t>
      </w:r>
      <w:r>
        <w:rPr>
          <w:rFonts w:eastAsiaTheme="minorEastAsia"/>
          <w:szCs w:val="21"/>
        </w:rPr>
        <w:t>A</w:t>
      </w:r>
      <w:r>
        <w:rPr>
          <w:rFonts w:eastAsiaTheme="minorEastAsia"/>
          <w:szCs w:val="21"/>
        </w:rPr>
        <w:t>类</w:t>
      </w:r>
      <w:r>
        <w:rPr>
          <w:rFonts w:eastAsiaTheme="minorEastAsia"/>
          <w:szCs w:val="21"/>
        </w:rPr>
        <w:t>59,131.25</w:t>
      </w:r>
      <w:r>
        <w:rPr>
          <w:rFonts w:eastAsiaTheme="minorEastAsia"/>
          <w:szCs w:val="21"/>
        </w:rPr>
        <w:t>元，</w:t>
      </w:r>
      <w:r>
        <w:rPr>
          <w:rFonts w:eastAsiaTheme="minorEastAsia"/>
          <w:szCs w:val="21"/>
        </w:rPr>
        <w:t>B</w:t>
      </w:r>
      <w:r>
        <w:rPr>
          <w:rFonts w:eastAsiaTheme="minorEastAsia"/>
          <w:szCs w:val="21"/>
        </w:rPr>
        <w:t>类</w:t>
      </w:r>
      <w:r>
        <w:rPr>
          <w:rFonts w:eastAsiaTheme="minorEastAsia"/>
          <w:szCs w:val="21"/>
        </w:rPr>
        <w:t>91,116,697.57</w:t>
      </w:r>
      <w:r>
        <w:rPr>
          <w:rFonts w:eastAsiaTheme="minorEastAsia"/>
          <w:szCs w:val="21"/>
        </w:rPr>
        <w:t>元。</w:t>
      </w:r>
    </w:p>
    <w:p w:rsidR="003663E4" w:rsidRDefault="00FD3F7D">
      <w:pPr>
        <w:spacing w:line="360" w:lineRule="auto"/>
        <w:ind w:firstLineChars="200" w:firstLine="420"/>
        <w:rPr>
          <w:rFonts w:eastAsiaTheme="minorEastAsia"/>
          <w:szCs w:val="21"/>
        </w:rPr>
      </w:pPr>
      <w:r>
        <w:rPr>
          <w:rFonts w:eastAsiaTheme="minorEastAsia"/>
          <w:szCs w:val="21"/>
        </w:rPr>
        <w:t>报告期内，转型后交银施罗德裕惠纯债债券型证券投资基金未实施利润分配。</w:t>
      </w:r>
    </w:p>
    <w:p w:rsidR="003663E4" w:rsidRDefault="00FD3F7D">
      <w:pPr>
        <w:pStyle w:val="2"/>
        <w:spacing w:before="0" w:after="0"/>
        <w:rPr>
          <w:rFonts w:asciiTheme="minorEastAsia" w:eastAsiaTheme="minorEastAsia" w:hAnsiTheme="minorEastAsia" w:cs="Times New Roman"/>
          <w:kern w:val="0"/>
          <w:sz w:val="21"/>
          <w:szCs w:val="21"/>
        </w:rPr>
      </w:pPr>
      <w:bookmarkStart w:id="90" w:name="_Toc23339359"/>
      <w:bookmarkStart w:id="91" w:name="_Toc9179"/>
      <w:r>
        <w:rPr>
          <w:rFonts w:asciiTheme="minorEastAsia" w:eastAsiaTheme="minorEastAsia" w:hAnsiTheme="minorEastAsia" w:cs="Times New Roman" w:hint="eastAsia"/>
          <w:kern w:val="0"/>
          <w:sz w:val="21"/>
          <w:szCs w:val="21"/>
        </w:rPr>
        <w:t xml:space="preserve">5.3 </w:t>
      </w:r>
      <w:r>
        <w:rPr>
          <w:rFonts w:asciiTheme="minorEastAsia" w:eastAsiaTheme="minorEastAsia" w:hAnsiTheme="minorEastAsia" w:cs="Times New Roman" w:hint="eastAsia"/>
          <w:kern w:val="0"/>
          <w:sz w:val="21"/>
          <w:szCs w:val="21"/>
        </w:rPr>
        <w:t>托管人对本年度报告中财务信息等内容的真实、准确和完整发表意见</w:t>
      </w:r>
      <w:bookmarkEnd w:id="90"/>
      <w:bookmarkEnd w:id="91"/>
    </w:p>
    <w:p w:rsidR="003663E4" w:rsidRDefault="00FD3F7D">
      <w:pPr>
        <w:spacing w:line="360" w:lineRule="auto"/>
        <w:ind w:firstLineChars="200" w:firstLine="420"/>
        <w:rPr>
          <w:rFonts w:eastAsiaTheme="minorEastAsia"/>
          <w:color w:val="000000" w:themeColor="text1"/>
          <w:szCs w:val="21"/>
        </w:rPr>
      </w:pPr>
      <w:r>
        <w:rPr>
          <w:rFonts w:eastAsiaTheme="minorEastAsia"/>
          <w:color w:val="000000" w:themeColor="text1"/>
          <w:szCs w:val="21"/>
        </w:rPr>
        <w:t>本托管人复核审查了本报告中的财务指标、净值表现、利润分配情况、财务会计报告、投资组合报告等内容，保证复核内容不存在虚假记载、误导性陈述或者重大遗漏。</w:t>
      </w:r>
    </w:p>
    <w:p w:rsidR="003663E4" w:rsidRDefault="00FD3F7D">
      <w:pPr>
        <w:pStyle w:val="1"/>
        <w:keepNext/>
        <w:keepLines/>
        <w:widowControl w:val="0"/>
        <w:spacing w:before="240" w:after="240" w:line="360" w:lineRule="auto"/>
        <w:jc w:val="center"/>
        <w:rPr>
          <w:b/>
          <w:bCs/>
          <w:color w:val="000000"/>
          <w:sz w:val="21"/>
          <w:szCs w:val="21"/>
        </w:rPr>
      </w:pPr>
      <w:bookmarkStart w:id="92" w:name="_Toc245801814"/>
      <w:bookmarkStart w:id="93" w:name="_Toc23339360"/>
      <w:bookmarkStart w:id="94" w:name="_Toc247959464"/>
      <w:bookmarkStart w:id="95" w:name="_Toc352331232"/>
      <w:bookmarkStart w:id="96" w:name="_Toc508540264"/>
      <w:bookmarkStart w:id="97" w:name="_Toc362424010"/>
      <w:bookmarkStart w:id="98" w:name="_Toc352256054"/>
      <w:bookmarkStart w:id="99" w:name="_Toc499640539"/>
      <w:bookmarkStart w:id="100" w:name="_Toc374459272"/>
      <w:bookmarkStart w:id="101" w:name="_Toc352255986"/>
      <w:bookmarkStart w:id="102" w:name="_Toc25552"/>
      <w:bookmarkStart w:id="103" w:name="_Toc409100436"/>
      <w:bookmarkStart w:id="104" w:name="_Toc409100073"/>
      <w:r>
        <w:rPr>
          <w:b/>
          <w:bCs/>
          <w:color w:val="000000"/>
          <w:sz w:val="21"/>
          <w:szCs w:val="21"/>
        </w:rPr>
        <w:t>§</w:t>
      </w:r>
      <w:r>
        <w:rPr>
          <w:rFonts w:hint="eastAsia"/>
          <w:b/>
          <w:bCs/>
          <w:color w:val="000000"/>
          <w:sz w:val="21"/>
          <w:szCs w:val="21"/>
        </w:rPr>
        <w:t xml:space="preserve">6 </w:t>
      </w:r>
      <w:r>
        <w:rPr>
          <w:b/>
          <w:bCs/>
          <w:color w:val="000000"/>
          <w:sz w:val="21"/>
          <w:szCs w:val="21"/>
        </w:rPr>
        <w:t>审计报告</w:t>
      </w:r>
      <w:bookmarkEnd w:id="92"/>
      <w:bookmarkEnd w:id="93"/>
      <w:bookmarkEnd w:id="94"/>
      <w:bookmarkEnd w:id="95"/>
      <w:bookmarkEnd w:id="96"/>
      <w:bookmarkEnd w:id="97"/>
      <w:bookmarkEnd w:id="98"/>
      <w:bookmarkEnd w:id="99"/>
      <w:bookmarkEnd w:id="100"/>
      <w:bookmarkEnd w:id="101"/>
      <w:bookmarkEnd w:id="102"/>
    </w:p>
    <w:p w:rsidR="003663E4" w:rsidRDefault="00FD3F7D">
      <w:pPr>
        <w:pStyle w:val="2"/>
        <w:spacing w:before="0" w:after="0"/>
        <w:rPr>
          <w:rFonts w:ascii="Times New Roman" w:eastAsiaTheme="minorEastAsia" w:hAnsi="Times New Roman" w:cs="Times New Roman"/>
          <w:bCs w:val="0"/>
          <w:kern w:val="0"/>
          <w:sz w:val="21"/>
          <w:szCs w:val="21"/>
        </w:rPr>
      </w:pPr>
      <w:bookmarkStart w:id="105" w:name="_Toc508540265"/>
      <w:bookmarkStart w:id="106" w:name="_Toc468457621"/>
      <w:bookmarkStart w:id="107" w:name="_Toc468369148"/>
      <w:bookmarkStart w:id="108" w:name="_Toc23339361"/>
      <w:bookmarkStart w:id="109" w:name="_Toc499640540"/>
      <w:bookmarkStart w:id="110" w:name="_Toc30082"/>
      <w:bookmarkStart w:id="111" w:name="_Toc468369144"/>
      <w:bookmarkStart w:id="112" w:name="_Toc468457617"/>
      <w:r>
        <w:rPr>
          <w:rFonts w:ascii="Times New Roman" w:eastAsiaTheme="minorEastAsia" w:hAnsi="Times New Roman" w:cs="Times New Roman" w:hint="eastAsia"/>
          <w:bCs w:val="0"/>
          <w:kern w:val="0"/>
          <w:sz w:val="21"/>
          <w:szCs w:val="21"/>
        </w:rPr>
        <w:t xml:space="preserve">6.1 </w:t>
      </w:r>
      <w:r>
        <w:rPr>
          <w:rFonts w:ascii="Times New Roman" w:eastAsiaTheme="minorEastAsia" w:hAnsi="Times New Roman" w:cs="Times New Roman"/>
          <w:bCs w:val="0"/>
          <w:kern w:val="0"/>
          <w:sz w:val="21"/>
          <w:szCs w:val="21"/>
        </w:rPr>
        <w:t>交银施罗德裕惠纯债债券型证券投资基金</w:t>
      </w:r>
      <w:bookmarkEnd w:id="105"/>
      <w:bookmarkEnd w:id="106"/>
      <w:bookmarkEnd w:id="107"/>
      <w:bookmarkEnd w:id="108"/>
      <w:bookmarkEnd w:id="109"/>
      <w:bookmarkEnd w:id="110"/>
    </w:p>
    <w:p w:rsidR="003663E4" w:rsidRDefault="00FD3F7D">
      <w:pPr>
        <w:widowControl/>
        <w:spacing w:line="360" w:lineRule="auto"/>
        <w:jc w:val="right"/>
        <w:rPr>
          <w:color w:val="000000"/>
          <w:szCs w:val="21"/>
        </w:rPr>
      </w:pPr>
      <w:r>
        <w:rPr>
          <w:color w:val="000000"/>
          <w:kern w:val="0"/>
          <w:szCs w:val="21"/>
        </w:rPr>
        <w:t>普华永道中天审字</w:t>
      </w:r>
      <w:r>
        <w:rPr>
          <w:color w:val="000000"/>
          <w:kern w:val="0"/>
          <w:szCs w:val="21"/>
        </w:rPr>
        <w:t>(2021)</w:t>
      </w:r>
      <w:r>
        <w:rPr>
          <w:color w:val="000000"/>
          <w:kern w:val="0"/>
          <w:szCs w:val="21"/>
        </w:rPr>
        <w:t>第</w:t>
      </w:r>
      <w:r>
        <w:rPr>
          <w:color w:val="000000"/>
          <w:kern w:val="0"/>
          <w:szCs w:val="21"/>
        </w:rPr>
        <w:t>24570</w:t>
      </w:r>
      <w:r>
        <w:rPr>
          <w:color w:val="000000"/>
          <w:kern w:val="0"/>
          <w:szCs w:val="21"/>
        </w:rPr>
        <w:t>号</w:t>
      </w:r>
    </w:p>
    <w:p w:rsidR="003663E4" w:rsidRDefault="00FD3F7D">
      <w:pPr>
        <w:widowControl/>
        <w:spacing w:line="360" w:lineRule="auto"/>
        <w:jc w:val="left"/>
        <w:rPr>
          <w:color w:val="000000"/>
          <w:kern w:val="0"/>
          <w:szCs w:val="21"/>
        </w:rPr>
      </w:pPr>
      <w:r>
        <w:rPr>
          <w:color w:val="000000"/>
          <w:kern w:val="0"/>
          <w:szCs w:val="21"/>
        </w:rPr>
        <w:t>交银施罗德裕惠纯债债券型证券投资基金</w:t>
      </w:r>
      <w:r>
        <w:rPr>
          <w:color w:val="000000"/>
          <w:kern w:val="0"/>
          <w:szCs w:val="21"/>
        </w:rPr>
        <w:t>(</w:t>
      </w:r>
      <w:r>
        <w:rPr>
          <w:color w:val="000000"/>
          <w:kern w:val="0"/>
          <w:szCs w:val="21"/>
        </w:rPr>
        <w:t>原交银施罗德理财</w:t>
      </w:r>
      <w:r>
        <w:rPr>
          <w:color w:val="000000"/>
          <w:kern w:val="0"/>
          <w:szCs w:val="21"/>
        </w:rPr>
        <w:t>60</w:t>
      </w:r>
      <w:r>
        <w:rPr>
          <w:color w:val="000000"/>
          <w:kern w:val="0"/>
          <w:szCs w:val="21"/>
        </w:rPr>
        <w:t>天债券型证券投资基金</w:t>
      </w:r>
      <w:r>
        <w:rPr>
          <w:color w:val="000000"/>
          <w:kern w:val="0"/>
          <w:szCs w:val="21"/>
        </w:rPr>
        <w:t>)</w:t>
      </w:r>
      <w:r>
        <w:rPr>
          <w:color w:val="000000"/>
          <w:kern w:val="0"/>
          <w:szCs w:val="21"/>
        </w:rPr>
        <w:t>全体基金份额持有人</w:t>
      </w:r>
      <w:r>
        <w:rPr>
          <w:color w:val="000000"/>
          <w:szCs w:val="21"/>
        </w:rPr>
        <w:t>：</w:t>
      </w:r>
    </w:p>
    <w:p w:rsidR="003663E4" w:rsidRDefault="00FD3F7D">
      <w:pPr>
        <w:pStyle w:val="3"/>
        <w:spacing w:beforeLines="50" w:before="156" w:after="0" w:line="360" w:lineRule="auto"/>
        <w:rPr>
          <w:color w:val="000000"/>
          <w:kern w:val="0"/>
          <w:sz w:val="21"/>
          <w:szCs w:val="21"/>
        </w:rPr>
      </w:pPr>
      <w:bookmarkStart w:id="113" w:name="_Toc23339362"/>
      <w:bookmarkStart w:id="114" w:name="_Toc508540266"/>
      <w:bookmarkStart w:id="115" w:name="_Toc13736"/>
      <w:r>
        <w:rPr>
          <w:color w:val="000000"/>
          <w:kern w:val="0"/>
          <w:sz w:val="21"/>
          <w:szCs w:val="21"/>
        </w:rPr>
        <w:t>6.1.1</w:t>
      </w:r>
      <w:r>
        <w:rPr>
          <w:color w:val="000000"/>
          <w:kern w:val="0"/>
          <w:sz w:val="21"/>
          <w:szCs w:val="21"/>
        </w:rPr>
        <w:t>审计意见</w:t>
      </w:r>
      <w:bookmarkEnd w:id="113"/>
      <w:bookmarkEnd w:id="114"/>
      <w:bookmarkEnd w:id="115"/>
    </w:p>
    <w:p w:rsidR="003663E4" w:rsidRDefault="00FD3F7D">
      <w:pPr>
        <w:widowControl/>
        <w:spacing w:line="360" w:lineRule="auto"/>
        <w:ind w:firstLine="420"/>
        <w:rPr>
          <w:color w:val="000000"/>
          <w:kern w:val="0"/>
          <w:szCs w:val="21"/>
        </w:rPr>
      </w:pPr>
      <w:r>
        <w:rPr>
          <w:color w:val="000000"/>
          <w:kern w:val="0"/>
          <w:szCs w:val="21"/>
        </w:rPr>
        <w:t>(</w:t>
      </w:r>
      <w:r>
        <w:rPr>
          <w:color w:val="000000"/>
          <w:kern w:val="0"/>
          <w:szCs w:val="21"/>
        </w:rPr>
        <w:t>一</w:t>
      </w:r>
      <w:r>
        <w:rPr>
          <w:color w:val="000000"/>
          <w:kern w:val="0"/>
          <w:szCs w:val="21"/>
        </w:rPr>
        <w:t xml:space="preserve">) </w:t>
      </w:r>
      <w:r>
        <w:rPr>
          <w:color w:val="000000"/>
          <w:kern w:val="0"/>
          <w:szCs w:val="21"/>
        </w:rPr>
        <w:t>我们审计的内容</w:t>
      </w:r>
    </w:p>
    <w:p w:rsidR="003663E4" w:rsidRDefault="00FD3F7D">
      <w:pPr>
        <w:widowControl/>
        <w:spacing w:line="360" w:lineRule="auto"/>
        <w:ind w:firstLine="420"/>
        <w:rPr>
          <w:color w:val="000000"/>
          <w:kern w:val="0"/>
          <w:szCs w:val="21"/>
        </w:rPr>
      </w:pPr>
      <w:r>
        <w:rPr>
          <w:color w:val="000000"/>
          <w:kern w:val="0"/>
          <w:szCs w:val="21"/>
        </w:rPr>
        <w:t>我们审计了交银施罗德裕惠纯债债券型证券投资基金</w:t>
      </w:r>
      <w:r>
        <w:rPr>
          <w:color w:val="000000"/>
          <w:kern w:val="0"/>
          <w:szCs w:val="21"/>
        </w:rPr>
        <w:t>(</w:t>
      </w:r>
      <w:r>
        <w:rPr>
          <w:color w:val="000000"/>
          <w:kern w:val="0"/>
          <w:szCs w:val="21"/>
        </w:rPr>
        <w:t>原交银施罗德理财</w:t>
      </w:r>
      <w:r>
        <w:rPr>
          <w:color w:val="000000"/>
          <w:kern w:val="0"/>
          <w:szCs w:val="21"/>
        </w:rPr>
        <w:t>60</w:t>
      </w:r>
      <w:r>
        <w:rPr>
          <w:color w:val="000000"/>
          <w:kern w:val="0"/>
          <w:szCs w:val="21"/>
        </w:rPr>
        <w:t>天债券型证券投资基金，以下简称</w:t>
      </w:r>
      <w:r>
        <w:rPr>
          <w:color w:val="000000"/>
          <w:kern w:val="0"/>
          <w:szCs w:val="21"/>
        </w:rPr>
        <w:t>“</w:t>
      </w:r>
      <w:r>
        <w:rPr>
          <w:color w:val="000000"/>
          <w:kern w:val="0"/>
          <w:szCs w:val="21"/>
        </w:rPr>
        <w:t>交银裕惠纯债基金</w:t>
      </w:r>
      <w:r>
        <w:rPr>
          <w:color w:val="000000"/>
          <w:kern w:val="0"/>
          <w:szCs w:val="21"/>
        </w:rPr>
        <w:t>”)</w:t>
      </w:r>
      <w:r>
        <w:rPr>
          <w:color w:val="000000"/>
          <w:kern w:val="0"/>
          <w:szCs w:val="21"/>
        </w:rPr>
        <w:t>的财务报表，包括</w:t>
      </w:r>
      <w:r>
        <w:rPr>
          <w:color w:val="000000"/>
          <w:kern w:val="0"/>
          <w:szCs w:val="21"/>
        </w:rPr>
        <w:t>2020</w:t>
      </w:r>
      <w:r>
        <w:rPr>
          <w:color w:val="000000"/>
          <w:kern w:val="0"/>
          <w:szCs w:val="21"/>
        </w:rPr>
        <w:t>年</w:t>
      </w:r>
      <w:r>
        <w:rPr>
          <w:color w:val="000000"/>
          <w:kern w:val="0"/>
          <w:szCs w:val="21"/>
        </w:rPr>
        <w:t>12</w:t>
      </w:r>
      <w:r>
        <w:rPr>
          <w:color w:val="000000"/>
          <w:kern w:val="0"/>
          <w:szCs w:val="21"/>
        </w:rPr>
        <w:t>月</w:t>
      </w:r>
      <w:r>
        <w:rPr>
          <w:color w:val="000000"/>
          <w:kern w:val="0"/>
          <w:szCs w:val="21"/>
        </w:rPr>
        <w:t>31</w:t>
      </w:r>
      <w:r>
        <w:rPr>
          <w:color w:val="000000"/>
          <w:kern w:val="0"/>
          <w:szCs w:val="21"/>
        </w:rPr>
        <w:t>日的资产负债表，</w:t>
      </w:r>
      <w:r>
        <w:rPr>
          <w:color w:val="000000"/>
          <w:kern w:val="0"/>
          <w:szCs w:val="21"/>
        </w:rPr>
        <w:t>2020</w:t>
      </w:r>
      <w:r>
        <w:rPr>
          <w:color w:val="000000"/>
          <w:kern w:val="0"/>
          <w:szCs w:val="21"/>
        </w:rPr>
        <w:t>年</w:t>
      </w:r>
      <w:r>
        <w:rPr>
          <w:color w:val="000000"/>
          <w:kern w:val="0"/>
          <w:szCs w:val="21"/>
        </w:rPr>
        <w:t>7</w:t>
      </w:r>
      <w:r>
        <w:rPr>
          <w:color w:val="000000"/>
          <w:kern w:val="0"/>
          <w:szCs w:val="21"/>
        </w:rPr>
        <w:t>月</w:t>
      </w:r>
      <w:r>
        <w:rPr>
          <w:color w:val="000000"/>
          <w:kern w:val="0"/>
          <w:szCs w:val="21"/>
        </w:rPr>
        <w:t>28</w:t>
      </w:r>
      <w:r>
        <w:rPr>
          <w:color w:val="000000"/>
          <w:kern w:val="0"/>
          <w:szCs w:val="21"/>
        </w:rPr>
        <w:t>日</w:t>
      </w:r>
      <w:r>
        <w:rPr>
          <w:color w:val="000000"/>
          <w:kern w:val="0"/>
          <w:szCs w:val="21"/>
        </w:rPr>
        <w:t>(</w:t>
      </w:r>
      <w:r>
        <w:rPr>
          <w:color w:val="000000"/>
          <w:kern w:val="0"/>
          <w:szCs w:val="21"/>
        </w:rPr>
        <w:t>基金转型生效日</w:t>
      </w:r>
      <w:r>
        <w:rPr>
          <w:color w:val="000000"/>
          <w:kern w:val="0"/>
          <w:szCs w:val="21"/>
        </w:rPr>
        <w:t>)</w:t>
      </w:r>
      <w:r>
        <w:rPr>
          <w:color w:val="000000"/>
          <w:kern w:val="0"/>
          <w:szCs w:val="21"/>
        </w:rPr>
        <w:t>至</w:t>
      </w:r>
      <w:r>
        <w:rPr>
          <w:color w:val="000000"/>
          <w:kern w:val="0"/>
          <w:szCs w:val="21"/>
        </w:rPr>
        <w:t>2020</w:t>
      </w:r>
      <w:r>
        <w:rPr>
          <w:color w:val="000000"/>
          <w:kern w:val="0"/>
          <w:szCs w:val="21"/>
        </w:rPr>
        <w:t>年</w:t>
      </w:r>
      <w:r>
        <w:rPr>
          <w:color w:val="000000"/>
          <w:kern w:val="0"/>
          <w:szCs w:val="21"/>
        </w:rPr>
        <w:t>12</w:t>
      </w:r>
      <w:r>
        <w:rPr>
          <w:color w:val="000000"/>
          <w:kern w:val="0"/>
          <w:szCs w:val="21"/>
        </w:rPr>
        <w:t>月</w:t>
      </w:r>
      <w:r>
        <w:rPr>
          <w:color w:val="000000"/>
          <w:kern w:val="0"/>
          <w:szCs w:val="21"/>
        </w:rPr>
        <w:t>31</w:t>
      </w:r>
      <w:r>
        <w:rPr>
          <w:color w:val="000000"/>
          <w:kern w:val="0"/>
          <w:szCs w:val="21"/>
        </w:rPr>
        <w:t>日止期间的的利润表和所有者权益</w:t>
      </w:r>
      <w:r>
        <w:rPr>
          <w:color w:val="000000"/>
          <w:kern w:val="0"/>
          <w:szCs w:val="21"/>
        </w:rPr>
        <w:t>(</w:t>
      </w:r>
      <w:r>
        <w:rPr>
          <w:color w:val="000000"/>
          <w:kern w:val="0"/>
          <w:szCs w:val="21"/>
        </w:rPr>
        <w:t>基金净值</w:t>
      </w:r>
      <w:r>
        <w:rPr>
          <w:color w:val="000000"/>
          <w:kern w:val="0"/>
          <w:szCs w:val="21"/>
        </w:rPr>
        <w:t>)</w:t>
      </w:r>
      <w:r>
        <w:rPr>
          <w:color w:val="000000"/>
          <w:kern w:val="0"/>
          <w:szCs w:val="21"/>
        </w:rPr>
        <w:t>变动表以及财务报表附注。</w:t>
      </w:r>
    </w:p>
    <w:p w:rsidR="003663E4" w:rsidRDefault="003663E4">
      <w:pPr>
        <w:widowControl/>
        <w:spacing w:line="360" w:lineRule="auto"/>
        <w:ind w:firstLine="420"/>
        <w:rPr>
          <w:color w:val="000000"/>
          <w:kern w:val="0"/>
          <w:szCs w:val="21"/>
        </w:rPr>
      </w:pPr>
    </w:p>
    <w:p w:rsidR="003663E4" w:rsidRDefault="00FD3F7D">
      <w:pPr>
        <w:widowControl/>
        <w:spacing w:line="360" w:lineRule="auto"/>
        <w:ind w:firstLine="420"/>
        <w:rPr>
          <w:color w:val="000000"/>
          <w:kern w:val="0"/>
          <w:szCs w:val="21"/>
        </w:rPr>
      </w:pPr>
      <w:r>
        <w:rPr>
          <w:color w:val="000000"/>
          <w:kern w:val="0"/>
          <w:szCs w:val="21"/>
        </w:rPr>
        <w:t>(</w:t>
      </w:r>
      <w:r>
        <w:rPr>
          <w:color w:val="000000"/>
          <w:kern w:val="0"/>
          <w:szCs w:val="21"/>
        </w:rPr>
        <w:t>二</w:t>
      </w:r>
      <w:r>
        <w:rPr>
          <w:color w:val="000000"/>
          <w:kern w:val="0"/>
          <w:szCs w:val="21"/>
        </w:rPr>
        <w:t xml:space="preserve">) </w:t>
      </w:r>
      <w:r>
        <w:rPr>
          <w:color w:val="000000"/>
          <w:kern w:val="0"/>
          <w:szCs w:val="21"/>
        </w:rPr>
        <w:t>我们的意见</w:t>
      </w:r>
    </w:p>
    <w:p w:rsidR="003663E4" w:rsidRDefault="00FD3F7D">
      <w:pPr>
        <w:widowControl/>
        <w:spacing w:line="360" w:lineRule="auto"/>
        <w:ind w:firstLine="420"/>
        <w:rPr>
          <w:color w:val="000000"/>
          <w:kern w:val="0"/>
          <w:szCs w:val="21"/>
        </w:rPr>
      </w:pPr>
      <w:r>
        <w:rPr>
          <w:color w:val="000000"/>
          <w:kern w:val="0"/>
          <w:szCs w:val="21"/>
        </w:rPr>
        <w:t>我们认为，后附的财务报表在所有重大方面按照企业会计准则和在财务报表附注中所列示的中国证券监督管理委员会</w:t>
      </w:r>
      <w:r>
        <w:rPr>
          <w:color w:val="000000"/>
          <w:kern w:val="0"/>
          <w:szCs w:val="21"/>
        </w:rPr>
        <w:t>(</w:t>
      </w:r>
      <w:r>
        <w:rPr>
          <w:color w:val="000000"/>
          <w:kern w:val="0"/>
          <w:szCs w:val="21"/>
        </w:rPr>
        <w:t>以下简称</w:t>
      </w:r>
      <w:r>
        <w:rPr>
          <w:color w:val="000000"/>
          <w:kern w:val="0"/>
          <w:szCs w:val="21"/>
        </w:rPr>
        <w:t>“</w:t>
      </w:r>
      <w:r>
        <w:rPr>
          <w:color w:val="000000"/>
          <w:kern w:val="0"/>
          <w:szCs w:val="21"/>
        </w:rPr>
        <w:t>中国证监会</w:t>
      </w:r>
      <w:r>
        <w:rPr>
          <w:color w:val="000000"/>
          <w:kern w:val="0"/>
          <w:szCs w:val="21"/>
        </w:rPr>
        <w:t>”)</w:t>
      </w:r>
      <w:r>
        <w:rPr>
          <w:color w:val="000000"/>
          <w:kern w:val="0"/>
          <w:szCs w:val="21"/>
        </w:rPr>
        <w:t>、中国证券投资基金业协会</w:t>
      </w:r>
      <w:r>
        <w:rPr>
          <w:color w:val="000000"/>
          <w:kern w:val="0"/>
          <w:szCs w:val="21"/>
        </w:rPr>
        <w:t>(</w:t>
      </w:r>
      <w:r>
        <w:rPr>
          <w:color w:val="000000"/>
          <w:kern w:val="0"/>
          <w:szCs w:val="21"/>
        </w:rPr>
        <w:t>以下简称</w:t>
      </w:r>
      <w:r>
        <w:rPr>
          <w:color w:val="000000"/>
          <w:kern w:val="0"/>
          <w:szCs w:val="21"/>
        </w:rPr>
        <w:t>“</w:t>
      </w:r>
      <w:r>
        <w:rPr>
          <w:color w:val="000000"/>
          <w:kern w:val="0"/>
          <w:szCs w:val="21"/>
        </w:rPr>
        <w:t>中国基金业协会</w:t>
      </w:r>
      <w:r>
        <w:rPr>
          <w:color w:val="000000"/>
          <w:kern w:val="0"/>
          <w:szCs w:val="21"/>
        </w:rPr>
        <w:t>”)</w:t>
      </w:r>
      <w:r>
        <w:rPr>
          <w:color w:val="000000"/>
          <w:kern w:val="0"/>
          <w:szCs w:val="21"/>
        </w:rPr>
        <w:t>发布的有</w:t>
      </w:r>
      <w:r>
        <w:rPr>
          <w:color w:val="000000"/>
          <w:kern w:val="0"/>
          <w:szCs w:val="21"/>
        </w:rPr>
        <w:t>关规定及允许的基金行业实务操作编制，公允反映了交银裕惠纯债基金</w:t>
      </w:r>
      <w:r>
        <w:rPr>
          <w:color w:val="000000"/>
          <w:kern w:val="0"/>
          <w:szCs w:val="21"/>
        </w:rPr>
        <w:t>2020</w:t>
      </w:r>
      <w:r>
        <w:rPr>
          <w:color w:val="000000"/>
          <w:kern w:val="0"/>
          <w:szCs w:val="21"/>
        </w:rPr>
        <w:t>年</w:t>
      </w:r>
      <w:r>
        <w:rPr>
          <w:color w:val="000000"/>
          <w:kern w:val="0"/>
          <w:szCs w:val="21"/>
        </w:rPr>
        <w:t>12</w:t>
      </w:r>
      <w:r>
        <w:rPr>
          <w:color w:val="000000"/>
          <w:kern w:val="0"/>
          <w:szCs w:val="21"/>
        </w:rPr>
        <w:t>月</w:t>
      </w:r>
      <w:r>
        <w:rPr>
          <w:color w:val="000000"/>
          <w:kern w:val="0"/>
          <w:szCs w:val="21"/>
        </w:rPr>
        <w:t>31</w:t>
      </w:r>
      <w:r>
        <w:rPr>
          <w:color w:val="000000"/>
          <w:kern w:val="0"/>
          <w:szCs w:val="21"/>
        </w:rPr>
        <w:t>日的财务状况以及</w:t>
      </w:r>
      <w:r>
        <w:rPr>
          <w:color w:val="000000"/>
          <w:kern w:val="0"/>
          <w:szCs w:val="21"/>
        </w:rPr>
        <w:t>2020</w:t>
      </w:r>
      <w:r>
        <w:rPr>
          <w:color w:val="000000"/>
          <w:kern w:val="0"/>
          <w:szCs w:val="21"/>
        </w:rPr>
        <w:t>年</w:t>
      </w:r>
      <w:r>
        <w:rPr>
          <w:color w:val="000000"/>
          <w:kern w:val="0"/>
          <w:szCs w:val="21"/>
        </w:rPr>
        <w:t>7</w:t>
      </w:r>
      <w:r>
        <w:rPr>
          <w:color w:val="000000"/>
          <w:kern w:val="0"/>
          <w:szCs w:val="21"/>
        </w:rPr>
        <w:t>月</w:t>
      </w:r>
      <w:r>
        <w:rPr>
          <w:color w:val="000000"/>
          <w:kern w:val="0"/>
          <w:szCs w:val="21"/>
        </w:rPr>
        <w:t>28</w:t>
      </w:r>
      <w:r>
        <w:rPr>
          <w:color w:val="000000"/>
          <w:kern w:val="0"/>
          <w:szCs w:val="21"/>
        </w:rPr>
        <w:t>日</w:t>
      </w:r>
      <w:r>
        <w:rPr>
          <w:color w:val="000000"/>
          <w:kern w:val="0"/>
          <w:szCs w:val="21"/>
        </w:rPr>
        <w:t>(</w:t>
      </w:r>
      <w:r>
        <w:rPr>
          <w:color w:val="000000"/>
          <w:kern w:val="0"/>
          <w:szCs w:val="21"/>
        </w:rPr>
        <w:t>基金转型生效日</w:t>
      </w:r>
      <w:r>
        <w:rPr>
          <w:color w:val="000000"/>
          <w:kern w:val="0"/>
          <w:szCs w:val="21"/>
        </w:rPr>
        <w:t>)</w:t>
      </w:r>
      <w:r>
        <w:rPr>
          <w:color w:val="000000"/>
          <w:kern w:val="0"/>
          <w:szCs w:val="21"/>
        </w:rPr>
        <w:t>至</w:t>
      </w:r>
      <w:r>
        <w:rPr>
          <w:color w:val="000000"/>
          <w:kern w:val="0"/>
          <w:szCs w:val="21"/>
        </w:rPr>
        <w:t>2020</w:t>
      </w:r>
      <w:r>
        <w:rPr>
          <w:color w:val="000000"/>
          <w:kern w:val="0"/>
          <w:szCs w:val="21"/>
        </w:rPr>
        <w:t>年</w:t>
      </w:r>
      <w:r>
        <w:rPr>
          <w:color w:val="000000"/>
          <w:kern w:val="0"/>
          <w:szCs w:val="21"/>
        </w:rPr>
        <w:t>12</w:t>
      </w:r>
      <w:r>
        <w:rPr>
          <w:color w:val="000000"/>
          <w:kern w:val="0"/>
          <w:szCs w:val="21"/>
        </w:rPr>
        <w:t>月</w:t>
      </w:r>
      <w:r>
        <w:rPr>
          <w:color w:val="000000"/>
          <w:kern w:val="0"/>
          <w:szCs w:val="21"/>
        </w:rPr>
        <w:t>31</w:t>
      </w:r>
      <w:r>
        <w:rPr>
          <w:color w:val="000000"/>
          <w:kern w:val="0"/>
          <w:szCs w:val="21"/>
        </w:rPr>
        <w:t>日止期间的的经营成果和基金净值变动情况。</w:t>
      </w:r>
    </w:p>
    <w:p w:rsidR="003663E4" w:rsidRDefault="00FD3F7D">
      <w:pPr>
        <w:pStyle w:val="3"/>
        <w:spacing w:beforeLines="50" w:before="156" w:after="0" w:line="360" w:lineRule="auto"/>
        <w:rPr>
          <w:color w:val="000000"/>
          <w:kern w:val="0"/>
          <w:sz w:val="21"/>
          <w:szCs w:val="21"/>
        </w:rPr>
      </w:pPr>
      <w:bookmarkStart w:id="116" w:name="_Toc23339363"/>
      <w:bookmarkStart w:id="117" w:name="_Toc508540267"/>
      <w:bookmarkStart w:id="118" w:name="_Toc6070"/>
      <w:r>
        <w:rPr>
          <w:color w:val="000000"/>
          <w:kern w:val="0"/>
          <w:sz w:val="21"/>
          <w:szCs w:val="21"/>
        </w:rPr>
        <w:t>6.1.2</w:t>
      </w:r>
      <w:r>
        <w:rPr>
          <w:rFonts w:hint="eastAsia"/>
          <w:color w:val="000000"/>
          <w:kern w:val="0"/>
          <w:sz w:val="21"/>
          <w:szCs w:val="21"/>
        </w:rPr>
        <w:t>形成审计意见的基础</w:t>
      </w:r>
      <w:bookmarkEnd w:id="116"/>
      <w:bookmarkEnd w:id="117"/>
      <w:bookmarkEnd w:id="118"/>
    </w:p>
    <w:p w:rsidR="003663E4" w:rsidRDefault="00FD3F7D">
      <w:pPr>
        <w:spacing w:line="360" w:lineRule="auto"/>
        <w:ind w:firstLineChars="200" w:firstLine="420"/>
        <w:rPr>
          <w:color w:val="000000"/>
          <w:szCs w:val="21"/>
        </w:rPr>
      </w:pPr>
      <w:r>
        <w:rPr>
          <w:color w:val="000000"/>
          <w:kern w:val="0"/>
          <w:szCs w:val="21"/>
        </w:rPr>
        <w:t>我们按照中国注册会计师审计准则的规定执行了审计工作。审计报告的</w:t>
      </w:r>
      <w:r>
        <w:rPr>
          <w:color w:val="000000"/>
          <w:kern w:val="0"/>
          <w:szCs w:val="21"/>
        </w:rPr>
        <w:t>“</w:t>
      </w:r>
      <w:r>
        <w:rPr>
          <w:color w:val="000000"/>
          <w:kern w:val="0"/>
          <w:szCs w:val="21"/>
        </w:rPr>
        <w:t>注册会计师对财务报表审计的责任</w:t>
      </w:r>
      <w:r>
        <w:rPr>
          <w:color w:val="000000"/>
          <w:kern w:val="0"/>
          <w:szCs w:val="21"/>
        </w:rPr>
        <w:t>”</w:t>
      </w:r>
      <w:r>
        <w:rPr>
          <w:color w:val="000000"/>
          <w:kern w:val="0"/>
          <w:szCs w:val="21"/>
        </w:rPr>
        <w:t>部分进一步阐述了我们在这些准则下的责任。我们相信，我们获取的审计证据是充分、适当的，为发表审计意见提供了基础。</w:t>
      </w:r>
    </w:p>
    <w:p w:rsidR="003663E4" w:rsidRDefault="003663E4">
      <w:pPr>
        <w:spacing w:line="360" w:lineRule="auto"/>
        <w:ind w:firstLineChars="200" w:firstLine="420"/>
        <w:rPr>
          <w:color w:val="000000"/>
          <w:szCs w:val="21"/>
        </w:rPr>
      </w:pPr>
    </w:p>
    <w:p w:rsidR="003663E4" w:rsidRDefault="00FD3F7D">
      <w:pPr>
        <w:spacing w:line="360" w:lineRule="auto"/>
        <w:ind w:firstLineChars="200" w:firstLine="420"/>
        <w:rPr>
          <w:color w:val="000000"/>
          <w:szCs w:val="21"/>
        </w:rPr>
      </w:pPr>
      <w:r>
        <w:rPr>
          <w:color w:val="000000"/>
          <w:kern w:val="0"/>
          <w:szCs w:val="21"/>
        </w:rPr>
        <w:t>按照中国注册会计师职业道德守则，我们独立于交银裕惠纯债基金，并履行了职业</w:t>
      </w:r>
      <w:r>
        <w:rPr>
          <w:color w:val="000000"/>
          <w:kern w:val="0"/>
          <w:szCs w:val="21"/>
        </w:rPr>
        <w:t>道德方面的其他责任。</w:t>
      </w:r>
    </w:p>
    <w:p w:rsidR="003663E4" w:rsidRDefault="00FD3F7D">
      <w:pPr>
        <w:pStyle w:val="3"/>
        <w:spacing w:beforeLines="50" w:before="156" w:after="0" w:line="360" w:lineRule="auto"/>
        <w:rPr>
          <w:color w:val="000000"/>
          <w:kern w:val="0"/>
          <w:sz w:val="21"/>
          <w:szCs w:val="21"/>
        </w:rPr>
      </w:pPr>
      <w:bookmarkStart w:id="119" w:name="_Toc508540271"/>
      <w:bookmarkStart w:id="120" w:name="_Toc23339367"/>
      <w:bookmarkStart w:id="121" w:name="_Toc17278"/>
      <w:r>
        <w:rPr>
          <w:color w:val="000000"/>
          <w:kern w:val="0"/>
          <w:sz w:val="21"/>
          <w:szCs w:val="21"/>
        </w:rPr>
        <w:t>6.1.3</w:t>
      </w:r>
      <w:bookmarkEnd w:id="119"/>
      <w:bookmarkEnd w:id="120"/>
      <w:r>
        <w:rPr>
          <w:rFonts w:hint="eastAsia"/>
          <w:color w:val="000000"/>
          <w:kern w:val="0"/>
          <w:sz w:val="21"/>
          <w:szCs w:val="21"/>
        </w:rPr>
        <w:t>管理层和治理层对财务报表的责任</w:t>
      </w:r>
      <w:bookmarkEnd w:id="121"/>
    </w:p>
    <w:p w:rsidR="003663E4" w:rsidRDefault="00FD3F7D">
      <w:pPr>
        <w:spacing w:line="360" w:lineRule="auto"/>
        <w:ind w:firstLineChars="200" w:firstLine="420"/>
        <w:rPr>
          <w:color w:val="000000"/>
          <w:szCs w:val="21"/>
        </w:rPr>
      </w:pPr>
      <w:r>
        <w:rPr>
          <w:color w:val="000000"/>
          <w:kern w:val="0"/>
          <w:szCs w:val="21"/>
        </w:rPr>
        <w:t>交银裕惠纯债基金的基金管理人交银施罗德基金管理有限公司</w:t>
      </w:r>
      <w:r>
        <w:rPr>
          <w:color w:val="000000"/>
          <w:kern w:val="0"/>
          <w:szCs w:val="21"/>
        </w:rPr>
        <w:t>(</w:t>
      </w:r>
      <w:r>
        <w:rPr>
          <w:color w:val="000000"/>
          <w:kern w:val="0"/>
          <w:szCs w:val="21"/>
        </w:rPr>
        <w:t>以下简称</w:t>
      </w:r>
      <w:r>
        <w:rPr>
          <w:color w:val="000000"/>
          <w:kern w:val="0"/>
          <w:szCs w:val="21"/>
        </w:rPr>
        <w:t>“</w:t>
      </w:r>
      <w:r>
        <w:rPr>
          <w:color w:val="000000"/>
          <w:kern w:val="0"/>
          <w:szCs w:val="21"/>
        </w:rPr>
        <w:t>基金管理人</w:t>
      </w:r>
      <w:r>
        <w:rPr>
          <w:color w:val="000000"/>
          <w:kern w:val="0"/>
          <w:szCs w:val="21"/>
        </w:rPr>
        <w:t>”)</w:t>
      </w:r>
      <w:r>
        <w:rPr>
          <w:color w:val="000000"/>
          <w:kern w:val="0"/>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3663E4" w:rsidRDefault="003663E4">
      <w:pPr>
        <w:spacing w:line="360" w:lineRule="auto"/>
        <w:ind w:firstLineChars="200" w:firstLine="420"/>
        <w:rPr>
          <w:color w:val="000000"/>
          <w:szCs w:val="21"/>
        </w:rPr>
      </w:pPr>
    </w:p>
    <w:p w:rsidR="003663E4" w:rsidRDefault="00FD3F7D">
      <w:pPr>
        <w:spacing w:line="360" w:lineRule="auto"/>
        <w:ind w:firstLineChars="200" w:firstLine="420"/>
        <w:rPr>
          <w:color w:val="000000"/>
          <w:szCs w:val="21"/>
        </w:rPr>
      </w:pPr>
      <w:r>
        <w:rPr>
          <w:color w:val="000000"/>
          <w:kern w:val="0"/>
          <w:szCs w:val="21"/>
        </w:rPr>
        <w:t>在编制财务报表时，基金管理人管理层负责评估交银裕惠纯债基金的持续经营能力，披露与持续经营相关的事项</w:t>
      </w:r>
      <w:r>
        <w:rPr>
          <w:color w:val="000000"/>
          <w:kern w:val="0"/>
          <w:szCs w:val="21"/>
        </w:rPr>
        <w:t>(</w:t>
      </w:r>
      <w:r>
        <w:rPr>
          <w:color w:val="000000"/>
          <w:kern w:val="0"/>
          <w:szCs w:val="21"/>
        </w:rPr>
        <w:t>如适用</w:t>
      </w:r>
      <w:r>
        <w:rPr>
          <w:color w:val="000000"/>
          <w:kern w:val="0"/>
          <w:szCs w:val="21"/>
        </w:rPr>
        <w:t>)</w:t>
      </w:r>
      <w:r>
        <w:rPr>
          <w:color w:val="000000"/>
          <w:kern w:val="0"/>
          <w:szCs w:val="21"/>
        </w:rPr>
        <w:t>，并运用持续经营假设，除非基金管理人管理层计划清算交银裕惠纯债基金、终止运营或别无其他现实的选择。</w:t>
      </w:r>
    </w:p>
    <w:p w:rsidR="003663E4" w:rsidRDefault="003663E4">
      <w:pPr>
        <w:spacing w:line="360" w:lineRule="auto"/>
        <w:ind w:firstLineChars="200" w:firstLine="420"/>
        <w:rPr>
          <w:color w:val="000000"/>
          <w:szCs w:val="21"/>
        </w:rPr>
      </w:pPr>
    </w:p>
    <w:p w:rsidR="003663E4" w:rsidRDefault="00FD3F7D">
      <w:pPr>
        <w:spacing w:line="360" w:lineRule="auto"/>
        <w:ind w:firstLineChars="200" w:firstLine="420"/>
        <w:rPr>
          <w:color w:val="000000"/>
          <w:szCs w:val="21"/>
        </w:rPr>
      </w:pPr>
      <w:r>
        <w:rPr>
          <w:color w:val="000000"/>
          <w:kern w:val="0"/>
          <w:szCs w:val="21"/>
        </w:rPr>
        <w:t>基金管理人治理层负责监督交银裕惠纯债基金的财务报告过程。</w:t>
      </w:r>
    </w:p>
    <w:p w:rsidR="003663E4" w:rsidRDefault="00FD3F7D">
      <w:pPr>
        <w:pStyle w:val="3"/>
        <w:spacing w:beforeLines="50" w:before="156" w:after="0" w:line="360" w:lineRule="auto"/>
        <w:rPr>
          <w:color w:val="000000"/>
          <w:kern w:val="0"/>
          <w:sz w:val="21"/>
          <w:szCs w:val="21"/>
        </w:rPr>
      </w:pPr>
      <w:bookmarkStart w:id="122" w:name="_Toc23339368"/>
      <w:bookmarkStart w:id="123" w:name="_Toc508540272"/>
      <w:bookmarkStart w:id="124" w:name="_Toc24065"/>
      <w:r>
        <w:rPr>
          <w:color w:val="000000"/>
          <w:kern w:val="0"/>
          <w:sz w:val="21"/>
          <w:szCs w:val="21"/>
        </w:rPr>
        <w:t>6.1.4</w:t>
      </w:r>
      <w:bookmarkEnd w:id="122"/>
      <w:bookmarkEnd w:id="123"/>
      <w:r>
        <w:rPr>
          <w:rFonts w:hint="eastAsia"/>
          <w:color w:val="000000"/>
          <w:kern w:val="0"/>
          <w:sz w:val="21"/>
          <w:szCs w:val="21"/>
        </w:rPr>
        <w:t>注册会计师对财务报表审计的责任</w:t>
      </w:r>
      <w:bookmarkEnd w:id="124"/>
    </w:p>
    <w:p w:rsidR="003663E4" w:rsidRDefault="00FD3F7D">
      <w:pPr>
        <w:spacing w:line="360" w:lineRule="auto"/>
        <w:ind w:firstLineChars="200" w:firstLine="420"/>
        <w:rPr>
          <w:color w:val="000000"/>
          <w:szCs w:val="21"/>
        </w:rPr>
      </w:pPr>
      <w:r>
        <w:rPr>
          <w:color w:val="000000"/>
          <w:kern w:val="0"/>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w:t>
      </w:r>
      <w:r>
        <w:rPr>
          <w:color w:val="000000"/>
          <w:kern w:val="0"/>
          <w:szCs w:val="21"/>
        </w:rPr>
        <w:t>能由于舞弊或错误导致，如果合理预期错报单独或汇总起来可能影响财务报表使用者依据财务报表作出的经济决策，则通常认为错报是重大的。</w:t>
      </w:r>
    </w:p>
    <w:p w:rsidR="003663E4" w:rsidRDefault="003663E4">
      <w:pPr>
        <w:spacing w:line="360" w:lineRule="auto"/>
        <w:ind w:firstLineChars="200" w:firstLine="420"/>
        <w:rPr>
          <w:color w:val="000000"/>
          <w:szCs w:val="21"/>
        </w:rPr>
      </w:pPr>
    </w:p>
    <w:p w:rsidR="003663E4" w:rsidRDefault="00FD3F7D">
      <w:pPr>
        <w:spacing w:line="360" w:lineRule="auto"/>
        <w:ind w:firstLineChars="200" w:firstLine="420"/>
        <w:rPr>
          <w:color w:val="000000"/>
          <w:szCs w:val="21"/>
        </w:rPr>
      </w:pPr>
      <w:r>
        <w:rPr>
          <w:color w:val="000000"/>
          <w:kern w:val="0"/>
          <w:szCs w:val="21"/>
        </w:rPr>
        <w:t>在按照审计准则执行审计工作的过程中，我们运用职业判断，并保持职业怀疑。同时，我们也执行以下工作：</w:t>
      </w:r>
    </w:p>
    <w:p w:rsidR="003663E4" w:rsidRDefault="003663E4">
      <w:pPr>
        <w:spacing w:line="360" w:lineRule="auto"/>
        <w:ind w:firstLineChars="200" w:firstLine="420"/>
        <w:rPr>
          <w:color w:val="000000"/>
          <w:szCs w:val="21"/>
        </w:rPr>
      </w:pPr>
    </w:p>
    <w:p w:rsidR="003663E4" w:rsidRDefault="00FD3F7D">
      <w:pPr>
        <w:spacing w:line="360" w:lineRule="auto"/>
        <w:ind w:firstLineChars="200" w:firstLine="420"/>
        <w:rPr>
          <w:color w:val="000000"/>
          <w:szCs w:val="21"/>
        </w:rPr>
      </w:pPr>
      <w:r>
        <w:rPr>
          <w:color w:val="000000"/>
          <w:kern w:val="0"/>
          <w:szCs w:val="21"/>
        </w:rPr>
        <w:t>(</w:t>
      </w:r>
      <w:r>
        <w:rPr>
          <w:color w:val="000000"/>
          <w:kern w:val="0"/>
          <w:szCs w:val="21"/>
        </w:rPr>
        <w:t>一</w:t>
      </w:r>
      <w:r>
        <w:rPr>
          <w:color w:val="000000"/>
          <w:kern w:val="0"/>
          <w:szCs w:val="21"/>
        </w:rPr>
        <w:t xml:space="preserve">) </w:t>
      </w:r>
      <w:r>
        <w:rPr>
          <w:color w:val="000000"/>
          <w:kern w:val="0"/>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w:t>
      </w:r>
      <w:r>
        <w:rPr>
          <w:color w:val="000000"/>
          <w:kern w:val="0"/>
          <w:szCs w:val="21"/>
        </w:rPr>
        <w:t>报的风险。</w:t>
      </w:r>
    </w:p>
    <w:p w:rsidR="003663E4" w:rsidRDefault="003663E4">
      <w:pPr>
        <w:spacing w:line="360" w:lineRule="auto"/>
        <w:ind w:firstLineChars="200" w:firstLine="420"/>
        <w:rPr>
          <w:color w:val="000000"/>
          <w:szCs w:val="21"/>
        </w:rPr>
      </w:pPr>
    </w:p>
    <w:p w:rsidR="003663E4" w:rsidRDefault="00FD3F7D">
      <w:pPr>
        <w:spacing w:line="360" w:lineRule="auto"/>
        <w:ind w:firstLineChars="200" w:firstLine="420"/>
        <w:rPr>
          <w:color w:val="000000"/>
          <w:szCs w:val="21"/>
        </w:rPr>
      </w:pPr>
      <w:r>
        <w:rPr>
          <w:color w:val="000000"/>
          <w:kern w:val="0"/>
          <w:szCs w:val="21"/>
        </w:rPr>
        <w:t>(</w:t>
      </w:r>
      <w:r>
        <w:rPr>
          <w:color w:val="000000"/>
          <w:kern w:val="0"/>
          <w:szCs w:val="21"/>
        </w:rPr>
        <w:t>二</w:t>
      </w:r>
      <w:r>
        <w:rPr>
          <w:color w:val="000000"/>
          <w:kern w:val="0"/>
          <w:szCs w:val="21"/>
        </w:rPr>
        <w:t xml:space="preserve">) </w:t>
      </w:r>
      <w:r>
        <w:rPr>
          <w:color w:val="000000"/>
          <w:kern w:val="0"/>
          <w:szCs w:val="21"/>
        </w:rPr>
        <w:t>了解与审计相关的内部控制，以设计恰当的审计程序，但目的并非对内部控制的有效性发表意见。</w:t>
      </w:r>
    </w:p>
    <w:p w:rsidR="003663E4" w:rsidRDefault="003663E4">
      <w:pPr>
        <w:spacing w:line="360" w:lineRule="auto"/>
        <w:ind w:firstLineChars="200" w:firstLine="420"/>
        <w:rPr>
          <w:color w:val="000000"/>
          <w:szCs w:val="21"/>
        </w:rPr>
      </w:pPr>
    </w:p>
    <w:p w:rsidR="003663E4" w:rsidRDefault="00FD3F7D">
      <w:pPr>
        <w:spacing w:line="360" w:lineRule="auto"/>
        <w:ind w:firstLineChars="200" w:firstLine="420"/>
        <w:rPr>
          <w:color w:val="000000"/>
          <w:szCs w:val="21"/>
        </w:rPr>
      </w:pPr>
      <w:r>
        <w:rPr>
          <w:color w:val="000000"/>
          <w:kern w:val="0"/>
          <w:szCs w:val="21"/>
        </w:rPr>
        <w:t>(</w:t>
      </w:r>
      <w:r>
        <w:rPr>
          <w:color w:val="000000"/>
          <w:kern w:val="0"/>
          <w:szCs w:val="21"/>
        </w:rPr>
        <w:t>三</w:t>
      </w:r>
      <w:r>
        <w:rPr>
          <w:color w:val="000000"/>
          <w:kern w:val="0"/>
          <w:szCs w:val="21"/>
        </w:rPr>
        <w:t xml:space="preserve">) </w:t>
      </w:r>
      <w:r>
        <w:rPr>
          <w:color w:val="000000"/>
          <w:kern w:val="0"/>
          <w:szCs w:val="21"/>
        </w:rPr>
        <w:t>评价基金管理人管理层选用会计政策的恰当性和作出会计估计及相关披露的合理性。</w:t>
      </w:r>
    </w:p>
    <w:p w:rsidR="003663E4" w:rsidRDefault="003663E4">
      <w:pPr>
        <w:spacing w:line="360" w:lineRule="auto"/>
        <w:ind w:firstLineChars="200" w:firstLine="420"/>
        <w:rPr>
          <w:color w:val="000000"/>
          <w:szCs w:val="21"/>
        </w:rPr>
      </w:pPr>
    </w:p>
    <w:p w:rsidR="003663E4" w:rsidRDefault="00FD3F7D">
      <w:pPr>
        <w:spacing w:line="360" w:lineRule="auto"/>
        <w:ind w:firstLineChars="200" w:firstLine="420"/>
        <w:rPr>
          <w:color w:val="000000"/>
          <w:szCs w:val="21"/>
        </w:rPr>
      </w:pPr>
      <w:r>
        <w:rPr>
          <w:color w:val="000000"/>
          <w:kern w:val="0"/>
          <w:szCs w:val="21"/>
        </w:rPr>
        <w:t>(</w:t>
      </w:r>
      <w:r>
        <w:rPr>
          <w:color w:val="000000"/>
          <w:kern w:val="0"/>
          <w:szCs w:val="21"/>
        </w:rPr>
        <w:t>四</w:t>
      </w:r>
      <w:r>
        <w:rPr>
          <w:color w:val="000000"/>
          <w:kern w:val="0"/>
          <w:szCs w:val="21"/>
        </w:rPr>
        <w:t xml:space="preserve">) </w:t>
      </w:r>
      <w:r>
        <w:rPr>
          <w:color w:val="000000"/>
          <w:kern w:val="0"/>
          <w:szCs w:val="21"/>
        </w:rPr>
        <w:t>对基金管理人管理层使用持续经营假设的恰当性得出结论。同时，根据获取的审计证据，就可能导致对交银裕惠纯债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w:t>
      </w:r>
      <w:r>
        <w:rPr>
          <w:color w:val="000000"/>
          <w:kern w:val="0"/>
          <w:szCs w:val="21"/>
        </w:rPr>
        <w:t>非无保留意见。我们的结论基于截至审计报告日可获得的信息。然而，未来的事项或情况可能导致交银裕惠纯债基金不能持续经营。</w:t>
      </w:r>
    </w:p>
    <w:p w:rsidR="003663E4" w:rsidRDefault="003663E4">
      <w:pPr>
        <w:spacing w:line="360" w:lineRule="auto"/>
        <w:ind w:firstLineChars="200" w:firstLine="420"/>
        <w:rPr>
          <w:color w:val="000000"/>
          <w:szCs w:val="21"/>
        </w:rPr>
      </w:pPr>
    </w:p>
    <w:p w:rsidR="003663E4" w:rsidRDefault="00FD3F7D">
      <w:pPr>
        <w:spacing w:line="360" w:lineRule="auto"/>
        <w:ind w:firstLineChars="200" w:firstLine="420"/>
        <w:rPr>
          <w:color w:val="000000"/>
          <w:szCs w:val="21"/>
        </w:rPr>
      </w:pPr>
      <w:r>
        <w:rPr>
          <w:color w:val="000000"/>
          <w:kern w:val="0"/>
          <w:szCs w:val="21"/>
        </w:rPr>
        <w:t>(</w:t>
      </w:r>
      <w:r>
        <w:rPr>
          <w:color w:val="000000"/>
          <w:kern w:val="0"/>
          <w:szCs w:val="21"/>
        </w:rPr>
        <w:t>五</w:t>
      </w:r>
      <w:r>
        <w:rPr>
          <w:color w:val="000000"/>
          <w:kern w:val="0"/>
          <w:szCs w:val="21"/>
        </w:rPr>
        <w:t xml:space="preserve">) </w:t>
      </w:r>
      <w:r>
        <w:rPr>
          <w:color w:val="000000"/>
          <w:kern w:val="0"/>
          <w:szCs w:val="21"/>
        </w:rPr>
        <w:t>评价财务报表的总体列报</w:t>
      </w:r>
      <w:r>
        <w:rPr>
          <w:color w:val="000000"/>
          <w:kern w:val="0"/>
          <w:szCs w:val="21"/>
        </w:rPr>
        <w:t>(</w:t>
      </w:r>
      <w:r>
        <w:rPr>
          <w:color w:val="000000"/>
          <w:kern w:val="0"/>
          <w:szCs w:val="21"/>
        </w:rPr>
        <w:t>包括披露</w:t>
      </w:r>
      <w:r>
        <w:rPr>
          <w:color w:val="000000"/>
          <w:kern w:val="0"/>
          <w:szCs w:val="21"/>
        </w:rPr>
        <w:t>)</w:t>
      </w:r>
      <w:r>
        <w:rPr>
          <w:color w:val="000000"/>
          <w:kern w:val="0"/>
          <w:szCs w:val="21"/>
        </w:rPr>
        <w:t>、结构和内容，并评价财务报表是否公允反映相关交易和事项。</w:t>
      </w:r>
    </w:p>
    <w:p w:rsidR="003663E4" w:rsidRDefault="003663E4">
      <w:pPr>
        <w:spacing w:line="360" w:lineRule="auto"/>
        <w:ind w:firstLineChars="200" w:firstLine="420"/>
        <w:rPr>
          <w:color w:val="000000"/>
          <w:szCs w:val="21"/>
        </w:rPr>
      </w:pPr>
    </w:p>
    <w:p w:rsidR="003663E4" w:rsidRDefault="00FD3F7D">
      <w:pPr>
        <w:spacing w:line="360" w:lineRule="auto"/>
        <w:ind w:firstLineChars="200" w:firstLine="420"/>
        <w:rPr>
          <w:color w:val="000000"/>
          <w:szCs w:val="21"/>
        </w:rPr>
      </w:pPr>
      <w:r>
        <w:rPr>
          <w:color w:val="000000"/>
          <w:kern w:val="0"/>
          <w:szCs w:val="21"/>
        </w:rPr>
        <w:t>我们与基金管理人治理层就计划的审计范围、时间安排和重大审计发现等事项进行沟通，包括沟通我们在审计中识别出的值得关注的内部控制缺陷。</w:t>
      </w:r>
    </w:p>
    <w:p w:rsidR="003663E4" w:rsidRDefault="00FD3F7D">
      <w:pPr>
        <w:spacing w:beforeLines="100" w:before="312" w:line="360" w:lineRule="auto"/>
        <w:jc w:val="right"/>
        <w:rPr>
          <w:color w:val="000000"/>
          <w:szCs w:val="21"/>
        </w:rPr>
      </w:pPr>
      <w:r>
        <w:rPr>
          <w:color w:val="000000"/>
          <w:kern w:val="0"/>
          <w:szCs w:val="21"/>
        </w:rPr>
        <w:t>普华永道中天会计师事务所（特殊普通合伙）</w:t>
      </w:r>
      <w:r>
        <w:rPr>
          <w:color w:val="000000"/>
          <w:kern w:val="0"/>
          <w:szCs w:val="21"/>
        </w:rPr>
        <w:tab/>
      </w:r>
      <w:r>
        <w:rPr>
          <w:color w:val="000000"/>
          <w:kern w:val="0"/>
          <w:szCs w:val="21"/>
        </w:rPr>
        <w:tab/>
      </w:r>
      <w:r>
        <w:rPr>
          <w:color w:val="000000"/>
          <w:szCs w:val="21"/>
        </w:rPr>
        <w:t>中国注册会计师</w:t>
      </w:r>
    </w:p>
    <w:p w:rsidR="003663E4" w:rsidRDefault="00FD3F7D">
      <w:pPr>
        <w:spacing w:line="360" w:lineRule="auto"/>
        <w:jc w:val="right"/>
        <w:rPr>
          <w:color w:val="000000"/>
          <w:kern w:val="0"/>
          <w:szCs w:val="21"/>
        </w:rPr>
      </w:pPr>
      <w:r>
        <w:rPr>
          <w:color w:val="000000"/>
          <w:kern w:val="0"/>
          <w:szCs w:val="21"/>
        </w:rPr>
        <w:t xml:space="preserve">  </w:t>
      </w:r>
      <w:r>
        <w:rPr>
          <w:color w:val="000000"/>
          <w:kern w:val="0"/>
          <w:szCs w:val="21"/>
        </w:rPr>
        <w:t>童咏静</w:t>
      </w:r>
      <w:r>
        <w:rPr>
          <w:color w:val="000000"/>
          <w:kern w:val="0"/>
          <w:szCs w:val="21"/>
        </w:rPr>
        <w:t xml:space="preserve">  </w:t>
      </w:r>
      <w:r>
        <w:rPr>
          <w:color w:val="000000"/>
          <w:kern w:val="0"/>
          <w:szCs w:val="21"/>
        </w:rPr>
        <w:t>金诗涛</w:t>
      </w:r>
    </w:p>
    <w:p w:rsidR="003663E4" w:rsidRDefault="00FD3F7D">
      <w:pPr>
        <w:widowControl/>
        <w:spacing w:line="360" w:lineRule="auto"/>
        <w:jc w:val="right"/>
        <w:rPr>
          <w:color w:val="000000"/>
          <w:szCs w:val="21"/>
        </w:rPr>
      </w:pPr>
      <w:r>
        <w:rPr>
          <w:color w:val="000000"/>
          <w:kern w:val="0"/>
          <w:szCs w:val="21"/>
        </w:rPr>
        <w:t>上海市湖滨路</w:t>
      </w:r>
      <w:r>
        <w:rPr>
          <w:color w:val="000000"/>
          <w:kern w:val="0"/>
          <w:szCs w:val="21"/>
        </w:rPr>
        <w:t>202</w:t>
      </w:r>
      <w:r>
        <w:rPr>
          <w:color w:val="000000"/>
          <w:kern w:val="0"/>
          <w:szCs w:val="21"/>
        </w:rPr>
        <w:t>号普华永道中心</w:t>
      </w:r>
      <w:r>
        <w:rPr>
          <w:color w:val="000000"/>
          <w:kern w:val="0"/>
          <w:szCs w:val="21"/>
        </w:rPr>
        <w:t>11</w:t>
      </w:r>
      <w:r>
        <w:rPr>
          <w:color w:val="000000"/>
          <w:kern w:val="0"/>
          <w:szCs w:val="21"/>
        </w:rPr>
        <w:t>楼</w:t>
      </w:r>
    </w:p>
    <w:p w:rsidR="003663E4" w:rsidRDefault="00FD3F7D">
      <w:pPr>
        <w:widowControl/>
        <w:spacing w:line="360" w:lineRule="auto"/>
        <w:jc w:val="right"/>
        <w:rPr>
          <w:color w:val="000000"/>
          <w:szCs w:val="21"/>
        </w:rPr>
      </w:pPr>
      <w:r>
        <w:rPr>
          <w:color w:val="000000"/>
          <w:kern w:val="0"/>
          <w:szCs w:val="21"/>
        </w:rPr>
        <w:t>2021</w:t>
      </w:r>
      <w:r>
        <w:rPr>
          <w:color w:val="000000"/>
          <w:kern w:val="0"/>
          <w:szCs w:val="21"/>
        </w:rPr>
        <w:t>年</w:t>
      </w:r>
      <w:r>
        <w:rPr>
          <w:color w:val="000000"/>
          <w:kern w:val="0"/>
          <w:szCs w:val="21"/>
        </w:rPr>
        <w:t>3</w:t>
      </w:r>
      <w:r>
        <w:rPr>
          <w:color w:val="000000"/>
          <w:kern w:val="0"/>
          <w:szCs w:val="21"/>
        </w:rPr>
        <w:t>月</w:t>
      </w:r>
      <w:r>
        <w:rPr>
          <w:color w:val="000000"/>
          <w:kern w:val="0"/>
          <w:szCs w:val="21"/>
        </w:rPr>
        <w:t>26</w:t>
      </w:r>
      <w:r>
        <w:rPr>
          <w:color w:val="000000"/>
          <w:kern w:val="0"/>
          <w:szCs w:val="21"/>
        </w:rPr>
        <w:t>日</w:t>
      </w:r>
    </w:p>
    <w:p w:rsidR="003663E4" w:rsidRDefault="00FD3F7D">
      <w:pPr>
        <w:pStyle w:val="2"/>
        <w:spacing w:before="0" w:after="0"/>
        <w:rPr>
          <w:rFonts w:ascii="Times New Roman" w:eastAsiaTheme="minorEastAsia" w:hAnsi="Times New Roman" w:cs="Times New Roman"/>
          <w:bCs w:val="0"/>
          <w:kern w:val="0"/>
          <w:sz w:val="21"/>
          <w:szCs w:val="21"/>
        </w:rPr>
      </w:pPr>
      <w:bookmarkStart w:id="125" w:name="_Toc508540273"/>
      <w:bookmarkStart w:id="126" w:name="_Toc499640544"/>
      <w:bookmarkStart w:id="127" w:name="_Toc23339369"/>
      <w:bookmarkStart w:id="128" w:name="_Toc14802"/>
      <w:r>
        <w:rPr>
          <w:rFonts w:ascii="Times New Roman" w:eastAsiaTheme="minorEastAsia" w:hAnsi="Times New Roman" w:cs="Times New Roman"/>
          <w:bCs w:val="0"/>
          <w:kern w:val="0"/>
          <w:sz w:val="21"/>
          <w:szCs w:val="21"/>
        </w:rPr>
        <w:t xml:space="preserve">6.2 </w:t>
      </w:r>
      <w:r>
        <w:rPr>
          <w:rFonts w:ascii="Times New Roman" w:eastAsiaTheme="minorEastAsia" w:hAnsi="Times New Roman" w:cs="Times New Roman"/>
          <w:bCs w:val="0"/>
          <w:kern w:val="0"/>
          <w:sz w:val="21"/>
          <w:szCs w:val="21"/>
        </w:rPr>
        <w:t>交银施罗德理财</w:t>
      </w:r>
      <w:r>
        <w:rPr>
          <w:rFonts w:ascii="Times New Roman" w:eastAsiaTheme="minorEastAsia" w:hAnsi="Times New Roman" w:cs="Times New Roman"/>
          <w:bCs w:val="0"/>
          <w:kern w:val="0"/>
          <w:sz w:val="21"/>
          <w:szCs w:val="21"/>
        </w:rPr>
        <w:t>60</w:t>
      </w:r>
      <w:r>
        <w:rPr>
          <w:rFonts w:ascii="Times New Roman" w:eastAsiaTheme="minorEastAsia" w:hAnsi="Times New Roman" w:cs="Times New Roman"/>
          <w:bCs w:val="0"/>
          <w:kern w:val="0"/>
          <w:sz w:val="21"/>
          <w:szCs w:val="21"/>
        </w:rPr>
        <w:t>天债券型证券投资基金</w:t>
      </w:r>
      <w:bookmarkEnd w:id="111"/>
      <w:bookmarkEnd w:id="112"/>
      <w:bookmarkEnd w:id="125"/>
      <w:bookmarkEnd w:id="126"/>
      <w:bookmarkEnd w:id="127"/>
      <w:bookmarkEnd w:id="128"/>
    </w:p>
    <w:p w:rsidR="003663E4" w:rsidRDefault="00FD3F7D">
      <w:pPr>
        <w:widowControl/>
        <w:spacing w:line="360" w:lineRule="auto"/>
        <w:jc w:val="right"/>
        <w:rPr>
          <w:color w:val="000000"/>
          <w:szCs w:val="21"/>
        </w:rPr>
      </w:pPr>
      <w:r>
        <w:rPr>
          <w:color w:val="000000"/>
          <w:kern w:val="0"/>
          <w:szCs w:val="21"/>
        </w:rPr>
        <w:t>普华永道中天审字</w:t>
      </w:r>
      <w:r>
        <w:rPr>
          <w:color w:val="000000"/>
          <w:kern w:val="0"/>
          <w:szCs w:val="21"/>
        </w:rPr>
        <w:t>(2021)</w:t>
      </w:r>
      <w:r>
        <w:rPr>
          <w:color w:val="000000"/>
          <w:kern w:val="0"/>
          <w:szCs w:val="21"/>
        </w:rPr>
        <w:t>第</w:t>
      </w:r>
      <w:r>
        <w:rPr>
          <w:color w:val="000000"/>
          <w:kern w:val="0"/>
          <w:szCs w:val="21"/>
        </w:rPr>
        <w:t>24570</w:t>
      </w:r>
      <w:r>
        <w:rPr>
          <w:color w:val="000000"/>
          <w:kern w:val="0"/>
          <w:szCs w:val="21"/>
        </w:rPr>
        <w:t>号</w:t>
      </w:r>
    </w:p>
    <w:p w:rsidR="003663E4" w:rsidRDefault="00FD3F7D">
      <w:pPr>
        <w:widowControl/>
        <w:spacing w:line="360" w:lineRule="auto"/>
        <w:jc w:val="left"/>
        <w:rPr>
          <w:color w:val="000000"/>
          <w:kern w:val="0"/>
          <w:szCs w:val="21"/>
        </w:rPr>
      </w:pPr>
      <w:r>
        <w:rPr>
          <w:color w:val="000000"/>
          <w:kern w:val="0"/>
          <w:szCs w:val="21"/>
        </w:rPr>
        <w:t>交银施罗德理财</w:t>
      </w:r>
      <w:r>
        <w:rPr>
          <w:color w:val="000000"/>
          <w:kern w:val="0"/>
          <w:szCs w:val="21"/>
        </w:rPr>
        <w:t>60</w:t>
      </w:r>
      <w:r>
        <w:rPr>
          <w:color w:val="000000"/>
          <w:kern w:val="0"/>
          <w:szCs w:val="21"/>
        </w:rPr>
        <w:t>天债券型证券投资基金全体基金份额持有人</w:t>
      </w:r>
      <w:r>
        <w:rPr>
          <w:color w:val="000000"/>
          <w:szCs w:val="21"/>
        </w:rPr>
        <w:t>：</w:t>
      </w:r>
    </w:p>
    <w:p w:rsidR="003663E4" w:rsidRDefault="00FD3F7D">
      <w:pPr>
        <w:pStyle w:val="3"/>
        <w:spacing w:beforeLines="50" w:before="156" w:after="0" w:line="360" w:lineRule="auto"/>
        <w:rPr>
          <w:color w:val="000000"/>
          <w:kern w:val="0"/>
          <w:sz w:val="21"/>
          <w:szCs w:val="21"/>
        </w:rPr>
      </w:pPr>
      <w:bookmarkStart w:id="129" w:name="_Toc508540274"/>
      <w:bookmarkStart w:id="130" w:name="_Toc23339370"/>
      <w:bookmarkStart w:id="131" w:name="_Toc21887"/>
      <w:r>
        <w:rPr>
          <w:color w:val="000000"/>
          <w:kern w:val="0"/>
          <w:sz w:val="21"/>
          <w:szCs w:val="21"/>
        </w:rPr>
        <w:t>6.2.1</w:t>
      </w:r>
      <w:r>
        <w:rPr>
          <w:color w:val="000000"/>
          <w:kern w:val="0"/>
          <w:sz w:val="21"/>
          <w:szCs w:val="21"/>
        </w:rPr>
        <w:t>审计意见</w:t>
      </w:r>
      <w:bookmarkEnd w:id="129"/>
      <w:bookmarkEnd w:id="130"/>
      <w:bookmarkEnd w:id="131"/>
    </w:p>
    <w:p w:rsidR="003663E4" w:rsidRDefault="00FD3F7D">
      <w:pPr>
        <w:widowControl/>
        <w:spacing w:line="360" w:lineRule="auto"/>
        <w:ind w:firstLine="420"/>
        <w:rPr>
          <w:color w:val="000000"/>
          <w:kern w:val="0"/>
          <w:szCs w:val="21"/>
        </w:rPr>
      </w:pPr>
      <w:r>
        <w:rPr>
          <w:color w:val="000000"/>
          <w:kern w:val="0"/>
          <w:szCs w:val="21"/>
        </w:rPr>
        <w:t>(</w:t>
      </w:r>
      <w:r>
        <w:rPr>
          <w:color w:val="000000"/>
          <w:kern w:val="0"/>
          <w:szCs w:val="21"/>
        </w:rPr>
        <w:t>一</w:t>
      </w:r>
      <w:r>
        <w:rPr>
          <w:color w:val="000000"/>
          <w:kern w:val="0"/>
          <w:szCs w:val="21"/>
        </w:rPr>
        <w:t xml:space="preserve">) </w:t>
      </w:r>
      <w:r>
        <w:rPr>
          <w:color w:val="000000"/>
          <w:kern w:val="0"/>
          <w:szCs w:val="21"/>
        </w:rPr>
        <w:t>我们审计的内容</w:t>
      </w:r>
    </w:p>
    <w:p w:rsidR="003663E4" w:rsidRDefault="00FD3F7D">
      <w:pPr>
        <w:widowControl/>
        <w:spacing w:line="360" w:lineRule="auto"/>
        <w:ind w:firstLine="420"/>
        <w:rPr>
          <w:color w:val="000000"/>
          <w:kern w:val="0"/>
          <w:szCs w:val="21"/>
        </w:rPr>
      </w:pPr>
      <w:r>
        <w:rPr>
          <w:color w:val="000000"/>
          <w:kern w:val="0"/>
          <w:szCs w:val="21"/>
        </w:rPr>
        <w:t>我们审计了交银施罗德理财</w:t>
      </w:r>
      <w:r>
        <w:rPr>
          <w:color w:val="000000"/>
          <w:kern w:val="0"/>
          <w:szCs w:val="21"/>
        </w:rPr>
        <w:t>60</w:t>
      </w:r>
      <w:r>
        <w:rPr>
          <w:color w:val="000000"/>
          <w:kern w:val="0"/>
          <w:szCs w:val="21"/>
        </w:rPr>
        <w:t>天债券型证券投资基金</w:t>
      </w:r>
      <w:r>
        <w:rPr>
          <w:color w:val="000000"/>
          <w:kern w:val="0"/>
          <w:szCs w:val="21"/>
        </w:rPr>
        <w:t>(</w:t>
      </w:r>
      <w:r>
        <w:rPr>
          <w:color w:val="000000"/>
          <w:kern w:val="0"/>
          <w:szCs w:val="21"/>
        </w:rPr>
        <w:t>以下简称</w:t>
      </w:r>
      <w:r>
        <w:rPr>
          <w:color w:val="000000"/>
          <w:kern w:val="0"/>
          <w:szCs w:val="21"/>
        </w:rPr>
        <w:t>“</w:t>
      </w:r>
      <w:r>
        <w:rPr>
          <w:color w:val="000000"/>
          <w:kern w:val="0"/>
          <w:szCs w:val="21"/>
        </w:rPr>
        <w:t>交银理财</w:t>
      </w:r>
      <w:r>
        <w:rPr>
          <w:color w:val="000000"/>
          <w:kern w:val="0"/>
          <w:szCs w:val="21"/>
        </w:rPr>
        <w:t>60</w:t>
      </w:r>
      <w:r>
        <w:rPr>
          <w:color w:val="000000"/>
          <w:kern w:val="0"/>
          <w:szCs w:val="21"/>
        </w:rPr>
        <w:t>天债券基金</w:t>
      </w:r>
      <w:r>
        <w:rPr>
          <w:color w:val="000000"/>
          <w:kern w:val="0"/>
          <w:szCs w:val="21"/>
        </w:rPr>
        <w:t>”)</w:t>
      </w:r>
      <w:r>
        <w:rPr>
          <w:color w:val="000000"/>
          <w:kern w:val="0"/>
          <w:szCs w:val="21"/>
        </w:rPr>
        <w:t>的财务报表，包括</w:t>
      </w:r>
      <w:r>
        <w:rPr>
          <w:color w:val="000000"/>
          <w:kern w:val="0"/>
          <w:szCs w:val="21"/>
        </w:rPr>
        <w:t>2020</w:t>
      </w:r>
      <w:r>
        <w:rPr>
          <w:color w:val="000000"/>
          <w:kern w:val="0"/>
          <w:szCs w:val="21"/>
        </w:rPr>
        <w:t>年</w:t>
      </w:r>
      <w:r>
        <w:rPr>
          <w:color w:val="000000"/>
          <w:kern w:val="0"/>
          <w:szCs w:val="21"/>
        </w:rPr>
        <w:t>7</w:t>
      </w:r>
      <w:r>
        <w:rPr>
          <w:color w:val="000000"/>
          <w:kern w:val="0"/>
          <w:szCs w:val="21"/>
        </w:rPr>
        <w:t>月</w:t>
      </w:r>
      <w:r>
        <w:rPr>
          <w:color w:val="000000"/>
          <w:kern w:val="0"/>
          <w:szCs w:val="21"/>
        </w:rPr>
        <w:t>27</w:t>
      </w:r>
      <w:r>
        <w:rPr>
          <w:color w:val="000000"/>
          <w:kern w:val="0"/>
          <w:szCs w:val="21"/>
        </w:rPr>
        <w:t>日</w:t>
      </w:r>
      <w:r>
        <w:rPr>
          <w:color w:val="000000"/>
          <w:kern w:val="0"/>
          <w:szCs w:val="21"/>
        </w:rPr>
        <w:t>(</w:t>
      </w:r>
      <w:r>
        <w:rPr>
          <w:color w:val="000000"/>
          <w:kern w:val="0"/>
          <w:szCs w:val="21"/>
        </w:rPr>
        <w:t>基金合同失效前日</w:t>
      </w:r>
      <w:r>
        <w:rPr>
          <w:color w:val="000000"/>
          <w:kern w:val="0"/>
          <w:szCs w:val="21"/>
        </w:rPr>
        <w:t>)</w:t>
      </w:r>
      <w:r>
        <w:rPr>
          <w:color w:val="000000"/>
          <w:kern w:val="0"/>
          <w:szCs w:val="21"/>
        </w:rPr>
        <w:t>的资产负债表，</w:t>
      </w:r>
      <w:r>
        <w:rPr>
          <w:color w:val="000000"/>
          <w:kern w:val="0"/>
          <w:szCs w:val="21"/>
        </w:rPr>
        <w:t>2020</w:t>
      </w:r>
      <w:r>
        <w:rPr>
          <w:color w:val="000000"/>
          <w:kern w:val="0"/>
          <w:szCs w:val="21"/>
        </w:rPr>
        <w:t>年</w:t>
      </w:r>
      <w:r>
        <w:rPr>
          <w:color w:val="000000"/>
          <w:kern w:val="0"/>
          <w:szCs w:val="21"/>
        </w:rPr>
        <w:t>1</w:t>
      </w:r>
      <w:r>
        <w:rPr>
          <w:color w:val="000000"/>
          <w:kern w:val="0"/>
          <w:szCs w:val="21"/>
        </w:rPr>
        <w:t>月</w:t>
      </w:r>
      <w:r>
        <w:rPr>
          <w:color w:val="000000"/>
          <w:kern w:val="0"/>
          <w:szCs w:val="21"/>
        </w:rPr>
        <w:t>1</w:t>
      </w:r>
      <w:r>
        <w:rPr>
          <w:color w:val="000000"/>
          <w:kern w:val="0"/>
          <w:szCs w:val="21"/>
        </w:rPr>
        <w:t>日至</w:t>
      </w:r>
      <w:r>
        <w:rPr>
          <w:color w:val="000000"/>
          <w:kern w:val="0"/>
          <w:szCs w:val="21"/>
        </w:rPr>
        <w:t>2020</w:t>
      </w:r>
      <w:r>
        <w:rPr>
          <w:color w:val="000000"/>
          <w:kern w:val="0"/>
          <w:szCs w:val="21"/>
        </w:rPr>
        <w:t>年</w:t>
      </w:r>
      <w:r>
        <w:rPr>
          <w:color w:val="000000"/>
          <w:kern w:val="0"/>
          <w:szCs w:val="21"/>
        </w:rPr>
        <w:t>7</w:t>
      </w:r>
      <w:r>
        <w:rPr>
          <w:color w:val="000000"/>
          <w:kern w:val="0"/>
          <w:szCs w:val="21"/>
        </w:rPr>
        <w:t>月</w:t>
      </w:r>
      <w:r>
        <w:rPr>
          <w:color w:val="000000"/>
          <w:kern w:val="0"/>
          <w:szCs w:val="21"/>
        </w:rPr>
        <w:t>27</w:t>
      </w:r>
      <w:r>
        <w:rPr>
          <w:color w:val="000000"/>
          <w:kern w:val="0"/>
          <w:szCs w:val="21"/>
        </w:rPr>
        <w:t>日</w:t>
      </w:r>
      <w:r>
        <w:rPr>
          <w:color w:val="000000"/>
          <w:kern w:val="0"/>
          <w:szCs w:val="21"/>
        </w:rPr>
        <w:t>(</w:t>
      </w:r>
      <w:r>
        <w:rPr>
          <w:color w:val="000000"/>
          <w:kern w:val="0"/>
          <w:szCs w:val="21"/>
        </w:rPr>
        <w:t>基金合同失效前日</w:t>
      </w:r>
      <w:r>
        <w:rPr>
          <w:color w:val="000000"/>
          <w:kern w:val="0"/>
          <w:szCs w:val="21"/>
        </w:rPr>
        <w:t>)</w:t>
      </w:r>
      <w:r>
        <w:rPr>
          <w:color w:val="000000"/>
          <w:kern w:val="0"/>
          <w:szCs w:val="21"/>
        </w:rPr>
        <w:t>止期间的的利润表和所有者权益</w:t>
      </w:r>
      <w:r>
        <w:rPr>
          <w:color w:val="000000"/>
          <w:kern w:val="0"/>
          <w:szCs w:val="21"/>
        </w:rPr>
        <w:t>(</w:t>
      </w:r>
      <w:r>
        <w:rPr>
          <w:color w:val="000000"/>
          <w:kern w:val="0"/>
          <w:szCs w:val="21"/>
        </w:rPr>
        <w:t>基金净值</w:t>
      </w:r>
      <w:r>
        <w:rPr>
          <w:color w:val="000000"/>
          <w:kern w:val="0"/>
          <w:szCs w:val="21"/>
        </w:rPr>
        <w:t>)</w:t>
      </w:r>
      <w:r>
        <w:rPr>
          <w:color w:val="000000"/>
          <w:kern w:val="0"/>
          <w:szCs w:val="21"/>
        </w:rPr>
        <w:t>变动表以及财务报表附注。</w:t>
      </w:r>
    </w:p>
    <w:p w:rsidR="003663E4" w:rsidRDefault="003663E4">
      <w:pPr>
        <w:widowControl/>
        <w:spacing w:line="360" w:lineRule="auto"/>
        <w:ind w:firstLine="420"/>
        <w:rPr>
          <w:color w:val="000000"/>
          <w:kern w:val="0"/>
          <w:szCs w:val="21"/>
        </w:rPr>
      </w:pPr>
    </w:p>
    <w:p w:rsidR="003663E4" w:rsidRDefault="00FD3F7D">
      <w:pPr>
        <w:widowControl/>
        <w:spacing w:line="360" w:lineRule="auto"/>
        <w:ind w:firstLine="420"/>
        <w:rPr>
          <w:color w:val="000000"/>
          <w:kern w:val="0"/>
          <w:szCs w:val="21"/>
        </w:rPr>
      </w:pPr>
      <w:r>
        <w:rPr>
          <w:color w:val="000000"/>
          <w:kern w:val="0"/>
          <w:szCs w:val="21"/>
        </w:rPr>
        <w:t>(</w:t>
      </w:r>
      <w:r>
        <w:rPr>
          <w:color w:val="000000"/>
          <w:kern w:val="0"/>
          <w:szCs w:val="21"/>
        </w:rPr>
        <w:t>二</w:t>
      </w:r>
      <w:r>
        <w:rPr>
          <w:color w:val="000000"/>
          <w:kern w:val="0"/>
          <w:szCs w:val="21"/>
        </w:rPr>
        <w:t xml:space="preserve">) </w:t>
      </w:r>
      <w:r>
        <w:rPr>
          <w:color w:val="000000"/>
          <w:kern w:val="0"/>
          <w:szCs w:val="21"/>
        </w:rPr>
        <w:t>我们的意见</w:t>
      </w:r>
    </w:p>
    <w:p w:rsidR="003663E4" w:rsidRDefault="00FD3F7D">
      <w:pPr>
        <w:widowControl/>
        <w:spacing w:line="360" w:lineRule="auto"/>
        <w:ind w:firstLine="420"/>
        <w:rPr>
          <w:color w:val="000000"/>
          <w:kern w:val="0"/>
          <w:szCs w:val="21"/>
        </w:rPr>
      </w:pPr>
      <w:r>
        <w:rPr>
          <w:color w:val="000000"/>
          <w:kern w:val="0"/>
          <w:szCs w:val="21"/>
        </w:rPr>
        <w:t>我们认为，后附的财务报表在所有重大方面按照企业会计准则和在财务报表附注中所列示的中国证券监督管理委员会</w:t>
      </w:r>
      <w:r>
        <w:rPr>
          <w:color w:val="000000"/>
          <w:kern w:val="0"/>
          <w:szCs w:val="21"/>
        </w:rPr>
        <w:t>(</w:t>
      </w:r>
      <w:r>
        <w:rPr>
          <w:color w:val="000000"/>
          <w:kern w:val="0"/>
          <w:szCs w:val="21"/>
        </w:rPr>
        <w:t>以下简称</w:t>
      </w:r>
      <w:r>
        <w:rPr>
          <w:color w:val="000000"/>
          <w:kern w:val="0"/>
          <w:szCs w:val="21"/>
        </w:rPr>
        <w:t>“</w:t>
      </w:r>
      <w:r>
        <w:rPr>
          <w:color w:val="000000"/>
          <w:kern w:val="0"/>
          <w:szCs w:val="21"/>
        </w:rPr>
        <w:t>中国证监会</w:t>
      </w:r>
      <w:r>
        <w:rPr>
          <w:color w:val="000000"/>
          <w:kern w:val="0"/>
          <w:szCs w:val="21"/>
        </w:rPr>
        <w:t>”)</w:t>
      </w:r>
      <w:r>
        <w:rPr>
          <w:color w:val="000000"/>
          <w:kern w:val="0"/>
          <w:szCs w:val="21"/>
        </w:rPr>
        <w:t>、中国证券投资基金业协会</w:t>
      </w:r>
      <w:r>
        <w:rPr>
          <w:color w:val="000000"/>
          <w:kern w:val="0"/>
          <w:szCs w:val="21"/>
        </w:rPr>
        <w:t>(</w:t>
      </w:r>
      <w:r>
        <w:rPr>
          <w:color w:val="000000"/>
          <w:kern w:val="0"/>
          <w:szCs w:val="21"/>
        </w:rPr>
        <w:t>以下简称</w:t>
      </w:r>
      <w:r>
        <w:rPr>
          <w:color w:val="000000"/>
          <w:kern w:val="0"/>
          <w:szCs w:val="21"/>
        </w:rPr>
        <w:t>“</w:t>
      </w:r>
      <w:r>
        <w:rPr>
          <w:color w:val="000000"/>
          <w:kern w:val="0"/>
          <w:szCs w:val="21"/>
        </w:rPr>
        <w:t>中国基金业协会</w:t>
      </w:r>
      <w:r>
        <w:rPr>
          <w:color w:val="000000"/>
          <w:kern w:val="0"/>
          <w:szCs w:val="21"/>
        </w:rPr>
        <w:t>”)</w:t>
      </w:r>
      <w:r>
        <w:rPr>
          <w:color w:val="000000"/>
          <w:kern w:val="0"/>
          <w:szCs w:val="21"/>
        </w:rPr>
        <w:t>发布的有关规定及允许的基金行业实务操作编制，公允反映了交银理财</w:t>
      </w:r>
      <w:r>
        <w:rPr>
          <w:color w:val="000000"/>
          <w:kern w:val="0"/>
          <w:szCs w:val="21"/>
        </w:rPr>
        <w:t>60</w:t>
      </w:r>
      <w:r>
        <w:rPr>
          <w:color w:val="000000"/>
          <w:kern w:val="0"/>
          <w:szCs w:val="21"/>
        </w:rPr>
        <w:t>天债券基金</w:t>
      </w:r>
      <w:r>
        <w:rPr>
          <w:color w:val="000000"/>
          <w:kern w:val="0"/>
          <w:szCs w:val="21"/>
        </w:rPr>
        <w:t>2020</w:t>
      </w:r>
      <w:r>
        <w:rPr>
          <w:color w:val="000000"/>
          <w:kern w:val="0"/>
          <w:szCs w:val="21"/>
        </w:rPr>
        <w:t>年</w:t>
      </w:r>
      <w:r>
        <w:rPr>
          <w:color w:val="000000"/>
          <w:kern w:val="0"/>
          <w:szCs w:val="21"/>
        </w:rPr>
        <w:t>7</w:t>
      </w:r>
      <w:r>
        <w:rPr>
          <w:color w:val="000000"/>
          <w:kern w:val="0"/>
          <w:szCs w:val="21"/>
        </w:rPr>
        <w:t>月</w:t>
      </w:r>
      <w:r>
        <w:rPr>
          <w:color w:val="000000"/>
          <w:kern w:val="0"/>
          <w:szCs w:val="21"/>
        </w:rPr>
        <w:t>27</w:t>
      </w:r>
      <w:r>
        <w:rPr>
          <w:color w:val="000000"/>
          <w:kern w:val="0"/>
          <w:szCs w:val="21"/>
        </w:rPr>
        <w:t>日</w:t>
      </w:r>
      <w:r>
        <w:rPr>
          <w:color w:val="000000"/>
          <w:kern w:val="0"/>
          <w:szCs w:val="21"/>
        </w:rPr>
        <w:t>(</w:t>
      </w:r>
      <w:r>
        <w:rPr>
          <w:color w:val="000000"/>
          <w:kern w:val="0"/>
          <w:szCs w:val="21"/>
        </w:rPr>
        <w:t>基金合同失效前日</w:t>
      </w:r>
      <w:r>
        <w:rPr>
          <w:color w:val="000000"/>
          <w:kern w:val="0"/>
          <w:szCs w:val="21"/>
        </w:rPr>
        <w:t>)</w:t>
      </w:r>
      <w:r>
        <w:rPr>
          <w:color w:val="000000"/>
          <w:kern w:val="0"/>
          <w:szCs w:val="21"/>
        </w:rPr>
        <w:t>的财务状况以及</w:t>
      </w:r>
      <w:r>
        <w:rPr>
          <w:color w:val="000000"/>
          <w:kern w:val="0"/>
          <w:szCs w:val="21"/>
        </w:rPr>
        <w:t>2020</w:t>
      </w:r>
      <w:r>
        <w:rPr>
          <w:color w:val="000000"/>
          <w:kern w:val="0"/>
          <w:szCs w:val="21"/>
        </w:rPr>
        <w:t>年</w:t>
      </w:r>
      <w:r>
        <w:rPr>
          <w:color w:val="000000"/>
          <w:kern w:val="0"/>
          <w:szCs w:val="21"/>
        </w:rPr>
        <w:t>1</w:t>
      </w:r>
      <w:r>
        <w:rPr>
          <w:color w:val="000000"/>
          <w:kern w:val="0"/>
          <w:szCs w:val="21"/>
        </w:rPr>
        <w:t>月</w:t>
      </w:r>
      <w:r>
        <w:rPr>
          <w:color w:val="000000"/>
          <w:kern w:val="0"/>
          <w:szCs w:val="21"/>
        </w:rPr>
        <w:t>1</w:t>
      </w:r>
      <w:r>
        <w:rPr>
          <w:color w:val="000000"/>
          <w:kern w:val="0"/>
          <w:szCs w:val="21"/>
        </w:rPr>
        <w:t>日至</w:t>
      </w:r>
      <w:r>
        <w:rPr>
          <w:color w:val="000000"/>
          <w:kern w:val="0"/>
          <w:szCs w:val="21"/>
        </w:rPr>
        <w:t>2020</w:t>
      </w:r>
      <w:r>
        <w:rPr>
          <w:color w:val="000000"/>
          <w:kern w:val="0"/>
          <w:szCs w:val="21"/>
        </w:rPr>
        <w:t>年</w:t>
      </w:r>
      <w:r>
        <w:rPr>
          <w:color w:val="000000"/>
          <w:kern w:val="0"/>
          <w:szCs w:val="21"/>
        </w:rPr>
        <w:t>7</w:t>
      </w:r>
      <w:r>
        <w:rPr>
          <w:color w:val="000000"/>
          <w:kern w:val="0"/>
          <w:szCs w:val="21"/>
        </w:rPr>
        <w:t>月</w:t>
      </w:r>
      <w:r>
        <w:rPr>
          <w:color w:val="000000"/>
          <w:kern w:val="0"/>
          <w:szCs w:val="21"/>
        </w:rPr>
        <w:t>27</w:t>
      </w:r>
      <w:r>
        <w:rPr>
          <w:color w:val="000000"/>
          <w:kern w:val="0"/>
          <w:szCs w:val="21"/>
        </w:rPr>
        <w:t>日</w:t>
      </w:r>
      <w:r>
        <w:rPr>
          <w:color w:val="000000"/>
          <w:kern w:val="0"/>
          <w:szCs w:val="21"/>
        </w:rPr>
        <w:t>(</w:t>
      </w:r>
      <w:r>
        <w:rPr>
          <w:color w:val="000000"/>
          <w:kern w:val="0"/>
          <w:szCs w:val="21"/>
        </w:rPr>
        <w:t>基金合同失效前日</w:t>
      </w:r>
      <w:r>
        <w:rPr>
          <w:color w:val="000000"/>
          <w:kern w:val="0"/>
          <w:szCs w:val="21"/>
        </w:rPr>
        <w:t>)</w:t>
      </w:r>
      <w:r>
        <w:rPr>
          <w:color w:val="000000"/>
          <w:kern w:val="0"/>
          <w:szCs w:val="21"/>
        </w:rPr>
        <w:t>止期间的的经营成果和基金净值变动情况。</w:t>
      </w:r>
    </w:p>
    <w:p w:rsidR="003663E4" w:rsidRDefault="00FD3F7D">
      <w:pPr>
        <w:pStyle w:val="3"/>
        <w:spacing w:beforeLines="50" w:before="156" w:after="0" w:line="360" w:lineRule="auto"/>
        <w:rPr>
          <w:color w:val="000000"/>
          <w:kern w:val="0"/>
          <w:sz w:val="21"/>
          <w:szCs w:val="21"/>
        </w:rPr>
      </w:pPr>
      <w:bookmarkStart w:id="132" w:name="_Toc508540275"/>
      <w:bookmarkStart w:id="133" w:name="_Toc23339371"/>
      <w:bookmarkStart w:id="134" w:name="_Toc8584"/>
      <w:r>
        <w:rPr>
          <w:color w:val="000000"/>
          <w:kern w:val="0"/>
          <w:sz w:val="21"/>
          <w:szCs w:val="21"/>
        </w:rPr>
        <w:t>6.2.2</w:t>
      </w:r>
      <w:r>
        <w:rPr>
          <w:rFonts w:hint="eastAsia"/>
          <w:color w:val="000000"/>
          <w:kern w:val="0"/>
          <w:sz w:val="21"/>
          <w:szCs w:val="21"/>
        </w:rPr>
        <w:t>形成审计意见的基础</w:t>
      </w:r>
      <w:bookmarkEnd w:id="132"/>
      <w:bookmarkEnd w:id="133"/>
      <w:bookmarkEnd w:id="134"/>
    </w:p>
    <w:p w:rsidR="003663E4" w:rsidRDefault="00FD3F7D">
      <w:pPr>
        <w:spacing w:line="360" w:lineRule="auto"/>
        <w:ind w:firstLineChars="200" w:firstLine="420"/>
        <w:rPr>
          <w:color w:val="000000"/>
          <w:szCs w:val="21"/>
        </w:rPr>
      </w:pPr>
      <w:r>
        <w:rPr>
          <w:color w:val="000000"/>
          <w:kern w:val="0"/>
          <w:szCs w:val="21"/>
        </w:rPr>
        <w:t>我们按照中国注册会计师审计准则的规定执行了审计工作。审计报告的</w:t>
      </w:r>
      <w:r>
        <w:rPr>
          <w:color w:val="000000"/>
          <w:kern w:val="0"/>
          <w:szCs w:val="21"/>
        </w:rPr>
        <w:t>“</w:t>
      </w:r>
      <w:r>
        <w:rPr>
          <w:color w:val="000000"/>
          <w:kern w:val="0"/>
          <w:szCs w:val="21"/>
        </w:rPr>
        <w:t>注册会</w:t>
      </w:r>
      <w:r>
        <w:rPr>
          <w:color w:val="000000"/>
          <w:kern w:val="0"/>
          <w:szCs w:val="21"/>
        </w:rPr>
        <w:t>计师对财务报表审计的责任</w:t>
      </w:r>
      <w:r>
        <w:rPr>
          <w:color w:val="000000"/>
          <w:kern w:val="0"/>
          <w:szCs w:val="21"/>
        </w:rPr>
        <w:t>”</w:t>
      </w:r>
      <w:r>
        <w:rPr>
          <w:color w:val="000000"/>
          <w:kern w:val="0"/>
          <w:szCs w:val="21"/>
        </w:rPr>
        <w:t>部分进一步阐述了我们在这些准则下的责任。我们相信，我们获取的审计证据是充分、适当的，为发表审计意见提供了基础。</w:t>
      </w:r>
    </w:p>
    <w:p w:rsidR="003663E4" w:rsidRDefault="003663E4">
      <w:pPr>
        <w:spacing w:line="360" w:lineRule="auto"/>
        <w:ind w:firstLineChars="200" w:firstLine="420"/>
        <w:rPr>
          <w:color w:val="000000"/>
          <w:szCs w:val="21"/>
        </w:rPr>
      </w:pPr>
    </w:p>
    <w:p w:rsidR="003663E4" w:rsidRDefault="00FD3F7D">
      <w:pPr>
        <w:spacing w:line="360" w:lineRule="auto"/>
        <w:ind w:firstLineChars="200" w:firstLine="420"/>
        <w:rPr>
          <w:color w:val="000000"/>
          <w:szCs w:val="21"/>
        </w:rPr>
      </w:pPr>
      <w:r>
        <w:rPr>
          <w:color w:val="000000"/>
          <w:kern w:val="0"/>
          <w:szCs w:val="21"/>
        </w:rPr>
        <w:t>按照中国注册会计师职业道德守则，我们独立于交银理财</w:t>
      </w:r>
      <w:r>
        <w:rPr>
          <w:color w:val="000000"/>
          <w:kern w:val="0"/>
          <w:szCs w:val="21"/>
        </w:rPr>
        <w:t>60</w:t>
      </w:r>
      <w:r>
        <w:rPr>
          <w:color w:val="000000"/>
          <w:kern w:val="0"/>
          <w:szCs w:val="21"/>
        </w:rPr>
        <w:t>天债券基金，并履行了职业道德方面的其他责任。</w:t>
      </w:r>
    </w:p>
    <w:p w:rsidR="003663E4" w:rsidRDefault="00FD3F7D">
      <w:pPr>
        <w:pStyle w:val="3"/>
        <w:spacing w:beforeLines="50" w:before="156" w:after="0" w:line="360" w:lineRule="auto"/>
        <w:rPr>
          <w:color w:val="000000"/>
          <w:kern w:val="0"/>
          <w:sz w:val="21"/>
          <w:szCs w:val="21"/>
        </w:rPr>
      </w:pPr>
      <w:bookmarkStart w:id="135" w:name="_Toc508540279"/>
      <w:bookmarkStart w:id="136" w:name="_Toc23339375"/>
      <w:bookmarkStart w:id="137" w:name="_Toc6897"/>
      <w:r>
        <w:rPr>
          <w:color w:val="000000"/>
          <w:kern w:val="0"/>
          <w:sz w:val="21"/>
          <w:szCs w:val="21"/>
        </w:rPr>
        <w:t>6.2.3</w:t>
      </w:r>
      <w:bookmarkEnd w:id="135"/>
      <w:bookmarkEnd w:id="136"/>
      <w:r>
        <w:rPr>
          <w:rFonts w:hint="eastAsia"/>
          <w:color w:val="000000"/>
          <w:kern w:val="0"/>
          <w:sz w:val="21"/>
          <w:szCs w:val="21"/>
        </w:rPr>
        <w:t>管理层和治理层对财务报表的责任</w:t>
      </w:r>
      <w:bookmarkEnd w:id="137"/>
    </w:p>
    <w:p w:rsidR="003663E4" w:rsidRDefault="00FD3F7D">
      <w:pPr>
        <w:spacing w:line="360" w:lineRule="auto"/>
        <w:ind w:firstLineChars="200" w:firstLine="420"/>
        <w:rPr>
          <w:color w:val="000000"/>
          <w:szCs w:val="21"/>
        </w:rPr>
      </w:pPr>
      <w:r>
        <w:rPr>
          <w:color w:val="000000"/>
          <w:kern w:val="0"/>
          <w:szCs w:val="21"/>
        </w:rPr>
        <w:t>交银理财</w:t>
      </w:r>
      <w:r>
        <w:rPr>
          <w:color w:val="000000"/>
          <w:kern w:val="0"/>
          <w:szCs w:val="21"/>
        </w:rPr>
        <w:t>60</w:t>
      </w:r>
      <w:r>
        <w:rPr>
          <w:color w:val="000000"/>
          <w:kern w:val="0"/>
          <w:szCs w:val="21"/>
        </w:rPr>
        <w:t>天债券基金的基金管理人交银施罗德基金管理有限公司</w:t>
      </w:r>
      <w:r>
        <w:rPr>
          <w:color w:val="000000"/>
          <w:kern w:val="0"/>
          <w:szCs w:val="21"/>
        </w:rPr>
        <w:t>(</w:t>
      </w:r>
      <w:r>
        <w:rPr>
          <w:color w:val="000000"/>
          <w:kern w:val="0"/>
          <w:szCs w:val="21"/>
        </w:rPr>
        <w:t>以下简称</w:t>
      </w:r>
      <w:r>
        <w:rPr>
          <w:color w:val="000000"/>
          <w:kern w:val="0"/>
          <w:szCs w:val="21"/>
        </w:rPr>
        <w:t>“</w:t>
      </w:r>
      <w:r>
        <w:rPr>
          <w:color w:val="000000"/>
          <w:kern w:val="0"/>
          <w:szCs w:val="21"/>
        </w:rPr>
        <w:t>基金管理人</w:t>
      </w:r>
      <w:r>
        <w:rPr>
          <w:color w:val="000000"/>
          <w:kern w:val="0"/>
          <w:szCs w:val="21"/>
        </w:rPr>
        <w:t>”)</w:t>
      </w:r>
      <w:r>
        <w:rPr>
          <w:color w:val="000000"/>
          <w:kern w:val="0"/>
          <w:szCs w:val="21"/>
        </w:rPr>
        <w:t>管理层负责按照企业会计准则和中国证监会、中国基金业协会发布的有关规定及允许的基金行业实务操作编制财务报表，使其实现公允反映，并设计、执行和维护必</w:t>
      </w:r>
      <w:r>
        <w:rPr>
          <w:color w:val="000000"/>
          <w:kern w:val="0"/>
          <w:szCs w:val="21"/>
        </w:rPr>
        <w:t>要的内部控制，以使财务报表不存在由于舞弊或错误导致的重大错报。</w:t>
      </w:r>
    </w:p>
    <w:p w:rsidR="003663E4" w:rsidRDefault="003663E4">
      <w:pPr>
        <w:spacing w:line="360" w:lineRule="auto"/>
        <w:ind w:firstLineChars="200" w:firstLine="420"/>
        <w:rPr>
          <w:color w:val="000000"/>
          <w:szCs w:val="21"/>
        </w:rPr>
      </w:pPr>
    </w:p>
    <w:p w:rsidR="003663E4" w:rsidRDefault="00FD3F7D">
      <w:pPr>
        <w:spacing w:line="360" w:lineRule="auto"/>
        <w:ind w:firstLineChars="200" w:firstLine="420"/>
        <w:rPr>
          <w:color w:val="000000"/>
          <w:szCs w:val="21"/>
        </w:rPr>
      </w:pPr>
      <w:r>
        <w:rPr>
          <w:color w:val="000000"/>
          <w:kern w:val="0"/>
          <w:szCs w:val="21"/>
        </w:rPr>
        <w:t>在编制财务报表时，基金管理人管理层负责评估交银理财</w:t>
      </w:r>
      <w:r>
        <w:rPr>
          <w:color w:val="000000"/>
          <w:kern w:val="0"/>
          <w:szCs w:val="21"/>
        </w:rPr>
        <w:t>60</w:t>
      </w:r>
      <w:r>
        <w:rPr>
          <w:color w:val="000000"/>
          <w:kern w:val="0"/>
          <w:szCs w:val="21"/>
        </w:rPr>
        <w:t>天债券基金的持续经营能力，披露与持续经营相关的事项</w:t>
      </w:r>
      <w:r>
        <w:rPr>
          <w:color w:val="000000"/>
          <w:kern w:val="0"/>
          <w:szCs w:val="21"/>
        </w:rPr>
        <w:t>(</w:t>
      </w:r>
      <w:r>
        <w:rPr>
          <w:color w:val="000000"/>
          <w:kern w:val="0"/>
          <w:szCs w:val="21"/>
        </w:rPr>
        <w:t>如适用</w:t>
      </w:r>
      <w:r>
        <w:rPr>
          <w:color w:val="000000"/>
          <w:kern w:val="0"/>
          <w:szCs w:val="21"/>
        </w:rPr>
        <w:t>)</w:t>
      </w:r>
      <w:r>
        <w:rPr>
          <w:color w:val="000000"/>
          <w:kern w:val="0"/>
          <w:szCs w:val="21"/>
        </w:rPr>
        <w:t>，并运用持续经营假设，除非基金管理人管理层计划清算交银理财</w:t>
      </w:r>
      <w:r>
        <w:rPr>
          <w:color w:val="000000"/>
          <w:kern w:val="0"/>
          <w:szCs w:val="21"/>
        </w:rPr>
        <w:t>60</w:t>
      </w:r>
      <w:r>
        <w:rPr>
          <w:color w:val="000000"/>
          <w:kern w:val="0"/>
          <w:szCs w:val="21"/>
        </w:rPr>
        <w:t>天债券基金、终止运营或别无其他现实的选择。</w:t>
      </w:r>
    </w:p>
    <w:p w:rsidR="003663E4" w:rsidRDefault="003663E4">
      <w:pPr>
        <w:spacing w:line="360" w:lineRule="auto"/>
        <w:ind w:firstLineChars="200" w:firstLine="420"/>
        <w:rPr>
          <w:color w:val="000000"/>
          <w:szCs w:val="21"/>
        </w:rPr>
      </w:pPr>
    </w:p>
    <w:p w:rsidR="003663E4" w:rsidRDefault="00FD3F7D">
      <w:pPr>
        <w:spacing w:line="360" w:lineRule="auto"/>
        <w:ind w:firstLineChars="200" w:firstLine="420"/>
        <w:rPr>
          <w:color w:val="000000"/>
          <w:szCs w:val="21"/>
        </w:rPr>
      </w:pPr>
      <w:r>
        <w:rPr>
          <w:color w:val="000000"/>
          <w:kern w:val="0"/>
          <w:szCs w:val="21"/>
        </w:rPr>
        <w:t>基金管理人治理层负责监督交银理财</w:t>
      </w:r>
      <w:r>
        <w:rPr>
          <w:color w:val="000000"/>
          <w:kern w:val="0"/>
          <w:szCs w:val="21"/>
        </w:rPr>
        <w:t>60</w:t>
      </w:r>
      <w:r>
        <w:rPr>
          <w:color w:val="000000"/>
          <w:kern w:val="0"/>
          <w:szCs w:val="21"/>
        </w:rPr>
        <w:t>天债券基金的财务报告过程。</w:t>
      </w:r>
    </w:p>
    <w:p w:rsidR="003663E4" w:rsidRDefault="00FD3F7D">
      <w:pPr>
        <w:pStyle w:val="3"/>
        <w:spacing w:beforeLines="50" w:before="156" w:after="0" w:line="360" w:lineRule="auto"/>
        <w:rPr>
          <w:color w:val="000000"/>
          <w:kern w:val="0"/>
          <w:sz w:val="21"/>
          <w:szCs w:val="21"/>
        </w:rPr>
      </w:pPr>
      <w:bookmarkStart w:id="138" w:name="_Toc508540280"/>
      <w:bookmarkStart w:id="139" w:name="_Toc23339376"/>
      <w:bookmarkStart w:id="140" w:name="_Toc9756"/>
      <w:r>
        <w:rPr>
          <w:color w:val="000000"/>
          <w:kern w:val="0"/>
          <w:sz w:val="21"/>
          <w:szCs w:val="21"/>
        </w:rPr>
        <w:t>6.2.4</w:t>
      </w:r>
      <w:bookmarkEnd w:id="138"/>
      <w:bookmarkEnd w:id="139"/>
      <w:r>
        <w:rPr>
          <w:rFonts w:hint="eastAsia"/>
          <w:color w:val="000000"/>
          <w:kern w:val="0"/>
          <w:sz w:val="21"/>
          <w:szCs w:val="21"/>
        </w:rPr>
        <w:t>注册会计师对财务报表审计的责任</w:t>
      </w:r>
      <w:bookmarkEnd w:id="140"/>
    </w:p>
    <w:p w:rsidR="003663E4" w:rsidRDefault="00FD3F7D">
      <w:pPr>
        <w:spacing w:line="360" w:lineRule="auto"/>
        <w:ind w:firstLineChars="200" w:firstLine="420"/>
        <w:rPr>
          <w:color w:val="000000"/>
          <w:szCs w:val="21"/>
        </w:rPr>
      </w:pPr>
      <w:r>
        <w:rPr>
          <w:color w:val="000000"/>
          <w:kern w:val="0"/>
          <w:szCs w:val="21"/>
        </w:rPr>
        <w:t>我们的目标是对财务报表整体是否不存在由于舞弊或错误导致的重大错报获取合理保证，并出具包含审计意见的审计报告。合理保证是</w:t>
      </w:r>
      <w:r>
        <w:rPr>
          <w:color w:val="000000"/>
          <w:kern w:val="0"/>
          <w:szCs w:val="21"/>
        </w:rPr>
        <w:t>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3663E4" w:rsidRDefault="003663E4">
      <w:pPr>
        <w:spacing w:line="360" w:lineRule="auto"/>
        <w:ind w:firstLineChars="200" w:firstLine="420"/>
        <w:rPr>
          <w:color w:val="000000"/>
          <w:szCs w:val="21"/>
        </w:rPr>
      </w:pPr>
    </w:p>
    <w:p w:rsidR="003663E4" w:rsidRDefault="00FD3F7D">
      <w:pPr>
        <w:spacing w:line="360" w:lineRule="auto"/>
        <w:ind w:firstLineChars="200" w:firstLine="420"/>
        <w:rPr>
          <w:color w:val="000000"/>
          <w:szCs w:val="21"/>
        </w:rPr>
      </w:pPr>
      <w:r>
        <w:rPr>
          <w:color w:val="000000"/>
          <w:kern w:val="0"/>
          <w:szCs w:val="21"/>
        </w:rPr>
        <w:t>在按照审计准则执行审计工作的过程中，我们运用职业判断，并保持职业怀疑。同时，我们也执行以下工作：</w:t>
      </w:r>
    </w:p>
    <w:p w:rsidR="003663E4" w:rsidRDefault="003663E4">
      <w:pPr>
        <w:spacing w:line="360" w:lineRule="auto"/>
        <w:ind w:firstLineChars="200" w:firstLine="420"/>
        <w:rPr>
          <w:color w:val="000000"/>
          <w:szCs w:val="21"/>
        </w:rPr>
      </w:pPr>
    </w:p>
    <w:p w:rsidR="003663E4" w:rsidRDefault="00FD3F7D">
      <w:pPr>
        <w:spacing w:line="360" w:lineRule="auto"/>
        <w:ind w:firstLineChars="200" w:firstLine="420"/>
        <w:rPr>
          <w:color w:val="000000"/>
          <w:szCs w:val="21"/>
        </w:rPr>
      </w:pPr>
      <w:r>
        <w:rPr>
          <w:color w:val="000000"/>
          <w:kern w:val="0"/>
          <w:szCs w:val="21"/>
        </w:rPr>
        <w:t>(</w:t>
      </w:r>
      <w:r>
        <w:rPr>
          <w:color w:val="000000"/>
          <w:kern w:val="0"/>
          <w:szCs w:val="21"/>
        </w:rPr>
        <w:t>一</w:t>
      </w:r>
      <w:r>
        <w:rPr>
          <w:color w:val="000000"/>
          <w:kern w:val="0"/>
          <w:szCs w:val="21"/>
        </w:rPr>
        <w:t xml:space="preserve">) </w:t>
      </w:r>
      <w:r>
        <w:rPr>
          <w:color w:val="000000"/>
          <w:kern w:val="0"/>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3663E4" w:rsidRDefault="003663E4">
      <w:pPr>
        <w:spacing w:line="360" w:lineRule="auto"/>
        <w:ind w:firstLineChars="200" w:firstLine="420"/>
        <w:rPr>
          <w:color w:val="000000"/>
          <w:szCs w:val="21"/>
        </w:rPr>
      </w:pPr>
    </w:p>
    <w:p w:rsidR="003663E4" w:rsidRDefault="00FD3F7D">
      <w:pPr>
        <w:spacing w:line="360" w:lineRule="auto"/>
        <w:ind w:firstLineChars="200" w:firstLine="420"/>
        <w:rPr>
          <w:color w:val="000000"/>
          <w:szCs w:val="21"/>
        </w:rPr>
      </w:pPr>
      <w:r>
        <w:rPr>
          <w:color w:val="000000"/>
          <w:kern w:val="0"/>
          <w:szCs w:val="21"/>
        </w:rPr>
        <w:t>(</w:t>
      </w:r>
      <w:r>
        <w:rPr>
          <w:color w:val="000000"/>
          <w:kern w:val="0"/>
          <w:szCs w:val="21"/>
        </w:rPr>
        <w:t>二</w:t>
      </w:r>
      <w:r>
        <w:rPr>
          <w:color w:val="000000"/>
          <w:kern w:val="0"/>
          <w:szCs w:val="21"/>
        </w:rPr>
        <w:t xml:space="preserve">) </w:t>
      </w:r>
      <w:r>
        <w:rPr>
          <w:color w:val="000000"/>
          <w:kern w:val="0"/>
          <w:szCs w:val="21"/>
        </w:rPr>
        <w:t>了解与审计相关的内部控制，以设计恰当的审计程序，但目的并非对内部控制的有效性发表意见。</w:t>
      </w:r>
    </w:p>
    <w:p w:rsidR="003663E4" w:rsidRDefault="003663E4">
      <w:pPr>
        <w:spacing w:line="360" w:lineRule="auto"/>
        <w:ind w:firstLineChars="200" w:firstLine="420"/>
        <w:rPr>
          <w:color w:val="000000"/>
          <w:szCs w:val="21"/>
        </w:rPr>
      </w:pPr>
    </w:p>
    <w:p w:rsidR="003663E4" w:rsidRDefault="00FD3F7D">
      <w:pPr>
        <w:spacing w:line="360" w:lineRule="auto"/>
        <w:ind w:firstLineChars="200" w:firstLine="420"/>
        <w:rPr>
          <w:color w:val="000000"/>
          <w:szCs w:val="21"/>
        </w:rPr>
      </w:pPr>
      <w:r>
        <w:rPr>
          <w:color w:val="000000"/>
          <w:kern w:val="0"/>
          <w:szCs w:val="21"/>
        </w:rPr>
        <w:t>(</w:t>
      </w:r>
      <w:r>
        <w:rPr>
          <w:color w:val="000000"/>
          <w:kern w:val="0"/>
          <w:szCs w:val="21"/>
        </w:rPr>
        <w:t>三</w:t>
      </w:r>
      <w:r>
        <w:rPr>
          <w:color w:val="000000"/>
          <w:kern w:val="0"/>
          <w:szCs w:val="21"/>
        </w:rPr>
        <w:t xml:space="preserve">) </w:t>
      </w:r>
      <w:r>
        <w:rPr>
          <w:color w:val="000000"/>
          <w:kern w:val="0"/>
          <w:szCs w:val="21"/>
        </w:rPr>
        <w:t>评价基金管理人管理层选用会计政策的恰当性和作出会计估计及相关披露的合理性。</w:t>
      </w:r>
    </w:p>
    <w:p w:rsidR="003663E4" w:rsidRDefault="003663E4">
      <w:pPr>
        <w:spacing w:line="360" w:lineRule="auto"/>
        <w:ind w:firstLineChars="200" w:firstLine="420"/>
        <w:rPr>
          <w:color w:val="000000"/>
          <w:szCs w:val="21"/>
        </w:rPr>
      </w:pPr>
    </w:p>
    <w:p w:rsidR="003663E4" w:rsidRDefault="00FD3F7D">
      <w:pPr>
        <w:spacing w:line="360" w:lineRule="auto"/>
        <w:ind w:firstLineChars="200" w:firstLine="420"/>
        <w:rPr>
          <w:color w:val="000000"/>
          <w:szCs w:val="21"/>
        </w:rPr>
      </w:pPr>
      <w:r>
        <w:rPr>
          <w:color w:val="000000"/>
          <w:kern w:val="0"/>
          <w:szCs w:val="21"/>
        </w:rPr>
        <w:t>(</w:t>
      </w:r>
      <w:r>
        <w:rPr>
          <w:color w:val="000000"/>
          <w:kern w:val="0"/>
          <w:szCs w:val="21"/>
        </w:rPr>
        <w:t>四</w:t>
      </w:r>
      <w:r>
        <w:rPr>
          <w:color w:val="000000"/>
          <w:kern w:val="0"/>
          <w:szCs w:val="21"/>
        </w:rPr>
        <w:t xml:space="preserve">) </w:t>
      </w:r>
      <w:r>
        <w:rPr>
          <w:color w:val="000000"/>
          <w:kern w:val="0"/>
          <w:szCs w:val="21"/>
        </w:rPr>
        <w:t>对基金管理人管理层使用持续经营假</w:t>
      </w:r>
      <w:r>
        <w:rPr>
          <w:color w:val="000000"/>
          <w:kern w:val="0"/>
          <w:szCs w:val="21"/>
        </w:rPr>
        <w:t>设的恰当性得出结论。同时，根据获取的审计证据，就可能导致对交银理财</w:t>
      </w:r>
      <w:r>
        <w:rPr>
          <w:color w:val="000000"/>
          <w:kern w:val="0"/>
          <w:szCs w:val="21"/>
        </w:rPr>
        <w:t>60</w:t>
      </w:r>
      <w:r>
        <w:rPr>
          <w:color w:val="000000"/>
          <w:kern w:val="0"/>
          <w:szCs w:val="21"/>
        </w:rPr>
        <w:t>天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理财</w:t>
      </w:r>
      <w:r>
        <w:rPr>
          <w:color w:val="000000"/>
          <w:kern w:val="0"/>
          <w:szCs w:val="21"/>
        </w:rPr>
        <w:t>60</w:t>
      </w:r>
      <w:r>
        <w:rPr>
          <w:color w:val="000000"/>
          <w:kern w:val="0"/>
          <w:szCs w:val="21"/>
        </w:rPr>
        <w:t>天债券基金不能持续经营。</w:t>
      </w:r>
    </w:p>
    <w:p w:rsidR="003663E4" w:rsidRDefault="003663E4">
      <w:pPr>
        <w:spacing w:line="360" w:lineRule="auto"/>
        <w:ind w:firstLineChars="200" w:firstLine="420"/>
        <w:rPr>
          <w:color w:val="000000"/>
          <w:szCs w:val="21"/>
        </w:rPr>
      </w:pPr>
    </w:p>
    <w:p w:rsidR="003663E4" w:rsidRDefault="00FD3F7D">
      <w:pPr>
        <w:spacing w:line="360" w:lineRule="auto"/>
        <w:ind w:firstLineChars="200" w:firstLine="420"/>
        <w:rPr>
          <w:color w:val="000000"/>
          <w:szCs w:val="21"/>
        </w:rPr>
      </w:pPr>
      <w:r>
        <w:rPr>
          <w:color w:val="000000"/>
          <w:kern w:val="0"/>
          <w:szCs w:val="21"/>
        </w:rPr>
        <w:t>(</w:t>
      </w:r>
      <w:r>
        <w:rPr>
          <w:color w:val="000000"/>
          <w:kern w:val="0"/>
          <w:szCs w:val="21"/>
        </w:rPr>
        <w:t>五</w:t>
      </w:r>
      <w:r>
        <w:rPr>
          <w:color w:val="000000"/>
          <w:kern w:val="0"/>
          <w:szCs w:val="21"/>
        </w:rPr>
        <w:t xml:space="preserve">) </w:t>
      </w:r>
      <w:r>
        <w:rPr>
          <w:color w:val="000000"/>
          <w:kern w:val="0"/>
          <w:szCs w:val="21"/>
        </w:rPr>
        <w:t>评价财务报表的总体列报</w:t>
      </w:r>
      <w:r>
        <w:rPr>
          <w:color w:val="000000"/>
          <w:kern w:val="0"/>
          <w:szCs w:val="21"/>
        </w:rPr>
        <w:t>(</w:t>
      </w:r>
      <w:r>
        <w:rPr>
          <w:color w:val="000000"/>
          <w:kern w:val="0"/>
          <w:szCs w:val="21"/>
        </w:rPr>
        <w:t>包括披露</w:t>
      </w:r>
      <w:r>
        <w:rPr>
          <w:color w:val="000000"/>
          <w:kern w:val="0"/>
          <w:szCs w:val="21"/>
        </w:rPr>
        <w:t>)</w:t>
      </w:r>
      <w:r>
        <w:rPr>
          <w:color w:val="000000"/>
          <w:kern w:val="0"/>
          <w:szCs w:val="21"/>
        </w:rPr>
        <w:t>、结构和内容，并评价财务报表是否公允反映相关交易和事项。</w:t>
      </w:r>
    </w:p>
    <w:p w:rsidR="003663E4" w:rsidRDefault="003663E4">
      <w:pPr>
        <w:spacing w:line="360" w:lineRule="auto"/>
        <w:ind w:firstLineChars="200" w:firstLine="420"/>
        <w:rPr>
          <w:color w:val="000000"/>
          <w:szCs w:val="21"/>
        </w:rPr>
      </w:pPr>
    </w:p>
    <w:p w:rsidR="003663E4" w:rsidRDefault="00FD3F7D">
      <w:pPr>
        <w:spacing w:line="360" w:lineRule="auto"/>
        <w:ind w:firstLineChars="200" w:firstLine="420"/>
        <w:rPr>
          <w:color w:val="000000"/>
          <w:szCs w:val="21"/>
        </w:rPr>
      </w:pPr>
      <w:r>
        <w:rPr>
          <w:color w:val="000000"/>
          <w:kern w:val="0"/>
          <w:szCs w:val="21"/>
        </w:rPr>
        <w:t>我们</w:t>
      </w:r>
      <w:r>
        <w:rPr>
          <w:color w:val="000000"/>
          <w:kern w:val="0"/>
          <w:szCs w:val="21"/>
        </w:rPr>
        <w:t>与基金管理人治理层就计划的审计范围、时间安排和重大审计发现等事项进行沟通，包括沟通我们在审计中识别出的值得关注的内部控制缺陷。</w:t>
      </w:r>
    </w:p>
    <w:p w:rsidR="003663E4" w:rsidRDefault="00FD3F7D">
      <w:pPr>
        <w:spacing w:beforeLines="100" w:before="312" w:line="360" w:lineRule="auto"/>
        <w:jc w:val="right"/>
        <w:rPr>
          <w:color w:val="000000"/>
          <w:szCs w:val="21"/>
        </w:rPr>
      </w:pPr>
      <w:r>
        <w:rPr>
          <w:color w:val="000000"/>
          <w:kern w:val="0"/>
          <w:szCs w:val="21"/>
        </w:rPr>
        <w:t>普华永道中天会计师事务所（特殊普通合伙）</w:t>
      </w:r>
      <w:r>
        <w:rPr>
          <w:color w:val="000000"/>
          <w:kern w:val="0"/>
          <w:szCs w:val="21"/>
        </w:rPr>
        <w:tab/>
      </w:r>
      <w:r>
        <w:rPr>
          <w:color w:val="000000"/>
          <w:kern w:val="0"/>
          <w:szCs w:val="21"/>
        </w:rPr>
        <w:tab/>
      </w:r>
      <w:r>
        <w:rPr>
          <w:color w:val="000000"/>
          <w:szCs w:val="21"/>
        </w:rPr>
        <w:t>中国注册会计师</w:t>
      </w:r>
    </w:p>
    <w:p w:rsidR="003663E4" w:rsidRDefault="00FD3F7D">
      <w:pPr>
        <w:spacing w:line="360" w:lineRule="auto"/>
        <w:jc w:val="right"/>
        <w:rPr>
          <w:color w:val="000000"/>
          <w:kern w:val="0"/>
          <w:szCs w:val="21"/>
        </w:rPr>
      </w:pPr>
      <w:r>
        <w:rPr>
          <w:color w:val="000000"/>
          <w:kern w:val="0"/>
          <w:szCs w:val="21"/>
        </w:rPr>
        <w:t xml:space="preserve">  </w:t>
      </w:r>
      <w:r>
        <w:rPr>
          <w:color w:val="000000"/>
          <w:kern w:val="0"/>
          <w:szCs w:val="21"/>
        </w:rPr>
        <w:t>童咏静</w:t>
      </w:r>
      <w:r>
        <w:rPr>
          <w:color w:val="000000"/>
          <w:kern w:val="0"/>
          <w:szCs w:val="21"/>
        </w:rPr>
        <w:t xml:space="preserve">  </w:t>
      </w:r>
      <w:r>
        <w:rPr>
          <w:color w:val="000000"/>
          <w:kern w:val="0"/>
          <w:szCs w:val="21"/>
        </w:rPr>
        <w:t>金诗涛</w:t>
      </w:r>
    </w:p>
    <w:p w:rsidR="003663E4" w:rsidRDefault="00FD3F7D">
      <w:pPr>
        <w:widowControl/>
        <w:spacing w:line="360" w:lineRule="auto"/>
        <w:jc w:val="right"/>
        <w:rPr>
          <w:color w:val="000000"/>
          <w:szCs w:val="21"/>
        </w:rPr>
      </w:pPr>
      <w:r>
        <w:rPr>
          <w:color w:val="000000"/>
          <w:kern w:val="0"/>
          <w:szCs w:val="21"/>
        </w:rPr>
        <w:t>上海市湖滨路</w:t>
      </w:r>
      <w:r>
        <w:rPr>
          <w:color w:val="000000"/>
          <w:kern w:val="0"/>
          <w:szCs w:val="21"/>
        </w:rPr>
        <w:t>202</w:t>
      </w:r>
      <w:r>
        <w:rPr>
          <w:color w:val="000000"/>
          <w:kern w:val="0"/>
          <w:szCs w:val="21"/>
        </w:rPr>
        <w:t>号普华永道中心</w:t>
      </w:r>
      <w:r>
        <w:rPr>
          <w:color w:val="000000"/>
          <w:kern w:val="0"/>
          <w:szCs w:val="21"/>
        </w:rPr>
        <w:t>11</w:t>
      </w:r>
      <w:r>
        <w:rPr>
          <w:color w:val="000000"/>
          <w:kern w:val="0"/>
          <w:szCs w:val="21"/>
        </w:rPr>
        <w:t>楼</w:t>
      </w:r>
    </w:p>
    <w:p w:rsidR="003663E4" w:rsidRDefault="00FD3F7D">
      <w:pPr>
        <w:jc w:val="right"/>
        <w:rPr>
          <w:color w:val="000000"/>
          <w:kern w:val="0"/>
          <w:szCs w:val="21"/>
        </w:rPr>
      </w:pPr>
      <w:r>
        <w:rPr>
          <w:color w:val="000000"/>
          <w:kern w:val="0"/>
          <w:szCs w:val="21"/>
        </w:rPr>
        <w:t>2021</w:t>
      </w:r>
      <w:r>
        <w:rPr>
          <w:color w:val="000000"/>
          <w:kern w:val="0"/>
          <w:szCs w:val="21"/>
        </w:rPr>
        <w:t>年</w:t>
      </w:r>
      <w:r>
        <w:rPr>
          <w:color w:val="000000"/>
          <w:kern w:val="0"/>
          <w:szCs w:val="21"/>
        </w:rPr>
        <w:t>3</w:t>
      </w:r>
      <w:r>
        <w:rPr>
          <w:color w:val="000000"/>
          <w:kern w:val="0"/>
          <w:szCs w:val="21"/>
        </w:rPr>
        <w:t>月</w:t>
      </w:r>
      <w:r>
        <w:rPr>
          <w:color w:val="000000"/>
          <w:kern w:val="0"/>
          <w:szCs w:val="21"/>
        </w:rPr>
        <w:t>26</w:t>
      </w:r>
      <w:r>
        <w:rPr>
          <w:color w:val="000000"/>
          <w:kern w:val="0"/>
          <w:szCs w:val="21"/>
        </w:rPr>
        <w:t>日</w:t>
      </w:r>
    </w:p>
    <w:p w:rsidR="003663E4" w:rsidRDefault="00FD3F7D">
      <w:pPr>
        <w:pStyle w:val="1"/>
        <w:keepNext/>
        <w:keepLines/>
        <w:widowControl w:val="0"/>
        <w:spacing w:before="240" w:after="240" w:line="360" w:lineRule="auto"/>
        <w:jc w:val="center"/>
        <w:rPr>
          <w:b/>
          <w:bCs/>
          <w:color w:val="000000"/>
          <w:sz w:val="21"/>
          <w:szCs w:val="21"/>
        </w:rPr>
      </w:pPr>
      <w:bookmarkStart w:id="141" w:name="_Toc23339377"/>
      <w:bookmarkStart w:id="142" w:name="_Toc508540281"/>
      <w:bookmarkStart w:id="143" w:name="_Toc11929"/>
      <w:r>
        <w:rPr>
          <w:b/>
          <w:bCs/>
          <w:color w:val="000000"/>
          <w:sz w:val="21"/>
          <w:szCs w:val="21"/>
        </w:rPr>
        <w:t>§</w:t>
      </w:r>
      <w:r>
        <w:rPr>
          <w:rFonts w:hint="eastAsia"/>
          <w:b/>
          <w:bCs/>
          <w:color w:val="000000"/>
          <w:sz w:val="21"/>
          <w:szCs w:val="21"/>
        </w:rPr>
        <w:t xml:space="preserve">7 </w:t>
      </w:r>
      <w:r>
        <w:rPr>
          <w:b/>
          <w:bCs/>
          <w:color w:val="000000"/>
          <w:sz w:val="21"/>
          <w:szCs w:val="21"/>
        </w:rPr>
        <w:t>年度财务报表</w:t>
      </w:r>
      <w:bookmarkEnd w:id="103"/>
      <w:bookmarkEnd w:id="104"/>
      <w:bookmarkEnd w:id="141"/>
      <w:bookmarkEnd w:id="142"/>
      <w:bookmarkEnd w:id="143"/>
    </w:p>
    <w:p w:rsidR="003663E4" w:rsidRDefault="00FD3F7D">
      <w:pPr>
        <w:pStyle w:val="2"/>
        <w:spacing w:before="0" w:after="0"/>
        <w:rPr>
          <w:rFonts w:ascii="Times New Roman" w:eastAsiaTheme="minorEastAsia" w:hAnsi="Times New Roman" w:cs="Times New Roman"/>
          <w:bCs w:val="0"/>
          <w:kern w:val="0"/>
          <w:sz w:val="21"/>
          <w:szCs w:val="21"/>
        </w:rPr>
      </w:pPr>
      <w:bookmarkStart w:id="144" w:name="_Toc508540282"/>
      <w:bookmarkStart w:id="145" w:name="_Toc23339378"/>
      <w:bookmarkStart w:id="146" w:name="_Toc9883"/>
      <w:r>
        <w:rPr>
          <w:rFonts w:ascii="Times New Roman" w:eastAsiaTheme="minorEastAsia" w:hAnsi="Times New Roman" w:cs="Times New Roman" w:hint="eastAsia"/>
          <w:bCs w:val="0"/>
          <w:kern w:val="0"/>
          <w:sz w:val="21"/>
          <w:szCs w:val="21"/>
        </w:rPr>
        <w:t xml:space="preserve">7.1 </w:t>
      </w:r>
      <w:r>
        <w:rPr>
          <w:rFonts w:ascii="Times New Roman" w:eastAsiaTheme="minorEastAsia" w:hAnsi="Times New Roman" w:cs="Times New Roman"/>
          <w:bCs w:val="0"/>
          <w:kern w:val="0"/>
          <w:sz w:val="21"/>
          <w:szCs w:val="21"/>
        </w:rPr>
        <w:t>交银施罗德裕惠纯债债券型证券投资基金</w:t>
      </w:r>
      <w:bookmarkEnd w:id="144"/>
      <w:bookmarkEnd w:id="145"/>
      <w:bookmarkEnd w:id="146"/>
    </w:p>
    <w:p w:rsidR="003663E4" w:rsidRDefault="00FD3F7D">
      <w:pPr>
        <w:pStyle w:val="3"/>
        <w:spacing w:before="0" w:after="0" w:line="360" w:lineRule="auto"/>
        <w:rPr>
          <w:color w:val="000000"/>
          <w:sz w:val="21"/>
          <w:szCs w:val="21"/>
        </w:rPr>
      </w:pPr>
      <w:bookmarkStart w:id="147" w:name="_Toc23339379"/>
      <w:bookmarkStart w:id="148" w:name="_Toc508540283"/>
      <w:bookmarkStart w:id="149" w:name="_Toc7130"/>
      <w:r>
        <w:rPr>
          <w:color w:val="000000"/>
          <w:kern w:val="0"/>
          <w:sz w:val="21"/>
          <w:szCs w:val="21"/>
        </w:rPr>
        <w:t>7.1.1</w:t>
      </w:r>
      <w:r>
        <w:rPr>
          <w:rFonts w:hint="eastAsia"/>
          <w:color w:val="000000"/>
          <w:kern w:val="0"/>
          <w:sz w:val="21"/>
          <w:szCs w:val="21"/>
        </w:rPr>
        <w:t xml:space="preserve"> </w:t>
      </w:r>
      <w:r>
        <w:rPr>
          <w:color w:val="000000"/>
          <w:sz w:val="21"/>
          <w:szCs w:val="21"/>
        </w:rPr>
        <w:t>资产负债表</w:t>
      </w:r>
      <w:bookmarkEnd w:id="147"/>
      <w:bookmarkEnd w:id="148"/>
      <w:bookmarkEnd w:id="149"/>
    </w:p>
    <w:p w:rsidR="003663E4" w:rsidRDefault="00FD3F7D">
      <w:pPr>
        <w:spacing w:line="360" w:lineRule="auto"/>
      </w:pPr>
      <w:r>
        <w:rPr>
          <w:color w:val="000000"/>
          <w:szCs w:val="21"/>
        </w:rPr>
        <w:t>会计主体：交银施罗德裕惠纯债债券型证券投资基金</w:t>
      </w:r>
    </w:p>
    <w:p w:rsidR="003663E4" w:rsidRDefault="00FD3F7D">
      <w:pPr>
        <w:spacing w:line="360" w:lineRule="auto"/>
        <w:rPr>
          <w:color w:val="000000"/>
          <w:szCs w:val="21"/>
        </w:rPr>
      </w:pPr>
      <w:r>
        <w:rPr>
          <w:color w:val="000000"/>
          <w:szCs w:val="21"/>
        </w:rPr>
        <w:t>报告截止日：</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p w:rsidR="003663E4" w:rsidRDefault="00FD3F7D">
      <w:pPr>
        <w:autoSpaceDE w:val="0"/>
        <w:autoSpaceDN w:val="0"/>
        <w:adjustRightInd w:val="0"/>
        <w:spacing w:before="29" w:line="360" w:lineRule="auto"/>
        <w:ind w:left="15"/>
        <w:jc w:val="right"/>
        <w:rPr>
          <w:color w:val="000000"/>
          <w:kern w:val="0"/>
          <w:szCs w:val="21"/>
        </w:rPr>
      </w:pPr>
      <w:r>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5040"/>
      </w:tblGrid>
      <w:tr w:rsidR="003663E4">
        <w:tc>
          <w:tcPr>
            <w:tcW w:w="2880" w:type="dxa"/>
            <w:vAlign w:val="center"/>
          </w:tcPr>
          <w:p w:rsidR="003663E4" w:rsidRDefault="00FD3F7D">
            <w:pPr>
              <w:pStyle w:val="af9"/>
              <w:spacing w:line="276" w:lineRule="auto"/>
              <w:jc w:val="center"/>
              <w:rPr>
                <w:rFonts w:ascii="Times New Roman" w:hAnsi="Times New Roman"/>
                <w:b/>
                <w:color w:val="000000"/>
                <w:sz w:val="21"/>
                <w:szCs w:val="21"/>
              </w:rPr>
            </w:pPr>
            <w:r>
              <w:rPr>
                <w:rFonts w:ascii="Times New Roman" w:hAnsi="Times New Roman"/>
                <w:b/>
                <w:color w:val="000000"/>
                <w:sz w:val="21"/>
                <w:szCs w:val="21"/>
              </w:rPr>
              <w:t>资</w:t>
            </w:r>
            <w:r>
              <w:rPr>
                <w:rFonts w:ascii="Times New Roman" w:hAnsi="Times New Roman" w:hint="eastAsia"/>
                <w:b/>
                <w:color w:val="000000"/>
                <w:sz w:val="21"/>
                <w:szCs w:val="21"/>
              </w:rPr>
              <w:t xml:space="preserve"> </w:t>
            </w:r>
            <w:r>
              <w:rPr>
                <w:rFonts w:ascii="Times New Roman" w:hAnsi="Times New Roman"/>
                <w:b/>
                <w:color w:val="000000"/>
                <w:sz w:val="21"/>
                <w:szCs w:val="21"/>
              </w:rPr>
              <w:t>产</w:t>
            </w:r>
          </w:p>
        </w:tc>
        <w:tc>
          <w:tcPr>
            <w:tcW w:w="1080" w:type="dxa"/>
            <w:vAlign w:val="center"/>
          </w:tcPr>
          <w:p w:rsidR="003663E4" w:rsidRDefault="00FD3F7D">
            <w:pPr>
              <w:pStyle w:val="af9"/>
              <w:spacing w:line="276" w:lineRule="auto"/>
              <w:jc w:val="center"/>
              <w:rPr>
                <w:rFonts w:ascii="Times New Roman" w:hAnsi="Times New Roman"/>
                <w:b/>
                <w:color w:val="000000"/>
                <w:sz w:val="21"/>
                <w:szCs w:val="21"/>
              </w:rPr>
            </w:pPr>
            <w:r>
              <w:rPr>
                <w:rFonts w:ascii="Times New Roman" w:hAnsi="Times New Roman"/>
                <w:b/>
                <w:color w:val="000000"/>
                <w:sz w:val="21"/>
                <w:szCs w:val="21"/>
              </w:rPr>
              <w:t>附注号</w:t>
            </w:r>
          </w:p>
        </w:tc>
        <w:tc>
          <w:tcPr>
            <w:tcW w:w="5040" w:type="dxa"/>
            <w:vAlign w:val="center"/>
          </w:tcPr>
          <w:p w:rsidR="003663E4" w:rsidRDefault="00FD3F7D">
            <w:pPr>
              <w:pStyle w:val="af9"/>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本期末</w:t>
            </w:r>
          </w:p>
          <w:p w:rsidR="003663E4" w:rsidRDefault="00FD3F7D">
            <w:pPr>
              <w:pStyle w:val="af9"/>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kern w:val="2"/>
                <w:sz w:val="21"/>
                <w:szCs w:val="21"/>
              </w:rPr>
              <w:t>2020</w:t>
            </w:r>
            <w:r>
              <w:rPr>
                <w:rFonts w:ascii="Times New Roman" w:hAnsi="Times New Roman"/>
                <w:b/>
                <w:color w:val="000000"/>
                <w:kern w:val="2"/>
                <w:sz w:val="21"/>
                <w:szCs w:val="21"/>
              </w:rPr>
              <w:t>年</w:t>
            </w:r>
            <w:r>
              <w:rPr>
                <w:rFonts w:ascii="Times New Roman" w:hAnsi="Times New Roman"/>
                <w:b/>
                <w:color w:val="000000"/>
                <w:kern w:val="2"/>
                <w:sz w:val="21"/>
                <w:szCs w:val="21"/>
              </w:rPr>
              <w:t>12</w:t>
            </w:r>
            <w:r>
              <w:rPr>
                <w:rFonts w:ascii="Times New Roman" w:hAnsi="Times New Roman"/>
                <w:b/>
                <w:color w:val="000000"/>
                <w:kern w:val="2"/>
                <w:sz w:val="21"/>
                <w:szCs w:val="21"/>
              </w:rPr>
              <w:t>月</w:t>
            </w:r>
            <w:r>
              <w:rPr>
                <w:rFonts w:ascii="Times New Roman" w:hAnsi="Times New Roman"/>
                <w:b/>
                <w:color w:val="000000"/>
                <w:kern w:val="2"/>
                <w:sz w:val="21"/>
                <w:szCs w:val="21"/>
              </w:rPr>
              <w:t>31</w:t>
            </w:r>
            <w:r>
              <w:rPr>
                <w:rFonts w:ascii="Times New Roman" w:hAnsi="Times New Roman"/>
                <w:b/>
                <w:color w:val="000000"/>
                <w:kern w:val="2"/>
                <w:sz w:val="21"/>
                <w:szCs w:val="21"/>
              </w:rPr>
              <w:t>日</w:t>
            </w:r>
          </w:p>
        </w:tc>
      </w:tr>
      <w:tr w:rsidR="003663E4">
        <w:tc>
          <w:tcPr>
            <w:tcW w:w="2880" w:type="dxa"/>
            <w:vAlign w:val="center"/>
          </w:tcPr>
          <w:p w:rsidR="003663E4" w:rsidRDefault="00FD3F7D">
            <w:pPr>
              <w:spacing w:line="276" w:lineRule="auto"/>
              <w:rPr>
                <w:color w:val="000000"/>
                <w:szCs w:val="21"/>
              </w:rPr>
            </w:pPr>
            <w:r>
              <w:rPr>
                <w:color w:val="000000"/>
                <w:szCs w:val="21"/>
              </w:rPr>
              <w:t>资</w:t>
            </w:r>
            <w:r>
              <w:rPr>
                <w:color w:val="000000"/>
                <w:szCs w:val="21"/>
              </w:rPr>
              <w:t xml:space="preserve"> </w:t>
            </w:r>
            <w:r>
              <w:rPr>
                <w:color w:val="000000"/>
                <w:szCs w:val="21"/>
              </w:rPr>
              <w:t>产：</w:t>
            </w:r>
          </w:p>
        </w:tc>
        <w:tc>
          <w:tcPr>
            <w:tcW w:w="1080" w:type="dxa"/>
            <w:vAlign w:val="center"/>
          </w:tcPr>
          <w:p w:rsidR="003663E4" w:rsidRDefault="003663E4">
            <w:pPr>
              <w:widowControl/>
              <w:autoSpaceDE w:val="0"/>
              <w:autoSpaceDN w:val="0"/>
              <w:spacing w:line="276" w:lineRule="auto"/>
              <w:ind w:right="-15"/>
              <w:jc w:val="center"/>
              <w:textAlignment w:val="bottom"/>
              <w:rPr>
                <w:color w:val="000000"/>
                <w:szCs w:val="21"/>
              </w:rPr>
            </w:pPr>
          </w:p>
        </w:tc>
        <w:tc>
          <w:tcPr>
            <w:tcW w:w="5040" w:type="dxa"/>
            <w:vAlign w:val="center"/>
          </w:tcPr>
          <w:p w:rsidR="003663E4" w:rsidRDefault="003663E4">
            <w:pPr>
              <w:spacing w:line="276" w:lineRule="auto"/>
              <w:jc w:val="right"/>
              <w:rPr>
                <w:color w:val="000000"/>
                <w:szCs w:val="21"/>
              </w:rPr>
            </w:pPr>
          </w:p>
        </w:tc>
      </w:tr>
      <w:tr w:rsidR="003663E4">
        <w:tc>
          <w:tcPr>
            <w:tcW w:w="2880" w:type="dxa"/>
            <w:vAlign w:val="center"/>
          </w:tcPr>
          <w:p w:rsidR="003663E4" w:rsidRDefault="00FD3F7D">
            <w:pPr>
              <w:spacing w:line="276" w:lineRule="auto"/>
              <w:rPr>
                <w:color w:val="000000"/>
                <w:szCs w:val="21"/>
              </w:rPr>
            </w:pPr>
            <w:r>
              <w:rPr>
                <w:color w:val="000000"/>
                <w:szCs w:val="21"/>
              </w:rPr>
              <w:t>银行存款</w:t>
            </w:r>
          </w:p>
        </w:tc>
        <w:tc>
          <w:tcPr>
            <w:tcW w:w="1080" w:type="dxa"/>
            <w:vAlign w:val="center"/>
          </w:tcPr>
          <w:p w:rsidR="003663E4" w:rsidRDefault="00FD3F7D">
            <w:pPr>
              <w:widowControl/>
              <w:autoSpaceDE w:val="0"/>
              <w:autoSpaceDN w:val="0"/>
              <w:spacing w:line="276" w:lineRule="auto"/>
              <w:ind w:right="-15"/>
              <w:jc w:val="center"/>
              <w:textAlignment w:val="bottom"/>
              <w:rPr>
                <w:color w:val="000000"/>
                <w:szCs w:val="21"/>
              </w:rPr>
            </w:pPr>
            <w:r>
              <w:rPr>
                <w:color w:val="000000"/>
                <w:szCs w:val="21"/>
              </w:rPr>
              <w:t>7.1.4.7.1</w:t>
            </w:r>
          </w:p>
        </w:tc>
        <w:tc>
          <w:tcPr>
            <w:tcW w:w="5040" w:type="dxa"/>
            <w:vAlign w:val="center"/>
          </w:tcPr>
          <w:p w:rsidR="003663E4" w:rsidRDefault="00FD3F7D">
            <w:pPr>
              <w:spacing w:line="276" w:lineRule="auto"/>
              <w:jc w:val="right"/>
              <w:rPr>
                <w:color w:val="000000"/>
                <w:szCs w:val="21"/>
              </w:rPr>
            </w:pPr>
            <w:r>
              <w:rPr>
                <w:color w:val="000000"/>
                <w:szCs w:val="21"/>
              </w:rPr>
              <w:t>1,252,444.69</w:t>
            </w:r>
          </w:p>
        </w:tc>
      </w:tr>
      <w:tr w:rsidR="003663E4">
        <w:tc>
          <w:tcPr>
            <w:tcW w:w="2880" w:type="dxa"/>
            <w:vAlign w:val="center"/>
          </w:tcPr>
          <w:p w:rsidR="003663E4" w:rsidRDefault="00FD3F7D">
            <w:pPr>
              <w:spacing w:line="276" w:lineRule="auto"/>
              <w:rPr>
                <w:color w:val="000000"/>
                <w:szCs w:val="21"/>
              </w:rPr>
            </w:pPr>
            <w:r>
              <w:rPr>
                <w:color w:val="000000"/>
                <w:szCs w:val="21"/>
              </w:rPr>
              <w:t>结算备付金</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504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color w:val="000000"/>
                <w:szCs w:val="21"/>
              </w:rPr>
            </w:pPr>
            <w:r>
              <w:rPr>
                <w:color w:val="000000"/>
                <w:szCs w:val="21"/>
              </w:rPr>
              <w:t>存出保证金</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504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color w:val="000000"/>
                <w:szCs w:val="21"/>
              </w:rPr>
            </w:pPr>
            <w:r>
              <w:rPr>
                <w:color w:val="000000"/>
                <w:szCs w:val="21"/>
              </w:rPr>
              <w:t>交易性金融资产</w:t>
            </w:r>
          </w:p>
        </w:tc>
        <w:tc>
          <w:tcPr>
            <w:tcW w:w="1080" w:type="dxa"/>
            <w:vAlign w:val="center"/>
          </w:tcPr>
          <w:p w:rsidR="003663E4" w:rsidRDefault="00FD3F7D">
            <w:pPr>
              <w:pStyle w:val="af9"/>
              <w:spacing w:line="276" w:lineRule="auto"/>
              <w:jc w:val="center"/>
              <w:rPr>
                <w:rFonts w:ascii="Times New Roman" w:hAnsi="Times New Roman"/>
                <w:color w:val="000000"/>
                <w:sz w:val="21"/>
                <w:szCs w:val="21"/>
              </w:rPr>
            </w:pPr>
            <w:r>
              <w:rPr>
                <w:rFonts w:ascii="Times New Roman" w:hAnsi="Times New Roman"/>
                <w:color w:val="000000"/>
                <w:sz w:val="21"/>
                <w:szCs w:val="21"/>
              </w:rPr>
              <w:t>7.1.4.7.2</w:t>
            </w:r>
          </w:p>
        </w:tc>
        <w:tc>
          <w:tcPr>
            <w:tcW w:w="5040" w:type="dxa"/>
            <w:vAlign w:val="center"/>
          </w:tcPr>
          <w:p w:rsidR="003663E4" w:rsidRDefault="00FD3F7D">
            <w:pPr>
              <w:spacing w:line="276" w:lineRule="auto"/>
              <w:jc w:val="right"/>
              <w:rPr>
                <w:color w:val="000000"/>
                <w:szCs w:val="21"/>
              </w:rPr>
            </w:pPr>
            <w:r>
              <w:rPr>
                <w:color w:val="000000"/>
                <w:szCs w:val="21"/>
              </w:rPr>
              <w:t>743,009,000.00</w:t>
            </w:r>
          </w:p>
        </w:tc>
      </w:tr>
      <w:tr w:rsidR="003663E4">
        <w:tc>
          <w:tcPr>
            <w:tcW w:w="2880" w:type="dxa"/>
            <w:vAlign w:val="center"/>
          </w:tcPr>
          <w:p w:rsidR="003663E4" w:rsidRDefault="00FD3F7D">
            <w:pPr>
              <w:spacing w:line="276" w:lineRule="auto"/>
              <w:rPr>
                <w:color w:val="000000"/>
                <w:szCs w:val="21"/>
              </w:rPr>
            </w:pPr>
            <w:r>
              <w:rPr>
                <w:color w:val="000000"/>
                <w:szCs w:val="21"/>
              </w:rPr>
              <w:t>其中：股票投资</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504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pStyle w:val="af9"/>
              <w:spacing w:line="276" w:lineRule="auto"/>
              <w:ind w:firstLineChars="300" w:firstLine="630"/>
              <w:jc w:val="both"/>
              <w:rPr>
                <w:rFonts w:ascii="Times New Roman" w:hAnsi="Times New Roman"/>
                <w:color w:val="000000"/>
                <w:sz w:val="21"/>
                <w:szCs w:val="21"/>
              </w:rPr>
            </w:pPr>
            <w:r>
              <w:rPr>
                <w:rFonts w:ascii="Times New Roman" w:hAnsi="Times New Roman"/>
                <w:color w:val="000000"/>
                <w:sz w:val="21"/>
                <w:szCs w:val="21"/>
              </w:rPr>
              <w:t>基金投资</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504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ind w:firstLineChars="300" w:firstLine="630"/>
              <w:rPr>
                <w:color w:val="000000"/>
                <w:szCs w:val="21"/>
              </w:rPr>
            </w:pPr>
            <w:r>
              <w:rPr>
                <w:color w:val="000000"/>
                <w:szCs w:val="21"/>
              </w:rPr>
              <w:t>债券投资</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5040" w:type="dxa"/>
            <w:vAlign w:val="center"/>
          </w:tcPr>
          <w:p w:rsidR="003663E4" w:rsidRDefault="00FD3F7D">
            <w:pPr>
              <w:spacing w:line="276" w:lineRule="auto"/>
              <w:jc w:val="right"/>
              <w:rPr>
                <w:color w:val="000000"/>
                <w:szCs w:val="21"/>
              </w:rPr>
            </w:pPr>
            <w:r>
              <w:rPr>
                <w:color w:val="000000"/>
                <w:szCs w:val="21"/>
              </w:rPr>
              <w:t>743,009,000.00</w:t>
            </w:r>
          </w:p>
        </w:tc>
      </w:tr>
      <w:tr w:rsidR="003663E4">
        <w:tc>
          <w:tcPr>
            <w:tcW w:w="2880" w:type="dxa"/>
            <w:vAlign w:val="center"/>
          </w:tcPr>
          <w:p w:rsidR="003663E4" w:rsidRDefault="00FD3F7D">
            <w:pPr>
              <w:spacing w:line="276" w:lineRule="auto"/>
              <w:ind w:firstLineChars="300" w:firstLine="630"/>
              <w:rPr>
                <w:color w:val="000000"/>
                <w:szCs w:val="21"/>
              </w:rPr>
            </w:pPr>
            <w:r>
              <w:rPr>
                <w:color w:val="000000"/>
                <w:szCs w:val="21"/>
              </w:rPr>
              <w:t>资产支持证券投资</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504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ind w:firstLineChars="300" w:firstLine="630"/>
              <w:rPr>
                <w:color w:val="000000"/>
                <w:szCs w:val="21"/>
              </w:rPr>
            </w:pPr>
            <w:r>
              <w:rPr>
                <w:color w:val="000000"/>
                <w:szCs w:val="21"/>
              </w:rPr>
              <w:t>贵金属投资</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504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color w:val="000000"/>
                <w:szCs w:val="21"/>
              </w:rPr>
            </w:pPr>
            <w:r>
              <w:rPr>
                <w:color w:val="000000"/>
                <w:szCs w:val="21"/>
              </w:rPr>
              <w:t>衍生金融资产</w:t>
            </w:r>
          </w:p>
        </w:tc>
        <w:tc>
          <w:tcPr>
            <w:tcW w:w="1080" w:type="dxa"/>
            <w:vAlign w:val="center"/>
          </w:tcPr>
          <w:p w:rsidR="003663E4" w:rsidRDefault="00FD3F7D">
            <w:pPr>
              <w:pStyle w:val="af9"/>
              <w:spacing w:line="276" w:lineRule="auto"/>
              <w:jc w:val="center"/>
              <w:rPr>
                <w:rFonts w:ascii="Times New Roman" w:hAnsi="Times New Roman"/>
                <w:color w:val="000000"/>
                <w:sz w:val="21"/>
                <w:szCs w:val="21"/>
              </w:rPr>
            </w:pPr>
            <w:r>
              <w:rPr>
                <w:rFonts w:ascii="Times New Roman" w:hAnsi="Times New Roman"/>
                <w:color w:val="000000"/>
                <w:sz w:val="21"/>
                <w:szCs w:val="21"/>
              </w:rPr>
              <w:t>7.1.4.7.3</w:t>
            </w:r>
          </w:p>
        </w:tc>
        <w:tc>
          <w:tcPr>
            <w:tcW w:w="504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color w:val="000000"/>
                <w:szCs w:val="21"/>
              </w:rPr>
            </w:pPr>
            <w:r>
              <w:rPr>
                <w:color w:val="000000"/>
                <w:szCs w:val="21"/>
              </w:rPr>
              <w:t>买入返售金融资产</w:t>
            </w:r>
          </w:p>
        </w:tc>
        <w:tc>
          <w:tcPr>
            <w:tcW w:w="1080" w:type="dxa"/>
            <w:vAlign w:val="center"/>
          </w:tcPr>
          <w:p w:rsidR="003663E4" w:rsidRDefault="00FD3F7D">
            <w:pPr>
              <w:pStyle w:val="af9"/>
              <w:spacing w:line="276" w:lineRule="auto"/>
              <w:jc w:val="center"/>
              <w:rPr>
                <w:rFonts w:ascii="Times New Roman" w:hAnsi="Times New Roman"/>
                <w:color w:val="000000"/>
                <w:sz w:val="21"/>
                <w:szCs w:val="21"/>
              </w:rPr>
            </w:pPr>
            <w:r>
              <w:rPr>
                <w:rFonts w:ascii="Times New Roman" w:hAnsi="Times New Roman"/>
                <w:color w:val="000000"/>
                <w:sz w:val="21"/>
                <w:szCs w:val="21"/>
              </w:rPr>
              <w:t>7.1.4.7.4</w:t>
            </w:r>
          </w:p>
        </w:tc>
        <w:tc>
          <w:tcPr>
            <w:tcW w:w="5040" w:type="dxa"/>
            <w:vAlign w:val="center"/>
          </w:tcPr>
          <w:p w:rsidR="003663E4" w:rsidRDefault="00FD3F7D">
            <w:pPr>
              <w:spacing w:line="276" w:lineRule="auto"/>
              <w:jc w:val="right"/>
              <w:rPr>
                <w:color w:val="000000"/>
                <w:szCs w:val="21"/>
              </w:rPr>
            </w:pPr>
            <w:r>
              <w:rPr>
                <w:color w:val="000000"/>
                <w:szCs w:val="21"/>
              </w:rPr>
              <w:t>25,000,157.50</w:t>
            </w:r>
          </w:p>
        </w:tc>
      </w:tr>
      <w:tr w:rsidR="003663E4">
        <w:tc>
          <w:tcPr>
            <w:tcW w:w="2880" w:type="dxa"/>
            <w:vAlign w:val="center"/>
          </w:tcPr>
          <w:p w:rsidR="003663E4" w:rsidRDefault="00FD3F7D">
            <w:pPr>
              <w:spacing w:line="276" w:lineRule="auto"/>
              <w:rPr>
                <w:color w:val="000000"/>
                <w:szCs w:val="21"/>
              </w:rPr>
            </w:pPr>
            <w:r>
              <w:rPr>
                <w:color w:val="000000"/>
                <w:szCs w:val="21"/>
              </w:rPr>
              <w:t>应收证券清算款</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504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color w:val="000000"/>
                <w:szCs w:val="21"/>
              </w:rPr>
            </w:pPr>
            <w:r>
              <w:rPr>
                <w:color w:val="000000"/>
                <w:szCs w:val="21"/>
              </w:rPr>
              <w:t>应收利息</w:t>
            </w:r>
          </w:p>
        </w:tc>
        <w:tc>
          <w:tcPr>
            <w:tcW w:w="1080" w:type="dxa"/>
            <w:vAlign w:val="center"/>
          </w:tcPr>
          <w:p w:rsidR="003663E4" w:rsidRDefault="00FD3F7D">
            <w:pPr>
              <w:pStyle w:val="af9"/>
              <w:spacing w:line="276" w:lineRule="auto"/>
              <w:jc w:val="center"/>
              <w:rPr>
                <w:rFonts w:ascii="Times New Roman" w:hAnsi="Times New Roman"/>
                <w:color w:val="000000"/>
                <w:sz w:val="21"/>
                <w:szCs w:val="21"/>
              </w:rPr>
            </w:pPr>
            <w:r>
              <w:rPr>
                <w:rFonts w:ascii="Times New Roman" w:hAnsi="Times New Roman"/>
                <w:color w:val="000000"/>
                <w:sz w:val="21"/>
                <w:szCs w:val="21"/>
              </w:rPr>
              <w:t>7.1.4.7.5</w:t>
            </w:r>
          </w:p>
        </w:tc>
        <w:tc>
          <w:tcPr>
            <w:tcW w:w="5040" w:type="dxa"/>
            <w:vAlign w:val="center"/>
          </w:tcPr>
          <w:p w:rsidR="003663E4" w:rsidRDefault="00FD3F7D">
            <w:pPr>
              <w:spacing w:line="276" w:lineRule="auto"/>
              <w:jc w:val="right"/>
              <w:rPr>
                <w:color w:val="000000"/>
                <w:szCs w:val="21"/>
              </w:rPr>
            </w:pPr>
            <w:r>
              <w:rPr>
                <w:color w:val="000000"/>
                <w:szCs w:val="21"/>
              </w:rPr>
              <w:t>9,631,110.00</w:t>
            </w:r>
          </w:p>
        </w:tc>
      </w:tr>
      <w:tr w:rsidR="003663E4">
        <w:tc>
          <w:tcPr>
            <w:tcW w:w="2880" w:type="dxa"/>
            <w:vAlign w:val="center"/>
          </w:tcPr>
          <w:p w:rsidR="003663E4" w:rsidRDefault="00FD3F7D">
            <w:pPr>
              <w:spacing w:line="276" w:lineRule="auto"/>
              <w:rPr>
                <w:color w:val="000000"/>
                <w:szCs w:val="21"/>
              </w:rPr>
            </w:pPr>
            <w:r>
              <w:rPr>
                <w:color w:val="000000"/>
                <w:szCs w:val="21"/>
              </w:rPr>
              <w:t>应收股利</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504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color w:val="000000"/>
                <w:szCs w:val="21"/>
              </w:rPr>
            </w:pPr>
            <w:r>
              <w:rPr>
                <w:color w:val="000000"/>
                <w:szCs w:val="21"/>
              </w:rPr>
              <w:t>应收申购款</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5040" w:type="dxa"/>
            <w:vAlign w:val="center"/>
          </w:tcPr>
          <w:p w:rsidR="003663E4" w:rsidRDefault="00FD3F7D">
            <w:pPr>
              <w:spacing w:line="276" w:lineRule="auto"/>
              <w:jc w:val="right"/>
              <w:rPr>
                <w:color w:val="000000"/>
                <w:szCs w:val="21"/>
              </w:rPr>
            </w:pPr>
            <w:r>
              <w:rPr>
                <w:color w:val="000000"/>
                <w:szCs w:val="21"/>
              </w:rPr>
              <w:t>997.01</w:t>
            </w:r>
          </w:p>
        </w:tc>
      </w:tr>
      <w:tr w:rsidR="003663E4">
        <w:tc>
          <w:tcPr>
            <w:tcW w:w="2880" w:type="dxa"/>
            <w:vAlign w:val="center"/>
          </w:tcPr>
          <w:p w:rsidR="003663E4" w:rsidRDefault="00FD3F7D">
            <w:pPr>
              <w:spacing w:line="276" w:lineRule="auto"/>
              <w:rPr>
                <w:color w:val="000000"/>
                <w:szCs w:val="21"/>
              </w:rPr>
            </w:pPr>
            <w:r>
              <w:rPr>
                <w:color w:val="000000"/>
                <w:szCs w:val="21"/>
              </w:rPr>
              <w:t>递延所得税资产</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504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color w:val="000000"/>
                <w:szCs w:val="21"/>
              </w:rPr>
            </w:pPr>
            <w:r>
              <w:rPr>
                <w:color w:val="000000"/>
                <w:szCs w:val="21"/>
              </w:rPr>
              <w:t>其他资产</w:t>
            </w:r>
          </w:p>
        </w:tc>
        <w:tc>
          <w:tcPr>
            <w:tcW w:w="1080" w:type="dxa"/>
            <w:vAlign w:val="center"/>
          </w:tcPr>
          <w:p w:rsidR="003663E4" w:rsidRDefault="00FD3F7D">
            <w:pPr>
              <w:pStyle w:val="af9"/>
              <w:spacing w:line="276" w:lineRule="auto"/>
              <w:jc w:val="center"/>
              <w:rPr>
                <w:rFonts w:ascii="Times New Roman" w:hAnsi="Times New Roman"/>
                <w:color w:val="000000"/>
                <w:sz w:val="21"/>
                <w:szCs w:val="21"/>
              </w:rPr>
            </w:pPr>
            <w:r>
              <w:rPr>
                <w:rFonts w:ascii="Times New Roman" w:hAnsi="Times New Roman"/>
                <w:color w:val="000000"/>
                <w:sz w:val="21"/>
                <w:szCs w:val="21"/>
              </w:rPr>
              <w:t>7.1.4.7.6</w:t>
            </w:r>
          </w:p>
        </w:tc>
        <w:tc>
          <w:tcPr>
            <w:tcW w:w="504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b/>
                <w:color w:val="000000"/>
                <w:szCs w:val="21"/>
              </w:rPr>
            </w:pPr>
            <w:r>
              <w:rPr>
                <w:b/>
                <w:color w:val="000000"/>
                <w:szCs w:val="21"/>
              </w:rPr>
              <w:t>资产总计</w:t>
            </w:r>
          </w:p>
        </w:tc>
        <w:tc>
          <w:tcPr>
            <w:tcW w:w="1080" w:type="dxa"/>
            <w:vAlign w:val="center"/>
          </w:tcPr>
          <w:p w:rsidR="003663E4" w:rsidRDefault="003663E4">
            <w:pPr>
              <w:pStyle w:val="af9"/>
              <w:spacing w:line="276" w:lineRule="auto"/>
              <w:jc w:val="center"/>
              <w:rPr>
                <w:rFonts w:ascii="Times New Roman" w:hAnsi="Times New Roman"/>
                <w:b/>
                <w:color w:val="000000"/>
                <w:sz w:val="21"/>
                <w:szCs w:val="21"/>
              </w:rPr>
            </w:pPr>
          </w:p>
        </w:tc>
        <w:tc>
          <w:tcPr>
            <w:tcW w:w="5040" w:type="dxa"/>
            <w:vAlign w:val="center"/>
          </w:tcPr>
          <w:p w:rsidR="003663E4" w:rsidRDefault="00FD3F7D">
            <w:pPr>
              <w:spacing w:line="276" w:lineRule="auto"/>
              <w:jc w:val="right"/>
              <w:rPr>
                <w:b/>
                <w:color w:val="000000"/>
                <w:szCs w:val="21"/>
              </w:rPr>
            </w:pPr>
            <w:r>
              <w:rPr>
                <w:b/>
                <w:color w:val="000000"/>
                <w:szCs w:val="21"/>
              </w:rPr>
              <w:t>778,893,709.20</w:t>
            </w:r>
          </w:p>
        </w:tc>
      </w:tr>
      <w:tr w:rsidR="003663E4">
        <w:tc>
          <w:tcPr>
            <w:tcW w:w="2880" w:type="dxa"/>
            <w:vAlign w:val="center"/>
          </w:tcPr>
          <w:p w:rsidR="003663E4" w:rsidRDefault="00FD3F7D">
            <w:pPr>
              <w:pStyle w:val="af9"/>
              <w:spacing w:line="276" w:lineRule="auto"/>
              <w:jc w:val="center"/>
              <w:rPr>
                <w:rFonts w:ascii="Times New Roman" w:hAnsi="Times New Roman"/>
                <w:b/>
                <w:color w:val="000000"/>
                <w:sz w:val="21"/>
                <w:szCs w:val="21"/>
              </w:rPr>
            </w:pPr>
            <w:r>
              <w:rPr>
                <w:rFonts w:ascii="Times New Roman" w:hAnsi="Times New Roman"/>
                <w:b/>
                <w:color w:val="000000"/>
                <w:sz w:val="21"/>
                <w:szCs w:val="21"/>
              </w:rPr>
              <w:t>负债和所有者权益</w:t>
            </w:r>
          </w:p>
        </w:tc>
        <w:tc>
          <w:tcPr>
            <w:tcW w:w="1080" w:type="dxa"/>
            <w:vAlign w:val="center"/>
          </w:tcPr>
          <w:p w:rsidR="003663E4" w:rsidRDefault="00FD3F7D">
            <w:pPr>
              <w:pStyle w:val="af9"/>
              <w:spacing w:line="276" w:lineRule="auto"/>
              <w:jc w:val="center"/>
              <w:rPr>
                <w:rFonts w:ascii="Times New Roman" w:hAnsi="Times New Roman"/>
                <w:b/>
                <w:color w:val="000000"/>
                <w:sz w:val="21"/>
                <w:szCs w:val="21"/>
              </w:rPr>
            </w:pPr>
            <w:r>
              <w:rPr>
                <w:rFonts w:ascii="Times New Roman" w:hAnsi="Times New Roman"/>
                <w:b/>
                <w:color w:val="000000"/>
                <w:sz w:val="21"/>
                <w:szCs w:val="21"/>
              </w:rPr>
              <w:t>附注号</w:t>
            </w:r>
          </w:p>
        </w:tc>
        <w:tc>
          <w:tcPr>
            <w:tcW w:w="5040" w:type="dxa"/>
            <w:vAlign w:val="center"/>
          </w:tcPr>
          <w:p w:rsidR="003663E4" w:rsidRDefault="00FD3F7D">
            <w:pPr>
              <w:pStyle w:val="af9"/>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本期末</w:t>
            </w:r>
          </w:p>
          <w:p w:rsidR="003663E4" w:rsidRDefault="00FD3F7D">
            <w:pPr>
              <w:pStyle w:val="af9"/>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kern w:val="2"/>
                <w:sz w:val="21"/>
                <w:szCs w:val="21"/>
              </w:rPr>
              <w:t>2020</w:t>
            </w:r>
            <w:r>
              <w:rPr>
                <w:rFonts w:ascii="Times New Roman" w:hAnsi="Times New Roman"/>
                <w:b/>
                <w:color w:val="000000"/>
                <w:kern w:val="2"/>
                <w:sz w:val="21"/>
                <w:szCs w:val="21"/>
              </w:rPr>
              <w:t>年</w:t>
            </w:r>
            <w:r>
              <w:rPr>
                <w:rFonts w:ascii="Times New Roman" w:hAnsi="Times New Roman"/>
                <w:b/>
                <w:color w:val="000000"/>
                <w:kern w:val="2"/>
                <w:sz w:val="21"/>
                <w:szCs w:val="21"/>
              </w:rPr>
              <w:t>12</w:t>
            </w:r>
            <w:r>
              <w:rPr>
                <w:rFonts w:ascii="Times New Roman" w:hAnsi="Times New Roman"/>
                <w:b/>
                <w:color w:val="000000"/>
                <w:kern w:val="2"/>
                <w:sz w:val="21"/>
                <w:szCs w:val="21"/>
              </w:rPr>
              <w:t>月</w:t>
            </w:r>
            <w:r>
              <w:rPr>
                <w:rFonts w:ascii="Times New Roman" w:hAnsi="Times New Roman"/>
                <w:b/>
                <w:color w:val="000000"/>
                <w:kern w:val="2"/>
                <w:sz w:val="21"/>
                <w:szCs w:val="21"/>
              </w:rPr>
              <w:t>31</w:t>
            </w:r>
            <w:r>
              <w:rPr>
                <w:rFonts w:ascii="Times New Roman" w:hAnsi="Times New Roman"/>
                <w:b/>
                <w:color w:val="000000"/>
                <w:kern w:val="2"/>
                <w:sz w:val="21"/>
                <w:szCs w:val="21"/>
              </w:rPr>
              <w:t>日</w:t>
            </w:r>
          </w:p>
        </w:tc>
      </w:tr>
      <w:tr w:rsidR="003663E4">
        <w:tc>
          <w:tcPr>
            <w:tcW w:w="2880" w:type="dxa"/>
            <w:vAlign w:val="center"/>
          </w:tcPr>
          <w:p w:rsidR="003663E4" w:rsidRDefault="00FD3F7D">
            <w:pPr>
              <w:spacing w:line="276" w:lineRule="auto"/>
              <w:rPr>
                <w:color w:val="000000"/>
                <w:szCs w:val="21"/>
              </w:rPr>
            </w:pPr>
            <w:r>
              <w:rPr>
                <w:color w:val="000000"/>
                <w:szCs w:val="21"/>
              </w:rPr>
              <w:t>负</w:t>
            </w:r>
            <w:r>
              <w:rPr>
                <w:color w:val="000000"/>
                <w:szCs w:val="21"/>
              </w:rPr>
              <w:t xml:space="preserve"> </w:t>
            </w:r>
            <w:r>
              <w:rPr>
                <w:color w:val="000000"/>
                <w:szCs w:val="21"/>
              </w:rPr>
              <w:t>债：</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5040" w:type="dxa"/>
            <w:vAlign w:val="center"/>
          </w:tcPr>
          <w:p w:rsidR="003663E4" w:rsidRDefault="003663E4">
            <w:pPr>
              <w:spacing w:line="276" w:lineRule="auto"/>
              <w:jc w:val="right"/>
              <w:rPr>
                <w:color w:val="000000"/>
                <w:szCs w:val="21"/>
              </w:rPr>
            </w:pPr>
          </w:p>
        </w:tc>
      </w:tr>
      <w:tr w:rsidR="003663E4">
        <w:tc>
          <w:tcPr>
            <w:tcW w:w="2880" w:type="dxa"/>
            <w:vAlign w:val="center"/>
          </w:tcPr>
          <w:p w:rsidR="003663E4" w:rsidRDefault="00FD3F7D">
            <w:pPr>
              <w:spacing w:line="276" w:lineRule="auto"/>
              <w:rPr>
                <w:color w:val="000000"/>
                <w:szCs w:val="21"/>
              </w:rPr>
            </w:pPr>
            <w:r>
              <w:rPr>
                <w:color w:val="000000"/>
                <w:szCs w:val="21"/>
              </w:rPr>
              <w:t>短期借款</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504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color w:val="000000"/>
                <w:szCs w:val="21"/>
              </w:rPr>
            </w:pPr>
            <w:r>
              <w:rPr>
                <w:color w:val="000000"/>
                <w:szCs w:val="21"/>
              </w:rPr>
              <w:t>交易性金融负债</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504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color w:val="000000"/>
                <w:szCs w:val="21"/>
              </w:rPr>
            </w:pPr>
            <w:r>
              <w:rPr>
                <w:color w:val="000000"/>
                <w:szCs w:val="21"/>
              </w:rPr>
              <w:t>衍生金融负债</w:t>
            </w:r>
          </w:p>
        </w:tc>
        <w:tc>
          <w:tcPr>
            <w:tcW w:w="1080" w:type="dxa"/>
            <w:vAlign w:val="center"/>
          </w:tcPr>
          <w:p w:rsidR="003663E4" w:rsidRDefault="00FD3F7D">
            <w:pPr>
              <w:pStyle w:val="af9"/>
              <w:spacing w:line="276" w:lineRule="auto"/>
              <w:jc w:val="center"/>
              <w:rPr>
                <w:rFonts w:ascii="Times New Roman" w:hAnsi="Times New Roman"/>
                <w:color w:val="000000"/>
                <w:sz w:val="21"/>
                <w:szCs w:val="21"/>
              </w:rPr>
            </w:pPr>
            <w:r>
              <w:rPr>
                <w:rFonts w:ascii="Times New Roman" w:hAnsi="Times New Roman"/>
                <w:color w:val="000000"/>
                <w:sz w:val="21"/>
                <w:szCs w:val="21"/>
              </w:rPr>
              <w:t>7.1.4.7.3</w:t>
            </w:r>
          </w:p>
        </w:tc>
        <w:tc>
          <w:tcPr>
            <w:tcW w:w="504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color w:val="000000"/>
                <w:szCs w:val="21"/>
              </w:rPr>
            </w:pPr>
            <w:r>
              <w:rPr>
                <w:color w:val="000000"/>
                <w:szCs w:val="21"/>
              </w:rPr>
              <w:t>卖出回购金融资产款</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504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color w:val="000000"/>
                <w:szCs w:val="21"/>
              </w:rPr>
            </w:pPr>
            <w:r>
              <w:rPr>
                <w:color w:val="000000"/>
                <w:szCs w:val="21"/>
              </w:rPr>
              <w:t>应付证券清算款</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504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color w:val="000000"/>
                <w:szCs w:val="21"/>
              </w:rPr>
            </w:pPr>
            <w:r>
              <w:rPr>
                <w:color w:val="000000"/>
                <w:szCs w:val="21"/>
              </w:rPr>
              <w:t>应付赎回款</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504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color w:val="000000"/>
                <w:szCs w:val="21"/>
              </w:rPr>
            </w:pPr>
            <w:r>
              <w:rPr>
                <w:color w:val="000000"/>
                <w:szCs w:val="21"/>
              </w:rPr>
              <w:t>应付管理人报酬</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5040" w:type="dxa"/>
            <w:vAlign w:val="center"/>
          </w:tcPr>
          <w:p w:rsidR="003663E4" w:rsidRDefault="00FD3F7D">
            <w:pPr>
              <w:spacing w:line="276" w:lineRule="auto"/>
              <w:jc w:val="right"/>
              <w:rPr>
                <w:color w:val="000000"/>
                <w:szCs w:val="21"/>
              </w:rPr>
            </w:pPr>
            <w:r>
              <w:rPr>
                <w:color w:val="000000"/>
                <w:szCs w:val="21"/>
              </w:rPr>
              <w:t>197,105.82</w:t>
            </w:r>
          </w:p>
        </w:tc>
      </w:tr>
      <w:tr w:rsidR="003663E4">
        <w:tc>
          <w:tcPr>
            <w:tcW w:w="2880" w:type="dxa"/>
            <w:vAlign w:val="center"/>
          </w:tcPr>
          <w:p w:rsidR="003663E4" w:rsidRDefault="00FD3F7D">
            <w:pPr>
              <w:spacing w:line="276" w:lineRule="auto"/>
              <w:rPr>
                <w:color w:val="000000"/>
                <w:szCs w:val="21"/>
              </w:rPr>
            </w:pPr>
            <w:r>
              <w:rPr>
                <w:color w:val="000000"/>
                <w:szCs w:val="21"/>
              </w:rPr>
              <w:t>应付托管费</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5040" w:type="dxa"/>
            <w:vAlign w:val="center"/>
          </w:tcPr>
          <w:p w:rsidR="003663E4" w:rsidRDefault="00FD3F7D">
            <w:pPr>
              <w:spacing w:line="276" w:lineRule="auto"/>
              <w:jc w:val="right"/>
              <w:rPr>
                <w:color w:val="000000"/>
                <w:szCs w:val="21"/>
              </w:rPr>
            </w:pPr>
            <w:r>
              <w:rPr>
                <w:color w:val="000000"/>
                <w:szCs w:val="21"/>
              </w:rPr>
              <w:t>65,701.92</w:t>
            </w:r>
          </w:p>
        </w:tc>
      </w:tr>
      <w:tr w:rsidR="003663E4">
        <w:tc>
          <w:tcPr>
            <w:tcW w:w="2880" w:type="dxa"/>
            <w:vAlign w:val="center"/>
          </w:tcPr>
          <w:p w:rsidR="003663E4" w:rsidRDefault="00FD3F7D">
            <w:pPr>
              <w:spacing w:line="276" w:lineRule="auto"/>
              <w:rPr>
                <w:color w:val="000000"/>
                <w:szCs w:val="21"/>
              </w:rPr>
            </w:pPr>
            <w:r>
              <w:rPr>
                <w:color w:val="000000"/>
                <w:szCs w:val="21"/>
              </w:rPr>
              <w:t>应付销售服务费</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504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color w:val="000000"/>
                <w:szCs w:val="21"/>
              </w:rPr>
            </w:pPr>
            <w:r>
              <w:rPr>
                <w:color w:val="000000"/>
                <w:szCs w:val="21"/>
              </w:rPr>
              <w:t>应付交易费用</w:t>
            </w:r>
          </w:p>
        </w:tc>
        <w:tc>
          <w:tcPr>
            <w:tcW w:w="1080" w:type="dxa"/>
            <w:vAlign w:val="center"/>
          </w:tcPr>
          <w:p w:rsidR="003663E4" w:rsidRDefault="00FD3F7D">
            <w:pPr>
              <w:pStyle w:val="af9"/>
              <w:spacing w:line="276" w:lineRule="auto"/>
              <w:jc w:val="center"/>
              <w:rPr>
                <w:rFonts w:ascii="Times New Roman" w:hAnsi="Times New Roman"/>
                <w:color w:val="000000"/>
                <w:sz w:val="21"/>
                <w:szCs w:val="21"/>
              </w:rPr>
            </w:pPr>
            <w:r>
              <w:rPr>
                <w:rFonts w:ascii="Times New Roman" w:hAnsi="Times New Roman"/>
                <w:color w:val="000000"/>
                <w:sz w:val="21"/>
                <w:szCs w:val="21"/>
              </w:rPr>
              <w:t>7.1.4.7.7</w:t>
            </w:r>
          </w:p>
        </w:tc>
        <w:tc>
          <w:tcPr>
            <w:tcW w:w="5040" w:type="dxa"/>
            <w:vAlign w:val="center"/>
          </w:tcPr>
          <w:p w:rsidR="003663E4" w:rsidRDefault="00FD3F7D">
            <w:pPr>
              <w:spacing w:line="276" w:lineRule="auto"/>
              <w:jc w:val="right"/>
              <w:rPr>
                <w:color w:val="000000"/>
                <w:szCs w:val="21"/>
              </w:rPr>
            </w:pPr>
            <w:r>
              <w:rPr>
                <w:color w:val="000000"/>
                <w:szCs w:val="21"/>
              </w:rPr>
              <w:t>15,830.16</w:t>
            </w:r>
          </w:p>
        </w:tc>
      </w:tr>
      <w:tr w:rsidR="003663E4">
        <w:tc>
          <w:tcPr>
            <w:tcW w:w="2880" w:type="dxa"/>
            <w:vAlign w:val="center"/>
          </w:tcPr>
          <w:p w:rsidR="003663E4" w:rsidRDefault="00FD3F7D">
            <w:pPr>
              <w:spacing w:line="276" w:lineRule="auto"/>
              <w:rPr>
                <w:color w:val="000000"/>
                <w:szCs w:val="21"/>
              </w:rPr>
            </w:pPr>
            <w:r>
              <w:rPr>
                <w:color w:val="000000"/>
                <w:szCs w:val="21"/>
              </w:rPr>
              <w:t>应交税费</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5040" w:type="dxa"/>
            <w:vAlign w:val="center"/>
          </w:tcPr>
          <w:p w:rsidR="003663E4" w:rsidRDefault="00FD3F7D">
            <w:pPr>
              <w:spacing w:line="276" w:lineRule="auto"/>
              <w:jc w:val="right"/>
              <w:rPr>
                <w:color w:val="000000"/>
                <w:szCs w:val="21"/>
              </w:rPr>
            </w:pPr>
            <w:r>
              <w:rPr>
                <w:color w:val="000000"/>
                <w:szCs w:val="21"/>
              </w:rPr>
              <w:t>1,263.20</w:t>
            </w:r>
          </w:p>
        </w:tc>
      </w:tr>
      <w:tr w:rsidR="003663E4">
        <w:tc>
          <w:tcPr>
            <w:tcW w:w="2880" w:type="dxa"/>
            <w:vAlign w:val="center"/>
          </w:tcPr>
          <w:p w:rsidR="003663E4" w:rsidRDefault="00FD3F7D">
            <w:pPr>
              <w:spacing w:line="276" w:lineRule="auto"/>
              <w:rPr>
                <w:color w:val="000000"/>
                <w:szCs w:val="21"/>
              </w:rPr>
            </w:pPr>
            <w:r>
              <w:rPr>
                <w:color w:val="000000"/>
                <w:szCs w:val="21"/>
              </w:rPr>
              <w:t>应付利息</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504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color w:val="000000"/>
                <w:szCs w:val="21"/>
              </w:rPr>
            </w:pPr>
            <w:r>
              <w:rPr>
                <w:color w:val="000000"/>
                <w:szCs w:val="21"/>
              </w:rPr>
              <w:t>应付利润</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504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color w:val="000000"/>
                <w:szCs w:val="21"/>
              </w:rPr>
            </w:pPr>
            <w:r>
              <w:rPr>
                <w:color w:val="000000"/>
                <w:szCs w:val="21"/>
              </w:rPr>
              <w:t>递延所得税负债</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504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color w:val="000000"/>
                <w:szCs w:val="21"/>
              </w:rPr>
            </w:pPr>
            <w:r>
              <w:rPr>
                <w:color w:val="000000"/>
                <w:szCs w:val="21"/>
              </w:rPr>
              <w:t>其他负债</w:t>
            </w:r>
          </w:p>
        </w:tc>
        <w:tc>
          <w:tcPr>
            <w:tcW w:w="1080" w:type="dxa"/>
            <w:vAlign w:val="center"/>
          </w:tcPr>
          <w:p w:rsidR="003663E4" w:rsidRDefault="00FD3F7D">
            <w:pPr>
              <w:pStyle w:val="af9"/>
              <w:spacing w:line="276" w:lineRule="auto"/>
              <w:jc w:val="center"/>
              <w:rPr>
                <w:rFonts w:ascii="Times New Roman" w:hAnsi="Times New Roman"/>
                <w:color w:val="000000"/>
                <w:sz w:val="21"/>
                <w:szCs w:val="21"/>
              </w:rPr>
            </w:pPr>
            <w:r>
              <w:rPr>
                <w:rFonts w:ascii="Times New Roman" w:hAnsi="Times New Roman"/>
                <w:color w:val="000000"/>
                <w:sz w:val="21"/>
                <w:szCs w:val="21"/>
              </w:rPr>
              <w:t>7.1.4.7.8</w:t>
            </w:r>
          </w:p>
        </w:tc>
        <w:tc>
          <w:tcPr>
            <w:tcW w:w="5040" w:type="dxa"/>
            <w:vAlign w:val="center"/>
          </w:tcPr>
          <w:p w:rsidR="003663E4" w:rsidRDefault="00FD3F7D">
            <w:pPr>
              <w:spacing w:line="276" w:lineRule="auto"/>
              <w:jc w:val="right"/>
              <w:rPr>
                <w:color w:val="000000"/>
                <w:szCs w:val="21"/>
              </w:rPr>
            </w:pPr>
            <w:r>
              <w:rPr>
                <w:color w:val="000000"/>
                <w:szCs w:val="21"/>
              </w:rPr>
              <w:t>219,300.00</w:t>
            </w:r>
          </w:p>
        </w:tc>
      </w:tr>
      <w:tr w:rsidR="003663E4">
        <w:tc>
          <w:tcPr>
            <w:tcW w:w="2880" w:type="dxa"/>
            <w:vAlign w:val="center"/>
          </w:tcPr>
          <w:p w:rsidR="003663E4" w:rsidRDefault="00FD3F7D">
            <w:pPr>
              <w:pStyle w:val="af9"/>
              <w:spacing w:line="276" w:lineRule="auto"/>
              <w:jc w:val="both"/>
              <w:rPr>
                <w:rFonts w:ascii="Times New Roman" w:hAnsi="Times New Roman"/>
                <w:b/>
                <w:color w:val="000000"/>
                <w:sz w:val="21"/>
                <w:szCs w:val="21"/>
              </w:rPr>
            </w:pPr>
            <w:r>
              <w:rPr>
                <w:rFonts w:ascii="Times New Roman" w:hAnsi="Times New Roman"/>
                <w:b/>
                <w:color w:val="000000"/>
                <w:sz w:val="21"/>
                <w:szCs w:val="21"/>
              </w:rPr>
              <w:t>负债合计</w:t>
            </w:r>
          </w:p>
        </w:tc>
        <w:tc>
          <w:tcPr>
            <w:tcW w:w="1080" w:type="dxa"/>
            <w:vAlign w:val="center"/>
          </w:tcPr>
          <w:p w:rsidR="003663E4" w:rsidRDefault="003663E4">
            <w:pPr>
              <w:pStyle w:val="af9"/>
              <w:spacing w:line="276" w:lineRule="auto"/>
              <w:jc w:val="center"/>
              <w:rPr>
                <w:rFonts w:ascii="Times New Roman" w:hAnsi="Times New Roman"/>
                <w:b/>
                <w:color w:val="000000"/>
                <w:sz w:val="21"/>
                <w:szCs w:val="21"/>
              </w:rPr>
            </w:pPr>
          </w:p>
        </w:tc>
        <w:tc>
          <w:tcPr>
            <w:tcW w:w="5040" w:type="dxa"/>
            <w:vAlign w:val="center"/>
          </w:tcPr>
          <w:p w:rsidR="003663E4" w:rsidRDefault="00FD3F7D">
            <w:pPr>
              <w:spacing w:line="276" w:lineRule="auto"/>
              <w:jc w:val="right"/>
              <w:rPr>
                <w:b/>
                <w:color w:val="000000"/>
                <w:szCs w:val="21"/>
              </w:rPr>
            </w:pPr>
            <w:r>
              <w:rPr>
                <w:b/>
                <w:color w:val="000000"/>
                <w:szCs w:val="21"/>
              </w:rPr>
              <w:t>499,201.10</w:t>
            </w:r>
          </w:p>
        </w:tc>
      </w:tr>
      <w:tr w:rsidR="003663E4">
        <w:tc>
          <w:tcPr>
            <w:tcW w:w="2880" w:type="dxa"/>
            <w:vAlign w:val="center"/>
          </w:tcPr>
          <w:p w:rsidR="003663E4" w:rsidRDefault="00FD3F7D">
            <w:pPr>
              <w:spacing w:line="276" w:lineRule="auto"/>
              <w:rPr>
                <w:b/>
                <w:color w:val="000000"/>
                <w:szCs w:val="21"/>
              </w:rPr>
            </w:pPr>
            <w:r>
              <w:rPr>
                <w:b/>
                <w:color w:val="000000"/>
                <w:szCs w:val="21"/>
              </w:rPr>
              <w:t>所有者权益：</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5040" w:type="dxa"/>
            <w:vAlign w:val="center"/>
          </w:tcPr>
          <w:p w:rsidR="003663E4" w:rsidRDefault="003663E4">
            <w:pPr>
              <w:spacing w:line="276" w:lineRule="auto"/>
              <w:jc w:val="right"/>
              <w:rPr>
                <w:b/>
                <w:color w:val="000000"/>
                <w:szCs w:val="21"/>
              </w:rPr>
            </w:pPr>
          </w:p>
        </w:tc>
      </w:tr>
      <w:tr w:rsidR="003663E4">
        <w:tc>
          <w:tcPr>
            <w:tcW w:w="2880" w:type="dxa"/>
            <w:vAlign w:val="center"/>
          </w:tcPr>
          <w:p w:rsidR="003663E4" w:rsidRDefault="00FD3F7D">
            <w:pPr>
              <w:spacing w:line="276" w:lineRule="auto"/>
              <w:rPr>
                <w:color w:val="000000"/>
                <w:szCs w:val="21"/>
              </w:rPr>
            </w:pPr>
            <w:r>
              <w:rPr>
                <w:color w:val="000000"/>
                <w:szCs w:val="21"/>
              </w:rPr>
              <w:t>实收基金</w:t>
            </w:r>
          </w:p>
        </w:tc>
        <w:tc>
          <w:tcPr>
            <w:tcW w:w="1080" w:type="dxa"/>
            <w:vAlign w:val="center"/>
          </w:tcPr>
          <w:p w:rsidR="003663E4" w:rsidRDefault="00FD3F7D">
            <w:pPr>
              <w:pStyle w:val="af9"/>
              <w:spacing w:line="276" w:lineRule="auto"/>
              <w:jc w:val="center"/>
              <w:rPr>
                <w:rFonts w:ascii="Times New Roman" w:hAnsi="Times New Roman"/>
                <w:color w:val="000000"/>
                <w:sz w:val="21"/>
                <w:szCs w:val="21"/>
              </w:rPr>
            </w:pPr>
            <w:r>
              <w:rPr>
                <w:rFonts w:ascii="Times New Roman" w:hAnsi="Times New Roman"/>
                <w:color w:val="000000"/>
                <w:sz w:val="21"/>
                <w:szCs w:val="21"/>
              </w:rPr>
              <w:t>7.1.4.7.9</w:t>
            </w:r>
          </w:p>
        </w:tc>
        <w:tc>
          <w:tcPr>
            <w:tcW w:w="5040" w:type="dxa"/>
            <w:vAlign w:val="center"/>
          </w:tcPr>
          <w:p w:rsidR="003663E4" w:rsidRDefault="00FD3F7D">
            <w:pPr>
              <w:spacing w:line="276" w:lineRule="auto"/>
              <w:jc w:val="right"/>
              <w:rPr>
                <w:color w:val="000000"/>
                <w:szCs w:val="21"/>
              </w:rPr>
            </w:pPr>
            <w:r>
              <w:rPr>
                <w:color w:val="000000"/>
                <w:szCs w:val="21"/>
              </w:rPr>
              <w:t>769,512,873.77</w:t>
            </w:r>
          </w:p>
        </w:tc>
      </w:tr>
      <w:tr w:rsidR="003663E4">
        <w:tc>
          <w:tcPr>
            <w:tcW w:w="2880" w:type="dxa"/>
            <w:vAlign w:val="center"/>
          </w:tcPr>
          <w:p w:rsidR="003663E4" w:rsidRDefault="00FD3F7D">
            <w:pPr>
              <w:spacing w:line="276" w:lineRule="auto"/>
              <w:rPr>
                <w:color w:val="000000"/>
                <w:szCs w:val="21"/>
              </w:rPr>
            </w:pPr>
            <w:r>
              <w:rPr>
                <w:color w:val="000000"/>
                <w:szCs w:val="21"/>
              </w:rPr>
              <w:t>未分配利润</w:t>
            </w:r>
          </w:p>
        </w:tc>
        <w:tc>
          <w:tcPr>
            <w:tcW w:w="1080" w:type="dxa"/>
            <w:vAlign w:val="center"/>
          </w:tcPr>
          <w:p w:rsidR="003663E4" w:rsidRDefault="00FD3F7D">
            <w:pPr>
              <w:pStyle w:val="af9"/>
              <w:spacing w:line="276" w:lineRule="auto"/>
              <w:jc w:val="center"/>
              <w:rPr>
                <w:rFonts w:ascii="Times New Roman" w:hAnsi="Times New Roman"/>
                <w:color w:val="000000"/>
                <w:sz w:val="21"/>
                <w:szCs w:val="21"/>
              </w:rPr>
            </w:pPr>
            <w:r>
              <w:rPr>
                <w:rFonts w:ascii="Times New Roman" w:hAnsi="Times New Roman"/>
                <w:color w:val="000000"/>
                <w:sz w:val="21"/>
                <w:szCs w:val="21"/>
              </w:rPr>
              <w:t>7.1.4.7.10</w:t>
            </w:r>
          </w:p>
        </w:tc>
        <w:tc>
          <w:tcPr>
            <w:tcW w:w="5040" w:type="dxa"/>
            <w:vAlign w:val="center"/>
          </w:tcPr>
          <w:p w:rsidR="003663E4" w:rsidRDefault="00FD3F7D">
            <w:pPr>
              <w:spacing w:line="276" w:lineRule="auto"/>
              <w:jc w:val="right"/>
              <w:rPr>
                <w:color w:val="000000"/>
                <w:szCs w:val="21"/>
              </w:rPr>
            </w:pPr>
            <w:r>
              <w:rPr>
                <w:color w:val="000000"/>
                <w:szCs w:val="21"/>
              </w:rPr>
              <w:t>8,881,634.33</w:t>
            </w:r>
          </w:p>
        </w:tc>
      </w:tr>
      <w:tr w:rsidR="003663E4">
        <w:tc>
          <w:tcPr>
            <w:tcW w:w="2880" w:type="dxa"/>
            <w:vAlign w:val="center"/>
          </w:tcPr>
          <w:p w:rsidR="003663E4" w:rsidRDefault="00FD3F7D">
            <w:pPr>
              <w:spacing w:line="276" w:lineRule="auto"/>
              <w:rPr>
                <w:b/>
                <w:color w:val="000000"/>
                <w:szCs w:val="21"/>
              </w:rPr>
            </w:pPr>
            <w:r>
              <w:rPr>
                <w:b/>
                <w:color w:val="000000"/>
                <w:szCs w:val="21"/>
              </w:rPr>
              <w:t>所有者权益合计</w:t>
            </w:r>
          </w:p>
        </w:tc>
        <w:tc>
          <w:tcPr>
            <w:tcW w:w="1080" w:type="dxa"/>
            <w:vAlign w:val="center"/>
          </w:tcPr>
          <w:p w:rsidR="003663E4" w:rsidRDefault="003663E4">
            <w:pPr>
              <w:pStyle w:val="af9"/>
              <w:spacing w:line="276" w:lineRule="auto"/>
              <w:jc w:val="center"/>
              <w:rPr>
                <w:rFonts w:ascii="Times New Roman" w:hAnsi="Times New Roman"/>
                <w:b/>
                <w:color w:val="000000"/>
                <w:sz w:val="21"/>
                <w:szCs w:val="21"/>
              </w:rPr>
            </w:pPr>
          </w:p>
        </w:tc>
        <w:tc>
          <w:tcPr>
            <w:tcW w:w="5040" w:type="dxa"/>
            <w:vAlign w:val="center"/>
          </w:tcPr>
          <w:p w:rsidR="003663E4" w:rsidRDefault="00FD3F7D">
            <w:pPr>
              <w:spacing w:line="276" w:lineRule="auto"/>
              <w:jc w:val="right"/>
              <w:rPr>
                <w:b/>
                <w:color w:val="000000"/>
                <w:szCs w:val="21"/>
              </w:rPr>
            </w:pPr>
            <w:r>
              <w:rPr>
                <w:b/>
                <w:color w:val="000000"/>
                <w:szCs w:val="21"/>
              </w:rPr>
              <w:t>778,394,508.10</w:t>
            </w:r>
          </w:p>
        </w:tc>
      </w:tr>
      <w:tr w:rsidR="003663E4">
        <w:tc>
          <w:tcPr>
            <w:tcW w:w="2880" w:type="dxa"/>
            <w:vAlign w:val="center"/>
          </w:tcPr>
          <w:p w:rsidR="003663E4" w:rsidRDefault="00FD3F7D">
            <w:pPr>
              <w:spacing w:line="276" w:lineRule="auto"/>
              <w:rPr>
                <w:b/>
                <w:color w:val="000000"/>
                <w:szCs w:val="21"/>
              </w:rPr>
            </w:pPr>
            <w:r>
              <w:rPr>
                <w:b/>
                <w:color w:val="000000"/>
                <w:szCs w:val="21"/>
              </w:rPr>
              <w:t>负债和所有者权益总计</w:t>
            </w:r>
          </w:p>
        </w:tc>
        <w:tc>
          <w:tcPr>
            <w:tcW w:w="1080" w:type="dxa"/>
            <w:vAlign w:val="center"/>
          </w:tcPr>
          <w:p w:rsidR="003663E4" w:rsidRDefault="003663E4">
            <w:pPr>
              <w:pStyle w:val="af9"/>
              <w:spacing w:line="276" w:lineRule="auto"/>
              <w:jc w:val="center"/>
              <w:rPr>
                <w:rFonts w:ascii="Times New Roman" w:hAnsi="Times New Roman"/>
                <w:b/>
                <w:color w:val="000000"/>
                <w:sz w:val="21"/>
                <w:szCs w:val="21"/>
              </w:rPr>
            </w:pPr>
          </w:p>
        </w:tc>
        <w:tc>
          <w:tcPr>
            <w:tcW w:w="5040" w:type="dxa"/>
            <w:vAlign w:val="center"/>
          </w:tcPr>
          <w:p w:rsidR="003663E4" w:rsidRDefault="00FD3F7D">
            <w:pPr>
              <w:spacing w:line="276" w:lineRule="auto"/>
              <w:jc w:val="right"/>
              <w:rPr>
                <w:b/>
                <w:color w:val="000000"/>
                <w:szCs w:val="21"/>
              </w:rPr>
            </w:pPr>
            <w:r>
              <w:rPr>
                <w:b/>
                <w:color w:val="000000"/>
                <w:szCs w:val="21"/>
              </w:rPr>
              <w:t>778,893,709.20</w:t>
            </w:r>
          </w:p>
        </w:tc>
      </w:tr>
    </w:tbl>
    <w:p w:rsidR="003663E4" w:rsidRDefault="00FD3F7D">
      <w:pPr>
        <w:spacing w:line="360" w:lineRule="auto"/>
        <w:ind w:firstLineChars="200" w:firstLine="420"/>
        <w:rPr>
          <w:color w:val="000000"/>
          <w:szCs w:val="21"/>
        </w:rPr>
      </w:pPr>
      <w:r>
        <w:rPr>
          <w:color w:val="000000"/>
          <w:szCs w:val="21"/>
        </w:rPr>
        <w:t>注：</w:t>
      </w:r>
      <w:r>
        <w:rPr>
          <w:color w:val="000000"/>
          <w:szCs w:val="21"/>
        </w:rPr>
        <w:t>1</w:t>
      </w:r>
      <w:r>
        <w:rPr>
          <w:color w:val="000000"/>
          <w:szCs w:val="21"/>
        </w:rPr>
        <w:t>、报告截止日</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日，基金份额净值</w:t>
      </w:r>
      <w:r>
        <w:rPr>
          <w:color w:val="000000"/>
          <w:szCs w:val="21"/>
        </w:rPr>
        <w:t>1.0115</w:t>
      </w:r>
      <w:r>
        <w:rPr>
          <w:color w:val="000000"/>
          <w:szCs w:val="21"/>
        </w:rPr>
        <w:t>元，基金份额总额</w:t>
      </w:r>
      <w:r>
        <w:rPr>
          <w:color w:val="000000"/>
          <w:szCs w:val="21"/>
        </w:rPr>
        <w:t>769,512,873.77</w:t>
      </w:r>
      <w:r>
        <w:rPr>
          <w:color w:val="000000"/>
          <w:szCs w:val="21"/>
        </w:rPr>
        <w:t>份。</w:t>
      </w:r>
    </w:p>
    <w:p w:rsidR="003663E4" w:rsidRDefault="00FD3F7D">
      <w:pPr>
        <w:spacing w:line="360" w:lineRule="auto"/>
        <w:ind w:firstLineChars="200" w:firstLine="420"/>
        <w:rPr>
          <w:color w:val="000000"/>
          <w:szCs w:val="21"/>
        </w:rPr>
      </w:pPr>
      <w:r>
        <w:rPr>
          <w:color w:val="000000"/>
          <w:szCs w:val="21"/>
        </w:rPr>
        <w:t>2</w:t>
      </w:r>
      <w:r>
        <w:rPr>
          <w:color w:val="000000"/>
          <w:szCs w:val="21"/>
        </w:rPr>
        <w:t>、本财务报表的实际编制期间为</w:t>
      </w: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w:t>
      </w:r>
      <w:r>
        <w:rPr>
          <w:color w:val="000000"/>
          <w:szCs w:val="21"/>
        </w:rPr>
        <w:t>(</w:t>
      </w:r>
      <w:r>
        <w:rPr>
          <w:color w:val="000000"/>
          <w:szCs w:val="21"/>
        </w:rPr>
        <w:t>基金转型生效日</w:t>
      </w:r>
      <w:r>
        <w:rPr>
          <w:color w:val="000000"/>
          <w:szCs w:val="21"/>
        </w:rPr>
        <w:t>)</w:t>
      </w:r>
      <w:r>
        <w:rPr>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日止期间。</w:t>
      </w:r>
    </w:p>
    <w:p w:rsidR="003663E4" w:rsidRDefault="00FD3F7D">
      <w:pPr>
        <w:pStyle w:val="3"/>
        <w:spacing w:beforeLines="50" w:before="156" w:after="0" w:line="360" w:lineRule="auto"/>
        <w:rPr>
          <w:color w:val="000000"/>
          <w:sz w:val="21"/>
          <w:szCs w:val="21"/>
        </w:rPr>
      </w:pPr>
      <w:bookmarkStart w:id="150" w:name="_Toc508540284"/>
      <w:bookmarkStart w:id="151" w:name="_Toc23339380"/>
      <w:bookmarkStart w:id="152" w:name="_Toc12090"/>
      <w:r>
        <w:rPr>
          <w:color w:val="000000"/>
          <w:kern w:val="0"/>
          <w:sz w:val="21"/>
          <w:szCs w:val="21"/>
        </w:rPr>
        <w:t>7.1.2</w:t>
      </w:r>
      <w:r>
        <w:rPr>
          <w:rFonts w:hint="eastAsia"/>
          <w:color w:val="000000"/>
          <w:kern w:val="0"/>
          <w:sz w:val="21"/>
          <w:szCs w:val="21"/>
        </w:rPr>
        <w:t xml:space="preserve"> </w:t>
      </w:r>
      <w:r>
        <w:rPr>
          <w:color w:val="000000"/>
          <w:sz w:val="21"/>
          <w:szCs w:val="21"/>
        </w:rPr>
        <w:t>利润表</w:t>
      </w:r>
      <w:bookmarkEnd w:id="150"/>
      <w:bookmarkEnd w:id="151"/>
      <w:bookmarkEnd w:id="152"/>
    </w:p>
    <w:p w:rsidR="003663E4" w:rsidRDefault="00FD3F7D">
      <w:pPr>
        <w:spacing w:line="360" w:lineRule="auto"/>
        <w:rPr>
          <w:color w:val="000000"/>
          <w:kern w:val="0"/>
          <w:szCs w:val="21"/>
        </w:rPr>
      </w:pPr>
      <w:r>
        <w:rPr>
          <w:color w:val="000000"/>
          <w:szCs w:val="21"/>
        </w:rPr>
        <w:t>会计主体：</w:t>
      </w:r>
      <w:r>
        <w:rPr>
          <w:color w:val="000000"/>
          <w:kern w:val="0"/>
          <w:szCs w:val="21"/>
        </w:rPr>
        <w:t>交银施罗德裕惠纯债债券型证券投资基金</w:t>
      </w:r>
    </w:p>
    <w:p w:rsidR="003663E4" w:rsidRDefault="00FD3F7D">
      <w:pPr>
        <w:spacing w:line="360" w:lineRule="auto"/>
        <w:rPr>
          <w:color w:val="000000"/>
          <w:kern w:val="0"/>
          <w:szCs w:val="21"/>
        </w:rPr>
      </w:pPr>
      <w:r>
        <w:rPr>
          <w:color w:val="000000"/>
          <w:szCs w:val="21"/>
        </w:rPr>
        <w:t>本报告期：</w:t>
      </w:r>
      <w:r>
        <w:rPr>
          <w:color w:val="000000"/>
          <w:kern w:val="0"/>
          <w:szCs w:val="21"/>
        </w:rPr>
        <w:t>2020</w:t>
      </w:r>
      <w:r>
        <w:rPr>
          <w:color w:val="000000"/>
          <w:kern w:val="0"/>
          <w:szCs w:val="21"/>
        </w:rPr>
        <w:t>年</w:t>
      </w:r>
      <w:r>
        <w:rPr>
          <w:color w:val="000000"/>
          <w:kern w:val="0"/>
          <w:szCs w:val="21"/>
        </w:rPr>
        <w:t>7</w:t>
      </w:r>
      <w:r>
        <w:rPr>
          <w:color w:val="000000"/>
          <w:kern w:val="0"/>
          <w:szCs w:val="21"/>
        </w:rPr>
        <w:t>月</w:t>
      </w:r>
      <w:r>
        <w:rPr>
          <w:color w:val="000000"/>
          <w:kern w:val="0"/>
          <w:szCs w:val="21"/>
        </w:rPr>
        <w:t>28</w:t>
      </w:r>
      <w:r>
        <w:rPr>
          <w:color w:val="000000"/>
          <w:kern w:val="0"/>
          <w:szCs w:val="21"/>
        </w:rPr>
        <w:t>日（基金合同生效日）至</w:t>
      </w:r>
      <w:r>
        <w:rPr>
          <w:color w:val="000000"/>
          <w:kern w:val="0"/>
          <w:szCs w:val="21"/>
        </w:rPr>
        <w:t>2020</w:t>
      </w:r>
      <w:r>
        <w:rPr>
          <w:color w:val="000000"/>
          <w:kern w:val="0"/>
          <w:szCs w:val="21"/>
        </w:rPr>
        <w:t>年</w:t>
      </w:r>
      <w:r>
        <w:rPr>
          <w:color w:val="000000"/>
          <w:kern w:val="0"/>
          <w:szCs w:val="21"/>
        </w:rPr>
        <w:t>12</w:t>
      </w:r>
      <w:r>
        <w:rPr>
          <w:color w:val="000000"/>
          <w:kern w:val="0"/>
          <w:szCs w:val="21"/>
        </w:rPr>
        <w:t>月</w:t>
      </w:r>
      <w:r>
        <w:rPr>
          <w:color w:val="000000"/>
          <w:kern w:val="0"/>
          <w:szCs w:val="21"/>
        </w:rPr>
        <w:t>31</w:t>
      </w:r>
      <w:r>
        <w:rPr>
          <w:color w:val="000000"/>
          <w:kern w:val="0"/>
          <w:szCs w:val="21"/>
        </w:rPr>
        <w:t>日</w:t>
      </w:r>
    </w:p>
    <w:p w:rsidR="003663E4" w:rsidRDefault="00FD3F7D">
      <w:pPr>
        <w:autoSpaceDE w:val="0"/>
        <w:autoSpaceDN w:val="0"/>
        <w:adjustRightInd w:val="0"/>
        <w:spacing w:before="29" w:line="360" w:lineRule="auto"/>
        <w:ind w:left="15"/>
        <w:jc w:val="right"/>
        <w:rPr>
          <w:color w:val="000000"/>
          <w:kern w:val="0"/>
          <w:szCs w:val="21"/>
        </w:rPr>
      </w:pPr>
      <w:r>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4500"/>
      </w:tblGrid>
      <w:tr w:rsidR="003663E4">
        <w:tc>
          <w:tcPr>
            <w:tcW w:w="3420" w:type="dxa"/>
            <w:vAlign w:val="center"/>
          </w:tcPr>
          <w:p w:rsidR="003663E4" w:rsidRDefault="00FD3F7D">
            <w:pPr>
              <w:pStyle w:val="af9"/>
              <w:spacing w:line="276" w:lineRule="auto"/>
              <w:jc w:val="center"/>
              <w:rPr>
                <w:rFonts w:ascii="Times New Roman" w:hAnsi="Times New Roman"/>
                <w:b/>
                <w:color w:val="000000"/>
                <w:sz w:val="21"/>
                <w:szCs w:val="21"/>
              </w:rPr>
            </w:pPr>
            <w:r>
              <w:rPr>
                <w:rFonts w:ascii="Times New Roman" w:hAnsi="Times New Roman"/>
                <w:b/>
                <w:color w:val="000000"/>
                <w:sz w:val="21"/>
                <w:szCs w:val="21"/>
              </w:rPr>
              <w:t>项</w:t>
            </w:r>
            <w:r>
              <w:rPr>
                <w:rFonts w:ascii="Times New Roman" w:hAnsi="Times New Roman" w:hint="eastAsia"/>
                <w:b/>
                <w:color w:val="000000"/>
                <w:sz w:val="21"/>
                <w:szCs w:val="21"/>
              </w:rPr>
              <w:t xml:space="preserve"> </w:t>
            </w:r>
            <w:r>
              <w:rPr>
                <w:rFonts w:ascii="Times New Roman" w:hAnsi="Times New Roman"/>
                <w:b/>
                <w:color w:val="000000"/>
                <w:sz w:val="21"/>
                <w:szCs w:val="21"/>
              </w:rPr>
              <w:t>目</w:t>
            </w:r>
          </w:p>
        </w:tc>
        <w:tc>
          <w:tcPr>
            <w:tcW w:w="1080" w:type="dxa"/>
            <w:vAlign w:val="center"/>
          </w:tcPr>
          <w:p w:rsidR="003663E4" w:rsidRDefault="00FD3F7D">
            <w:pPr>
              <w:pStyle w:val="af9"/>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附注号</w:t>
            </w:r>
          </w:p>
        </w:tc>
        <w:tc>
          <w:tcPr>
            <w:tcW w:w="4500" w:type="dxa"/>
            <w:vAlign w:val="center"/>
          </w:tcPr>
          <w:p w:rsidR="003663E4" w:rsidRDefault="00FD3F7D">
            <w:pPr>
              <w:pStyle w:val="af9"/>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本期</w:t>
            </w:r>
          </w:p>
          <w:p w:rsidR="003663E4" w:rsidRDefault="00FD3F7D">
            <w:pPr>
              <w:pStyle w:val="af9"/>
              <w:spacing w:before="0" w:beforeAutospacing="0" w:after="0" w:afterAutospacing="0" w:line="276" w:lineRule="auto"/>
              <w:jc w:val="center"/>
              <w:rPr>
                <w:rFonts w:ascii="Times New Roman" w:hAnsi="Times New Roman"/>
                <w:color w:val="000000"/>
                <w:sz w:val="21"/>
                <w:szCs w:val="21"/>
              </w:rPr>
            </w:pPr>
            <w:r>
              <w:rPr>
                <w:rFonts w:ascii="Times New Roman" w:hAnsi="Times New Roman"/>
                <w:color w:val="000000"/>
                <w:sz w:val="21"/>
                <w:szCs w:val="21"/>
              </w:rPr>
              <w:t>2020</w:t>
            </w:r>
            <w:r>
              <w:rPr>
                <w:rFonts w:ascii="Times New Roman" w:hAnsi="Times New Roman"/>
                <w:color w:val="000000"/>
                <w:sz w:val="21"/>
                <w:szCs w:val="21"/>
              </w:rPr>
              <w:t>年</w:t>
            </w:r>
            <w:r>
              <w:rPr>
                <w:rFonts w:ascii="Times New Roman" w:hAnsi="Times New Roman"/>
                <w:color w:val="000000"/>
                <w:sz w:val="21"/>
                <w:szCs w:val="21"/>
              </w:rPr>
              <w:t>7</w:t>
            </w:r>
            <w:r>
              <w:rPr>
                <w:rFonts w:ascii="Times New Roman" w:hAnsi="Times New Roman"/>
                <w:color w:val="000000"/>
                <w:sz w:val="21"/>
                <w:szCs w:val="21"/>
              </w:rPr>
              <w:t>月</w:t>
            </w:r>
            <w:r>
              <w:rPr>
                <w:rFonts w:ascii="Times New Roman" w:hAnsi="Times New Roman"/>
                <w:color w:val="000000"/>
                <w:sz w:val="21"/>
                <w:szCs w:val="21"/>
              </w:rPr>
              <w:t>28</w:t>
            </w:r>
            <w:r>
              <w:rPr>
                <w:rFonts w:ascii="Times New Roman" w:hAnsi="Times New Roman"/>
                <w:color w:val="000000"/>
                <w:sz w:val="21"/>
                <w:szCs w:val="21"/>
              </w:rPr>
              <w:t>日（基金合同生效日）至</w:t>
            </w:r>
            <w:r>
              <w:rPr>
                <w:rFonts w:ascii="Times New Roman" w:hAnsi="Times New Roman"/>
                <w:color w:val="000000"/>
                <w:sz w:val="21"/>
                <w:szCs w:val="21"/>
              </w:rPr>
              <w:t>2020</w:t>
            </w:r>
            <w:r>
              <w:rPr>
                <w:rFonts w:ascii="Times New Roman" w:hAnsi="Times New Roman"/>
                <w:color w:val="000000"/>
                <w:sz w:val="21"/>
                <w:szCs w:val="21"/>
              </w:rPr>
              <w:t>年</w:t>
            </w:r>
            <w:r>
              <w:rPr>
                <w:rFonts w:ascii="Times New Roman" w:hAnsi="Times New Roman"/>
                <w:color w:val="000000"/>
                <w:sz w:val="21"/>
                <w:szCs w:val="21"/>
              </w:rPr>
              <w:t>12</w:t>
            </w:r>
            <w:r>
              <w:rPr>
                <w:rFonts w:ascii="Times New Roman" w:hAnsi="Times New Roman"/>
                <w:color w:val="000000"/>
                <w:sz w:val="21"/>
                <w:szCs w:val="21"/>
              </w:rPr>
              <w:t>月</w:t>
            </w:r>
            <w:r>
              <w:rPr>
                <w:rFonts w:ascii="Times New Roman" w:hAnsi="Times New Roman"/>
                <w:color w:val="000000"/>
                <w:sz w:val="21"/>
                <w:szCs w:val="21"/>
              </w:rPr>
              <w:t>31</w:t>
            </w:r>
            <w:r>
              <w:rPr>
                <w:rFonts w:ascii="Times New Roman" w:hAnsi="Times New Roman"/>
                <w:color w:val="000000"/>
                <w:sz w:val="21"/>
                <w:szCs w:val="21"/>
              </w:rPr>
              <w:t>日</w:t>
            </w:r>
          </w:p>
        </w:tc>
      </w:tr>
      <w:tr w:rsidR="003663E4">
        <w:tc>
          <w:tcPr>
            <w:tcW w:w="3420" w:type="dxa"/>
            <w:vAlign w:val="center"/>
          </w:tcPr>
          <w:p w:rsidR="003663E4" w:rsidRDefault="00FD3F7D">
            <w:pPr>
              <w:spacing w:line="276" w:lineRule="auto"/>
              <w:rPr>
                <w:b/>
                <w:color w:val="000000"/>
                <w:szCs w:val="21"/>
              </w:rPr>
            </w:pPr>
            <w:r>
              <w:rPr>
                <w:b/>
                <w:color w:val="000000"/>
                <w:szCs w:val="21"/>
              </w:rPr>
              <w:t>一、收入</w:t>
            </w:r>
          </w:p>
        </w:tc>
        <w:tc>
          <w:tcPr>
            <w:tcW w:w="1080" w:type="dxa"/>
            <w:vAlign w:val="center"/>
          </w:tcPr>
          <w:p w:rsidR="003663E4" w:rsidRDefault="003663E4">
            <w:pPr>
              <w:pStyle w:val="af9"/>
              <w:spacing w:line="276" w:lineRule="auto"/>
              <w:jc w:val="center"/>
              <w:rPr>
                <w:rFonts w:ascii="Times New Roman" w:hAnsi="Times New Roman"/>
                <w:b/>
                <w:color w:val="000000"/>
                <w:sz w:val="21"/>
                <w:szCs w:val="21"/>
              </w:rPr>
            </w:pPr>
          </w:p>
        </w:tc>
        <w:tc>
          <w:tcPr>
            <w:tcW w:w="4500" w:type="dxa"/>
            <w:vAlign w:val="center"/>
          </w:tcPr>
          <w:p w:rsidR="003663E4" w:rsidRDefault="00FD3F7D">
            <w:pPr>
              <w:spacing w:line="276" w:lineRule="auto"/>
              <w:jc w:val="right"/>
              <w:rPr>
                <w:b/>
                <w:color w:val="000000"/>
                <w:szCs w:val="21"/>
              </w:rPr>
            </w:pPr>
            <w:r>
              <w:rPr>
                <w:b/>
                <w:color w:val="000000"/>
                <w:szCs w:val="21"/>
              </w:rPr>
              <w:t>10,465,165.96</w:t>
            </w:r>
          </w:p>
        </w:tc>
      </w:tr>
      <w:tr w:rsidR="003663E4">
        <w:tc>
          <w:tcPr>
            <w:tcW w:w="3420" w:type="dxa"/>
            <w:vAlign w:val="center"/>
          </w:tcPr>
          <w:p w:rsidR="003663E4" w:rsidRDefault="00FD3F7D">
            <w:pPr>
              <w:spacing w:line="276" w:lineRule="auto"/>
              <w:rPr>
                <w:color w:val="000000"/>
                <w:szCs w:val="21"/>
              </w:rPr>
            </w:pPr>
            <w:r>
              <w:rPr>
                <w:color w:val="000000"/>
                <w:szCs w:val="21"/>
              </w:rPr>
              <w:t>1.</w:t>
            </w:r>
            <w:r>
              <w:rPr>
                <w:color w:val="000000"/>
                <w:szCs w:val="21"/>
              </w:rPr>
              <w:t>利息收入</w:t>
            </w:r>
          </w:p>
        </w:tc>
        <w:tc>
          <w:tcPr>
            <w:tcW w:w="1080" w:type="dxa"/>
            <w:vAlign w:val="center"/>
          </w:tcPr>
          <w:p w:rsidR="003663E4" w:rsidRDefault="003663E4">
            <w:pPr>
              <w:pStyle w:val="af9"/>
              <w:spacing w:line="276" w:lineRule="auto"/>
              <w:jc w:val="center"/>
              <w:rPr>
                <w:rFonts w:ascii="Times New Roman" w:hAnsi="Times New Roman"/>
                <w:b/>
                <w:color w:val="000000"/>
                <w:sz w:val="21"/>
                <w:szCs w:val="21"/>
              </w:rPr>
            </w:pPr>
          </w:p>
        </w:tc>
        <w:tc>
          <w:tcPr>
            <w:tcW w:w="4500" w:type="dxa"/>
            <w:vAlign w:val="center"/>
          </w:tcPr>
          <w:p w:rsidR="003663E4" w:rsidRDefault="00FD3F7D">
            <w:pPr>
              <w:spacing w:line="276" w:lineRule="auto"/>
              <w:jc w:val="right"/>
              <w:rPr>
                <w:color w:val="000000"/>
                <w:szCs w:val="21"/>
              </w:rPr>
            </w:pPr>
            <w:r>
              <w:rPr>
                <w:color w:val="000000"/>
                <w:szCs w:val="21"/>
              </w:rPr>
              <w:t>11,548,002.75</w:t>
            </w:r>
          </w:p>
        </w:tc>
      </w:tr>
      <w:tr w:rsidR="003663E4">
        <w:tc>
          <w:tcPr>
            <w:tcW w:w="3420" w:type="dxa"/>
            <w:vAlign w:val="center"/>
          </w:tcPr>
          <w:p w:rsidR="003663E4" w:rsidRDefault="00FD3F7D">
            <w:pPr>
              <w:spacing w:line="276" w:lineRule="auto"/>
              <w:rPr>
                <w:color w:val="000000"/>
                <w:szCs w:val="21"/>
              </w:rPr>
            </w:pPr>
            <w:r>
              <w:rPr>
                <w:color w:val="000000"/>
                <w:szCs w:val="21"/>
              </w:rPr>
              <w:t>其中：存款利息收入</w:t>
            </w:r>
          </w:p>
        </w:tc>
        <w:tc>
          <w:tcPr>
            <w:tcW w:w="1080" w:type="dxa"/>
            <w:vAlign w:val="center"/>
          </w:tcPr>
          <w:p w:rsidR="003663E4" w:rsidRDefault="00FD3F7D">
            <w:pPr>
              <w:pStyle w:val="af9"/>
              <w:spacing w:line="276" w:lineRule="auto"/>
              <w:jc w:val="center"/>
              <w:rPr>
                <w:rFonts w:ascii="Times New Roman" w:hAnsi="Times New Roman"/>
                <w:b/>
                <w:color w:val="000000"/>
                <w:sz w:val="21"/>
                <w:szCs w:val="21"/>
              </w:rPr>
            </w:pPr>
            <w:r>
              <w:rPr>
                <w:rFonts w:ascii="Times New Roman" w:hAnsi="Times New Roman"/>
                <w:b/>
                <w:color w:val="000000"/>
                <w:sz w:val="21"/>
                <w:szCs w:val="21"/>
              </w:rPr>
              <w:t>7.1.4.7.11</w:t>
            </w:r>
          </w:p>
        </w:tc>
        <w:tc>
          <w:tcPr>
            <w:tcW w:w="4500" w:type="dxa"/>
            <w:vAlign w:val="center"/>
          </w:tcPr>
          <w:p w:rsidR="003663E4" w:rsidRDefault="00FD3F7D">
            <w:pPr>
              <w:spacing w:line="276" w:lineRule="auto"/>
              <w:jc w:val="right"/>
              <w:rPr>
                <w:color w:val="000000"/>
                <w:szCs w:val="21"/>
              </w:rPr>
            </w:pPr>
            <w:r>
              <w:rPr>
                <w:color w:val="000000"/>
                <w:szCs w:val="21"/>
              </w:rPr>
              <w:t>9,804.30</w:t>
            </w:r>
          </w:p>
        </w:tc>
      </w:tr>
      <w:tr w:rsidR="003663E4">
        <w:tc>
          <w:tcPr>
            <w:tcW w:w="3420" w:type="dxa"/>
            <w:vAlign w:val="center"/>
          </w:tcPr>
          <w:p w:rsidR="003663E4" w:rsidRDefault="00FD3F7D">
            <w:pPr>
              <w:spacing w:line="276" w:lineRule="auto"/>
              <w:ind w:firstLineChars="250" w:firstLine="525"/>
              <w:rPr>
                <w:color w:val="000000"/>
                <w:szCs w:val="21"/>
              </w:rPr>
            </w:pPr>
            <w:r>
              <w:rPr>
                <w:color w:val="000000"/>
                <w:szCs w:val="21"/>
              </w:rPr>
              <w:t>债券利息收入</w:t>
            </w:r>
          </w:p>
        </w:tc>
        <w:tc>
          <w:tcPr>
            <w:tcW w:w="1080" w:type="dxa"/>
            <w:vAlign w:val="center"/>
          </w:tcPr>
          <w:p w:rsidR="003663E4" w:rsidRDefault="003663E4">
            <w:pPr>
              <w:pStyle w:val="af9"/>
              <w:spacing w:line="276" w:lineRule="auto"/>
              <w:jc w:val="center"/>
              <w:rPr>
                <w:rFonts w:ascii="Times New Roman" w:hAnsi="Times New Roman"/>
                <w:b/>
                <w:color w:val="000000"/>
                <w:sz w:val="21"/>
                <w:szCs w:val="21"/>
              </w:rPr>
            </w:pPr>
          </w:p>
        </w:tc>
        <w:tc>
          <w:tcPr>
            <w:tcW w:w="4500" w:type="dxa"/>
            <w:vAlign w:val="center"/>
          </w:tcPr>
          <w:p w:rsidR="003663E4" w:rsidRDefault="00FD3F7D">
            <w:pPr>
              <w:spacing w:line="276" w:lineRule="auto"/>
              <w:jc w:val="right"/>
              <w:rPr>
                <w:color w:val="000000"/>
                <w:szCs w:val="21"/>
              </w:rPr>
            </w:pPr>
            <w:r>
              <w:rPr>
                <w:color w:val="000000"/>
                <w:szCs w:val="21"/>
              </w:rPr>
              <w:t>10,985,834.84</w:t>
            </w:r>
          </w:p>
        </w:tc>
      </w:tr>
      <w:tr w:rsidR="003663E4">
        <w:tc>
          <w:tcPr>
            <w:tcW w:w="3420" w:type="dxa"/>
            <w:vAlign w:val="center"/>
          </w:tcPr>
          <w:p w:rsidR="003663E4" w:rsidRDefault="00FD3F7D">
            <w:pPr>
              <w:spacing w:line="276" w:lineRule="auto"/>
              <w:ind w:firstLineChars="250" w:firstLine="525"/>
              <w:rPr>
                <w:color w:val="000000"/>
                <w:szCs w:val="21"/>
              </w:rPr>
            </w:pPr>
            <w:r>
              <w:rPr>
                <w:color w:val="000000"/>
                <w:szCs w:val="21"/>
              </w:rPr>
              <w:t>资产支持证券利息收入</w:t>
            </w:r>
          </w:p>
        </w:tc>
        <w:tc>
          <w:tcPr>
            <w:tcW w:w="1080" w:type="dxa"/>
            <w:vAlign w:val="center"/>
          </w:tcPr>
          <w:p w:rsidR="003663E4" w:rsidRDefault="003663E4">
            <w:pPr>
              <w:pStyle w:val="af9"/>
              <w:spacing w:line="276" w:lineRule="auto"/>
              <w:jc w:val="center"/>
              <w:rPr>
                <w:rFonts w:ascii="Times New Roman" w:hAnsi="Times New Roman"/>
                <w:b/>
                <w:color w:val="000000"/>
                <w:sz w:val="21"/>
                <w:szCs w:val="21"/>
              </w:rPr>
            </w:pPr>
          </w:p>
        </w:tc>
        <w:tc>
          <w:tcPr>
            <w:tcW w:w="4500" w:type="dxa"/>
            <w:vAlign w:val="center"/>
          </w:tcPr>
          <w:p w:rsidR="003663E4" w:rsidRDefault="00FD3F7D">
            <w:pPr>
              <w:spacing w:line="276" w:lineRule="auto"/>
              <w:jc w:val="right"/>
              <w:rPr>
                <w:color w:val="000000"/>
                <w:szCs w:val="21"/>
              </w:rPr>
            </w:pPr>
            <w:r>
              <w:rPr>
                <w:color w:val="000000"/>
                <w:szCs w:val="21"/>
              </w:rPr>
              <w:t>-</w:t>
            </w:r>
          </w:p>
        </w:tc>
      </w:tr>
      <w:tr w:rsidR="003663E4">
        <w:tc>
          <w:tcPr>
            <w:tcW w:w="3420" w:type="dxa"/>
            <w:vAlign w:val="center"/>
          </w:tcPr>
          <w:p w:rsidR="003663E4" w:rsidRDefault="00FD3F7D">
            <w:pPr>
              <w:spacing w:line="276" w:lineRule="auto"/>
              <w:ind w:firstLineChars="250" w:firstLine="525"/>
              <w:rPr>
                <w:color w:val="000000"/>
                <w:szCs w:val="21"/>
              </w:rPr>
            </w:pPr>
            <w:r>
              <w:rPr>
                <w:color w:val="000000"/>
                <w:szCs w:val="21"/>
              </w:rPr>
              <w:t>买入返售金融资产收入</w:t>
            </w:r>
          </w:p>
        </w:tc>
        <w:tc>
          <w:tcPr>
            <w:tcW w:w="1080" w:type="dxa"/>
            <w:vAlign w:val="center"/>
          </w:tcPr>
          <w:p w:rsidR="003663E4" w:rsidRDefault="003663E4">
            <w:pPr>
              <w:pStyle w:val="af9"/>
              <w:spacing w:line="276" w:lineRule="auto"/>
              <w:jc w:val="center"/>
              <w:rPr>
                <w:rFonts w:ascii="Times New Roman" w:hAnsi="Times New Roman"/>
                <w:b/>
                <w:color w:val="000000"/>
                <w:sz w:val="21"/>
                <w:szCs w:val="21"/>
              </w:rPr>
            </w:pPr>
          </w:p>
        </w:tc>
        <w:tc>
          <w:tcPr>
            <w:tcW w:w="4500" w:type="dxa"/>
            <w:vAlign w:val="center"/>
          </w:tcPr>
          <w:p w:rsidR="003663E4" w:rsidRDefault="00FD3F7D">
            <w:pPr>
              <w:spacing w:line="276" w:lineRule="auto"/>
              <w:jc w:val="right"/>
              <w:rPr>
                <w:color w:val="000000"/>
                <w:szCs w:val="21"/>
              </w:rPr>
            </w:pPr>
            <w:r>
              <w:rPr>
                <w:color w:val="000000"/>
                <w:szCs w:val="21"/>
              </w:rPr>
              <w:t>552,363.61</w:t>
            </w:r>
          </w:p>
        </w:tc>
      </w:tr>
      <w:tr w:rsidR="003663E4">
        <w:tc>
          <w:tcPr>
            <w:tcW w:w="3420" w:type="dxa"/>
            <w:vAlign w:val="center"/>
          </w:tcPr>
          <w:p w:rsidR="003663E4" w:rsidRDefault="00FD3F7D">
            <w:pPr>
              <w:spacing w:line="360" w:lineRule="auto"/>
              <w:ind w:firstLineChars="250" w:firstLine="525"/>
              <w:rPr>
                <w:color w:val="000000"/>
                <w:szCs w:val="21"/>
              </w:rPr>
            </w:pPr>
            <w:r>
              <w:rPr>
                <w:color w:val="000000"/>
                <w:szCs w:val="21"/>
              </w:rPr>
              <w:t>证券出借利息收入</w:t>
            </w:r>
          </w:p>
        </w:tc>
        <w:tc>
          <w:tcPr>
            <w:tcW w:w="1080" w:type="dxa"/>
            <w:vAlign w:val="center"/>
          </w:tcPr>
          <w:p w:rsidR="003663E4" w:rsidRDefault="003663E4">
            <w:pPr>
              <w:pStyle w:val="af9"/>
              <w:spacing w:line="360" w:lineRule="auto"/>
              <w:jc w:val="center"/>
              <w:rPr>
                <w:rFonts w:ascii="Times New Roman" w:hAnsi="Times New Roman"/>
                <w:color w:val="000000"/>
                <w:sz w:val="21"/>
                <w:szCs w:val="21"/>
              </w:rPr>
            </w:pPr>
          </w:p>
        </w:tc>
        <w:tc>
          <w:tcPr>
            <w:tcW w:w="4500" w:type="dxa"/>
            <w:vAlign w:val="center"/>
          </w:tcPr>
          <w:p w:rsidR="003663E4" w:rsidRDefault="00FD3F7D">
            <w:pPr>
              <w:spacing w:line="360" w:lineRule="auto"/>
              <w:jc w:val="right"/>
              <w:rPr>
                <w:color w:val="000000"/>
                <w:szCs w:val="21"/>
              </w:rPr>
            </w:pPr>
            <w:r>
              <w:rPr>
                <w:color w:val="000000"/>
                <w:szCs w:val="21"/>
              </w:rPr>
              <w:t>-</w:t>
            </w:r>
          </w:p>
        </w:tc>
      </w:tr>
      <w:tr w:rsidR="003663E4">
        <w:tc>
          <w:tcPr>
            <w:tcW w:w="3420" w:type="dxa"/>
            <w:vAlign w:val="center"/>
          </w:tcPr>
          <w:p w:rsidR="003663E4" w:rsidRDefault="00FD3F7D">
            <w:pPr>
              <w:spacing w:line="276" w:lineRule="auto"/>
              <w:ind w:firstLineChars="250" w:firstLine="525"/>
              <w:rPr>
                <w:color w:val="000000"/>
                <w:szCs w:val="21"/>
              </w:rPr>
            </w:pPr>
            <w:r>
              <w:rPr>
                <w:color w:val="000000"/>
                <w:szCs w:val="21"/>
              </w:rPr>
              <w:t>其他利息收入</w:t>
            </w:r>
          </w:p>
        </w:tc>
        <w:tc>
          <w:tcPr>
            <w:tcW w:w="1080" w:type="dxa"/>
            <w:vAlign w:val="center"/>
          </w:tcPr>
          <w:p w:rsidR="003663E4" w:rsidRDefault="003663E4">
            <w:pPr>
              <w:pStyle w:val="af9"/>
              <w:spacing w:line="276" w:lineRule="auto"/>
              <w:jc w:val="center"/>
              <w:rPr>
                <w:rFonts w:ascii="Times New Roman" w:hAnsi="Times New Roman"/>
                <w:b/>
                <w:color w:val="000000"/>
                <w:sz w:val="21"/>
                <w:szCs w:val="21"/>
              </w:rPr>
            </w:pPr>
          </w:p>
        </w:tc>
        <w:tc>
          <w:tcPr>
            <w:tcW w:w="4500" w:type="dxa"/>
            <w:vAlign w:val="center"/>
          </w:tcPr>
          <w:p w:rsidR="003663E4" w:rsidRDefault="00FD3F7D">
            <w:pPr>
              <w:spacing w:line="276" w:lineRule="auto"/>
              <w:jc w:val="right"/>
              <w:rPr>
                <w:color w:val="000000"/>
                <w:szCs w:val="21"/>
              </w:rPr>
            </w:pPr>
            <w:r>
              <w:rPr>
                <w:color w:val="000000"/>
                <w:szCs w:val="21"/>
              </w:rPr>
              <w:t>-</w:t>
            </w:r>
          </w:p>
        </w:tc>
      </w:tr>
      <w:tr w:rsidR="003663E4">
        <w:tc>
          <w:tcPr>
            <w:tcW w:w="3420" w:type="dxa"/>
            <w:vAlign w:val="center"/>
          </w:tcPr>
          <w:p w:rsidR="003663E4" w:rsidRDefault="00FD3F7D">
            <w:pPr>
              <w:spacing w:line="276" w:lineRule="auto"/>
              <w:rPr>
                <w:color w:val="000000"/>
                <w:szCs w:val="21"/>
              </w:rPr>
            </w:pPr>
            <w:r>
              <w:rPr>
                <w:color w:val="000000"/>
                <w:szCs w:val="21"/>
              </w:rPr>
              <w:t>2.</w:t>
            </w:r>
            <w:r>
              <w:rPr>
                <w:color w:val="000000"/>
                <w:szCs w:val="21"/>
              </w:rPr>
              <w:t>投资收益（损失以</w:t>
            </w:r>
            <w:r>
              <w:rPr>
                <w:color w:val="000000"/>
                <w:szCs w:val="21"/>
              </w:rPr>
              <w:t>“-”</w:t>
            </w:r>
            <w:r>
              <w:rPr>
                <w:color w:val="000000"/>
                <w:szCs w:val="21"/>
              </w:rPr>
              <w:t>填列）</w:t>
            </w:r>
          </w:p>
        </w:tc>
        <w:tc>
          <w:tcPr>
            <w:tcW w:w="1080" w:type="dxa"/>
            <w:vAlign w:val="center"/>
          </w:tcPr>
          <w:p w:rsidR="003663E4" w:rsidRDefault="003663E4">
            <w:pPr>
              <w:pStyle w:val="af9"/>
              <w:spacing w:line="276" w:lineRule="auto"/>
              <w:jc w:val="center"/>
              <w:rPr>
                <w:rFonts w:ascii="Times New Roman" w:hAnsi="Times New Roman"/>
                <w:b/>
                <w:color w:val="000000"/>
                <w:sz w:val="21"/>
                <w:szCs w:val="21"/>
              </w:rPr>
            </w:pPr>
          </w:p>
        </w:tc>
        <w:tc>
          <w:tcPr>
            <w:tcW w:w="4500" w:type="dxa"/>
            <w:vAlign w:val="center"/>
          </w:tcPr>
          <w:p w:rsidR="003663E4" w:rsidRDefault="00FD3F7D">
            <w:pPr>
              <w:spacing w:line="276" w:lineRule="auto"/>
              <w:jc w:val="right"/>
              <w:rPr>
                <w:color w:val="000000"/>
                <w:szCs w:val="21"/>
              </w:rPr>
            </w:pPr>
            <w:r>
              <w:rPr>
                <w:color w:val="000000"/>
                <w:szCs w:val="21"/>
              </w:rPr>
              <w:t>-959,844.12</w:t>
            </w:r>
          </w:p>
        </w:tc>
      </w:tr>
      <w:tr w:rsidR="003663E4">
        <w:tc>
          <w:tcPr>
            <w:tcW w:w="3420" w:type="dxa"/>
            <w:vAlign w:val="center"/>
          </w:tcPr>
          <w:p w:rsidR="003663E4" w:rsidRDefault="00FD3F7D">
            <w:pPr>
              <w:spacing w:line="276" w:lineRule="auto"/>
              <w:rPr>
                <w:color w:val="000000"/>
                <w:szCs w:val="21"/>
              </w:rPr>
            </w:pPr>
            <w:r>
              <w:rPr>
                <w:color w:val="000000"/>
                <w:szCs w:val="21"/>
              </w:rPr>
              <w:t>其中：股票投资收益</w:t>
            </w:r>
          </w:p>
        </w:tc>
        <w:tc>
          <w:tcPr>
            <w:tcW w:w="1080" w:type="dxa"/>
            <w:vAlign w:val="center"/>
          </w:tcPr>
          <w:p w:rsidR="003663E4" w:rsidRDefault="00FD3F7D">
            <w:pPr>
              <w:pStyle w:val="af9"/>
              <w:spacing w:line="276" w:lineRule="auto"/>
              <w:jc w:val="center"/>
              <w:rPr>
                <w:rFonts w:ascii="Times New Roman" w:hAnsi="Times New Roman"/>
                <w:b/>
                <w:color w:val="000000"/>
                <w:sz w:val="21"/>
                <w:szCs w:val="21"/>
              </w:rPr>
            </w:pPr>
            <w:r>
              <w:rPr>
                <w:rFonts w:ascii="Times New Roman" w:hAnsi="Times New Roman"/>
                <w:b/>
                <w:color w:val="000000"/>
                <w:sz w:val="21"/>
                <w:szCs w:val="21"/>
              </w:rPr>
              <w:t>7.1.4.7.12</w:t>
            </w:r>
          </w:p>
        </w:tc>
        <w:tc>
          <w:tcPr>
            <w:tcW w:w="4500" w:type="dxa"/>
            <w:vAlign w:val="center"/>
          </w:tcPr>
          <w:p w:rsidR="003663E4" w:rsidRDefault="00FD3F7D">
            <w:pPr>
              <w:spacing w:line="276" w:lineRule="auto"/>
              <w:jc w:val="right"/>
              <w:rPr>
                <w:color w:val="000000"/>
                <w:szCs w:val="21"/>
              </w:rPr>
            </w:pPr>
            <w:r>
              <w:rPr>
                <w:color w:val="000000"/>
                <w:szCs w:val="21"/>
              </w:rPr>
              <w:t>-</w:t>
            </w:r>
          </w:p>
        </w:tc>
      </w:tr>
      <w:tr w:rsidR="003663E4">
        <w:tc>
          <w:tcPr>
            <w:tcW w:w="3420" w:type="dxa"/>
            <w:vAlign w:val="center"/>
          </w:tcPr>
          <w:p w:rsidR="003663E4" w:rsidRDefault="00FD3F7D">
            <w:pPr>
              <w:spacing w:line="276" w:lineRule="auto"/>
              <w:ind w:firstLineChars="300" w:firstLine="630"/>
              <w:rPr>
                <w:color w:val="000000"/>
                <w:szCs w:val="21"/>
              </w:rPr>
            </w:pPr>
            <w:r>
              <w:rPr>
                <w:color w:val="000000"/>
                <w:szCs w:val="21"/>
              </w:rPr>
              <w:t>基金投资收益</w:t>
            </w:r>
          </w:p>
        </w:tc>
        <w:tc>
          <w:tcPr>
            <w:tcW w:w="1080" w:type="dxa"/>
            <w:vAlign w:val="center"/>
          </w:tcPr>
          <w:p w:rsidR="003663E4" w:rsidRDefault="003663E4">
            <w:pPr>
              <w:pStyle w:val="af9"/>
              <w:spacing w:line="276" w:lineRule="auto"/>
              <w:jc w:val="center"/>
              <w:rPr>
                <w:rFonts w:ascii="Times New Roman" w:hAnsi="Times New Roman"/>
                <w:b/>
                <w:color w:val="000000"/>
                <w:sz w:val="21"/>
                <w:szCs w:val="21"/>
              </w:rPr>
            </w:pPr>
          </w:p>
        </w:tc>
        <w:tc>
          <w:tcPr>
            <w:tcW w:w="4500" w:type="dxa"/>
            <w:vAlign w:val="center"/>
          </w:tcPr>
          <w:p w:rsidR="003663E4" w:rsidRDefault="00FD3F7D">
            <w:pPr>
              <w:spacing w:line="276" w:lineRule="auto"/>
              <w:jc w:val="right"/>
              <w:rPr>
                <w:color w:val="000000"/>
                <w:szCs w:val="21"/>
              </w:rPr>
            </w:pPr>
            <w:r>
              <w:rPr>
                <w:color w:val="000000"/>
                <w:szCs w:val="21"/>
              </w:rPr>
              <w:t>-</w:t>
            </w:r>
          </w:p>
        </w:tc>
      </w:tr>
      <w:tr w:rsidR="003663E4">
        <w:tc>
          <w:tcPr>
            <w:tcW w:w="3420" w:type="dxa"/>
          </w:tcPr>
          <w:p w:rsidR="003663E4" w:rsidRDefault="00FD3F7D">
            <w:pPr>
              <w:spacing w:line="276" w:lineRule="auto"/>
              <w:ind w:firstLineChars="300" w:firstLine="630"/>
              <w:rPr>
                <w:color w:val="000000"/>
                <w:szCs w:val="21"/>
              </w:rPr>
            </w:pPr>
            <w:r>
              <w:rPr>
                <w:color w:val="000000"/>
                <w:szCs w:val="21"/>
              </w:rPr>
              <w:t>债券投资收益</w:t>
            </w:r>
          </w:p>
        </w:tc>
        <w:tc>
          <w:tcPr>
            <w:tcW w:w="1080" w:type="dxa"/>
            <w:vAlign w:val="center"/>
          </w:tcPr>
          <w:p w:rsidR="003663E4" w:rsidRDefault="00FD3F7D">
            <w:pPr>
              <w:pStyle w:val="af9"/>
              <w:spacing w:line="276" w:lineRule="auto"/>
              <w:jc w:val="center"/>
              <w:rPr>
                <w:rFonts w:ascii="Times New Roman" w:hAnsi="Times New Roman"/>
                <w:b/>
                <w:color w:val="000000"/>
                <w:sz w:val="21"/>
                <w:szCs w:val="21"/>
              </w:rPr>
            </w:pPr>
            <w:r>
              <w:rPr>
                <w:rFonts w:ascii="Times New Roman" w:hAnsi="Times New Roman"/>
                <w:b/>
                <w:color w:val="000000"/>
                <w:sz w:val="21"/>
                <w:szCs w:val="21"/>
              </w:rPr>
              <w:t>7.1.4.7.13</w:t>
            </w:r>
          </w:p>
        </w:tc>
        <w:tc>
          <w:tcPr>
            <w:tcW w:w="4500" w:type="dxa"/>
            <w:vAlign w:val="center"/>
          </w:tcPr>
          <w:p w:rsidR="003663E4" w:rsidRDefault="00FD3F7D">
            <w:pPr>
              <w:spacing w:line="276" w:lineRule="auto"/>
              <w:jc w:val="right"/>
              <w:rPr>
                <w:color w:val="000000"/>
                <w:szCs w:val="21"/>
              </w:rPr>
            </w:pPr>
            <w:r>
              <w:rPr>
                <w:color w:val="000000"/>
                <w:szCs w:val="21"/>
              </w:rPr>
              <w:t>-959,844.12</w:t>
            </w:r>
          </w:p>
        </w:tc>
      </w:tr>
      <w:tr w:rsidR="003663E4">
        <w:tc>
          <w:tcPr>
            <w:tcW w:w="3420" w:type="dxa"/>
          </w:tcPr>
          <w:p w:rsidR="003663E4" w:rsidRDefault="00FD3F7D">
            <w:pPr>
              <w:spacing w:line="276" w:lineRule="auto"/>
              <w:ind w:firstLineChars="300" w:firstLine="630"/>
              <w:rPr>
                <w:color w:val="000000"/>
                <w:szCs w:val="21"/>
              </w:rPr>
            </w:pPr>
            <w:r>
              <w:rPr>
                <w:color w:val="000000"/>
                <w:szCs w:val="21"/>
              </w:rPr>
              <w:t>资产支持证券投资收益</w:t>
            </w:r>
          </w:p>
        </w:tc>
        <w:tc>
          <w:tcPr>
            <w:tcW w:w="1080" w:type="dxa"/>
            <w:vAlign w:val="center"/>
          </w:tcPr>
          <w:p w:rsidR="003663E4" w:rsidRDefault="00FD3F7D">
            <w:pPr>
              <w:pStyle w:val="af9"/>
              <w:spacing w:line="276" w:lineRule="auto"/>
              <w:jc w:val="center"/>
              <w:rPr>
                <w:rFonts w:ascii="Times New Roman" w:hAnsi="Times New Roman"/>
                <w:b/>
                <w:color w:val="000000"/>
                <w:sz w:val="21"/>
                <w:szCs w:val="21"/>
              </w:rPr>
            </w:pPr>
            <w:r>
              <w:rPr>
                <w:rFonts w:ascii="Times New Roman" w:hAnsi="Times New Roman"/>
                <w:b/>
                <w:color w:val="000000"/>
                <w:sz w:val="21"/>
                <w:szCs w:val="21"/>
              </w:rPr>
              <w:t>7.1.4.7.14</w:t>
            </w:r>
          </w:p>
        </w:tc>
        <w:tc>
          <w:tcPr>
            <w:tcW w:w="4500" w:type="dxa"/>
            <w:vAlign w:val="center"/>
          </w:tcPr>
          <w:p w:rsidR="003663E4" w:rsidRDefault="00FD3F7D">
            <w:pPr>
              <w:spacing w:line="276" w:lineRule="auto"/>
              <w:jc w:val="right"/>
              <w:rPr>
                <w:color w:val="000000"/>
                <w:szCs w:val="21"/>
              </w:rPr>
            </w:pPr>
            <w:r>
              <w:rPr>
                <w:color w:val="000000"/>
                <w:szCs w:val="21"/>
              </w:rPr>
              <w:t>-</w:t>
            </w:r>
          </w:p>
        </w:tc>
      </w:tr>
      <w:tr w:rsidR="003663E4">
        <w:tc>
          <w:tcPr>
            <w:tcW w:w="3420" w:type="dxa"/>
          </w:tcPr>
          <w:p w:rsidR="003663E4" w:rsidRDefault="00FD3F7D">
            <w:pPr>
              <w:spacing w:line="276" w:lineRule="auto"/>
              <w:ind w:firstLineChars="300" w:firstLine="630"/>
              <w:rPr>
                <w:color w:val="000000"/>
                <w:szCs w:val="21"/>
              </w:rPr>
            </w:pPr>
            <w:r>
              <w:rPr>
                <w:color w:val="000000"/>
                <w:szCs w:val="21"/>
              </w:rPr>
              <w:t>贵金属投资收益</w:t>
            </w:r>
          </w:p>
        </w:tc>
        <w:tc>
          <w:tcPr>
            <w:tcW w:w="1080" w:type="dxa"/>
            <w:vAlign w:val="center"/>
          </w:tcPr>
          <w:p w:rsidR="003663E4" w:rsidRDefault="003663E4">
            <w:pPr>
              <w:pStyle w:val="af9"/>
              <w:spacing w:line="276" w:lineRule="auto"/>
              <w:jc w:val="center"/>
              <w:rPr>
                <w:rFonts w:ascii="Times New Roman" w:hAnsi="Times New Roman"/>
                <w:b/>
                <w:color w:val="000000"/>
                <w:sz w:val="21"/>
                <w:szCs w:val="21"/>
              </w:rPr>
            </w:pPr>
          </w:p>
        </w:tc>
        <w:tc>
          <w:tcPr>
            <w:tcW w:w="4500" w:type="dxa"/>
            <w:vAlign w:val="center"/>
          </w:tcPr>
          <w:p w:rsidR="003663E4" w:rsidRDefault="00FD3F7D">
            <w:pPr>
              <w:spacing w:line="276" w:lineRule="auto"/>
              <w:jc w:val="right"/>
              <w:rPr>
                <w:color w:val="000000"/>
                <w:szCs w:val="21"/>
              </w:rPr>
            </w:pPr>
            <w:r>
              <w:rPr>
                <w:color w:val="000000"/>
                <w:szCs w:val="21"/>
              </w:rPr>
              <w:t>-</w:t>
            </w:r>
          </w:p>
        </w:tc>
      </w:tr>
      <w:tr w:rsidR="003663E4">
        <w:tc>
          <w:tcPr>
            <w:tcW w:w="3420" w:type="dxa"/>
            <w:vAlign w:val="center"/>
          </w:tcPr>
          <w:p w:rsidR="003663E4" w:rsidRDefault="00FD3F7D">
            <w:pPr>
              <w:spacing w:line="276" w:lineRule="auto"/>
              <w:ind w:firstLineChars="300" w:firstLine="630"/>
              <w:rPr>
                <w:color w:val="000000"/>
                <w:szCs w:val="21"/>
              </w:rPr>
            </w:pPr>
            <w:r>
              <w:rPr>
                <w:color w:val="000000"/>
                <w:szCs w:val="21"/>
              </w:rPr>
              <w:t>衍生工具收益</w:t>
            </w:r>
          </w:p>
        </w:tc>
        <w:tc>
          <w:tcPr>
            <w:tcW w:w="1080" w:type="dxa"/>
            <w:vAlign w:val="center"/>
          </w:tcPr>
          <w:p w:rsidR="003663E4" w:rsidRDefault="00FD3F7D">
            <w:pPr>
              <w:pStyle w:val="af9"/>
              <w:spacing w:line="276" w:lineRule="auto"/>
              <w:jc w:val="center"/>
              <w:rPr>
                <w:rFonts w:ascii="Times New Roman" w:hAnsi="Times New Roman"/>
                <w:b/>
                <w:color w:val="000000"/>
                <w:sz w:val="21"/>
                <w:szCs w:val="21"/>
              </w:rPr>
            </w:pPr>
            <w:r>
              <w:rPr>
                <w:rFonts w:ascii="Times New Roman" w:hAnsi="Times New Roman"/>
                <w:b/>
                <w:color w:val="000000"/>
                <w:sz w:val="21"/>
                <w:szCs w:val="21"/>
              </w:rPr>
              <w:t>7.1.4.7.15</w:t>
            </w:r>
          </w:p>
        </w:tc>
        <w:tc>
          <w:tcPr>
            <w:tcW w:w="4500" w:type="dxa"/>
            <w:vAlign w:val="center"/>
          </w:tcPr>
          <w:p w:rsidR="003663E4" w:rsidRDefault="00FD3F7D">
            <w:pPr>
              <w:spacing w:line="276" w:lineRule="auto"/>
              <w:jc w:val="right"/>
              <w:rPr>
                <w:color w:val="000000"/>
                <w:szCs w:val="21"/>
              </w:rPr>
            </w:pPr>
            <w:r>
              <w:rPr>
                <w:color w:val="000000"/>
                <w:szCs w:val="21"/>
              </w:rPr>
              <w:t>-</w:t>
            </w:r>
          </w:p>
        </w:tc>
      </w:tr>
      <w:tr w:rsidR="003663E4">
        <w:tc>
          <w:tcPr>
            <w:tcW w:w="3420" w:type="dxa"/>
            <w:vAlign w:val="center"/>
          </w:tcPr>
          <w:p w:rsidR="003663E4" w:rsidRDefault="00FD3F7D">
            <w:pPr>
              <w:spacing w:line="276" w:lineRule="auto"/>
              <w:ind w:firstLineChars="300" w:firstLine="630"/>
              <w:rPr>
                <w:color w:val="000000"/>
                <w:szCs w:val="21"/>
              </w:rPr>
            </w:pPr>
            <w:r>
              <w:rPr>
                <w:color w:val="000000"/>
                <w:szCs w:val="21"/>
              </w:rPr>
              <w:t>股利收益</w:t>
            </w:r>
          </w:p>
        </w:tc>
        <w:tc>
          <w:tcPr>
            <w:tcW w:w="1080" w:type="dxa"/>
            <w:vAlign w:val="center"/>
          </w:tcPr>
          <w:p w:rsidR="003663E4" w:rsidRDefault="00FD3F7D">
            <w:pPr>
              <w:pStyle w:val="af9"/>
              <w:spacing w:line="276" w:lineRule="auto"/>
              <w:jc w:val="center"/>
              <w:rPr>
                <w:rFonts w:ascii="Times New Roman" w:hAnsi="Times New Roman"/>
                <w:b/>
                <w:color w:val="000000"/>
                <w:sz w:val="21"/>
                <w:szCs w:val="21"/>
              </w:rPr>
            </w:pPr>
            <w:r>
              <w:rPr>
                <w:rFonts w:ascii="Times New Roman" w:hAnsi="Times New Roman"/>
                <w:b/>
                <w:color w:val="000000"/>
                <w:sz w:val="21"/>
                <w:szCs w:val="21"/>
              </w:rPr>
              <w:t>7.1.4.7.16</w:t>
            </w:r>
          </w:p>
        </w:tc>
        <w:tc>
          <w:tcPr>
            <w:tcW w:w="4500" w:type="dxa"/>
            <w:vAlign w:val="center"/>
          </w:tcPr>
          <w:p w:rsidR="003663E4" w:rsidRDefault="00FD3F7D">
            <w:pPr>
              <w:spacing w:line="276" w:lineRule="auto"/>
              <w:jc w:val="right"/>
              <w:rPr>
                <w:color w:val="000000"/>
                <w:szCs w:val="21"/>
              </w:rPr>
            </w:pPr>
            <w:r>
              <w:rPr>
                <w:color w:val="000000"/>
                <w:szCs w:val="21"/>
              </w:rPr>
              <w:t>-</w:t>
            </w:r>
          </w:p>
        </w:tc>
      </w:tr>
      <w:tr w:rsidR="003663E4">
        <w:tc>
          <w:tcPr>
            <w:tcW w:w="3420" w:type="dxa"/>
            <w:vAlign w:val="center"/>
          </w:tcPr>
          <w:p w:rsidR="003663E4" w:rsidRDefault="00FD3F7D">
            <w:pPr>
              <w:spacing w:line="276" w:lineRule="auto"/>
              <w:rPr>
                <w:color w:val="000000"/>
                <w:szCs w:val="21"/>
              </w:rPr>
            </w:pPr>
            <w:r>
              <w:rPr>
                <w:color w:val="000000"/>
                <w:szCs w:val="21"/>
              </w:rPr>
              <w:t>3.</w:t>
            </w:r>
            <w:r>
              <w:rPr>
                <w:color w:val="000000"/>
                <w:szCs w:val="21"/>
              </w:rPr>
              <w:t>公允价值变动收益（损失以</w:t>
            </w:r>
            <w:r>
              <w:rPr>
                <w:color w:val="000000"/>
                <w:szCs w:val="21"/>
              </w:rPr>
              <w:t>“-”</w:t>
            </w:r>
            <w:r>
              <w:rPr>
                <w:color w:val="000000"/>
                <w:szCs w:val="21"/>
              </w:rPr>
              <w:t>号填列）</w:t>
            </w:r>
          </w:p>
        </w:tc>
        <w:tc>
          <w:tcPr>
            <w:tcW w:w="1080" w:type="dxa"/>
            <w:vAlign w:val="center"/>
          </w:tcPr>
          <w:p w:rsidR="003663E4" w:rsidRDefault="00FD3F7D">
            <w:pPr>
              <w:pStyle w:val="af9"/>
              <w:spacing w:line="276" w:lineRule="auto"/>
              <w:jc w:val="center"/>
              <w:rPr>
                <w:rFonts w:ascii="Times New Roman" w:hAnsi="Times New Roman"/>
                <w:b/>
                <w:color w:val="000000"/>
                <w:sz w:val="21"/>
                <w:szCs w:val="21"/>
              </w:rPr>
            </w:pPr>
            <w:r>
              <w:rPr>
                <w:rFonts w:ascii="Times New Roman" w:hAnsi="Times New Roman"/>
                <w:b/>
                <w:color w:val="000000"/>
                <w:sz w:val="21"/>
                <w:szCs w:val="21"/>
              </w:rPr>
              <w:t>7.1.4.7.17</w:t>
            </w:r>
          </w:p>
        </w:tc>
        <w:tc>
          <w:tcPr>
            <w:tcW w:w="4500" w:type="dxa"/>
            <w:vAlign w:val="center"/>
          </w:tcPr>
          <w:p w:rsidR="003663E4" w:rsidRDefault="00FD3F7D">
            <w:pPr>
              <w:spacing w:line="276" w:lineRule="auto"/>
              <w:jc w:val="right"/>
              <w:rPr>
                <w:color w:val="000000"/>
                <w:szCs w:val="21"/>
              </w:rPr>
            </w:pPr>
            <w:r>
              <w:rPr>
                <w:color w:val="000000"/>
                <w:szCs w:val="21"/>
              </w:rPr>
              <w:t>-123,296.59</w:t>
            </w:r>
          </w:p>
        </w:tc>
      </w:tr>
      <w:tr w:rsidR="003663E4">
        <w:tc>
          <w:tcPr>
            <w:tcW w:w="3420" w:type="dxa"/>
            <w:vAlign w:val="center"/>
          </w:tcPr>
          <w:p w:rsidR="003663E4" w:rsidRDefault="00FD3F7D">
            <w:pPr>
              <w:pStyle w:val="af9"/>
              <w:spacing w:line="276" w:lineRule="auto"/>
              <w:jc w:val="both"/>
              <w:rPr>
                <w:rFonts w:ascii="Times New Roman" w:hAnsi="Times New Roman"/>
                <w:color w:val="000000"/>
                <w:sz w:val="21"/>
                <w:szCs w:val="21"/>
              </w:rPr>
            </w:pPr>
            <w:r>
              <w:rPr>
                <w:rFonts w:ascii="Times New Roman" w:hAnsi="Times New Roman"/>
                <w:color w:val="000000"/>
                <w:sz w:val="21"/>
                <w:szCs w:val="21"/>
              </w:rPr>
              <w:t>4.</w:t>
            </w:r>
            <w:r>
              <w:rPr>
                <w:rFonts w:ascii="Times New Roman" w:hAnsi="Times New Roman"/>
                <w:color w:val="000000"/>
                <w:sz w:val="21"/>
                <w:szCs w:val="21"/>
              </w:rPr>
              <w:t>汇</w:t>
            </w:r>
            <w:r>
              <w:rPr>
                <w:rFonts w:ascii="Times New Roman" w:hAnsi="Times New Roman"/>
                <w:color w:val="000000"/>
                <w:kern w:val="2"/>
                <w:sz w:val="21"/>
                <w:szCs w:val="21"/>
              </w:rPr>
              <w:t>兑收益</w:t>
            </w:r>
            <w:r>
              <w:rPr>
                <w:rFonts w:ascii="Times New Roman" w:hAnsi="Times New Roman" w:hint="eastAsia"/>
                <w:color w:val="000000"/>
                <w:kern w:val="2"/>
                <w:sz w:val="21"/>
                <w:szCs w:val="21"/>
              </w:rPr>
              <w:t>（损失以</w:t>
            </w:r>
            <w:r>
              <w:rPr>
                <w:rFonts w:ascii="Times New Roman" w:hAnsi="Times New Roman"/>
                <w:color w:val="000000"/>
                <w:kern w:val="2"/>
                <w:sz w:val="21"/>
                <w:szCs w:val="21"/>
              </w:rPr>
              <w:t>“-”</w:t>
            </w:r>
            <w:r>
              <w:rPr>
                <w:rFonts w:ascii="Times New Roman" w:hAnsi="Times New Roman" w:hint="eastAsia"/>
                <w:color w:val="000000"/>
                <w:kern w:val="2"/>
                <w:sz w:val="21"/>
                <w:szCs w:val="21"/>
              </w:rPr>
              <w:t>号填列）</w:t>
            </w:r>
          </w:p>
        </w:tc>
        <w:tc>
          <w:tcPr>
            <w:tcW w:w="1080" w:type="dxa"/>
            <w:vAlign w:val="center"/>
          </w:tcPr>
          <w:p w:rsidR="003663E4" w:rsidRDefault="003663E4">
            <w:pPr>
              <w:pStyle w:val="af9"/>
              <w:spacing w:line="276" w:lineRule="auto"/>
              <w:jc w:val="center"/>
              <w:rPr>
                <w:rFonts w:ascii="Times New Roman" w:hAnsi="Times New Roman"/>
                <w:b/>
                <w:color w:val="000000"/>
                <w:sz w:val="21"/>
                <w:szCs w:val="21"/>
              </w:rPr>
            </w:pPr>
          </w:p>
        </w:tc>
        <w:tc>
          <w:tcPr>
            <w:tcW w:w="4500" w:type="dxa"/>
            <w:vAlign w:val="center"/>
          </w:tcPr>
          <w:p w:rsidR="003663E4" w:rsidRDefault="00FD3F7D">
            <w:pPr>
              <w:spacing w:line="276" w:lineRule="auto"/>
              <w:jc w:val="right"/>
              <w:rPr>
                <w:color w:val="000000"/>
                <w:szCs w:val="21"/>
              </w:rPr>
            </w:pPr>
            <w:r>
              <w:rPr>
                <w:color w:val="000000"/>
                <w:szCs w:val="21"/>
              </w:rPr>
              <w:t>-</w:t>
            </w:r>
          </w:p>
        </w:tc>
      </w:tr>
      <w:tr w:rsidR="003663E4">
        <w:tc>
          <w:tcPr>
            <w:tcW w:w="3420" w:type="dxa"/>
            <w:vAlign w:val="center"/>
          </w:tcPr>
          <w:p w:rsidR="003663E4" w:rsidRDefault="00FD3F7D">
            <w:pPr>
              <w:spacing w:line="276" w:lineRule="auto"/>
              <w:rPr>
                <w:color w:val="000000"/>
                <w:szCs w:val="21"/>
              </w:rPr>
            </w:pPr>
            <w:r>
              <w:rPr>
                <w:color w:val="000000"/>
                <w:szCs w:val="21"/>
              </w:rPr>
              <w:t>5.</w:t>
            </w:r>
            <w:r>
              <w:rPr>
                <w:color w:val="000000"/>
                <w:szCs w:val="21"/>
              </w:rPr>
              <w:t>其他收入（损失以</w:t>
            </w:r>
            <w:r>
              <w:rPr>
                <w:color w:val="000000"/>
                <w:szCs w:val="21"/>
              </w:rPr>
              <w:t>“-”</w:t>
            </w:r>
            <w:r>
              <w:rPr>
                <w:color w:val="000000"/>
                <w:szCs w:val="21"/>
              </w:rPr>
              <w:t>号填列）</w:t>
            </w:r>
          </w:p>
        </w:tc>
        <w:tc>
          <w:tcPr>
            <w:tcW w:w="1080" w:type="dxa"/>
            <w:vAlign w:val="center"/>
          </w:tcPr>
          <w:p w:rsidR="003663E4" w:rsidRDefault="00FD3F7D">
            <w:pPr>
              <w:pStyle w:val="af9"/>
              <w:spacing w:line="276" w:lineRule="auto"/>
              <w:jc w:val="center"/>
              <w:rPr>
                <w:rFonts w:ascii="Times New Roman" w:hAnsi="Times New Roman"/>
                <w:b/>
                <w:color w:val="000000"/>
                <w:sz w:val="21"/>
                <w:szCs w:val="21"/>
              </w:rPr>
            </w:pPr>
            <w:r>
              <w:rPr>
                <w:rFonts w:ascii="Times New Roman" w:hAnsi="Times New Roman"/>
                <w:b/>
                <w:color w:val="000000"/>
                <w:sz w:val="21"/>
                <w:szCs w:val="21"/>
              </w:rPr>
              <w:t>7.1.4.7.18</w:t>
            </w:r>
          </w:p>
        </w:tc>
        <w:tc>
          <w:tcPr>
            <w:tcW w:w="4500" w:type="dxa"/>
            <w:vAlign w:val="center"/>
          </w:tcPr>
          <w:p w:rsidR="003663E4" w:rsidRDefault="00FD3F7D">
            <w:pPr>
              <w:spacing w:line="276" w:lineRule="auto"/>
              <w:jc w:val="right"/>
              <w:rPr>
                <w:color w:val="000000"/>
                <w:szCs w:val="21"/>
              </w:rPr>
            </w:pPr>
            <w:r>
              <w:rPr>
                <w:color w:val="000000"/>
                <w:szCs w:val="21"/>
              </w:rPr>
              <w:t>303.92</w:t>
            </w:r>
          </w:p>
        </w:tc>
      </w:tr>
      <w:tr w:rsidR="003663E4">
        <w:tc>
          <w:tcPr>
            <w:tcW w:w="3420" w:type="dxa"/>
            <w:vAlign w:val="center"/>
          </w:tcPr>
          <w:p w:rsidR="003663E4" w:rsidRDefault="00FD3F7D">
            <w:pPr>
              <w:spacing w:line="276" w:lineRule="auto"/>
              <w:rPr>
                <w:b/>
                <w:color w:val="000000"/>
                <w:szCs w:val="21"/>
              </w:rPr>
            </w:pPr>
            <w:r>
              <w:rPr>
                <w:b/>
                <w:color w:val="000000"/>
                <w:szCs w:val="21"/>
              </w:rPr>
              <w:t>减：二、费用</w:t>
            </w:r>
          </w:p>
        </w:tc>
        <w:tc>
          <w:tcPr>
            <w:tcW w:w="1080" w:type="dxa"/>
            <w:vAlign w:val="center"/>
          </w:tcPr>
          <w:p w:rsidR="003663E4" w:rsidRDefault="003663E4">
            <w:pPr>
              <w:pStyle w:val="af9"/>
              <w:spacing w:line="276" w:lineRule="auto"/>
              <w:jc w:val="center"/>
              <w:rPr>
                <w:rFonts w:ascii="Times New Roman" w:hAnsi="Times New Roman"/>
                <w:b/>
                <w:color w:val="000000"/>
                <w:sz w:val="21"/>
                <w:szCs w:val="21"/>
              </w:rPr>
            </w:pPr>
          </w:p>
        </w:tc>
        <w:tc>
          <w:tcPr>
            <w:tcW w:w="4500" w:type="dxa"/>
            <w:vAlign w:val="center"/>
          </w:tcPr>
          <w:p w:rsidR="003663E4" w:rsidRDefault="00FD3F7D">
            <w:pPr>
              <w:spacing w:line="276" w:lineRule="auto"/>
              <w:jc w:val="right"/>
              <w:rPr>
                <w:b/>
                <w:color w:val="000000"/>
                <w:szCs w:val="21"/>
              </w:rPr>
            </w:pPr>
            <w:r>
              <w:rPr>
                <w:b/>
                <w:color w:val="000000"/>
                <w:szCs w:val="21"/>
              </w:rPr>
              <w:t>1,582,681.30</w:t>
            </w:r>
          </w:p>
        </w:tc>
      </w:tr>
      <w:tr w:rsidR="003663E4">
        <w:tc>
          <w:tcPr>
            <w:tcW w:w="3420" w:type="dxa"/>
            <w:vAlign w:val="center"/>
          </w:tcPr>
          <w:p w:rsidR="003663E4" w:rsidRDefault="00FD3F7D">
            <w:pPr>
              <w:spacing w:line="276" w:lineRule="auto"/>
              <w:rPr>
                <w:color w:val="000000"/>
                <w:szCs w:val="21"/>
              </w:rPr>
            </w:pPr>
            <w:r>
              <w:rPr>
                <w:color w:val="000000"/>
                <w:szCs w:val="21"/>
              </w:rPr>
              <w:t>1</w:t>
            </w:r>
            <w:r>
              <w:rPr>
                <w:color w:val="000000"/>
                <w:szCs w:val="21"/>
              </w:rPr>
              <w:t>．管理人报酬</w:t>
            </w:r>
          </w:p>
        </w:tc>
        <w:tc>
          <w:tcPr>
            <w:tcW w:w="1080" w:type="dxa"/>
            <w:vAlign w:val="center"/>
          </w:tcPr>
          <w:p w:rsidR="003663E4" w:rsidRDefault="003663E4">
            <w:pPr>
              <w:pStyle w:val="af9"/>
              <w:spacing w:line="276" w:lineRule="auto"/>
              <w:jc w:val="center"/>
              <w:rPr>
                <w:rFonts w:ascii="Times New Roman" w:hAnsi="Times New Roman"/>
                <w:b/>
                <w:color w:val="000000"/>
                <w:sz w:val="21"/>
                <w:szCs w:val="21"/>
              </w:rPr>
            </w:pPr>
          </w:p>
        </w:tc>
        <w:tc>
          <w:tcPr>
            <w:tcW w:w="4500" w:type="dxa"/>
            <w:vAlign w:val="center"/>
          </w:tcPr>
          <w:p w:rsidR="003663E4" w:rsidRDefault="00FD3F7D">
            <w:pPr>
              <w:spacing w:line="276" w:lineRule="auto"/>
              <w:jc w:val="right"/>
              <w:rPr>
                <w:color w:val="000000"/>
                <w:szCs w:val="21"/>
              </w:rPr>
            </w:pPr>
            <w:r>
              <w:rPr>
                <w:color w:val="000000"/>
                <w:szCs w:val="21"/>
              </w:rPr>
              <w:t>987,765.46</w:t>
            </w:r>
          </w:p>
        </w:tc>
      </w:tr>
      <w:tr w:rsidR="003663E4">
        <w:tc>
          <w:tcPr>
            <w:tcW w:w="3420" w:type="dxa"/>
            <w:vAlign w:val="center"/>
          </w:tcPr>
          <w:p w:rsidR="003663E4" w:rsidRDefault="00FD3F7D">
            <w:pPr>
              <w:spacing w:line="276" w:lineRule="auto"/>
              <w:rPr>
                <w:color w:val="000000"/>
                <w:szCs w:val="21"/>
              </w:rPr>
            </w:pPr>
            <w:r>
              <w:rPr>
                <w:color w:val="000000"/>
                <w:szCs w:val="21"/>
              </w:rPr>
              <w:t>2</w:t>
            </w:r>
            <w:r>
              <w:rPr>
                <w:color w:val="000000"/>
                <w:szCs w:val="21"/>
              </w:rPr>
              <w:t>．托管费</w:t>
            </w:r>
          </w:p>
        </w:tc>
        <w:tc>
          <w:tcPr>
            <w:tcW w:w="1080" w:type="dxa"/>
            <w:vAlign w:val="center"/>
          </w:tcPr>
          <w:p w:rsidR="003663E4" w:rsidRDefault="003663E4">
            <w:pPr>
              <w:pStyle w:val="af9"/>
              <w:spacing w:line="276" w:lineRule="auto"/>
              <w:jc w:val="center"/>
              <w:rPr>
                <w:rFonts w:ascii="Times New Roman" w:hAnsi="Times New Roman"/>
                <w:b/>
                <w:color w:val="000000"/>
                <w:sz w:val="21"/>
                <w:szCs w:val="21"/>
              </w:rPr>
            </w:pPr>
          </w:p>
        </w:tc>
        <w:tc>
          <w:tcPr>
            <w:tcW w:w="4500" w:type="dxa"/>
            <w:vAlign w:val="center"/>
          </w:tcPr>
          <w:p w:rsidR="003663E4" w:rsidRDefault="00FD3F7D">
            <w:pPr>
              <w:spacing w:line="276" w:lineRule="auto"/>
              <w:jc w:val="right"/>
              <w:rPr>
                <w:color w:val="000000"/>
                <w:szCs w:val="21"/>
              </w:rPr>
            </w:pPr>
            <w:r>
              <w:rPr>
                <w:color w:val="000000"/>
                <w:szCs w:val="21"/>
              </w:rPr>
              <w:t>329,255.09</w:t>
            </w:r>
          </w:p>
        </w:tc>
      </w:tr>
      <w:tr w:rsidR="003663E4">
        <w:tc>
          <w:tcPr>
            <w:tcW w:w="3420" w:type="dxa"/>
            <w:vAlign w:val="center"/>
          </w:tcPr>
          <w:p w:rsidR="003663E4" w:rsidRDefault="00FD3F7D">
            <w:pPr>
              <w:spacing w:line="276" w:lineRule="auto"/>
              <w:rPr>
                <w:color w:val="000000"/>
                <w:szCs w:val="21"/>
              </w:rPr>
            </w:pPr>
            <w:r>
              <w:rPr>
                <w:color w:val="000000"/>
                <w:szCs w:val="21"/>
              </w:rPr>
              <w:t>3</w:t>
            </w:r>
            <w:r>
              <w:rPr>
                <w:color w:val="000000"/>
                <w:szCs w:val="21"/>
              </w:rPr>
              <w:t>．销售服务费</w:t>
            </w:r>
          </w:p>
        </w:tc>
        <w:tc>
          <w:tcPr>
            <w:tcW w:w="1080" w:type="dxa"/>
            <w:vAlign w:val="center"/>
          </w:tcPr>
          <w:p w:rsidR="003663E4" w:rsidRDefault="003663E4">
            <w:pPr>
              <w:pStyle w:val="af9"/>
              <w:spacing w:line="276" w:lineRule="auto"/>
              <w:jc w:val="center"/>
              <w:rPr>
                <w:rFonts w:ascii="Times New Roman" w:hAnsi="Times New Roman"/>
                <w:b/>
                <w:color w:val="000000"/>
                <w:sz w:val="21"/>
                <w:szCs w:val="21"/>
              </w:rPr>
            </w:pPr>
          </w:p>
        </w:tc>
        <w:tc>
          <w:tcPr>
            <w:tcW w:w="4500" w:type="dxa"/>
            <w:vAlign w:val="center"/>
          </w:tcPr>
          <w:p w:rsidR="003663E4" w:rsidRDefault="00FD3F7D">
            <w:pPr>
              <w:spacing w:line="276" w:lineRule="auto"/>
              <w:jc w:val="right"/>
              <w:rPr>
                <w:color w:val="000000"/>
                <w:szCs w:val="21"/>
              </w:rPr>
            </w:pPr>
            <w:r>
              <w:rPr>
                <w:color w:val="000000"/>
                <w:szCs w:val="21"/>
              </w:rPr>
              <w:t>-</w:t>
            </w:r>
          </w:p>
        </w:tc>
      </w:tr>
      <w:tr w:rsidR="003663E4">
        <w:tc>
          <w:tcPr>
            <w:tcW w:w="3420" w:type="dxa"/>
            <w:vAlign w:val="center"/>
          </w:tcPr>
          <w:p w:rsidR="003663E4" w:rsidRDefault="00FD3F7D">
            <w:pPr>
              <w:spacing w:line="276" w:lineRule="auto"/>
              <w:rPr>
                <w:color w:val="000000"/>
                <w:szCs w:val="21"/>
              </w:rPr>
            </w:pPr>
            <w:r>
              <w:rPr>
                <w:color w:val="000000"/>
                <w:szCs w:val="21"/>
              </w:rPr>
              <w:t>4</w:t>
            </w:r>
            <w:r>
              <w:rPr>
                <w:color w:val="000000"/>
                <w:szCs w:val="21"/>
              </w:rPr>
              <w:t>．交易费用</w:t>
            </w:r>
          </w:p>
        </w:tc>
        <w:tc>
          <w:tcPr>
            <w:tcW w:w="1080" w:type="dxa"/>
            <w:vAlign w:val="center"/>
          </w:tcPr>
          <w:p w:rsidR="003663E4" w:rsidRDefault="00FD3F7D">
            <w:pPr>
              <w:pStyle w:val="af9"/>
              <w:spacing w:line="276" w:lineRule="auto"/>
              <w:jc w:val="center"/>
              <w:rPr>
                <w:rFonts w:ascii="Times New Roman" w:hAnsi="Times New Roman"/>
                <w:b/>
                <w:color w:val="000000"/>
                <w:sz w:val="21"/>
                <w:szCs w:val="21"/>
              </w:rPr>
            </w:pPr>
            <w:r>
              <w:rPr>
                <w:rFonts w:ascii="Times New Roman" w:hAnsi="Times New Roman"/>
                <w:b/>
                <w:color w:val="000000"/>
                <w:sz w:val="21"/>
                <w:szCs w:val="21"/>
              </w:rPr>
              <w:t>7.1.4.7.19</w:t>
            </w:r>
          </w:p>
        </w:tc>
        <w:tc>
          <w:tcPr>
            <w:tcW w:w="4500" w:type="dxa"/>
            <w:vAlign w:val="center"/>
          </w:tcPr>
          <w:p w:rsidR="003663E4" w:rsidRDefault="00FD3F7D">
            <w:pPr>
              <w:spacing w:line="276" w:lineRule="auto"/>
              <w:jc w:val="right"/>
              <w:rPr>
                <w:color w:val="000000"/>
                <w:szCs w:val="21"/>
              </w:rPr>
            </w:pPr>
            <w:r>
              <w:rPr>
                <w:color w:val="000000"/>
                <w:szCs w:val="21"/>
              </w:rPr>
              <w:t>15,175.00</w:t>
            </w:r>
          </w:p>
        </w:tc>
      </w:tr>
      <w:tr w:rsidR="003663E4">
        <w:tc>
          <w:tcPr>
            <w:tcW w:w="3420" w:type="dxa"/>
            <w:vAlign w:val="center"/>
          </w:tcPr>
          <w:p w:rsidR="003663E4" w:rsidRDefault="00FD3F7D">
            <w:pPr>
              <w:spacing w:line="276" w:lineRule="auto"/>
              <w:rPr>
                <w:color w:val="000000"/>
                <w:szCs w:val="21"/>
              </w:rPr>
            </w:pPr>
            <w:r>
              <w:rPr>
                <w:color w:val="000000"/>
                <w:szCs w:val="21"/>
              </w:rPr>
              <w:t>5</w:t>
            </w:r>
            <w:r>
              <w:rPr>
                <w:color w:val="000000"/>
                <w:szCs w:val="21"/>
              </w:rPr>
              <w:t>．利息支出</w:t>
            </w:r>
          </w:p>
        </w:tc>
        <w:tc>
          <w:tcPr>
            <w:tcW w:w="1080" w:type="dxa"/>
            <w:vAlign w:val="center"/>
          </w:tcPr>
          <w:p w:rsidR="003663E4" w:rsidRDefault="003663E4">
            <w:pPr>
              <w:pStyle w:val="af9"/>
              <w:spacing w:line="276" w:lineRule="auto"/>
              <w:jc w:val="center"/>
              <w:rPr>
                <w:rFonts w:ascii="Times New Roman" w:hAnsi="Times New Roman"/>
                <w:b/>
                <w:color w:val="000000"/>
                <w:sz w:val="21"/>
                <w:szCs w:val="21"/>
              </w:rPr>
            </w:pPr>
          </w:p>
        </w:tc>
        <w:tc>
          <w:tcPr>
            <w:tcW w:w="4500" w:type="dxa"/>
            <w:vAlign w:val="center"/>
          </w:tcPr>
          <w:p w:rsidR="003663E4" w:rsidRDefault="00FD3F7D">
            <w:pPr>
              <w:spacing w:line="276" w:lineRule="auto"/>
              <w:jc w:val="right"/>
              <w:rPr>
                <w:color w:val="000000"/>
                <w:szCs w:val="21"/>
              </w:rPr>
            </w:pPr>
            <w:r>
              <w:rPr>
                <w:color w:val="000000"/>
                <w:szCs w:val="21"/>
              </w:rPr>
              <w:t>152,913.89</w:t>
            </w:r>
          </w:p>
        </w:tc>
      </w:tr>
      <w:tr w:rsidR="003663E4">
        <w:tc>
          <w:tcPr>
            <w:tcW w:w="3420" w:type="dxa"/>
            <w:vAlign w:val="center"/>
          </w:tcPr>
          <w:p w:rsidR="003663E4" w:rsidRDefault="00FD3F7D">
            <w:pPr>
              <w:spacing w:line="276" w:lineRule="auto"/>
              <w:rPr>
                <w:color w:val="000000"/>
                <w:szCs w:val="21"/>
              </w:rPr>
            </w:pPr>
            <w:r>
              <w:rPr>
                <w:color w:val="000000"/>
                <w:szCs w:val="21"/>
              </w:rPr>
              <w:t>其中：卖出回购金融资产支出</w:t>
            </w:r>
          </w:p>
        </w:tc>
        <w:tc>
          <w:tcPr>
            <w:tcW w:w="1080" w:type="dxa"/>
            <w:vAlign w:val="center"/>
          </w:tcPr>
          <w:p w:rsidR="003663E4" w:rsidRDefault="003663E4">
            <w:pPr>
              <w:pStyle w:val="af9"/>
              <w:spacing w:line="276" w:lineRule="auto"/>
              <w:jc w:val="center"/>
              <w:rPr>
                <w:rFonts w:ascii="Times New Roman" w:hAnsi="Times New Roman"/>
                <w:b/>
                <w:color w:val="000000"/>
                <w:sz w:val="21"/>
                <w:szCs w:val="21"/>
              </w:rPr>
            </w:pPr>
          </w:p>
        </w:tc>
        <w:tc>
          <w:tcPr>
            <w:tcW w:w="4500" w:type="dxa"/>
            <w:vAlign w:val="center"/>
          </w:tcPr>
          <w:p w:rsidR="003663E4" w:rsidRDefault="00FD3F7D">
            <w:pPr>
              <w:spacing w:line="276" w:lineRule="auto"/>
              <w:jc w:val="right"/>
              <w:rPr>
                <w:color w:val="000000"/>
                <w:szCs w:val="21"/>
              </w:rPr>
            </w:pPr>
            <w:r>
              <w:rPr>
                <w:color w:val="000000"/>
                <w:szCs w:val="21"/>
              </w:rPr>
              <w:t>152,913.89</w:t>
            </w:r>
          </w:p>
        </w:tc>
      </w:tr>
      <w:tr w:rsidR="003663E4">
        <w:tc>
          <w:tcPr>
            <w:tcW w:w="3420" w:type="dxa"/>
            <w:vAlign w:val="center"/>
          </w:tcPr>
          <w:p w:rsidR="003663E4" w:rsidRDefault="00FD3F7D">
            <w:pPr>
              <w:spacing w:line="276" w:lineRule="auto"/>
              <w:rPr>
                <w:rFonts w:eastAsiaTheme="minorEastAsia"/>
                <w:color w:val="000000"/>
                <w:szCs w:val="21"/>
                <w:highlight w:val="red"/>
              </w:rPr>
            </w:pPr>
            <w:r>
              <w:rPr>
                <w:rFonts w:hint="eastAsia"/>
                <w:color w:val="000000"/>
                <w:szCs w:val="21"/>
              </w:rPr>
              <w:t>6</w:t>
            </w:r>
            <w:r>
              <w:rPr>
                <w:color w:val="000000"/>
                <w:szCs w:val="21"/>
              </w:rPr>
              <w:t>．</w:t>
            </w:r>
            <w:r>
              <w:rPr>
                <w:rFonts w:hint="eastAsia"/>
                <w:color w:val="000000"/>
                <w:szCs w:val="21"/>
              </w:rPr>
              <w:t>税金及附加</w:t>
            </w:r>
          </w:p>
        </w:tc>
        <w:tc>
          <w:tcPr>
            <w:tcW w:w="1080" w:type="dxa"/>
            <w:vAlign w:val="center"/>
          </w:tcPr>
          <w:p w:rsidR="003663E4" w:rsidRDefault="003663E4">
            <w:pPr>
              <w:pStyle w:val="af9"/>
              <w:spacing w:line="276" w:lineRule="auto"/>
              <w:jc w:val="center"/>
              <w:rPr>
                <w:rFonts w:ascii="Times New Roman" w:hAnsi="Times New Roman"/>
                <w:b/>
                <w:color w:val="000000"/>
                <w:sz w:val="21"/>
                <w:szCs w:val="21"/>
              </w:rPr>
            </w:pPr>
          </w:p>
        </w:tc>
        <w:tc>
          <w:tcPr>
            <w:tcW w:w="4500" w:type="dxa"/>
            <w:vAlign w:val="bottom"/>
          </w:tcPr>
          <w:p w:rsidR="003663E4" w:rsidRDefault="00FD3F7D">
            <w:pPr>
              <w:spacing w:line="276" w:lineRule="auto"/>
              <w:jc w:val="right"/>
              <w:rPr>
                <w:color w:val="000000"/>
                <w:szCs w:val="21"/>
              </w:rPr>
            </w:pPr>
            <w:r>
              <w:rPr>
                <w:color w:val="000000"/>
                <w:szCs w:val="21"/>
              </w:rPr>
              <w:t>1,988.51</w:t>
            </w:r>
          </w:p>
        </w:tc>
      </w:tr>
      <w:tr w:rsidR="003663E4">
        <w:tc>
          <w:tcPr>
            <w:tcW w:w="3420" w:type="dxa"/>
            <w:vAlign w:val="center"/>
          </w:tcPr>
          <w:p w:rsidR="003663E4" w:rsidRDefault="00FD3F7D">
            <w:pPr>
              <w:spacing w:line="276" w:lineRule="auto"/>
              <w:rPr>
                <w:color w:val="000000"/>
                <w:szCs w:val="21"/>
              </w:rPr>
            </w:pPr>
            <w:r>
              <w:rPr>
                <w:color w:val="000000"/>
                <w:szCs w:val="21"/>
              </w:rPr>
              <w:t>7</w:t>
            </w:r>
            <w:r>
              <w:rPr>
                <w:color w:val="000000"/>
                <w:szCs w:val="21"/>
              </w:rPr>
              <w:t>．其他费用</w:t>
            </w:r>
          </w:p>
        </w:tc>
        <w:tc>
          <w:tcPr>
            <w:tcW w:w="1080" w:type="dxa"/>
            <w:vAlign w:val="center"/>
          </w:tcPr>
          <w:p w:rsidR="003663E4" w:rsidRDefault="00FD3F7D">
            <w:pPr>
              <w:pStyle w:val="af9"/>
              <w:spacing w:line="276" w:lineRule="auto"/>
              <w:jc w:val="center"/>
              <w:rPr>
                <w:rFonts w:ascii="Times New Roman" w:hAnsi="Times New Roman"/>
                <w:b/>
                <w:color w:val="000000"/>
                <w:sz w:val="21"/>
                <w:szCs w:val="21"/>
              </w:rPr>
            </w:pPr>
            <w:r>
              <w:rPr>
                <w:rFonts w:ascii="Times New Roman" w:hAnsi="Times New Roman"/>
                <w:b/>
                <w:color w:val="000000"/>
                <w:sz w:val="21"/>
                <w:szCs w:val="21"/>
              </w:rPr>
              <w:t>7.1.4.7.20</w:t>
            </w:r>
          </w:p>
        </w:tc>
        <w:tc>
          <w:tcPr>
            <w:tcW w:w="4500" w:type="dxa"/>
            <w:vAlign w:val="center"/>
          </w:tcPr>
          <w:p w:rsidR="003663E4" w:rsidRDefault="00FD3F7D">
            <w:pPr>
              <w:spacing w:line="276" w:lineRule="auto"/>
              <w:jc w:val="right"/>
              <w:rPr>
                <w:color w:val="000000"/>
                <w:szCs w:val="21"/>
              </w:rPr>
            </w:pPr>
            <w:r>
              <w:rPr>
                <w:color w:val="000000"/>
                <w:szCs w:val="21"/>
              </w:rPr>
              <w:t>95,583.35</w:t>
            </w:r>
          </w:p>
        </w:tc>
      </w:tr>
      <w:tr w:rsidR="003663E4">
        <w:tc>
          <w:tcPr>
            <w:tcW w:w="3420" w:type="dxa"/>
            <w:vAlign w:val="center"/>
          </w:tcPr>
          <w:p w:rsidR="003663E4" w:rsidRDefault="00FD3F7D">
            <w:pPr>
              <w:spacing w:line="276" w:lineRule="auto"/>
              <w:rPr>
                <w:b/>
                <w:color w:val="000000"/>
                <w:szCs w:val="21"/>
              </w:rPr>
            </w:pPr>
            <w:r>
              <w:rPr>
                <w:b/>
                <w:color w:val="000000"/>
                <w:szCs w:val="21"/>
              </w:rPr>
              <w:t>三、利润总额（亏损总额以</w:t>
            </w:r>
            <w:r>
              <w:rPr>
                <w:b/>
                <w:color w:val="000000"/>
                <w:szCs w:val="21"/>
              </w:rPr>
              <w:t>“-”</w:t>
            </w:r>
            <w:r>
              <w:rPr>
                <w:b/>
                <w:color w:val="000000"/>
                <w:szCs w:val="21"/>
              </w:rPr>
              <w:t>号填列）</w:t>
            </w:r>
          </w:p>
        </w:tc>
        <w:tc>
          <w:tcPr>
            <w:tcW w:w="1080" w:type="dxa"/>
            <w:vAlign w:val="center"/>
          </w:tcPr>
          <w:p w:rsidR="003663E4" w:rsidRDefault="003663E4">
            <w:pPr>
              <w:pStyle w:val="af9"/>
              <w:spacing w:line="276" w:lineRule="auto"/>
              <w:jc w:val="center"/>
              <w:rPr>
                <w:rFonts w:ascii="Times New Roman" w:hAnsi="Times New Roman"/>
                <w:b/>
                <w:color w:val="000000"/>
                <w:sz w:val="21"/>
                <w:szCs w:val="21"/>
              </w:rPr>
            </w:pPr>
          </w:p>
        </w:tc>
        <w:tc>
          <w:tcPr>
            <w:tcW w:w="4500" w:type="dxa"/>
            <w:vAlign w:val="center"/>
          </w:tcPr>
          <w:p w:rsidR="003663E4" w:rsidRDefault="00FD3F7D">
            <w:pPr>
              <w:spacing w:line="276" w:lineRule="auto"/>
              <w:jc w:val="right"/>
              <w:rPr>
                <w:b/>
                <w:color w:val="000000"/>
                <w:szCs w:val="21"/>
              </w:rPr>
            </w:pPr>
            <w:r>
              <w:rPr>
                <w:b/>
                <w:color w:val="000000"/>
                <w:szCs w:val="21"/>
              </w:rPr>
              <w:t>8,882,484.66</w:t>
            </w:r>
          </w:p>
        </w:tc>
      </w:tr>
      <w:tr w:rsidR="003663E4">
        <w:tc>
          <w:tcPr>
            <w:tcW w:w="3420" w:type="dxa"/>
            <w:vAlign w:val="center"/>
          </w:tcPr>
          <w:p w:rsidR="003663E4" w:rsidRDefault="00FD3F7D">
            <w:pPr>
              <w:spacing w:line="276" w:lineRule="auto"/>
              <w:rPr>
                <w:b/>
                <w:color w:val="000000"/>
                <w:szCs w:val="21"/>
              </w:rPr>
            </w:pPr>
            <w:r>
              <w:rPr>
                <w:color w:val="000000"/>
                <w:szCs w:val="21"/>
              </w:rPr>
              <w:t>减：所得税费用</w:t>
            </w:r>
          </w:p>
        </w:tc>
        <w:tc>
          <w:tcPr>
            <w:tcW w:w="1080" w:type="dxa"/>
            <w:vAlign w:val="center"/>
          </w:tcPr>
          <w:p w:rsidR="003663E4" w:rsidRDefault="003663E4">
            <w:pPr>
              <w:pStyle w:val="af9"/>
              <w:spacing w:line="276" w:lineRule="auto"/>
              <w:jc w:val="center"/>
              <w:rPr>
                <w:rFonts w:ascii="Times New Roman" w:hAnsi="Times New Roman"/>
                <w:b/>
                <w:color w:val="000000"/>
                <w:sz w:val="21"/>
                <w:szCs w:val="21"/>
              </w:rPr>
            </w:pPr>
          </w:p>
        </w:tc>
        <w:tc>
          <w:tcPr>
            <w:tcW w:w="4500" w:type="dxa"/>
            <w:vAlign w:val="center"/>
          </w:tcPr>
          <w:p w:rsidR="003663E4" w:rsidRDefault="00FD3F7D">
            <w:pPr>
              <w:spacing w:line="276" w:lineRule="auto"/>
              <w:jc w:val="right"/>
              <w:rPr>
                <w:color w:val="000000"/>
                <w:szCs w:val="21"/>
              </w:rPr>
            </w:pPr>
            <w:r>
              <w:rPr>
                <w:color w:val="000000"/>
                <w:szCs w:val="21"/>
              </w:rPr>
              <w:t>-</w:t>
            </w:r>
          </w:p>
        </w:tc>
      </w:tr>
      <w:tr w:rsidR="003663E4">
        <w:tc>
          <w:tcPr>
            <w:tcW w:w="3420" w:type="dxa"/>
            <w:vAlign w:val="center"/>
          </w:tcPr>
          <w:p w:rsidR="003663E4" w:rsidRDefault="00FD3F7D">
            <w:pPr>
              <w:spacing w:line="276" w:lineRule="auto"/>
              <w:rPr>
                <w:b/>
                <w:color w:val="000000"/>
                <w:szCs w:val="21"/>
              </w:rPr>
            </w:pPr>
            <w:r>
              <w:rPr>
                <w:b/>
                <w:color w:val="000000"/>
                <w:szCs w:val="21"/>
              </w:rPr>
              <w:t>四、净利润（净亏损以</w:t>
            </w:r>
            <w:r>
              <w:rPr>
                <w:b/>
                <w:color w:val="000000"/>
                <w:szCs w:val="21"/>
              </w:rPr>
              <w:t>“-”</w:t>
            </w:r>
            <w:r>
              <w:rPr>
                <w:b/>
                <w:color w:val="000000"/>
                <w:szCs w:val="21"/>
              </w:rPr>
              <w:t>号填列）</w:t>
            </w:r>
          </w:p>
        </w:tc>
        <w:tc>
          <w:tcPr>
            <w:tcW w:w="1080" w:type="dxa"/>
            <w:vAlign w:val="center"/>
          </w:tcPr>
          <w:p w:rsidR="003663E4" w:rsidRDefault="003663E4">
            <w:pPr>
              <w:pStyle w:val="af9"/>
              <w:spacing w:line="276" w:lineRule="auto"/>
              <w:jc w:val="center"/>
              <w:rPr>
                <w:rFonts w:ascii="Times New Roman" w:hAnsi="Times New Roman"/>
                <w:b/>
                <w:color w:val="000000"/>
                <w:sz w:val="21"/>
                <w:szCs w:val="21"/>
              </w:rPr>
            </w:pPr>
          </w:p>
        </w:tc>
        <w:tc>
          <w:tcPr>
            <w:tcW w:w="4500" w:type="dxa"/>
            <w:vAlign w:val="center"/>
          </w:tcPr>
          <w:p w:rsidR="003663E4" w:rsidRDefault="00FD3F7D">
            <w:pPr>
              <w:spacing w:line="276" w:lineRule="auto"/>
              <w:jc w:val="right"/>
              <w:rPr>
                <w:b/>
                <w:color w:val="000000"/>
                <w:szCs w:val="21"/>
              </w:rPr>
            </w:pPr>
            <w:r>
              <w:rPr>
                <w:b/>
                <w:color w:val="000000"/>
                <w:szCs w:val="21"/>
              </w:rPr>
              <w:t>8,882,484.66</w:t>
            </w:r>
          </w:p>
        </w:tc>
      </w:tr>
    </w:tbl>
    <w:p w:rsidR="003663E4" w:rsidRDefault="00FD3F7D">
      <w:pPr>
        <w:pStyle w:val="3"/>
        <w:spacing w:beforeLines="50" w:before="156" w:after="0" w:line="360" w:lineRule="auto"/>
        <w:rPr>
          <w:color w:val="000000"/>
          <w:sz w:val="21"/>
          <w:szCs w:val="21"/>
        </w:rPr>
      </w:pPr>
      <w:bookmarkStart w:id="153" w:name="_Toc508540285"/>
      <w:bookmarkStart w:id="154" w:name="_Toc23339381"/>
      <w:bookmarkStart w:id="155" w:name="_Toc15087"/>
      <w:r>
        <w:rPr>
          <w:color w:val="000000"/>
          <w:kern w:val="0"/>
          <w:sz w:val="21"/>
          <w:szCs w:val="21"/>
        </w:rPr>
        <w:t>7.1.3</w:t>
      </w:r>
      <w:r>
        <w:rPr>
          <w:rFonts w:hint="eastAsia"/>
          <w:color w:val="000000"/>
          <w:kern w:val="0"/>
          <w:sz w:val="21"/>
          <w:szCs w:val="21"/>
        </w:rPr>
        <w:t xml:space="preserve"> </w:t>
      </w:r>
      <w:r>
        <w:rPr>
          <w:color w:val="000000"/>
          <w:sz w:val="21"/>
          <w:szCs w:val="21"/>
        </w:rPr>
        <w:t>所有者权益（基金净值）变动表</w:t>
      </w:r>
      <w:bookmarkEnd w:id="153"/>
      <w:bookmarkEnd w:id="154"/>
      <w:bookmarkEnd w:id="155"/>
    </w:p>
    <w:p w:rsidR="003663E4" w:rsidRDefault="00FD3F7D">
      <w:pPr>
        <w:spacing w:line="360" w:lineRule="auto"/>
        <w:rPr>
          <w:color w:val="000000"/>
          <w:kern w:val="0"/>
          <w:szCs w:val="21"/>
        </w:rPr>
      </w:pPr>
      <w:r>
        <w:rPr>
          <w:color w:val="000000"/>
          <w:szCs w:val="21"/>
        </w:rPr>
        <w:t>会计主体：</w:t>
      </w:r>
      <w:r>
        <w:rPr>
          <w:color w:val="000000"/>
          <w:kern w:val="0"/>
          <w:szCs w:val="21"/>
        </w:rPr>
        <w:t>交银施罗德裕惠纯债债券型证券投资基金</w:t>
      </w:r>
    </w:p>
    <w:p w:rsidR="003663E4" w:rsidRDefault="00FD3F7D">
      <w:pPr>
        <w:spacing w:line="360" w:lineRule="auto"/>
        <w:rPr>
          <w:color w:val="000000"/>
          <w:kern w:val="0"/>
          <w:szCs w:val="21"/>
        </w:rPr>
      </w:pPr>
      <w:r>
        <w:rPr>
          <w:color w:val="000000"/>
          <w:szCs w:val="21"/>
        </w:rPr>
        <w:t>本报告期：</w:t>
      </w:r>
      <w:r>
        <w:rPr>
          <w:color w:val="000000"/>
          <w:kern w:val="0"/>
          <w:szCs w:val="21"/>
        </w:rPr>
        <w:t>2020</w:t>
      </w:r>
      <w:r>
        <w:rPr>
          <w:color w:val="000000"/>
          <w:kern w:val="0"/>
          <w:szCs w:val="21"/>
        </w:rPr>
        <w:t>年</w:t>
      </w:r>
      <w:r>
        <w:rPr>
          <w:color w:val="000000"/>
          <w:kern w:val="0"/>
          <w:szCs w:val="21"/>
        </w:rPr>
        <w:t>7</w:t>
      </w:r>
      <w:r>
        <w:rPr>
          <w:color w:val="000000"/>
          <w:kern w:val="0"/>
          <w:szCs w:val="21"/>
        </w:rPr>
        <w:t>月</w:t>
      </w:r>
      <w:r>
        <w:rPr>
          <w:color w:val="000000"/>
          <w:kern w:val="0"/>
          <w:szCs w:val="21"/>
        </w:rPr>
        <w:t>28</w:t>
      </w:r>
      <w:r>
        <w:rPr>
          <w:color w:val="000000"/>
          <w:kern w:val="0"/>
          <w:szCs w:val="21"/>
        </w:rPr>
        <w:t>日（基金合同生效日）至</w:t>
      </w:r>
      <w:r>
        <w:rPr>
          <w:color w:val="000000"/>
          <w:kern w:val="0"/>
          <w:szCs w:val="21"/>
        </w:rPr>
        <w:t>2020</w:t>
      </w:r>
      <w:r>
        <w:rPr>
          <w:color w:val="000000"/>
          <w:kern w:val="0"/>
          <w:szCs w:val="21"/>
        </w:rPr>
        <w:t>年</w:t>
      </w:r>
      <w:r>
        <w:rPr>
          <w:color w:val="000000"/>
          <w:kern w:val="0"/>
          <w:szCs w:val="21"/>
        </w:rPr>
        <w:t>12</w:t>
      </w:r>
      <w:r>
        <w:rPr>
          <w:color w:val="000000"/>
          <w:kern w:val="0"/>
          <w:szCs w:val="21"/>
        </w:rPr>
        <w:t>月</w:t>
      </w:r>
      <w:r>
        <w:rPr>
          <w:color w:val="000000"/>
          <w:kern w:val="0"/>
          <w:szCs w:val="21"/>
        </w:rPr>
        <w:t>31</w:t>
      </w:r>
      <w:r>
        <w:rPr>
          <w:color w:val="000000"/>
          <w:kern w:val="0"/>
          <w:szCs w:val="21"/>
        </w:rPr>
        <w:t>日</w:t>
      </w:r>
    </w:p>
    <w:p w:rsidR="003663E4" w:rsidRDefault="00FD3F7D">
      <w:pPr>
        <w:autoSpaceDE w:val="0"/>
        <w:autoSpaceDN w:val="0"/>
        <w:adjustRightInd w:val="0"/>
        <w:spacing w:before="29" w:line="360" w:lineRule="auto"/>
        <w:ind w:left="15"/>
        <w:jc w:val="right"/>
        <w:rPr>
          <w:color w:val="000000"/>
          <w:kern w:val="0"/>
          <w:szCs w:val="21"/>
        </w:rPr>
      </w:pPr>
      <w:r>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3663E4">
        <w:tc>
          <w:tcPr>
            <w:tcW w:w="2410" w:type="dxa"/>
            <w:vMerge w:val="restart"/>
            <w:vAlign w:val="center"/>
          </w:tcPr>
          <w:p w:rsidR="003663E4" w:rsidRDefault="00FD3F7D">
            <w:pPr>
              <w:spacing w:line="276" w:lineRule="auto"/>
              <w:jc w:val="center"/>
              <w:rPr>
                <w:b/>
                <w:color w:val="000000"/>
                <w:szCs w:val="21"/>
              </w:rPr>
            </w:pPr>
            <w:r>
              <w:rPr>
                <w:b/>
                <w:color w:val="000000"/>
                <w:szCs w:val="21"/>
              </w:rPr>
              <w:t>项</w:t>
            </w:r>
            <w:r>
              <w:rPr>
                <w:rFonts w:hint="eastAsia"/>
                <w:b/>
                <w:color w:val="000000"/>
                <w:szCs w:val="21"/>
              </w:rPr>
              <w:t xml:space="preserve"> </w:t>
            </w:r>
            <w:r>
              <w:rPr>
                <w:b/>
                <w:color w:val="000000"/>
                <w:szCs w:val="21"/>
              </w:rPr>
              <w:t>目</w:t>
            </w:r>
          </w:p>
        </w:tc>
        <w:tc>
          <w:tcPr>
            <w:tcW w:w="6590" w:type="dxa"/>
            <w:gridSpan w:val="3"/>
            <w:vAlign w:val="center"/>
          </w:tcPr>
          <w:p w:rsidR="003663E4" w:rsidRDefault="00FD3F7D">
            <w:pPr>
              <w:spacing w:line="276" w:lineRule="auto"/>
              <w:jc w:val="center"/>
              <w:rPr>
                <w:b/>
                <w:color w:val="000000"/>
                <w:szCs w:val="21"/>
              </w:rPr>
            </w:pPr>
            <w:r>
              <w:rPr>
                <w:b/>
                <w:color w:val="000000"/>
                <w:szCs w:val="21"/>
              </w:rPr>
              <w:t>本期</w:t>
            </w:r>
          </w:p>
          <w:p w:rsidR="003663E4" w:rsidRDefault="00FD3F7D">
            <w:pPr>
              <w:pStyle w:val="af9"/>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2020</w:t>
            </w:r>
            <w:r>
              <w:rPr>
                <w:rFonts w:ascii="Times New Roman" w:hAnsi="Times New Roman"/>
                <w:b/>
                <w:color w:val="000000"/>
                <w:sz w:val="21"/>
                <w:szCs w:val="21"/>
              </w:rPr>
              <w:t>年</w:t>
            </w:r>
            <w:r>
              <w:rPr>
                <w:rFonts w:ascii="Times New Roman" w:hAnsi="Times New Roman"/>
                <w:b/>
                <w:color w:val="000000"/>
                <w:sz w:val="21"/>
                <w:szCs w:val="21"/>
              </w:rPr>
              <w:t>7</w:t>
            </w:r>
            <w:r>
              <w:rPr>
                <w:rFonts w:ascii="Times New Roman" w:hAnsi="Times New Roman"/>
                <w:b/>
                <w:color w:val="000000"/>
                <w:sz w:val="21"/>
                <w:szCs w:val="21"/>
              </w:rPr>
              <w:t>月</w:t>
            </w:r>
            <w:r>
              <w:rPr>
                <w:rFonts w:ascii="Times New Roman" w:hAnsi="Times New Roman"/>
                <w:b/>
                <w:color w:val="000000"/>
                <w:sz w:val="21"/>
                <w:szCs w:val="21"/>
              </w:rPr>
              <w:t>28</w:t>
            </w:r>
            <w:r>
              <w:rPr>
                <w:rFonts w:ascii="Times New Roman" w:hAnsi="Times New Roman"/>
                <w:b/>
                <w:color w:val="000000"/>
                <w:sz w:val="21"/>
                <w:szCs w:val="21"/>
              </w:rPr>
              <w:t>日（基金合同生效日）至</w:t>
            </w:r>
            <w:r>
              <w:rPr>
                <w:rFonts w:ascii="Times New Roman" w:hAnsi="Times New Roman"/>
                <w:b/>
                <w:color w:val="000000"/>
                <w:sz w:val="21"/>
                <w:szCs w:val="21"/>
              </w:rPr>
              <w:t>2020</w:t>
            </w:r>
            <w:r>
              <w:rPr>
                <w:rFonts w:ascii="Times New Roman" w:hAnsi="Times New Roman"/>
                <w:b/>
                <w:color w:val="000000"/>
                <w:sz w:val="21"/>
                <w:szCs w:val="21"/>
              </w:rPr>
              <w:t>年</w:t>
            </w:r>
            <w:r>
              <w:rPr>
                <w:rFonts w:ascii="Times New Roman" w:hAnsi="Times New Roman"/>
                <w:b/>
                <w:color w:val="000000"/>
                <w:sz w:val="21"/>
                <w:szCs w:val="21"/>
              </w:rPr>
              <w:t>12</w:t>
            </w:r>
            <w:r>
              <w:rPr>
                <w:rFonts w:ascii="Times New Roman" w:hAnsi="Times New Roman"/>
                <w:b/>
                <w:color w:val="000000"/>
                <w:sz w:val="21"/>
                <w:szCs w:val="21"/>
              </w:rPr>
              <w:t>月</w:t>
            </w:r>
            <w:r>
              <w:rPr>
                <w:rFonts w:ascii="Times New Roman" w:hAnsi="Times New Roman"/>
                <w:b/>
                <w:color w:val="000000"/>
                <w:sz w:val="21"/>
                <w:szCs w:val="21"/>
              </w:rPr>
              <w:t>31</w:t>
            </w:r>
            <w:r>
              <w:rPr>
                <w:rFonts w:ascii="Times New Roman" w:hAnsi="Times New Roman"/>
                <w:b/>
                <w:color w:val="000000"/>
                <w:sz w:val="21"/>
                <w:szCs w:val="21"/>
              </w:rPr>
              <w:t>日</w:t>
            </w:r>
          </w:p>
        </w:tc>
      </w:tr>
      <w:tr w:rsidR="003663E4">
        <w:tc>
          <w:tcPr>
            <w:tcW w:w="2410" w:type="dxa"/>
            <w:vMerge/>
            <w:vAlign w:val="center"/>
          </w:tcPr>
          <w:p w:rsidR="003663E4" w:rsidRDefault="003663E4">
            <w:pPr>
              <w:widowControl/>
              <w:spacing w:line="276" w:lineRule="auto"/>
              <w:jc w:val="left"/>
              <w:rPr>
                <w:b/>
                <w:color w:val="000000"/>
                <w:szCs w:val="21"/>
              </w:rPr>
            </w:pPr>
          </w:p>
        </w:tc>
        <w:tc>
          <w:tcPr>
            <w:tcW w:w="2196" w:type="dxa"/>
            <w:vAlign w:val="center"/>
          </w:tcPr>
          <w:p w:rsidR="003663E4" w:rsidRDefault="00FD3F7D">
            <w:pPr>
              <w:spacing w:line="276" w:lineRule="auto"/>
              <w:jc w:val="center"/>
              <w:rPr>
                <w:b/>
                <w:color w:val="000000"/>
                <w:szCs w:val="21"/>
              </w:rPr>
            </w:pPr>
            <w:r>
              <w:rPr>
                <w:b/>
                <w:color w:val="000000"/>
                <w:szCs w:val="21"/>
              </w:rPr>
              <w:t>实收基金</w:t>
            </w:r>
          </w:p>
        </w:tc>
        <w:tc>
          <w:tcPr>
            <w:tcW w:w="2197" w:type="dxa"/>
            <w:vAlign w:val="center"/>
          </w:tcPr>
          <w:p w:rsidR="003663E4" w:rsidRDefault="00FD3F7D">
            <w:pPr>
              <w:spacing w:line="276" w:lineRule="auto"/>
              <w:jc w:val="center"/>
              <w:rPr>
                <w:b/>
                <w:color w:val="000000"/>
                <w:szCs w:val="21"/>
              </w:rPr>
            </w:pPr>
            <w:r>
              <w:rPr>
                <w:b/>
                <w:color w:val="000000"/>
                <w:szCs w:val="21"/>
              </w:rPr>
              <w:t>未分配利润</w:t>
            </w:r>
          </w:p>
        </w:tc>
        <w:tc>
          <w:tcPr>
            <w:tcW w:w="2197" w:type="dxa"/>
            <w:vAlign w:val="center"/>
          </w:tcPr>
          <w:p w:rsidR="003663E4" w:rsidRDefault="00FD3F7D">
            <w:pPr>
              <w:spacing w:line="276" w:lineRule="auto"/>
              <w:jc w:val="center"/>
              <w:rPr>
                <w:color w:val="000000"/>
                <w:szCs w:val="21"/>
              </w:rPr>
            </w:pPr>
            <w:r>
              <w:rPr>
                <w:b/>
                <w:color w:val="000000"/>
                <w:szCs w:val="21"/>
              </w:rPr>
              <w:t>所有者权益合计</w:t>
            </w:r>
          </w:p>
        </w:tc>
      </w:tr>
      <w:tr w:rsidR="003663E4">
        <w:tc>
          <w:tcPr>
            <w:tcW w:w="2410" w:type="dxa"/>
            <w:vAlign w:val="center"/>
          </w:tcPr>
          <w:p w:rsidR="003663E4" w:rsidRDefault="00FD3F7D">
            <w:pPr>
              <w:spacing w:line="276" w:lineRule="auto"/>
              <w:rPr>
                <w:color w:val="000000"/>
                <w:szCs w:val="21"/>
              </w:rPr>
            </w:pPr>
            <w:r>
              <w:rPr>
                <w:color w:val="000000"/>
                <w:szCs w:val="21"/>
              </w:rPr>
              <w:t>一、期初所有者权益（基金净值）</w:t>
            </w:r>
          </w:p>
        </w:tc>
        <w:tc>
          <w:tcPr>
            <w:tcW w:w="2196" w:type="dxa"/>
            <w:vAlign w:val="center"/>
          </w:tcPr>
          <w:p w:rsidR="003663E4" w:rsidRDefault="00FD3F7D">
            <w:pPr>
              <w:spacing w:line="276" w:lineRule="auto"/>
              <w:jc w:val="right"/>
              <w:rPr>
                <w:color w:val="000000"/>
                <w:szCs w:val="21"/>
              </w:rPr>
            </w:pPr>
            <w:r>
              <w:rPr>
                <w:color w:val="000000"/>
                <w:szCs w:val="21"/>
              </w:rPr>
              <w:t>770,084,760.44</w:t>
            </w:r>
          </w:p>
        </w:tc>
        <w:tc>
          <w:tcPr>
            <w:tcW w:w="2197" w:type="dxa"/>
            <w:vAlign w:val="center"/>
          </w:tcPr>
          <w:p w:rsidR="003663E4" w:rsidRDefault="00FD3F7D">
            <w:pPr>
              <w:spacing w:line="276" w:lineRule="auto"/>
              <w:jc w:val="right"/>
              <w:rPr>
                <w:color w:val="000000"/>
                <w:szCs w:val="21"/>
              </w:rPr>
            </w:pPr>
            <w:r>
              <w:rPr>
                <w:color w:val="000000"/>
                <w:szCs w:val="21"/>
              </w:rPr>
              <w:t>-</w:t>
            </w:r>
          </w:p>
        </w:tc>
        <w:tc>
          <w:tcPr>
            <w:tcW w:w="2197" w:type="dxa"/>
            <w:vAlign w:val="center"/>
          </w:tcPr>
          <w:p w:rsidR="003663E4" w:rsidRDefault="00FD3F7D">
            <w:pPr>
              <w:spacing w:line="276" w:lineRule="auto"/>
              <w:jc w:val="right"/>
              <w:rPr>
                <w:color w:val="000000"/>
                <w:szCs w:val="21"/>
              </w:rPr>
            </w:pPr>
            <w:r>
              <w:rPr>
                <w:color w:val="000000"/>
                <w:szCs w:val="21"/>
              </w:rPr>
              <w:t>770,084,760.44</w:t>
            </w:r>
          </w:p>
        </w:tc>
      </w:tr>
      <w:tr w:rsidR="003663E4">
        <w:tc>
          <w:tcPr>
            <w:tcW w:w="2410" w:type="dxa"/>
            <w:vAlign w:val="center"/>
          </w:tcPr>
          <w:p w:rsidR="003663E4" w:rsidRDefault="00FD3F7D">
            <w:pPr>
              <w:spacing w:line="276" w:lineRule="auto"/>
              <w:rPr>
                <w:color w:val="000000"/>
                <w:szCs w:val="21"/>
              </w:rPr>
            </w:pPr>
            <w:r>
              <w:rPr>
                <w:color w:val="000000"/>
                <w:szCs w:val="21"/>
              </w:rPr>
              <w:t>二、本期经营活动产生的基金净值变动数（本期利润）</w:t>
            </w:r>
          </w:p>
        </w:tc>
        <w:tc>
          <w:tcPr>
            <w:tcW w:w="2196" w:type="dxa"/>
            <w:vAlign w:val="center"/>
          </w:tcPr>
          <w:p w:rsidR="003663E4" w:rsidRDefault="00FD3F7D">
            <w:pPr>
              <w:spacing w:line="276" w:lineRule="auto"/>
              <w:jc w:val="right"/>
              <w:rPr>
                <w:color w:val="000000"/>
                <w:szCs w:val="21"/>
              </w:rPr>
            </w:pPr>
            <w:r>
              <w:rPr>
                <w:color w:val="000000"/>
                <w:szCs w:val="21"/>
              </w:rPr>
              <w:t>-</w:t>
            </w:r>
          </w:p>
        </w:tc>
        <w:tc>
          <w:tcPr>
            <w:tcW w:w="2197" w:type="dxa"/>
            <w:vAlign w:val="center"/>
          </w:tcPr>
          <w:p w:rsidR="003663E4" w:rsidRDefault="00FD3F7D">
            <w:pPr>
              <w:spacing w:line="276" w:lineRule="auto"/>
              <w:jc w:val="right"/>
              <w:rPr>
                <w:color w:val="000000"/>
                <w:szCs w:val="21"/>
              </w:rPr>
            </w:pPr>
            <w:r>
              <w:rPr>
                <w:color w:val="000000"/>
                <w:szCs w:val="21"/>
              </w:rPr>
              <w:t>8,882,484.66</w:t>
            </w:r>
          </w:p>
        </w:tc>
        <w:tc>
          <w:tcPr>
            <w:tcW w:w="2197" w:type="dxa"/>
            <w:vAlign w:val="center"/>
          </w:tcPr>
          <w:p w:rsidR="003663E4" w:rsidRDefault="00FD3F7D">
            <w:pPr>
              <w:spacing w:line="276" w:lineRule="auto"/>
              <w:jc w:val="right"/>
              <w:rPr>
                <w:color w:val="000000"/>
                <w:szCs w:val="21"/>
              </w:rPr>
            </w:pPr>
            <w:r>
              <w:rPr>
                <w:color w:val="000000"/>
                <w:szCs w:val="21"/>
              </w:rPr>
              <w:t>8,882,484.66</w:t>
            </w:r>
          </w:p>
        </w:tc>
      </w:tr>
      <w:tr w:rsidR="003663E4">
        <w:tc>
          <w:tcPr>
            <w:tcW w:w="2410" w:type="dxa"/>
            <w:vAlign w:val="center"/>
          </w:tcPr>
          <w:p w:rsidR="003663E4" w:rsidRDefault="00FD3F7D">
            <w:pPr>
              <w:spacing w:line="276" w:lineRule="auto"/>
              <w:rPr>
                <w:color w:val="000000"/>
                <w:szCs w:val="21"/>
              </w:rPr>
            </w:pPr>
            <w:r>
              <w:rPr>
                <w:color w:val="000000"/>
                <w:szCs w:val="21"/>
              </w:rPr>
              <w:t>三、本期基金份额交易产生的基金净值变动数（净值减少以</w:t>
            </w:r>
            <w:r>
              <w:rPr>
                <w:color w:val="000000"/>
                <w:szCs w:val="21"/>
              </w:rPr>
              <w:t>“-”</w:t>
            </w:r>
            <w:r>
              <w:rPr>
                <w:color w:val="000000"/>
                <w:szCs w:val="21"/>
              </w:rPr>
              <w:t>号填列）</w:t>
            </w:r>
          </w:p>
        </w:tc>
        <w:tc>
          <w:tcPr>
            <w:tcW w:w="2196" w:type="dxa"/>
            <w:vAlign w:val="center"/>
          </w:tcPr>
          <w:p w:rsidR="003663E4" w:rsidRDefault="00FD3F7D">
            <w:pPr>
              <w:spacing w:line="276" w:lineRule="auto"/>
              <w:jc w:val="right"/>
              <w:rPr>
                <w:color w:val="000000"/>
                <w:szCs w:val="21"/>
              </w:rPr>
            </w:pPr>
            <w:r>
              <w:rPr>
                <w:color w:val="000000"/>
                <w:szCs w:val="21"/>
              </w:rPr>
              <w:t>-571,886.67</w:t>
            </w:r>
          </w:p>
        </w:tc>
        <w:tc>
          <w:tcPr>
            <w:tcW w:w="2197" w:type="dxa"/>
            <w:vAlign w:val="center"/>
          </w:tcPr>
          <w:p w:rsidR="003663E4" w:rsidRDefault="00FD3F7D">
            <w:pPr>
              <w:spacing w:line="276" w:lineRule="auto"/>
              <w:jc w:val="right"/>
              <w:rPr>
                <w:color w:val="000000"/>
                <w:szCs w:val="21"/>
              </w:rPr>
            </w:pPr>
            <w:r>
              <w:rPr>
                <w:color w:val="000000"/>
                <w:szCs w:val="21"/>
              </w:rPr>
              <w:t>-850.33</w:t>
            </w:r>
          </w:p>
        </w:tc>
        <w:tc>
          <w:tcPr>
            <w:tcW w:w="2197" w:type="dxa"/>
            <w:vAlign w:val="center"/>
          </w:tcPr>
          <w:p w:rsidR="003663E4" w:rsidRDefault="00FD3F7D">
            <w:pPr>
              <w:spacing w:line="276" w:lineRule="auto"/>
              <w:jc w:val="right"/>
              <w:rPr>
                <w:color w:val="000000"/>
                <w:szCs w:val="21"/>
              </w:rPr>
            </w:pPr>
            <w:r>
              <w:rPr>
                <w:color w:val="000000"/>
                <w:szCs w:val="21"/>
              </w:rPr>
              <w:t>-572,737.00</w:t>
            </w:r>
          </w:p>
        </w:tc>
      </w:tr>
      <w:tr w:rsidR="003663E4">
        <w:tc>
          <w:tcPr>
            <w:tcW w:w="2410" w:type="dxa"/>
            <w:vAlign w:val="center"/>
          </w:tcPr>
          <w:p w:rsidR="003663E4" w:rsidRDefault="00FD3F7D">
            <w:pPr>
              <w:spacing w:line="276" w:lineRule="auto"/>
              <w:rPr>
                <w:color w:val="000000"/>
                <w:szCs w:val="21"/>
              </w:rPr>
            </w:pPr>
            <w:r>
              <w:rPr>
                <w:color w:val="000000"/>
                <w:szCs w:val="21"/>
              </w:rPr>
              <w:t>其中：</w:t>
            </w:r>
            <w:r>
              <w:rPr>
                <w:color w:val="000000"/>
                <w:szCs w:val="21"/>
              </w:rPr>
              <w:t>1.</w:t>
            </w:r>
            <w:r>
              <w:rPr>
                <w:color w:val="000000"/>
                <w:szCs w:val="21"/>
              </w:rPr>
              <w:t>基金申购款</w:t>
            </w:r>
          </w:p>
        </w:tc>
        <w:tc>
          <w:tcPr>
            <w:tcW w:w="2196" w:type="dxa"/>
            <w:vAlign w:val="center"/>
          </w:tcPr>
          <w:p w:rsidR="003663E4" w:rsidRDefault="00FD3F7D">
            <w:pPr>
              <w:spacing w:line="276" w:lineRule="auto"/>
              <w:jc w:val="right"/>
              <w:rPr>
                <w:color w:val="000000"/>
                <w:szCs w:val="21"/>
              </w:rPr>
            </w:pPr>
            <w:r>
              <w:rPr>
                <w:color w:val="000000"/>
                <w:szCs w:val="21"/>
              </w:rPr>
              <w:t>713,783.40</w:t>
            </w:r>
          </w:p>
        </w:tc>
        <w:tc>
          <w:tcPr>
            <w:tcW w:w="2197" w:type="dxa"/>
            <w:vAlign w:val="center"/>
          </w:tcPr>
          <w:p w:rsidR="003663E4" w:rsidRDefault="00FD3F7D">
            <w:pPr>
              <w:spacing w:line="276" w:lineRule="auto"/>
              <w:jc w:val="right"/>
              <w:rPr>
                <w:color w:val="000000"/>
                <w:szCs w:val="21"/>
              </w:rPr>
            </w:pPr>
            <w:r>
              <w:rPr>
                <w:color w:val="000000"/>
                <w:szCs w:val="21"/>
              </w:rPr>
              <w:t>2,792.45</w:t>
            </w:r>
          </w:p>
        </w:tc>
        <w:tc>
          <w:tcPr>
            <w:tcW w:w="2197" w:type="dxa"/>
            <w:vAlign w:val="center"/>
          </w:tcPr>
          <w:p w:rsidR="003663E4" w:rsidRDefault="00FD3F7D">
            <w:pPr>
              <w:spacing w:line="276" w:lineRule="auto"/>
              <w:jc w:val="right"/>
              <w:rPr>
                <w:color w:val="000000"/>
                <w:szCs w:val="21"/>
              </w:rPr>
            </w:pPr>
            <w:r>
              <w:rPr>
                <w:color w:val="000000"/>
                <w:szCs w:val="21"/>
              </w:rPr>
              <w:t>716,575.85</w:t>
            </w:r>
          </w:p>
        </w:tc>
      </w:tr>
      <w:tr w:rsidR="003663E4">
        <w:tc>
          <w:tcPr>
            <w:tcW w:w="2410" w:type="dxa"/>
            <w:vAlign w:val="center"/>
          </w:tcPr>
          <w:p w:rsidR="003663E4" w:rsidRDefault="00FD3F7D">
            <w:pPr>
              <w:spacing w:line="276" w:lineRule="auto"/>
              <w:ind w:firstLineChars="300" w:firstLine="630"/>
              <w:rPr>
                <w:color w:val="000000"/>
                <w:szCs w:val="21"/>
              </w:rPr>
            </w:pPr>
            <w:r>
              <w:rPr>
                <w:color w:val="000000"/>
                <w:szCs w:val="21"/>
              </w:rPr>
              <w:t>2.</w:t>
            </w:r>
            <w:r>
              <w:rPr>
                <w:color w:val="000000"/>
                <w:szCs w:val="21"/>
              </w:rPr>
              <w:t>基金赎回款</w:t>
            </w:r>
          </w:p>
        </w:tc>
        <w:tc>
          <w:tcPr>
            <w:tcW w:w="2196" w:type="dxa"/>
            <w:vAlign w:val="center"/>
          </w:tcPr>
          <w:p w:rsidR="003663E4" w:rsidRDefault="00FD3F7D">
            <w:pPr>
              <w:spacing w:line="276" w:lineRule="auto"/>
              <w:jc w:val="right"/>
              <w:rPr>
                <w:color w:val="000000"/>
                <w:szCs w:val="21"/>
              </w:rPr>
            </w:pPr>
            <w:r>
              <w:rPr>
                <w:color w:val="000000"/>
                <w:szCs w:val="21"/>
              </w:rPr>
              <w:t>-1,285,670.07</w:t>
            </w:r>
          </w:p>
        </w:tc>
        <w:tc>
          <w:tcPr>
            <w:tcW w:w="2197" w:type="dxa"/>
            <w:vAlign w:val="center"/>
          </w:tcPr>
          <w:p w:rsidR="003663E4" w:rsidRDefault="00FD3F7D">
            <w:pPr>
              <w:spacing w:line="276" w:lineRule="auto"/>
              <w:jc w:val="right"/>
              <w:rPr>
                <w:color w:val="000000"/>
                <w:szCs w:val="21"/>
              </w:rPr>
            </w:pPr>
            <w:r>
              <w:rPr>
                <w:color w:val="000000"/>
                <w:szCs w:val="21"/>
              </w:rPr>
              <w:t>-3,642.78</w:t>
            </w:r>
          </w:p>
        </w:tc>
        <w:tc>
          <w:tcPr>
            <w:tcW w:w="2197" w:type="dxa"/>
            <w:vAlign w:val="center"/>
          </w:tcPr>
          <w:p w:rsidR="003663E4" w:rsidRDefault="00FD3F7D">
            <w:pPr>
              <w:spacing w:line="276" w:lineRule="auto"/>
              <w:jc w:val="right"/>
              <w:rPr>
                <w:color w:val="000000"/>
                <w:szCs w:val="21"/>
              </w:rPr>
            </w:pPr>
            <w:r>
              <w:rPr>
                <w:color w:val="000000"/>
                <w:szCs w:val="21"/>
              </w:rPr>
              <w:t>-1,289,312.85</w:t>
            </w:r>
          </w:p>
        </w:tc>
      </w:tr>
      <w:tr w:rsidR="003663E4">
        <w:tc>
          <w:tcPr>
            <w:tcW w:w="2410" w:type="dxa"/>
            <w:vAlign w:val="center"/>
          </w:tcPr>
          <w:p w:rsidR="003663E4" w:rsidRDefault="00FD3F7D">
            <w:pPr>
              <w:spacing w:line="276" w:lineRule="auto"/>
              <w:rPr>
                <w:color w:val="000000"/>
                <w:szCs w:val="21"/>
              </w:rPr>
            </w:pPr>
            <w:r>
              <w:rPr>
                <w:color w:val="000000"/>
                <w:szCs w:val="21"/>
              </w:rPr>
              <w:t>四、本期向基金份额持有人分配利润产生的基金净值变动（净值减少以</w:t>
            </w:r>
            <w:r>
              <w:rPr>
                <w:color w:val="000000"/>
                <w:szCs w:val="21"/>
              </w:rPr>
              <w:t>“-”</w:t>
            </w:r>
            <w:r>
              <w:rPr>
                <w:color w:val="000000"/>
                <w:szCs w:val="21"/>
              </w:rPr>
              <w:t>号填列）</w:t>
            </w:r>
          </w:p>
        </w:tc>
        <w:tc>
          <w:tcPr>
            <w:tcW w:w="2196" w:type="dxa"/>
            <w:vAlign w:val="center"/>
          </w:tcPr>
          <w:p w:rsidR="003663E4" w:rsidRDefault="00FD3F7D">
            <w:pPr>
              <w:spacing w:line="276" w:lineRule="auto"/>
              <w:jc w:val="right"/>
              <w:rPr>
                <w:color w:val="000000"/>
                <w:szCs w:val="21"/>
              </w:rPr>
            </w:pPr>
            <w:r>
              <w:rPr>
                <w:color w:val="000000"/>
                <w:szCs w:val="21"/>
              </w:rPr>
              <w:t>-</w:t>
            </w:r>
          </w:p>
        </w:tc>
        <w:tc>
          <w:tcPr>
            <w:tcW w:w="2197" w:type="dxa"/>
            <w:vAlign w:val="center"/>
          </w:tcPr>
          <w:p w:rsidR="003663E4" w:rsidRDefault="00FD3F7D">
            <w:pPr>
              <w:spacing w:line="276" w:lineRule="auto"/>
              <w:jc w:val="right"/>
              <w:rPr>
                <w:color w:val="000000"/>
                <w:szCs w:val="21"/>
              </w:rPr>
            </w:pPr>
            <w:r>
              <w:rPr>
                <w:color w:val="000000"/>
                <w:szCs w:val="21"/>
              </w:rPr>
              <w:t>-</w:t>
            </w:r>
          </w:p>
        </w:tc>
        <w:tc>
          <w:tcPr>
            <w:tcW w:w="2197" w:type="dxa"/>
            <w:vAlign w:val="center"/>
          </w:tcPr>
          <w:p w:rsidR="003663E4" w:rsidRDefault="00FD3F7D">
            <w:pPr>
              <w:spacing w:line="276" w:lineRule="auto"/>
              <w:jc w:val="right"/>
              <w:rPr>
                <w:color w:val="000000"/>
                <w:szCs w:val="21"/>
              </w:rPr>
            </w:pPr>
            <w:r>
              <w:rPr>
                <w:color w:val="000000"/>
                <w:szCs w:val="21"/>
              </w:rPr>
              <w:t>-</w:t>
            </w:r>
          </w:p>
        </w:tc>
      </w:tr>
      <w:tr w:rsidR="003663E4">
        <w:tc>
          <w:tcPr>
            <w:tcW w:w="2410" w:type="dxa"/>
            <w:vAlign w:val="center"/>
          </w:tcPr>
          <w:p w:rsidR="003663E4" w:rsidRDefault="00FD3F7D">
            <w:pPr>
              <w:spacing w:line="276" w:lineRule="auto"/>
              <w:rPr>
                <w:color w:val="000000"/>
                <w:szCs w:val="21"/>
              </w:rPr>
            </w:pPr>
            <w:r>
              <w:rPr>
                <w:color w:val="000000"/>
                <w:szCs w:val="21"/>
              </w:rPr>
              <w:t>五、期末所有者权益（基金净值）</w:t>
            </w:r>
          </w:p>
        </w:tc>
        <w:tc>
          <w:tcPr>
            <w:tcW w:w="2196" w:type="dxa"/>
            <w:vAlign w:val="center"/>
          </w:tcPr>
          <w:p w:rsidR="003663E4" w:rsidRDefault="00FD3F7D">
            <w:pPr>
              <w:spacing w:line="276" w:lineRule="auto"/>
              <w:jc w:val="right"/>
              <w:rPr>
                <w:color w:val="000000"/>
                <w:szCs w:val="21"/>
              </w:rPr>
            </w:pPr>
            <w:r>
              <w:rPr>
                <w:color w:val="000000"/>
                <w:szCs w:val="21"/>
              </w:rPr>
              <w:t>769,512,873.77</w:t>
            </w:r>
          </w:p>
        </w:tc>
        <w:tc>
          <w:tcPr>
            <w:tcW w:w="2197" w:type="dxa"/>
            <w:vAlign w:val="center"/>
          </w:tcPr>
          <w:p w:rsidR="003663E4" w:rsidRDefault="00FD3F7D">
            <w:pPr>
              <w:spacing w:line="276" w:lineRule="auto"/>
              <w:jc w:val="right"/>
              <w:rPr>
                <w:color w:val="000000"/>
                <w:szCs w:val="21"/>
              </w:rPr>
            </w:pPr>
            <w:r>
              <w:rPr>
                <w:color w:val="000000"/>
                <w:szCs w:val="21"/>
              </w:rPr>
              <w:t>8,881,634.33</w:t>
            </w:r>
          </w:p>
        </w:tc>
        <w:tc>
          <w:tcPr>
            <w:tcW w:w="2197" w:type="dxa"/>
            <w:vAlign w:val="center"/>
          </w:tcPr>
          <w:p w:rsidR="003663E4" w:rsidRDefault="00FD3F7D">
            <w:pPr>
              <w:spacing w:line="276" w:lineRule="auto"/>
              <w:jc w:val="right"/>
              <w:rPr>
                <w:color w:val="000000"/>
                <w:szCs w:val="21"/>
              </w:rPr>
            </w:pPr>
            <w:r>
              <w:rPr>
                <w:color w:val="000000"/>
                <w:szCs w:val="21"/>
              </w:rPr>
              <w:t>778,394,508.10</w:t>
            </w:r>
          </w:p>
        </w:tc>
      </w:tr>
    </w:tbl>
    <w:p w:rsidR="003663E4" w:rsidRDefault="00FD3F7D">
      <w:pPr>
        <w:spacing w:beforeLines="50" w:before="156" w:line="360" w:lineRule="auto"/>
        <w:rPr>
          <w:color w:val="000000"/>
          <w:szCs w:val="21"/>
        </w:rPr>
      </w:pPr>
      <w:r>
        <w:rPr>
          <w:color w:val="000000"/>
          <w:szCs w:val="21"/>
        </w:rPr>
        <w:t>报表附注为财务报表的组成部分。</w:t>
      </w:r>
    </w:p>
    <w:p w:rsidR="003663E4" w:rsidRDefault="00FD3F7D">
      <w:pPr>
        <w:spacing w:line="360" w:lineRule="auto"/>
        <w:rPr>
          <w:color w:val="000000"/>
          <w:szCs w:val="21"/>
        </w:rPr>
      </w:pPr>
      <w:r>
        <w:rPr>
          <w:color w:val="000000"/>
          <w:szCs w:val="21"/>
        </w:rPr>
        <w:t>本报告</w:t>
      </w:r>
      <w:r>
        <w:rPr>
          <w:color w:val="000000"/>
          <w:szCs w:val="21"/>
        </w:rPr>
        <w:t>7.1.1</w:t>
      </w:r>
      <w:r>
        <w:rPr>
          <w:color w:val="000000"/>
          <w:szCs w:val="21"/>
        </w:rPr>
        <w:t>至</w:t>
      </w:r>
      <w:r>
        <w:rPr>
          <w:color w:val="000000"/>
          <w:szCs w:val="21"/>
        </w:rPr>
        <w:t>7.1.4</w:t>
      </w:r>
      <w:r>
        <w:rPr>
          <w:color w:val="000000"/>
          <w:szCs w:val="21"/>
        </w:rPr>
        <w:t>，财务报表由下列负责人签署：</w:t>
      </w:r>
    </w:p>
    <w:p w:rsidR="003663E4" w:rsidRDefault="00FD3F7D">
      <w:pPr>
        <w:spacing w:line="360" w:lineRule="auto"/>
        <w:rPr>
          <w:color w:val="000000"/>
          <w:szCs w:val="21"/>
        </w:rPr>
      </w:pPr>
      <w:r>
        <w:rPr>
          <w:color w:val="000000"/>
          <w:szCs w:val="21"/>
        </w:rPr>
        <w:t>基金管理人负责人：谢卫，主管会计工作负责人：夏华龙，会计机构负责人：单江</w:t>
      </w:r>
    </w:p>
    <w:p w:rsidR="003663E4" w:rsidRDefault="00FD3F7D">
      <w:pPr>
        <w:pStyle w:val="3"/>
        <w:spacing w:beforeLines="50" w:before="156" w:after="0" w:line="360" w:lineRule="auto"/>
        <w:rPr>
          <w:color w:val="000000"/>
          <w:sz w:val="21"/>
          <w:szCs w:val="21"/>
        </w:rPr>
      </w:pPr>
      <w:bookmarkStart w:id="156" w:name="_Toc23339382"/>
      <w:bookmarkStart w:id="157" w:name="_Toc374374953"/>
      <w:bookmarkStart w:id="158" w:name="_Toc508540286"/>
      <w:bookmarkStart w:id="159" w:name="_Toc10431"/>
      <w:r>
        <w:rPr>
          <w:color w:val="000000"/>
          <w:sz w:val="21"/>
          <w:szCs w:val="21"/>
        </w:rPr>
        <w:t xml:space="preserve">7.1.4 </w:t>
      </w:r>
      <w:r>
        <w:rPr>
          <w:color w:val="000000"/>
          <w:sz w:val="21"/>
          <w:szCs w:val="21"/>
        </w:rPr>
        <w:t>报表附注</w:t>
      </w:r>
      <w:bookmarkEnd w:id="156"/>
      <w:bookmarkEnd w:id="157"/>
      <w:bookmarkEnd w:id="158"/>
      <w:bookmarkEnd w:id="159"/>
    </w:p>
    <w:p w:rsidR="003663E4" w:rsidRDefault="00FD3F7D">
      <w:pPr>
        <w:spacing w:line="360" w:lineRule="auto"/>
        <w:rPr>
          <w:rFonts w:eastAsiaTheme="minorEastAsia"/>
          <w:b/>
          <w:color w:val="000000"/>
          <w:szCs w:val="21"/>
        </w:rPr>
      </w:pPr>
      <w:r>
        <w:rPr>
          <w:rFonts w:eastAsiaTheme="minorEastAsia"/>
          <w:b/>
          <w:color w:val="000000"/>
          <w:szCs w:val="21"/>
        </w:rPr>
        <w:t xml:space="preserve">7.1.4.1 </w:t>
      </w:r>
      <w:r>
        <w:rPr>
          <w:rFonts w:eastAsiaTheme="minorEastAsia"/>
          <w:b/>
          <w:color w:val="000000"/>
          <w:szCs w:val="21"/>
        </w:rPr>
        <w:t>基金基本情况</w:t>
      </w:r>
    </w:p>
    <w:p w:rsidR="003663E4" w:rsidRDefault="00FD3F7D">
      <w:pPr>
        <w:spacing w:line="360" w:lineRule="auto"/>
        <w:ind w:firstLineChars="200" w:firstLine="420"/>
        <w:rPr>
          <w:color w:val="000000"/>
          <w:szCs w:val="21"/>
        </w:rPr>
      </w:pPr>
      <w:r>
        <w:rPr>
          <w:color w:val="000000"/>
          <w:szCs w:val="21"/>
        </w:rPr>
        <w:t>交银施罗德裕惠纯债债券型证券投资基金是由原交银施罗德理财</w:t>
      </w:r>
      <w:r>
        <w:rPr>
          <w:color w:val="000000"/>
          <w:szCs w:val="21"/>
        </w:rPr>
        <w:t>60</w:t>
      </w:r>
      <w:r>
        <w:rPr>
          <w:color w:val="000000"/>
          <w:szCs w:val="21"/>
        </w:rPr>
        <w:t>天债券型证券投资基金</w:t>
      </w:r>
      <w:r>
        <w:rPr>
          <w:color w:val="000000"/>
          <w:szCs w:val="21"/>
        </w:rPr>
        <w:t>(</w:t>
      </w:r>
      <w:r>
        <w:rPr>
          <w:color w:val="000000"/>
          <w:szCs w:val="21"/>
        </w:rPr>
        <w:t>以下简称</w:t>
      </w:r>
      <w:r>
        <w:rPr>
          <w:color w:val="000000"/>
          <w:szCs w:val="21"/>
        </w:rPr>
        <w:t>“</w:t>
      </w:r>
      <w:r>
        <w:rPr>
          <w:color w:val="000000"/>
          <w:szCs w:val="21"/>
        </w:rPr>
        <w:t>原基金</w:t>
      </w:r>
      <w:r>
        <w:rPr>
          <w:color w:val="000000"/>
          <w:szCs w:val="21"/>
        </w:rPr>
        <w:t>”)</w:t>
      </w:r>
      <w:r>
        <w:rPr>
          <w:color w:val="000000"/>
          <w:szCs w:val="21"/>
        </w:rPr>
        <w:t>转型而来。原基金经中国证券监督管理委员会</w:t>
      </w:r>
      <w:r>
        <w:rPr>
          <w:color w:val="000000"/>
          <w:szCs w:val="21"/>
        </w:rPr>
        <w:t>(</w:t>
      </w:r>
      <w:r>
        <w:rPr>
          <w:color w:val="000000"/>
          <w:szCs w:val="21"/>
        </w:rPr>
        <w:t>以下简称</w:t>
      </w:r>
      <w:r>
        <w:rPr>
          <w:color w:val="000000"/>
          <w:szCs w:val="21"/>
        </w:rPr>
        <w:t>“</w:t>
      </w:r>
      <w:r>
        <w:rPr>
          <w:color w:val="000000"/>
          <w:szCs w:val="21"/>
        </w:rPr>
        <w:t>中国证监会</w:t>
      </w:r>
      <w:r>
        <w:rPr>
          <w:color w:val="000000"/>
          <w:szCs w:val="21"/>
        </w:rPr>
        <w:t>”)</w:t>
      </w:r>
      <w:r>
        <w:rPr>
          <w:color w:val="000000"/>
          <w:szCs w:val="21"/>
        </w:rPr>
        <w:t>证监许可</w:t>
      </w:r>
      <w:r>
        <w:rPr>
          <w:color w:val="000000"/>
          <w:szCs w:val="21"/>
        </w:rPr>
        <w:t>[2012]1768</w:t>
      </w:r>
      <w:r>
        <w:rPr>
          <w:color w:val="000000"/>
          <w:szCs w:val="21"/>
        </w:rPr>
        <w:t>号《关于核准交银施罗德理财</w:t>
      </w:r>
      <w:r>
        <w:rPr>
          <w:color w:val="000000"/>
          <w:szCs w:val="21"/>
        </w:rPr>
        <w:t>60</w:t>
      </w:r>
      <w:r>
        <w:rPr>
          <w:color w:val="000000"/>
          <w:szCs w:val="21"/>
        </w:rPr>
        <w:t>天债券型证券投资基金募集的批复》核准，由交银施罗德基金管理有限公司依照《中华人民共和国证券投资基金法》和《交银施罗德理财</w:t>
      </w:r>
      <w:r>
        <w:rPr>
          <w:color w:val="000000"/>
          <w:szCs w:val="21"/>
        </w:rPr>
        <w:t>60</w:t>
      </w:r>
      <w:r>
        <w:rPr>
          <w:color w:val="000000"/>
          <w:szCs w:val="21"/>
        </w:rPr>
        <w:t>天债券型证券投资基金基金合同》负责公开募集。本基金为契约型开放式证券投资基金，存续期限不定。首次设立募集不包括认购资金利息共募集人民币</w:t>
      </w:r>
      <w:r>
        <w:rPr>
          <w:color w:val="000000"/>
          <w:szCs w:val="21"/>
        </w:rPr>
        <w:t>777,735,040.55</w:t>
      </w:r>
      <w:r>
        <w:rPr>
          <w:color w:val="000000"/>
          <w:szCs w:val="21"/>
        </w:rPr>
        <w:t>元，业经普华永道中天会计师事务所有限公司普华永道中天验字</w:t>
      </w:r>
      <w:r>
        <w:rPr>
          <w:color w:val="000000"/>
          <w:szCs w:val="21"/>
        </w:rPr>
        <w:t>(2013)</w:t>
      </w:r>
      <w:r>
        <w:rPr>
          <w:color w:val="000000"/>
          <w:szCs w:val="21"/>
        </w:rPr>
        <w:t>第</w:t>
      </w:r>
      <w:r>
        <w:rPr>
          <w:color w:val="000000"/>
          <w:szCs w:val="21"/>
        </w:rPr>
        <w:t>131</w:t>
      </w:r>
      <w:r>
        <w:rPr>
          <w:color w:val="000000"/>
          <w:szCs w:val="21"/>
        </w:rPr>
        <w:t>号验资报告予以验证。经向中国证监会备案，《交银施罗德理财</w:t>
      </w:r>
      <w:r>
        <w:rPr>
          <w:color w:val="000000"/>
          <w:szCs w:val="21"/>
        </w:rPr>
        <w:t>60</w:t>
      </w:r>
      <w:r>
        <w:rPr>
          <w:color w:val="000000"/>
          <w:szCs w:val="21"/>
        </w:rPr>
        <w:t>天债券型证券投资基金基金合同》于</w:t>
      </w:r>
      <w:r>
        <w:rPr>
          <w:color w:val="000000"/>
          <w:szCs w:val="21"/>
        </w:rPr>
        <w:t>2013</w:t>
      </w:r>
      <w:r>
        <w:rPr>
          <w:color w:val="000000"/>
          <w:szCs w:val="21"/>
        </w:rPr>
        <w:t>年</w:t>
      </w:r>
      <w:r>
        <w:rPr>
          <w:color w:val="000000"/>
          <w:szCs w:val="21"/>
        </w:rPr>
        <w:t>3</w:t>
      </w:r>
      <w:r>
        <w:rPr>
          <w:color w:val="000000"/>
          <w:szCs w:val="21"/>
        </w:rPr>
        <w:t>月</w:t>
      </w:r>
      <w:r>
        <w:rPr>
          <w:color w:val="000000"/>
          <w:szCs w:val="21"/>
        </w:rPr>
        <w:t>13</w:t>
      </w:r>
      <w:r>
        <w:rPr>
          <w:color w:val="000000"/>
          <w:szCs w:val="21"/>
        </w:rPr>
        <w:t>日正式生效，基金合同生效日的基金份额总额为</w:t>
      </w:r>
      <w:r>
        <w:rPr>
          <w:color w:val="000000"/>
          <w:szCs w:val="21"/>
        </w:rPr>
        <w:t>777,917,201.14</w:t>
      </w:r>
      <w:r>
        <w:rPr>
          <w:color w:val="000000"/>
          <w:szCs w:val="21"/>
        </w:rPr>
        <w:t>份基金份额，其中认购资金利息折合</w:t>
      </w:r>
      <w:r>
        <w:rPr>
          <w:color w:val="000000"/>
          <w:szCs w:val="21"/>
        </w:rPr>
        <w:t>182,160.59</w:t>
      </w:r>
      <w:r>
        <w:rPr>
          <w:color w:val="000000"/>
          <w:szCs w:val="21"/>
        </w:rPr>
        <w:t>份基金份额。本基金的基金管理人为交银施罗德基金管理有限公司，基金托管人为中国建设银行股份有限公司。</w:t>
      </w:r>
    </w:p>
    <w:p w:rsidR="003663E4" w:rsidRDefault="00FD3F7D">
      <w:pPr>
        <w:spacing w:line="360" w:lineRule="auto"/>
        <w:ind w:firstLineChars="200" w:firstLine="420"/>
        <w:rPr>
          <w:color w:val="000000"/>
          <w:szCs w:val="21"/>
        </w:rPr>
      </w:pPr>
      <w:r>
        <w:rPr>
          <w:color w:val="000000"/>
          <w:szCs w:val="21"/>
        </w:rPr>
        <w:t>原基金基金份额持有人大会自</w:t>
      </w:r>
      <w:r>
        <w:rPr>
          <w:color w:val="000000"/>
          <w:szCs w:val="21"/>
        </w:rPr>
        <w:t>2020</w:t>
      </w:r>
      <w:r>
        <w:rPr>
          <w:color w:val="000000"/>
          <w:szCs w:val="21"/>
        </w:rPr>
        <w:t>年</w:t>
      </w:r>
      <w:r>
        <w:rPr>
          <w:color w:val="000000"/>
          <w:szCs w:val="21"/>
        </w:rPr>
        <w:t>5</w:t>
      </w:r>
      <w:r>
        <w:rPr>
          <w:color w:val="000000"/>
          <w:szCs w:val="21"/>
        </w:rPr>
        <w:t>月</w:t>
      </w:r>
      <w:r>
        <w:rPr>
          <w:color w:val="000000"/>
          <w:szCs w:val="21"/>
        </w:rPr>
        <w:t>22</w:t>
      </w:r>
      <w:r>
        <w:rPr>
          <w:color w:val="000000"/>
          <w:szCs w:val="21"/>
        </w:rPr>
        <w:t>日至</w:t>
      </w:r>
      <w:r>
        <w:rPr>
          <w:color w:val="000000"/>
          <w:szCs w:val="21"/>
        </w:rPr>
        <w:t>2020</w:t>
      </w:r>
      <w:r>
        <w:rPr>
          <w:color w:val="000000"/>
          <w:szCs w:val="21"/>
        </w:rPr>
        <w:t>年</w:t>
      </w:r>
      <w:r>
        <w:rPr>
          <w:color w:val="000000"/>
          <w:szCs w:val="21"/>
        </w:rPr>
        <w:t>6</w:t>
      </w:r>
      <w:r>
        <w:rPr>
          <w:color w:val="000000"/>
          <w:szCs w:val="21"/>
        </w:rPr>
        <w:t>月</w:t>
      </w:r>
      <w:r>
        <w:rPr>
          <w:color w:val="000000"/>
          <w:szCs w:val="21"/>
        </w:rPr>
        <w:t>22</w:t>
      </w:r>
      <w:r>
        <w:rPr>
          <w:color w:val="000000"/>
          <w:szCs w:val="21"/>
        </w:rPr>
        <w:t>日止以通讯方式召开，会议审议通过了《关</w:t>
      </w:r>
      <w:r>
        <w:rPr>
          <w:color w:val="000000"/>
          <w:szCs w:val="21"/>
        </w:rPr>
        <w:t>于交银施罗德理财</w:t>
      </w:r>
      <w:r>
        <w:rPr>
          <w:color w:val="000000"/>
          <w:szCs w:val="21"/>
        </w:rPr>
        <w:t>60</w:t>
      </w:r>
      <w:r>
        <w:rPr>
          <w:color w:val="000000"/>
          <w:szCs w:val="21"/>
        </w:rPr>
        <w:t>天债券型证券投资基金转型及修改基金合同有关事项的议案》。根据基金管理人于</w:t>
      </w:r>
      <w:r>
        <w:rPr>
          <w:color w:val="000000"/>
          <w:szCs w:val="21"/>
        </w:rPr>
        <w:t>2020</w:t>
      </w:r>
      <w:r>
        <w:rPr>
          <w:color w:val="000000"/>
          <w:szCs w:val="21"/>
        </w:rPr>
        <w:t>年</w:t>
      </w:r>
      <w:r>
        <w:rPr>
          <w:color w:val="000000"/>
          <w:szCs w:val="21"/>
        </w:rPr>
        <w:t>6</w:t>
      </w:r>
      <w:r>
        <w:rPr>
          <w:color w:val="000000"/>
          <w:szCs w:val="21"/>
        </w:rPr>
        <w:t>月</w:t>
      </w:r>
      <w:r>
        <w:rPr>
          <w:color w:val="000000"/>
          <w:szCs w:val="21"/>
        </w:rPr>
        <w:t>24</w:t>
      </w:r>
      <w:r>
        <w:rPr>
          <w:color w:val="000000"/>
          <w:szCs w:val="21"/>
        </w:rPr>
        <w:t>日发布的《交银施罗德基金管理有限公司关于交银施罗德理财</w:t>
      </w:r>
      <w:r>
        <w:rPr>
          <w:color w:val="000000"/>
          <w:szCs w:val="21"/>
        </w:rPr>
        <w:t>60</w:t>
      </w:r>
      <w:r>
        <w:rPr>
          <w:color w:val="000000"/>
          <w:szCs w:val="21"/>
        </w:rPr>
        <w:t>天债券型证券投资基金基金份额持有人大会表决结果暨决议生效的公告》的有关规定，自</w:t>
      </w: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日起，原交银施罗德理财</w:t>
      </w:r>
      <w:r>
        <w:rPr>
          <w:color w:val="000000"/>
          <w:szCs w:val="21"/>
        </w:rPr>
        <w:t>60</w:t>
      </w:r>
      <w:r>
        <w:rPr>
          <w:color w:val="000000"/>
          <w:szCs w:val="21"/>
        </w:rPr>
        <w:t>天债券型证券投资基金转型为交银施罗德裕惠纯债债券型证券投资基金，《交银施罗德裕惠纯债债券型证券投资基金基金合同》自该日起生效，原《交银施罗德理财</w:t>
      </w:r>
      <w:r>
        <w:rPr>
          <w:color w:val="000000"/>
          <w:szCs w:val="21"/>
        </w:rPr>
        <w:t>60</w:t>
      </w:r>
      <w:r>
        <w:rPr>
          <w:color w:val="000000"/>
          <w:szCs w:val="21"/>
        </w:rPr>
        <w:t>天债券型证券投资基金基金合同》自同一日起失效，交银施罗德理财</w:t>
      </w:r>
      <w:r>
        <w:rPr>
          <w:color w:val="000000"/>
          <w:szCs w:val="21"/>
        </w:rPr>
        <w:t>60</w:t>
      </w:r>
      <w:r>
        <w:rPr>
          <w:color w:val="000000"/>
          <w:szCs w:val="21"/>
        </w:rPr>
        <w:t>天债券型证</w:t>
      </w:r>
      <w:r>
        <w:rPr>
          <w:color w:val="000000"/>
          <w:szCs w:val="21"/>
        </w:rPr>
        <w:t>券投资基金正式变更为交银施罗德裕惠纯债债券型证券投资基金。本基金为契约型开放式，存续期限不定。本基金的基金管理人为交银施罗德基金管理有限公司，基金托管人为中国建设银行股份有限公司。</w:t>
      </w:r>
    </w:p>
    <w:p w:rsidR="003663E4" w:rsidRDefault="00FD3F7D">
      <w:pPr>
        <w:spacing w:line="360" w:lineRule="auto"/>
        <w:ind w:firstLineChars="200" w:firstLine="420"/>
        <w:rPr>
          <w:color w:val="000000"/>
          <w:szCs w:val="21"/>
        </w:rPr>
      </w:pPr>
      <w:r>
        <w:rPr>
          <w:color w:val="000000"/>
          <w:szCs w:val="21"/>
        </w:rPr>
        <w:t>根据《中华人民共和国证券投资基金法》和《交银施罗德裕惠纯债债券型证券投资基金基金合同》的有关规定，本基金的投资范围为具有良好流动性的金融工具，包括债券</w:t>
      </w:r>
      <w:r>
        <w:rPr>
          <w:color w:val="000000"/>
          <w:szCs w:val="21"/>
        </w:rPr>
        <w:t>(</w:t>
      </w:r>
      <w:r>
        <w:rPr>
          <w:color w:val="000000"/>
          <w:szCs w:val="21"/>
        </w:rPr>
        <w:t>含国债、金融债、央行票据、地方政府债、政府支持债、政府支持机构债、企业债、公司债、可分离交易可转债的纯债部分、公开发行的次级债、短期融资券、超短期融资券、中期票据</w:t>
      </w:r>
      <w:r>
        <w:rPr>
          <w:color w:val="000000"/>
          <w:szCs w:val="21"/>
        </w:rPr>
        <w:t>)</w:t>
      </w:r>
      <w:r>
        <w:rPr>
          <w:color w:val="000000"/>
          <w:szCs w:val="21"/>
        </w:rPr>
        <w:t>、资产支持证券</w:t>
      </w:r>
      <w:r>
        <w:rPr>
          <w:color w:val="000000"/>
          <w:szCs w:val="21"/>
        </w:rPr>
        <w:t>、债券回购、银行存款</w:t>
      </w:r>
      <w:r>
        <w:rPr>
          <w:color w:val="000000"/>
          <w:szCs w:val="21"/>
        </w:rPr>
        <w:t>(</w:t>
      </w:r>
      <w:r>
        <w:rPr>
          <w:color w:val="000000"/>
          <w:szCs w:val="21"/>
        </w:rPr>
        <w:t>包括定期存款、协议存款、通知存款等</w:t>
      </w:r>
      <w:r>
        <w:rPr>
          <w:color w:val="000000"/>
          <w:szCs w:val="21"/>
        </w:rPr>
        <w:t>)</w:t>
      </w:r>
      <w:r>
        <w:rPr>
          <w:color w:val="000000"/>
          <w:szCs w:val="21"/>
        </w:rPr>
        <w:t>、同业存单、货币市场工具，以及法律法规或中国证监会允许投资的其他金融工具</w:t>
      </w:r>
      <w:r>
        <w:rPr>
          <w:color w:val="000000"/>
          <w:szCs w:val="21"/>
        </w:rPr>
        <w:t>(</w:t>
      </w:r>
      <w:r>
        <w:rPr>
          <w:color w:val="000000"/>
          <w:szCs w:val="21"/>
        </w:rPr>
        <w:t>但须符合中国证监会相关规定</w:t>
      </w:r>
      <w:r>
        <w:rPr>
          <w:color w:val="000000"/>
          <w:szCs w:val="21"/>
        </w:rPr>
        <w:t>)</w:t>
      </w:r>
      <w:r>
        <w:rPr>
          <w:color w:val="000000"/>
          <w:szCs w:val="21"/>
        </w:rPr>
        <w:t>。本基金不投资于股票，也不投资于可转换债券</w:t>
      </w:r>
      <w:r>
        <w:rPr>
          <w:color w:val="000000"/>
          <w:szCs w:val="21"/>
        </w:rPr>
        <w:t>(</w:t>
      </w:r>
      <w:r>
        <w:rPr>
          <w:color w:val="000000"/>
          <w:szCs w:val="21"/>
        </w:rPr>
        <w:t>可分离交易可转债的纯债部分除外</w:t>
      </w:r>
      <w:r>
        <w:rPr>
          <w:color w:val="000000"/>
          <w:szCs w:val="21"/>
        </w:rPr>
        <w:t>)</w:t>
      </w:r>
      <w:r>
        <w:rPr>
          <w:color w:val="000000"/>
          <w:szCs w:val="21"/>
        </w:rPr>
        <w:t>、可交换债券。基金的投资组合比例为：本基金投资于债券资产的比例不低于基金资产的</w:t>
      </w:r>
      <w:r>
        <w:rPr>
          <w:color w:val="000000"/>
          <w:szCs w:val="21"/>
        </w:rPr>
        <w:t>80%</w:t>
      </w:r>
      <w:r>
        <w:rPr>
          <w:color w:val="000000"/>
          <w:szCs w:val="21"/>
        </w:rPr>
        <w:t>。本基金持有的现金或到期日在一年以内的政府债券的比例合计不低于基金资产净值的</w:t>
      </w:r>
      <w:r>
        <w:rPr>
          <w:color w:val="000000"/>
          <w:szCs w:val="21"/>
        </w:rPr>
        <w:t>5%</w:t>
      </w:r>
      <w:r>
        <w:rPr>
          <w:color w:val="000000"/>
          <w:szCs w:val="21"/>
        </w:rPr>
        <w:t>，其中现金不包括结算备付金、存出保证金、应收申购款等。本基金的业绩比较基准为：中债综合全价指数收益率。</w:t>
      </w:r>
    </w:p>
    <w:p w:rsidR="003663E4" w:rsidRDefault="00FD3F7D">
      <w:pPr>
        <w:spacing w:line="360" w:lineRule="auto"/>
        <w:ind w:firstLineChars="200" w:firstLine="420"/>
        <w:rPr>
          <w:color w:val="000000"/>
          <w:szCs w:val="21"/>
        </w:rPr>
      </w:pPr>
      <w:r>
        <w:rPr>
          <w:color w:val="000000"/>
          <w:szCs w:val="21"/>
        </w:rPr>
        <w:t>本财务报</w:t>
      </w:r>
      <w:r>
        <w:rPr>
          <w:color w:val="000000"/>
          <w:szCs w:val="21"/>
        </w:rPr>
        <w:t>表由本基金的基金管理人交银施罗德基金管理有限公司于</w:t>
      </w:r>
      <w:r>
        <w:rPr>
          <w:color w:val="000000"/>
          <w:szCs w:val="21"/>
        </w:rPr>
        <w:t>2021</w:t>
      </w:r>
      <w:r>
        <w:rPr>
          <w:color w:val="000000"/>
          <w:szCs w:val="21"/>
        </w:rPr>
        <w:t>年</w:t>
      </w:r>
      <w:r>
        <w:rPr>
          <w:color w:val="000000"/>
          <w:szCs w:val="21"/>
        </w:rPr>
        <w:t>3</w:t>
      </w:r>
      <w:r>
        <w:rPr>
          <w:color w:val="000000"/>
          <w:szCs w:val="21"/>
        </w:rPr>
        <w:t>月</w:t>
      </w:r>
      <w:r>
        <w:rPr>
          <w:rFonts w:hint="eastAsia"/>
          <w:color w:val="000000"/>
          <w:szCs w:val="21"/>
        </w:rPr>
        <w:t>26</w:t>
      </w:r>
      <w:r>
        <w:rPr>
          <w:color w:val="000000"/>
          <w:szCs w:val="21"/>
        </w:rPr>
        <w:t>日批准报出。</w:t>
      </w:r>
    </w:p>
    <w:p w:rsidR="003663E4" w:rsidRDefault="00FD3F7D">
      <w:pPr>
        <w:autoSpaceDE w:val="0"/>
        <w:autoSpaceDN w:val="0"/>
        <w:adjustRightInd w:val="0"/>
        <w:spacing w:beforeLines="50" w:before="156" w:line="360" w:lineRule="auto"/>
        <w:jc w:val="left"/>
        <w:rPr>
          <w:b/>
          <w:color w:val="000000"/>
          <w:kern w:val="0"/>
          <w:szCs w:val="21"/>
        </w:rPr>
      </w:pPr>
      <w:r>
        <w:rPr>
          <w:b/>
          <w:bCs/>
          <w:color w:val="000000"/>
          <w:kern w:val="0"/>
          <w:szCs w:val="21"/>
        </w:rPr>
        <w:t xml:space="preserve">7.1.4.2 </w:t>
      </w:r>
      <w:r>
        <w:rPr>
          <w:b/>
          <w:color w:val="000000"/>
          <w:kern w:val="0"/>
          <w:szCs w:val="21"/>
        </w:rPr>
        <w:t>会计报表的编制基础</w:t>
      </w:r>
    </w:p>
    <w:p w:rsidR="003663E4" w:rsidRDefault="00FD3F7D">
      <w:pPr>
        <w:spacing w:line="360" w:lineRule="auto"/>
        <w:ind w:firstLineChars="200" w:firstLine="420"/>
        <w:rPr>
          <w:color w:val="000000"/>
          <w:szCs w:val="21"/>
        </w:rPr>
      </w:pPr>
      <w:r>
        <w:rPr>
          <w:color w:val="000000"/>
          <w:szCs w:val="21"/>
        </w:rPr>
        <w:t>本基金的财务报表按照财政部于</w:t>
      </w:r>
      <w:r>
        <w:rPr>
          <w:color w:val="000000"/>
          <w:szCs w:val="21"/>
        </w:rPr>
        <w:t>2006</w:t>
      </w:r>
      <w:r>
        <w:rPr>
          <w:color w:val="000000"/>
          <w:szCs w:val="21"/>
        </w:rPr>
        <w:t>年</w:t>
      </w:r>
      <w:r>
        <w:rPr>
          <w:color w:val="000000"/>
          <w:szCs w:val="21"/>
        </w:rPr>
        <w:t>2</w:t>
      </w:r>
      <w:r>
        <w:rPr>
          <w:color w:val="000000"/>
          <w:szCs w:val="21"/>
        </w:rPr>
        <w:t>月</w:t>
      </w:r>
      <w:r>
        <w:rPr>
          <w:color w:val="000000"/>
          <w:szCs w:val="21"/>
        </w:rPr>
        <w:t>15</w:t>
      </w:r>
      <w:r>
        <w:rPr>
          <w:color w:val="000000"/>
          <w:szCs w:val="21"/>
        </w:rPr>
        <w:t>日及以后期间颁布的《企业会计准则－基本准则》、各项具体会计准则及相关规定</w:t>
      </w:r>
      <w:r>
        <w:rPr>
          <w:color w:val="000000"/>
          <w:szCs w:val="21"/>
        </w:rPr>
        <w:t>(</w:t>
      </w:r>
      <w:r>
        <w:rPr>
          <w:color w:val="000000"/>
          <w:szCs w:val="21"/>
        </w:rPr>
        <w:t>以下合称</w:t>
      </w:r>
      <w:r>
        <w:rPr>
          <w:color w:val="000000"/>
          <w:szCs w:val="21"/>
        </w:rPr>
        <w:t>“</w:t>
      </w:r>
      <w:r>
        <w:rPr>
          <w:color w:val="000000"/>
          <w:szCs w:val="21"/>
        </w:rPr>
        <w:t>企业会计准则</w:t>
      </w:r>
      <w:r>
        <w:rPr>
          <w:color w:val="000000"/>
          <w:szCs w:val="21"/>
        </w:rPr>
        <w:t>”)</w:t>
      </w:r>
      <w:r>
        <w:rPr>
          <w:color w:val="000000"/>
          <w:szCs w:val="21"/>
        </w:rPr>
        <w:t>、中国证监会颁布的《证券投资基金信息披露</w:t>
      </w:r>
      <w:r>
        <w:rPr>
          <w:color w:val="000000"/>
          <w:szCs w:val="21"/>
        </w:rPr>
        <w:t>XBRL</w:t>
      </w:r>
      <w:r>
        <w:rPr>
          <w:color w:val="000000"/>
          <w:szCs w:val="21"/>
        </w:rPr>
        <w:t>模板第</w:t>
      </w:r>
      <w:r>
        <w:rPr>
          <w:color w:val="000000"/>
          <w:szCs w:val="21"/>
        </w:rPr>
        <w:t>3</w:t>
      </w:r>
      <w:r>
        <w:rPr>
          <w:color w:val="000000"/>
          <w:szCs w:val="21"/>
        </w:rPr>
        <w:t>号</w:t>
      </w:r>
      <w:r>
        <w:rPr>
          <w:color w:val="000000"/>
          <w:szCs w:val="21"/>
        </w:rPr>
        <w:t>&lt;</w:t>
      </w:r>
      <w:r>
        <w:rPr>
          <w:color w:val="000000"/>
          <w:szCs w:val="21"/>
        </w:rPr>
        <w:t>年度报告和中期报告</w:t>
      </w:r>
      <w:r>
        <w:rPr>
          <w:color w:val="000000"/>
          <w:szCs w:val="21"/>
        </w:rPr>
        <w:t>&gt;</w:t>
      </w:r>
      <w:r>
        <w:rPr>
          <w:color w:val="000000"/>
          <w:szCs w:val="21"/>
        </w:rPr>
        <w:t>》、中国证券投资基金业协会</w:t>
      </w:r>
      <w:r>
        <w:rPr>
          <w:color w:val="000000"/>
          <w:szCs w:val="21"/>
        </w:rPr>
        <w:t>(</w:t>
      </w:r>
      <w:r>
        <w:rPr>
          <w:color w:val="000000"/>
          <w:szCs w:val="21"/>
        </w:rPr>
        <w:t>以下简称</w:t>
      </w:r>
      <w:r>
        <w:rPr>
          <w:color w:val="000000"/>
          <w:szCs w:val="21"/>
        </w:rPr>
        <w:t>“</w:t>
      </w:r>
      <w:r>
        <w:rPr>
          <w:color w:val="000000"/>
          <w:szCs w:val="21"/>
        </w:rPr>
        <w:t>中国基金业协会</w:t>
      </w:r>
      <w:r>
        <w:rPr>
          <w:color w:val="000000"/>
          <w:szCs w:val="21"/>
        </w:rPr>
        <w:t>”)</w:t>
      </w:r>
      <w:r>
        <w:rPr>
          <w:color w:val="000000"/>
          <w:szCs w:val="21"/>
        </w:rPr>
        <w:t>颁布的《证券投资基金会计核算业务指引》、《交银施罗德裕惠纯债债券型证券投资基金基金合同》和在财务报表附注</w:t>
      </w:r>
      <w:r>
        <w:rPr>
          <w:color w:val="000000"/>
          <w:szCs w:val="21"/>
        </w:rPr>
        <w:t>7.1.4.4</w:t>
      </w:r>
      <w:r>
        <w:rPr>
          <w:color w:val="000000"/>
          <w:szCs w:val="21"/>
        </w:rPr>
        <w:t>所列示的中国证监会、中国基金业协会发布的有关规定及允许的基金行业实务操作编制。</w:t>
      </w:r>
    </w:p>
    <w:p w:rsidR="003663E4" w:rsidRDefault="00FD3F7D">
      <w:pPr>
        <w:spacing w:line="360" w:lineRule="auto"/>
        <w:ind w:firstLineChars="200" w:firstLine="420"/>
        <w:rPr>
          <w:color w:val="000000"/>
          <w:szCs w:val="21"/>
        </w:rPr>
      </w:pPr>
      <w:r>
        <w:rPr>
          <w:color w:val="000000"/>
          <w:szCs w:val="21"/>
        </w:rPr>
        <w:t>本财务报表以持续经营为基础编制。</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7.1.4.3 </w:t>
      </w:r>
      <w:r>
        <w:rPr>
          <w:b/>
          <w:bCs/>
          <w:color w:val="000000"/>
          <w:kern w:val="0"/>
          <w:szCs w:val="21"/>
        </w:rPr>
        <w:t>遵循企业会计准则及其他有关规定的声明</w:t>
      </w:r>
    </w:p>
    <w:p w:rsidR="003663E4" w:rsidRDefault="00FD3F7D">
      <w:pPr>
        <w:spacing w:line="360" w:lineRule="auto"/>
        <w:ind w:firstLineChars="200" w:firstLine="420"/>
        <w:rPr>
          <w:color w:val="000000"/>
          <w:szCs w:val="21"/>
        </w:rPr>
      </w:pPr>
      <w:r>
        <w:rPr>
          <w:color w:val="000000"/>
          <w:szCs w:val="21"/>
        </w:rPr>
        <w:t>本基金</w:t>
      </w: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w:t>
      </w:r>
      <w:r>
        <w:rPr>
          <w:color w:val="000000"/>
          <w:szCs w:val="21"/>
        </w:rPr>
        <w:t>(</w:t>
      </w:r>
      <w:r>
        <w:rPr>
          <w:color w:val="000000"/>
          <w:szCs w:val="21"/>
        </w:rPr>
        <w:t>基金转型生效日</w:t>
      </w:r>
      <w:r>
        <w:rPr>
          <w:color w:val="000000"/>
          <w:szCs w:val="21"/>
        </w:rPr>
        <w:t>)</w:t>
      </w:r>
      <w:r>
        <w:rPr>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日止期间的财务报表符合企业会计准则的要求，真实、完整地反映了本基金</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日的财务状况以及</w:t>
      </w: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w:t>
      </w:r>
      <w:r>
        <w:rPr>
          <w:color w:val="000000"/>
          <w:szCs w:val="21"/>
        </w:rPr>
        <w:t>(</w:t>
      </w:r>
      <w:r>
        <w:rPr>
          <w:color w:val="000000"/>
          <w:szCs w:val="21"/>
        </w:rPr>
        <w:t>基金转型生效日</w:t>
      </w:r>
      <w:r>
        <w:rPr>
          <w:color w:val="000000"/>
          <w:szCs w:val="21"/>
        </w:rPr>
        <w:t>)</w:t>
      </w:r>
      <w:r>
        <w:rPr>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日止期间的经营成果和基金净值变动情况等有关信息。</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7.1.4.4 </w:t>
      </w:r>
      <w:r>
        <w:rPr>
          <w:b/>
          <w:bCs/>
          <w:color w:val="000000"/>
          <w:kern w:val="0"/>
          <w:szCs w:val="21"/>
        </w:rPr>
        <w:t>重要会计政策和会计估计</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7.1.4.4.1</w:t>
      </w:r>
      <w:r>
        <w:rPr>
          <w:rFonts w:hint="eastAsia"/>
          <w:b/>
          <w:bCs/>
          <w:color w:val="000000"/>
          <w:kern w:val="0"/>
          <w:szCs w:val="21"/>
        </w:rPr>
        <w:t xml:space="preserve"> </w:t>
      </w:r>
      <w:r>
        <w:rPr>
          <w:b/>
          <w:bCs/>
          <w:color w:val="000000"/>
          <w:kern w:val="0"/>
          <w:szCs w:val="21"/>
        </w:rPr>
        <w:t>会计年度</w:t>
      </w:r>
    </w:p>
    <w:p w:rsidR="003663E4" w:rsidRDefault="00FD3F7D">
      <w:pPr>
        <w:spacing w:line="360" w:lineRule="auto"/>
        <w:ind w:firstLineChars="200" w:firstLine="420"/>
        <w:rPr>
          <w:color w:val="000000"/>
          <w:szCs w:val="21"/>
        </w:rPr>
      </w:pPr>
      <w:r>
        <w:rPr>
          <w:color w:val="000000"/>
          <w:szCs w:val="21"/>
        </w:rPr>
        <w:t>本基金会计年度为公历</w:t>
      </w:r>
      <w:r>
        <w:rPr>
          <w:color w:val="000000"/>
          <w:szCs w:val="21"/>
        </w:rPr>
        <w:t>1</w:t>
      </w:r>
      <w:r>
        <w:rPr>
          <w:color w:val="000000"/>
          <w:szCs w:val="21"/>
        </w:rPr>
        <w:t>月</w:t>
      </w:r>
      <w:r>
        <w:rPr>
          <w:color w:val="000000"/>
          <w:szCs w:val="21"/>
        </w:rPr>
        <w:t>1</w:t>
      </w:r>
      <w:r>
        <w:rPr>
          <w:color w:val="000000"/>
          <w:szCs w:val="21"/>
        </w:rPr>
        <w:t>日起至</w:t>
      </w:r>
      <w:r>
        <w:rPr>
          <w:color w:val="000000"/>
          <w:szCs w:val="21"/>
        </w:rPr>
        <w:t>12</w:t>
      </w:r>
      <w:r>
        <w:rPr>
          <w:color w:val="000000"/>
          <w:szCs w:val="21"/>
        </w:rPr>
        <w:t>月</w:t>
      </w:r>
      <w:r>
        <w:rPr>
          <w:color w:val="000000"/>
          <w:szCs w:val="21"/>
        </w:rPr>
        <w:t>31</w:t>
      </w:r>
      <w:r>
        <w:rPr>
          <w:color w:val="000000"/>
          <w:szCs w:val="21"/>
        </w:rPr>
        <w:t>日止。本期财务报表的实际编制期间为</w:t>
      </w: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w:t>
      </w:r>
      <w:r>
        <w:rPr>
          <w:color w:val="000000"/>
          <w:szCs w:val="21"/>
        </w:rPr>
        <w:t>(</w:t>
      </w:r>
      <w:r>
        <w:rPr>
          <w:color w:val="000000"/>
          <w:szCs w:val="21"/>
        </w:rPr>
        <w:t>基金转型生</w:t>
      </w:r>
      <w:r>
        <w:rPr>
          <w:color w:val="000000"/>
          <w:szCs w:val="21"/>
        </w:rPr>
        <w:t>效日</w:t>
      </w:r>
      <w:r>
        <w:rPr>
          <w:color w:val="000000"/>
          <w:szCs w:val="21"/>
        </w:rPr>
        <w:t>)</w:t>
      </w:r>
      <w:r>
        <w:rPr>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7.1.4.4.2 </w:t>
      </w:r>
      <w:r>
        <w:rPr>
          <w:b/>
          <w:bCs/>
          <w:color w:val="000000"/>
          <w:kern w:val="0"/>
          <w:szCs w:val="21"/>
        </w:rPr>
        <w:t>记账本位币</w:t>
      </w:r>
    </w:p>
    <w:p w:rsidR="003663E4" w:rsidRDefault="00FD3F7D">
      <w:pPr>
        <w:spacing w:line="360" w:lineRule="auto"/>
        <w:ind w:firstLineChars="200" w:firstLine="420"/>
        <w:rPr>
          <w:color w:val="000000"/>
          <w:szCs w:val="21"/>
        </w:rPr>
      </w:pPr>
      <w:r>
        <w:rPr>
          <w:color w:val="000000"/>
          <w:szCs w:val="21"/>
        </w:rPr>
        <w:t>本基金的记账本位币为人民币。</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7.1.4.4.3 </w:t>
      </w:r>
      <w:r>
        <w:rPr>
          <w:b/>
          <w:bCs/>
          <w:color w:val="000000"/>
          <w:kern w:val="0"/>
          <w:szCs w:val="21"/>
        </w:rPr>
        <w:t>金融资产和金融负债的分类</w:t>
      </w:r>
    </w:p>
    <w:p w:rsidR="003663E4" w:rsidRDefault="00FD3F7D">
      <w:pPr>
        <w:spacing w:line="360" w:lineRule="auto"/>
        <w:ind w:firstLineChars="200" w:firstLine="420"/>
        <w:rPr>
          <w:color w:val="000000"/>
          <w:szCs w:val="21"/>
        </w:rPr>
      </w:pPr>
      <w:r>
        <w:rPr>
          <w:color w:val="000000"/>
          <w:szCs w:val="21"/>
        </w:rPr>
        <w:t xml:space="preserve">(1) </w:t>
      </w:r>
      <w:r>
        <w:rPr>
          <w:color w:val="000000"/>
          <w:szCs w:val="21"/>
        </w:rPr>
        <w:t>金融资产的分类</w:t>
      </w:r>
    </w:p>
    <w:p w:rsidR="003663E4" w:rsidRDefault="00FD3F7D">
      <w:pPr>
        <w:spacing w:line="360" w:lineRule="auto"/>
        <w:ind w:firstLineChars="200" w:firstLine="420"/>
        <w:rPr>
          <w:color w:val="000000"/>
          <w:szCs w:val="21"/>
        </w:rPr>
      </w:pPr>
      <w:r>
        <w:rPr>
          <w:color w:val="000000"/>
          <w:szCs w:val="21"/>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3663E4" w:rsidRDefault="00FD3F7D">
      <w:pPr>
        <w:spacing w:line="360" w:lineRule="auto"/>
        <w:ind w:firstLineChars="200" w:firstLine="420"/>
        <w:rPr>
          <w:color w:val="000000"/>
          <w:szCs w:val="21"/>
        </w:rPr>
      </w:pPr>
      <w:r>
        <w:rPr>
          <w:color w:val="000000"/>
          <w:szCs w:val="21"/>
        </w:rPr>
        <w:t>本基金以交易目的持有的债券投资和资产支持证券投资分类为以公允价值计量且其变动计入当期损益的金融资产。以公允价值</w:t>
      </w:r>
      <w:r>
        <w:rPr>
          <w:color w:val="000000"/>
          <w:szCs w:val="21"/>
        </w:rPr>
        <w:t>计量且其变动计入当期损益的金融资产在资产负债表中以交易性金融资产列示。</w:t>
      </w:r>
    </w:p>
    <w:p w:rsidR="003663E4" w:rsidRDefault="00FD3F7D">
      <w:pPr>
        <w:spacing w:line="360" w:lineRule="auto"/>
        <w:ind w:firstLineChars="200" w:firstLine="420"/>
        <w:rPr>
          <w:color w:val="000000"/>
          <w:szCs w:val="21"/>
        </w:rPr>
      </w:pPr>
      <w:r>
        <w:rPr>
          <w:color w:val="000000"/>
          <w:szCs w:val="21"/>
        </w:rPr>
        <w:t>本基金持有的其他金融资产分类为应收款项，包括银行存款、买入返售金融资产和其他各类应收款项等。应收款项是指在活跃市场中没有报价、回收金额固定或可确定的非衍生金融资产。</w:t>
      </w:r>
    </w:p>
    <w:p w:rsidR="003663E4" w:rsidRDefault="00FD3F7D">
      <w:pPr>
        <w:spacing w:line="360" w:lineRule="auto"/>
        <w:ind w:firstLineChars="200" w:firstLine="420"/>
        <w:rPr>
          <w:color w:val="000000"/>
          <w:szCs w:val="21"/>
        </w:rPr>
      </w:pPr>
      <w:r>
        <w:rPr>
          <w:color w:val="000000"/>
          <w:szCs w:val="21"/>
        </w:rPr>
        <w:t xml:space="preserve">(2) </w:t>
      </w:r>
      <w:r>
        <w:rPr>
          <w:color w:val="000000"/>
          <w:szCs w:val="21"/>
        </w:rPr>
        <w:t>金融负债的分类</w:t>
      </w:r>
    </w:p>
    <w:p w:rsidR="003663E4" w:rsidRDefault="00FD3F7D">
      <w:pPr>
        <w:spacing w:line="360" w:lineRule="auto"/>
        <w:ind w:firstLineChars="200" w:firstLine="420"/>
        <w:rPr>
          <w:color w:val="000000"/>
          <w:szCs w:val="21"/>
        </w:rPr>
      </w:pPr>
      <w:r>
        <w:rPr>
          <w:color w:val="000000"/>
          <w:szCs w:val="21"/>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7.1.4.4.4</w:t>
      </w:r>
      <w:r>
        <w:rPr>
          <w:b/>
          <w:bCs/>
          <w:color w:val="000000"/>
          <w:kern w:val="0"/>
          <w:szCs w:val="21"/>
        </w:rPr>
        <w:t xml:space="preserve"> </w:t>
      </w:r>
      <w:r>
        <w:rPr>
          <w:b/>
          <w:bCs/>
          <w:color w:val="000000"/>
          <w:kern w:val="0"/>
          <w:szCs w:val="21"/>
        </w:rPr>
        <w:t>金融资产和金融负债的初始确认、后续计量和终止确认</w:t>
      </w:r>
    </w:p>
    <w:p w:rsidR="003663E4" w:rsidRDefault="00FD3F7D">
      <w:pPr>
        <w:spacing w:line="360" w:lineRule="auto"/>
        <w:ind w:firstLineChars="200" w:firstLine="420"/>
        <w:rPr>
          <w:color w:val="000000"/>
          <w:szCs w:val="21"/>
        </w:rPr>
      </w:pPr>
      <w:r>
        <w:rPr>
          <w:color w:val="000000"/>
          <w:szCs w:val="21"/>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3663E4" w:rsidRDefault="00FD3F7D">
      <w:pPr>
        <w:spacing w:line="360" w:lineRule="auto"/>
        <w:ind w:firstLineChars="200" w:firstLine="420"/>
        <w:rPr>
          <w:color w:val="000000"/>
          <w:szCs w:val="21"/>
        </w:rPr>
      </w:pPr>
      <w:r>
        <w:rPr>
          <w:color w:val="000000"/>
          <w:szCs w:val="21"/>
        </w:rPr>
        <w:t>对于以公允价值计量且其变动计入当期损益的金融资产，按照公允价值进行后续计量；对于应收款项和其他金融负债采用实际利率法，以摊余成本进行后续计量。</w:t>
      </w:r>
    </w:p>
    <w:p w:rsidR="003663E4" w:rsidRDefault="00FD3F7D">
      <w:pPr>
        <w:spacing w:line="360" w:lineRule="auto"/>
        <w:ind w:firstLineChars="200" w:firstLine="420"/>
        <w:rPr>
          <w:color w:val="000000"/>
          <w:szCs w:val="21"/>
        </w:rPr>
      </w:pPr>
      <w:r>
        <w:rPr>
          <w:color w:val="000000"/>
          <w:szCs w:val="21"/>
        </w:rPr>
        <w:t>金融资产满足下列条件之一的，予以终止确认：</w:t>
      </w:r>
      <w:r>
        <w:rPr>
          <w:color w:val="000000"/>
          <w:szCs w:val="21"/>
        </w:rPr>
        <w:t xml:space="preserve">(1) </w:t>
      </w:r>
      <w:r>
        <w:rPr>
          <w:color w:val="000000"/>
          <w:szCs w:val="21"/>
        </w:rPr>
        <w:t>收取该金融资产现金流量的合同权利终止；</w:t>
      </w:r>
      <w:r>
        <w:rPr>
          <w:color w:val="000000"/>
          <w:szCs w:val="21"/>
        </w:rPr>
        <w:t xml:space="preserve">(2) </w:t>
      </w:r>
      <w:r>
        <w:rPr>
          <w:color w:val="000000"/>
          <w:szCs w:val="21"/>
        </w:rPr>
        <w:t>该金融资产已转移，且本基金将金融资产所有权上几乎所有的风险和报酬转移给转入方；或者</w:t>
      </w:r>
      <w:r>
        <w:rPr>
          <w:color w:val="000000"/>
          <w:szCs w:val="21"/>
        </w:rPr>
        <w:t xml:space="preserve">(3) </w:t>
      </w:r>
      <w:r>
        <w:rPr>
          <w:color w:val="000000"/>
          <w:szCs w:val="21"/>
        </w:rPr>
        <w:t>该金融资产已转移，虽然本基金既没有转移也没有保留金融资产所有权上几乎所有的风险和报酬，但是放弃了对该金融资产控制。</w:t>
      </w:r>
    </w:p>
    <w:p w:rsidR="003663E4" w:rsidRDefault="00FD3F7D">
      <w:pPr>
        <w:spacing w:line="360" w:lineRule="auto"/>
        <w:ind w:firstLineChars="200" w:firstLine="420"/>
        <w:rPr>
          <w:color w:val="000000"/>
          <w:szCs w:val="21"/>
        </w:rPr>
      </w:pPr>
      <w:r>
        <w:rPr>
          <w:color w:val="000000"/>
          <w:szCs w:val="21"/>
        </w:rPr>
        <w:t>金融资产终止确认时，其账面价值与收到的对价的差额，计入当期损益。</w:t>
      </w:r>
    </w:p>
    <w:p w:rsidR="003663E4" w:rsidRDefault="00FD3F7D">
      <w:pPr>
        <w:spacing w:line="360" w:lineRule="auto"/>
        <w:ind w:firstLineChars="200" w:firstLine="420"/>
        <w:rPr>
          <w:color w:val="000000"/>
          <w:szCs w:val="21"/>
        </w:rPr>
      </w:pPr>
      <w:r>
        <w:rPr>
          <w:color w:val="000000"/>
          <w:szCs w:val="21"/>
        </w:rPr>
        <w:t>当金融负债的现时义务全部或部分已经解除时，终止确认该金融负债或义务已解除的部分。终止确认部分的账面价值与支付的对价之间的差额，计入当期损益。</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7.1.4.4.5 </w:t>
      </w:r>
      <w:r>
        <w:rPr>
          <w:b/>
          <w:bCs/>
          <w:color w:val="000000"/>
          <w:kern w:val="0"/>
          <w:szCs w:val="21"/>
        </w:rPr>
        <w:t>金融资产和金融负债的估值原则</w:t>
      </w:r>
    </w:p>
    <w:p w:rsidR="003663E4" w:rsidRDefault="00FD3F7D">
      <w:pPr>
        <w:spacing w:line="360" w:lineRule="auto"/>
        <w:ind w:firstLineChars="200" w:firstLine="420"/>
        <w:rPr>
          <w:color w:val="000000"/>
          <w:szCs w:val="21"/>
        </w:rPr>
      </w:pPr>
      <w:r>
        <w:rPr>
          <w:color w:val="000000"/>
          <w:szCs w:val="21"/>
        </w:rPr>
        <w:t>本基金持有的债券投资和资产支持证券投资按如下原则确定公允价值并进行估值：</w:t>
      </w:r>
    </w:p>
    <w:p w:rsidR="003663E4" w:rsidRDefault="00FD3F7D">
      <w:pPr>
        <w:spacing w:line="360" w:lineRule="auto"/>
        <w:ind w:firstLineChars="200" w:firstLine="420"/>
        <w:rPr>
          <w:color w:val="000000"/>
          <w:szCs w:val="21"/>
        </w:rPr>
      </w:pPr>
      <w:r>
        <w:rPr>
          <w:color w:val="000000"/>
          <w:szCs w:val="21"/>
        </w:rPr>
        <w:t xml:space="preserve">(1) </w:t>
      </w:r>
      <w:r>
        <w:rPr>
          <w:color w:val="00000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w:t>
      </w:r>
      <w:r>
        <w:rPr>
          <w:color w:val="000000"/>
          <w:szCs w:val="21"/>
        </w:rPr>
        <w:t>响。特征是指对资产出售或使用的限制等，如果该限制是针对资产持有者的，那么在估值技术中不应将该限制作为特征考虑。此外，基金管理人不应考虑因大量持有相关资产或负债所产生的溢价或折价。</w:t>
      </w:r>
    </w:p>
    <w:p w:rsidR="003663E4" w:rsidRDefault="00FD3F7D">
      <w:pPr>
        <w:spacing w:line="360" w:lineRule="auto"/>
        <w:ind w:firstLineChars="200" w:firstLine="420"/>
        <w:rPr>
          <w:color w:val="000000"/>
          <w:szCs w:val="21"/>
        </w:rPr>
      </w:pPr>
      <w:r>
        <w:rPr>
          <w:color w:val="000000"/>
          <w:szCs w:val="21"/>
        </w:rPr>
        <w:t xml:space="preserve">(2) </w:t>
      </w:r>
      <w:r>
        <w:rPr>
          <w:color w:val="00000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3663E4" w:rsidRDefault="00FD3F7D">
      <w:pPr>
        <w:spacing w:line="360" w:lineRule="auto"/>
        <w:ind w:firstLineChars="200" w:firstLine="420"/>
        <w:rPr>
          <w:color w:val="000000"/>
          <w:szCs w:val="21"/>
        </w:rPr>
      </w:pPr>
      <w:r>
        <w:rPr>
          <w:color w:val="000000"/>
          <w:szCs w:val="21"/>
        </w:rPr>
        <w:t xml:space="preserve">(3) </w:t>
      </w:r>
      <w:r>
        <w:rPr>
          <w:color w:val="000000"/>
          <w:szCs w:val="21"/>
        </w:rPr>
        <w:t>如经济环境发生重大变化或证券发行人发生影响金融工具价格的重大事件，应对估值进行调</w:t>
      </w:r>
      <w:r>
        <w:rPr>
          <w:color w:val="000000"/>
          <w:szCs w:val="21"/>
        </w:rPr>
        <w:t>整并确定公允价值。</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7.1.4.4.6 </w:t>
      </w:r>
      <w:r>
        <w:rPr>
          <w:b/>
          <w:bCs/>
          <w:color w:val="000000"/>
          <w:kern w:val="0"/>
          <w:szCs w:val="21"/>
        </w:rPr>
        <w:t>金融资产和金融负债的抵销</w:t>
      </w:r>
    </w:p>
    <w:p w:rsidR="003663E4" w:rsidRDefault="00FD3F7D">
      <w:pPr>
        <w:spacing w:line="360" w:lineRule="auto"/>
        <w:ind w:firstLineChars="200" w:firstLine="420"/>
        <w:rPr>
          <w:color w:val="000000"/>
          <w:szCs w:val="21"/>
        </w:rPr>
      </w:pPr>
      <w:r>
        <w:rPr>
          <w:color w:val="000000"/>
          <w:szCs w:val="21"/>
        </w:rPr>
        <w:t>本基金持有的资产和承担的负债基本为金融资产和金融负债。当本基金</w:t>
      </w:r>
      <w:r>
        <w:rPr>
          <w:color w:val="000000"/>
          <w:szCs w:val="21"/>
        </w:rPr>
        <w:t xml:space="preserve">1) </w:t>
      </w:r>
      <w:r>
        <w:rPr>
          <w:color w:val="000000"/>
          <w:szCs w:val="21"/>
        </w:rPr>
        <w:t>具有抵销已确认金额的法定权利且该种法定权利现在是可执行的；且</w:t>
      </w:r>
      <w:r>
        <w:rPr>
          <w:color w:val="000000"/>
          <w:szCs w:val="21"/>
        </w:rPr>
        <w:t xml:space="preserve">2) </w:t>
      </w:r>
      <w:r>
        <w:rPr>
          <w:color w:val="000000"/>
          <w:szCs w:val="21"/>
        </w:rPr>
        <w:t>交易双方准备按净额结算时，金融资产与金融负债按抵销后的净额在资产负债表中列示。</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7.1.4.4.7 </w:t>
      </w:r>
      <w:r>
        <w:rPr>
          <w:b/>
          <w:bCs/>
          <w:color w:val="000000"/>
          <w:kern w:val="0"/>
          <w:szCs w:val="21"/>
        </w:rPr>
        <w:t>实收基金</w:t>
      </w:r>
    </w:p>
    <w:p w:rsidR="003663E4" w:rsidRDefault="00FD3F7D">
      <w:pPr>
        <w:spacing w:line="360" w:lineRule="auto"/>
        <w:ind w:firstLineChars="200" w:firstLine="420"/>
        <w:rPr>
          <w:color w:val="000000"/>
          <w:szCs w:val="21"/>
        </w:rPr>
      </w:pPr>
      <w:r>
        <w:rPr>
          <w:color w:val="000000"/>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w:t>
      </w:r>
      <w:r>
        <w:rPr>
          <w:color w:val="000000"/>
          <w:szCs w:val="21"/>
        </w:rPr>
        <w:t>金增加和转出基金的实收基金减少。</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7.1.4.4.8 </w:t>
      </w:r>
      <w:r>
        <w:rPr>
          <w:b/>
          <w:bCs/>
          <w:color w:val="000000"/>
          <w:kern w:val="0"/>
          <w:szCs w:val="21"/>
        </w:rPr>
        <w:t>损益平准金</w:t>
      </w:r>
    </w:p>
    <w:p w:rsidR="003663E4" w:rsidRDefault="00FD3F7D">
      <w:pPr>
        <w:spacing w:line="360" w:lineRule="auto"/>
        <w:ind w:firstLineChars="200" w:firstLine="420"/>
        <w:rPr>
          <w:color w:val="000000"/>
          <w:szCs w:val="21"/>
        </w:rPr>
      </w:pPr>
      <w:r>
        <w:rPr>
          <w:color w:val="000000"/>
          <w:szCs w:val="21"/>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Pr>
          <w:color w:val="000000"/>
          <w:szCs w:val="21"/>
        </w:rPr>
        <w:t>/(</w:t>
      </w:r>
      <w:r>
        <w:rPr>
          <w:color w:val="000000"/>
          <w:szCs w:val="21"/>
        </w:rPr>
        <w:t>累计亏损</w:t>
      </w:r>
      <w:r>
        <w:rPr>
          <w:color w:val="000000"/>
          <w:szCs w:val="21"/>
        </w:rPr>
        <w:t>)</w:t>
      </w:r>
      <w:r>
        <w:rPr>
          <w:color w:val="000000"/>
          <w:szCs w:val="21"/>
        </w:rPr>
        <w:t>。</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7.1.4.4.9</w:t>
      </w:r>
      <w:r>
        <w:rPr>
          <w:rFonts w:hint="eastAsia"/>
          <w:b/>
          <w:bCs/>
          <w:color w:val="000000"/>
          <w:kern w:val="0"/>
          <w:szCs w:val="21"/>
        </w:rPr>
        <w:t xml:space="preserve"> </w:t>
      </w:r>
      <w:r>
        <w:rPr>
          <w:b/>
          <w:bCs/>
          <w:color w:val="000000"/>
          <w:kern w:val="0"/>
          <w:szCs w:val="21"/>
        </w:rPr>
        <w:t>收入</w:t>
      </w:r>
      <w:r>
        <w:rPr>
          <w:b/>
          <w:bCs/>
          <w:color w:val="000000"/>
          <w:kern w:val="0"/>
          <w:szCs w:val="21"/>
        </w:rPr>
        <w:t>/(</w:t>
      </w:r>
      <w:r>
        <w:rPr>
          <w:b/>
          <w:bCs/>
          <w:color w:val="000000"/>
          <w:kern w:val="0"/>
          <w:szCs w:val="21"/>
        </w:rPr>
        <w:t>损失</w:t>
      </w:r>
      <w:r>
        <w:rPr>
          <w:b/>
          <w:bCs/>
          <w:color w:val="000000"/>
          <w:kern w:val="0"/>
          <w:szCs w:val="21"/>
        </w:rPr>
        <w:t>)</w:t>
      </w:r>
      <w:r>
        <w:rPr>
          <w:b/>
          <w:bCs/>
          <w:color w:val="000000"/>
          <w:kern w:val="0"/>
          <w:szCs w:val="21"/>
        </w:rPr>
        <w:t>的确认和计量</w:t>
      </w:r>
    </w:p>
    <w:p w:rsidR="003663E4" w:rsidRDefault="00FD3F7D">
      <w:pPr>
        <w:spacing w:line="360" w:lineRule="auto"/>
        <w:ind w:firstLineChars="200" w:firstLine="420"/>
        <w:rPr>
          <w:color w:val="000000"/>
          <w:szCs w:val="21"/>
        </w:rPr>
      </w:pPr>
      <w:r>
        <w:rPr>
          <w:color w:val="000000"/>
          <w:szCs w:val="21"/>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3663E4" w:rsidRDefault="00FD3F7D">
      <w:pPr>
        <w:spacing w:line="360" w:lineRule="auto"/>
        <w:ind w:firstLineChars="200" w:firstLine="420"/>
        <w:rPr>
          <w:color w:val="000000"/>
          <w:szCs w:val="21"/>
        </w:rPr>
      </w:pPr>
      <w:r>
        <w:rPr>
          <w:color w:val="000000"/>
          <w:szCs w:val="21"/>
        </w:rPr>
        <w:t>以公允价值计量且其变动计入当期损益的金融资产在持有期间的公允价值变动确认为公允价值变动损益；于处置时，其处置价格与初始</w:t>
      </w:r>
      <w:r>
        <w:rPr>
          <w:color w:val="000000"/>
          <w:szCs w:val="21"/>
        </w:rPr>
        <w:t>确认金额之间的差额确认为投资收益，其中包括从公允价值变动损益结转的公允价值累计变动额。</w:t>
      </w:r>
    </w:p>
    <w:p w:rsidR="003663E4" w:rsidRDefault="00FD3F7D">
      <w:pPr>
        <w:spacing w:line="360" w:lineRule="auto"/>
        <w:ind w:firstLineChars="200" w:firstLine="420"/>
        <w:rPr>
          <w:color w:val="000000"/>
          <w:szCs w:val="21"/>
        </w:rPr>
      </w:pPr>
      <w:r>
        <w:rPr>
          <w:color w:val="000000"/>
          <w:szCs w:val="21"/>
        </w:rPr>
        <w:t>应收款项在持有期间确认的利息收入按实际利率法计算，实际利率法与直线法差异较小的则按直线法计算。</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7.1.4.4.10 </w:t>
      </w:r>
      <w:r>
        <w:rPr>
          <w:b/>
          <w:bCs/>
          <w:color w:val="000000"/>
          <w:kern w:val="0"/>
          <w:szCs w:val="21"/>
        </w:rPr>
        <w:t>费用的确认和计量</w:t>
      </w:r>
    </w:p>
    <w:p w:rsidR="003663E4" w:rsidRDefault="00FD3F7D">
      <w:pPr>
        <w:spacing w:line="360" w:lineRule="auto"/>
        <w:ind w:firstLineChars="200" w:firstLine="420"/>
        <w:rPr>
          <w:color w:val="000000"/>
          <w:szCs w:val="21"/>
        </w:rPr>
      </w:pPr>
      <w:r>
        <w:rPr>
          <w:color w:val="000000"/>
          <w:szCs w:val="21"/>
        </w:rPr>
        <w:t>本基金的管理人报酬和托管费在费用涵盖期间按基金合同约定的费率和计算方法逐日确认。</w:t>
      </w:r>
    </w:p>
    <w:p w:rsidR="003663E4" w:rsidRDefault="00FD3F7D">
      <w:pPr>
        <w:spacing w:line="360" w:lineRule="auto"/>
        <w:ind w:firstLineChars="200" w:firstLine="420"/>
        <w:rPr>
          <w:color w:val="000000"/>
          <w:szCs w:val="21"/>
        </w:rPr>
      </w:pPr>
      <w:r>
        <w:rPr>
          <w:color w:val="000000"/>
          <w:szCs w:val="21"/>
        </w:rPr>
        <w:t>其他金融负债在持有期间确认的利息支出按实际利率法计算，实际利率法与直线法差异较小的则按直线法计算。</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7.1.4.4.11 </w:t>
      </w:r>
      <w:r>
        <w:rPr>
          <w:b/>
          <w:bCs/>
          <w:color w:val="000000"/>
          <w:kern w:val="0"/>
          <w:szCs w:val="21"/>
        </w:rPr>
        <w:t>基金的收益分配政策</w:t>
      </w:r>
    </w:p>
    <w:p w:rsidR="003663E4" w:rsidRDefault="00FD3F7D">
      <w:pPr>
        <w:spacing w:line="360" w:lineRule="auto"/>
        <w:ind w:firstLineChars="200" w:firstLine="420"/>
        <w:rPr>
          <w:color w:val="000000"/>
          <w:szCs w:val="21"/>
        </w:rPr>
      </w:pPr>
      <w:r>
        <w:rPr>
          <w:color w:val="000000"/>
          <w:szCs w:val="21"/>
        </w:rPr>
        <w:t>每一基金份额享有同等分配权。本基金收益以现金形式分配，但基金份额</w:t>
      </w:r>
      <w:r>
        <w:rPr>
          <w:color w:val="000000"/>
          <w:szCs w:val="21"/>
        </w:rPr>
        <w:t>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3663E4" w:rsidRDefault="00FD3F7D">
      <w:pPr>
        <w:spacing w:line="360" w:lineRule="auto"/>
        <w:ind w:firstLineChars="200" w:firstLine="420"/>
        <w:rPr>
          <w:color w:val="000000"/>
          <w:szCs w:val="21"/>
        </w:rPr>
      </w:pPr>
      <w:r>
        <w:rPr>
          <w:color w:val="000000"/>
          <w:szCs w:val="21"/>
        </w:rPr>
        <w:t>经宣告的拟分配基金收益于分红除权日从所有者权益转出。</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7.1.4.4.12 </w:t>
      </w:r>
      <w:r>
        <w:rPr>
          <w:b/>
          <w:bCs/>
          <w:color w:val="000000"/>
          <w:kern w:val="0"/>
          <w:szCs w:val="21"/>
        </w:rPr>
        <w:t>分部报告</w:t>
      </w:r>
    </w:p>
    <w:p w:rsidR="003663E4" w:rsidRDefault="00FD3F7D">
      <w:pPr>
        <w:spacing w:line="360" w:lineRule="auto"/>
        <w:ind w:firstLineChars="200" w:firstLine="420"/>
        <w:rPr>
          <w:color w:val="000000"/>
          <w:szCs w:val="21"/>
        </w:rPr>
      </w:pPr>
      <w:r>
        <w:rPr>
          <w:color w:val="000000"/>
          <w:szCs w:val="21"/>
        </w:rPr>
        <w:t>本基金以内部组织结构、管理要求、内部报告制度为依据确定经营分部，以经营分部为基础确定报告分部并披露分部信息。经营分部是指本基金内同时满足下列条件的组成部分：</w:t>
      </w:r>
      <w:r>
        <w:rPr>
          <w:color w:val="000000"/>
          <w:szCs w:val="21"/>
        </w:rPr>
        <w:t xml:space="preserve">(1) </w:t>
      </w:r>
      <w:r>
        <w:rPr>
          <w:color w:val="000000"/>
          <w:szCs w:val="21"/>
        </w:rPr>
        <w:t>该组成部分能够在日常活动中产生收入、发生费用；</w:t>
      </w:r>
      <w:r>
        <w:rPr>
          <w:color w:val="000000"/>
          <w:szCs w:val="21"/>
        </w:rPr>
        <w:t xml:space="preserve">(2) </w:t>
      </w:r>
      <w:r>
        <w:rPr>
          <w:color w:val="000000"/>
          <w:szCs w:val="21"/>
        </w:rPr>
        <w:t>本基金的基金管理人能够定期评价该组成部分的经营成果，以决定向其配置资源、评价其业绩；</w:t>
      </w:r>
      <w:r>
        <w:rPr>
          <w:color w:val="000000"/>
          <w:szCs w:val="21"/>
        </w:rPr>
        <w:t xml:space="preserve">(3) </w:t>
      </w:r>
      <w:r>
        <w:rPr>
          <w:color w:val="000000"/>
          <w:szCs w:val="21"/>
        </w:rPr>
        <w:t>本基金能够取得该组成部分的财务状况、经营成果和现金流量等有关会计信息。如果两个或多个经营分部具有相似的经济特征，并且满足一定条件的，则合并为一个经营分部。</w:t>
      </w:r>
    </w:p>
    <w:p w:rsidR="003663E4" w:rsidRDefault="00FD3F7D">
      <w:pPr>
        <w:spacing w:line="360" w:lineRule="auto"/>
        <w:ind w:firstLineChars="200" w:firstLine="420"/>
        <w:rPr>
          <w:color w:val="000000"/>
          <w:szCs w:val="21"/>
        </w:rPr>
      </w:pPr>
      <w:r>
        <w:rPr>
          <w:color w:val="000000"/>
          <w:szCs w:val="21"/>
        </w:rPr>
        <w:t>本基金目前以一个单一的经营分部运作，不需要披露</w:t>
      </w:r>
      <w:r>
        <w:rPr>
          <w:color w:val="000000"/>
          <w:szCs w:val="21"/>
        </w:rPr>
        <w:t>分部信息。</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7.1.4.4.13 </w:t>
      </w:r>
      <w:r>
        <w:rPr>
          <w:b/>
          <w:bCs/>
          <w:color w:val="000000"/>
          <w:kern w:val="0"/>
          <w:szCs w:val="21"/>
        </w:rPr>
        <w:t>其他重要的会计政策和会计估计</w:t>
      </w:r>
    </w:p>
    <w:p w:rsidR="003663E4" w:rsidRDefault="00FD3F7D">
      <w:pPr>
        <w:spacing w:line="360" w:lineRule="auto"/>
        <w:ind w:firstLineChars="200" w:firstLine="420"/>
        <w:rPr>
          <w:color w:val="000000"/>
          <w:szCs w:val="21"/>
        </w:rPr>
      </w:pPr>
      <w:r>
        <w:rPr>
          <w:color w:val="000000"/>
          <w:szCs w:val="21"/>
        </w:rPr>
        <w:t>根据本基金的估值原则和中国证监会允许的基金行业估值实务操作，本基金确定以下类别债券投资和资产支持证券投资的公允价值时采用的估值方法及其关键假设如下：</w:t>
      </w:r>
    </w:p>
    <w:p w:rsidR="003663E4" w:rsidRDefault="00FD3F7D">
      <w:pPr>
        <w:spacing w:line="360" w:lineRule="auto"/>
        <w:ind w:firstLineChars="200" w:firstLine="420"/>
        <w:rPr>
          <w:color w:val="000000"/>
          <w:szCs w:val="21"/>
        </w:rPr>
      </w:pPr>
      <w:r>
        <w:rPr>
          <w:color w:val="000000"/>
          <w:szCs w:val="21"/>
        </w:rPr>
        <w:t xml:space="preserve">(1) </w:t>
      </w:r>
      <w:r>
        <w:rPr>
          <w:color w:val="000000"/>
          <w:szCs w:val="21"/>
        </w:rPr>
        <w:t>对于证券交易所上市的债券，若出现重大事项停牌或交易不活跃</w:t>
      </w:r>
      <w:r>
        <w:rPr>
          <w:color w:val="000000"/>
          <w:szCs w:val="21"/>
        </w:rPr>
        <w:t>(</w:t>
      </w:r>
      <w:r>
        <w:rPr>
          <w:color w:val="000000"/>
          <w:szCs w:val="21"/>
        </w:rPr>
        <w:t>包括涨跌停时的交易不活跃</w:t>
      </w:r>
      <w:r>
        <w:rPr>
          <w:color w:val="000000"/>
          <w:szCs w:val="21"/>
        </w:rPr>
        <w:t>)</w:t>
      </w:r>
      <w:r>
        <w:rPr>
          <w:color w:val="000000"/>
          <w:szCs w:val="21"/>
        </w:rPr>
        <w:t>等情况，本基金根据中国证监会公告</w:t>
      </w:r>
      <w:r>
        <w:rPr>
          <w:color w:val="000000"/>
          <w:szCs w:val="21"/>
        </w:rPr>
        <w:t>[2017]13</w:t>
      </w:r>
      <w:r>
        <w:rPr>
          <w:color w:val="000000"/>
          <w:szCs w:val="21"/>
        </w:rPr>
        <w:t>号《中国证监会关于证券投资基金估值业务的指导意见》，根据具体情况采用现金流量折现法等估值技术进行估值。</w:t>
      </w:r>
    </w:p>
    <w:p w:rsidR="003663E4" w:rsidRDefault="00FD3F7D">
      <w:pPr>
        <w:spacing w:line="360" w:lineRule="auto"/>
        <w:ind w:firstLineChars="200" w:firstLine="420"/>
        <w:rPr>
          <w:color w:val="000000"/>
          <w:szCs w:val="21"/>
        </w:rPr>
      </w:pPr>
      <w:r>
        <w:rPr>
          <w:color w:val="000000"/>
          <w:szCs w:val="21"/>
        </w:rPr>
        <w:t xml:space="preserve">(2) </w:t>
      </w:r>
      <w:r>
        <w:rPr>
          <w:color w:val="000000"/>
          <w:szCs w:val="21"/>
        </w:rPr>
        <w:t>对于在证券交易所上市或挂牌转让的固定收益品种</w:t>
      </w:r>
      <w:r>
        <w:rPr>
          <w:color w:val="000000"/>
          <w:szCs w:val="21"/>
        </w:rPr>
        <w:t>(</w:t>
      </w:r>
      <w:r>
        <w:rPr>
          <w:color w:val="000000"/>
          <w:szCs w:val="21"/>
        </w:rPr>
        <w:t>私募债券除外</w:t>
      </w:r>
      <w:r>
        <w:rPr>
          <w:color w:val="000000"/>
          <w:szCs w:val="21"/>
        </w:rPr>
        <w:t>)</w:t>
      </w:r>
      <w:r>
        <w:rPr>
          <w:color w:val="000000"/>
          <w:szCs w:val="21"/>
        </w:rPr>
        <w:t>及在银行间同业市场交易的固定收益品种，根据中国证监会公告</w:t>
      </w:r>
      <w:r>
        <w:rPr>
          <w:color w:val="000000"/>
          <w:szCs w:val="21"/>
        </w:rPr>
        <w:t>[2017]13</w:t>
      </w:r>
      <w:r>
        <w:rPr>
          <w:color w:val="000000"/>
          <w:szCs w:val="21"/>
        </w:rPr>
        <w:t>号《中国证监会关于证券投资基金估值业务的指导意见》及《中国证券投资基金业协会估值核算工作小组关于</w:t>
      </w:r>
      <w:r>
        <w:rPr>
          <w:color w:val="000000"/>
          <w:szCs w:val="21"/>
        </w:rPr>
        <w:t>2015</w:t>
      </w:r>
      <w:r>
        <w:rPr>
          <w:color w:val="000000"/>
          <w:szCs w:val="21"/>
        </w:rPr>
        <w:t>年</w:t>
      </w:r>
      <w:r>
        <w:rPr>
          <w:color w:val="000000"/>
          <w:szCs w:val="21"/>
        </w:rPr>
        <w:t>1</w:t>
      </w:r>
      <w:r>
        <w:rPr>
          <w:color w:val="000000"/>
          <w:szCs w:val="21"/>
        </w:rPr>
        <w:t>季度固定收益品种的估值处理标准》采用估值技术确定公允价值。本基金持有的证券交易所上市或挂牌转让的固定收益品种</w:t>
      </w:r>
      <w:r>
        <w:rPr>
          <w:color w:val="000000"/>
          <w:szCs w:val="21"/>
        </w:rPr>
        <w:t>(</w:t>
      </w:r>
      <w:r>
        <w:rPr>
          <w:color w:val="000000"/>
          <w:szCs w:val="21"/>
        </w:rPr>
        <w:t>私募债券除外</w:t>
      </w:r>
      <w:r>
        <w:rPr>
          <w:color w:val="000000"/>
          <w:szCs w:val="21"/>
        </w:rPr>
        <w:t>)</w:t>
      </w:r>
      <w:r>
        <w:rPr>
          <w:color w:val="000000"/>
          <w:szCs w:val="21"/>
        </w:rPr>
        <w:t>，按照中证指数有限公司所独立提供的估值结果确定公允价值。本基金持有的银行间同业市场固定收益品种按照中债金融估值中心有限公司所独立提供的估值结果确定公允价值。</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7.1.4.5 </w:t>
      </w:r>
      <w:r>
        <w:rPr>
          <w:b/>
          <w:bCs/>
          <w:color w:val="000000"/>
          <w:kern w:val="0"/>
          <w:szCs w:val="21"/>
        </w:rPr>
        <w:t>会计政策和会计估计变</w:t>
      </w:r>
      <w:r>
        <w:rPr>
          <w:b/>
          <w:bCs/>
          <w:color w:val="000000"/>
          <w:kern w:val="0"/>
          <w:szCs w:val="21"/>
        </w:rPr>
        <w:t>更以及差错更正的说明</w:t>
      </w:r>
    </w:p>
    <w:p w:rsidR="003663E4" w:rsidRDefault="00FD3F7D">
      <w:pPr>
        <w:autoSpaceDE w:val="0"/>
        <w:autoSpaceDN w:val="0"/>
        <w:adjustRightInd w:val="0"/>
        <w:spacing w:line="360" w:lineRule="auto"/>
        <w:jc w:val="left"/>
        <w:rPr>
          <w:b/>
          <w:color w:val="000000"/>
          <w:kern w:val="0"/>
          <w:szCs w:val="21"/>
        </w:rPr>
      </w:pPr>
      <w:r>
        <w:rPr>
          <w:b/>
          <w:bCs/>
          <w:color w:val="000000"/>
          <w:kern w:val="0"/>
          <w:szCs w:val="21"/>
        </w:rPr>
        <w:t>7.1.4.5.1</w:t>
      </w:r>
      <w:r>
        <w:rPr>
          <w:b/>
          <w:color w:val="000000"/>
          <w:kern w:val="0"/>
          <w:szCs w:val="21"/>
        </w:rPr>
        <w:t xml:space="preserve"> </w:t>
      </w:r>
      <w:r>
        <w:rPr>
          <w:b/>
          <w:color w:val="000000"/>
          <w:kern w:val="0"/>
          <w:szCs w:val="21"/>
        </w:rPr>
        <w:t>会计政策变更的说明</w:t>
      </w:r>
    </w:p>
    <w:p w:rsidR="003663E4" w:rsidRDefault="00FD3F7D">
      <w:pPr>
        <w:spacing w:line="360" w:lineRule="auto"/>
        <w:ind w:firstLineChars="200" w:firstLine="420"/>
        <w:rPr>
          <w:color w:val="000000"/>
          <w:szCs w:val="21"/>
        </w:rPr>
      </w:pPr>
      <w:r>
        <w:rPr>
          <w:color w:val="000000"/>
          <w:szCs w:val="21"/>
        </w:rPr>
        <w:t>本基金本报告期未发生会计政策变更。</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7.1.4.5.2 </w:t>
      </w:r>
      <w:r>
        <w:rPr>
          <w:b/>
          <w:bCs/>
          <w:color w:val="000000"/>
          <w:kern w:val="0"/>
          <w:szCs w:val="21"/>
        </w:rPr>
        <w:t>会计估计变更的说明</w:t>
      </w:r>
    </w:p>
    <w:p w:rsidR="003663E4" w:rsidRDefault="00FD3F7D">
      <w:pPr>
        <w:spacing w:line="360" w:lineRule="auto"/>
        <w:ind w:firstLineChars="200" w:firstLine="420"/>
        <w:rPr>
          <w:color w:val="000000"/>
          <w:szCs w:val="21"/>
        </w:rPr>
      </w:pPr>
      <w:r>
        <w:rPr>
          <w:color w:val="000000"/>
          <w:szCs w:val="21"/>
        </w:rPr>
        <w:t>本基金本报告期未发生会计估计变更。</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7.1.4.5.3 </w:t>
      </w:r>
      <w:r>
        <w:rPr>
          <w:b/>
          <w:bCs/>
          <w:color w:val="000000"/>
          <w:kern w:val="0"/>
          <w:szCs w:val="21"/>
        </w:rPr>
        <w:t>差错更正的说明</w:t>
      </w:r>
    </w:p>
    <w:p w:rsidR="003663E4" w:rsidRDefault="00FD3F7D">
      <w:pPr>
        <w:spacing w:line="360" w:lineRule="auto"/>
        <w:ind w:firstLineChars="200" w:firstLine="420"/>
        <w:rPr>
          <w:color w:val="000000"/>
          <w:szCs w:val="21"/>
        </w:rPr>
      </w:pPr>
      <w:r>
        <w:rPr>
          <w:color w:val="000000"/>
          <w:szCs w:val="21"/>
        </w:rPr>
        <w:t>本基金在本报告期间无须说明的会计差错更正。</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7.1.4.6 </w:t>
      </w:r>
      <w:r>
        <w:rPr>
          <w:b/>
          <w:bCs/>
          <w:color w:val="000000"/>
          <w:kern w:val="0"/>
          <w:szCs w:val="21"/>
        </w:rPr>
        <w:t>税项</w:t>
      </w:r>
    </w:p>
    <w:p w:rsidR="003663E4" w:rsidRDefault="00FD3F7D">
      <w:pPr>
        <w:spacing w:line="360" w:lineRule="auto"/>
        <w:ind w:firstLineChars="200" w:firstLine="420"/>
        <w:rPr>
          <w:color w:val="000000"/>
          <w:szCs w:val="21"/>
        </w:rPr>
      </w:pPr>
      <w:r>
        <w:rPr>
          <w:color w:val="000000"/>
          <w:szCs w:val="21"/>
        </w:rPr>
        <w:t>根据财政部、国家税务总局财税</w:t>
      </w:r>
      <w:r>
        <w:rPr>
          <w:color w:val="000000"/>
          <w:szCs w:val="21"/>
        </w:rPr>
        <w:t>[2002]128</w:t>
      </w:r>
      <w:r>
        <w:rPr>
          <w:color w:val="000000"/>
          <w:szCs w:val="21"/>
        </w:rPr>
        <w:t>号《关于开放式证券投资基金有关税收问题的通知》、财税</w:t>
      </w:r>
      <w:r>
        <w:rPr>
          <w:color w:val="000000"/>
          <w:szCs w:val="21"/>
        </w:rPr>
        <w:t>[2008]1</w:t>
      </w:r>
      <w:r>
        <w:rPr>
          <w:color w:val="000000"/>
          <w:szCs w:val="21"/>
        </w:rPr>
        <w:t>号《关于企业所得税若干优惠政策的通知》、财税</w:t>
      </w:r>
      <w:r>
        <w:rPr>
          <w:color w:val="000000"/>
          <w:szCs w:val="21"/>
        </w:rPr>
        <w:t>[2016]36</w:t>
      </w:r>
      <w:r>
        <w:rPr>
          <w:color w:val="000000"/>
          <w:szCs w:val="21"/>
        </w:rPr>
        <w:t>号《关于全面推开营业税改征增值税试点的通知》、财税</w:t>
      </w:r>
      <w:r>
        <w:rPr>
          <w:color w:val="000000"/>
          <w:szCs w:val="21"/>
        </w:rPr>
        <w:t>[2016]4</w:t>
      </w:r>
      <w:r>
        <w:rPr>
          <w:color w:val="000000"/>
          <w:szCs w:val="21"/>
        </w:rPr>
        <w:t>6</w:t>
      </w:r>
      <w:r>
        <w:rPr>
          <w:color w:val="000000"/>
          <w:szCs w:val="21"/>
        </w:rPr>
        <w:t>号《关于进一步明确全面推开营改增试点金融业有关政策的通知》、财税</w:t>
      </w:r>
      <w:r>
        <w:rPr>
          <w:color w:val="000000"/>
          <w:szCs w:val="21"/>
        </w:rPr>
        <w:t>[2016]70</w:t>
      </w:r>
      <w:r>
        <w:rPr>
          <w:color w:val="000000"/>
          <w:szCs w:val="21"/>
        </w:rPr>
        <w:t>号《关于金融机构同业往来等增值税政策的补充通知》、财税</w:t>
      </w:r>
      <w:r>
        <w:rPr>
          <w:color w:val="000000"/>
          <w:szCs w:val="21"/>
        </w:rPr>
        <w:t>[2016]140</w:t>
      </w:r>
      <w:r>
        <w:rPr>
          <w:color w:val="000000"/>
          <w:szCs w:val="21"/>
        </w:rPr>
        <w:t>号《关于明确金融</w:t>
      </w:r>
      <w:r>
        <w:rPr>
          <w:color w:val="000000"/>
          <w:szCs w:val="21"/>
        </w:rPr>
        <w:t xml:space="preserve"> </w:t>
      </w:r>
      <w:r>
        <w:rPr>
          <w:color w:val="000000"/>
          <w:szCs w:val="21"/>
        </w:rPr>
        <w:t>房地产开发</w:t>
      </w:r>
      <w:r>
        <w:rPr>
          <w:color w:val="000000"/>
          <w:szCs w:val="21"/>
        </w:rPr>
        <w:t xml:space="preserve"> </w:t>
      </w:r>
      <w:r>
        <w:rPr>
          <w:color w:val="000000"/>
          <w:szCs w:val="21"/>
        </w:rPr>
        <w:t>教育辅助服务等增值税政策的通知》、财税</w:t>
      </w:r>
      <w:r>
        <w:rPr>
          <w:color w:val="000000"/>
          <w:szCs w:val="21"/>
        </w:rPr>
        <w:t>[2017]2</w:t>
      </w:r>
      <w:r>
        <w:rPr>
          <w:color w:val="000000"/>
          <w:szCs w:val="21"/>
        </w:rPr>
        <w:t>号《关于资管产品增值税政策有关问题的补充通知》、财税</w:t>
      </w:r>
      <w:r>
        <w:rPr>
          <w:color w:val="000000"/>
          <w:szCs w:val="21"/>
        </w:rPr>
        <w:t>[2017]56</w:t>
      </w:r>
      <w:r>
        <w:rPr>
          <w:color w:val="000000"/>
          <w:szCs w:val="21"/>
        </w:rPr>
        <w:t>号《关于资管产品增值税有关问题的通知》、财税</w:t>
      </w:r>
      <w:r>
        <w:rPr>
          <w:color w:val="000000"/>
          <w:szCs w:val="21"/>
        </w:rPr>
        <w:t>[2017]90</w:t>
      </w:r>
      <w:r>
        <w:rPr>
          <w:color w:val="000000"/>
          <w:szCs w:val="21"/>
        </w:rPr>
        <w:t>号《关于租入固定资产进项税额抵扣等增值税政策的通知》及其他相关财税法规和实务操作，主要税项列示如下：</w:t>
      </w:r>
    </w:p>
    <w:p w:rsidR="003663E4" w:rsidRDefault="00FD3F7D">
      <w:pPr>
        <w:spacing w:line="360" w:lineRule="auto"/>
        <w:ind w:firstLineChars="200" w:firstLine="420"/>
        <w:rPr>
          <w:color w:val="000000"/>
          <w:szCs w:val="21"/>
        </w:rPr>
      </w:pPr>
      <w:r>
        <w:rPr>
          <w:color w:val="000000"/>
          <w:szCs w:val="21"/>
        </w:rPr>
        <w:t xml:space="preserve">(1) </w:t>
      </w:r>
      <w:r>
        <w:rPr>
          <w:color w:val="000000"/>
          <w:szCs w:val="21"/>
        </w:rPr>
        <w:t>资管产品运营过程中发生的增值税应税行为</w:t>
      </w:r>
      <w:r>
        <w:rPr>
          <w:color w:val="000000"/>
          <w:szCs w:val="21"/>
        </w:rPr>
        <w:t>，以资管产品管理人为增值税纳税人。资管产品管理人运营资管产品过程中发生的增值税应税行为，暂适用简易计税方法，按照</w:t>
      </w:r>
      <w:r>
        <w:rPr>
          <w:color w:val="000000"/>
          <w:szCs w:val="21"/>
        </w:rPr>
        <w:t>3%</w:t>
      </w:r>
      <w:r>
        <w:rPr>
          <w:color w:val="000000"/>
          <w:szCs w:val="21"/>
        </w:rPr>
        <w:t>的征收率缴纳增值税。</w:t>
      </w:r>
    </w:p>
    <w:p w:rsidR="003663E4" w:rsidRDefault="00FD3F7D">
      <w:pPr>
        <w:spacing w:line="360" w:lineRule="auto"/>
        <w:ind w:firstLineChars="200" w:firstLine="420"/>
        <w:rPr>
          <w:color w:val="000000"/>
          <w:szCs w:val="21"/>
        </w:rPr>
      </w:pPr>
      <w:r>
        <w:rPr>
          <w:color w:val="000000"/>
          <w:szCs w:val="21"/>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3663E4" w:rsidRDefault="00FD3F7D">
      <w:pPr>
        <w:spacing w:line="360" w:lineRule="auto"/>
        <w:ind w:firstLineChars="200" w:firstLine="420"/>
        <w:rPr>
          <w:color w:val="000000"/>
          <w:szCs w:val="21"/>
        </w:rPr>
      </w:pPr>
      <w:r>
        <w:rPr>
          <w:color w:val="000000"/>
          <w:szCs w:val="21"/>
        </w:rPr>
        <w:t xml:space="preserve">(2) </w:t>
      </w:r>
      <w:r>
        <w:rPr>
          <w:color w:val="000000"/>
          <w:szCs w:val="21"/>
        </w:rPr>
        <w:t>对基金从证券市场中取得的收入，包括买卖债券的差价收入，债券的利息收入及其他收入，暂不征收企业所得税。</w:t>
      </w:r>
    </w:p>
    <w:p w:rsidR="003663E4" w:rsidRDefault="00FD3F7D">
      <w:pPr>
        <w:spacing w:line="360" w:lineRule="auto"/>
        <w:ind w:firstLineChars="200" w:firstLine="420"/>
        <w:rPr>
          <w:color w:val="000000"/>
          <w:szCs w:val="21"/>
        </w:rPr>
      </w:pPr>
      <w:r>
        <w:rPr>
          <w:color w:val="000000"/>
          <w:szCs w:val="21"/>
        </w:rPr>
        <w:t xml:space="preserve">(3) </w:t>
      </w:r>
      <w:r>
        <w:rPr>
          <w:color w:val="000000"/>
          <w:szCs w:val="21"/>
        </w:rPr>
        <w:t>对基金取得的企业债券利息收入，应由发行债券的企业在向基金支付</w:t>
      </w:r>
      <w:r>
        <w:rPr>
          <w:color w:val="000000"/>
          <w:szCs w:val="21"/>
        </w:rPr>
        <w:t>利息时代扣代缴</w:t>
      </w:r>
      <w:r>
        <w:rPr>
          <w:color w:val="000000"/>
          <w:szCs w:val="21"/>
        </w:rPr>
        <w:t>20%</w:t>
      </w:r>
      <w:r>
        <w:rPr>
          <w:color w:val="000000"/>
          <w:szCs w:val="21"/>
        </w:rPr>
        <w:t>的个人所得税。</w:t>
      </w:r>
    </w:p>
    <w:p w:rsidR="003663E4" w:rsidRDefault="00FD3F7D">
      <w:pPr>
        <w:spacing w:line="360" w:lineRule="auto"/>
        <w:ind w:firstLineChars="200" w:firstLine="420"/>
        <w:rPr>
          <w:color w:val="000000"/>
          <w:szCs w:val="21"/>
        </w:rPr>
      </w:pPr>
      <w:r>
        <w:rPr>
          <w:color w:val="000000"/>
          <w:szCs w:val="21"/>
        </w:rPr>
        <w:t xml:space="preserve">(4) </w:t>
      </w:r>
      <w:r>
        <w:rPr>
          <w:color w:val="000000"/>
          <w:szCs w:val="21"/>
        </w:rPr>
        <w:t>本基金的城市维护建设税、教育费附加和地方教育附加等税费按照实际缴纳增值税额的适用比例计算缴纳。</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7.1.4.7</w:t>
      </w:r>
      <w:r>
        <w:rPr>
          <w:rFonts w:hint="eastAsia"/>
          <w:b/>
          <w:bCs/>
          <w:color w:val="000000"/>
          <w:kern w:val="0"/>
          <w:szCs w:val="21"/>
        </w:rPr>
        <w:t xml:space="preserve"> </w:t>
      </w:r>
      <w:r>
        <w:rPr>
          <w:b/>
          <w:bCs/>
          <w:color w:val="000000"/>
          <w:kern w:val="0"/>
          <w:szCs w:val="21"/>
        </w:rPr>
        <w:t>重要财务报表项目的说明</w:t>
      </w:r>
    </w:p>
    <w:p w:rsidR="003663E4" w:rsidRDefault="00FD3F7D">
      <w:pPr>
        <w:spacing w:line="360" w:lineRule="auto"/>
        <w:rPr>
          <w:b/>
          <w:color w:val="000000"/>
          <w:szCs w:val="21"/>
        </w:rPr>
      </w:pPr>
      <w:r>
        <w:rPr>
          <w:b/>
          <w:bCs/>
          <w:color w:val="000000"/>
          <w:kern w:val="0"/>
          <w:szCs w:val="21"/>
        </w:rPr>
        <w:t xml:space="preserve">7.1.4.7.1 </w:t>
      </w:r>
      <w:r>
        <w:rPr>
          <w:b/>
          <w:color w:val="000000"/>
          <w:szCs w:val="21"/>
        </w:rPr>
        <w:t>银行存款</w:t>
      </w:r>
    </w:p>
    <w:p w:rsidR="003663E4" w:rsidRDefault="00FD3F7D">
      <w:pPr>
        <w:autoSpaceDE w:val="0"/>
        <w:autoSpaceDN w:val="0"/>
        <w:adjustRightInd w:val="0"/>
        <w:spacing w:line="360" w:lineRule="auto"/>
        <w:ind w:left="15"/>
        <w:jc w:val="right"/>
        <w:rPr>
          <w:b/>
          <w:color w:val="000000"/>
          <w:kern w:val="0"/>
          <w:szCs w:val="21"/>
        </w:rPr>
      </w:pPr>
      <w:r>
        <w:rPr>
          <w:rFonts w:hint="eastAsia"/>
          <w:bCs/>
          <w:color w:val="000000"/>
          <w:szCs w:val="21"/>
        </w:rPr>
        <w:t>单位：人民币元</w:t>
      </w:r>
    </w:p>
    <w:tbl>
      <w:tblPr>
        <w:tblW w:w="89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6314"/>
      </w:tblGrid>
      <w:tr w:rsidR="003663E4">
        <w:trPr>
          <w:trHeight w:val="345"/>
        </w:trPr>
        <w:tc>
          <w:tcPr>
            <w:tcW w:w="2634" w:type="dxa"/>
            <w:tcMar>
              <w:top w:w="15" w:type="dxa"/>
              <w:left w:w="15" w:type="dxa"/>
              <w:bottom w:w="0" w:type="dxa"/>
              <w:right w:w="15" w:type="dxa"/>
            </w:tcMar>
            <w:vAlign w:val="center"/>
          </w:tcPr>
          <w:p w:rsidR="003663E4" w:rsidRDefault="00FD3F7D">
            <w:pPr>
              <w:spacing w:line="276" w:lineRule="auto"/>
              <w:jc w:val="center"/>
              <w:rPr>
                <w:color w:val="000000"/>
                <w:szCs w:val="21"/>
              </w:rPr>
            </w:pPr>
            <w:r>
              <w:rPr>
                <w:rFonts w:hint="eastAsia"/>
                <w:color w:val="000000"/>
                <w:kern w:val="0"/>
                <w:szCs w:val="21"/>
              </w:rPr>
              <w:t>项目</w:t>
            </w:r>
          </w:p>
        </w:tc>
        <w:tc>
          <w:tcPr>
            <w:tcW w:w="6315" w:type="dxa"/>
            <w:tcMar>
              <w:top w:w="15" w:type="dxa"/>
              <w:left w:w="15" w:type="dxa"/>
              <w:bottom w:w="0" w:type="dxa"/>
              <w:right w:w="15" w:type="dxa"/>
            </w:tcMar>
          </w:tcPr>
          <w:p w:rsidR="003663E4" w:rsidRDefault="00FD3F7D">
            <w:pPr>
              <w:spacing w:line="276" w:lineRule="auto"/>
              <w:jc w:val="center"/>
              <w:rPr>
                <w:color w:val="000000"/>
                <w:kern w:val="0"/>
                <w:szCs w:val="21"/>
              </w:rPr>
            </w:pPr>
            <w:r>
              <w:rPr>
                <w:rFonts w:hint="eastAsia"/>
                <w:color w:val="000000"/>
                <w:kern w:val="0"/>
                <w:szCs w:val="21"/>
              </w:rPr>
              <w:t>本期末</w:t>
            </w:r>
          </w:p>
          <w:p w:rsidR="003663E4" w:rsidRDefault="00FD3F7D">
            <w:pPr>
              <w:spacing w:line="276" w:lineRule="auto"/>
              <w:jc w:val="center"/>
              <w:rPr>
                <w:color w:val="000000"/>
                <w:kern w:val="0"/>
                <w:szCs w:val="21"/>
              </w:rPr>
            </w:pP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663E4">
        <w:trPr>
          <w:trHeight w:val="315"/>
        </w:trPr>
        <w:tc>
          <w:tcPr>
            <w:tcW w:w="2634" w:type="dxa"/>
            <w:tcMar>
              <w:top w:w="15" w:type="dxa"/>
              <w:left w:w="15" w:type="dxa"/>
              <w:bottom w:w="0" w:type="dxa"/>
              <w:right w:w="15" w:type="dxa"/>
            </w:tcMar>
            <w:vAlign w:val="center"/>
          </w:tcPr>
          <w:p w:rsidR="003663E4" w:rsidRDefault="00FD3F7D">
            <w:pPr>
              <w:spacing w:line="276" w:lineRule="auto"/>
              <w:rPr>
                <w:color w:val="000000"/>
                <w:kern w:val="0"/>
                <w:szCs w:val="21"/>
              </w:rPr>
            </w:pPr>
            <w:r>
              <w:rPr>
                <w:rFonts w:hint="eastAsia"/>
                <w:color w:val="000000"/>
                <w:kern w:val="0"/>
                <w:szCs w:val="21"/>
              </w:rPr>
              <w:t>活期存款</w:t>
            </w:r>
          </w:p>
        </w:tc>
        <w:tc>
          <w:tcPr>
            <w:tcW w:w="6315" w:type="dxa"/>
            <w:tcMar>
              <w:top w:w="15" w:type="dxa"/>
              <w:left w:w="15" w:type="dxa"/>
              <w:bottom w:w="0" w:type="dxa"/>
              <w:right w:w="15" w:type="dxa"/>
            </w:tcMar>
            <w:vAlign w:val="center"/>
          </w:tcPr>
          <w:p w:rsidR="003663E4" w:rsidRDefault="00FD3F7D">
            <w:pPr>
              <w:spacing w:line="276" w:lineRule="auto"/>
              <w:jc w:val="right"/>
              <w:rPr>
                <w:color w:val="000000"/>
                <w:kern w:val="0"/>
                <w:szCs w:val="21"/>
              </w:rPr>
            </w:pPr>
            <w:r>
              <w:rPr>
                <w:color w:val="000000"/>
                <w:kern w:val="0"/>
                <w:szCs w:val="21"/>
              </w:rPr>
              <w:t>1,252,444.69</w:t>
            </w:r>
          </w:p>
        </w:tc>
      </w:tr>
      <w:tr w:rsidR="003663E4">
        <w:trPr>
          <w:trHeight w:val="315"/>
        </w:trPr>
        <w:tc>
          <w:tcPr>
            <w:tcW w:w="2634" w:type="dxa"/>
            <w:tcMar>
              <w:top w:w="15" w:type="dxa"/>
              <w:left w:w="15" w:type="dxa"/>
              <w:bottom w:w="0" w:type="dxa"/>
              <w:right w:w="15" w:type="dxa"/>
            </w:tcMar>
            <w:vAlign w:val="center"/>
          </w:tcPr>
          <w:p w:rsidR="003663E4" w:rsidRDefault="00FD3F7D">
            <w:pPr>
              <w:spacing w:line="276" w:lineRule="auto"/>
              <w:rPr>
                <w:color w:val="000000"/>
                <w:kern w:val="0"/>
                <w:szCs w:val="21"/>
              </w:rPr>
            </w:pPr>
            <w:r>
              <w:rPr>
                <w:rFonts w:hint="eastAsia"/>
                <w:color w:val="000000"/>
                <w:kern w:val="0"/>
                <w:szCs w:val="21"/>
              </w:rPr>
              <w:t>定期存款</w:t>
            </w:r>
          </w:p>
        </w:tc>
        <w:tc>
          <w:tcPr>
            <w:tcW w:w="6315" w:type="dxa"/>
            <w:tcMar>
              <w:top w:w="15" w:type="dxa"/>
              <w:left w:w="15" w:type="dxa"/>
              <w:bottom w:w="0" w:type="dxa"/>
              <w:right w:w="15" w:type="dxa"/>
            </w:tcMar>
            <w:vAlign w:val="center"/>
          </w:tcPr>
          <w:p w:rsidR="003663E4" w:rsidRDefault="00FD3F7D">
            <w:pPr>
              <w:spacing w:line="276" w:lineRule="auto"/>
              <w:jc w:val="right"/>
              <w:rPr>
                <w:color w:val="000000"/>
                <w:kern w:val="0"/>
                <w:szCs w:val="21"/>
              </w:rPr>
            </w:pPr>
            <w:r>
              <w:rPr>
                <w:color w:val="000000"/>
                <w:kern w:val="0"/>
                <w:szCs w:val="21"/>
              </w:rPr>
              <w:t>-</w:t>
            </w:r>
          </w:p>
        </w:tc>
      </w:tr>
      <w:tr w:rsidR="003663E4">
        <w:trPr>
          <w:trHeight w:val="315"/>
        </w:trPr>
        <w:tc>
          <w:tcPr>
            <w:tcW w:w="2634" w:type="dxa"/>
            <w:tcMar>
              <w:top w:w="15" w:type="dxa"/>
              <w:left w:w="15" w:type="dxa"/>
              <w:bottom w:w="0" w:type="dxa"/>
              <w:right w:w="15" w:type="dxa"/>
            </w:tcMar>
          </w:tcPr>
          <w:p w:rsidR="003663E4" w:rsidRDefault="00FD3F7D">
            <w:pPr>
              <w:rPr>
                <w:rFonts w:ascii="宋体" w:hAnsi="宋体"/>
                <w:color w:val="000000" w:themeColor="text1"/>
                <w:kern w:val="0"/>
                <w:szCs w:val="21"/>
              </w:rPr>
            </w:pPr>
            <w:r>
              <w:rPr>
                <w:rFonts w:ascii="宋体" w:hAnsi="宋体" w:hint="eastAsia"/>
                <w:color w:val="000000" w:themeColor="text1"/>
                <w:kern w:val="0"/>
                <w:szCs w:val="21"/>
              </w:rPr>
              <w:t>其中：存款期限</w:t>
            </w:r>
            <w:r>
              <w:rPr>
                <w:rFonts w:ascii="宋体" w:hAnsi="宋体" w:hint="eastAsia"/>
                <w:color w:val="000000" w:themeColor="text1"/>
                <w:kern w:val="0"/>
                <w:szCs w:val="21"/>
              </w:rPr>
              <w:t>1</w:t>
            </w:r>
            <w:r>
              <w:rPr>
                <w:rFonts w:ascii="宋体" w:hAnsi="宋体" w:hint="eastAsia"/>
                <w:color w:val="000000" w:themeColor="text1"/>
                <w:kern w:val="0"/>
                <w:szCs w:val="21"/>
              </w:rPr>
              <w:t>个月以内</w:t>
            </w:r>
          </w:p>
        </w:tc>
        <w:tc>
          <w:tcPr>
            <w:tcW w:w="6315" w:type="dxa"/>
            <w:tcMar>
              <w:top w:w="15" w:type="dxa"/>
              <w:left w:w="15" w:type="dxa"/>
              <w:bottom w:w="0" w:type="dxa"/>
              <w:right w:w="15" w:type="dxa"/>
            </w:tcMar>
            <w:vAlign w:val="bottom"/>
          </w:tcPr>
          <w:p w:rsidR="003663E4" w:rsidRDefault="00FD3F7D">
            <w:pPr>
              <w:spacing w:line="360" w:lineRule="auto"/>
              <w:jc w:val="right"/>
              <w:rPr>
                <w:rFonts w:eastAsiaTheme="minorEastAsia"/>
                <w:color w:val="000000" w:themeColor="text1"/>
                <w:kern w:val="0"/>
                <w:szCs w:val="21"/>
              </w:rPr>
            </w:pPr>
            <w:r>
              <w:rPr>
                <w:rFonts w:eastAsiaTheme="minorEastAsia"/>
                <w:kern w:val="0"/>
                <w:szCs w:val="21"/>
              </w:rPr>
              <w:t>-</w:t>
            </w:r>
          </w:p>
        </w:tc>
      </w:tr>
      <w:tr w:rsidR="003663E4">
        <w:trPr>
          <w:trHeight w:val="315"/>
        </w:trPr>
        <w:tc>
          <w:tcPr>
            <w:tcW w:w="2634" w:type="dxa"/>
            <w:tcMar>
              <w:top w:w="15" w:type="dxa"/>
              <w:left w:w="15" w:type="dxa"/>
              <w:bottom w:w="0" w:type="dxa"/>
              <w:right w:w="15" w:type="dxa"/>
            </w:tcMar>
          </w:tcPr>
          <w:p w:rsidR="003663E4" w:rsidRDefault="00FD3F7D">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w:t>
            </w:r>
            <w:r>
              <w:rPr>
                <w:rFonts w:ascii="宋体" w:hAnsi="宋体" w:hint="eastAsia"/>
                <w:color w:val="000000" w:themeColor="text1"/>
                <w:kern w:val="0"/>
                <w:szCs w:val="21"/>
              </w:rPr>
              <w:t>1-3</w:t>
            </w:r>
            <w:r>
              <w:rPr>
                <w:rFonts w:ascii="宋体" w:hAnsi="宋体" w:hint="eastAsia"/>
                <w:color w:val="000000" w:themeColor="text1"/>
                <w:kern w:val="0"/>
                <w:szCs w:val="21"/>
              </w:rPr>
              <w:t>个月</w:t>
            </w:r>
          </w:p>
        </w:tc>
        <w:tc>
          <w:tcPr>
            <w:tcW w:w="6315" w:type="dxa"/>
            <w:tcMar>
              <w:top w:w="15" w:type="dxa"/>
              <w:left w:w="15" w:type="dxa"/>
              <w:bottom w:w="0" w:type="dxa"/>
              <w:right w:w="15" w:type="dxa"/>
            </w:tcMar>
            <w:vAlign w:val="bottom"/>
          </w:tcPr>
          <w:p w:rsidR="003663E4" w:rsidRDefault="00FD3F7D">
            <w:pPr>
              <w:spacing w:line="360" w:lineRule="auto"/>
              <w:jc w:val="right"/>
              <w:rPr>
                <w:rFonts w:eastAsiaTheme="minorEastAsia"/>
                <w:color w:val="000000" w:themeColor="text1"/>
                <w:kern w:val="0"/>
                <w:szCs w:val="21"/>
              </w:rPr>
            </w:pPr>
            <w:r>
              <w:rPr>
                <w:rFonts w:eastAsiaTheme="minorEastAsia"/>
                <w:color w:val="000000" w:themeColor="text1"/>
                <w:kern w:val="0"/>
                <w:szCs w:val="21"/>
              </w:rPr>
              <w:t>-</w:t>
            </w:r>
          </w:p>
        </w:tc>
      </w:tr>
      <w:tr w:rsidR="003663E4">
        <w:trPr>
          <w:trHeight w:val="315"/>
        </w:trPr>
        <w:tc>
          <w:tcPr>
            <w:tcW w:w="2634" w:type="dxa"/>
            <w:tcMar>
              <w:top w:w="15" w:type="dxa"/>
              <w:left w:w="15" w:type="dxa"/>
              <w:bottom w:w="0" w:type="dxa"/>
              <w:right w:w="15" w:type="dxa"/>
            </w:tcMar>
          </w:tcPr>
          <w:p w:rsidR="003663E4" w:rsidRDefault="00FD3F7D">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w:t>
            </w:r>
            <w:r>
              <w:rPr>
                <w:rFonts w:ascii="宋体" w:hAnsi="宋体" w:hint="eastAsia"/>
                <w:color w:val="000000" w:themeColor="text1"/>
                <w:kern w:val="0"/>
                <w:szCs w:val="21"/>
              </w:rPr>
              <w:t>3</w:t>
            </w:r>
            <w:r>
              <w:rPr>
                <w:rFonts w:ascii="宋体" w:hAnsi="宋体" w:hint="eastAsia"/>
                <w:color w:val="000000" w:themeColor="text1"/>
                <w:kern w:val="0"/>
                <w:szCs w:val="21"/>
              </w:rPr>
              <w:t>个月以上</w:t>
            </w:r>
          </w:p>
        </w:tc>
        <w:tc>
          <w:tcPr>
            <w:tcW w:w="6315" w:type="dxa"/>
            <w:tcMar>
              <w:top w:w="15" w:type="dxa"/>
              <w:left w:w="15" w:type="dxa"/>
              <w:bottom w:w="0" w:type="dxa"/>
              <w:right w:w="15" w:type="dxa"/>
            </w:tcMar>
            <w:vAlign w:val="bottom"/>
          </w:tcPr>
          <w:p w:rsidR="003663E4" w:rsidRDefault="00FD3F7D">
            <w:pPr>
              <w:spacing w:line="360" w:lineRule="auto"/>
              <w:jc w:val="right"/>
              <w:rPr>
                <w:rFonts w:eastAsiaTheme="minorEastAsia"/>
                <w:color w:val="000000" w:themeColor="text1"/>
                <w:kern w:val="0"/>
                <w:szCs w:val="21"/>
                <w:highlight w:val="red"/>
              </w:rPr>
            </w:pPr>
            <w:r>
              <w:rPr>
                <w:rFonts w:eastAsiaTheme="minorEastAsia"/>
                <w:color w:val="000000" w:themeColor="text1"/>
                <w:kern w:val="0"/>
                <w:szCs w:val="21"/>
              </w:rPr>
              <w:t>-</w:t>
            </w:r>
          </w:p>
        </w:tc>
      </w:tr>
      <w:tr w:rsidR="003663E4">
        <w:trPr>
          <w:trHeight w:val="315"/>
        </w:trPr>
        <w:tc>
          <w:tcPr>
            <w:tcW w:w="2634" w:type="dxa"/>
            <w:tcMar>
              <w:top w:w="15" w:type="dxa"/>
              <w:left w:w="15" w:type="dxa"/>
              <w:bottom w:w="0" w:type="dxa"/>
              <w:right w:w="15" w:type="dxa"/>
            </w:tcMar>
            <w:vAlign w:val="center"/>
          </w:tcPr>
          <w:p w:rsidR="003663E4" w:rsidRDefault="00FD3F7D">
            <w:pPr>
              <w:spacing w:line="276" w:lineRule="auto"/>
              <w:rPr>
                <w:color w:val="000000"/>
                <w:kern w:val="0"/>
                <w:szCs w:val="21"/>
              </w:rPr>
            </w:pPr>
            <w:r>
              <w:rPr>
                <w:rFonts w:hint="eastAsia"/>
                <w:color w:val="000000"/>
                <w:kern w:val="0"/>
                <w:szCs w:val="21"/>
              </w:rPr>
              <w:t>其他存款</w:t>
            </w:r>
          </w:p>
        </w:tc>
        <w:tc>
          <w:tcPr>
            <w:tcW w:w="6315" w:type="dxa"/>
            <w:tcMar>
              <w:top w:w="15" w:type="dxa"/>
              <w:left w:w="15" w:type="dxa"/>
              <w:bottom w:w="0" w:type="dxa"/>
              <w:right w:w="15" w:type="dxa"/>
            </w:tcMar>
            <w:vAlign w:val="center"/>
          </w:tcPr>
          <w:p w:rsidR="003663E4" w:rsidRDefault="00FD3F7D">
            <w:pPr>
              <w:spacing w:line="276" w:lineRule="auto"/>
              <w:jc w:val="right"/>
              <w:rPr>
                <w:color w:val="000000"/>
                <w:kern w:val="0"/>
                <w:szCs w:val="21"/>
              </w:rPr>
            </w:pPr>
            <w:r>
              <w:rPr>
                <w:color w:val="000000"/>
                <w:kern w:val="0"/>
                <w:szCs w:val="21"/>
              </w:rPr>
              <w:t>-</w:t>
            </w:r>
          </w:p>
        </w:tc>
      </w:tr>
      <w:tr w:rsidR="003663E4">
        <w:trPr>
          <w:trHeight w:val="315"/>
        </w:trPr>
        <w:tc>
          <w:tcPr>
            <w:tcW w:w="2634" w:type="dxa"/>
            <w:tcMar>
              <w:top w:w="15" w:type="dxa"/>
              <w:left w:w="15" w:type="dxa"/>
              <w:bottom w:w="0" w:type="dxa"/>
              <w:right w:w="15" w:type="dxa"/>
            </w:tcMar>
            <w:vAlign w:val="center"/>
          </w:tcPr>
          <w:p w:rsidR="003663E4" w:rsidRDefault="00FD3F7D">
            <w:pPr>
              <w:spacing w:line="276" w:lineRule="auto"/>
              <w:rPr>
                <w:color w:val="000000"/>
                <w:kern w:val="0"/>
                <w:szCs w:val="21"/>
              </w:rPr>
            </w:pPr>
            <w:r>
              <w:rPr>
                <w:rFonts w:hint="eastAsia"/>
                <w:color w:val="000000"/>
                <w:kern w:val="0"/>
                <w:szCs w:val="21"/>
              </w:rPr>
              <w:t>合计</w:t>
            </w:r>
          </w:p>
        </w:tc>
        <w:tc>
          <w:tcPr>
            <w:tcW w:w="6315" w:type="dxa"/>
            <w:tcMar>
              <w:top w:w="15" w:type="dxa"/>
              <w:left w:w="15" w:type="dxa"/>
              <w:bottom w:w="0" w:type="dxa"/>
              <w:right w:w="15" w:type="dxa"/>
            </w:tcMar>
            <w:vAlign w:val="center"/>
          </w:tcPr>
          <w:p w:rsidR="003663E4" w:rsidRDefault="00FD3F7D">
            <w:pPr>
              <w:spacing w:line="276" w:lineRule="auto"/>
              <w:jc w:val="right"/>
              <w:rPr>
                <w:color w:val="000000"/>
                <w:kern w:val="0"/>
                <w:szCs w:val="21"/>
              </w:rPr>
            </w:pPr>
            <w:r>
              <w:rPr>
                <w:color w:val="000000"/>
                <w:kern w:val="0"/>
                <w:szCs w:val="21"/>
              </w:rPr>
              <w:t>1,252,444.69</w:t>
            </w:r>
          </w:p>
        </w:tc>
      </w:tr>
    </w:tbl>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7.1.4.7.2 </w:t>
      </w:r>
      <w:r>
        <w:rPr>
          <w:b/>
          <w:bCs/>
          <w:color w:val="000000"/>
          <w:kern w:val="0"/>
          <w:szCs w:val="21"/>
        </w:rPr>
        <w:t>交易性金融资产</w:t>
      </w:r>
    </w:p>
    <w:p w:rsidR="003663E4" w:rsidRDefault="00FD3F7D">
      <w:pPr>
        <w:autoSpaceDE w:val="0"/>
        <w:autoSpaceDN w:val="0"/>
        <w:adjustRightInd w:val="0"/>
        <w:spacing w:before="29" w:line="360" w:lineRule="auto"/>
        <w:ind w:left="15"/>
        <w:jc w:val="right"/>
        <w:rPr>
          <w:bCs/>
          <w:color w:val="000000"/>
          <w:szCs w:val="21"/>
        </w:rPr>
      </w:pPr>
      <w:r>
        <w:rPr>
          <w:bCs/>
          <w:color w:val="000000"/>
          <w:szCs w:val="21"/>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3663E4">
        <w:trPr>
          <w:trHeight w:val="255"/>
        </w:trPr>
        <w:tc>
          <w:tcPr>
            <w:tcW w:w="2268" w:type="dxa"/>
            <w:gridSpan w:val="2"/>
            <w:vMerge w:val="restart"/>
            <w:vAlign w:val="center"/>
          </w:tcPr>
          <w:p w:rsidR="003663E4" w:rsidRDefault="00FD3F7D">
            <w:pPr>
              <w:spacing w:line="276" w:lineRule="auto"/>
              <w:jc w:val="center"/>
              <w:rPr>
                <w:color w:val="000000"/>
                <w:kern w:val="0"/>
                <w:szCs w:val="21"/>
              </w:rPr>
            </w:pPr>
            <w:r>
              <w:rPr>
                <w:color w:val="000000"/>
                <w:kern w:val="0"/>
                <w:szCs w:val="21"/>
              </w:rPr>
              <w:t>项目</w:t>
            </w:r>
          </w:p>
        </w:tc>
        <w:tc>
          <w:tcPr>
            <w:tcW w:w="7018" w:type="dxa"/>
            <w:gridSpan w:val="3"/>
            <w:vAlign w:val="center"/>
          </w:tcPr>
          <w:p w:rsidR="003663E4" w:rsidRDefault="00FD3F7D">
            <w:pPr>
              <w:spacing w:line="276" w:lineRule="auto"/>
              <w:jc w:val="center"/>
              <w:rPr>
                <w:color w:val="000000"/>
                <w:kern w:val="0"/>
                <w:szCs w:val="21"/>
              </w:rPr>
            </w:pPr>
            <w:r>
              <w:rPr>
                <w:color w:val="000000"/>
                <w:kern w:val="0"/>
                <w:szCs w:val="21"/>
              </w:rPr>
              <w:t>本期末</w:t>
            </w:r>
          </w:p>
          <w:p w:rsidR="003663E4" w:rsidRDefault="00FD3F7D">
            <w:pPr>
              <w:spacing w:line="276" w:lineRule="auto"/>
              <w:jc w:val="center"/>
              <w:rPr>
                <w:color w:val="000000"/>
                <w:kern w:val="0"/>
                <w:szCs w:val="21"/>
              </w:rPr>
            </w:pPr>
            <w:r>
              <w:rPr>
                <w:color w:val="000000"/>
                <w:kern w:val="0"/>
                <w:szCs w:val="21"/>
              </w:rPr>
              <w:t>2020</w:t>
            </w:r>
            <w:r>
              <w:rPr>
                <w:color w:val="000000"/>
                <w:kern w:val="0"/>
                <w:szCs w:val="21"/>
              </w:rPr>
              <w:t>年</w:t>
            </w:r>
            <w:r>
              <w:rPr>
                <w:color w:val="000000"/>
                <w:kern w:val="0"/>
                <w:szCs w:val="21"/>
              </w:rPr>
              <w:t>12</w:t>
            </w:r>
            <w:r>
              <w:rPr>
                <w:color w:val="000000"/>
                <w:kern w:val="0"/>
                <w:szCs w:val="21"/>
              </w:rPr>
              <w:t>月</w:t>
            </w:r>
            <w:r>
              <w:rPr>
                <w:color w:val="000000"/>
                <w:kern w:val="0"/>
                <w:szCs w:val="21"/>
              </w:rPr>
              <w:t>31</w:t>
            </w:r>
            <w:r>
              <w:rPr>
                <w:color w:val="000000"/>
                <w:kern w:val="0"/>
                <w:szCs w:val="21"/>
              </w:rPr>
              <w:t>日</w:t>
            </w:r>
          </w:p>
        </w:tc>
      </w:tr>
      <w:tr w:rsidR="003663E4">
        <w:trPr>
          <w:trHeight w:val="270"/>
        </w:trPr>
        <w:tc>
          <w:tcPr>
            <w:tcW w:w="2268" w:type="dxa"/>
            <w:gridSpan w:val="2"/>
            <w:vMerge/>
            <w:vAlign w:val="center"/>
          </w:tcPr>
          <w:p w:rsidR="003663E4" w:rsidRDefault="003663E4">
            <w:pPr>
              <w:widowControl/>
              <w:spacing w:line="276" w:lineRule="auto"/>
              <w:jc w:val="left"/>
              <w:rPr>
                <w:color w:val="000000"/>
                <w:kern w:val="0"/>
                <w:szCs w:val="21"/>
              </w:rPr>
            </w:pPr>
          </w:p>
        </w:tc>
        <w:tc>
          <w:tcPr>
            <w:tcW w:w="2339" w:type="dxa"/>
            <w:vAlign w:val="center"/>
          </w:tcPr>
          <w:p w:rsidR="003663E4" w:rsidRDefault="00FD3F7D">
            <w:pPr>
              <w:spacing w:line="276" w:lineRule="auto"/>
              <w:jc w:val="center"/>
              <w:rPr>
                <w:color w:val="000000"/>
                <w:kern w:val="0"/>
                <w:szCs w:val="21"/>
              </w:rPr>
            </w:pPr>
            <w:r>
              <w:rPr>
                <w:color w:val="000000"/>
                <w:kern w:val="0"/>
                <w:szCs w:val="21"/>
              </w:rPr>
              <w:t>成本</w:t>
            </w:r>
          </w:p>
        </w:tc>
        <w:tc>
          <w:tcPr>
            <w:tcW w:w="2339" w:type="dxa"/>
            <w:vAlign w:val="center"/>
          </w:tcPr>
          <w:p w:rsidR="003663E4" w:rsidRDefault="00FD3F7D">
            <w:pPr>
              <w:spacing w:line="276" w:lineRule="auto"/>
              <w:jc w:val="center"/>
              <w:rPr>
                <w:color w:val="000000"/>
                <w:kern w:val="0"/>
                <w:szCs w:val="21"/>
              </w:rPr>
            </w:pPr>
            <w:r>
              <w:rPr>
                <w:color w:val="000000"/>
                <w:kern w:val="0"/>
                <w:szCs w:val="21"/>
              </w:rPr>
              <w:t>公允价值</w:t>
            </w:r>
          </w:p>
        </w:tc>
        <w:tc>
          <w:tcPr>
            <w:tcW w:w="2340" w:type="dxa"/>
            <w:vAlign w:val="center"/>
          </w:tcPr>
          <w:p w:rsidR="003663E4" w:rsidRDefault="00FD3F7D">
            <w:pPr>
              <w:spacing w:line="276" w:lineRule="auto"/>
              <w:jc w:val="center"/>
              <w:rPr>
                <w:color w:val="000000"/>
                <w:kern w:val="0"/>
                <w:szCs w:val="21"/>
              </w:rPr>
            </w:pPr>
            <w:r>
              <w:rPr>
                <w:color w:val="000000"/>
                <w:kern w:val="0"/>
                <w:szCs w:val="21"/>
              </w:rPr>
              <w:t>公允价值变动</w:t>
            </w:r>
          </w:p>
        </w:tc>
      </w:tr>
      <w:tr w:rsidR="003663E4">
        <w:trPr>
          <w:trHeight w:val="270"/>
        </w:trPr>
        <w:tc>
          <w:tcPr>
            <w:tcW w:w="2268" w:type="dxa"/>
            <w:gridSpan w:val="2"/>
            <w:vAlign w:val="center"/>
          </w:tcPr>
          <w:p w:rsidR="003663E4" w:rsidRDefault="00FD3F7D">
            <w:pPr>
              <w:widowControl/>
              <w:spacing w:line="276" w:lineRule="auto"/>
              <w:rPr>
                <w:color w:val="000000"/>
                <w:kern w:val="0"/>
                <w:szCs w:val="21"/>
              </w:rPr>
            </w:pPr>
            <w:r>
              <w:rPr>
                <w:color w:val="000000"/>
                <w:kern w:val="0"/>
                <w:szCs w:val="21"/>
              </w:rPr>
              <w:t>股票</w:t>
            </w:r>
          </w:p>
        </w:tc>
        <w:tc>
          <w:tcPr>
            <w:tcW w:w="2339" w:type="dxa"/>
            <w:vAlign w:val="center"/>
          </w:tcPr>
          <w:p w:rsidR="003663E4" w:rsidRDefault="00FD3F7D">
            <w:pPr>
              <w:spacing w:line="276" w:lineRule="auto"/>
              <w:jc w:val="right"/>
              <w:rPr>
                <w:color w:val="000000"/>
                <w:kern w:val="0"/>
                <w:szCs w:val="21"/>
              </w:rPr>
            </w:pPr>
            <w:r>
              <w:rPr>
                <w:color w:val="000000"/>
                <w:kern w:val="0"/>
                <w:szCs w:val="21"/>
              </w:rPr>
              <w:t>-</w:t>
            </w:r>
          </w:p>
        </w:tc>
        <w:tc>
          <w:tcPr>
            <w:tcW w:w="2339" w:type="dxa"/>
            <w:vAlign w:val="center"/>
          </w:tcPr>
          <w:p w:rsidR="003663E4" w:rsidRDefault="00FD3F7D">
            <w:pPr>
              <w:spacing w:line="276" w:lineRule="auto"/>
              <w:jc w:val="right"/>
              <w:rPr>
                <w:color w:val="000000"/>
                <w:kern w:val="0"/>
                <w:szCs w:val="21"/>
              </w:rPr>
            </w:pPr>
            <w:r>
              <w:rPr>
                <w:color w:val="000000"/>
                <w:kern w:val="0"/>
                <w:szCs w:val="21"/>
              </w:rPr>
              <w:t>-</w:t>
            </w:r>
          </w:p>
        </w:tc>
        <w:tc>
          <w:tcPr>
            <w:tcW w:w="2340" w:type="dxa"/>
            <w:vAlign w:val="center"/>
          </w:tcPr>
          <w:p w:rsidR="003663E4" w:rsidRDefault="00FD3F7D">
            <w:pPr>
              <w:spacing w:line="276" w:lineRule="auto"/>
              <w:jc w:val="right"/>
              <w:rPr>
                <w:color w:val="000000"/>
                <w:kern w:val="0"/>
                <w:szCs w:val="21"/>
              </w:rPr>
            </w:pPr>
            <w:r>
              <w:rPr>
                <w:color w:val="000000"/>
                <w:kern w:val="0"/>
                <w:szCs w:val="21"/>
              </w:rPr>
              <w:t>-</w:t>
            </w:r>
          </w:p>
        </w:tc>
      </w:tr>
      <w:tr w:rsidR="003663E4">
        <w:trPr>
          <w:trHeight w:val="270"/>
        </w:trPr>
        <w:tc>
          <w:tcPr>
            <w:tcW w:w="2268" w:type="dxa"/>
            <w:gridSpan w:val="2"/>
            <w:vAlign w:val="center"/>
          </w:tcPr>
          <w:p w:rsidR="003663E4" w:rsidRDefault="00FD3F7D">
            <w:pPr>
              <w:widowControl/>
              <w:spacing w:line="276" w:lineRule="auto"/>
              <w:rPr>
                <w:color w:val="000000"/>
                <w:kern w:val="0"/>
                <w:szCs w:val="21"/>
              </w:rPr>
            </w:pPr>
            <w:r>
              <w:rPr>
                <w:color w:val="000000"/>
                <w:kern w:val="0"/>
                <w:szCs w:val="21"/>
              </w:rPr>
              <w:t>贵金属投资</w:t>
            </w:r>
            <w:r>
              <w:rPr>
                <w:color w:val="000000"/>
                <w:kern w:val="0"/>
                <w:szCs w:val="21"/>
              </w:rPr>
              <w:t>-</w:t>
            </w:r>
            <w:r>
              <w:rPr>
                <w:color w:val="000000"/>
                <w:kern w:val="0"/>
                <w:szCs w:val="21"/>
              </w:rPr>
              <w:t>金交所黄金合约</w:t>
            </w:r>
          </w:p>
        </w:tc>
        <w:tc>
          <w:tcPr>
            <w:tcW w:w="2339" w:type="dxa"/>
            <w:vAlign w:val="center"/>
          </w:tcPr>
          <w:p w:rsidR="003663E4" w:rsidRDefault="00FD3F7D">
            <w:pPr>
              <w:spacing w:line="276" w:lineRule="auto"/>
              <w:jc w:val="right"/>
              <w:rPr>
                <w:color w:val="000000"/>
                <w:kern w:val="0"/>
                <w:szCs w:val="21"/>
              </w:rPr>
            </w:pPr>
            <w:r>
              <w:rPr>
                <w:color w:val="000000"/>
                <w:kern w:val="0"/>
                <w:szCs w:val="21"/>
              </w:rPr>
              <w:t>-</w:t>
            </w:r>
          </w:p>
        </w:tc>
        <w:tc>
          <w:tcPr>
            <w:tcW w:w="2339" w:type="dxa"/>
            <w:vAlign w:val="center"/>
          </w:tcPr>
          <w:p w:rsidR="003663E4" w:rsidRDefault="00FD3F7D">
            <w:pPr>
              <w:spacing w:line="276" w:lineRule="auto"/>
              <w:jc w:val="right"/>
              <w:rPr>
                <w:color w:val="000000"/>
                <w:kern w:val="0"/>
                <w:szCs w:val="21"/>
              </w:rPr>
            </w:pPr>
            <w:r>
              <w:rPr>
                <w:color w:val="000000"/>
                <w:kern w:val="0"/>
                <w:szCs w:val="21"/>
              </w:rPr>
              <w:t>-</w:t>
            </w:r>
          </w:p>
        </w:tc>
        <w:tc>
          <w:tcPr>
            <w:tcW w:w="2340" w:type="dxa"/>
            <w:vAlign w:val="center"/>
          </w:tcPr>
          <w:p w:rsidR="003663E4" w:rsidRDefault="00FD3F7D">
            <w:pPr>
              <w:spacing w:line="276" w:lineRule="auto"/>
              <w:jc w:val="right"/>
              <w:rPr>
                <w:color w:val="000000"/>
                <w:kern w:val="0"/>
                <w:szCs w:val="21"/>
              </w:rPr>
            </w:pPr>
            <w:r>
              <w:rPr>
                <w:color w:val="000000"/>
                <w:kern w:val="0"/>
                <w:szCs w:val="21"/>
              </w:rPr>
              <w:t>-</w:t>
            </w:r>
          </w:p>
        </w:tc>
      </w:tr>
      <w:tr w:rsidR="003663E4">
        <w:trPr>
          <w:trHeight w:val="285"/>
        </w:trPr>
        <w:tc>
          <w:tcPr>
            <w:tcW w:w="828" w:type="dxa"/>
            <w:vMerge w:val="restart"/>
            <w:vAlign w:val="center"/>
          </w:tcPr>
          <w:p w:rsidR="003663E4" w:rsidRDefault="00FD3F7D">
            <w:pPr>
              <w:spacing w:line="276" w:lineRule="auto"/>
              <w:jc w:val="center"/>
              <w:rPr>
                <w:color w:val="000000"/>
                <w:kern w:val="0"/>
                <w:szCs w:val="21"/>
              </w:rPr>
            </w:pPr>
            <w:r>
              <w:rPr>
                <w:color w:val="000000"/>
                <w:kern w:val="0"/>
                <w:szCs w:val="21"/>
              </w:rPr>
              <w:t>债券</w:t>
            </w:r>
          </w:p>
        </w:tc>
        <w:tc>
          <w:tcPr>
            <w:tcW w:w="1440" w:type="dxa"/>
            <w:vAlign w:val="center"/>
          </w:tcPr>
          <w:p w:rsidR="003663E4" w:rsidRDefault="00FD3F7D">
            <w:pPr>
              <w:spacing w:line="276" w:lineRule="auto"/>
              <w:jc w:val="left"/>
              <w:rPr>
                <w:color w:val="000000"/>
                <w:kern w:val="0"/>
                <w:szCs w:val="21"/>
              </w:rPr>
            </w:pPr>
            <w:r>
              <w:rPr>
                <w:color w:val="000000"/>
                <w:kern w:val="0"/>
                <w:szCs w:val="21"/>
              </w:rPr>
              <w:t>交易所市场</w:t>
            </w:r>
          </w:p>
        </w:tc>
        <w:tc>
          <w:tcPr>
            <w:tcW w:w="2339" w:type="dxa"/>
            <w:vAlign w:val="center"/>
          </w:tcPr>
          <w:p w:rsidR="003663E4" w:rsidRDefault="00FD3F7D">
            <w:pPr>
              <w:spacing w:line="276" w:lineRule="auto"/>
              <w:jc w:val="right"/>
              <w:rPr>
                <w:color w:val="000000"/>
                <w:kern w:val="0"/>
                <w:szCs w:val="21"/>
              </w:rPr>
            </w:pPr>
            <w:r>
              <w:rPr>
                <w:color w:val="000000"/>
                <w:kern w:val="0"/>
                <w:szCs w:val="21"/>
              </w:rPr>
              <w:t>-</w:t>
            </w:r>
          </w:p>
        </w:tc>
        <w:tc>
          <w:tcPr>
            <w:tcW w:w="2339" w:type="dxa"/>
            <w:vAlign w:val="center"/>
          </w:tcPr>
          <w:p w:rsidR="003663E4" w:rsidRDefault="00FD3F7D">
            <w:pPr>
              <w:spacing w:line="276" w:lineRule="auto"/>
              <w:jc w:val="right"/>
              <w:rPr>
                <w:color w:val="000000"/>
                <w:kern w:val="0"/>
                <w:szCs w:val="21"/>
              </w:rPr>
            </w:pPr>
            <w:r>
              <w:rPr>
                <w:color w:val="000000"/>
                <w:kern w:val="0"/>
                <w:szCs w:val="21"/>
              </w:rPr>
              <w:t>-</w:t>
            </w:r>
          </w:p>
        </w:tc>
        <w:tc>
          <w:tcPr>
            <w:tcW w:w="2340" w:type="dxa"/>
            <w:vAlign w:val="center"/>
          </w:tcPr>
          <w:p w:rsidR="003663E4" w:rsidRDefault="00FD3F7D">
            <w:pPr>
              <w:spacing w:line="276" w:lineRule="auto"/>
              <w:jc w:val="right"/>
              <w:rPr>
                <w:color w:val="000000"/>
                <w:kern w:val="0"/>
                <w:szCs w:val="21"/>
              </w:rPr>
            </w:pPr>
            <w:r>
              <w:rPr>
                <w:color w:val="000000"/>
                <w:kern w:val="0"/>
                <w:szCs w:val="21"/>
              </w:rPr>
              <w:t>-</w:t>
            </w:r>
          </w:p>
        </w:tc>
      </w:tr>
      <w:tr w:rsidR="003663E4">
        <w:trPr>
          <w:trHeight w:val="103"/>
        </w:trPr>
        <w:tc>
          <w:tcPr>
            <w:tcW w:w="828" w:type="dxa"/>
            <w:vMerge/>
            <w:vAlign w:val="center"/>
          </w:tcPr>
          <w:p w:rsidR="003663E4" w:rsidRDefault="003663E4">
            <w:pPr>
              <w:widowControl/>
              <w:spacing w:line="276" w:lineRule="auto"/>
              <w:jc w:val="left"/>
              <w:rPr>
                <w:color w:val="000000"/>
                <w:kern w:val="0"/>
                <w:szCs w:val="21"/>
              </w:rPr>
            </w:pPr>
          </w:p>
        </w:tc>
        <w:tc>
          <w:tcPr>
            <w:tcW w:w="1440" w:type="dxa"/>
            <w:vAlign w:val="center"/>
          </w:tcPr>
          <w:p w:rsidR="003663E4" w:rsidRDefault="00FD3F7D">
            <w:pPr>
              <w:widowControl/>
              <w:spacing w:line="276" w:lineRule="auto"/>
              <w:jc w:val="left"/>
              <w:rPr>
                <w:color w:val="000000"/>
                <w:kern w:val="0"/>
                <w:szCs w:val="21"/>
              </w:rPr>
            </w:pPr>
            <w:r>
              <w:rPr>
                <w:color w:val="000000"/>
                <w:kern w:val="0"/>
                <w:szCs w:val="21"/>
              </w:rPr>
              <w:t>银行间市场</w:t>
            </w:r>
          </w:p>
        </w:tc>
        <w:tc>
          <w:tcPr>
            <w:tcW w:w="2339" w:type="dxa"/>
            <w:vAlign w:val="center"/>
          </w:tcPr>
          <w:p w:rsidR="003663E4" w:rsidRDefault="00FD3F7D">
            <w:pPr>
              <w:spacing w:line="276" w:lineRule="auto"/>
              <w:jc w:val="right"/>
              <w:rPr>
                <w:color w:val="000000"/>
                <w:kern w:val="0"/>
                <w:szCs w:val="21"/>
              </w:rPr>
            </w:pPr>
            <w:r>
              <w:rPr>
                <w:color w:val="000000"/>
                <w:kern w:val="0"/>
                <w:szCs w:val="21"/>
              </w:rPr>
              <w:t>743,132,296.59</w:t>
            </w:r>
          </w:p>
        </w:tc>
        <w:tc>
          <w:tcPr>
            <w:tcW w:w="2339" w:type="dxa"/>
            <w:vAlign w:val="center"/>
          </w:tcPr>
          <w:p w:rsidR="003663E4" w:rsidRDefault="00FD3F7D">
            <w:pPr>
              <w:spacing w:line="276" w:lineRule="auto"/>
              <w:jc w:val="right"/>
              <w:rPr>
                <w:color w:val="000000"/>
                <w:kern w:val="0"/>
                <w:szCs w:val="21"/>
              </w:rPr>
            </w:pPr>
            <w:r>
              <w:rPr>
                <w:color w:val="000000"/>
                <w:kern w:val="0"/>
                <w:szCs w:val="21"/>
              </w:rPr>
              <w:t>743,009,000.00</w:t>
            </w:r>
          </w:p>
        </w:tc>
        <w:tc>
          <w:tcPr>
            <w:tcW w:w="2340" w:type="dxa"/>
            <w:vAlign w:val="center"/>
          </w:tcPr>
          <w:p w:rsidR="003663E4" w:rsidRDefault="00FD3F7D">
            <w:pPr>
              <w:spacing w:line="276" w:lineRule="auto"/>
              <w:jc w:val="right"/>
              <w:rPr>
                <w:color w:val="000000"/>
                <w:kern w:val="0"/>
                <w:szCs w:val="21"/>
              </w:rPr>
            </w:pPr>
            <w:r>
              <w:rPr>
                <w:color w:val="000000"/>
                <w:kern w:val="0"/>
                <w:szCs w:val="21"/>
              </w:rPr>
              <w:t>-123,296.59</w:t>
            </w:r>
          </w:p>
        </w:tc>
      </w:tr>
      <w:tr w:rsidR="003663E4">
        <w:trPr>
          <w:trHeight w:val="103"/>
        </w:trPr>
        <w:tc>
          <w:tcPr>
            <w:tcW w:w="828" w:type="dxa"/>
            <w:vMerge/>
            <w:vAlign w:val="center"/>
          </w:tcPr>
          <w:p w:rsidR="003663E4" w:rsidRDefault="003663E4">
            <w:pPr>
              <w:widowControl/>
              <w:spacing w:line="276" w:lineRule="auto"/>
              <w:jc w:val="left"/>
              <w:rPr>
                <w:color w:val="000000"/>
                <w:kern w:val="0"/>
                <w:szCs w:val="21"/>
              </w:rPr>
            </w:pPr>
          </w:p>
        </w:tc>
        <w:tc>
          <w:tcPr>
            <w:tcW w:w="1440" w:type="dxa"/>
            <w:vAlign w:val="center"/>
          </w:tcPr>
          <w:p w:rsidR="003663E4" w:rsidRDefault="00FD3F7D">
            <w:pPr>
              <w:widowControl/>
              <w:spacing w:line="276" w:lineRule="auto"/>
              <w:rPr>
                <w:color w:val="000000"/>
                <w:kern w:val="0"/>
                <w:szCs w:val="21"/>
              </w:rPr>
            </w:pPr>
            <w:r>
              <w:rPr>
                <w:color w:val="000000"/>
                <w:kern w:val="0"/>
                <w:szCs w:val="21"/>
              </w:rPr>
              <w:t>合计</w:t>
            </w:r>
          </w:p>
        </w:tc>
        <w:tc>
          <w:tcPr>
            <w:tcW w:w="2339" w:type="dxa"/>
            <w:vAlign w:val="center"/>
          </w:tcPr>
          <w:p w:rsidR="003663E4" w:rsidRDefault="00FD3F7D">
            <w:pPr>
              <w:spacing w:line="276" w:lineRule="auto"/>
              <w:jc w:val="right"/>
              <w:rPr>
                <w:color w:val="000000"/>
                <w:szCs w:val="21"/>
              </w:rPr>
            </w:pPr>
            <w:r>
              <w:rPr>
                <w:color w:val="000000"/>
                <w:szCs w:val="21"/>
              </w:rPr>
              <w:t>743,132,296.59</w:t>
            </w:r>
          </w:p>
        </w:tc>
        <w:tc>
          <w:tcPr>
            <w:tcW w:w="2339" w:type="dxa"/>
            <w:vAlign w:val="center"/>
          </w:tcPr>
          <w:p w:rsidR="003663E4" w:rsidRDefault="00FD3F7D">
            <w:pPr>
              <w:spacing w:line="276" w:lineRule="auto"/>
              <w:jc w:val="right"/>
              <w:rPr>
                <w:color w:val="000000"/>
                <w:szCs w:val="21"/>
              </w:rPr>
            </w:pPr>
            <w:r>
              <w:rPr>
                <w:color w:val="000000"/>
                <w:szCs w:val="21"/>
              </w:rPr>
              <w:t>743,009,000.00</w:t>
            </w:r>
          </w:p>
        </w:tc>
        <w:tc>
          <w:tcPr>
            <w:tcW w:w="2340" w:type="dxa"/>
            <w:vAlign w:val="center"/>
          </w:tcPr>
          <w:p w:rsidR="003663E4" w:rsidRDefault="00FD3F7D">
            <w:pPr>
              <w:spacing w:line="276" w:lineRule="auto"/>
              <w:jc w:val="right"/>
              <w:rPr>
                <w:color w:val="000000"/>
                <w:szCs w:val="21"/>
              </w:rPr>
            </w:pPr>
            <w:r>
              <w:rPr>
                <w:color w:val="000000"/>
                <w:szCs w:val="21"/>
              </w:rPr>
              <w:t>-123,296.59</w:t>
            </w:r>
          </w:p>
        </w:tc>
      </w:tr>
      <w:tr w:rsidR="003663E4">
        <w:trPr>
          <w:trHeight w:val="270"/>
        </w:trPr>
        <w:tc>
          <w:tcPr>
            <w:tcW w:w="2268" w:type="dxa"/>
            <w:gridSpan w:val="2"/>
            <w:vAlign w:val="center"/>
          </w:tcPr>
          <w:p w:rsidR="003663E4" w:rsidRDefault="00FD3F7D">
            <w:pPr>
              <w:widowControl/>
              <w:spacing w:line="276" w:lineRule="auto"/>
              <w:rPr>
                <w:color w:val="000000"/>
                <w:kern w:val="0"/>
                <w:szCs w:val="21"/>
              </w:rPr>
            </w:pPr>
            <w:r>
              <w:rPr>
                <w:color w:val="000000"/>
                <w:kern w:val="0"/>
                <w:szCs w:val="21"/>
              </w:rPr>
              <w:t>资产支持证券</w:t>
            </w:r>
          </w:p>
        </w:tc>
        <w:tc>
          <w:tcPr>
            <w:tcW w:w="2339" w:type="dxa"/>
            <w:vAlign w:val="center"/>
          </w:tcPr>
          <w:p w:rsidR="003663E4" w:rsidRDefault="00FD3F7D">
            <w:pPr>
              <w:spacing w:line="276" w:lineRule="auto"/>
              <w:jc w:val="right"/>
              <w:rPr>
                <w:color w:val="000000"/>
                <w:szCs w:val="21"/>
              </w:rPr>
            </w:pPr>
            <w:r>
              <w:rPr>
                <w:color w:val="000000"/>
                <w:szCs w:val="21"/>
              </w:rPr>
              <w:t>-</w:t>
            </w:r>
          </w:p>
        </w:tc>
        <w:tc>
          <w:tcPr>
            <w:tcW w:w="2339" w:type="dxa"/>
            <w:vAlign w:val="center"/>
          </w:tcPr>
          <w:p w:rsidR="003663E4" w:rsidRDefault="00FD3F7D">
            <w:pPr>
              <w:spacing w:line="276" w:lineRule="auto"/>
              <w:jc w:val="right"/>
              <w:rPr>
                <w:color w:val="000000"/>
                <w:szCs w:val="21"/>
              </w:rPr>
            </w:pPr>
            <w:r>
              <w:rPr>
                <w:color w:val="000000"/>
                <w:szCs w:val="21"/>
              </w:rPr>
              <w:t>-</w:t>
            </w:r>
          </w:p>
        </w:tc>
        <w:tc>
          <w:tcPr>
            <w:tcW w:w="2340" w:type="dxa"/>
            <w:vAlign w:val="center"/>
          </w:tcPr>
          <w:p w:rsidR="003663E4" w:rsidRDefault="00FD3F7D">
            <w:pPr>
              <w:spacing w:line="276" w:lineRule="auto"/>
              <w:jc w:val="right"/>
              <w:rPr>
                <w:color w:val="000000"/>
                <w:szCs w:val="21"/>
              </w:rPr>
            </w:pPr>
            <w:r>
              <w:rPr>
                <w:color w:val="000000"/>
                <w:szCs w:val="21"/>
              </w:rPr>
              <w:t>-</w:t>
            </w:r>
          </w:p>
        </w:tc>
      </w:tr>
      <w:tr w:rsidR="003663E4">
        <w:trPr>
          <w:trHeight w:val="270"/>
        </w:trPr>
        <w:tc>
          <w:tcPr>
            <w:tcW w:w="2268" w:type="dxa"/>
            <w:gridSpan w:val="2"/>
            <w:vAlign w:val="center"/>
          </w:tcPr>
          <w:p w:rsidR="003663E4" w:rsidRDefault="00FD3F7D">
            <w:pPr>
              <w:widowControl/>
              <w:spacing w:line="276" w:lineRule="auto"/>
              <w:rPr>
                <w:color w:val="000000"/>
                <w:kern w:val="0"/>
                <w:szCs w:val="21"/>
              </w:rPr>
            </w:pPr>
            <w:r>
              <w:rPr>
                <w:color w:val="000000"/>
                <w:kern w:val="0"/>
                <w:szCs w:val="21"/>
              </w:rPr>
              <w:t>基金</w:t>
            </w:r>
          </w:p>
        </w:tc>
        <w:tc>
          <w:tcPr>
            <w:tcW w:w="2339" w:type="dxa"/>
            <w:vAlign w:val="center"/>
          </w:tcPr>
          <w:p w:rsidR="003663E4" w:rsidRDefault="00FD3F7D">
            <w:pPr>
              <w:spacing w:line="276" w:lineRule="auto"/>
              <w:jc w:val="right"/>
              <w:rPr>
                <w:color w:val="000000"/>
                <w:szCs w:val="21"/>
              </w:rPr>
            </w:pPr>
            <w:r>
              <w:rPr>
                <w:color w:val="000000"/>
                <w:szCs w:val="21"/>
              </w:rPr>
              <w:t>-</w:t>
            </w:r>
          </w:p>
        </w:tc>
        <w:tc>
          <w:tcPr>
            <w:tcW w:w="2339" w:type="dxa"/>
            <w:vAlign w:val="center"/>
          </w:tcPr>
          <w:p w:rsidR="003663E4" w:rsidRDefault="00FD3F7D">
            <w:pPr>
              <w:spacing w:line="276" w:lineRule="auto"/>
              <w:jc w:val="right"/>
              <w:rPr>
                <w:color w:val="000000"/>
                <w:szCs w:val="21"/>
              </w:rPr>
            </w:pPr>
            <w:r>
              <w:rPr>
                <w:color w:val="000000"/>
                <w:szCs w:val="21"/>
              </w:rPr>
              <w:t>-</w:t>
            </w:r>
          </w:p>
        </w:tc>
        <w:tc>
          <w:tcPr>
            <w:tcW w:w="2340" w:type="dxa"/>
            <w:vAlign w:val="center"/>
          </w:tcPr>
          <w:p w:rsidR="003663E4" w:rsidRDefault="00FD3F7D">
            <w:pPr>
              <w:spacing w:line="276" w:lineRule="auto"/>
              <w:jc w:val="right"/>
              <w:rPr>
                <w:color w:val="000000"/>
                <w:szCs w:val="21"/>
              </w:rPr>
            </w:pPr>
            <w:r>
              <w:rPr>
                <w:color w:val="000000"/>
                <w:szCs w:val="21"/>
              </w:rPr>
              <w:t>-</w:t>
            </w:r>
          </w:p>
        </w:tc>
      </w:tr>
      <w:tr w:rsidR="003663E4">
        <w:trPr>
          <w:trHeight w:val="270"/>
        </w:trPr>
        <w:tc>
          <w:tcPr>
            <w:tcW w:w="2268" w:type="dxa"/>
            <w:gridSpan w:val="2"/>
            <w:vAlign w:val="center"/>
          </w:tcPr>
          <w:p w:rsidR="003663E4" w:rsidRDefault="00FD3F7D">
            <w:pPr>
              <w:widowControl/>
              <w:spacing w:line="276" w:lineRule="auto"/>
              <w:rPr>
                <w:color w:val="000000"/>
                <w:kern w:val="0"/>
                <w:szCs w:val="21"/>
              </w:rPr>
            </w:pPr>
            <w:r>
              <w:rPr>
                <w:color w:val="000000"/>
                <w:kern w:val="0"/>
                <w:szCs w:val="21"/>
              </w:rPr>
              <w:t>其他</w:t>
            </w:r>
          </w:p>
        </w:tc>
        <w:tc>
          <w:tcPr>
            <w:tcW w:w="2339" w:type="dxa"/>
            <w:vAlign w:val="center"/>
          </w:tcPr>
          <w:p w:rsidR="003663E4" w:rsidRDefault="00FD3F7D">
            <w:pPr>
              <w:spacing w:line="276" w:lineRule="auto"/>
              <w:jc w:val="right"/>
              <w:rPr>
                <w:color w:val="000000"/>
                <w:szCs w:val="21"/>
              </w:rPr>
            </w:pPr>
            <w:r>
              <w:rPr>
                <w:color w:val="000000"/>
                <w:szCs w:val="21"/>
              </w:rPr>
              <w:t>-</w:t>
            </w:r>
          </w:p>
        </w:tc>
        <w:tc>
          <w:tcPr>
            <w:tcW w:w="2339" w:type="dxa"/>
            <w:vAlign w:val="center"/>
          </w:tcPr>
          <w:p w:rsidR="003663E4" w:rsidRDefault="00FD3F7D">
            <w:pPr>
              <w:spacing w:line="276" w:lineRule="auto"/>
              <w:jc w:val="right"/>
              <w:rPr>
                <w:color w:val="000000"/>
                <w:szCs w:val="21"/>
              </w:rPr>
            </w:pPr>
            <w:r>
              <w:rPr>
                <w:color w:val="000000"/>
                <w:szCs w:val="21"/>
              </w:rPr>
              <w:t>-</w:t>
            </w:r>
          </w:p>
        </w:tc>
        <w:tc>
          <w:tcPr>
            <w:tcW w:w="2340" w:type="dxa"/>
            <w:vAlign w:val="center"/>
          </w:tcPr>
          <w:p w:rsidR="003663E4" w:rsidRDefault="00FD3F7D">
            <w:pPr>
              <w:spacing w:line="276" w:lineRule="auto"/>
              <w:jc w:val="right"/>
              <w:rPr>
                <w:color w:val="000000"/>
                <w:szCs w:val="21"/>
              </w:rPr>
            </w:pPr>
            <w:r>
              <w:rPr>
                <w:color w:val="000000"/>
                <w:szCs w:val="21"/>
              </w:rPr>
              <w:t>-</w:t>
            </w:r>
          </w:p>
        </w:tc>
      </w:tr>
      <w:tr w:rsidR="003663E4">
        <w:trPr>
          <w:trHeight w:val="270"/>
        </w:trPr>
        <w:tc>
          <w:tcPr>
            <w:tcW w:w="2268" w:type="dxa"/>
            <w:gridSpan w:val="2"/>
            <w:vAlign w:val="center"/>
          </w:tcPr>
          <w:p w:rsidR="003663E4" w:rsidRDefault="00FD3F7D">
            <w:pPr>
              <w:widowControl/>
              <w:spacing w:line="276" w:lineRule="auto"/>
              <w:jc w:val="center"/>
              <w:rPr>
                <w:color w:val="000000"/>
                <w:kern w:val="0"/>
                <w:szCs w:val="21"/>
              </w:rPr>
            </w:pPr>
            <w:r>
              <w:rPr>
                <w:color w:val="000000"/>
                <w:kern w:val="0"/>
                <w:szCs w:val="21"/>
              </w:rPr>
              <w:t>合计</w:t>
            </w:r>
          </w:p>
        </w:tc>
        <w:tc>
          <w:tcPr>
            <w:tcW w:w="2339" w:type="dxa"/>
            <w:vAlign w:val="center"/>
          </w:tcPr>
          <w:p w:rsidR="003663E4" w:rsidRDefault="00FD3F7D">
            <w:pPr>
              <w:spacing w:line="276" w:lineRule="auto"/>
              <w:jc w:val="right"/>
              <w:rPr>
                <w:color w:val="000000"/>
                <w:szCs w:val="21"/>
              </w:rPr>
            </w:pPr>
            <w:r>
              <w:rPr>
                <w:color w:val="000000"/>
                <w:szCs w:val="21"/>
              </w:rPr>
              <w:t>743,132,296.59</w:t>
            </w:r>
          </w:p>
        </w:tc>
        <w:tc>
          <w:tcPr>
            <w:tcW w:w="2339" w:type="dxa"/>
            <w:vAlign w:val="center"/>
          </w:tcPr>
          <w:p w:rsidR="003663E4" w:rsidRDefault="00FD3F7D">
            <w:pPr>
              <w:spacing w:line="276" w:lineRule="auto"/>
              <w:jc w:val="right"/>
              <w:rPr>
                <w:color w:val="000000"/>
                <w:szCs w:val="21"/>
              </w:rPr>
            </w:pPr>
            <w:r>
              <w:rPr>
                <w:color w:val="000000"/>
                <w:szCs w:val="21"/>
              </w:rPr>
              <w:t>743,009,000.00</w:t>
            </w:r>
          </w:p>
        </w:tc>
        <w:tc>
          <w:tcPr>
            <w:tcW w:w="2340" w:type="dxa"/>
            <w:vAlign w:val="center"/>
          </w:tcPr>
          <w:p w:rsidR="003663E4" w:rsidRDefault="00FD3F7D">
            <w:pPr>
              <w:spacing w:line="276" w:lineRule="auto"/>
              <w:jc w:val="right"/>
              <w:rPr>
                <w:color w:val="000000"/>
                <w:szCs w:val="21"/>
              </w:rPr>
            </w:pPr>
            <w:r>
              <w:rPr>
                <w:color w:val="000000"/>
                <w:szCs w:val="21"/>
              </w:rPr>
              <w:t>-123,296.59</w:t>
            </w:r>
          </w:p>
        </w:tc>
      </w:tr>
    </w:tbl>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7.1.4.7.3</w:t>
      </w:r>
      <w:r>
        <w:rPr>
          <w:rFonts w:hint="eastAsia"/>
          <w:b/>
          <w:bCs/>
          <w:color w:val="000000"/>
          <w:kern w:val="0"/>
          <w:szCs w:val="21"/>
        </w:rPr>
        <w:t xml:space="preserve"> </w:t>
      </w:r>
      <w:r>
        <w:rPr>
          <w:b/>
          <w:bCs/>
          <w:color w:val="000000"/>
          <w:kern w:val="0"/>
          <w:szCs w:val="21"/>
        </w:rPr>
        <w:t>衍生金融资产</w:t>
      </w:r>
      <w:r>
        <w:rPr>
          <w:b/>
          <w:bCs/>
          <w:color w:val="000000"/>
          <w:kern w:val="0"/>
          <w:szCs w:val="21"/>
        </w:rPr>
        <w:t>/</w:t>
      </w:r>
      <w:r>
        <w:rPr>
          <w:b/>
          <w:bCs/>
          <w:color w:val="000000"/>
          <w:kern w:val="0"/>
          <w:szCs w:val="21"/>
        </w:rPr>
        <w:t>负债</w:t>
      </w:r>
    </w:p>
    <w:p w:rsidR="003663E4" w:rsidRDefault="00FD3F7D">
      <w:pPr>
        <w:spacing w:line="360" w:lineRule="auto"/>
        <w:ind w:firstLineChars="200" w:firstLine="420"/>
        <w:rPr>
          <w:color w:val="000000"/>
          <w:szCs w:val="21"/>
        </w:rPr>
      </w:pPr>
      <w:r>
        <w:rPr>
          <w:color w:val="000000"/>
          <w:szCs w:val="21"/>
        </w:rPr>
        <w:t>本基金本报告期末未持有衍生金融工具。</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7.1.4.7.4 </w:t>
      </w:r>
      <w:r>
        <w:rPr>
          <w:b/>
          <w:bCs/>
          <w:color w:val="000000"/>
          <w:kern w:val="0"/>
          <w:szCs w:val="21"/>
        </w:rPr>
        <w:t>买入返售金融资产</w:t>
      </w:r>
    </w:p>
    <w:p w:rsidR="003663E4" w:rsidRDefault="00FD3F7D">
      <w:pPr>
        <w:autoSpaceDE w:val="0"/>
        <w:autoSpaceDN w:val="0"/>
        <w:adjustRightInd w:val="0"/>
        <w:spacing w:beforeLines="50" w:before="156" w:line="360" w:lineRule="auto"/>
        <w:jc w:val="left"/>
        <w:rPr>
          <w:b/>
          <w:bCs/>
          <w:color w:val="000000"/>
          <w:kern w:val="0"/>
          <w:szCs w:val="21"/>
        </w:rPr>
      </w:pPr>
      <w:r>
        <w:rPr>
          <w:rFonts w:hint="eastAsia"/>
          <w:b/>
          <w:bCs/>
          <w:color w:val="000000"/>
          <w:kern w:val="0"/>
          <w:szCs w:val="21"/>
        </w:rPr>
        <w:t xml:space="preserve">7.1.4.7.4.1 </w:t>
      </w:r>
      <w:r>
        <w:rPr>
          <w:rFonts w:hint="eastAsia"/>
          <w:b/>
          <w:bCs/>
          <w:color w:val="000000"/>
          <w:kern w:val="0"/>
          <w:szCs w:val="21"/>
        </w:rPr>
        <w:t>各项买入返售金融资产期末余额</w:t>
      </w:r>
    </w:p>
    <w:p w:rsidR="003663E4" w:rsidRDefault="00FD3F7D">
      <w:pPr>
        <w:autoSpaceDE w:val="0"/>
        <w:autoSpaceDN w:val="0"/>
        <w:adjustRightInd w:val="0"/>
        <w:spacing w:before="29" w:line="360" w:lineRule="auto"/>
        <w:ind w:left="15"/>
        <w:jc w:val="right"/>
        <w:rPr>
          <w:color w:val="000000"/>
          <w:szCs w:val="21"/>
        </w:rPr>
      </w:pPr>
      <w:r>
        <w:rPr>
          <w:rFonts w:hint="eastAsia"/>
          <w:color w:val="000000"/>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2"/>
        <w:gridCol w:w="3261"/>
        <w:gridCol w:w="3372"/>
      </w:tblGrid>
      <w:tr w:rsidR="003663E4">
        <w:trPr>
          <w:trHeight w:val="330"/>
        </w:trPr>
        <w:tc>
          <w:tcPr>
            <w:tcW w:w="2382" w:type="dxa"/>
            <w:vMerge w:val="restart"/>
            <w:vAlign w:val="center"/>
          </w:tcPr>
          <w:p w:rsidR="003663E4" w:rsidRDefault="00FD3F7D">
            <w:pPr>
              <w:spacing w:line="276" w:lineRule="auto"/>
              <w:jc w:val="center"/>
              <w:rPr>
                <w:color w:val="000000"/>
                <w:szCs w:val="21"/>
              </w:rPr>
            </w:pPr>
            <w:r>
              <w:rPr>
                <w:rFonts w:hint="eastAsia"/>
                <w:color w:val="000000"/>
                <w:szCs w:val="21"/>
              </w:rPr>
              <w:t>项目</w:t>
            </w:r>
          </w:p>
        </w:tc>
        <w:tc>
          <w:tcPr>
            <w:tcW w:w="6633" w:type="dxa"/>
            <w:gridSpan w:val="2"/>
            <w:vAlign w:val="center"/>
          </w:tcPr>
          <w:p w:rsidR="003663E4" w:rsidRDefault="00FD3F7D">
            <w:pPr>
              <w:spacing w:line="276" w:lineRule="auto"/>
              <w:jc w:val="center"/>
              <w:rPr>
                <w:color w:val="000000"/>
                <w:kern w:val="0"/>
                <w:szCs w:val="21"/>
              </w:rPr>
            </w:pPr>
            <w:r>
              <w:rPr>
                <w:rFonts w:hint="eastAsia"/>
                <w:color w:val="000000"/>
                <w:kern w:val="0"/>
                <w:szCs w:val="21"/>
              </w:rPr>
              <w:t>本期末</w:t>
            </w:r>
          </w:p>
          <w:p w:rsidR="003663E4" w:rsidRDefault="00FD3F7D">
            <w:pPr>
              <w:spacing w:line="276" w:lineRule="auto"/>
              <w:jc w:val="center"/>
              <w:rPr>
                <w:color w:val="000000"/>
                <w:szCs w:val="21"/>
              </w:rPr>
            </w:pP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663E4">
        <w:trPr>
          <w:trHeight w:val="330"/>
        </w:trPr>
        <w:tc>
          <w:tcPr>
            <w:tcW w:w="2382" w:type="dxa"/>
            <w:vMerge/>
            <w:vAlign w:val="center"/>
          </w:tcPr>
          <w:p w:rsidR="003663E4" w:rsidRDefault="003663E4">
            <w:pPr>
              <w:widowControl/>
              <w:jc w:val="left"/>
              <w:rPr>
                <w:color w:val="000000"/>
                <w:szCs w:val="21"/>
              </w:rPr>
            </w:pPr>
          </w:p>
        </w:tc>
        <w:tc>
          <w:tcPr>
            <w:tcW w:w="3261" w:type="dxa"/>
            <w:vAlign w:val="center"/>
          </w:tcPr>
          <w:p w:rsidR="003663E4" w:rsidRDefault="00FD3F7D">
            <w:pPr>
              <w:spacing w:line="276" w:lineRule="auto"/>
              <w:jc w:val="center"/>
              <w:rPr>
                <w:color w:val="000000"/>
                <w:szCs w:val="21"/>
              </w:rPr>
            </w:pPr>
            <w:r>
              <w:rPr>
                <w:rFonts w:hint="eastAsia"/>
                <w:color w:val="000000"/>
                <w:szCs w:val="21"/>
              </w:rPr>
              <w:t>账面余额</w:t>
            </w:r>
          </w:p>
        </w:tc>
        <w:tc>
          <w:tcPr>
            <w:tcW w:w="3372" w:type="dxa"/>
            <w:vAlign w:val="center"/>
          </w:tcPr>
          <w:p w:rsidR="003663E4" w:rsidRDefault="00FD3F7D">
            <w:pPr>
              <w:spacing w:line="276" w:lineRule="auto"/>
              <w:jc w:val="center"/>
              <w:rPr>
                <w:color w:val="000000"/>
                <w:szCs w:val="21"/>
              </w:rPr>
            </w:pPr>
            <w:r>
              <w:rPr>
                <w:rFonts w:hint="eastAsia"/>
                <w:color w:val="000000"/>
                <w:szCs w:val="21"/>
              </w:rPr>
              <w:t>其中：买断式逆回购</w:t>
            </w:r>
          </w:p>
        </w:tc>
      </w:tr>
      <w:tr w:rsidR="003663E4">
        <w:trPr>
          <w:trHeight w:val="330"/>
        </w:trPr>
        <w:tc>
          <w:tcPr>
            <w:tcW w:w="2382" w:type="dxa"/>
            <w:vAlign w:val="bottom"/>
          </w:tcPr>
          <w:p w:rsidR="003663E4" w:rsidRDefault="00FD3F7D">
            <w:pPr>
              <w:rPr>
                <w:rFonts w:ascii="宋体" w:hAnsi="宋体"/>
                <w:szCs w:val="21"/>
              </w:rPr>
            </w:pPr>
            <w:r>
              <w:rPr>
                <w:rFonts w:ascii="宋体" w:hAnsi="宋体" w:hint="eastAsia"/>
                <w:szCs w:val="21"/>
              </w:rPr>
              <w:t>交易所市场</w:t>
            </w:r>
          </w:p>
        </w:tc>
        <w:tc>
          <w:tcPr>
            <w:tcW w:w="3261" w:type="dxa"/>
          </w:tcPr>
          <w:p w:rsidR="003663E4" w:rsidRDefault="00FD3F7D">
            <w:pPr>
              <w:jc w:val="right"/>
              <w:rPr>
                <w:rFonts w:eastAsiaTheme="minorEastAsia"/>
                <w:szCs w:val="21"/>
              </w:rPr>
            </w:pPr>
            <w:r>
              <w:rPr>
                <w:rFonts w:eastAsiaTheme="minorEastAsia"/>
                <w:szCs w:val="21"/>
              </w:rPr>
              <w:t>-</w:t>
            </w:r>
          </w:p>
        </w:tc>
        <w:tc>
          <w:tcPr>
            <w:tcW w:w="3372" w:type="dxa"/>
          </w:tcPr>
          <w:p w:rsidR="003663E4" w:rsidRDefault="00FD3F7D">
            <w:pPr>
              <w:jc w:val="right"/>
              <w:rPr>
                <w:rFonts w:eastAsiaTheme="minorEastAsia"/>
                <w:szCs w:val="21"/>
              </w:rPr>
            </w:pPr>
            <w:r>
              <w:rPr>
                <w:rFonts w:eastAsiaTheme="minorEastAsia"/>
                <w:szCs w:val="21"/>
              </w:rPr>
              <w:t>-</w:t>
            </w:r>
          </w:p>
        </w:tc>
      </w:tr>
      <w:tr w:rsidR="003663E4">
        <w:trPr>
          <w:trHeight w:val="330"/>
        </w:trPr>
        <w:tc>
          <w:tcPr>
            <w:tcW w:w="2382" w:type="dxa"/>
            <w:vAlign w:val="bottom"/>
          </w:tcPr>
          <w:p w:rsidR="003663E4" w:rsidRDefault="00FD3F7D">
            <w:pPr>
              <w:rPr>
                <w:rFonts w:ascii="宋体" w:hAnsi="宋体"/>
                <w:szCs w:val="21"/>
              </w:rPr>
            </w:pPr>
            <w:r>
              <w:rPr>
                <w:rFonts w:ascii="宋体" w:hAnsi="宋体" w:hint="eastAsia"/>
                <w:szCs w:val="21"/>
              </w:rPr>
              <w:t>银行间市场</w:t>
            </w:r>
          </w:p>
        </w:tc>
        <w:tc>
          <w:tcPr>
            <w:tcW w:w="3261" w:type="dxa"/>
          </w:tcPr>
          <w:p w:rsidR="003663E4" w:rsidRDefault="00FD3F7D">
            <w:pPr>
              <w:jc w:val="right"/>
              <w:rPr>
                <w:rFonts w:eastAsiaTheme="minorEastAsia"/>
                <w:szCs w:val="21"/>
              </w:rPr>
            </w:pPr>
            <w:r>
              <w:rPr>
                <w:rFonts w:eastAsiaTheme="minorEastAsia"/>
                <w:szCs w:val="21"/>
              </w:rPr>
              <w:t>25,000,157.50</w:t>
            </w:r>
          </w:p>
        </w:tc>
        <w:tc>
          <w:tcPr>
            <w:tcW w:w="3372" w:type="dxa"/>
          </w:tcPr>
          <w:p w:rsidR="003663E4" w:rsidRDefault="00FD3F7D">
            <w:pPr>
              <w:jc w:val="right"/>
              <w:rPr>
                <w:rFonts w:eastAsiaTheme="minorEastAsia"/>
                <w:szCs w:val="21"/>
              </w:rPr>
            </w:pPr>
            <w:r>
              <w:rPr>
                <w:rFonts w:eastAsiaTheme="minorEastAsia"/>
                <w:szCs w:val="21"/>
              </w:rPr>
              <w:t>-</w:t>
            </w:r>
          </w:p>
        </w:tc>
      </w:tr>
      <w:tr w:rsidR="003663E4">
        <w:trPr>
          <w:trHeight w:val="257"/>
        </w:trPr>
        <w:tc>
          <w:tcPr>
            <w:tcW w:w="2382" w:type="dxa"/>
            <w:vAlign w:val="center"/>
          </w:tcPr>
          <w:p w:rsidR="003663E4" w:rsidRDefault="00FD3F7D">
            <w:pPr>
              <w:spacing w:line="276" w:lineRule="auto"/>
              <w:jc w:val="left"/>
              <w:rPr>
                <w:color w:val="000000"/>
                <w:szCs w:val="21"/>
              </w:rPr>
            </w:pPr>
            <w:r>
              <w:rPr>
                <w:rFonts w:hint="eastAsia"/>
                <w:color w:val="000000"/>
                <w:szCs w:val="21"/>
              </w:rPr>
              <w:t>合计</w:t>
            </w:r>
          </w:p>
        </w:tc>
        <w:tc>
          <w:tcPr>
            <w:tcW w:w="3261" w:type="dxa"/>
            <w:vAlign w:val="center"/>
          </w:tcPr>
          <w:p w:rsidR="003663E4" w:rsidRDefault="00FD3F7D">
            <w:pPr>
              <w:spacing w:line="276" w:lineRule="auto"/>
              <w:jc w:val="right"/>
              <w:rPr>
                <w:color w:val="000000"/>
                <w:szCs w:val="21"/>
              </w:rPr>
            </w:pPr>
            <w:r>
              <w:rPr>
                <w:color w:val="000000"/>
                <w:szCs w:val="21"/>
              </w:rPr>
              <w:t>25,000,157.50</w:t>
            </w:r>
          </w:p>
        </w:tc>
        <w:tc>
          <w:tcPr>
            <w:tcW w:w="3372" w:type="dxa"/>
            <w:vAlign w:val="center"/>
          </w:tcPr>
          <w:p w:rsidR="003663E4" w:rsidRDefault="00FD3F7D">
            <w:pPr>
              <w:spacing w:line="276" w:lineRule="auto"/>
              <w:jc w:val="right"/>
              <w:rPr>
                <w:color w:val="000000"/>
                <w:szCs w:val="21"/>
              </w:rPr>
            </w:pPr>
            <w:r>
              <w:rPr>
                <w:color w:val="000000"/>
                <w:szCs w:val="21"/>
              </w:rPr>
              <w:t>-</w:t>
            </w:r>
          </w:p>
        </w:tc>
      </w:tr>
    </w:tbl>
    <w:p w:rsidR="003663E4" w:rsidRDefault="00FD3F7D">
      <w:pPr>
        <w:autoSpaceDE w:val="0"/>
        <w:autoSpaceDN w:val="0"/>
        <w:adjustRightInd w:val="0"/>
        <w:spacing w:beforeLines="50" w:before="156" w:line="360" w:lineRule="auto"/>
        <w:jc w:val="left"/>
        <w:rPr>
          <w:b/>
          <w:bCs/>
          <w:color w:val="000000"/>
          <w:kern w:val="0"/>
          <w:szCs w:val="21"/>
        </w:rPr>
      </w:pPr>
      <w:r>
        <w:rPr>
          <w:rFonts w:hint="eastAsia"/>
          <w:b/>
          <w:bCs/>
          <w:color w:val="000000"/>
          <w:kern w:val="0"/>
          <w:szCs w:val="21"/>
        </w:rPr>
        <w:t xml:space="preserve">7.1.4.7.4.2 </w:t>
      </w:r>
      <w:r>
        <w:rPr>
          <w:rFonts w:hint="eastAsia"/>
          <w:b/>
          <w:bCs/>
          <w:color w:val="000000"/>
          <w:kern w:val="0"/>
          <w:szCs w:val="21"/>
        </w:rPr>
        <w:t>期末买断式逆回购交易中取得的债券</w:t>
      </w:r>
    </w:p>
    <w:p w:rsidR="003663E4" w:rsidRDefault="00FD3F7D">
      <w:pPr>
        <w:autoSpaceDE w:val="0"/>
        <w:autoSpaceDN w:val="0"/>
        <w:adjustRightInd w:val="0"/>
        <w:spacing w:beforeLines="50" w:before="156" w:line="360" w:lineRule="auto"/>
        <w:ind w:firstLineChars="200" w:firstLine="420"/>
        <w:jc w:val="left"/>
        <w:rPr>
          <w:bCs/>
          <w:color w:val="000000"/>
          <w:kern w:val="0"/>
          <w:szCs w:val="21"/>
        </w:rPr>
      </w:pPr>
      <w:r>
        <w:rPr>
          <w:rFonts w:hint="eastAsia"/>
          <w:bCs/>
          <w:color w:val="000000"/>
          <w:kern w:val="0"/>
          <w:szCs w:val="21"/>
        </w:rPr>
        <w:t>本基金本报告期末未持有从买断式逆回购交易中取得的债券。</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7.1.4.7.5 </w:t>
      </w:r>
      <w:r>
        <w:rPr>
          <w:b/>
          <w:bCs/>
          <w:color w:val="000000"/>
          <w:kern w:val="0"/>
          <w:szCs w:val="21"/>
        </w:rPr>
        <w:t>应收利息</w:t>
      </w:r>
    </w:p>
    <w:p w:rsidR="003663E4" w:rsidRDefault="00FD3F7D">
      <w:pPr>
        <w:spacing w:line="360" w:lineRule="auto"/>
        <w:jc w:val="right"/>
        <w:rPr>
          <w:color w:val="000000"/>
          <w:szCs w:val="21"/>
        </w:rPr>
      </w:pPr>
      <w:r>
        <w:rPr>
          <w:rFonts w:hint="eastAsia"/>
          <w:color w:val="000000"/>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6664"/>
      </w:tblGrid>
      <w:tr w:rsidR="003663E4">
        <w:trPr>
          <w:trHeight w:val="330"/>
        </w:trPr>
        <w:tc>
          <w:tcPr>
            <w:tcW w:w="2351" w:type="dxa"/>
            <w:vAlign w:val="center"/>
          </w:tcPr>
          <w:p w:rsidR="003663E4" w:rsidRDefault="00FD3F7D">
            <w:pPr>
              <w:spacing w:line="360" w:lineRule="auto"/>
              <w:jc w:val="center"/>
              <w:rPr>
                <w:rFonts w:eastAsiaTheme="minorEastAsia"/>
                <w:szCs w:val="21"/>
              </w:rPr>
            </w:pPr>
            <w:r>
              <w:rPr>
                <w:rFonts w:eastAsiaTheme="minorEastAsia" w:hint="eastAsia"/>
                <w:szCs w:val="21"/>
              </w:rPr>
              <w:t>项目</w:t>
            </w:r>
          </w:p>
        </w:tc>
        <w:tc>
          <w:tcPr>
            <w:tcW w:w="6664" w:type="dxa"/>
            <w:vAlign w:val="bottom"/>
          </w:tcPr>
          <w:p w:rsidR="003663E4" w:rsidRDefault="00FD3F7D">
            <w:pPr>
              <w:spacing w:line="276" w:lineRule="auto"/>
              <w:jc w:val="center"/>
              <w:rPr>
                <w:color w:val="000000"/>
                <w:kern w:val="0"/>
                <w:szCs w:val="21"/>
              </w:rPr>
            </w:pPr>
            <w:r>
              <w:rPr>
                <w:rFonts w:hint="eastAsia"/>
                <w:color w:val="000000"/>
                <w:kern w:val="0"/>
                <w:szCs w:val="21"/>
              </w:rPr>
              <w:t>本期末</w:t>
            </w:r>
          </w:p>
          <w:p w:rsidR="003663E4" w:rsidRDefault="00FD3F7D">
            <w:pPr>
              <w:spacing w:line="276" w:lineRule="auto"/>
              <w:jc w:val="center"/>
              <w:rPr>
                <w:color w:val="000000"/>
                <w:szCs w:val="21"/>
              </w:rPr>
            </w:pP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663E4">
        <w:trPr>
          <w:trHeight w:val="257"/>
        </w:trPr>
        <w:tc>
          <w:tcPr>
            <w:tcW w:w="2351" w:type="dxa"/>
            <w:vAlign w:val="center"/>
          </w:tcPr>
          <w:p w:rsidR="003663E4" w:rsidRDefault="00FD3F7D">
            <w:pPr>
              <w:spacing w:line="360" w:lineRule="auto"/>
              <w:rPr>
                <w:rFonts w:eastAsiaTheme="minorEastAsia"/>
                <w:szCs w:val="21"/>
              </w:rPr>
            </w:pPr>
            <w:r>
              <w:rPr>
                <w:rFonts w:eastAsiaTheme="minorEastAsia" w:hint="eastAsia"/>
                <w:szCs w:val="21"/>
              </w:rPr>
              <w:t>应收活期存款利息</w:t>
            </w:r>
          </w:p>
        </w:tc>
        <w:tc>
          <w:tcPr>
            <w:tcW w:w="6664" w:type="dxa"/>
            <w:vAlign w:val="center"/>
          </w:tcPr>
          <w:p w:rsidR="003663E4" w:rsidRDefault="00FD3F7D">
            <w:pPr>
              <w:spacing w:line="276" w:lineRule="auto"/>
              <w:jc w:val="right"/>
              <w:rPr>
                <w:color w:val="000000"/>
                <w:szCs w:val="21"/>
              </w:rPr>
            </w:pPr>
            <w:r>
              <w:rPr>
                <w:color w:val="000000"/>
                <w:szCs w:val="21"/>
              </w:rPr>
              <w:t>592.30</w:t>
            </w:r>
          </w:p>
        </w:tc>
      </w:tr>
      <w:tr w:rsidR="003663E4">
        <w:trPr>
          <w:trHeight w:val="223"/>
        </w:trPr>
        <w:tc>
          <w:tcPr>
            <w:tcW w:w="2351" w:type="dxa"/>
            <w:vAlign w:val="center"/>
          </w:tcPr>
          <w:p w:rsidR="003663E4" w:rsidRDefault="00FD3F7D">
            <w:pPr>
              <w:spacing w:line="360" w:lineRule="auto"/>
              <w:rPr>
                <w:rFonts w:eastAsiaTheme="minorEastAsia"/>
                <w:szCs w:val="21"/>
              </w:rPr>
            </w:pPr>
            <w:r>
              <w:rPr>
                <w:rFonts w:eastAsiaTheme="minorEastAsia" w:hint="eastAsia"/>
                <w:szCs w:val="21"/>
              </w:rPr>
              <w:t>应收定期存款利息</w:t>
            </w:r>
          </w:p>
        </w:tc>
        <w:tc>
          <w:tcPr>
            <w:tcW w:w="6664" w:type="dxa"/>
            <w:vAlign w:val="center"/>
          </w:tcPr>
          <w:p w:rsidR="003663E4" w:rsidRDefault="00FD3F7D">
            <w:pPr>
              <w:spacing w:line="276" w:lineRule="auto"/>
              <w:jc w:val="right"/>
              <w:rPr>
                <w:color w:val="000000"/>
                <w:szCs w:val="21"/>
              </w:rPr>
            </w:pPr>
            <w:r>
              <w:rPr>
                <w:color w:val="000000"/>
                <w:szCs w:val="21"/>
              </w:rPr>
              <w:t>-</w:t>
            </w:r>
          </w:p>
        </w:tc>
      </w:tr>
      <w:tr w:rsidR="003663E4">
        <w:trPr>
          <w:trHeight w:val="223"/>
        </w:trPr>
        <w:tc>
          <w:tcPr>
            <w:tcW w:w="2351" w:type="dxa"/>
            <w:vAlign w:val="center"/>
          </w:tcPr>
          <w:p w:rsidR="003663E4" w:rsidRDefault="00FD3F7D">
            <w:pPr>
              <w:spacing w:line="360" w:lineRule="auto"/>
              <w:rPr>
                <w:rFonts w:eastAsiaTheme="minorEastAsia"/>
                <w:szCs w:val="21"/>
              </w:rPr>
            </w:pPr>
            <w:r>
              <w:rPr>
                <w:rFonts w:eastAsiaTheme="minorEastAsia" w:hint="eastAsia"/>
                <w:szCs w:val="21"/>
              </w:rPr>
              <w:t>应收其他存款利息</w:t>
            </w:r>
          </w:p>
        </w:tc>
        <w:tc>
          <w:tcPr>
            <w:tcW w:w="6664" w:type="dxa"/>
            <w:vAlign w:val="center"/>
          </w:tcPr>
          <w:p w:rsidR="003663E4" w:rsidRDefault="00FD3F7D">
            <w:pPr>
              <w:spacing w:line="276" w:lineRule="auto"/>
              <w:jc w:val="right"/>
              <w:rPr>
                <w:color w:val="000000"/>
                <w:szCs w:val="21"/>
              </w:rPr>
            </w:pPr>
            <w:r>
              <w:rPr>
                <w:color w:val="000000"/>
                <w:szCs w:val="21"/>
              </w:rPr>
              <w:t>-</w:t>
            </w:r>
          </w:p>
        </w:tc>
      </w:tr>
      <w:tr w:rsidR="003663E4">
        <w:trPr>
          <w:trHeight w:val="223"/>
        </w:trPr>
        <w:tc>
          <w:tcPr>
            <w:tcW w:w="2351" w:type="dxa"/>
            <w:vAlign w:val="center"/>
          </w:tcPr>
          <w:p w:rsidR="003663E4" w:rsidRDefault="00FD3F7D">
            <w:pPr>
              <w:spacing w:line="360" w:lineRule="auto"/>
              <w:rPr>
                <w:rFonts w:eastAsiaTheme="minorEastAsia"/>
                <w:szCs w:val="21"/>
              </w:rPr>
            </w:pPr>
            <w:r>
              <w:rPr>
                <w:rFonts w:eastAsiaTheme="minorEastAsia" w:hint="eastAsia"/>
                <w:szCs w:val="21"/>
              </w:rPr>
              <w:t>应收结算备付金利息</w:t>
            </w:r>
          </w:p>
        </w:tc>
        <w:tc>
          <w:tcPr>
            <w:tcW w:w="6664" w:type="dxa"/>
            <w:vAlign w:val="center"/>
          </w:tcPr>
          <w:p w:rsidR="003663E4" w:rsidRDefault="00FD3F7D">
            <w:pPr>
              <w:spacing w:line="276" w:lineRule="auto"/>
              <w:jc w:val="right"/>
              <w:rPr>
                <w:color w:val="000000"/>
                <w:szCs w:val="21"/>
              </w:rPr>
            </w:pPr>
            <w:r>
              <w:rPr>
                <w:color w:val="000000"/>
                <w:szCs w:val="21"/>
              </w:rPr>
              <w:t>-</w:t>
            </w:r>
          </w:p>
        </w:tc>
      </w:tr>
      <w:tr w:rsidR="003663E4">
        <w:trPr>
          <w:trHeight w:val="269"/>
        </w:trPr>
        <w:tc>
          <w:tcPr>
            <w:tcW w:w="2351" w:type="dxa"/>
            <w:vAlign w:val="center"/>
          </w:tcPr>
          <w:p w:rsidR="003663E4" w:rsidRDefault="00FD3F7D">
            <w:pPr>
              <w:spacing w:line="360" w:lineRule="auto"/>
              <w:rPr>
                <w:rFonts w:eastAsiaTheme="minorEastAsia"/>
                <w:szCs w:val="21"/>
              </w:rPr>
            </w:pPr>
            <w:r>
              <w:rPr>
                <w:rFonts w:eastAsiaTheme="minorEastAsia" w:hint="eastAsia"/>
                <w:szCs w:val="21"/>
              </w:rPr>
              <w:t>应收债券利息</w:t>
            </w:r>
          </w:p>
        </w:tc>
        <w:tc>
          <w:tcPr>
            <w:tcW w:w="6664" w:type="dxa"/>
            <w:vAlign w:val="center"/>
          </w:tcPr>
          <w:p w:rsidR="003663E4" w:rsidRDefault="00FD3F7D">
            <w:pPr>
              <w:spacing w:line="276" w:lineRule="auto"/>
              <w:jc w:val="right"/>
              <w:rPr>
                <w:color w:val="000000"/>
                <w:szCs w:val="21"/>
              </w:rPr>
            </w:pPr>
            <w:r>
              <w:rPr>
                <w:color w:val="000000"/>
                <w:szCs w:val="21"/>
              </w:rPr>
              <w:t>9,629,255.70</w:t>
            </w:r>
          </w:p>
        </w:tc>
      </w:tr>
      <w:tr w:rsidR="003663E4">
        <w:trPr>
          <w:trHeight w:val="269"/>
        </w:trPr>
        <w:tc>
          <w:tcPr>
            <w:tcW w:w="2351" w:type="dxa"/>
            <w:vAlign w:val="center"/>
          </w:tcPr>
          <w:p w:rsidR="003663E4" w:rsidRDefault="00FD3F7D">
            <w:pPr>
              <w:spacing w:line="360" w:lineRule="auto"/>
              <w:rPr>
                <w:rFonts w:eastAsiaTheme="minorEastAsia"/>
                <w:szCs w:val="21"/>
              </w:rPr>
            </w:pPr>
            <w:r>
              <w:rPr>
                <w:rFonts w:eastAsiaTheme="minorEastAsia" w:hint="eastAsia"/>
                <w:szCs w:val="21"/>
              </w:rPr>
              <w:t>应收资产支持证券利息</w:t>
            </w:r>
          </w:p>
        </w:tc>
        <w:tc>
          <w:tcPr>
            <w:tcW w:w="6664" w:type="dxa"/>
            <w:vAlign w:val="center"/>
          </w:tcPr>
          <w:p w:rsidR="003663E4" w:rsidRDefault="00FD3F7D">
            <w:pPr>
              <w:spacing w:line="276" w:lineRule="auto"/>
              <w:jc w:val="right"/>
              <w:rPr>
                <w:color w:val="000000"/>
                <w:szCs w:val="21"/>
              </w:rPr>
            </w:pPr>
            <w:r>
              <w:rPr>
                <w:color w:val="000000"/>
                <w:szCs w:val="21"/>
              </w:rPr>
              <w:t>-</w:t>
            </w:r>
          </w:p>
        </w:tc>
      </w:tr>
      <w:tr w:rsidR="003663E4">
        <w:trPr>
          <w:trHeight w:val="287"/>
        </w:trPr>
        <w:tc>
          <w:tcPr>
            <w:tcW w:w="2351" w:type="dxa"/>
            <w:vAlign w:val="center"/>
          </w:tcPr>
          <w:p w:rsidR="003663E4" w:rsidRDefault="00FD3F7D">
            <w:pPr>
              <w:spacing w:line="360" w:lineRule="auto"/>
              <w:rPr>
                <w:rFonts w:eastAsiaTheme="minorEastAsia"/>
                <w:szCs w:val="21"/>
              </w:rPr>
            </w:pPr>
            <w:r>
              <w:rPr>
                <w:rFonts w:eastAsiaTheme="minorEastAsia" w:hint="eastAsia"/>
                <w:szCs w:val="21"/>
              </w:rPr>
              <w:t>应收买入返售证券利息</w:t>
            </w:r>
          </w:p>
        </w:tc>
        <w:tc>
          <w:tcPr>
            <w:tcW w:w="6664" w:type="dxa"/>
            <w:vAlign w:val="center"/>
          </w:tcPr>
          <w:p w:rsidR="003663E4" w:rsidRDefault="00FD3F7D">
            <w:pPr>
              <w:spacing w:line="276" w:lineRule="auto"/>
              <w:jc w:val="right"/>
              <w:rPr>
                <w:color w:val="000000"/>
                <w:szCs w:val="21"/>
              </w:rPr>
            </w:pPr>
            <w:r>
              <w:rPr>
                <w:color w:val="000000"/>
                <w:szCs w:val="21"/>
              </w:rPr>
              <w:t>1,262.00</w:t>
            </w:r>
          </w:p>
        </w:tc>
      </w:tr>
      <w:tr w:rsidR="003663E4">
        <w:trPr>
          <w:trHeight w:val="305"/>
        </w:trPr>
        <w:tc>
          <w:tcPr>
            <w:tcW w:w="2351" w:type="dxa"/>
            <w:vAlign w:val="center"/>
          </w:tcPr>
          <w:p w:rsidR="003663E4" w:rsidRDefault="00FD3F7D">
            <w:pPr>
              <w:spacing w:line="360" w:lineRule="auto"/>
              <w:rPr>
                <w:rFonts w:eastAsiaTheme="minorEastAsia"/>
                <w:szCs w:val="21"/>
              </w:rPr>
            </w:pPr>
            <w:r>
              <w:rPr>
                <w:rFonts w:eastAsiaTheme="minorEastAsia" w:hint="eastAsia"/>
                <w:szCs w:val="21"/>
              </w:rPr>
              <w:t>应收申购款利息</w:t>
            </w:r>
          </w:p>
        </w:tc>
        <w:tc>
          <w:tcPr>
            <w:tcW w:w="6664" w:type="dxa"/>
            <w:vAlign w:val="center"/>
          </w:tcPr>
          <w:p w:rsidR="003663E4" w:rsidRDefault="00FD3F7D">
            <w:pPr>
              <w:spacing w:line="276" w:lineRule="auto"/>
              <w:jc w:val="right"/>
              <w:rPr>
                <w:color w:val="000000"/>
                <w:szCs w:val="21"/>
              </w:rPr>
            </w:pPr>
            <w:r>
              <w:rPr>
                <w:color w:val="000000"/>
                <w:szCs w:val="21"/>
              </w:rPr>
              <w:t>-</w:t>
            </w:r>
          </w:p>
        </w:tc>
      </w:tr>
      <w:tr w:rsidR="003663E4">
        <w:trPr>
          <w:trHeight w:val="305"/>
        </w:trPr>
        <w:tc>
          <w:tcPr>
            <w:tcW w:w="2351" w:type="dxa"/>
            <w:vAlign w:val="center"/>
          </w:tcPr>
          <w:p w:rsidR="003663E4" w:rsidRDefault="00FD3F7D">
            <w:pPr>
              <w:spacing w:line="360" w:lineRule="auto"/>
              <w:rPr>
                <w:rFonts w:eastAsiaTheme="minorEastAsia"/>
                <w:szCs w:val="21"/>
              </w:rPr>
            </w:pPr>
            <w:r>
              <w:rPr>
                <w:rFonts w:eastAsiaTheme="minorEastAsia" w:hint="eastAsia"/>
                <w:szCs w:val="21"/>
              </w:rPr>
              <w:t>应收黄金合约拆借孳息</w:t>
            </w:r>
          </w:p>
        </w:tc>
        <w:tc>
          <w:tcPr>
            <w:tcW w:w="6664" w:type="dxa"/>
            <w:vAlign w:val="center"/>
          </w:tcPr>
          <w:p w:rsidR="003663E4" w:rsidRDefault="00FD3F7D">
            <w:pPr>
              <w:spacing w:line="276" w:lineRule="auto"/>
              <w:jc w:val="right"/>
              <w:rPr>
                <w:color w:val="000000"/>
                <w:szCs w:val="21"/>
              </w:rPr>
            </w:pPr>
            <w:r>
              <w:rPr>
                <w:color w:val="000000"/>
                <w:szCs w:val="21"/>
              </w:rPr>
              <w:t>-</w:t>
            </w:r>
          </w:p>
        </w:tc>
      </w:tr>
      <w:tr w:rsidR="003663E4">
        <w:trPr>
          <w:trHeight w:val="305"/>
        </w:trPr>
        <w:tc>
          <w:tcPr>
            <w:tcW w:w="2351" w:type="dxa"/>
            <w:vAlign w:val="center"/>
          </w:tcPr>
          <w:p w:rsidR="003663E4" w:rsidRDefault="00FD3F7D">
            <w:pPr>
              <w:spacing w:line="360" w:lineRule="auto"/>
              <w:rPr>
                <w:rFonts w:eastAsiaTheme="minorEastAsia"/>
                <w:szCs w:val="21"/>
              </w:rPr>
            </w:pPr>
            <w:r>
              <w:rPr>
                <w:rFonts w:eastAsiaTheme="minorEastAsia" w:hint="eastAsia"/>
                <w:szCs w:val="21"/>
              </w:rPr>
              <w:t>其他</w:t>
            </w:r>
          </w:p>
        </w:tc>
        <w:tc>
          <w:tcPr>
            <w:tcW w:w="6664" w:type="dxa"/>
            <w:vAlign w:val="center"/>
          </w:tcPr>
          <w:p w:rsidR="003663E4" w:rsidRDefault="00FD3F7D">
            <w:pPr>
              <w:spacing w:line="276" w:lineRule="auto"/>
              <w:jc w:val="right"/>
              <w:rPr>
                <w:color w:val="000000"/>
                <w:szCs w:val="21"/>
              </w:rPr>
            </w:pPr>
            <w:r>
              <w:rPr>
                <w:color w:val="000000"/>
                <w:szCs w:val="21"/>
              </w:rPr>
              <w:t>-</w:t>
            </w:r>
          </w:p>
        </w:tc>
      </w:tr>
      <w:tr w:rsidR="003663E4">
        <w:trPr>
          <w:trHeight w:val="330"/>
        </w:trPr>
        <w:tc>
          <w:tcPr>
            <w:tcW w:w="2351" w:type="dxa"/>
            <w:vAlign w:val="center"/>
          </w:tcPr>
          <w:p w:rsidR="003663E4" w:rsidRDefault="00FD3F7D">
            <w:pPr>
              <w:spacing w:line="360" w:lineRule="auto"/>
              <w:rPr>
                <w:rFonts w:eastAsiaTheme="minorEastAsia"/>
                <w:szCs w:val="21"/>
              </w:rPr>
            </w:pPr>
            <w:r>
              <w:rPr>
                <w:rFonts w:eastAsiaTheme="minorEastAsia" w:hint="eastAsia"/>
                <w:szCs w:val="21"/>
              </w:rPr>
              <w:t>合计</w:t>
            </w:r>
          </w:p>
        </w:tc>
        <w:tc>
          <w:tcPr>
            <w:tcW w:w="6664" w:type="dxa"/>
            <w:vAlign w:val="center"/>
          </w:tcPr>
          <w:p w:rsidR="003663E4" w:rsidRDefault="00FD3F7D">
            <w:pPr>
              <w:spacing w:line="276" w:lineRule="auto"/>
              <w:jc w:val="right"/>
              <w:rPr>
                <w:color w:val="000000"/>
                <w:szCs w:val="21"/>
              </w:rPr>
            </w:pPr>
            <w:r>
              <w:rPr>
                <w:color w:val="000000"/>
                <w:szCs w:val="21"/>
              </w:rPr>
              <w:t>9,631,110.00</w:t>
            </w:r>
          </w:p>
        </w:tc>
      </w:tr>
    </w:tbl>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7.1.4.7.6</w:t>
      </w:r>
      <w:r>
        <w:rPr>
          <w:rFonts w:hint="eastAsia"/>
          <w:b/>
          <w:bCs/>
          <w:color w:val="000000"/>
          <w:kern w:val="0"/>
          <w:szCs w:val="21"/>
        </w:rPr>
        <w:t xml:space="preserve"> </w:t>
      </w:r>
      <w:r>
        <w:rPr>
          <w:b/>
          <w:bCs/>
          <w:color w:val="000000"/>
          <w:kern w:val="0"/>
          <w:szCs w:val="21"/>
        </w:rPr>
        <w:t>其他资产</w:t>
      </w:r>
    </w:p>
    <w:p w:rsidR="003663E4" w:rsidRDefault="00FD3F7D">
      <w:pPr>
        <w:spacing w:line="360" w:lineRule="auto"/>
        <w:ind w:firstLineChars="200" w:firstLine="420"/>
        <w:rPr>
          <w:color w:val="000000"/>
          <w:szCs w:val="21"/>
        </w:rPr>
      </w:pPr>
      <w:r>
        <w:rPr>
          <w:color w:val="000000"/>
          <w:szCs w:val="21"/>
        </w:rPr>
        <w:t>本基金本报告期末未持有其他资产。</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7.1.4.7.7 </w:t>
      </w:r>
      <w:r>
        <w:rPr>
          <w:b/>
          <w:bCs/>
          <w:color w:val="000000"/>
          <w:kern w:val="0"/>
          <w:szCs w:val="21"/>
        </w:rPr>
        <w:t>应付交易费用</w:t>
      </w:r>
    </w:p>
    <w:p w:rsidR="003663E4" w:rsidRDefault="00FD3F7D">
      <w:pPr>
        <w:autoSpaceDE w:val="0"/>
        <w:autoSpaceDN w:val="0"/>
        <w:adjustRightInd w:val="0"/>
        <w:spacing w:before="29" w:line="360" w:lineRule="auto"/>
        <w:ind w:left="15"/>
        <w:jc w:val="right"/>
        <w:rPr>
          <w:color w:val="000000"/>
          <w:kern w:val="0"/>
          <w:szCs w:val="21"/>
        </w:rPr>
      </w:pPr>
      <w:r>
        <w:rPr>
          <w:color w:val="000000"/>
          <w:szCs w:val="21"/>
        </w:rPr>
        <w:t>单位：人民币元</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6300"/>
      </w:tblGrid>
      <w:tr w:rsidR="003663E4">
        <w:trPr>
          <w:trHeight w:val="285"/>
        </w:trPr>
        <w:tc>
          <w:tcPr>
            <w:tcW w:w="2765" w:type="dxa"/>
            <w:vAlign w:val="center"/>
          </w:tcPr>
          <w:p w:rsidR="003663E4" w:rsidRDefault="00FD3F7D">
            <w:pPr>
              <w:spacing w:line="276" w:lineRule="auto"/>
              <w:jc w:val="center"/>
              <w:rPr>
                <w:color w:val="000000"/>
                <w:szCs w:val="21"/>
              </w:rPr>
            </w:pPr>
            <w:r>
              <w:rPr>
                <w:color w:val="000000"/>
                <w:szCs w:val="21"/>
              </w:rPr>
              <w:t>项目</w:t>
            </w:r>
          </w:p>
        </w:tc>
        <w:tc>
          <w:tcPr>
            <w:tcW w:w="6300" w:type="dxa"/>
            <w:vAlign w:val="center"/>
          </w:tcPr>
          <w:p w:rsidR="003663E4" w:rsidRDefault="00FD3F7D">
            <w:pPr>
              <w:spacing w:line="276" w:lineRule="auto"/>
              <w:jc w:val="center"/>
              <w:rPr>
                <w:color w:val="000000"/>
                <w:szCs w:val="21"/>
              </w:rPr>
            </w:pPr>
            <w:r>
              <w:rPr>
                <w:color w:val="000000"/>
                <w:szCs w:val="21"/>
              </w:rPr>
              <w:t>本期末</w:t>
            </w:r>
          </w:p>
          <w:p w:rsidR="003663E4" w:rsidRDefault="00FD3F7D">
            <w:pPr>
              <w:spacing w:line="276" w:lineRule="auto"/>
              <w:jc w:val="center"/>
              <w:rPr>
                <w:color w:val="000000"/>
                <w:szCs w:val="21"/>
              </w:rPr>
            </w:pP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663E4">
        <w:trPr>
          <w:trHeight w:val="211"/>
        </w:trPr>
        <w:tc>
          <w:tcPr>
            <w:tcW w:w="2765" w:type="dxa"/>
            <w:vAlign w:val="center"/>
          </w:tcPr>
          <w:p w:rsidR="003663E4" w:rsidRDefault="00FD3F7D">
            <w:pPr>
              <w:spacing w:line="276" w:lineRule="auto"/>
              <w:rPr>
                <w:color w:val="000000"/>
                <w:szCs w:val="21"/>
              </w:rPr>
            </w:pPr>
            <w:r>
              <w:rPr>
                <w:color w:val="000000"/>
                <w:szCs w:val="21"/>
              </w:rPr>
              <w:t>交易所市场应付交易费用</w:t>
            </w:r>
          </w:p>
        </w:tc>
        <w:tc>
          <w:tcPr>
            <w:tcW w:w="6300" w:type="dxa"/>
            <w:vAlign w:val="center"/>
          </w:tcPr>
          <w:p w:rsidR="003663E4" w:rsidRDefault="00FD3F7D">
            <w:pPr>
              <w:spacing w:line="276" w:lineRule="auto"/>
              <w:jc w:val="right"/>
              <w:rPr>
                <w:color w:val="000000"/>
                <w:szCs w:val="21"/>
              </w:rPr>
            </w:pPr>
            <w:r>
              <w:rPr>
                <w:color w:val="000000"/>
                <w:szCs w:val="21"/>
              </w:rPr>
              <w:t>-</w:t>
            </w:r>
          </w:p>
        </w:tc>
      </w:tr>
      <w:tr w:rsidR="003663E4">
        <w:trPr>
          <w:trHeight w:val="296"/>
        </w:trPr>
        <w:tc>
          <w:tcPr>
            <w:tcW w:w="2765" w:type="dxa"/>
            <w:vAlign w:val="center"/>
          </w:tcPr>
          <w:p w:rsidR="003663E4" w:rsidRDefault="00FD3F7D">
            <w:pPr>
              <w:spacing w:line="276" w:lineRule="auto"/>
              <w:rPr>
                <w:color w:val="000000"/>
                <w:szCs w:val="21"/>
              </w:rPr>
            </w:pPr>
            <w:r>
              <w:rPr>
                <w:color w:val="000000"/>
                <w:szCs w:val="21"/>
              </w:rPr>
              <w:t>银行间市场应付交易费用</w:t>
            </w:r>
          </w:p>
        </w:tc>
        <w:tc>
          <w:tcPr>
            <w:tcW w:w="6300" w:type="dxa"/>
            <w:vAlign w:val="center"/>
          </w:tcPr>
          <w:p w:rsidR="003663E4" w:rsidRDefault="00FD3F7D">
            <w:pPr>
              <w:spacing w:line="276" w:lineRule="auto"/>
              <w:jc w:val="right"/>
              <w:rPr>
                <w:color w:val="000000"/>
                <w:szCs w:val="21"/>
              </w:rPr>
            </w:pPr>
            <w:r>
              <w:rPr>
                <w:color w:val="000000"/>
                <w:szCs w:val="21"/>
              </w:rPr>
              <w:t>15,830.16</w:t>
            </w:r>
          </w:p>
        </w:tc>
      </w:tr>
      <w:tr w:rsidR="003663E4">
        <w:trPr>
          <w:trHeight w:val="285"/>
        </w:trPr>
        <w:tc>
          <w:tcPr>
            <w:tcW w:w="2765" w:type="dxa"/>
            <w:vAlign w:val="center"/>
          </w:tcPr>
          <w:p w:rsidR="003663E4" w:rsidRDefault="00FD3F7D">
            <w:pPr>
              <w:spacing w:line="276" w:lineRule="auto"/>
              <w:jc w:val="center"/>
              <w:rPr>
                <w:color w:val="000000"/>
                <w:szCs w:val="21"/>
              </w:rPr>
            </w:pPr>
            <w:r>
              <w:rPr>
                <w:color w:val="000000"/>
                <w:szCs w:val="21"/>
              </w:rPr>
              <w:t>合计</w:t>
            </w:r>
          </w:p>
        </w:tc>
        <w:tc>
          <w:tcPr>
            <w:tcW w:w="6300" w:type="dxa"/>
            <w:vAlign w:val="center"/>
          </w:tcPr>
          <w:p w:rsidR="003663E4" w:rsidRDefault="00FD3F7D">
            <w:pPr>
              <w:spacing w:line="276" w:lineRule="auto"/>
              <w:jc w:val="right"/>
              <w:rPr>
                <w:color w:val="000000"/>
                <w:szCs w:val="21"/>
              </w:rPr>
            </w:pPr>
            <w:r>
              <w:rPr>
                <w:color w:val="000000"/>
                <w:szCs w:val="21"/>
              </w:rPr>
              <w:t>15,830.16</w:t>
            </w:r>
          </w:p>
        </w:tc>
      </w:tr>
    </w:tbl>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7.1.4.7.8 </w:t>
      </w:r>
      <w:r>
        <w:rPr>
          <w:b/>
          <w:bCs/>
          <w:color w:val="000000"/>
          <w:kern w:val="0"/>
          <w:szCs w:val="21"/>
        </w:rPr>
        <w:t>其他负债</w:t>
      </w:r>
    </w:p>
    <w:p w:rsidR="003663E4" w:rsidRDefault="00FD3F7D">
      <w:pPr>
        <w:spacing w:line="360" w:lineRule="auto"/>
        <w:jc w:val="right"/>
        <w:rPr>
          <w:color w:val="000000"/>
          <w:szCs w:val="21"/>
        </w:rPr>
      </w:pPr>
      <w:r>
        <w:rPr>
          <w:color w:val="000000"/>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6300"/>
      </w:tblGrid>
      <w:tr w:rsidR="003663E4">
        <w:trPr>
          <w:trHeight w:val="330"/>
        </w:trPr>
        <w:tc>
          <w:tcPr>
            <w:tcW w:w="2715" w:type="dxa"/>
            <w:vAlign w:val="center"/>
          </w:tcPr>
          <w:p w:rsidR="003663E4" w:rsidRDefault="00FD3F7D">
            <w:pPr>
              <w:spacing w:line="276" w:lineRule="auto"/>
              <w:jc w:val="center"/>
              <w:rPr>
                <w:color w:val="000000"/>
                <w:szCs w:val="21"/>
              </w:rPr>
            </w:pPr>
            <w:r>
              <w:rPr>
                <w:color w:val="000000"/>
                <w:szCs w:val="21"/>
              </w:rPr>
              <w:t>项目</w:t>
            </w:r>
          </w:p>
        </w:tc>
        <w:tc>
          <w:tcPr>
            <w:tcW w:w="6300" w:type="dxa"/>
            <w:vAlign w:val="center"/>
          </w:tcPr>
          <w:p w:rsidR="003663E4" w:rsidRDefault="00FD3F7D">
            <w:pPr>
              <w:spacing w:line="276" w:lineRule="auto"/>
              <w:jc w:val="center"/>
              <w:rPr>
                <w:color w:val="000000"/>
                <w:kern w:val="0"/>
                <w:szCs w:val="21"/>
              </w:rPr>
            </w:pPr>
            <w:r>
              <w:rPr>
                <w:color w:val="000000"/>
                <w:kern w:val="0"/>
                <w:szCs w:val="21"/>
              </w:rPr>
              <w:t>本期末</w:t>
            </w:r>
          </w:p>
          <w:p w:rsidR="003663E4" w:rsidRDefault="00FD3F7D">
            <w:pPr>
              <w:spacing w:line="276" w:lineRule="auto"/>
              <w:jc w:val="center"/>
              <w:rPr>
                <w:color w:val="000000"/>
                <w:szCs w:val="21"/>
              </w:rPr>
            </w:pP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663E4">
        <w:trPr>
          <w:trHeight w:val="325"/>
        </w:trPr>
        <w:tc>
          <w:tcPr>
            <w:tcW w:w="2715" w:type="dxa"/>
            <w:vAlign w:val="center"/>
          </w:tcPr>
          <w:p w:rsidR="003663E4" w:rsidRDefault="00FD3F7D">
            <w:pPr>
              <w:spacing w:line="276" w:lineRule="auto"/>
              <w:rPr>
                <w:color w:val="000000"/>
                <w:szCs w:val="21"/>
              </w:rPr>
            </w:pPr>
            <w:r>
              <w:rPr>
                <w:color w:val="000000"/>
                <w:szCs w:val="21"/>
              </w:rPr>
              <w:t>应付券商交易单元保证金</w:t>
            </w:r>
          </w:p>
        </w:tc>
        <w:tc>
          <w:tcPr>
            <w:tcW w:w="6300" w:type="dxa"/>
            <w:vAlign w:val="center"/>
          </w:tcPr>
          <w:p w:rsidR="003663E4" w:rsidRDefault="00FD3F7D">
            <w:pPr>
              <w:spacing w:line="276" w:lineRule="auto"/>
              <w:jc w:val="right"/>
              <w:rPr>
                <w:color w:val="000000"/>
                <w:szCs w:val="21"/>
              </w:rPr>
            </w:pPr>
            <w:r>
              <w:rPr>
                <w:color w:val="000000"/>
                <w:szCs w:val="21"/>
              </w:rPr>
              <w:t>-</w:t>
            </w:r>
          </w:p>
        </w:tc>
      </w:tr>
      <w:tr w:rsidR="003663E4">
        <w:trPr>
          <w:trHeight w:val="325"/>
        </w:trPr>
        <w:tc>
          <w:tcPr>
            <w:tcW w:w="2715" w:type="dxa"/>
            <w:vAlign w:val="center"/>
          </w:tcPr>
          <w:p w:rsidR="003663E4" w:rsidRDefault="00FD3F7D">
            <w:pPr>
              <w:spacing w:line="276" w:lineRule="auto"/>
              <w:rPr>
                <w:color w:val="000000"/>
                <w:szCs w:val="21"/>
              </w:rPr>
            </w:pPr>
            <w:r>
              <w:rPr>
                <w:color w:val="000000"/>
                <w:szCs w:val="21"/>
              </w:rPr>
              <w:t>应付赎回费</w:t>
            </w:r>
          </w:p>
        </w:tc>
        <w:tc>
          <w:tcPr>
            <w:tcW w:w="6300" w:type="dxa"/>
            <w:vAlign w:val="center"/>
          </w:tcPr>
          <w:p w:rsidR="003663E4" w:rsidRDefault="00FD3F7D">
            <w:pPr>
              <w:spacing w:line="276" w:lineRule="auto"/>
              <w:jc w:val="right"/>
              <w:rPr>
                <w:color w:val="000000"/>
                <w:szCs w:val="21"/>
              </w:rPr>
            </w:pPr>
            <w:r>
              <w:rPr>
                <w:color w:val="000000"/>
                <w:szCs w:val="21"/>
              </w:rPr>
              <w:t>-</w:t>
            </w:r>
          </w:p>
        </w:tc>
      </w:tr>
      <w:tr w:rsidR="003663E4">
        <w:tc>
          <w:tcPr>
            <w:tcW w:w="2715" w:type="dxa"/>
            <w:vAlign w:val="center"/>
          </w:tcPr>
          <w:p w:rsidR="003663E4" w:rsidRDefault="00FD3F7D">
            <w:pPr>
              <w:jc w:val="left"/>
            </w:pPr>
            <w:r>
              <w:rPr>
                <w:color w:val="000000"/>
                <w:szCs w:val="21"/>
              </w:rPr>
              <w:t>预提信息披露费</w:t>
            </w:r>
          </w:p>
        </w:tc>
        <w:tc>
          <w:tcPr>
            <w:tcW w:w="6300" w:type="dxa"/>
            <w:vAlign w:val="center"/>
          </w:tcPr>
          <w:p w:rsidR="003663E4" w:rsidRDefault="00FD3F7D">
            <w:pPr>
              <w:jc w:val="right"/>
            </w:pPr>
            <w:r>
              <w:rPr>
                <w:color w:val="000000"/>
                <w:szCs w:val="21"/>
              </w:rPr>
              <w:t>120,000.00</w:t>
            </w:r>
          </w:p>
        </w:tc>
      </w:tr>
      <w:tr w:rsidR="003663E4">
        <w:tc>
          <w:tcPr>
            <w:tcW w:w="2715" w:type="dxa"/>
            <w:vAlign w:val="center"/>
          </w:tcPr>
          <w:p w:rsidR="003663E4" w:rsidRDefault="00FD3F7D">
            <w:pPr>
              <w:jc w:val="left"/>
            </w:pPr>
            <w:r>
              <w:rPr>
                <w:color w:val="000000"/>
                <w:szCs w:val="21"/>
              </w:rPr>
              <w:t>预提审计费</w:t>
            </w:r>
          </w:p>
        </w:tc>
        <w:tc>
          <w:tcPr>
            <w:tcW w:w="6300" w:type="dxa"/>
            <w:vAlign w:val="center"/>
          </w:tcPr>
          <w:p w:rsidR="003663E4" w:rsidRDefault="00FD3F7D">
            <w:pPr>
              <w:jc w:val="right"/>
            </w:pPr>
            <w:r>
              <w:rPr>
                <w:color w:val="000000"/>
                <w:szCs w:val="21"/>
              </w:rPr>
              <w:t>90,000.00</w:t>
            </w:r>
          </w:p>
        </w:tc>
      </w:tr>
      <w:tr w:rsidR="003663E4">
        <w:tc>
          <w:tcPr>
            <w:tcW w:w="2715" w:type="dxa"/>
            <w:vAlign w:val="center"/>
          </w:tcPr>
          <w:p w:rsidR="003663E4" w:rsidRDefault="00FD3F7D">
            <w:pPr>
              <w:jc w:val="left"/>
            </w:pPr>
            <w:r>
              <w:rPr>
                <w:color w:val="000000"/>
                <w:szCs w:val="21"/>
              </w:rPr>
              <w:t>预提账户维护费</w:t>
            </w:r>
          </w:p>
        </w:tc>
        <w:tc>
          <w:tcPr>
            <w:tcW w:w="6300" w:type="dxa"/>
            <w:vAlign w:val="center"/>
          </w:tcPr>
          <w:p w:rsidR="003663E4" w:rsidRDefault="00FD3F7D">
            <w:pPr>
              <w:jc w:val="right"/>
            </w:pPr>
            <w:r>
              <w:rPr>
                <w:color w:val="000000"/>
                <w:szCs w:val="21"/>
              </w:rPr>
              <w:t>9,300.00</w:t>
            </w:r>
          </w:p>
        </w:tc>
      </w:tr>
      <w:tr w:rsidR="003663E4">
        <w:trPr>
          <w:trHeight w:val="325"/>
        </w:trPr>
        <w:tc>
          <w:tcPr>
            <w:tcW w:w="2715" w:type="dxa"/>
            <w:vAlign w:val="center"/>
          </w:tcPr>
          <w:p w:rsidR="003663E4" w:rsidRDefault="00FD3F7D">
            <w:pPr>
              <w:spacing w:line="276" w:lineRule="auto"/>
              <w:rPr>
                <w:color w:val="000000"/>
                <w:szCs w:val="21"/>
              </w:rPr>
            </w:pPr>
            <w:r>
              <w:rPr>
                <w:color w:val="000000"/>
                <w:szCs w:val="21"/>
              </w:rPr>
              <w:t>合计</w:t>
            </w:r>
          </w:p>
        </w:tc>
        <w:tc>
          <w:tcPr>
            <w:tcW w:w="6300" w:type="dxa"/>
            <w:vAlign w:val="bottom"/>
          </w:tcPr>
          <w:p w:rsidR="003663E4" w:rsidRDefault="00FD3F7D">
            <w:pPr>
              <w:spacing w:line="276" w:lineRule="auto"/>
              <w:jc w:val="right"/>
              <w:rPr>
                <w:color w:val="000000"/>
                <w:szCs w:val="21"/>
              </w:rPr>
            </w:pPr>
            <w:r>
              <w:rPr>
                <w:color w:val="000000"/>
                <w:szCs w:val="21"/>
              </w:rPr>
              <w:t>219,300.00</w:t>
            </w:r>
          </w:p>
        </w:tc>
      </w:tr>
    </w:tbl>
    <w:p w:rsidR="003663E4" w:rsidRDefault="00FD3F7D">
      <w:pPr>
        <w:spacing w:beforeLines="50" w:before="156" w:line="360" w:lineRule="auto"/>
        <w:rPr>
          <w:rFonts w:eastAsiaTheme="minorEastAsia"/>
          <w:b/>
          <w:color w:val="000000"/>
          <w:kern w:val="0"/>
          <w:szCs w:val="21"/>
        </w:rPr>
      </w:pPr>
      <w:r>
        <w:rPr>
          <w:b/>
          <w:bCs/>
          <w:color w:val="000000"/>
          <w:kern w:val="0"/>
          <w:szCs w:val="21"/>
        </w:rPr>
        <w:t xml:space="preserve">7.1.4.7.9 </w:t>
      </w:r>
      <w:r>
        <w:rPr>
          <w:b/>
          <w:bCs/>
          <w:color w:val="000000"/>
          <w:kern w:val="0"/>
          <w:szCs w:val="21"/>
        </w:rPr>
        <w:t>实收基金</w:t>
      </w:r>
    </w:p>
    <w:p w:rsidR="003663E4" w:rsidRDefault="00FD3F7D">
      <w:pPr>
        <w:adjustRightInd w:val="0"/>
        <w:snapToGrid w:val="0"/>
        <w:spacing w:line="360" w:lineRule="auto"/>
        <w:rPr>
          <w:rFonts w:eastAsiaTheme="minorEastAsia"/>
          <w:b/>
          <w:color w:val="000000"/>
          <w:szCs w:val="21"/>
        </w:rPr>
      </w:pPr>
      <w:r>
        <w:rPr>
          <w:rFonts w:eastAsiaTheme="minorEastAsia"/>
          <w:szCs w:val="21"/>
        </w:rPr>
        <w:t>交银裕惠纯债债券</w:t>
      </w:r>
    </w:p>
    <w:p w:rsidR="003663E4" w:rsidRDefault="00FD3F7D">
      <w:pPr>
        <w:adjustRightInd w:val="0"/>
        <w:snapToGrid w:val="0"/>
        <w:spacing w:line="360" w:lineRule="auto"/>
        <w:jc w:val="right"/>
        <w:rPr>
          <w:color w:val="000000"/>
          <w:szCs w:val="21"/>
        </w:rPr>
      </w:pPr>
      <w:r>
        <w:rPr>
          <w:color w:val="000000"/>
          <w:szCs w:val="21"/>
        </w:rPr>
        <w:t>金额单位：人民币元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2834"/>
        <w:gridCol w:w="2977"/>
      </w:tblGrid>
      <w:tr w:rsidR="003663E4">
        <w:tc>
          <w:tcPr>
            <w:tcW w:w="3120" w:type="dxa"/>
            <w:vMerge w:val="restart"/>
            <w:shd w:val="clear" w:color="auto" w:fill="auto"/>
            <w:vAlign w:val="center"/>
          </w:tcPr>
          <w:p w:rsidR="003663E4" w:rsidRDefault="00FD3F7D">
            <w:pPr>
              <w:widowControl/>
              <w:autoSpaceDE w:val="0"/>
              <w:autoSpaceDN w:val="0"/>
              <w:spacing w:line="276" w:lineRule="auto"/>
              <w:ind w:right="-15"/>
              <w:jc w:val="center"/>
              <w:textAlignment w:val="bottom"/>
              <w:rPr>
                <w:rFonts w:eastAsiaTheme="minorEastAsia"/>
                <w:color w:val="000000" w:themeColor="text1"/>
                <w:szCs w:val="21"/>
              </w:rPr>
            </w:pPr>
            <w:r>
              <w:rPr>
                <w:rFonts w:eastAsiaTheme="minorEastAsia"/>
                <w:color w:val="000000" w:themeColor="text1"/>
                <w:szCs w:val="21"/>
              </w:rPr>
              <w:t>项目</w:t>
            </w:r>
          </w:p>
        </w:tc>
        <w:tc>
          <w:tcPr>
            <w:tcW w:w="5811" w:type="dxa"/>
            <w:gridSpan w:val="2"/>
            <w:shd w:val="clear" w:color="auto" w:fill="auto"/>
            <w:vAlign w:val="center"/>
          </w:tcPr>
          <w:p w:rsidR="003663E4" w:rsidRDefault="00FD3F7D">
            <w:pPr>
              <w:spacing w:line="276" w:lineRule="auto"/>
              <w:jc w:val="center"/>
              <w:rPr>
                <w:rFonts w:eastAsiaTheme="minorEastAsia"/>
                <w:color w:val="000000" w:themeColor="text1"/>
                <w:szCs w:val="21"/>
              </w:rPr>
            </w:pPr>
            <w:r>
              <w:rPr>
                <w:rFonts w:eastAsiaTheme="minorEastAsia"/>
                <w:color w:val="000000" w:themeColor="text1"/>
                <w:szCs w:val="21"/>
              </w:rPr>
              <w:t>本期</w:t>
            </w:r>
          </w:p>
          <w:p w:rsidR="003663E4" w:rsidRDefault="00FD3F7D">
            <w:pPr>
              <w:widowControl/>
              <w:autoSpaceDE w:val="0"/>
              <w:autoSpaceDN w:val="0"/>
              <w:spacing w:line="276" w:lineRule="auto"/>
              <w:ind w:right="-15"/>
              <w:jc w:val="center"/>
              <w:textAlignment w:val="bottom"/>
              <w:rPr>
                <w:rFonts w:eastAsiaTheme="minorEastAsia"/>
                <w:color w:val="000000" w:themeColor="text1"/>
                <w:szCs w:val="21"/>
              </w:rPr>
            </w:pPr>
            <w:r>
              <w:rPr>
                <w:rFonts w:eastAsiaTheme="minorEastAsia" w:hint="eastAsia"/>
                <w:szCs w:val="21"/>
              </w:rPr>
              <w:t>2020</w:t>
            </w:r>
            <w:r>
              <w:rPr>
                <w:rFonts w:eastAsiaTheme="minorEastAsia" w:hint="eastAsia"/>
                <w:szCs w:val="21"/>
              </w:rPr>
              <w:t>年</w:t>
            </w:r>
            <w:r>
              <w:rPr>
                <w:rFonts w:eastAsiaTheme="minorEastAsia" w:hint="eastAsia"/>
                <w:szCs w:val="21"/>
              </w:rPr>
              <w:t>7</w:t>
            </w:r>
            <w:r>
              <w:rPr>
                <w:rFonts w:eastAsiaTheme="minorEastAsia" w:hint="eastAsia"/>
                <w:szCs w:val="21"/>
              </w:rPr>
              <w:t>月</w:t>
            </w:r>
            <w:r>
              <w:rPr>
                <w:rFonts w:eastAsiaTheme="minorEastAsia" w:hint="eastAsia"/>
                <w:szCs w:val="21"/>
              </w:rPr>
              <w:t>28</w:t>
            </w:r>
            <w:r>
              <w:rPr>
                <w:rFonts w:eastAsiaTheme="minorEastAsia" w:hint="eastAsia"/>
                <w:szCs w:val="21"/>
              </w:rPr>
              <w:t>日（基金合同生效日）至</w:t>
            </w:r>
            <w:r>
              <w:rPr>
                <w:rFonts w:eastAsiaTheme="minorEastAsia"/>
                <w:szCs w:val="21"/>
              </w:rPr>
              <w:t>2020</w:t>
            </w:r>
            <w:r>
              <w:rPr>
                <w:rFonts w:eastAsiaTheme="minorEastAsia"/>
                <w:szCs w:val="21"/>
              </w:rPr>
              <w:t>年</w:t>
            </w:r>
            <w:r>
              <w:rPr>
                <w:rFonts w:eastAsiaTheme="minorEastAsia"/>
                <w:szCs w:val="21"/>
              </w:rPr>
              <w:t>12</w:t>
            </w:r>
            <w:r>
              <w:rPr>
                <w:rFonts w:eastAsiaTheme="minorEastAsia"/>
                <w:szCs w:val="21"/>
              </w:rPr>
              <w:t>月</w:t>
            </w:r>
            <w:r>
              <w:rPr>
                <w:rFonts w:eastAsiaTheme="minorEastAsia"/>
                <w:szCs w:val="21"/>
              </w:rPr>
              <w:t>31</w:t>
            </w:r>
            <w:r>
              <w:rPr>
                <w:rFonts w:eastAsiaTheme="minorEastAsia"/>
                <w:szCs w:val="21"/>
              </w:rPr>
              <w:t>日</w:t>
            </w:r>
          </w:p>
        </w:tc>
      </w:tr>
      <w:tr w:rsidR="003663E4">
        <w:tc>
          <w:tcPr>
            <w:tcW w:w="3120" w:type="dxa"/>
            <w:vMerge/>
            <w:shd w:val="clear" w:color="auto" w:fill="auto"/>
            <w:vAlign w:val="center"/>
          </w:tcPr>
          <w:p w:rsidR="003663E4" w:rsidRDefault="003663E4">
            <w:pPr>
              <w:widowControl/>
              <w:spacing w:line="276" w:lineRule="auto"/>
              <w:jc w:val="left"/>
              <w:rPr>
                <w:rFonts w:eastAsiaTheme="minorEastAsia"/>
                <w:color w:val="000000" w:themeColor="text1"/>
                <w:szCs w:val="21"/>
              </w:rPr>
            </w:pPr>
          </w:p>
        </w:tc>
        <w:tc>
          <w:tcPr>
            <w:tcW w:w="2834" w:type="dxa"/>
            <w:shd w:val="clear" w:color="auto" w:fill="auto"/>
            <w:vAlign w:val="center"/>
          </w:tcPr>
          <w:p w:rsidR="003663E4" w:rsidRDefault="00FD3F7D">
            <w:pPr>
              <w:widowControl/>
              <w:autoSpaceDE w:val="0"/>
              <w:autoSpaceDN w:val="0"/>
              <w:spacing w:line="276" w:lineRule="auto"/>
              <w:ind w:right="-15"/>
              <w:jc w:val="center"/>
              <w:textAlignment w:val="bottom"/>
              <w:rPr>
                <w:rFonts w:eastAsiaTheme="minorEastAsia"/>
                <w:color w:val="000000" w:themeColor="text1"/>
                <w:szCs w:val="21"/>
              </w:rPr>
            </w:pPr>
            <w:r>
              <w:rPr>
                <w:rFonts w:eastAsiaTheme="minorEastAsia"/>
                <w:color w:val="000000" w:themeColor="text1"/>
                <w:kern w:val="0"/>
                <w:szCs w:val="21"/>
              </w:rPr>
              <w:t>基金份额（份）</w:t>
            </w:r>
          </w:p>
        </w:tc>
        <w:tc>
          <w:tcPr>
            <w:tcW w:w="2977" w:type="dxa"/>
            <w:shd w:val="clear" w:color="auto" w:fill="auto"/>
            <w:vAlign w:val="center"/>
          </w:tcPr>
          <w:p w:rsidR="003663E4" w:rsidRDefault="00FD3F7D">
            <w:pPr>
              <w:widowControl/>
              <w:autoSpaceDE w:val="0"/>
              <w:autoSpaceDN w:val="0"/>
              <w:spacing w:line="276" w:lineRule="auto"/>
              <w:ind w:right="-15"/>
              <w:jc w:val="center"/>
              <w:textAlignment w:val="bottom"/>
              <w:rPr>
                <w:rFonts w:eastAsiaTheme="minorEastAsia"/>
                <w:color w:val="000000" w:themeColor="text1"/>
                <w:szCs w:val="21"/>
              </w:rPr>
            </w:pPr>
            <w:r>
              <w:rPr>
                <w:rFonts w:eastAsiaTheme="minorEastAsia"/>
                <w:color w:val="000000" w:themeColor="text1"/>
                <w:kern w:val="0"/>
                <w:szCs w:val="21"/>
              </w:rPr>
              <w:t>账面金额</w:t>
            </w:r>
          </w:p>
        </w:tc>
      </w:tr>
      <w:tr w:rsidR="003663E4">
        <w:tc>
          <w:tcPr>
            <w:tcW w:w="3120" w:type="dxa"/>
            <w:shd w:val="clear" w:color="auto" w:fill="auto"/>
            <w:vAlign w:val="center"/>
          </w:tcPr>
          <w:p w:rsidR="003663E4" w:rsidRDefault="00FD3F7D">
            <w:pPr>
              <w:spacing w:line="276" w:lineRule="auto"/>
              <w:rPr>
                <w:rFonts w:eastAsiaTheme="minorEastAsia"/>
                <w:color w:val="000000" w:themeColor="text1"/>
                <w:szCs w:val="21"/>
              </w:rPr>
            </w:pPr>
            <w:r>
              <w:rPr>
                <w:rFonts w:hint="eastAsia"/>
                <w:szCs w:val="21"/>
              </w:rPr>
              <w:t>基金合同生效日</w:t>
            </w:r>
          </w:p>
        </w:tc>
        <w:tc>
          <w:tcPr>
            <w:tcW w:w="2834" w:type="dxa"/>
            <w:shd w:val="clear" w:color="auto" w:fill="auto"/>
            <w:vAlign w:val="center"/>
          </w:tcPr>
          <w:p w:rsidR="003663E4" w:rsidRDefault="00FD3F7D">
            <w:pPr>
              <w:spacing w:line="276" w:lineRule="auto"/>
              <w:jc w:val="right"/>
              <w:rPr>
                <w:rFonts w:eastAsiaTheme="minorEastAsia"/>
                <w:color w:val="000000" w:themeColor="text1"/>
                <w:szCs w:val="21"/>
              </w:rPr>
            </w:pPr>
            <w:r>
              <w:rPr>
                <w:rFonts w:eastAsiaTheme="minorEastAsia" w:hint="eastAsia"/>
                <w:color w:val="000000" w:themeColor="text1"/>
                <w:szCs w:val="21"/>
              </w:rPr>
              <w:t>770,084,760.44</w:t>
            </w:r>
          </w:p>
        </w:tc>
        <w:tc>
          <w:tcPr>
            <w:tcW w:w="2977" w:type="dxa"/>
            <w:shd w:val="clear" w:color="auto" w:fill="auto"/>
            <w:vAlign w:val="center"/>
          </w:tcPr>
          <w:p w:rsidR="003663E4" w:rsidRDefault="00FD3F7D">
            <w:pPr>
              <w:spacing w:line="276" w:lineRule="auto"/>
              <w:jc w:val="right"/>
              <w:rPr>
                <w:rFonts w:eastAsiaTheme="minorEastAsia"/>
                <w:color w:val="000000" w:themeColor="text1"/>
                <w:szCs w:val="21"/>
              </w:rPr>
            </w:pPr>
            <w:r>
              <w:rPr>
                <w:rFonts w:eastAsiaTheme="minorEastAsia"/>
                <w:color w:val="000000" w:themeColor="text1"/>
                <w:szCs w:val="21"/>
              </w:rPr>
              <w:t>770,084,760.44</w:t>
            </w:r>
          </w:p>
        </w:tc>
      </w:tr>
      <w:tr w:rsidR="003663E4">
        <w:tc>
          <w:tcPr>
            <w:tcW w:w="3120" w:type="dxa"/>
            <w:vAlign w:val="center"/>
          </w:tcPr>
          <w:p w:rsidR="003663E4" w:rsidRDefault="00FD3F7D">
            <w:pPr>
              <w:spacing w:line="276" w:lineRule="auto"/>
              <w:rPr>
                <w:rFonts w:ascii="宋体" w:hAnsi="宋体"/>
                <w:szCs w:val="21"/>
              </w:rPr>
            </w:pPr>
            <w:r>
              <w:rPr>
                <w:rFonts w:ascii="宋体" w:hAnsi="宋体" w:hint="eastAsia"/>
                <w:szCs w:val="21"/>
              </w:rPr>
              <w:t>本期申购</w:t>
            </w:r>
          </w:p>
        </w:tc>
        <w:tc>
          <w:tcPr>
            <w:tcW w:w="2834" w:type="dxa"/>
            <w:vAlign w:val="center"/>
          </w:tcPr>
          <w:p w:rsidR="003663E4" w:rsidRDefault="00FD3F7D">
            <w:pPr>
              <w:spacing w:line="276" w:lineRule="auto"/>
              <w:jc w:val="right"/>
              <w:rPr>
                <w:rFonts w:eastAsiaTheme="minorEastAsia"/>
                <w:color w:val="000000" w:themeColor="text1"/>
                <w:szCs w:val="21"/>
              </w:rPr>
            </w:pPr>
            <w:r>
              <w:rPr>
                <w:rFonts w:eastAsiaTheme="minorEastAsia"/>
                <w:color w:val="000000" w:themeColor="text1"/>
                <w:szCs w:val="21"/>
              </w:rPr>
              <w:t>713,783.40</w:t>
            </w:r>
          </w:p>
        </w:tc>
        <w:tc>
          <w:tcPr>
            <w:tcW w:w="2977" w:type="dxa"/>
            <w:vAlign w:val="center"/>
          </w:tcPr>
          <w:p w:rsidR="003663E4" w:rsidRDefault="00FD3F7D">
            <w:pPr>
              <w:spacing w:line="276" w:lineRule="auto"/>
              <w:jc w:val="right"/>
              <w:rPr>
                <w:rFonts w:eastAsiaTheme="minorEastAsia"/>
                <w:color w:val="000000" w:themeColor="text1"/>
                <w:szCs w:val="21"/>
              </w:rPr>
            </w:pPr>
            <w:r>
              <w:rPr>
                <w:rFonts w:eastAsiaTheme="minorEastAsia"/>
                <w:color w:val="000000" w:themeColor="text1"/>
                <w:szCs w:val="21"/>
              </w:rPr>
              <w:t>713,783.40</w:t>
            </w:r>
          </w:p>
        </w:tc>
      </w:tr>
      <w:tr w:rsidR="003663E4">
        <w:tc>
          <w:tcPr>
            <w:tcW w:w="3120" w:type="dxa"/>
            <w:vAlign w:val="center"/>
          </w:tcPr>
          <w:p w:rsidR="003663E4" w:rsidRDefault="00FD3F7D">
            <w:pPr>
              <w:spacing w:line="276" w:lineRule="auto"/>
              <w:rPr>
                <w:rFonts w:ascii="宋体" w:hAnsi="宋体"/>
                <w:szCs w:val="21"/>
              </w:rPr>
            </w:pPr>
            <w:r>
              <w:rPr>
                <w:rFonts w:ascii="宋体" w:hAnsi="宋体" w:hint="eastAsia"/>
                <w:szCs w:val="21"/>
              </w:rPr>
              <w:t>本期赎回（以“</w:t>
            </w:r>
            <w:r>
              <w:rPr>
                <w:rFonts w:ascii="宋体" w:hAnsi="宋体" w:hint="eastAsia"/>
                <w:szCs w:val="21"/>
              </w:rPr>
              <w:t>-</w:t>
            </w:r>
            <w:r>
              <w:rPr>
                <w:rFonts w:ascii="宋体" w:hAnsi="宋体" w:hint="eastAsia"/>
                <w:szCs w:val="21"/>
              </w:rPr>
              <w:t>”号填列）</w:t>
            </w:r>
          </w:p>
        </w:tc>
        <w:tc>
          <w:tcPr>
            <w:tcW w:w="2834" w:type="dxa"/>
            <w:vAlign w:val="center"/>
          </w:tcPr>
          <w:p w:rsidR="003663E4" w:rsidRDefault="00FD3F7D">
            <w:pPr>
              <w:spacing w:line="276" w:lineRule="auto"/>
              <w:jc w:val="right"/>
              <w:rPr>
                <w:rFonts w:eastAsiaTheme="minorEastAsia"/>
                <w:color w:val="000000" w:themeColor="text1"/>
                <w:szCs w:val="21"/>
              </w:rPr>
            </w:pPr>
            <w:r>
              <w:rPr>
                <w:rFonts w:eastAsiaTheme="minorEastAsia"/>
                <w:color w:val="000000" w:themeColor="text1"/>
                <w:szCs w:val="21"/>
              </w:rPr>
              <w:t>-1,285,670.07</w:t>
            </w:r>
          </w:p>
        </w:tc>
        <w:tc>
          <w:tcPr>
            <w:tcW w:w="2977" w:type="dxa"/>
            <w:vAlign w:val="center"/>
          </w:tcPr>
          <w:p w:rsidR="003663E4" w:rsidRDefault="00FD3F7D">
            <w:pPr>
              <w:spacing w:line="276" w:lineRule="auto"/>
              <w:jc w:val="right"/>
              <w:rPr>
                <w:rFonts w:eastAsiaTheme="minorEastAsia"/>
                <w:color w:val="000000" w:themeColor="text1"/>
                <w:szCs w:val="21"/>
              </w:rPr>
            </w:pPr>
            <w:r>
              <w:rPr>
                <w:rFonts w:eastAsiaTheme="minorEastAsia"/>
                <w:color w:val="000000" w:themeColor="text1"/>
                <w:szCs w:val="21"/>
              </w:rPr>
              <w:t>-1,285,670.07</w:t>
            </w:r>
          </w:p>
        </w:tc>
      </w:tr>
      <w:tr w:rsidR="003663E4">
        <w:tc>
          <w:tcPr>
            <w:tcW w:w="3120" w:type="dxa"/>
            <w:vAlign w:val="center"/>
          </w:tcPr>
          <w:p w:rsidR="003663E4" w:rsidRDefault="00FD3F7D">
            <w:pPr>
              <w:spacing w:line="276" w:lineRule="auto"/>
              <w:rPr>
                <w:rFonts w:eastAsiaTheme="minorEastAsia"/>
                <w:color w:val="000000" w:themeColor="text1"/>
                <w:szCs w:val="21"/>
              </w:rPr>
            </w:pPr>
            <w:r>
              <w:rPr>
                <w:rFonts w:eastAsiaTheme="minorEastAsia"/>
                <w:color w:val="000000" w:themeColor="text1"/>
                <w:szCs w:val="21"/>
              </w:rPr>
              <w:t>本期末</w:t>
            </w:r>
          </w:p>
        </w:tc>
        <w:tc>
          <w:tcPr>
            <w:tcW w:w="2834" w:type="dxa"/>
            <w:vAlign w:val="center"/>
          </w:tcPr>
          <w:p w:rsidR="003663E4" w:rsidRDefault="00FD3F7D">
            <w:pPr>
              <w:spacing w:line="276" w:lineRule="auto"/>
              <w:jc w:val="right"/>
              <w:rPr>
                <w:rFonts w:eastAsiaTheme="minorEastAsia"/>
                <w:color w:val="000000" w:themeColor="text1"/>
                <w:szCs w:val="21"/>
              </w:rPr>
            </w:pPr>
            <w:r>
              <w:rPr>
                <w:rFonts w:eastAsiaTheme="minorEastAsia"/>
                <w:color w:val="000000" w:themeColor="text1"/>
                <w:szCs w:val="21"/>
              </w:rPr>
              <w:t>769,512,873.77</w:t>
            </w:r>
          </w:p>
        </w:tc>
        <w:tc>
          <w:tcPr>
            <w:tcW w:w="2977" w:type="dxa"/>
            <w:vAlign w:val="center"/>
          </w:tcPr>
          <w:p w:rsidR="003663E4" w:rsidRDefault="00FD3F7D">
            <w:pPr>
              <w:spacing w:line="276" w:lineRule="auto"/>
              <w:jc w:val="right"/>
              <w:rPr>
                <w:rFonts w:eastAsiaTheme="minorEastAsia"/>
                <w:color w:val="000000" w:themeColor="text1"/>
                <w:szCs w:val="21"/>
              </w:rPr>
            </w:pPr>
            <w:r>
              <w:rPr>
                <w:rFonts w:eastAsiaTheme="minorEastAsia"/>
                <w:color w:val="000000" w:themeColor="text1"/>
                <w:szCs w:val="21"/>
              </w:rPr>
              <w:t>769,512,873.77</w:t>
            </w:r>
          </w:p>
        </w:tc>
      </w:tr>
    </w:tbl>
    <w:p w:rsidR="003663E4" w:rsidRDefault="00FD3F7D">
      <w:pPr>
        <w:pStyle w:val="aff4"/>
        <w:autoSpaceDE w:val="0"/>
        <w:autoSpaceDN w:val="0"/>
        <w:adjustRightInd w:val="0"/>
        <w:spacing w:before="29" w:line="276" w:lineRule="auto"/>
        <w:ind w:left="425" w:right="105" w:firstLineChars="0" w:firstLine="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原交银施罗德理财</w:t>
      </w:r>
      <w:r>
        <w:rPr>
          <w:rFonts w:eastAsiaTheme="minorEastAsia"/>
          <w:color w:val="000000" w:themeColor="text1"/>
          <w:szCs w:val="21"/>
        </w:rPr>
        <w:t>60</w:t>
      </w:r>
      <w:r>
        <w:rPr>
          <w:rFonts w:eastAsiaTheme="minorEastAsia"/>
          <w:color w:val="000000" w:themeColor="text1"/>
          <w:szCs w:val="21"/>
        </w:rPr>
        <w:t>天债券型证券投资基金于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27</w:t>
      </w:r>
      <w:r>
        <w:rPr>
          <w:rFonts w:eastAsiaTheme="minorEastAsia"/>
          <w:color w:val="000000" w:themeColor="text1"/>
          <w:szCs w:val="21"/>
        </w:rPr>
        <w:t>日的基金份额为</w:t>
      </w:r>
      <w:r>
        <w:rPr>
          <w:rFonts w:eastAsiaTheme="minorEastAsia"/>
          <w:color w:val="000000" w:themeColor="text1"/>
          <w:szCs w:val="21"/>
        </w:rPr>
        <w:t>770,084,760.44</w:t>
      </w:r>
      <w:r>
        <w:rPr>
          <w:rFonts w:eastAsiaTheme="minorEastAsia"/>
          <w:color w:val="000000" w:themeColor="text1"/>
          <w:szCs w:val="21"/>
        </w:rPr>
        <w:t>份，已于</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日本基金转型生效日全部转为本基金的基金份额。</w:t>
      </w:r>
    </w:p>
    <w:p w:rsidR="003663E4" w:rsidRDefault="00FD3F7D">
      <w:pPr>
        <w:pStyle w:val="aff4"/>
        <w:autoSpaceDE w:val="0"/>
        <w:autoSpaceDN w:val="0"/>
        <w:adjustRightInd w:val="0"/>
        <w:spacing w:before="29" w:line="276" w:lineRule="auto"/>
        <w:ind w:left="425" w:right="105" w:firstLineChars="0" w:firstLine="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如果本报告期间发生红利再投、转换入业务，则总申购份额中包含该业务；</w:t>
      </w:r>
    </w:p>
    <w:p w:rsidR="003663E4" w:rsidRDefault="00FD3F7D">
      <w:pPr>
        <w:pStyle w:val="aff4"/>
        <w:autoSpaceDE w:val="0"/>
        <w:autoSpaceDN w:val="0"/>
        <w:adjustRightInd w:val="0"/>
        <w:spacing w:before="29" w:line="276" w:lineRule="auto"/>
        <w:ind w:left="425" w:right="105" w:firstLineChars="0" w:firstLine="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如果本报告期间发生转换出业务，则总赎回份额中包含该业务。</w:t>
      </w:r>
    </w:p>
    <w:p w:rsidR="003663E4" w:rsidRDefault="00FD3F7D">
      <w:pPr>
        <w:pStyle w:val="aff4"/>
        <w:autoSpaceDE w:val="0"/>
        <w:autoSpaceDN w:val="0"/>
        <w:adjustRightInd w:val="0"/>
        <w:spacing w:before="29" w:line="276" w:lineRule="auto"/>
        <w:ind w:left="425" w:right="105" w:firstLineChars="0" w:firstLine="0"/>
        <w:jc w:val="left"/>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根据《交银施罗德基金管理有限公司关于交银施罗德裕惠纯债债券型证券投资基金基金合同生效暨开放日常申购、赎回、定期定额投资业务的公告》和《交银施罗德基金管理有限公司关于交银施罗德裕惠纯债债券型证券投</w:t>
      </w:r>
      <w:r>
        <w:rPr>
          <w:rFonts w:eastAsiaTheme="minorEastAsia"/>
          <w:color w:val="000000" w:themeColor="text1"/>
          <w:szCs w:val="21"/>
        </w:rPr>
        <w:t>资基金开放日常转换业务的公告》，本基金自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w:t>
      </w:r>
      <w:r>
        <w:rPr>
          <w:rFonts w:eastAsiaTheme="minorEastAsia"/>
          <w:color w:val="000000" w:themeColor="text1"/>
          <w:szCs w:val="21"/>
        </w:rPr>
        <w:t>(</w:t>
      </w:r>
      <w:r>
        <w:rPr>
          <w:rFonts w:eastAsiaTheme="minorEastAsia"/>
          <w:color w:val="000000" w:themeColor="text1"/>
          <w:szCs w:val="21"/>
        </w:rPr>
        <w:t>基金转型生效日</w:t>
      </w:r>
      <w:r>
        <w:rPr>
          <w:rFonts w:eastAsiaTheme="minorEastAsia"/>
          <w:color w:val="000000" w:themeColor="text1"/>
          <w:szCs w:val="21"/>
        </w:rPr>
        <w:t>)</w:t>
      </w:r>
      <w:r>
        <w:rPr>
          <w:rFonts w:eastAsiaTheme="minorEastAsia"/>
          <w:color w:val="000000" w:themeColor="text1"/>
          <w:szCs w:val="21"/>
        </w:rPr>
        <w:t>起开始办理基金交易日常申购和赎回业务，自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w:t>
      </w:r>
      <w:r>
        <w:rPr>
          <w:rFonts w:eastAsiaTheme="minorEastAsia"/>
          <w:color w:val="000000" w:themeColor="text1"/>
          <w:szCs w:val="21"/>
        </w:rPr>
        <w:t>28</w:t>
      </w:r>
      <w:r>
        <w:rPr>
          <w:rFonts w:eastAsiaTheme="minorEastAsia"/>
          <w:color w:val="000000" w:themeColor="text1"/>
          <w:szCs w:val="21"/>
        </w:rPr>
        <w:t>日起开始办理基金交易日常转换业务。</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7.1.4.7.10 </w:t>
      </w:r>
      <w:r>
        <w:rPr>
          <w:b/>
          <w:bCs/>
          <w:color w:val="000000"/>
          <w:kern w:val="0"/>
          <w:szCs w:val="21"/>
        </w:rPr>
        <w:t>未分配利润</w:t>
      </w:r>
    </w:p>
    <w:p w:rsidR="003663E4" w:rsidRDefault="00FD3F7D">
      <w:pPr>
        <w:spacing w:line="360" w:lineRule="auto"/>
        <w:rPr>
          <w:color w:val="000000"/>
          <w:szCs w:val="21"/>
        </w:rPr>
      </w:pPr>
      <w:r>
        <w:rPr>
          <w:color w:val="000000"/>
          <w:szCs w:val="21"/>
        </w:rPr>
        <w:t>交银裕惠纯债债券</w:t>
      </w:r>
    </w:p>
    <w:p w:rsidR="003663E4" w:rsidRDefault="00FD3F7D">
      <w:pPr>
        <w:adjustRightInd w:val="0"/>
        <w:snapToGrid w:val="0"/>
        <w:spacing w:line="360" w:lineRule="auto"/>
        <w:jc w:val="right"/>
        <w:rPr>
          <w:color w:val="000000"/>
          <w:szCs w:val="21"/>
        </w:rPr>
      </w:pPr>
      <w:r>
        <w:rPr>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6"/>
        <w:gridCol w:w="2236"/>
        <w:gridCol w:w="2236"/>
        <w:gridCol w:w="2237"/>
      </w:tblGrid>
      <w:tr w:rsidR="003663E4">
        <w:tc>
          <w:tcPr>
            <w:tcW w:w="2706" w:type="dxa"/>
          </w:tcPr>
          <w:p w:rsidR="003663E4" w:rsidRDefault="00FD3F7D">
            <w:pPr>
              <w:spacing w:line="360" w:lineRule="auto"/>
              <w:jc w:val="center"/>
              <w:rPr>
                <w:color w:val="000000"/>
                <w:szCs w:val="21"/>
              </w:rPr>
            </w:pPr>
            <w:r>
              <w:rPr>
                <w:color w:val="000000"/>
                <w:szCs w:val="21"/>
              </w:rPr>
              <w:t>项目</w:t>
            </w:r>
          </w:p>
        </w:tc>
        <w:tc>
          <w:tcPr>
            <w:tcW w:w="2236" w:type="dxa"/>
            <w:vAlign w:val="center"/>
          </w:tcPr>
          <w:p w:rsidR="003663E4" w:rsidRDefault="00FD3F7D">
            <w:pPr>
              <w:spacing w:line="360" w:lineRule="auto"/>
              <w:jc w:val="center"/>
              <w:rPr>
                <w:color w:val="000000"/>
                <w:szCs w:val="21"/>
              </w:rPr>
            </w:pPr>
            <w:r>
              <w:rPr>
                <w:color w:val="000000"/>
                <w:szCs w:val="21"/>
              </w:rPr>
              <w:t>已实现部分</w:t>
            </w:r>
          </w:p>
        </w:tc>
        <w:tc>
          <w:tcPr>
            <w:tcW w:w="2236" w:type="dxa"/>
            <w:vAlign w:val="center"/>
          </w:tcPr>
          <w:p w:rsidR="003663E4" w:rsidRDefault="00FD3F7D">
            <w:pPr>
              <w:spacing w:line="360" w:lineRule="auto"/>
              <w:jc w:val="center"/>
              <w:rPr>
                <w:color w:val="000000"/>
                <w:szCs w:val="21"/>
              </w:rPr>
            </w:pPr>
            <w:r>
              <w:rPr>
                <w:color w:val="000000"/>
                <w:szCs w:val="21"/>
              </w:rPr>
              <w:t>未实现部分</w:t>
            </w:r>
          </w:p>
        </w:tc>
        <w:tc>
          <w:tcPr>
            <w:tcW w:w="2237" w:type="dxa"/>
            <w:vAlign w:val="center"/>
          </w:tcPr>
          <w:p w:rsidR="003663E4" w:rsidRDefault="00FD3F7D">
            <w:pPr>
              <w:spacing w:line="360" w:lineRule="auto"/>
              <w:jc w:val="center"/>
              <w:rPr>
                <w:color w:val="000000"/>
                <w:szCs w:val="21"/>
              </w:rPr>
            </w:pPr>
            <w:r>
              <w:rPr>
                <w:color w:val="000000"/>
                <w:szCs w:val="21"/>
              </w:rPr>
              <w:t>未分配利润合计</w:t>
            </w:r>
          </w:p>
        </w:tc>
      </w:tr>
      <w:tr w:rsidR="003663E4">
        <w:tc>
          <w:tcPr>
            <w:tcW w:w="2706" w:type="dxa"/>
            <w:vAlign w:val="center"/>
          </w:tcPr>
          <w:p w:rsidR="003663E4" w:rsidRDefault="00FD3F7D">
            <w:pPr>
              <w:spacing w:line="360" w:lineRule="auto"/>
              <w:rPr>
                <w:color w:val="000000"/>
                <w:szCs w:val="21"/>
              </w:rPr>
            </w:pPr>
            <w:r>
              <w:rPr>
                <w:color w:val="000000"/>
                <w:szCs w:val="21"/>
              </w:rPr>
              <w:t>基金合同生效日</w:t>
            </w:r>
          </w:p>
        </w:tc>
        <w:tc>
          <w:tcPr>
            <w:tcW w:w="2236" w:type="dxa"/>
            <w:vAlign w:val="center"/>
          </w:tcPr>
          <w:p w:rsidR="003663E4" w:rsidRDefault="00FD3F7D">
            <w:pPr>
              <w:spacing w:line="360" w:lineRule="auto"/>
              <w:jc w:val="right"/>
              <w:rPr>
                <w:color w:val="000000"/>
                <w:szCs w:val="21"/>
              </w:rPr>
            </w:pPr>
            <w:r>
              <w:rPr>
                <w:color w:val="000000"/>
                <w:szCs w:val="21"/>
              </w:rPr>
              <w:t>-</w:t>
            </w:r>
          </w:p>
        </w:tc>
        <w:tc>
          <w:tcPr>
            <w:tcW w:w="2236" w:type="dxa"/>
            <w:vAlign w:val="center"/>
          </w:tcPr>
          <w:p w:rsidR="003663E4" w:rsidRDefault="00FD3F7D">
            <w:pPr>
              <w:spacing w:line="360" w:lineRule="auto"/>
              <w:jc w:val="right"/>
              <w:rPr>
                <w:color w:val="000000"/>
                <w:szCs w:val="21"/>
              </w:rPr>
            </w:pPr>
            <w:r>
              <w:rPr>
                <w:color w:val="000000"/>
                <w:szCs w:val="21"/>
              </w:rPr>
              <w:t>-</w:t>
            </w:r>
          </w:p>
        </w:tc>
        <w:tc>
          <w:tcPr>
            <w:tcW w:w="2237" w:type="dxa"/>
            <w:vAlign w:val="center"/>
          </w:tcPr>
          <w:p w:rsidR="003663E4" w:rsidRDefault="00FD3F7D">
            <w:pPr>
              <w:spacing w:line="360" w:lineRule="auto"/>
              <w:jc w:val="right"/>
              <w:rPr>
                <w:color w:val="000000"/>
                <w:szCs w:val="21"/>
              </w:rPr>
            </w:pPr>
            <w:r>
              <w:rPr>
                <w:color w:val="000000"/>
                <w:szCs w:val="21"/>
              </w:rPr>
              <w:t>-</w:t>
            </w:r>
          </w:p>
        </w:tc>
      </w:tr>
      <w:tr w:rsidR="003663E4">
        <w:tc>
          <w:tcPr>
            <w:tcW w:w="2706" w:type="dxa"/>
            <w:vAlign w:val="center"/>
          </w:tcPr>
          <w:p w:rsidR="003663E4" w:rsidRDefault="00FD3F7D">
            <w:pPr>
              <w:spacing w:line="360" w:lineRule="auto"/>
              <w:rPr>
                <w:color w:val="000000"/>
                <w:szCs w:val="21"/>
              </w:rPr>
            </w:pPr>
            <w:r>
              <w:rPr>
                <w:color w:val="000000"/>
                <w:szCs w:val="21"/>
              </w:rPr>
              <w:t>本期利润</w:t>
            </w:r>
          </w:p>
        </w:tc>
        <w:tc>
          <w:tcPr>
            <w:tcW w:w="2236" w:type="dxa"/>
            <w:vAlign w:val="center"/>
          </w:tcPr>
          <w:p w:rsidR="003663E4" w:rsidRDefault="00FD3F7D">
            <w:pPr>
              <w:spacing w:line="360" w:lineRule="auto"/>
              <w:jc w:val="right"/>
              <w:rPr>
                <w:color w:val="000000"/>
                <w:szCs w:val="21"/>
              </w:rPr>
            </w:pPr>
            <w:r>
              <w:rPr>
                <w:color w:val="000000"/>
                <w:szCs w:val="21"/>
              </w:rPr>
              <w:t>9,005,781.25</w:t>
            </w:r>
          </w:p>
        </w:tc>
        <w:tc>
          <w:tcPr>
            <w:tcW w:w="2236" w:type="dxa"/>
            <w:vAlign w:val="center"/>
          </w:tcPr>
          <w:p w:rsidR="003663E4" w:rsidRDefault="00FD3F7D">
            <w:pPr>
              <w:spacing w:line="360" w:lineRule="auto"/>
              <w:jc w:val="right"/>
              <w:rPr>
                <w:color w:val="000000"/>
                <w:szCs w:val="21"/>
              </w:rPr>
            </w:pPr>
            <w:r>
              <w:rPr>
                <w:color w:val="000000"/>
                <w:szCs w:val="21"/>
              </w:rPr>
              <w:t>-123,296.59</w:t>
            </w:r>
          </w:p>
        </w:tc>
        <w:tc>
          <w:tcPr>
            <w:tcW w:w="2237" w:type="dxa"/>
            <w:vAlign w:val="center"/>
          </w:tcPr>
          <w:p w:rsidR="003663E4" w:rsidRDefault="00FD3F7D">
            <w:pPr>
              <w:spacing w:line="360" w:lineRule="auto"/>
              <w:jc w:val="right"/>
              <w:rPr>
                <w:color w:val="000000"/>
                <w:szCs w:val="21"/>
              </w:rPr>
            </w:pPr>
            <w:r>
              <w:rPr>
                <w:color w:val="000000"/>
                <w:szCs w:val="21"/>
              </w:rPr>
              <w:t>8,882,484.66</w:t>
            </w:r>
          </w:p>
        </w:tc>
      </w:tr>
      <w:tr w:rsidR="003663E4">
        <w:tc>
          <w:tcPr>
            <w:tcW w:w="2706" w:type="dxa"/>
            <w:vAlign w:val="center"/>
          </w:tcPr>
          <w:p w:rsidR="003663E4" w:rsidRDefault="00FD3F7D">
            <w:pPr>
              <w:spacing w:line="360" w:lineRule="auto"/>
              <w:rPr>
                <w:color w:val="000000"/>
                <w:szCs w:val="21"/>
              </w:rPr>
            </w:pPr>
            <w:r>
              <w:rPr>
                <w:color w:val="000000"/>
                <w:szCs w:val="21"/>
              </w:rPr>
              <w:t>本期基金份额交易产生的变动数</w:t>
            </w:r>
          </w:p>
        </w:tc>
        <w:tc>
          <w:tcPr>
            <w:tcW w:w="2236" w:type="dxa"/>
            <w:vAlign w:val="center"/>
          </w:tcPr>
          <w:p w:rsidR="003663E4" w:rsidRDefault="00FD3F7D">
            <w:pPr>
              <w:spacing w:line="360" w:lineRule="auto"/>
              <w:jc w:val="right"/>
              <w:rPr>
                <w:color w:val="000000"/>
                <w:szCs w:val="21"/>
              </w:rPr>
            </w:pPr>
            <w:r>
              <w:rPr>
                <w:color w:val="000000"/>
                <w:szCs w:val="21"/>
              </w:rPr>
              <w:t>-2,214.01</w:t>
            </w:r>
          </w:p>
        </w:tc>
        <w:tc>
          <w:tcPr>
            <w:tcW w:w="2236" w:type="dxa"/>
            <w:vAlign w:val="center"/>
          </w:tcPr>
          <w:p w:rsidR="003663E4" w:rsidRDefault="00FD3F7D">
            <w:pPr>
              <w:spacing w:line="360" w:lineRule="auto"/>
              <w:jc w:val="right"/>
              <w:rPr>
                <w:color w:val="000000"/>
                <w:szCs w:val="21"/>
              </w:rPr>
            </w:pPr>
            <w:r>
              <w:rPr>
                <w:color w:val="000000"/>
                <w:szCs w:val="21"/>
              </w:rPr>
              <w:t>1,363.68</w:t>
            </w:r>
          </w:p>
        </w:tc>
        <w:tc>
          <w:tcPr>
            <w:tcW w:w="2237" w:type="dxa"/>
            <w:vAlign w:val="center"/>
          </w:tcPr>
          <w:p w:rsidR="003663E4" w:rsidRDefault="00FD3F7D">
            <w:pPr>
              <w:spacing w:line="360" w:lineRule="auto"/>
              <w:jc w:val="right"/>
              <w:rPr>
                <w:color w:val="000000"/>
                <w:szCs w:val="21"/>
              </w:rPr>
            </w:pPr>
            <w:r>
              <w:rPr>
                <w:color w:val="000000"/>
                <w:szCs w:val="21"/>
              </w:rPr>
              <w:t>-850.33</w:t>
            </w:r>
          </w:p>
        </w:tc>
      </w:tr>
      <w:tr w:rsidR="003663E4">
        <w:tc>
          <w:tcPr>
            <w:tcW w:w="2706" w:type="dxa"/>
            <w:vAlign w:val="center"/>
          </w:tcPr>
          <w:p w:rsidR="003663E4" w:rsidRDefault="00FD3F7D">
            <w:pPr>
              <w:spacing w:line="360" w:lineRule="auto"/>
              <w:rPr>
                <w:color w:val="000000"/>
                <w:szCs w:val="21"/>
              </w:rPr>
            </w:pPr>
            <w:r>
              <w:rPr>
                <w:color w:val="000000"/>
                <w:szCs w:val="21"/>
              </w:rPr>
              <w:t>其中：基金申购款</w:t>
            </w:r>
          </w:p>
        </w:tc>
        <w:tc>
          <w:tcPr>
            <w:tcW w:w="2236" w:type="dxa"/>
            <w:vAlign w:val="center"/>
          </w:tcPr>
          <w:p w:rsidR="003663E4" w:rsidRDefault="00FD3F7D">
            <w:pPr>
              <w:spacing w:line="360" w:lineRule="auto"/>
              <w:jc w:val="right"/>
              <w:rPr>
                <w:color w:val="000000"/>
                <w:szCs w:val="21"/>
              </w:rPr>
            </w:pPr>
            <w:r>
              <w:rPr>
                <w:color w:val="000000"/>
                <w:szCs w:val="21"/>
              </w:rPr>
              <w:t>3,474.15</w:t>
            </w:r>
          </w:p>
        </w:tc>
        <w:tc>
          <w:tcPr>
            <w:tcW w:w="2236" w:type="dxa"/>
            <w:vAlign w:val="center"/>
          </w:tcPr>
          <w:p w:rsidR="003663E4" w:rsidRDefault="00FD3F7D">
            <w:pPr>
              <w:spacing w:line="360" w:lineRule="auto"/>
              <w:jc w:val="right"/>
              <w:rPr>
                <w:color w:val="000000"/>
                <w:szCs w:val="21"/>
              </w:rPr>
            </w:pPr>
            <w:r>
              <w:rPr>
                <w:color w:val="000000"/>
                <w:szCs w:val="21"/>
              </w:rPr>
              <w:t>-681.70</w:t>
            </w:r>
          </w:p>
        </w:tc>
        <w:tc>
          <w:tcPr>
            <w:tcW w:w="2237" w:type="dxa"/>
            <w:vAlign w:val="center"/>
          </w:tcPr>
          <w:p w:rsidR="003663E4" w:rsidRDefault="00FD3F7D">
            <w:pPr>
              <w:spacing w:line="360" w:lineRule="auto"/>
              <w:jc w:val="right"/>
              <w:rPr>
                <w:color w:val="000000"/>
                <w:szCs w:val="21"/>
              </w:rPr>
            </w:pPr>
            <w:r>
              <w:rPr>
                <w:color w:val="000000"/>
                <w:szCs w:val="21"/>
              </w:rPr>
              <w:t>2,792.45</w:t>
            </w:r>
          </w:p>
        </w:tc>
      </w:tr>
      <w:tr w:rsidR="003663E4">
        <w:tc>
          <w:tcPr>
            <w:tcW w:w="2706" w:type="dxa"/>
            <w:vAlign w:val="center"/>
          </w:tcPr>
          <w:p w:rsidR="003663E4" w:rsidRDefault="00FD3F7D">
            <w:pPr>
              <w:spacing w:line="360" w:lineRule="auto"/>
              <w:ind w:firstLineChars="300" w:firstLine="630"/>
              <w:rPr>
                <w:color w:val="000000"/>
                <w:szCs w:val="21"/>
              </w:rPr>
            </w:pPr>
            <w:r>
              <w:rPr>
                <w:color w:val="000000"/>
                <w:szCs w:val="21"/>
              </w:rPr>
              <w:t>基金赎回款</w:t>
            </w:r>
          </w:p>
        </w:tc>
        <w:tc>
          <w:tcPr>
            <w:tcW w:w="2236" w:type="dxa"/>
            <w:vAlign w:val="center"/>
          </w:tcPr>
          <w:p w:rsidR="003663E4" w:rsidRDefault="00FD3F7D">
            <w:pPr>
              <w:spacing w:line="360" w:lineRule="auto"/>
              <w:jc w:val="right"/>
              <w:rPr>
                <w:color w:val="000000"/>
                <w:szCs w:val="21"/>
              </w:rPr>
            </w:pPr>
            <w:r>
              <w:rPr>
                <w:color w:val="000000"/>
                <w:szCs w:val="21"/>
              </w:rPr>
              <w:t>-5,688.16</w:t>
            </w:r>
          </w:p>
        </w:tc>
        <w:tc>
          <w:tcPr>
            <w:tcW w:w="2236" w:type="dxa"/>
            <w:vAlign w:val="center"/>
          </w:tcPr>
          <w:p w:rsidR="003663E4" w:rsidRDefault="00FD3F7D">
            <w:pPr>
              <w:spacing w:line="360" w:lineRule="auto"/>
              <w:jc w:val="right"/>
              <w:rPr>
                <w:color w:val="000000"/>
                <w:szCs w:val="21"/>
              </w:rPr>
            </w:pPr>
            <w:r>
              <w:rPr>
                <w:color w:val="000000"/>
                <w:szCs w:val="21"/>
              </w:rPr>
              <w:t>2,045.38</w:t>
            </w:r>
          </w:p>
        </w:tc>
        <w:tc>
          <w:tcPr>
            <w:tcW w:w="2237" w:type="dxa"/>
            <w:vAlign w:val="center"/>
          </w:tcPr>
          <w:p w:rsidR="003663E4" w:rsidRDefault="00FD3F7D">
            <w:pPr>
              <w:spacing w:line="360" w:lineRule="auto"/>
              <w:jc w:val="right"/>
              <w:rPr>
                <w:color w:val="000000"/>
                <w:szCs w:val="21"/>
              </w:rPr>
            </w:pPr>
            <w:r>
              <w:rPr>
                <w:color w:val="000000"/>
                <w:szCs w:val="21"/>
              </w:rPr>
              <w:t>-3,642.78</w:t>
            </w:r>
          </w:p>
        </w:tc>
      </w:tr>
      <w:tr w:rsidR="003663E4">
        <w:tc>
          <w:tcPr>
            <w:tcW w:w="2706" w:type="dxa"/>
            <w:vAlign w:val="center"/>
          </w:tcPr>
          <w:p w:rsidR="003663E4" w:rsidRDefault="00FD3F7D">
            <w:pPr>
              <w:spacing w:line="360" w:lineRule="auto"/>
              <w:rPr>
                <w:color w:val="000000"/>
                <w:szCs w:val="21"/>
              </w:rPr>
            </w:pPr>
            <w:r>
              <w:rPr>
                <w:color w:val="000000"/>
                <w:szCs w:val="21"/>
              </w:rPr>
              <w:t>本期已分配利润</w:t>
            </w:r>
          </w:p>
        </w:tc>
        <w:tc>
          <w:tcPr>
            <w:tcW w:w="2236" w:type="dxa"/>
            <w:vAlign w:val="center"/>
          </w:tcPr>
          <w:p w:rsidR="003663E4" w:rsidRDefault="00FD3F7D">
            <w:pPr>
              <w:spacing w:line="360" w:lineRule="auto"/>
              <w:jc w:val="right"/>
              <w:rPr>
                <w:color w:val="000000"/>
                <w:szCs w:val="21"/>
              </w:rPr>
            </w:pPr>
            <w:r>
              <w:rPr>
                <w:color w:val="000000"/>
                <w:szCs w:val="21"/>
              </w:rPr>
              <w:t>-</w:t>
            </w:r>
          </w:p>
        </w:tc>
        <w:tc>
          <w:tcPr>
            <w:tcW w:w="2236" w:type="dxa"/>
            <w:vAlign w:val="center"/>
          </w:tcPr>
          <w:p w:rsidR="003663E4" w:rsidRDefault="00FD3F7D">
            <w:pPr>
              <w:spacing w:line="360" w:lineRule="auto"/>
              <w:jc w:val="right"/>
              <w:rPr>
                <w:color w:val="000000"/>
                <w:szCs w:val="21"/>
              </w:rPr>
            </w:pPr>
            <w:r>
              <w:rPr>
                <w:color w:val="000000"/>
                <w:szCs w:val="21"/>
              </w:rPr>
              <w:t>-</w:t>
            </w:r>
          </w:p>
        </w:tc>
        <w:tc>
          <w:tcPr>
            <w:tcW w:w="2237" w:type="dxa"/>
            <w:vAlign w:val="center"/>
          </w:tcPr>
          <w:p w:rsidR="003663E4" w:rsidRDefault="00FD3F7D">
            <w:pPr>
              <w:spacing w:line="360" w:lineRule="auto"/>
              <w:jc w:val="right"/>
              <w:rPr>
                <w:color w:val="000000"/>
                <w:szCs w:val="21"/>
              </w:rPr>
            </w:pPr>
            <w:r>
              <w:rPr>
                <w:color w:val="000000"/>
                <w:szCs w:val="21"/>
              </w:rPr>
              <w:t>-</w:t>
            </w:r>
          </w:p>
        </w:tc>
      </w:tr>
      <w:tr w:rsidR="003663E4">
        <w:tc>
          <w:tcPr>
            <w:tcW w:w="2706" w:type="dxa"/>
            <w:vAlign w:val="center"/>
          </w:tcPr>
          <w:p w:rsidR="003663E4" w:rsidRDefault="00FD3F7D">
            <w:pPr>
              <w:spacing w:line="360" w:lineRule="auto"/>
              <w:rPr>
                <w:color w:val="000000"/>
                <w:szCs w:val="21"/>
              </w:rPr>
            </w:pPr>
            <w:r>
              <w:rPr>
                <w:color w:val="000000"/>
                <w:szCs w:val="21"/>
              </w:rPr>
              <w:t>本期末</w:t>
            </w:r>
          </w:p>
        </w:tc>
        <w:tc>
          <w:tcPr>
            <w:tcW w:w="2236" w:type="dxa"/>
            <w:vAlign w:val="center"/>
          </w:tcPr>
          <w:p w:rsidR="003663E4" w:rsidRDefault="00FD3F7D">
            <w:pPr>
              <w:spacing w:line="360" w:lineRule="auto"/>
              <w:jc w:val="right"/>
              <w:rPr>
                <w:color w:val="000000"/>
                <w:szCs w:val="21"/>
              </w:rPr>
            </w:pPr>
            <w:r>
              <w:rPr>
                <w:color w:val="000000"/>
                <w:szCs w:val="21"/>
              </w:rPr>
              <w:t>9,003,567.24</w:t>
            </w:r>
          </w:p>
        </w:tc>
        <w:tc>
          <w:tcPr>
            <w:tcW w:w="2236" w:type="dxa"/>
            <w:vAlign w:val="center"/>
          </w:tcPr>
          <w:p w:rsidR="003663E4" w:rsidRDefault="00FD3F7D">
            <w:pPr>
              <w:spacing w:line="360" w:lineRule="auto"/>
              <w:jc w:val="right"/>
              <w:rPr>
                <w:color w:val="000000"/>
                <w:szCs w:val="21"/>
              </w:rPr>
            </w:pPr>
            <w:r>
              <w:rPr>
                <w:color w:val="000000"/>
                <w:szCs w:val="21"/>
              </w:rPr>
              <w:t>-121,932.91</w:t>
            </w:r>
          </w:p>
        </w:tc>
        <w:tc>
          <w:tcPr>
            <w:tcW w:w="2237" w:type="dxa"/>
            <w:vAlign w:val="center"/>
          </w:tcPr>
          <w:p w:rsidR="003663E4" w:rsidRDefault="00FD3F7D">
            <w:pPr>
              <w:spacing w:line="360" w:lineRule="auto"/>
              <w:jc w:val="right"/>
              <w:rPr>
                <w:color w:val="000000"/>
                <w:szCs w:val="21"/>
              </w:rPr>
            </w:pPr>
            <w:r>
              <w:rPr>
                <w:color w:val="000000"/>
                <w:szCs w:val="21"/>
              </w:rPr>
              <w:t>8,881,634.33</w:t>
            </w:r>
          </w:p>
        </w:tc>
      </w:tr>
    </w:tbl>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7.1.4.7.11 </w:t>
      </w:r>
      <w:r>
        <w:rPr>
          <w:b/>
          <w:bCs/>
          <w:color w:val="000000"/>
          <w:kern w:val="0"/>
          <w:szCs w:val="21"/>
        </w:rPr>
        <w:t>存款利息收入</w:t>
      </w:r>
    </w:p>
    <w:p w:rsidR="003663E4" w:rsidRDefault="00FD3F7D">
      <w:pPr>
        <w:spacing w:line="360" w:lineRule="auto"/>
        <w:jc w:val="right"/>
        <w:rPr>
          <w:color w:val="000000"/>
          <w:szCs w:val="21"/>
        </w:rPr>
      </w:pPr>
      <w:r>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6088"/>
      </w:tblGrid>
      <w:tr w:rsidR="003663E4">
        <w:tc>
          <w:tcPr>
            <w:tcW w:w="2912" w:type="dxa"/>
            <w:vAlign w:val="center"/>
          </w:tcPr>
          <w:p w:rsidR="003663E4" w:rsidRDefault="00FD3F7D">
            <w:pPr>
              <w:spacing w:line="276" w:lineRule="auto"/>
              <w:jc w:val="center"/>
              <w:rPr>
                <w:color w:val="000000"/>
                <w:szCs w:val="21"/>
              </w:rPr>
            </w:pPr>
            <w:r>
              <w:rPr>
                <w:color w:val="000000"/>
                <w:szCs w:val="21"/>
              </w:rPr>
              <w:t>项目</w:t>
            </w:r>
          </w:p>
        </w:tc>
        <w:tc>
          <w:tcPr>
            <w:tcW w:w="6088" w:type="dxa"/>
            <w:vAlign w:val="center"/>
          </w:tcPr>
          <w:p w:rsidR="003663E4" w:rsidRDefault="00FD3F7D">
            <w:pPr>
              <w:spacing w:line="276" w:lineRule="auto"/>
              <w:jc w:val="center"/>
              <w:rPr>
                <w:color w:val="000000"/>
                <w:szCs w:val="21"/>
              </w:rPr>
            </w:pPr>
            <w:r>
              <w:rPr>
                <w:color w:val="000000"/>
                <w:szCs w:val="21"/>
              </w:rPr>
              <w:t>本期</w:t>
            </w:r>
          </w:p>
          <w:p w:rsidR="003663E4" w:rsidRDefault="00FD3F7D">
            <w:pPr>
              <w:spacing w:line="276" w:lineRule="auto"/>
              <w:jc w:val="center"/>
              <w:rPr>
                <w:b/>
                <w:color w:val="00000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日（基金合同生效日）至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663E4">
        <w:tc>
          <w:tcPr>
            <w:tcW w:w="2912" w:type="dxa"/>
            <w:vAlign w:val="center"/>
          </w:tcPr>
          <w:p w:rsidR="003663E4" w:rsidRDefault="00FD3F7D">
            <w:pPr>
              <w:spacing w:line="276" w:lineRule="auto"/>
              <w:rPr>
                <w:color w:val="000000"/>
                <w:szCs w:val="21"/>
              </w:rPr>
            </w:pPr>
            <w:r>
              <w:rPr>
                <w:color w:val="000000"/>
                <w:szCs w:val="21"/>
              </w:rPr>
              <w:t>活期存款利息收入</w:t>
            </w:r>
          </w:p>
        </w:tc>
        <w:tc>
          <w:tcPr>
            <w:tcW w:w="6088" w:type="dxa"/>
            <w:vAlign w:val="center"/>
          </w:tcPr>
          <w:p w:rsidR="003663E4" w:rsidRDefault="00FD3F7D">
            <w:pPr>
              <w:spacing w:line="276" w:lineRule="auto"/>
              <w:jc w:val="right"/>
              <w:rPr>
                <w:color w:val="000000"/>
                <w:szCs w:val="21"/>
              </w:rPr>
            </w:pPr>
            <w:r>
              <w:rPr>
                <w:color w:val="000000"/>
                <w:szCs w:val="21"/>
              </w:rPr>
              <w:t>5,216.82</w:t>
            </w:r>
          </w:p>
        </w:tc>
      </w:tr>
      <w:tr w:rsidR="003663E4">
        <w:tc>
          <w:tcPr>
            <w:tcW w:w="2912" w:type="dxa"/>
            <w:vAlign w:val="center"/>
          </w:tcPr>
          <w:p w:rsidR="003663E4" w:rsidRDefault="00FD3F7D">
            <w:pPr>
              <w:spacing w:line="276" w:lineRule="auto"/>
              <w:rPr>
                <w:color w:val="000000"/>
                <w:szCs w:val="21"/>
              </w:rPr>
            </w:pPr>
            <w:r>
              <w:rPr>
                <w:color w:val="000000"/>
                <w:szCs w:val="21"/>
              </w:rPr>
              <w:t>定期存款利息收入</w:t>
            </w:r>
          </w:p>
        </w:tc>
        <w:tc>
          <w:tcPr>
            <w:tcW w:w="6088" w:type="dxa"/>
            <w:vAlign w:val="center"/>
          </w:tcPr>
          <w:p w:rsidR="003663E4" w:rsidRDefault="00FD3F7D">
            <w:pPr>
              <w:spacing w:line="276" w:lineRule="auto"/>
              <w:jc w:val="right"/>
              <w:rPr>
                <w:color w:val="000000"/>
                <w:szCs w:val="21"/>
              </w:rPr>
            </w:pPr>
            <w:r>
              <w:rPr>
                <w:color w:val="000000"/>
                <w:szCs w:val="21"/>
              </w:rPr>
              <w:t>-</w:t>
            </w:r>
          </w:p>
        </w:tc>
      </w:tr>
      <w:tr w:rsidR="003663E4">
        <w:tc>
          <w:tcPr>
            <w:tcW w:w="2912" w:type="dxa"/>
            <w:vAlign w:val="center"/>
          </w:tcPr>
          <w:p w:rsidR="003663E4" w:rsidRDefault="00FD3F7D">
            <w:pPr>
              <w:spacing w:line="276" w:lineRule="auto"/>
              <w:rPr>
                <w:color w:val="000000"/>
                <w:szCs w:val="21"/>
              </w:rPr>
            </w:pPr>
            <w:r>
              <w:rPr>
                <w:color w:val="000000"/>
                <w:szCs w:val="21"/>
              </w:rPr>
              <w:t>其他存款利息收入</w:t>
            </w:r>
          </w:p>
        </w:tc>
        <w:tc>
          <w:tcPr>
            <w:tcW w:w="6088" w:type="dxa"/>
            <w:vAlign w:val="center"/>
          </w:tcPr>
          <w:p w:rsidR="003663E4" w:rsidRDefault="00FD3F7D">
            <w:pPr>
              <w:spacing w:line="276" w:lineRule="auto"/>
              <w:jc w:val="right"/>
              <w:rPr>
                <w:color w:val="000000"/>
                <w:szCs w:val="21"/>
              </w:rPr>
            </w:pPr>
            <w:r>
              <w:rPr>
                <w:color w:val="000000"/>
                <w:szCs w:val="21"/>
              </w:rPr>
              <w:t>-</w:t>
            </w:r>
          </w:p>
        </w:tc>
      </w:tr>
      <w:tr w:rsidR="003663E4">
        <w:tc>
          <w:tcPr>
            <w:tcW w:w="2912" w:type="dxa"/>
            <w:vAlign w:val="center"/>
          </w:tcPr>
          <w:p w:rsidR="003663E4" w:rsidRDefault="00FD3F7D">
            <w:pPr>
              <w:spacing w:line="276" w:lineRule="auto"/>
              <w:rPr>
                <w:color w:val="000000"/>
                <w:szCs w:val="21"/>
              </w:rPr>
            </w:pPr>
            <w:r>
              <w:rPr>
                <w:color w:val="000000"/>
                <w:szCs w:val="21"/>
              </w:rPr>
              <w:t>结算备付金利息收入</w:t>
            </w:r>
          </w:p>
        </w:tc>
        <w:tc>
          <w:tcPr>
            <w:tcW w:w="6088" w:type="dxa"/>
            <w:vAlign w:val="center"/>
          </w:tcPr>
          <w:p w:rsidR="003663E4" w:rsidRDefault="00FD3F7D">
            <w:pPr>
              <w:spacing w:line="276" w:lineRule="auto"/>
              <w:jc w:val="right"/>
              <w:rPr>
                <w:color w:val="000000"/>
                <w:szCs w:val="21"/>
              </w:rPr>
            </w:pPr>
            <w:r>
              <w:rPr>
                <w:color w:val="000000"/>
                <w:szCs w:val="21"/>
              </w:rPr>
              <w:t>4,587.38</w:t>
            </w:r>
          </w:p>
        </w:tc>
      </w:tr>
      <w:tr w:rsidR="003663E4">
        <w:tc>
          <w:tcPr>
            <w:tcW w:w="2912" w:type="dxa"/>
            <w:vAlign w:val="center"/>
          </w:tcPr>
          <w:p w:rsidR="003663E4" w:rsidRDefault="00FD3F7D">
            <w:pPr>
              <w:spacing w:line="276" w:lineRule="auto"/>
              <w:rPr>
                <w:color w:val="000000"/>
                <w:szCs w:val="21"/>
              </w:rPr>
            </w:pPr>
            <w:r>
              <w:rPr>
                <w:color w:val="000000"/>
                <w:szCs w:val="21"/>
              </w:rPr>
              <w:t>其他</w:t>
            </w:r>
          </w:p>
        </w:tc>
        <w:tc>
          <w:tcPr>
            <w:tcW w:w="6088" w:type="dxa"/>
            <w:vAlign w:val="center"/>
          </w:tcPr>
          <w:p w:rsidR="003663E4" w:rsidRDefault="00FD3F7D">
            <w:pPr>
              <w:spacing w:line="276" w:lineRule="auto"/>
              <w:jc w:val="right"/>
              <w:rPr>
                <w:color w:val="000000"/>
                <w:szCs w:val="21"/>
              </w:rPr>
            </w:pPr>
            <w:r>
              <w:rPr>
                <w:color w:val="000000"/>
                <w:szCs w:val="21"/>
              </w:rPr>
              <w:t>0.10</w:t>
            </w:r>
          </w:p>
        </w:tc>
      </w:tr>
      <w:tr w:rsidR="003663E4">
        <w:tc>
          <w:tcPr>
            <w:tcW w:w="2912" w:type="dxa"/>
            <w:vAlign w:val="center"/>
          </w:tcPr>
          <w:p w:rsidR="003663E4" w:rsidRDefault="00FD3F7D">
            <w:pPr>
              <w:spacing w:line="276" w:lineRule="auto"/>
              <w:rPr>
                <w:color w:val="000000"/>
                <w:szCs w:val="21"/>
              </w:rPr>
            </w:pPr>
            <w:r>
              <w:rPr>
                <w:color w:val="000000"/>
                <w:szCs w:val="21"/>
              </w:rPr>
              <w:t>合计</w:t>
            </w:r>
          </w:p>
        </w:tc>
        <w:tc>
          <w:tcPr>
            <w:tcW w:w="6088" w:type="dxa"/>
            <w:vAlign w:val="center"/>
          </w:tcPr>
          <w:p w:rsidR="003663E4" w:rsidRDefault="00FD3F7D">
            <w:pPr>
              <w:spacing w:line="276" w:lineRule="auto"/>
              <w:jc w:val="right"/>
              <w:rPr>
                <w:color w:val="000000"/>
                <w:szCs w:val="21"/>
              </w:rPr>
            </w:pPr>
            <w:r>
              <w:rPr>
                <w:color w:val="000000"/>
                <w:szCs w:val="21"/>
              </w:rPr>
              <w:t>9,804.30</w:t>
            </w:r>
          </w:p>
        </w:tc>
      </w:tr>
    </w:tbl>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7.1.4.7.12 </w:t>
      </w:r>
      <w:r>
        <w:rPr>
          <w:b/>
          <w:bCs/>
          <w:color w:val="000000"/>
          <w:kern w:val="0"/>
          <w:szCs w:val="21"/>
        </w:rPr>
        <w:t>股票投资收益</w:t>
      </w:r>
    </w:p>
    <w:p w:rsidR="003663E4" w:rsidRDefault="00FD3F7D">
      <w:pPr>
        <w:spacing w:line="360" w:lineRule="auto"/>
        <w:ind w:firstLineChars="200" w:firstLine="420"/>
        <w:rPr>
          <w:color w:val="000000"/>
          <w:szCs w:val="21"/>
        </w:rPr>
      </w:pPr>
      <w:r>
        <w:rPr>
          <w:color w:val="000000"/>
          <w:szCs w:val="21"/>
        </w:rPr>
        <w:t>本基金本报告期内无股票投资收益。</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7.1.4.7.13</w:t>
      </w:r>
      <w:r>
        <w:rPr>
          <w:rFonts w:hint="eastAsia"/>
          <w:b/>
          <w:bCs/>
          <w:color w:val="000000"/>
          <w:kern w:val="0"/>
          <w:szCs w:val="21"/>
        </w:rPr>
        <w:t xml:space="preserve"> </w:t>
      </w:r>
      <w:r>
        <w:rPr>
          <w:b/>
          <w:bCs/>
          <w:color w:val="000000"/>
          <w:kern w:val="0"/>
          <w:szCs w:val="21"/>
        </w:rPr>
        <w:t>债券投资收益</w:t>
      </w:r>
    </w:p>
    <w:p w:rsidR="003663E4" w:rsidRDefault="00FD3F7D">
      <w:pPr>
        <w:widowControl/>
        <w:tabs>
          <w:tab w:val="left" w:pos="1680"/>
        </w:tabs>
        <w:wordWrap w:val="0"/>
        <w:autoSpaceDE w:val="0"/>
        <w:autoSpaceDN w:val="0"/>
        <w:ind w:left="440"/>
        <w:jc w:val="right"/>
        <w:textAlignment w:val="bottom"/>
        <w:rPr>
          <w:color w:val="000000"/>
          <w:kern w:val="0"/>
          <w:szCs w:val="21"/>
        </w:rPr>
      </w:pPr>
      <w:r>
        <w:rPr>
          <w:color w:val="000000"/>
          <w:szCs w:val="21"/>
        </w:rPr>
        <w:t xml:space="preserve">         </w:t>
      </w:r>
      <w:r>
        <w:rPr>
          <w:color w:val="000000"/>
          <w:szCs w:val="21"/>
        </w:rPr>
        <w:t>单位：人民币元</w:t>
      </w:r>
    </w:p>
    <w:tbl>
      <w:tblPr>
        <w:tblW w:w="93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tblCellMar>
        <w:tblLook w:val="04A0" w:firstRow="1" w:lastRow="0" w:firstColumn="1" w:lastColumn="0" w:noHBand="0" w:noVBand="1"/>
      </w:tblPr>
      <w:tblGrid>
        <w:gridCol w:w="4129"/>
        <w:gridCol w:w="5232"/>
      </w:tblGrid>
      <w:tr w:rsidR="003663E4">
        <w:trPr>
          <w:trHeight w:val="315"/>
        </w:trPr>
        <w:tc>
          <w:tcPr>
            <w:tcW w:w="4129" w:type="dxa"/>
            <w:vAlign w:val="center"/>
          </w:tcPr>
          <w:p w:rsidR="003663E4" w:rsidRDefault="00FD3F7D">
            <w:pPr>
              <w:autoSpaceDE w:val="0"/>
              <w:autoSpaceDN w:val="0"/>
              <w:spacing w:line="276" w:lineRule="auto"/>
              <w:ind w:left="440"/>
              <w:jc w:val="center"/>
              <w:textAlignment w:val="bottom"/>
              <w:rPr>
                <w:color w:val="000000"/>
                <w:kern w:val="0"/>
                <w:szCs w:val="21"/>
              </w:rPr>
            </w:pPr>
            <w:r>
              <w:rPr>
                <w:color w:val="000000"/>
                <w:kern w:val="0"/>
                <w:szCs w:val="21"/>
              </w:rPr>
              <w:t>项目</w:t>
            </w:r>
          </w:p>
        </w:tc>
        <w:tc>
          <w:tcPr>
            <w:tcW w:w="5232" w:type="dxa"/>
            <w:vAlign w:val="center"/>
          </w:tcPr>
          <w:p w:rsidR="003663E4" w:rsidRDefault="00FD3F7D">
            <w:pPr>
              <w:spacing w:line="276" w:lineRule="auto"/>
              <w:jc w:val="center"/>
              <w:rPr>
                <w:color w:val="000000"/>
                <w:szCs w:val="21"/>
              </w:rPr>
            </w:pPr>
            <w:r>
              <w:rPr>
                <w:color w:val="000000"/>
                <w:szCs w:val="21"/>
              </w:rPr>
              <w:t>本期</w:t>
            </w:r>
          </w:p>
          <w:p w:rsidR="003663E4" w:rsidRDefault="00FD3F7D">
            <w:pPr>
              <w:widowControl/>
              <w:autoSpaceDE w:val="0"/>
              <w:autoSpaceDN w:val="0"/>
              <w:spacing w:line="276" w:lineRule="auto"/>
              <w:ind w:right="-15"/>
              <w:jc w:val="center"/>
              <w:textAlignment w:val="bottom"/>
              <w:rPr>
                <w:color w:val="000000"/>
                <w:kern w:val="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日（基金合同生效日）至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663E4">
        <w:trPr>
          <w:trHeight w:val="315"/>
        </w:trPr>
        <w:tc>
          <w:tcPr>
            <w:tcW w:w="4129" w:type="dxa"/>
            <w:vAlign w:val="center"/>
          </w:tcPr>
          <w:p w:rsidR="003663E4" w:rsidRDefault="00FD3F7D">
            <w:pPr>
              <w:widowControl/>
              <w:autoSpaceDE w:val="0"/>
              <w:autoSpaceDN w:val="0"/>
              <w:spacing w:line="276" w:lineRule="auto"/>
              <w:ind w:leftChars="50" w:left="105"/>
              <w:textAlignment w:val="bottom"/>
              <w:rPr>
                <w:color w:val="000000"/>
                <w:kern w:val="0"/>
                <w:szCs w:val="21"/>
              </w:rPr>
            </w:pPr>
            <w:r>
              <w:rPr>
                <w:color w:val="000000"/>
                <w:kern w:val="0"/>
                <w:szCs w:val="21"/>
              </w:rPr>
              <w:t>卖出债券（、债转股及债券到期兑付）成交总额</w:t>
            </w:r>
          </w:p>
        </w:tc>
        <w:tc>
          <w:tcPr>
            <w:tcW w:w="5232" w:type="dxa"/>
            <w:vAlign w:val="center"/>
          </w:tcPr>
          <w:p w:rsidR="003663E4" w:rsidRDefault="00FD3F7D">
            <w:pPr>
              <w:spacing w:line="276" w:lineRule="auto"/>
              <w:ind w:left="440"/>
              <w:jc w:val="right"/>
              <w:rPr>
                <w:color w:val="000000"/>
                <w:szCs w:val="21"/>
              </w:rPr>
            </w:pPr>
            <w:r>
              <w:rPr>
                <w:color w:val="000000"/>
                <w:szCs w:val="21"/>
              </w:rPr>
              <w:t>936,282,910.32</w:t>
            </w:r>
          </w:p>
        </w:tc>
      </w:tr>
      <w:tr w:rsidR="003663E4">
        <w:trPr>
          <w:trHeight w:val="315"/>
        </w:trPr>
        <w:tc>
          <w:tcPr>
            <w:tcW w:w="4129" w:type="dxa"/>
            <w:vAlign w:val="center"/>
          </w:tcPr>
          <w:p w:rsidR="003663E4" w:rsidRDefault="00FD3F7D">
            <w:pPr>
              <w:widowControl/>
              <w:autoSpaceDE w:val="0"/>
              <w:autoSpaceDN w:val="0"/>
              <w:spacing w:line="276" w:lineRule="auto"/>
              <w:ind w:leftChars="50" w:left="105"/>
              <w:textAlignment w:val="bottom"/>
              <w:rPr>
                <w:color w:val="000000"/>
                <w:kern w:val="0"/>
                <w:szCs w:val="21"/>
              </w:rPr>
            </w:pPr>
            <w:r>
              <w:rPr>
                <w:color w:val="000000"/>
                <w:szCs w:val="21"/>
              </w:rPr>
              <w:t>减：</w:t>
            </w:r>
            <w:r>
              <w:rPr>
                <w:color w:val="000000"/>
                <w:kern w:val="0"/>
                <w:szCs w:val="21"/>
              </w:rPr>
              <w:t>卖出债券（、债转股及债券到期兑付）成本总额</w:t>
            </w:r>
          </w:p>
        </w:tc>
        <w:tc>
          <w:tcPr>
            <w:tcW w:w="5232" w:type="dxa"/>
            <w:vAlign w:val="center"/>
          </w:tcPr>
          <w:p w:rsidR="003663E4" w:rsidRDefault="00FD3F7D">
            <w:pPr>
              <w:spacing w:line="276" w:lineRule="auto"/>
              <w:ind w:left="440"/>
              <w:jc w:val="right"/>
              <w:rPr>
                <w:color w:val="000000"/>
                <w:szCs w:val="21"/>
              </w:rPr>
            </w:pPr>
            <w:r>
              <w:rPr>
                <w:color w:val="000000"/>
                <w:szCs w:val="21"/>
              </w:rPr>
              <w:t>922,882,984.12</w:t>
            </w:r>
          </w:p>
        </w:tc>
      </w:tr>
      <w:tr w:rsidR="003663E4">
        <w:trPr>
          <w:trHeight w:val="315"/>
        </w:trPr>
        <w:tc>
          <w:tcPr>
            <w:tcW w:w="4129" w:type="dxa"/>
            <w:vAlign w:val="center"/>
          </w:tcPr>
          <w:p w:rsidR="003663E4" w:rsidRDefault="00FD3F7D">
            <w:pPr>
              <w:widowControl/>
              <w:autoSpaceDE w:val="0"/>
              <w:autoSpaceDN w:val="0"/>
              <w:spacing w:line="276" w:lineRule="auto"/>
              <w:ind w:firstLineChars="50" w:firstLine="105"/>
              <w:textAlignment w:val="bottom"/>
              <w:rPr>
                <w:color w:val="000000"/>
                <w:kern w:val="0"/>
                <w:szCs w:val="21"/>
              </w:rPr>
            </w:pPr>
            <w:r>
              <w:rPr>
                <w:color w:val="000000"/>
                <w:szCs w:val="21"/>
              </w:rPr>
              <w:t>减：</w:t>
            </w:r>
            <w:r>
              <w:rPr>
                <w:color w:val="000000"/>
                <w:kern w:val="0"/>
                <w:szCs w:val="21"/>
              </w:rPr>
              <w:t>应收利息总额</w:t>
            </w:r>
          </w:p>
        </w:tc>
        <w:tc>
          <w:tcPr>
            <w:tcW w:w="5232" w:type="dxa"/>
            <w:vAlign w:val="center"/>
          </w:tcPr>
          <w:p w:rsidR="003663E4" w:rsidRDefault="00FD3F7D">
            <w:pPr>
              <w:spacing w:line="276" w:lineRule="auto"/>
              <w:ind w:left="440"/>
              <w:jc w:val="right"/>
              <w:rPr>
                <w:color w:val="000000"/>
                <w:szCs w:val="21"/>
              </w:rPr>
            </w:pPr>
            <w:r>
              <w:rPr>
                <w:color w:val="000000"/>
                <w:szCs w:val="21"/>
              </w:rPr>
              <w:t>14,359,770.32</w:t>
            </w:r>
          </w:p>
        </w:tc>
      </w:tr>
      <w:tr w:rsidR="003663E4">
        <w:trPr>
          <w:trHeight w:val="315"/>
        </w:trPr>
        <w:tc>
          <w:tcPr>
            <w:tcW w:w="4129" w:type="dxa"/>
            <w:vAlign w:val="center"/>
          </w:tcPr>
          <w:p w:rsidR="003663E4" w:rsidRDefault="00FD3F7D">
            <w:pPr>
              <w:widowControl/>
              <w:autoSpaceDE w:val="0"/>
              <w:autoSpaceDN w:val="0"/>
              <w:spacing w:line="276" w:lineRule="auto"/>
              <w:ind w:leftChars="50" w:left="105"/>
              <w:textAlignment w:val="bottom"/>
              <w:rPr>
                <w:color w:val="000000"/>
                <w:kern w:val="0"/>
                <w:szCs w:val="21"/>
              </w:rPr>
            </w:pPr>
            <w:r>
              <w:rPr>
                <w:color w:val="000000"/>
                <w:kern w:val="0"/>
                <w:szCs w:val="21"/>
              </w:rPr>
              <w:t>买卖债券差价收入</w:t>
            </w:r>
          </w:p>
        </w:tc>
        <w:tc>
          <w:tcPr>
            <w:tcW w:w="5232" w:type="dxa"/>
            <w:vAlign w:val="center"/>
          </w:tcPr>
          <w:p w:rsidR="003663E4" w:rsidRDefault="00FD3F7D">
            <w:pPr>
              <w:spacing w:line="276" w:lineRule="auto"/>
              <w:ind w:left="440"/>
              <w:jc w:val="right"/>
              <w:rPr>
                <w:color w:val="000000"/>
                <w:szCs w:val="21"/>
              </w:rPr>
            </w:pPr>
            <w:r>
              <w:rPr>
                <w:color w:val="000000"/>
                <w:szCs w:val="21"/>
              </w:rPr>
              <w:t>-959,844.12</w:t>
            </w:r>
          </w:p>
        </w:tc>
      </w:tr>
    </w:tbl>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7.1.4.7.1</w:t>
      </w:r>
      <w:r>
        <w:rPr>
          <w:rFonts w:hint="eastAsia"/>
          <w:b/>
          <w:bCs/>
          <w:color w:val="000000"/>
          <w:kern w:val="0"/>
          <w:szCs w:val="21"/>
        </w:rPr>
        <w:t>4</w:t>
      </w:r>
      <w:r>
        <w:rPr>
          <w:b/>
          <w:bCs/>
          <w:color w:val="000000"/>
          <w:kern w:val="0"/>
          <w:szCs w:val="21"/>
        </w:rPr>
        <w:t xml:space="preserve"> </w:t>
      </w:r>
      <w:r>
        <w:rPr>
          <w:b/>
          <w:bCs/>
          <w:color w:val="000000"/>
          <w:kern w:val="0"/>
          <w:szCs w:val="21"/>
        </w:rPr>
        <w:t>资产支持证券投资收益</w:t>
      </w:r>
    </w:p>
    <w:p w:rsidR="003663E4" w:rsidRDefault="00FD3F7D">
      <w:pPr>
        <w:spacing w:line="360" w:lineRule="auto"/>
        <w:ind w:firstLineChars="200" w:firstLine="420"/>
        <w:rPr>
          <w:color w:val="000000"/>
          <w:szCs w:val="21"/>
        </w:rPr>
      </w:pPr>
      <w:r>
        <w:rPr>
          <w:color w:val="000000"/>
          <w:szCs w:val="21"/>
        </w:rPr>
        <w:t>本基金本报告期内无资产支持证券投资收益。</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7.1.4.7.1</w:t>
      </w:r>
      <w:r>
        <w:rPr>
          <w:rFonts w:hint="eastAsia"/>
          <w:b/>
          <w:bCs/>
          <w:color w:val="000000"/>
          <w:kern w:val="0"/>
          <w:szCs w:val="21"/>
        </w:rPr>
        <w:t>5</w:t>
      </w:r>
      <w:r>
        <w:rPr>
          <w:b/>
          <w:bCs/>
          <w:color w:val="000000"/>
          <w:kern w:val="0"/>
          <w:szCs w:val="21"/>
        </w:rPr>
        <w:t xml:space="preserve"> </w:t>
      </w:r>
      <w:r>
        <w:rPr>
          <w:b/>
          <w:bCs/>
          <w:color w:val="000000"/>
          <w:kern w:val="0"/>
          <w:szCs w:val="21"/>
        </w:rPr>
        <w:t>衍生工具收益</w:t>
      </w:r>
    </w:p>
    <w:p w:rsidR="003663E4" w:rsidRDefault="00FD3F7D">
      <w:pPr>
        <w:spacing w:line="360" w:lineRule="auto"/>
        <w:ind w:firstLineChars="200" w:firstLine="420"/>
        <w:rPr>
          <w:color w:val="000000"/>
          <w:szCs w:val="21"/>
        </w:rPr>
      </w:pPr>
      <w:r>
        <w:rPr>
          <w:color w:val="000000"/>
          <w:szCs w:val="21"/>
        </w:rPr>
        <w:t>本基金本报告期内无衍生工具收益。</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7.1.4.7.1</w:t>
      </w:r>
      <w:r>
        <w:rPr>
          <w:rFonts w:hint="eastAsia"/>
          <w:b/>
          <w:bCs/>
          <w:color w:val="000000"/>
          <w:kern w:val="0"/>
          <w:szCs w:val="21"/>
        </w:rPr>
        <w:t>6</w:t>
      </w:r>
      <w:r>
        <w:rPr>
          <w:b/>
          <w:bCs/>
          <w:color w:val="000000"/>
          <w:kern w:val="0"/>
          <w:szCs w:val="21"/>
        </w:rPr>
        <w:t xml:space="preserve"> </w:t>
      </w:r>
      <w:r>
        <w:rPr>
          <w:b/>
          <w:bCs/>
          <w:color w:val="000000"/>
          <w:kern w:val="0"/>
          <w:szCs w:val="21"/>
        </w:rPr>
        <w:t>股利收益</w:t>
      </w:r>
    </w:p>
    <w:p w:rsidR="003663E4" w:rsidRDefault="00FD3F7D">
      <w:pPr>
        <w:spacing w:line="360" w:lineRule="auto"/>
        <w:ind w:firstLineChars="200" w:firstLine="420"/>
        <w:rPr>
          <w:color w:val="000000"/>
          <w:szCs w:val="21"/>
        </w:rPr>
      </w:pPr>
      <w:r>
        <w:rPr>
          <w:color w:val="000000"/>
          <w:szCs w:val="21"/>
        </w:rPr>
        <w:t>本基金本报告期内无股利收益。</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7.1.4.7.1</w:t>
      </w:r>
      <w:r>
        <w:rPr>
          <w:rFonts w:hint="eastAsia"/>
          <w:b/>
          <w:bCs/>
          <w:color w:val="000000"/>
          <w:kern w:val="0"/>
          <w:szCs w:val="21"/>
        </w:rPr>
        <w:t xml:space="preserve">7 </w:t>
      </w:r>
      <w:r>
        <w:rPr>
          <w:b/>
          <w:bCs/>
          <w:color w:val="000000"/>
          <w:kern w:val="0"/>
          <w:szCs w:val="21"/>
        </w:rPr>
        <w:t>公允价值变动收益</w:t>
      </w:r>
    </w:p>
    <w:p w:rsidR="003663E4" w:rsidRDefault="00FD3F7D">
      <w:pPr>
        <w:tabs>
          <w:tab w:val="left" w:pos="8820"/>
        </w:tabs>
        <w:spacing w:line="360" w:lineRule="auto"/>
        <w:ind w:rightChars="-52" w:right="-109"/>
        <w:jc w:val="right"/>
        <w:rPr>
          <w:color w:val="000000"/>
          <w:szCs w:val="21"/>
        </w:rPr>
      </w:pPr>
      <w:r>
        <w:rPr>
          <w:rFonts w:hint="eastAsia"/>
          <w:color w:val="000000"/>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6298"/>
      </w:tblGrid>
      <w:tr w:rsidR="003663E4">
        <w:trPr>
          <w:trHeight w:val="285"/>
        </w:trPr>
        <w:tc>
          <w:tcPr>
            <w:tcW w:w="2987" w:type="dxa"/>
            <w:vAlign w:val="center"/>
          </w:tcPr>
          <w:p w:rsidR="003663E4" w:rsidRDefault="00FD3F7D">
            <w:pPr>
              <w:spacing w:line="276" w:lineRule="auto"/>
              <w:jc w:val="center"/>
              <w:rPr>
                <w:color w:val="000000"/>
                <w:szCs w:val="21"/>
              </w:rPr>
            </w:pPr>
            <w:r>
              <w:rPr>
                <w:rFonts w:hint="eastAsia"/>
                <w:color w:val="000000"/>
                <w:kern w:val="0"/>
                <w:szCs w:val="21"/>
              </w:rPr>
              <w:t>项目名称</w:t>
            </w:r>
          </w:p>
        </w:tc>
        <w:tc>
          <w:tcPr>
            <w:tcW w:w="6298" w:type="dxa"/>
          </w:tcPr>
          <w:p w:rsidR="003663E4" w:rsidRDefault="00FD3F7D">
            <w:pPr>
              <w:spacing w:line="276" w:lineRule="auto"/>
              <w:jc w:val="center"/>
              <w:rPr>
                <w:color w:val="000000"/>
                <w:szCs w:val="21"/>
              </w:rPr>
            </w:pPr>
            <w:r>
              <w:rPr>
                <w:rFonts w:hint="eastAsia"/>
                <w:color w:val="000000"/>
                <w:szCs w:val="21"/>
              </w:rPr>
              <w:t>本期</w:t>
            </w:r>
          </w:p>
          <w:p w:rsidR="003663E4" w:rsidRDefault="00FD3F7D">
            <w:pPr>
              <w:widowControl/>
              <w:autoSpaceDE w:val="0"/>
              <w:autoSpaceDN w:val="0"/>
              <w:spacing w:line="276" w:lineRule="auto"/>
              <w:ind w:right="-15"/>
              <w:jc w:val="center"/>
              <w:textAlignment w:val="bottom"/>
              <w:rPr>
                <w:color w:val="000000"/>
                <w:kern w:val="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日（基金合同生效日）</w:t>
            </w:r>
            <w:r>
              <w:rPr>
                <w:rFonts w:hint="eastAsia"/>
                <w:color w:val="000000"/>
                <w:szCs w:val="21"/>
              </w:rPr>
              <w:t>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663E4">
        <w:trPr>
          <w:trHeight w:val="285"/>
        </w:trPr>
        <w:tc>
          <w:tcPr>
            <w:tcW w:w="2987" w:type="dxa"/>
            <w:vAlign w:val="center"/>
          </w:tcPr>
          <w:p w:rsidR="003663E4" w:rsidRDefault="00FD3F7D">
            <w:pPr>
              <w:widowControl/>
              <w:spacing w:line="360" w:lineRule="auto"/>
              <w:rPr>
                <w:rFonts w:eastAsiaTheme="minorEastAsia"/>
                <w:kern w:val="0"/>
                <w:szCs w:val="21"/>
              </w:rPr>
            </w:pPr>
            <w:r>
              <w:rPr>
                <w:rFonts w:eastAsiaTheme="minorEastAsia"/>
                <w:kern w:val="0"/>
                <w:szCs w:val="21"/>
              </w:rPr>
              <w:t>1.</w:t>
            </w:r>
            <w:r>
              <w:rPr>
                <w:rFonts w:eastAsiaTheme="minorEastAsia" w:hint="eastAsia"/>
                <w:kern w:val="0"/>
                <w:szCs w:val="21"/>
              </w:rPr>
              <w:t>交易性金融资产</w:t>
            </w:r>
          </w:p>
        </w:tc>
        <w:tc>
          <w:tcPr>
            <w:tcW w:w="6298" w:type="dxa"/>
            <w:vAlign w:val="center"/>
          </w:tcPr>
          <w:p w:rsidR="003663E4" w:rsidRDefault="00FD3F7D">
            <w:pPr>
              <w:spacing w:line="276" w:lineRule="auto"/>
              <w:jc w:val="right"/>
              <w:rPr>
                <w:color w:val="000000"/>
                <w:szCs w:val="21"/>
              </w:rPr>
            </w:pPr>
            <w:r>
              <w:rPr>
                <w:color w:val="000000"/>
                <w:szCs w:val="21"/>
              </w:rPr>
              <w:t>-123,296.59</w:t>
            </w:r>
          </w:p>
        </w:tc>
      </w:tr>
      <w:tr w:rsidR="003663E4">
        <w:trPr>
          <w:trHeight w:val="285"/>
        </w:trPr>
        <w:tc>
          <w:tcPr>
            <w:tcW w:w="2987" w:type="dxa"/>
            <w:vAlign w:val="center"/>
          </w:tcPr>
          <w:p w:rsidR="003663E4" w:rsidRDefault="00FD3F7D">
            <w:pPr>
              <w:widowControl/>
              <w:spacing w:line="360" w:lineRule="auto"/>
              <w:rPr>
                <w:rFonts w:eastAsiaTheme="minorEastAsia"/>
                <w:kern w:val="0"/>
                <w:szCs w:val="21"/>
              </w:rPr>
            </w:pPr>
            <w:r>
              <w:rPr>
                <w:rFonts w:eastAsiaTheme="minorEastAsia"/>
                <w:kern w:val="0"/>
                <w:szCs w:val="21"/>
              </w:rPr>
              <w:t>——</w:t>
            </w:r>
            <w:r>
              <w:rPr>
                <w:rFonts w:eastAsiaTheme="minorEastAsia" w:hint="eastAsia"/>
                <w:kern w:val="0"/>
                <w:szCs w:val="21"/>
              </w:rPr>
              <w:t>股票投资</w:t>
            </w:r>
          </w:p>
        </w:tc>
        <w:tc>
          <w:tcPr>
            <w:tcW w:w="6298" w:type="dxa"/>
            <w:vAlign w:val="center"/>
          </w:tcPr>
          <w:p w:rsidR="003663E4" w:rsidRDefault="00FD3F7D">
            <w:pPr>
              <w:spacing w:line="276" w:lineRule="auto"/>
              <w:jc w:val="right"/>
              <w:rPr>
                <w:color w:val="000000"/>
                <w:szCs w:val="21"/>
              </w:rPr>
            </w:pPr>
            <w:r>
              <w:rPr>
                <w:color w:val="000000"/>
                <w:szCs w:val="21"/>
              </w:rPr>
              <w:t>-</w:t>
            </w:r>
          </w:p>
        </w:tc>
      </w:tr>
      <w:tr w:rsidR="003663E4">
        <w:trPr>
          <w:trHeight w:val="285"/>
        </w:trPr>
        <w:tc>
          <w:tcPr>
            <w:tcW w:w="2987" w:type="dxa"/>
            <w:vAlign w:val="center"/>
          </w:tcPr>
          <w:p w:rsidR="003663E4" w:rsidRDefault="00FD3F7D">
            <w:pPr>
              <w:widowControl/>
              <w:spacing w:line="360" w:lineRule="auto"/>
              <w:rPr>
                <w:rFonts w:eastAsiaTheme="minorEastAsia"/>
                <w:kern w:val="0"/>
                <w:szCs w:val="21"/>
              </w:rPr>
            </w:pPr>
            <w:r>
              <w:rPr>
                <w:rFonts w:eastAsiaTheme="minorEastAsia"/>
                <w:kern w:val="0"/>
                <w:szCs w:val="21"/>
              </w:rPr>
              <w:t>——</w:t>
            </w:r>
            <w:r>
              <w:rPr>
                <w:rFonts w:eastAsiaTheme="minorEastAsia" w:hint="eastAsia"/>
                <w:kern w:val="0"/>
                <w:szCs w:val="21"/>
              </w:rPr>
              <w:t>债券投资</w:t>
            </w:r>
          </w:p>
        </w:tc>
        <w:tc>
          <w:tcPr>
            <w:tcW w:w="6298" w:type="dxa"/>
            <w:vAlign w:val="center"/>
          </w:tcPr>
          <w:p w:rsidR="003663E4" w:rsidRDefault="00FD3F7D">
            <w:pPr>
              <w:spacing w:line="276" w:lineRule="auto"/>
              <w:jc w:val="right"/>
              <w:rPr>
                <w:color w:val="000000"/>
                <w:szCs w:val="21"/>
              </w:rPr>
            </w:pPr>
            <w:r>
              <w:rPr>
                <w:color w:val="000000"/>
                <w:szCs w:val="21"/>
              </w:rPr>
              <w:t>-123,296.59</w:t>
            </w:r>
          </w:p>
        </w:tc>
      </w:tr>
      <w:tr w:rsidR="003663E4">
        <w:trPr>
          <w:trHeight w:val="285"/>
        </w:trPr>
        <w:tc>
          <w:tcPr>
            <w:tcW w:w="2987" w:type="dxa"/>
            <w:vAlign w:val="center"/>
          </w:tcPr>
          <w:p w:rsidR="003663E4" w:rsidRDefault="00FD3F7D">
            <w:pPr>
              <w:widowControl/>
              <w:spacing w:line="360" w:lineRule="auto"/>
              <w:rPr>
                <w:rFonts w:eastAsiaTheme="minorEastAsia"/>
                <w:kern w:val="0"/>
                <w:szCs w:val="21"/>
              </w:rPr>
            </w:pPr>
            <w:r>
              <w:rPr>
                <w:rFonts w:eastAsiaTheme="minorEastAsia"/>
                <w:kern w:val="0"/>
                <w:szCs w:val="21"/>
              </w:rPr>
              <w:t>——</w:t>
            </w:r>
            <w:r>
              <w:rPr>
                <w:rFonts w:eastAsiaTheme="minorEastAsia" w:hint="eastAsia"/>
                <w:kern w:val="0"/>
                <w:szCs w:val="21"/>
              </w:rPr>
              <w:t>资产支持证券投资</w:t>
            </w:r>
          </w:p>
        </w:tc>
        <w:tc>
          <w:tcPr>
            <w:tcW w:w="6298" w:type="dxa"/>
            <w:vAlign w:val="center"/>
          </w:tcPr>
          <w:p w:rsidR="003663E4" w:rsidRDefault="00FD3F7D">
            <w:pPr>
              <w:spacing w:line="276" w:lineRule="auto"/>
              <w:jc w:val="right"/>
              <w:rPr>
                <w:color w:val="000000"/>
                <w:szCs w:val="21"/>
              </w:rPr>
            </w:pPr>
            <w:r>
              <w:rPr>
                <w:color w:val="000000"/>
                <w:szCs w:val="21"/>
              </w:rPr>
              <w:t>-</w:t>
            </w:r>
          </w:p>
        </w:tc>
      </w:tr>
      <w:tr w:rsidR="003663E4">
        <w:trPr>
          <w:trHeight w:val="285"/>
        </w:trPr>
        <w:tc>
          <w:tcPr>
            <w:tcW w:w="2987" w:type="dxa"/>
            <w:vAlign w:val="center"/>
          </w:tcPr>
          <w:p w:rsidR="003663E4" w:rsidRDefault="00FD3F7D">
            <w:pPr>
              <w:widowControl/>
              <w:spacing w:line="360" w:lineRule="auto"/>
              <w:rPr>
                <w:rFonts w:eastAsiaTheme="minorEastAsia"/>
                <w:kern w:val="0"/>
                <w:szCs w:val="21"/>
              </w:rPr>
            </w:pPr>
            <w:r>
              <w:rPr>
                <w:rFonts w:eastAsiaTheme="minorEastAsia"/>
                <w:kern w:val="0"/>
                <w:szCs w:val="21"/>
              </w:rPr>
              <w:t>——</w:t>
            </w:r>
            <w:r>
              <w:rPr>
                <w:rFonts w:eastAsiaTheme="minorEastAsia" w:hint="eastAsia"/>
                <w:kern w:val="0"/>
                <w:szCs w:val="21"/>
              </w:rPr>
              <w:t>基金投资</w:t>
            </w:r>
          </w:p>
        </w:tc>
        <w:tc>
          <w:tcPr>
            <w:tcW w:w="6298" w:type="dxa"/>
            <w:vAlign w:val="center"/>
          </w:tcPr>
          <w:p w:rsidR="003663E4" w:rsidRDefault="00FD3F7D">
            <w:pPr>
              <w:spacing w:line="276" w:lineRule="auto"/>
              <w:jc w:val="right"/>
              <w:rPr>
                <w:color w:val="000000"/>
                <w:szCs w:val="21"/>
              </w:rPr>
            </w:pPr>
            <w:r>
              <w:rPr>
                <w:color w:val="000000"/>
                <w:szCs w:val="21"/>
              </w:rPr>
              <w:t>-</w:t>
            </w:r>
          </w:p>
        </w:tc>
      </w:tr>
      <w:tr w:rsidR="003663E4">
        <w:trPr>
          <w:trHeight w:val="285"/>
        </w:trPr>
        <w:tc>
          <w:tcPr>
            <w:tcW w:w="2987" w:type="dxa"/>
            <w:vAlign w:val="center"/>
          </w:tcPr>
          <w:p w:rsidR="003663E4" w:rsidRDefault="00FD3F7D">
            <w:pPr>
              <w:widowControl/>
              <w:spacing w:line="360" w:lineRule="auto"/>
              <w:rPr>
                <w:rFonts w:eastAsiaTheme="minorEastAsia"/>
                <w:kern w:val="0"/>
                <w:szCs w:val="21"/>
              </w:rPr>
            </w:pPr>
            <w:r>
              <w:rPr>
                <w:rFonts w:eastAsiaTheme="minorEastAsia"/>
                <w:kern w:val="0"/>
                <w:szCs w:val="21"/>
              </w:rPr>
              <w:t>——</w:t>
            </w:r>
            <w:r>
              <w:rPr>
                <w:rFonts w:eastAsiaTheme="minorEastAsia" w:hint="eastAsia"/>
                <w:kern w:val="0"/>
                <w:szCs w:val="21"/>
              </w:rPr>
              <w:t>贵金属投资</w:t>
            </w:r>
          </w:p>
        </w:tc>
        <w:tc>
          <w:tcPr>
            <w:tcW w:w="6298" w:type="dxa"/>
            <w:vAlign w:val="center"/>
          </w:tcPr>
          <w:p w:rsidR="003663E4" w:rsidRDefault="00FD3F7D">
            <w:pPr>
              <w:spacing w:line="276" w:lineRule="auto"/>
              <w:jc w:val="right"/>
              <w:rPr>
                <w:color w:val="000000"/>
                <w:szCs w:val="21"/>
              </w:rPr>
            </w:pPr>
            <w:r>
              <w:rPr>
                <w:color w:val="000000"/>
                <w:szCs w:val="21"/>
              </w:rPr>
              <w:t>-</w:t>
            </w:r>
          </w:p>
        </w:tc>
      </w:tr>
      <w:tr w:rsidR="003663E4">
        <w:trPr>
          <w:trHeight w:val="285"/>
        </w:trPr>
        <w:tc>
          <w:tcPr>
            <w:tcW w:w="2987" w:type="dxa"/>
            <w:vAlign w:val="center"/>
          </w:tcPr>
          <w:p w:rsidR="003663E4" w:rsidRDefault="00FD3F7D">
            <w:pPr>
              <w:widowControl/>
              <w:jc w:val="left"/>
              <w:rPr>
                <w:rFonts w:eastAsiaTheme="minorEastAsia"/>
                <w:kern w:val="0"/>
                <w:szCs w:val="21"/>
              </w:rPr>
            </w:pPr>
            <w:r>
              <w:rPr>
                <w:rFonts w:eastAsiaTheme="minorEastAsia"/>
                <w:kern w:val="0"/>
                <w:szCs w:val="21"/>
              </w:rPr>
              <w:t>——</w:t>
            </w:r>
            <w:r>
              <w:rPr>
                <w:rFonts w:eastAsiaTheme="minorEastAsia" w:hint="eastAsia"/>
                <w:kern w:val="0"/>
                <w:szCs w:val="21"/>
              </w:rPr>
              <w:t>其他</w:t>
            </w:r>
          </w:p>
        </w:tc>
        <w:tc>
          <w:tcPr>
            <w:tcW w:w="6298" w:type="dxa"/>
            <w:vAlign w:val="center"/>
          </w:tcPr>
          <w:p w:rsidR="003663E4" w:rsidRDefault="00FD3F7D">
            <w:pPr>
              <w:spacing w:line="360" w:lineRule="auto"/>
              <w:jc w:val="right"/>
              <w:rPr>
                <w:szCs w:val="21"/>
              </w:rPr>
            </w:pPr>
            <w:r>
              <w:rPr>
                <w:szCs w:val="21"/>
              </w:rPr>
              <w:t>-</w:t>
            </w:r>
          </w:p>
        </w:tc>
      </w:tr>
      <w:tr w:rsidR="003663E4">
        <w:trPr>
          <w:trHeight w:val="285"/>
        </w:trPr>
        <w:tc>
          <w:tcPr>
            <w:tcW w:w="2987" w:type="dxa"/>
            <w:vAlign w:val="center"/>
          </w:tcPr>
          <w:p w:rsidR="003663E4" w:rsidRDefault="00FD3F7D">
            <w:pPr>
              <w:widowControl/>
              <w:spacing w:line="360" w:lineRule="auto"/>
              <w:rPr>
                <w:rFonts w:eastAsiaTheme="minorEastAsia"/>
                <w:kern w:val="0"/>
                <w:szCs w:val="21"/>
              </w:rPr>
            </w:pPr>
            <w:r>
              <w:rPr>
                <w:rFonts w:eastAsiaTheme="minorEastAsia"/>
                <w:kern w:val="0"/>
                <w:szCs w:val="21"/>
              </w:rPr>
              <w:t>2.</w:t>
            </w:r>
            <w:r>
              <w:rPr>
                <w:rFonts w:eastAsiaTheme="minorEastAsia" w:hint="eastAsia"/>
                <w:kern w:val="0"/>
                <w:szCs w:val="21"/>
              </w:rPr>
              <w:t>衍生工具</w:t>
            </w:r>
          </w:p>
        </w:tc>
        <w:tc>
          <w:tcPr>
            <w:tcW w:w="6298" w:type="dxa"/>
            <w:vAlign w:val="center"/>
          </w:tcPr>
          <w:p w:rsidR="003663E4" w:rsidRDefault="00FD3F7D">
            <w:pPr>
              <w:spacing w:line="276" w:lineRule="auto"/>
              <w:jc w:val="right"/>
              <w:rPr>
                <w:color w:val="000000"/>
                <w:szCs w:val="21"/>
              </w:rPr>
            </w:pPr>
            <w:r>
              <w:rPr>
                <w:color w:val="000000"/>
                <w:szCs w:val="21"/>
              </w:rPr>
              <w:t>-</w:t>
            </w:r>
          </w:p>
        </w:tc>
      </w:tr>
      <w:tr w:rsidR="003663E4">
        <w:trPr>
          <w:trHeight w:val="285"/>
        </w:trPr>
        <w:tc>
          <w:tcPr>
            <w:tcW w:w="2987" w:type="dxa"/>
            <w:vAlign w:val="center"/>
          </w:tcPr>
          <w:p w:rsidR="003663E4" w:rsidRDefault="00FD3F7D">
            <w:pPr>
              <w:widowControl/>
              <w:spacing w:line="360" w:lineRule="auto"/>
              <w:rPr>
                <w:rFonts w:eastAsiaTheme="minorEastAsia"/>
                <w:kern w:val="0"/>
                <w:szCs w:val="21"/>
              </w:rPr>
            </w:pPr>
            <w:r>
              <w:rPr>
                <w:rFonts w:eastAsiaTheme="minorEastAsia"/>
                <w:kern w:val="0"/>
                <w:szCs w:val="21"/>
              </w:rPr>
              <w:t>——</w:t>
            </w:r>
            <w:r>
              <w:rPr>
                <w:rFonts w:eastAsiaTheme="minorEastAsia" w:hint="eastAsia"/>
                <w:kern w:val="0"/>
                <w:szCs w:val="21"/>
              </w:rPr>
              <w:t>权证投资</w:t>
            </w:r>
          </w:p>
        </w:tc>
        <w:tc>
          <w:tcPr>
            <w:tcW w:w="6298" w:type="dxa"/>
            <w:vAlign w:val="center"/>
          </w:tcPr>
          <w:p w:rsidR="003663E4" w:rsidRDefault="00FD3F7D">
            <w:pPr>
              <w:spacing w:line="276" w:lineRule="auto"/>
              <w:jc w:val="right"/>
              <w:rPr>
                <w:color w:val="000000"/>
                <w:szCs w:val="21"/>
              </w:rPr>
            </w:pPr>
            <w:r>
              <w:rPr>
                <w:color w:val="000000"/>
                <w:szCs w:val="21"/>
              </w:rPr>
              <w:t>-</w:t>
            </w:r>
          </w:p>
        </w:tc>
      </w:tr>
      <w:tr w:rsidR="003663E4">
        <w:trPr>
          <w:trHeight w:val="285"/>
        </w:trPr>
        <w:tc>
          <w:tcPr>
            <w:tcW w:w="2987" w:type="dxa"/>
            <w:vAlign w:val="center"/>
          </w:tcPr>
          <w:p w:rsidR="003663E4" w:rsidRDefault="00FD3F7D">
            <w:pPr>
              <w:widowControl/>
              <w:spacing w:line="360" w:lineRule="auto"/>
              <w:rPr>
                <w:color w:val="000000"/>
                <w:szCs w:val="21"/>
              </w:rPr>
            </w:pPr>
            <w:r>
              <w:rPr>
                <w:rFonts w:eastAsiaTheme="minorEastAsia"/>
                <w:kern w:val="0"/>
                <w:szCs w:val="21"/>
              </w:rPr>
              <w:t>3.</w:t>
            </w:r>
            <w:r>
              <w:rPr>
                <w:rFonts w:eastAsiaTheme="minorEastAsia" w:hint="eastAsia"/>
                <w:kern w:val="0"/>
                <w:szCs w:val="21"/>
              </w:rPr>
              <w:t>其他</w:t>
            </w:r>
          </w:p>
        </w:tc>
        <w:tc>
          <w:tcPr>
            <w:tcW w:w="6298" w:type="dxa"/>
            <w:vAlign w:val="bottom"/>
          </w:tcPr>
          <w:p w:rsidR="003663E4" w:rsidRDefault="00FD3F7D">
            <w:pPr>
              <w:spacing w:line="276" w:lineRule="auto"/>
              <w:jc w:val="right"/>
              <w:rPr>
                <w:color w:val="000000"/>
                <w:szCs w:val="21"/>
              </w:rPr>
            </w:pPr>
            <w:r>
              <w:rPr>
                <w:color w:val="000000"/>
                <w:szCs w:val="21"/>
              </w:rPr>
              <w:t>-</w:t>
            </w:r>
          </w:p>
        </w:tc>
      </w:tr>
      <w:tr w:rsidR="003663E4">
        <w:trPr>
          <w:trHeight w:val="285"/>
        </w:trPr>
        <w:tc>
          <w:tcPr>
            <w:tcW w:w="2987" w:type="dxa"/>
            <w:vAlign w:val="center"/>
          </w:tcPr>
          <w:p w:rsidR="003663E4" w:rsidRDefault="00FD3F7D">
            <w:pPr>
              <w:widowControl/>
              <w:jc w:val="left"/>
              <w:rPr>
                <w:rFonts w:eastAsiaTheme="minorEastAsia"/>
                <w:kern w:val="0"/>
                <w:szCs w:val="21"/>
              </w:rPr>
            </w:pPr>
            <w:r>
              <w:rPr>
                <w:rFonts w:eastAsiaTheme="minorEastAsia" w:hint="eastAsia"/>
                <w:kern w:val="0"/>
                <w:szCs w:val="21"/>
              </w:rPr>
              <w:t>减：应税金融商品公允价值变动产生的预估增值税</w:t>
            </w:r>
          </w:p>
        </w:tc>
        <w:tc>
          <w:tcPr>
            <w:tcW w:w="6298" w:type="dxa"/>
            <w:vAlign w:val="bottom"/>
          </w:tcPr>
          <w:p w:rsidR="003663E4" w:rsidRDefault="00FD3F7D">
            <w:pPr>
              <w:jc w:val="right"/>
              <w:rPr>
                <w:rFonts w:eastAsiaTheme="minorEastAsia"/>
                <w:szCs w:val="21"/>
              </w:rPr>
            </w:pPr>
            <w:r>
              <w:rPr>
                <w:rFonts w:eastAsiaTheme="minorEastAsia"/>
                <w:szCs w:val="21"/>
              </w:rPr>
              <w:t>-</w:t>
            </w:r>
          </w:p>
        </w:tc>
      </w:tr>
      <w:tr w:rsidR="003663E4">
        <w:trPr>
          <w:trHeight w:val="285"/>
        </w:trPr>
        <w:tc>
          <w:tcPr>
            <w:tcW w:w="2987" w:type="dxa"/>
            <w:vAlign w:val="center"/>
          </w:tcPr>
          <w:p w:rsidR="003663E4" w:rsidRDefault="00FD3F7D">
            <w:pPr>
              <w:widowControl/>
              <w:spacing w:line="360" w:lineRule="auto"/>
              <w:rPr>
                <w:color w:val="000000"/>
                <w:szCs w:val="21"/>
              </w:rPr>
            </w:pPr>
            <w:r>
              <w:rPr>
                <w:rFonts w:eastAsiaTheme="minorEastAsia" w:hint="eastAsia"/>
                <w:kern w:val="0"/>
                <w:szCs w:val="21"/>
              </w:rPr>
              <w:t>合计</w:t>
            </w:r>
          </w:p>
        </w:tc>
        <w:tc>
          <w:tcPr>
            <w:tcW w:w="6298" w:type="dxa"/>
            <w:vAlign w:val="bottom"/>
          </w:tcPr>
          <w:p w:rsidR="003663E4" w:rsidRDefault="00FD3F7D">
            <w:pPr>
              <w:spacing w:line="276" w:lineRule="auto"/>
              <w:jc w:val="right"/>
              <w:rPr>
                <w:color w:val="000000"/>
                <w:szCs w:val="21"/>
              </w:rPr>
            </w:pPr>
            <w:r>
              <w:rPr>
                <w:color w:val="000000"/>
                <w:szCs w:val="21"/>
              </w:rPr>
              <w:t>-123,296.59</w:t>
            </w:r>
          </w:p>
        </w:tc>
      </w:tr>
    </w:tbl>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7.1.4.7.1</w:t>
      </w:r>
      <w:r>
        <w:rPr>
          <w:rFonts w:hint="eastAsia"/>
          <w:b/>
          <w:bCs/>
          <w:color w:val="000000"/>
          <w:kern w:val="0"/>
          <w:szCs w:val="21"/>
        </w:rPr>
        <w:t>8</w:t>
      </w:r>
      <w:r>
        <w:rPr>
          <w:b/>
          <w:bCs/>
          <w:color w:val="000000"/>
          <w:kern w:val="0"/>
          <w:szCs w:val="21"/>
        </w:rPr>
        <w:t xml:space="preserve"> </w:t>
      </w:r>
      <w:r>
        <w:rPr>
          <w:b/>
          <w:bCs/>
          <w:color w:val="000000"/>
          <w:kern w:val="0"/>
          <w:szCs w:val="21"/>
        </w:rPr>
        <w:t>其他收入</w:t>
      </w:r>
    </w:p>
    <w:p w:rsidR="003663E4" w:rsidRDefault="00FD3F7D">
      <w:pPr>
        <w:tabs>
          <w:tab w:val="left" w:pos="7200"/>
          <w:tab w:val="left" w:pos="8280"/>
        </w:tabs>
        <w:spacing w:line="360" w:lineRule="auto"/>
        <w:ind w:rightChars="-52" w:right="-109"/>
        <w:jc w:val="right"/>
        <w:rPr>
          <w:color w:val="000000"/>
          <w:szCs w:val="21"/>
        </w:rPr>
      </w:pPr>
      <w:r>
        <w:rPr>
          <w:color w:val="000000"/>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7196"/>
      </w:tblGrid>
      <w:tr w:rsidR="003663E4">
        <w:trPr>
          <w:trHeight w:val="255"/>
        </w:trPr>
        <w:tc>
          <w:tcPr>
            <w:tcW w:w="1984" w:type="dxa"/>
            <w:vAlign w:val="center"/>
          </w:tcPr>
          <w:p w:rsidR="003663E4" w:rsidRDefault="00FD3F7D">
            <w:pPr>
              <w:spacing w:line="276" w:lineRule="auto"/>
              <w:jc w:val="center"/>
              <w:rPr>
                <w:color w:val="000000"/>
                <w:szCs w:val="21"/>
              </w:rPr>
            </w:pPr>
            <w:r>
              <w:rPr>
                <w:color w:val="000000"/>
                <w:szCs w:val="21"/>
              </w:rPr>
              <w:t>项目</w:t>
            </w:r>
          </w:p>
        </w:tc>
        <w:tc>
          <w:tcPr>
            <w:tcW w:w="7196" w:type="dxa"/>
          </w:tcPr>
          <w:p w:rsidR="003663E4" w:rsidRDefault="00FD3F7D">
            <w:pPr>
              <w:spacing w:line="276" w:lineRule="auto"/>
              <w:jc w:val="center"/>
              <w:rPr>
                <w:color w:val="000000"/>
                <w:szCs w:val="21"/>
              </w:rPr>
            </w:pPr>
            <w:r>
              <w:rPr>
                <w:color w:val="000000"/>
                <w:szCs w:val="21"/>
              </w:rPr>
              <w:t>本期</w:t>
            </w:r>
          </w:p>
          <w:p w:rsidR="003663E4" w:rsidRDefault="00FD3F7D">
            <w:pPr>
              <w:widowControl/>
              <w:autoSpaceDE w:val="0"/>
              <w:autoSpaceDN w:val="0"/>
              <w:spacing w:line="276" w:lineRule="auto"/>
              <w:ind w:right="-15"/>
              <w:jc w:val="center"/>
              <w:textAlignment w:val="bottom"/>
              <w:rPr>
                <w:color w:val="000000"/>
                <w:kern w:val="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日（基金合同生效日）至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663E4">
        <w:trPr>
          <w:trHeight w:val="255"/>
        </w:trPr>
        <w:tc>
          <w:tcPr>
            <w:tcW w:w="1984" w:type="dxa"/>
            <w:vAlign w:val="center"/>
          </w:tcPr>
          <w:p w:rsidR="003663E4" w:rsidRDefault="00FD3F7D">
            <w:pPr>
              <w:spacing w:line="276" w:lineRule="auto"/>
              <w:rPr>
                <w:color w:val="000000"/>
                <w:szCs w:val="21"/>
              </w:rPr>
            </w:pPr>
            <w:r>
              <w:rPr>
                <w:color w:val="000000"/>
                <w:szCs w:val="21"/>
              </w:rPr>
              <w:t>基金赎回费收入</w:t>
            </w:r>
          </w:p>
        </w:tc>
        <w:tc>
          <w:tcPr>
            <w:tcW w:w="7196" w:type="dxa"/>
            <w:vAlign w:val="center"/>
          </w:tcPr>
          <w:p w:rsidR="003663E4" w:rsidRDefault="00FD3F7D">
            <w:pPr>
              <w:spacing w:line="276" w:lineRule="auto"/>
              <w:jc w:val="right"/>
              <w:rPr>
                <w:color w:val="000000"/>
                <w:szCs w:val="21"/>
              </w:rPr>
            </w:pPr>
            <w:r>
              <w:rPr>
                <w:color w:val="000000"/>
                <w:szCs w:val="21"/>
              </w:rPr>
              <w:t>-</w:t>
            </w:r>
          </w:p>
        </w:tc>
      </w:tr>
      <w:tr w:rsidR="003663E4">
        <w:tc>
          <w:tcPr>
            <w:tcW w:w="1984" w:type="dxa"/>
            <w:vAlign w:val="center"/>
          </w:tcPr>
          <w:p w:rsidR="003663E4" w:rsidRDefault="00FD3F7D">
            <w:pPr>
              <w:jc w:val="left"/>
            </w:pPr>
            <w:r>
              <w:rPr>
                <w:color w:val="000000"/>
                <w:szCs w:val="21"/>
              </w:rPr>
              <w:t>基金转换费收入</w:t>
            </w:r>
          </w:p>
        </w:tc>
        <w:tc>
          <w:tcPr>
            <w:tcW w:w="7196" w:type="dxa"/>
            <w:vAlign w:val="center"/>
          </w:tcPr>
          <w:p w:rsidR="003663E4" w:rsidRDefault="00FD3F7D">
            <w:pPr>
              <w:jc w:val="right"/>
            </w:pPr>
            <w:r>
              <w:rPr>
                <w:color w:val="000000"/>
                <w:szCs w:val="21"/>
              </w:rPr>
              <w:t>303.92</w:t>
            </w:r>
          </w:p>
        </w:tc>
      </w:tr>
      <w:tr w:rsidR="003663E4">
        <w:trPr>
          <w:trHeight w:val="255"/>
        </w:trPr>
        <w:tc>
          <w:tcPr>
            <w:tcW w:w="1984" w:type="dxa"/>
            <w:vAlign w:val="center"/>
          </w:tcPr>
          <w:p w:rsidR="003663E4" w:rsidRDefault="00FD3F7D">
            <w:pPr>
              <w:spacing w:line="276" w:lineRule="auto"/>
              <w:rPr>
                <w:color w:val="000000"/>
                <w:szCs w:val="21"/>
              </w:rPr>
            </w:pPr>
            <w:r>
              <w:rPr>
                <w:color w:val="000000"/>
                <w:szCs w:val="21"/>
              </w:rPr>
              <w:t>合计</w:t>
            </w:r>
          </w:p>
        </w:tc>
        <w:tc>
          <w:tcPr>
            <w:tcW w:w="7196" w:type="dxa"/>
            <w:vAlign w:val="center"/>
          </w:tcPr>
          <w:p w:rsidR="003663E4" w:rsidRDefault="00FD3F7D">
            <w:pPr>
              <w:spacing w:line="276" w:lineRule="auto"/>
              <w:jc w:val="right"/>
              <w:rPr>
                <w:color w:val="000000"/>
                <w:szCs w:val="21"/>
              </w:rPr>
            </w:pPr>
            <w:r>
              <w:rPr>
                <w:color w:val="000000"/>
                <w:szCs w:val="21"/>
              </w:rPr>
              <w:t>303.92</w:t>
            </w:r>
          </w:p>
        </w:tc>
      </w:tr>
    </w:tbl>
    <w:p w:rsidR="003663E4" w:rsidRDefault="00FD3F7D">
      <w:pPr>
        <w:spacing w:line="360" w:lineRule="auto"/>
        <w:ind w:firstLineChars="200" w:firstLine="420"/>
        <w:rPr>
          <w:color w:val="000000"/>
          <w:szCs w:val="21"/>
        </w:rPr>
      </w:pPr>
      <w:r>
        <w:rPr>
          <w:color w:val="000000"/>
          <w:szCs w:val="21"/>
        </w:rPr>
        <w:t>注：本基金的转换费由申购补差费和转出基金的赎回费两部分构成，其中转出基金的不低于赎回费的</w:t>
      </w:r>
      <w:r>
        <w:rPr>
          <w:color w:val="000000"/>
          <w:szCs w:val="21"/>
        </w:rPr>
        <w:t>25%</w:t>
      </w:r>
      <w:r>
        <w:rPr>
          <w:color w:val="000000"/>
          <w:szCs w:val="21"/>
        </w:rPr>
        <w:t>归入转出基金的基金资产。</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7.1.4.7.1</w:t>
      </w:r>
      <w:r>
        <w:rPr>
          <w:rFonts w:hint="eastAsia"/>
          <w:b/>
          <w:bCs/>
          <w:color w:val="000000"/>
          <w:kern w:val="0"/>
          <w:szCs w:val="21"/>
        </w:rPr>
        <w:t>9</w:t>
      </w:r>
      <w:r>
        <w:rPr>
          <w:b/>
          <w:bCs/>
          <w:color w:val="000000"/>
          <w:kern w:val="0"/>
          <w:szCs w:val="21"/>
        </w:rPr>
        <w:t xml:space="preserve"> </w:t>
      </w:r>
      <w:r>
        <w:rPr>
          <w:b/>
          <w:bCs/>
          <w:color w:val="000000"/>
          <w:kern w:val="0"/>
          <w:szCs w:val="21"/>
        </w:rPr>
        <w:t>交易费用</w:t>
      </w:r>
    </w:p>
    <w:p w:rsidR="003663E4" w:rsidRDefault="00FD3F7D">
      <w:pPr>
        <w:tabs>
          <w:tab w:val="left" w:pos="7200"/>
          <w:tab w:val="left" w:pos="8280"/>
        </w:tabs>
        <w:spacing w:line="360" w:lineRule="auto"/>
        <w:ind w:rightChars="-52" w:right="-109"/>
        <w:jc w:val="right"/>
        <w:rPr>
          <w:color w:val="000000"/>
          <w:szCs w:val="21"/>
        </w:rPr>
      </w:pPr>
      <w:r>
        <w:rPr>
          <w:color w:val="000000"/>
          <w:szCs w:val="21"/>
        </w:rPr>
        <w:t>单位：人民币元</w:t>
      </w:r>
    </w:p>
    <w:tbl>
      <w:tblPr>
        <w:tblW w:w="9195"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16"/>
        <w:gridCol w:w="6179"/>
      </w:tblGrid>
      <w:tr w:rsidR="003663E4">
        <w:trPr>
          <w:trHeight w:val="285"/>
        </w:trPr>
        <w:tc>
          <w:tcPr>
            <w:tcW w:w="3016" w:type="dxa"/>
            <w:tcBorders>
              <w:top w:val="single" w:sz="4" w:space="0" w:color="000000"/>
              <w:left w:val="single" w:sz="4" w:space="0" w:color="000000"/>
              <w:bottom w:val="single" w:sz="4" w:space="0" w:color="000000"/>
              <w:right w:val="single" w:sz="4" w:space="0" w:color="000000"/>
              <w:tl2br w:val="nil"/>
              <w:tr2bl w:val="nil"/>
            </w:tcBorders>
            <w:vAlign w:val="center"/>
          </w:tcPr>
          <w:p w:rsidR="003663E4" w:rsidRDefault="00FD3F7D">
            <w:pPr>
              <w:spacing w:line="360" w:lineRule="auto"/>
              <w:jc w:val="center"/>
              <w:rPr>
                <w:color w:val="000000"/>
              </w:rPr>
            </w:pPr>
            <w:r>
              <w:rPr>
                <w:rFonts w:hint="eastAsia"/>
                <w:color w:val="000000"/>
              </w:rPr>
              <w:t>项目</w:t>
            </w:r>
          </w:p>
        </w:tc>
        <w:tc>
          <w:tcPr>
            <w:tcW w:w="6179" w:type="dxa"/>
            <w:tcBorders>
              <w:top w:val="single" w:sz="4" w:space="0" w:color="000000"/>
              <w:left w:val="single" w:sz="4" w:space="0" w:color="000000"/>
              <w:bottom w:val="single" w:sz="4" w:space="0" w:color="000000"/>
              <w:right w:val="single" w:sz="4" w:space="0" w:color="000000"/>
              <w:tl2br w:val="nil"/>
              <w:tr2bl w:val="nil"/>
            </w:tcBorders>
            <w:vAlign w:val="center"/>
          </w:tcPr>
          <w:p w:rsidR="003663E4" w:rsidRDefault="00FD3F7D">
            <w:pPr>
              <w:spacing w:line="360" w:lineRule="auto"/>
              <w:jc w:val="center"/>
              <w:rPr>
                <w:rFonts w:eastAsia="Times New Roman"/>
                <w:color w:val="000000"/>
              </w:rPr>
            </w:pPr>
            <w:r>
              <w:rPr>
                <w:rFonts w:hint="eastAsia"/>
                <w:color w:val="000000"/>
              </w:rPr>
              <w:t>本期</w:t>
            </w:r>
          </w:p>
          <w:p w:rsidR="003663E4" w:rsidRDefault="00FD3F7D">
            <w:pPr>
              <w:spacing w:line="360" w:lineRule="auto"/>
              <w:jc w:val="center"/>
              <w:rPr>
                <w:rFonts w:eastAsia="Times New Roman"/>
                <w:color w:val="000000"/>
                <w:kern w:val="0"/>
              </w:rPr>
            </w:pPr>
            <w:r>
              <w:rPr>
                <w:color w:val="000000"/>
              </w:rPr>
              <w:t>2020</w:t>
            </w:r>
            <w:r>
              <w:rPr>
                <w:color w:val="000000"/>
              </w:rPr>
              <w:t>年</w:t>
            </w:r>
            <w:r>
              <w:rPr>
                <w:color w:val="000000"/>
              </w:rPr>
              <w:t>7</w:t>
            </w:r>
            <w:r>
              <w:rPr>
                <w:color w:val="000000"/>
              </w:rPr>
              <w:t>月</w:t>
            </w:r>
            <w:r>
              <w:rPr>
                <w:color w:val="000000"/>
              </w:rPr>
              <w:t>28</w:t>
            </w:r>
            <w:r>
              <w:rPr>
                <w:color w:val="000000"/>
              </w:rPr>
              <w:t>日</w:t>
            </w:r>
            <w:r>
              <w:rPr>
                <w:color w:val="000000"/>
                <w:szCs w:val="21"/>
              </w:rPr>
              <w:t>（基金合同生效日）</w:t>
            </w:r>
            <w:r>
              <w:rPr>
                <w:rFonts w:hint="eastAsia"/>
                <w:color w:val="000000"/>
              </w:rPr>
              <w:t>至</w:t>
            </w:r>
            <w:r>
              <w:rPr>
                <w:color w:val="000000"/>
              </w:rPr>
              <w:t>2020</w:t>
            </w:r>
            <w:r>
              <w:rPr>
                <w:color w:val="000000"/>
              </w:rPr>
              <w:t>年</w:t>
            </w:r>
            <w:r>
              <w:rPr>
                <w:color w:val="000000"/>
              </w:rPr>
              <w:t>12</w:t>
            </w:r>
            <w:r>
              <w:rPr>
                <w:color w:val="000000"/>
              </w:rPr>
              <w:t>月</w:t>
            </w:r>
            <w:r>
              <w:rPr>
                <w:color w:val="000000"/>
              </w:rPr>
              <w:t>31</w:t>
            </w:r>
            <w:r>
              <w:rPr>
                <w:color w:val="000000"/>
              </w:rPr>
              <w:t>日</w:t>
            </w:r>
          </w:p>
        </w:tc>
      </w:tr>
      <w:tr w:rsidR="003663E4">
        <w:trPr>
          <w:trHeight w:val="285"/>
        </w:trPr>
        <w:tc>
          <w:tcPr>
            <w:tcW w:w="3016" w:type="dxa"/>
            <w:tcBorders>
              <w:top w:val="single" w:sz="4" w:space="0" w:color="000000"/>
              <w:left w:val="single" w:sz="4" w:space="0" w:color="000000"/>
              <w:bottom w:val="single" w:sz="4" w:space="0" w:color="000000"/>
              <w:right w:val="single" w:sz="4" w:space="0" w:color="000000"/>
              <w:tl2br w:val="nil"/>
              <w:tr2bl w:val="nil"/>
            </w:tcBorders>
            <w:vAlign w:val="center"/>
          </w:tcPr>
          <w:p w:rsidR="003663E4" w:rsidRDefault="00FD3F7D">
            <w:pPr>
              <w:spacing w:line="360" w:lineRule="auto"/>
              <w:rPr>
                <w:rFonts w:eastAsia="Times New Roman"/>
                <w:color w:val="000000"/>
              </w:rPr>
            </w:pPr>
            <w:r>
              <w:rPr>
                <w:rFonts w:hint="eastAsia"/>
                <w:color w:val="000000"/>
              </w:rPr>
              <w:t>交易所市场交易费用</w:t>
            </w:r>
          </w:p>
        </w:tc>
        <w:tc>
          <w:tcPr>
            <w:tcW w:w="6179" w:type="dxa"/>
            <w:tcBorders>
              <w:top w:val="single" w:sz="4" w:space="0" w:color="000000"/>
              <w:left w:val="single" w:sz="4" w:space="0" w:color="000000"/>
              <w:bottom w:val="single" w:sz="4" w:space="0" w:color="000000"/>
              <w:right w:val="single" w:sz="4" w:space="0" w:color="000000"/>
              <w:tl2br w:val="nil"/>
              <w:tr2bl w:val="nil"/>
            </w:tcBorders>
            <w:vAlign w:val="center"/>
          </w:tcPr>
          <w:p w:rsidR="003663E4" w:rsidRDefault="00FD3F7D">
            <w:pPr>
              <w:spacing w:line="360" w:lineRule="auto"/>
              <w:jc w:val="right"/>
              <w:rPr>
                <w:rFonts w:eastAsia="Times New Roman"/>
                <w:color w:val="000000"/>
              </w:rPr>
            </w:pPr>
            <w:r>
              <w:rPr>
                <w:rFonts w:eastAsia="Times New Roman"/>
                <w:color w:val="000000"/>
                <w:kern w:val="0"/>
              </w:rPr>
              <w:t>-</w:t>
            </w:r>
          </w:p>
        </w:tc>
      </w:tr>
      <w:tr w:rsidR="003663E4">
        <w:trPr>
          <w:trHeight w:val="285"/>
        </w:trPr>
        <w:tc>
          <w:tcPr>
            <w:tcW w:w="3016" w:type="dxa"/>
            <w:tcBorders>
              <w:top w:val="single" w:sz="4" w:space="0" w:color="000000"/>
              <w:left w:val="single" w:sz="4" w:space="0" w:color="000000"/>
              <w:bottom w:val="single" w:sz="4" w:space="0" w:color="000000"/>
              <w:right w:val="single" w:sz="4" w:space="0" w:color="000000"/>
              <w:tl2br w:val="nil"/>
              <w:tr2bl w:val="nil"/>
            </w:tcBorders>
            <w:vAlign w:val="center"/>
          </w:tcPr>
          <w:p w:rsidR="003663E4" w:rsidRDefault="00FD3F7D">
            <w:pPr>
              <w:spacing w:line="360" w:lineRule="auto"/>
              <w:rPr>
                <w:rFonts w:eastAsia="Times New Roman"/>
                <w:color w:val="000000"/>
              </w:rPr>
            </w:pPr>
            <w:r>
              <w:rPr>
                <w:rFonts w:hint="eastAsia"/>
                <w:color w:val="000000"/>
              </w:rPr>
              <w:t>银行间市场交易费用</w:t>
            </w:r>
          </w:p>
        </w:tc>
        <w:tc>
          <w:tcPr>
            <w:tcW w:w="6179" w:type="dxa"/>
            <w:tcBorders>
              <w:top w:val="single" w:sz="4" w:space="0" w:color="000000"/>
              <w:left w:val="single" w:sz="4" w:space="0" w:color="000000"/>
              <w:bottom w:val="single" w:sz="4" w:space="0" w:color="000000"/>
              <w:right w:val="single" w:sz="4" w:space="0" w:color="000000"/>
              <w:tl2br w:val="nil"/>
              <w:tr2bl w:val="nil"/>
            </w:tcBorders>
            <w:vAlign w:val="center"/>
          </w:tcPr>
          <w:p w:rsidR="003663E4" w:rsidRDefault="00FD3F7D">
            <w:pPr>
              <w:spacing w:line="360" w:lineRule="auto"/>
              <w:jc w:val="right"/>
              <w:rPr>
                <w:rFonts w:eastAsia="Times New Roman"/>
                <w:color w:val="000000"/>
              </w:rPr>
            </w:pPr>
            <w:r>
              <w:rPr>
                <w:rFonts w:eastAsia="Times New Roman"/>
                <w:color w:val="000000"/>
                <w:kern w:val="0"/>
              </w:rPr>
              <w:t>15,175.00</w:t>
            </w:r>
          </w:p>
        </w:tc>
      </w:tr>
      <w:tr w:rsidR="003663E4">
        <w:trPr>
          <w:trHeight w:val="285"/>
        </w:trPr>
        <w:tc>
          <w:tcPr>
            <w:tcW w:w="3016" w:type="dxa"/>
            <w:tcBorders>
              <w:top w:val="single" w:sz="4" w:space="0" w:color="000000"/>
              <w:left w:val="single" w:sz="4" w:space="0" w:color="000000"/>
              <w:bottom w:val="single" w:sz="4" w:space="0" w:color="000000"/>
              <w:right w:val="single" w:sz="4" w:space="0" w:color="000000"/>
              <w:tl2br w:val="nil"/>
              <w:tr2bl w:val="nil"/>
            </w:tcBorders>
            <w:vAlign w:val="center"/>
          </w:tcPr>
          <w:p w:rsidR="003663E4" w:rsidRDefault="00FD3F7D">
            <w:pPr>
              <w:spacing w:line="360" w:lineRule="auto"/>
              <w:rPr>
                <w:rFonts w:eastAsia="Times New Roman"/>
                <w:color w:val="000000"/>
              </w:rPr>
            </w:pPr>
            <w:r>
              <w:rPr>
                <w:rFonts w:hint="eastAsia"/>
                <w:color w:val="000000"/>
                <w:lang w:val="en-AU"/>
              </w:rPr>
              <w:t>合计</w:t>
            </w:r>
          </w:p>
        </w:tc>
        <w:tc>
          <w:tcPr>
            <w:tcW w:w="6179" w:type="dxa"/>
            <w:tcBorders>
              <w:top w:val="single" w:sz="4" w:space="0" w:color="000000"/>
              <w:left w:val="single" w:sz="4" w:space="0" w:color="000000"/>
              <w:bottom w:val="single" w:sz="4" w:space="0" w:color="000000"/>
              <w:right w:val="single" w:sz="4" w:space="0" w:color="000000"/>
              <w:tl2br w:val="nil"/>
              <w:tr2bl w:val="nil"/>
            </w:tcBorders>
            <w:vAlign w:val="center"/>
          </w:tcPr>
          <w:p w:rsidR="003663E4" w:rsidRDefault="00FD3F7D">
            <w:pPr>
              <w:spacing w:line="360" w:lineRule="auto"/>
              <w:jc w:val="right"/>
              <w:rPr>
                <w:rFonts w:eastAsia="Times New Roman"/>
                <w:color w:val="000000"/>
              </w:rPr>
            </w:pPr>
            <w:r>
              <w:rPr>
                <w:rFonts w:eastAsia="Times New Roman"/>
                <w:color w:val="000000"/>
                <w:kern w:val="0"/>
              </w:rPr>
              <w:t>15,175.00</w:t>
            </w:r>
          </w:p>
          <w:p w:rsidR="003663E4" w:rsidRDefault="003663E4">
            <w:pPr>
              <w:spacing w:line="360" w:lineRule="auto"/>
              <w:jc w:val="right"/>
              <w:rPr>
                <w:rFonts w:eastAsia="Times New Roman"/>
                <w:color w:val="000000"/>
              </w:rPr>
            </w:pPr>
          </w:p>
        </w:tc>
      </w:tr>
    </w:tbl>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7.1.4.7.</w:t>
      </w:r>
      <w:r>
        <w:rPr>
          <w:rFonts w:hint="eastAsia"/>
          <w:b/>
          <w:bCs/>
          <w:color w:val="000000"/>
          <w:kern w:val="0"/>
          <w:szCs w:val="21"/>
        </w:rPr>
        <w:t xml:space="preserve">20 </w:t>
      </w:r>
      <w:r>
        <w:rPr>
          <w:b/>
          <w:bCs/>
          <w:color w:val="000000"/>
          <w:kern w:val="0"/>
          <w:szCs w:val="21"/>
        </w:rPr>
        <w:t>其他费用</w:t>
      </w:r>
    </w:p>
    <w:p w:rsidR="003663E4" w:rsidRDefault="00FD3F7D">
      <w:pPr>
        <w:tabs>
          <w:tab w:val="left" w:pos="7200"/>
          <w:tab w:val="left" w:pos="8280"/>
          <w:tab w:val="left" w:pos="9000"/>
        </w:tabs>
        <w:spacing w:line="360" w:lineRule="auto"/>
        <w:ind w:rightChars="-52" w:right="-109"/>
        <w:jc w:val="right"/>
        <w:rPr>
          <w:bCs/>
          <w:color w:val="000000"/>
          <w:szCs w:val="21"/>
        </w:rPr>
      </w:pPr>
      <w:r>
        <w:rPr>
          <w:color w:val="000000"/>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6260"/>
      </w:tblGrid>
      <w:tr w:rsidR="003663E4">
        <w:tc>
          <w:tcPr>
            <w:tcW w:w="2855" w:type="dxa"/>
            <w:vAlign w:val="center"/>
          </w:tcPr>
          <w:p w:rsidR="003663E4" w:rsidRDefault="00FD3F7D">
            <w:pPr>
              <w:spacing w:line="276" w:lineRule="auto"/>
              <w:rPr>
                <w:color w:val="000000"/>
                <w:szCs w:val="21"/>
              </w:rPr>
            </w:pPr>
            <w:r>
              <w:rPr>
                <w:color w:val="000000"/>
                <w:szCs w:val="21"/>
              </w:rPr>
              <w:t>项目</w:t>
            </w:r>
          </w:p>
        </w:tc>
        <w:tc>
          <w:tcPr>
            <w:tcW w:w="6260" w:type="dxa"/>
          </w:tcPr>
          <w:p w:rsidR="003663E4" w:rsidRDefault="00FD3F7D">
            <w:pPr>
              <w:spacing w:line="276" w:lineRule="auto"/>
              <w:jc w:val="center"/>
              <w:rPr>
                <w:color w:val="000000"/>
                <w:szCs w:val="21"/>
              </w:rPr>
            </w:pPr>
            <w:r>
              <w:rPr>
                <w:color w:val="000000"/>
                <w:szCs w:val="21"/>
              </w:rPr>
              <w:t>本期</w:t>
            </w:r>
          </w:p>
          <w:p w:rsidR="003663E4" w:rsidRDefault="00FD3F7D">
            <w:pPr>
              <w:spacing w:line="276" w:lineRule="auto"/>
              <w:jc w:val="center"/>
              <w:rPr>
                <w:color w:val="000000"/>
                <w:kern w:val="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日（基金合同生效日）至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663E4">
        <w:tc>
          <w:tcPr>
            <w:tcW w:w="2855" w:type="dxa"/>
            <w:vAlign w:val="center"/>
          </w:tcPr>
          <w:p w:rsidR="003663E4" w:rsidRDefault="00FD3F7D">
            <w:pPr>
              <w:spacing w:line="276" w:lineRule="auto"/>
              <w:rPr>
                <w:color w:val="000000"/>
                <w:szCs w:val="21"/>
              </w:rPr>
            </w:pPr>
            <w:r>
              <w:rPr>
                <w:color w:val="000000"/>
                <w:szCs w:val="21"/>
              </w:rPr>
              <w:t>审计费用</w:t>
            </w:r>
          </w:p>
        </w:tc>
        <w:tc>
          <w:tcPr>
            <w:tcW w:w="6260" w:type="dxa"/>
            <w:vAlign w:val="bottom"/>
          </w:tcPr>
          <w:p w:rsidR="003663E4" w:rsidRDefault="00FD3F7D">
            <w:pPr>
              <w:spacing w:line="276" w:lineRule="auto"/>
              <w:jc w:val="right"/>
              <w:rPr>
                <w:color w:val="000000"/>
                <w:szCs w:val="21"/>
              </w:rPr>
            </w:pPr>
            <w:r>
              <w:rPr>
                <w:color w:val="000000"/>
                <w:szCs w:val="21"/>
              </w:rPr>
              <w:t>21,475.17</w:t>
            </w:r>
          </w:p>
        </w:tc>
      </w:tr>
      <w:tr w:rsidR="003663E4">
        <w:tc>
          <w:tcPr>
            <w:tcW w:w="2855" w:type="dxa"/>
            <w:vAlign w:val="center"/>
          </w:tcPr>
          <w:p w:rsidR="003663E4" w:rsidRDefault="00FD3F7D">
            <w:pPr>
              <w:spacing w:line="276" w:lineRule="auto"/>
              <w:rPr>
                <w:color w:val="000000"/>
                <w:szCs w:val="21"/>
              </w:rPr>
            </w:pPr>
            <w:r>
              <w:rPr>
                <w:color w:val="000000"/>
                <w:szCs w:val="21"/>
              </w:rPr>
              <w:t>信息披露费</w:t>
            </w:r>
          </w:p>
        </w:tc>
        <w:tc>
          <w:tcPr>
            <w:tcW w:w="6260" w:type="dxa"/>
            <w:vAlign w:val="bottom"/>
          </w:tcPr>
          <w:p w:rsidR="003663E4" w:rsidRDefault="00FD3F7D">
            <w:pPr>
              <w:spacing w:line="276" w:lineRule="auto"/>
              <w:jc w:val="right"/>
              <w:rPr>
                <w:color w:val="000000"/>
                <w:szCs w:val="21"/>
              </w:rPr>
            </w:pPr>
            <w:r>
              <w:rPr>
                <w:color w:val="000000"/>
                <w:szCs w:val="21"/>
              </w:rPr>
              <w:t>51,475.17</w:t>
            </w:r>
          </w:p>
        </w:tc>
      </w:tr>
      <w:tr w:rsidR="003663E4">
        <w:tc>
          <w:tcPr>
            <w:tcW w:w="2855" w:type="dxa"/>
            <w:vAlign w:val="center"/>
          </w:tcPr>
          <w:p w:rsidR="003663E4" w:rsidRDefault="00FD3F7D">
            <w:pPr>
              <w:jc w:val="left"/>
            </w:pPr>
            <w:r>
              <w:rPr>
                <w:color w:val="000000"/>
                <w:szCs w:val="21"/>
              </w:rPr>
              <w:t>银行费用</w:t>
            </w:r>
          </w:p>
        </w:tc>
        <w:tc>
          <w:tcPr>
            <w:tcW w:w="6260" w:type="dxa"/>
            <w:vAlign w:val="center"/>
          </w:tcPr>
          <w:p w:rsidR="003663E4" w:rsidRDefault="00FD3F7D">
            <w:pPr>
              <w:jc w:val="right"/>
            </w:pPr>
            <w:r>
              <w:rPr>
                <w:color w:val="000000"/>
                <w:szCs w:val="21"/>
              </w:rPr>
              <w:t>6,762.17</w:t>
            </w:r>
          </w:p>
        </w:tc>
      </w:tr>
      <w:tr w:rsidR="003663E4">
        <w:tc>
          <w:tcPr>
            <w:tcW w:w="2855" w:type="dxa"/>
            <w:vAlign w:val="center"/>
          </w:tcPr>
          <w:p w:rsidR="003663E4" w:rsidRDefault="00FD3F7D">
            <w:pPr>
              <w:jc w:val="left"/>
            </w:pPr>
            <w:r>
              <w:rPr>
                <w:color w:val="000000"/>
                <w:szCs w:val="21"/>
              </w:rPr>
              <w:t>债券账户费用</w:t>
            </w:r>
          </w:p>
        </w:tc>
        <w:tc>
          <w:tcPr>
            <w:tcW w:w="6260" w:type="dxa"/>
            <w:vAlign w:val="center"/>
          </w:tcPr>
          <w:p w:rsidR="003663E4" w:rsidRDefault="00FD3F7D">
            <w:pPr>
              <w:jc w:val="right"/>
            </w:pPr>
            <w:r>
              <w:rPr>
                <w:color w:val="000000"/>
                <w:szCs w:val="21"/>
              </w:rPr>
              <w:t>15,870.84</w:t>
            </w:r>
          </w:p>
        </w:tc>
      </w:tr>
      <w:tr w:rsidR="003663E4">
        <w:tc>
          <w:tcPr>
            <w:tcW w:w="2855" w:type="dxa"/>
            <w:vAlign w:val="center"/>
          </w:tcPr>
          <w:p w:rsidR="003663E4" w:rsidRDefault="00FD3F7D">
            <w:pPr>
              <w:spacing w:line="276" w:lineRule="auto"/>
              <w:rPr>
                <w:color w:val="000000"/>
                <w:szCs w:val="21"/>
              </w:rPr>
            </w:pPr>
            <w:r>
              <w:rPr>
                <w:color w:val="000000"/>
                <w:szCs w:val="21"/>
              </w:rPr>
              <w:t>合计</w:t>
            </w:r>
          </w:p>
        </w:tc>
        <w:tc>
          <w:tcPr>
            <w:tcW w:w="6260" w:type="dxa"/>
            <w:vAlign w:val="center"/>
          </w:tcPr>
          <w:p w:rsidR="003663E4" w:rsidRDefault="00FD3F7D">
            <w:pPr>
              <w:spacing w:line="276" w:lineRule="auto"/>
              <w:jc w:val="right"/>
              <w:rPr>
                <w:color w:val="000000"/>
                <w:szCs w:val="21"/>
              </w:rPr>
            </w:pPr>
            <w:r>
              <w:rPr>
                <w:color w:val="000000"/>
                <w:szCs w:val="21"/>
              </w:rPr>
              <w:t>95,583.35</w:t>
            </w:r>
          </w:p>
        </w:tc>
      </w:tr>
    </w:tbl>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7.1.4.8 </w:t>
      </w:r>
      <w:r>
        <w:rPr>
          <w:b/>
          <w:bCs/>
          <w:color w:val="000000"/>
          <w:kern w:val="0"/>
          <w:szCs w:val="21"/>
        </w:rPr>
        <w:t>或有事项、资产负债表日后事项的说明</w:t>
      </w:r>
    </w:p>
    <w:p w:rsidR="003663E4" w:rsidRDefault="00FD3F7D">
      <w:pPr>
        <w:autoSpaceDE w:val="0"/>
        <w:autoSpaceDN w:val="0"/>
        <w:adjustRightInd w:val="0"/>
        <w:spacing w:line="360" w:lineRule="auto"/>
        <w:jc w:val="left"/>
        <w:rPr>
          <w:b/>
          <w:color w:val="000000"/>
          <w:kern w:val="0"/>
          <w:szCs w:val="21"/>
        </w:rPr>
      </w:pPr>
      <w:r>
        <w:rPr>
          <w:b/>
          <w:bCs/>
          <w:color w:val="000000"/>
          <w:kern w:val="0"/>
          <w:szCs w:val="21"/>
        </w:rPr>
        <w:t>7.1.4.8.1</w:t>
      </w:r>
      <w:r>
        <w:rPr>
          <w:b/>
          <w:color w:val="000000"/>
          <w:kern w:val="0"/>
          <w:szCs w:val="21"/>
        </w:rPr>
        <w:t>或有事项</w:t>
      </w:r>
    </w:p>
    <w:p w:rsidR="003663E4" w:rsidRDefault="00FD3F7D">
      <w:pPr>
        <w:spacing w:line="360" w:lineRule="auto"/>
        <w:ind w:firstLineChars="200" w:firstLine="420"/>
        <w:rPr>
          <w:color w:val="000000"/>
          <w:szCs w:val="21"/>
        </w:rPr>
      </w:pPr>
      <w:r>
        <w:rPr>
          <w:color w:val="000000"/>
          <w:szCs w:val="21"/>
        </w:rPr>
        <w:t>无。</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7.1.4.8.2</w:t>
      </w:r>
      <w:r>
        <w:rPr>
          <w:b/>
          <w:bCs/>
          <w:color w:val="000000"/>
          <w:kern w:val="0"/>
          <w:szCs w:val="21"/>
        </w:rPr>
        <w:t>资产负债表日后事项</w:t>
      </w:r>
    </w:p>
    <w:p w:rsidR="003663E4" w:rsidRDefault="00FD3F7D">
      <w:pPr>
        <w:spacing w:line="360" w:lineRule="auto"/>
        <w:ind w:firstLineChars="200" w:firstLine="420"/>
        <w:rPr>
          <w:color w:val="000000"/>
          <w:szCs w:val="21"/>
        </w:rPr>
      </w:pPr>
      <w:r>
        <w:rPr>
          <w:color w:val="000000"/>
          <w:szCs w:val="21"/>
        </w:rPr>
        <w:t>无。</w:t>
      </w:r>
    </w:p>
    <w:p w:rsidR="003663E4" w:rsidRDefault="00FD3F7D">
      <w:pPr>
        <w:spacing w:line="360" w:lineRule="auto"/>
        <w:rPr>
          <w:rFonts w:eastAsiaTheme="minorEastAsia"/>
          <w:b/>
          <w:szCs w:val="21"/>
        </w:rPr>
      </w:pPr>
      <w:r>
        <w:rPr>
          <w:b/>
          <w:bCs/>
          <w:color w:val="000000"/>
          <w:kern w:val="0"/>
          <w:szCs w:val="21"/>
        </w:rPr>
        <w:t xml:space="preserve">7.1.4.9 </w:t>
      </w:r>
      <w:r>
        <w:rPr>
          <w:b/>
          <w:bCs/>
          <w:color w:val="000000"/>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3663E4">
        <w:tc>
          <w:tcPr>
            <w:tcW w:w="5220" w:type="dxa"/>
          </w:tcPr>
          <w:p w:rsidR="003663E4" w:rsidRDefault="00FD3F7D">
            <w:pPr>
              <w:spacing w:line="276" w:lineRule="auto"/>
              <w:jc w:val="center"/>
              <w:rPr>
                <w:color w:val="000000"/>
                <w:szCs w:val="21"/>
              </w:rPr>
            </w:pPr>
            <w:r>
              <w:rPr>
                <w:color w:val="000000"/>
                <w:szCs w:val="21"/>
              </w:rPr>
              <w:t>关联方名称</w:t>
            </w:r>
          </w:p>
        </w:tc>
        <w:tc>
          <w:tcPr>
            <w:tcW w:w="3780" w:type="dxa"/>
          </w:tcPr>
          <w:p w:rsidR="003663E4" w:rsidRDefault="00FD3F7D">
            <w:pPr>
              <w:spacing w:line="276" w:lineRule="auto"/>
              <w:jc w:val="center"/>
              <w:rPr>
                <w:color w:val="000000"/>
                <w:szCs w:val="21"/>
              </w:rPr>
            </w:pPr>
            <w:r>
              <w:rPr>
                <w:color w:val="000000"/>
                <w:szCs w:val="21"/>
              </w:rPr>
              <w:t>与本基金的关系</w:t>
            </w:r>
          </w:p>
        </w:tc>
      </w:tr>
      <w:tr w:rsidR="003663E4">
        <w:tc>
          <w:tcPr>
            <w:tcW w:w="5220" w:type="dxa"/>
            <w:vAlign w:val="center"/>
          </w:tcPr>
          <w:p w:rsidR="003663E4" w:rsidRDefault="00FD3F7D">
            <w:pPr>
              <w:jc w:val="left"/>
            </w:pPr>
            <w:r>
              <w:rPr>
                <w:color w:val="000000"/>
                <w:szCs w:val="21"/>
              </w:rPr>
              <w:t>交银施罗德基金管理有限公司</w:t>
            </w:r>
            <w:r>
              <w:rPr>
                <w:color w:val="000000"/>
                <w:szCs w:val="21"/>
              </w:rPr>
              <w:t>(“</w:t>
            </w:r>
            <w:r>
              <w:rPr>
                <w:color w:val="000000"/>
                <w:szCs w:val="21"/>
              </w:rPr>
              <w:t>交银施罗德基金公司</w:t>
            </w:r>
            <w:r>
              <w:rPr>
                <w:color w:val="000000"/>
                <w:szCs w:val="21"/>
              </w:rPr>
              <w:t>”)</w:t>
            </w:r>
          </w:p>
        </w:tc>
        <w:tc>
          <w:tcPr>
            <w:tcW w:w="3780" w:type="dxa"/>
            <w:vAlign w:val="center"/>
          </w:tcPr>
          <w:p w:rsidR="003663E4" w:rsidRDefault="00FD3F7D">
            <w:pPr>
              <w:jc w:val="center"/>
            </w:pPr>
            <w:r>
              <w:rPr>
                <w:color w:val="000000"/>
                <w:szCs w:val="21"/>
              </w:rPr>
              <w:t>基金管理人、基金销售机构</w:t>
            </w:r>
          </w:p>
        </w:tc>
      </w:tr>
      <w:tr w:rsidR="003663E4">
        <w:tc>
          <w:tcPr>
            <w:tcW w:w="5220" w:type="dxa"/>
            <w:vAlign w:val="center"/>
          </w:tcPr>
          <w:p w:rsidR="003663E4" w:rsidRDefault="00FD3F7D">
            <w:pPr>
              <w:jc w:val="left"/>
            </w:pPr>
            <w:r>
              <w:rPr>
                <w:color w:val="000000"/>
                <w:szCs w:val="21"/>
              </w:rPr>
              <w:t>中国建设银行股份有限公司</w:t>
            </w:r>
            <w:r>
              <w:rPr>
                <w:color w:val="000000"/>
                <w:szCs w:val="21"/>
              </w:rPr>
              <w:t>(“</w:t>
            </w:r>
            <w:r>
              <w:rPr>
                <w:color w:val="000000"/>
                <w:szCs w:val="21"/>
              </w:rPr>
              <w:t>中国建设银行</w:t>
            </w:r>
            <w:r>
              <w:rPr>
                <w:color w:val="000000"/>
                <w:szCs w:val="21"/>
              </w:rPr>
              <w:t>”)</w:t>
            </w:r>
          </w:p>
        </w:tc>
        <w:tc>
          <w:tcPr>
            <w:tcW w:w="3780" w:type="dxa"/>
            <w:vAlign w:val="center"/>
          </w:tcPr>
          <w:p w:rsidR="003663E4" w:rsidRDefault="00FD3F7D">
            <w:pPr>
              <w:jc w:val="center"/>
            </w:pPr>
            <w:r>
              <w:rPr>
                <w:color w:val="000000"/>
                <w:szCs w:val="21"/>
              </w:rPr>
              <w:t>基金托管人、基金销售机构</w:t>
            </w:r>
          </w:p>
        </w:tc>
      </w:tr>
      <w:tr w:rsidR="003663E4">
        <w:tc>
          <w:tcPr>
            <w:tcW w:w="5220" w:type="dxa"/>
            <w:vAlign w:val="center"/>
          </w:tcPr>
          <w:p w:rsidR="003663E4" w:rsidRDefault="00FD3F7D">
            <w:pPr>
              <w:jc w:val="left"/>
            </w:pPr>
            <w:r>
              <w:rPr>
                <w:color w:val="000000"/>
                <w:szCs w:val="21"/>
              </w:rPr>
              <w:t>交通银行股份有限公司</w:t>
            </w:r>
            <w:r>
              <w:rPr>
                <w:color w:val="000000"/>
                <w:szCs w:val="21"/>
              </w:rPr>
              <w:t>(“</w:t>
            </w:r>
            <w:r>
              <w:rPr>
                <w:color w:val="000000"/>
                <w:szCs w:val="21"/>
              </w:rPr>
              <w:t>交通银行</w:t>
            </w:r>
            <w:r>
              <w:rPr>
                <w:color w:val="000000"/>
                <w:szCs w:val="21"/>
              </w:rPr>
              <w:t>”)</w:t>
            </w:r>
          </w:p>
        </w:tc>
        <w:tc>
          <w:tcPr>
            <w:tcW w:w="3780" w:type="dxa"/>
            <w:vAlign w:val="center"/>
          </w:tcPr>
          <w:p w:rsidR="003663E4" w:rsidRDefault="00FD3F7D">
            <w:pPr>
              <w:jc w:val="center"/>
            </w:pPr>
            <w:r>
              <w:rPr>
                <w:color w:val="000000"/>
                <w:szCs w:val="21"/>
              </w:rPr>
              <w:t>基金管理人的股东、基金销售机构</w:t>
            </w:r>
          </w:p>
        </w:tc>
      </w:tr>
      <w:tr w:rsidR="003663E4">
        <w:tc>
          <w:tcPr>
            <w:tcW w:w="5220" w:type="dxa"/>
            <w:vAlign w:val="center"/>
          </w:tcPr>
          <w:p w:rsidR="003663E4" w:rsidRDefault="00FD3F7D">
            <w:pPr>
              <w:jc w:val="left"/>
            </w:pPr>
            <w:r>
              <w:rPr>
                <w:color w:val="000000"/>
                <w:szCs w:val="21"/>
              </w:rPr>
              <w:t>施罗德投资管理有限公司</w:t>
            </w:r>
          </w:p>
        </w:tc>
        <w:tc>
          <w:tcPr>
            <w:tcW w:w="3780" w:type="dxa"/>
            <w:vAlign w:val="center"/>
          </w:tcPr>
          <w:p w:rsidR="003663E4" w:rsidRDefault="00FD3F7D">
            <w:pPr>
              <w:jc w:val="center"/>
            </w:pPr>
            <w:r>
              <w:rPr>
                <w:color w:val="000000"/>
                <w:szCs w:val="21"/>
              </w:rPr>
              <w:t>基金管理人的股东</w:t>
            </w:r>
          </w:p>
        </w:tc>
      </w:tr>
      <w:tr w:rsidR="003663E4">
        <w:tc>
          <w:tcPr>
            <w:tcW w:w="5220" w:type="dxa"/>
            <w:vAlign w:val="center"/>
          </w:tcPr>
          <w:p w:rsidR="003663E4" w:rsidRDefault="00FD3F7D">
            <w:pPr>
              <w:jc w:val="left"/>
            </w:pPr>
            <w:r>
              <w:rPr>
                <w:color w:val="000000"/>
                <w:szCs w:val="21"/>
              </w:rPr>
              <w:t>中国国际海运集装箱</w:t>
            </w:r>
            <w:r>
              <w:rPr>
                <w:color w:val="000000"/>
                <w:szCs w:val="21"/>
              </w:rPr>
              <w:t>(</w:t>
            </w:r>
            <w:r>
              <w:rPr>
                <w:color w:val="000000"/>
                <w:szCs w:val="21"/>
              </w:rPr>
              <w:t>集团</w:t>
            </w:r>
            <w:r>
              <w:rPr>
                <w:color w:val="000000"/>
                <w:szCs w:val="21"/>
              </w:rPr>
              <w:t>)</w:t>
            </w:r>
            <w:r>
              <w:rPr>
                <w:color w:val="000000"/>
                <w:szCs w:val="21"/>
              </w:rPr>
              <w:t>股份有限公司</w:t>
            </w:r>
          </w:p>
        </w:tc>
        <w:tc>
          <w:tcPr>
            <w:tcW w:w="3780" w:type="dxa"/>
            <w:vAlign w:val="center"/>
          </w:tcPr>
          <w:p w:rsidR="003663E4" w:rsidRDefault="00FD3F7D">
            <w:pPr>
              <w:jc w:val="center"/>
            </w:pPr>
            <w:r>
              <w:rPr>
                <w:color w:val="000000"/>
                <w:szCs w:val="21"/>
              </w:rPr>
              <w:t>基金管理人的股东</w:t>
            </w:r>
          </w:p>
        </w:tc>
      </w:tr>
      <w:tr w:rsidR="003663E4">
        <w:tc>
          <w:tcPr>
            <w:tcW w:w="5220" w:type="dxa"/>
            <w:vAlign w:val="center"/>
          </w:tcPr>
          <w:p w:rsidR="003663E4" w:rsidRDefault="00FD3F7D">
            <w:pPr>
              <w:jc w:val="left"/>
            </w:pPr>
            <w:r>
              <w:rPr>
                <w:color w:val="000000"/>
                <w:szCs w:val="21"/>
              </w:rPr>
              <w:t>交银施罗德资产管理有限公司</w:t>
            </w:r>
          </w:p>
        </w:tc>
        <w:tc>
          <w:tcPr>
            <w:tcW w:w="3780" w:type="dxa"/>
            <w:vAlign w:val="center"/>
          </w:tcPr>
          <w:p w:rsidR="003663E4" w:rsidRDefault="00FD3F7D">
            <w:pPr>
              <w:jc w:val="center"/>
            </w:pPr>
            <w:r>
              <w:rPr>
                <w:color w:val="000000"/>
                <w:szCs w:val="21"/>
              </w:rPr>
              <w:t>基金管理人的子公司</w:t>
            </w:r>
          </w:p>
        </w:tc>
      </w:tr>
      <w:tr w:rsidR="003663E4">
        <w:tc>
          <w:tcPr>
            <w:tcW w:w="5220" w:type="dxa"/>
            <w:vAlign w:val="center"/>
          </w:tcPr>
          <w:p w:rsidR="003663E4" w:rsidRDefault="00FD3F7D">
            <w:pPr>
              <w:jc w:val="left"/>
            </w:pPr>
            <w:r>
              <w:rPr>
                <w:color w:val="000000"/>
                <w:szCs w:val="21"/>
              </w:rPr>
              <w:t>上海直源投资管理有限公司</w:t>
            </w:r>
          </w:p>
        </w:tc>
        <w:tc>
          <w:tcPr>
            <w:tcW w:w="3780" w:type="dxa"/>
            <w:vAlign w:val="center"/>
          </w:tcPr>
          <w:p w:rsidR="003663E4" w:rsidRDefault="00FD3F7D">
            <w:pPr>
              <w:jc w:val="center"/>
            </w:pPr>
            <w:r>
              <w:rPr>
                <w:color w:val="000000"/>
                <w:szCs w:val="21"/>
              </w:rPr>
              <w:t>受基金管理人控制的公司</w:t>
            </w:r>
          </w:p>
        </w:tc>
      </w:tr>
    </w:tbl>
    <w:p w:rsidR="003663E4" w:rsidRDefault="00FD3F7D">
      <w:pPr>
        <w:spacing w:line="360" w:lineRule="auto"/>
        <w:ind w:firstLineChars="200" w:firstLine="420"/>
        <w:rPr>
          <w:color w:val="000000"/>
          <w:szCs w:val="21"/>
        </w:rPr>
      </w:pPr>
      <w:r>
        <w:rPr>
          <w:color w:val="000000"/>
          <w:szCs w:val="21"/>
        </w:rPr>
        <w:t>注：下述关联交易均在正常业务范围内按一般商业条款订立。</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7.1.4.10</w:t>
      </w:r>
      <w:r>
        <w:rPr>
          <w:rFonts w:hint="eastAsia"/>
          <w:b/>
          <w:bCs/>
          <w:color w:val="000000"/>
          <w:kern w:val="0"/>
          <w:szCs w:val="21"/>
        </w:rPr>
        <w:t xml:space="preserve"> </w:t>
      </w:r>
      <w:r>
        <w:rPr>
          <w:b/>
          <w:bCs/>
          <w:color w:val="000000"/>
          <w:kern w:val="0"/>
          <w:szCs w:val="21"/>
        </w:rPr>
        <w:t>本报告期及上年度可比期间的关联方交易</w:t>
      </w:r>
    </w:p>
    <w:p w:rsidR="003663E4" w:rsidRDefault="00FD3F7D">
      <w:pPr>
        <w:autoSpaceDE w:val="0"/>
        <w:autoSpaceDN w:val="0"/>
        <w:adjustRightInd w:val="0"/>
        <w:spacing w:line="360" w:lineRule="auto"/>
        <w:jc w:val="left"/>
        <w:rPr>
          <w:b/>
          <w:color w:val="000000"/>
          <w:kern w:val="0"/>
          <w:szCs w:val="21"/>
        </w:rPr>
      </w:pPr>
      <w:r>
        <w:rPr>
          <w:b/>
          <w:bCs/>
          <w:color w:val="000000"/>
          <w:kern w:val="0"/>
          <w:szCs w:val="21"/>
        </w:rPr>
        <w:t xml:space="preserve">7.1.4.10.1 </w:t>
      </w:r>
      <w:r>
        <w:rPr>
          <w:b/>
          <w:color w:val="000000"/>
          <w:kern w:val="0"/>
          <w:szCs w:val="21"/>
        </w:rPr>
        <w:t>通过关联方交易单元进行的交易</w:t>
      </w:r>
    </w:p>
    <w:p w:rsidR="003663E4" w:rsidRDefault="00FD3F7D">
      <w:pPr>
        <w:spacing w:line="360" w:lineRule="auto"/>
        <w:ind w:firstLineChars="200" w:firstLine="420"/>
        <w:rPr>
          <w:color w:val="000000"/>
          <w:szCs w:val="21"/>
        </w:rPr>
      </w:pPr>
      <w:r>
        <w:rPr>
          <w:color w:val="000000"/>
          <w:szCs w:val="21"/>
        </w:rPr>
        <w:t>本基金本报告期内无通过关联方交易单元进行的交易。</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7.1.4.10.2 </w:t>
      </w:r>
      <w:r>
        <w:rPr>
          <w:b/>
          <w:bCs/>
          <w:color w:val="000000"/>
          <w:kern w:val="0"/>
          <w:szCs w:val="21"/>
        </w:rPr>
        <w:t>关联方报酬</w:t>
      </w:r>
    </w:p>
    <w:p w:rsidR="003663E4" w:rsidRDefault="00FD3F7D">
      <w:pPr>
        <w:autoSpaceDE w:val="0"/>
        <w:autoSpaceDN w:val="0"/>
        <w:adjustRightInd w:val="0"/>
        <w:spacing w:line="360" w:lineRule="auto"/>
        <w:jc w:val="left"/>
        <w:rPr>
          <w:b/>
          <w:color w:val="000000"/>
          <w:kern w:val="0"/>
          <w:szCs w:val="21"/>
        </w:rPr>
      </w:pPr>
      <w:r>
        <w:rPr>
          <w:b/>
          <w:bCs/>
          <w:color w:val="000000"/>
          <w:kern w:val="0"/>
          <w:szCs w:val="21"/>
        </w:rPr>
        <w:t xml:space="preserve">7.1.4.10.2.1 </w:t>
      </w:r>
      <w:r>
        <w:rPr>
          <w:b/>
          <w:color w:val="000000"/>
          <w:kern w:val="0"/>
          <w:szCs w:val="21"/>
        </w:rPr>
        <w:t>基金管理费</w:t>
      </w:r>
    </w:p>
    <w:p w:rsidR="003663E4" w:rsidRDefault="00FD3F7D">
      <w:pPr>
        <w:autoSpaceDE w:val="0"/>
        <w:autoSpaceDN w:val="0"/>
        <w:adjustRightInd w:val="0"/>
        <w:spacing w:before="29" w:line="360" w:lineRule="auto"/>
        <w:ind w:left="15" w:right="210"/>
        <w:jc w:val="right"/>
        <w:rPr>
          <w:color w:val="000000"/>
          <w:kern w:val="0"/>
          <w:szCs w:val="21"/>
        </w:rPr>
      </w:pPr>
      <w:r>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3663E4">
        <w:tc>
          <w:tcPr>
            <w:tcW w:w="3686" w:type="dxa"/>
            <w:vAlign w:val="center"/>
          </w:tcPr>
          <w:p w:rsidR="003663E4" w:rsidRDefault="00FD3F7D">
            <w:pPr>
              <w:spacing w:line="276" w:lineRule="auto"/>
              <w:jc w:val="center"/>
              <w:rPr>
                <w:color w:val="000000"/>
                <w:szCs w:val="21"/>
              </w:rPr>
            </w:pPr>
            <w:r>
              <w:rPr>
                <w:color w:val="000000"/>
                <w:szCs w:val="21"/>
              </w:rPr>
              <w:t>项目</w:t>
            </w:r>
          </w:p>
        </w:tc>
        <w:tc>
          <w:tcPr>
            <w:tcW w:w="5314" w:type="dxa"/>
            <w:vAlign w:val="center"/>
          </w:tcPr>
          <w:p w:rsidR="003663E4" w:rsidRDefault="00FD3F7D">
            <w:pPr>
              <w:spacing w:line="276" w:lineRule="auto"/>
              <w:jc w:val="center"/>
              <w:rPr>
                <w:color w:val="000000"/>
                <w:szCs w:val="21"/>
              </w:rPr>
            </w:pPr>
            <w:r>
              <w:rPr>
                <w:color w:val="000000"/>
                <w:szCs w:val="21"/>
              </w:rPr>
              <w:t>本期</w:t>
            </w:r>
          </w:p>
          <w:p w:rsidR="003663E4" w:rsidRDefault="00FD3F7D">
            <w:pPr>
              <w:widowControl/>
              <w:autoSpaceDE w:val="0"/>
              <w:autoSpaceDN w:val="0"/>
              <w:spacing w:line="276" w:lineRule="auto"/>
              <w:ind w:right="-15"/>
              <w:jc w:val="center"/>
              <w:textAlignment w:val="bottom"/>
              <w:rPr>
                <w:color w:val="000000"/>
                <w:kern w:val="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日（基金合同生效日）至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663E4">
        <w:tc>
          <w:tcPr>
            <w:tcW w:w="3686" w:type="dxa"/>
            <w:vAlign w:val="center"/>
          </w:tcPr>
          <w:p w:rsidR="003663E4" w:rsidRDefault="00FD3F7D">
            <w:pPr>
              <w:spacing w:line="276" w:lineRule="auto"/>
              <w:rPr>
                <w:color w:val="000000"/>
                <w:szCs w:val="21"/>
              </w:rPr>
            </w:pPr>
            <w:r>
              <w:rPr>
                <w:color w:val="000000"/>
                <w:szCs w:val="21"/>
              </w:rPr>
              <w:t>当期发生的基金应支付的管理费</w:t>
            </w:r>
          </w:p>
        </w:tc>
        <w:tc>
          <w:tcPr>
            <w:tcW w:w="5314" w:type="dxa"/>
            <w:vAlign w:val="center"/>
          </w:tcPr>
          <w:p w:rsidR="003663E4" w:rsidRDefault="00FD3F7D">
            <w:pPr>
              <w:spacing w:line="276" w:lineRule="auto"/>
              <w:jc w:val="right"/>
              <w:rPr>
                <w:color w:val="000000"/>
                <w:szCs w:val="21"/>
              </w:rPr>
            </w:pPr>
            <w:r>
              <w:rPr>
                <w:color w:val="000000"/>
                <w:szCs w:val="21"/>
              </w:rPr>
              <w:t>987,765.46</w:t>
            </w:r>
          </w:p>
        </w:tc>
      </w:tr>
      <w:tr w:rsidR="003663E4">
        <w:tc>
          <w:tcPr>
            <w:tcW w:w="3686" w:type="dxa"/>
            <w:vAlign w:val="center"/>
          </w:tcPr>
          <w:p w:rsidR="003663E4" w:rsidRDefault="00FD3F7D">
            <w:pPr>
              <w:spacing w:line="276" w:lineRule="auto"/>
              <w:rPr>
                <w:color w:val="000000"/>
                <w:szCs w:val="21"/>
              </w:rPr>
            </w:pPr>
            <w:r>
              <w:rPr>
                <w:color w:val="000000"/>
                <w:szCs w:val="21"/>
              </w:rPr>
              <w:t>其中：支付销售机构的客户维护费</w:t>
            </w:r>
          </w:p>
        </w:tc>
        <w:tc>
          <w:tcPr>
            <w:tcW w:w="5314" w:type="dxa"/>
            <w:vAlign w:val="center"/>
          </w:tcPr>
          <w:p w:rsidR="003663E4" w:rsidRDefault="00FD3F7D">
            <w:pPr>
              <w:spacing w:line="276" w:lineRule="auto"/>
              <w:jc w:val="right"/>
              <w:rPr>
                <w:color w:val="000000"/>
                <w:szCs w:val="21"/>
              </w:rPr>
            </w:pPr>
            <w:r>
              <w:rPr>
                <w:color w:val="000000"/>
                <w:szCs w:val="21"/>
              </w:rPr>
              <w:t>1,822.32</w:t>
            </w:r>
          </w:p>
        </w:tc>
      </w:tr>
    </w:tbl>
    <w:p w:rsidR="003663E4" w:rsidRDefault="00FD3F7D">
      <w:pPr>
        <w:spacing w:line="360" w:lineRule="auto"/>
        <w:ind w:firstLineChars="200" w:firstLine="420"/>
        <w:rPr>
          <w:color w:val="000000"/>
          <w:szCs w:val="21"/>
        </w:rPr>
      </w:pPr>
      <w:r>
        <w:rPr>
          <w:color w:val="000000"/>
          <w:szCs w:val="21"/>
        </w:rPr>
        <w:t>注：支付基金管理人的管理人报酬按前一日基金资产净值</w:t>
      </w:r>
      <w:r>
        <w:rPr>
          <w:color w:val="000000"/>
          <w:szCs w:val="21"/>
        </w:rPr>
        <w:t>0.30%</w:t>
      </w:r>
      <w:r>
        <w:rPr>
          <w:color w:val="000000"/>
          <w:szCs w:val="21"/>
        </w:rPr>
        <w:t>的年费率计提，逐日累计至每月月底，按月支付。其计算公式为：</w:t>
      </w:r>
    </w:p>
    <w:p w:rsidR="003663E4" w:rsidRDefault="00FD3F7D">
      <w:pPr>
        <w:spacing w:line="360" w:lineRule="auto"/>
        <w:ind w:firstLineChars="200" w:firstLine="420"/>
        <w:rPr>
          <w:color w:val="000000"/>
          <w:szCs w:val="21"/>
        </w:rPr>
      </w:pPr>
      <w:r>
        <w:rPr>
          <w:color w:val="000000"/>
          <w:szCs w:val="21"/>
        </w:rPr>
        <w:t>日管理人报酬＝前一日基金资产净值</w:t>
      </w:r>
      <w:r>
        <w:rPr>
          <w:color w:val="000000"/>
          <w:szCs w:val="21"/>
        </w:rPr>
        <w:t xml:space="preserve"> × 0.30%/</w:t>
      </w:r>
      <w:r>
        <w:rPr>
          <w:color w:val="000000"/>
          <w:szCs w:val="21"/>
        </w:rPr>
        <w:t>当年天数。</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7.1.4.10.2.2 </w:t>
      </w:r>
      <w:r>
        <w:rPr>
          <w:b/>
          <w:bCs/>
          <w:color w:val="000000"/>
          <w:kern w:val="0"/>
          <w:szCs w:val="21"/>
        </w:rPr>
        <w:t>基金托管费</w:t>
      </w:r>
    </w:p>
    <w:p w:rsidR="003663E4" w:rsidRDefault="00FD3F7D">
      <w:pPr>
        <w:autoSpaceDE w:val="0"/>
        <w:autoSpaceDN w:val="0"/>
        <w:adjustRightInd w:val="0"/>
        <w:spacing w:before="29" w:line="360" w:lineRule="auto"/>
        <w:ind w:left="15" w:right="210"/>
        <w:jc w:val="right"/>
        <w:rPr>
          <w:color w:val="000000"/>
          <w:kern w:val="0"/>
          <w:szCs w:val="21"/>
        </w:rPr>
      </w:pPr>
      <w:r>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3663E4">
        <w:tc>
          <w:tcPr>
            <w:tcW w:w="3686" w:type="dxa"/>
            <w:vAlign w:val="center"/>
          </w:tcPr>
          <w:p w:rsidR="003663E4" w:rsidRDefault="00FD3F7D">
            <w:pPr>
              <w:spacing w:line="276" w:lineRule="auto"/>
              <w:jc w:val="center"/>
              <w:rPr>
                <w:color w:val="000000"/>
                <w:szCs w:val="21"/>
              </w:rPr>
            </w:pPr>
            <w:r>
              <w:rPr>
                <w:color w:val="000000"/>
                <w:szCs w:val="21"/>
              </w:rPr>
              <w:t>项目</w:t>
            </w:r>
          </w:p>
        </w:tc>
        <w:tc>
          <w:tcPr>
            <w:tcW w:w="5314" w:type="dxa"/>
            <w:vAlign w:val="center"/>
          </w:tcPr>
          <w:p w:rsidR="003663E4" w:rsidRDefault="00FD3F7D">
            <w:pPr>
              <w:spacing w:line="276" w:lineRule="auto"/>
              <w:jc w:val="center"/>
              <w:rPr>
                <w:color w:val="000000"/>
                <w:szCs w:val="21"/>
              </w:rPr>
            </w:pPr>
            <w:r>
              <w:rPr>
                <w:color w:val="000000"/>
                <w:szCs w:val="21"/>
              </w:rPr>
              <w:t>本期</w:t>
            </w:r>
          </w:p>
          <w:p w:rsidR="003663E4" w:rsidRDefault="00FD3F7D">
            <w:pPr>
              <w:widowControl/>
              <w:autoSpaceDE w:val="0"/>
              <w:autoSpaceDN w:val="0"/>
              <w:spacing w:line="276" w:lineRule="auto"/>
              <w:ind w:right="-15"/>
              <w:jc w:val="center"/>
              <w:textAlignment w:val="bottom"/>
              <w:rPr>
                <w:color w:val="000000"/>
                <w:kern w:val="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日（基金合同生效日）至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663E4">
        <w:tc>
          <w:tcPr>
            <w:tcW w:w="3686" w:type="dxa"/>
            <w:vAlign w:val="center"/>
          </w:tcPr>
          <w:p w:rsidR="003663E4" w:rsidRDefault="00FD3F7D">
            <w:pPr>
              <w:spacing w:line="276" w:lineRule="auto"/>
              <w:rPr>
                <w:color w:val="000000"/>
                <w:szCs w:val="21"/>
              </w:rPr>
            </w:pPr>
            <w:r>
              <w:rPr>
                <w:color w:val="000000"/>
                <w:szCs w:val="21"/>
              </w:rPr>
              <w:t>当期发生的基金应支付的托管费</w:t>
            </w:r>
          </w:p>
        </w:tc>
        <w:tc>
          <w:tcPr>
            <w:tcW w:w="5314" w:type="dxa"/>
            <w:vAlign w:val="center"/>
          </w:tcPr>
          <w:p w:rsidR="003663E4" w:rsidRDefault="00FD3F7D">
            <w:pPr>
              <w:spacing w:line="276" w:lineRule="auto"/>
              <w:jc w:val="right"/>
              <w:rPr>
                <w:color w:val="000000"/>
                <w:szCs w:val="21"/>
              </w:rPr>
            </w:pPr>
            <w:r>
              <w:rPr>
                <w:color w:val="000000"/>
                <w:szCs w:val="21"/>
              </w:rPr>
              <w:t>329,255.09</w:t>
            </w:r>
          </w:p>
        </w:tc>
      </w:tr>
    </w:tbl>
    <w:p w:rsidR="003663E4" w:rsidRDefault="00FD3F7D">
      <w:pPr>
        <w:spacing w:line="360" w:lineRule="auto"/>
        <w:ind w:firstLineChars="200" w:firstLine="420"/>
        <w:rPr>
          <w:color w:val="000000"/>
          <w:szCs w:val="21"/>
        </w:rPr>
      </w:pPr>
      <w:r>
        <w:rPr>
          <w:color w:val="000000"/>
          <w:szCs w:val="21"/>
        </w:rPr>
        <w:t>注：支付基金托管人的托管费按前一日基金资产净值</w:t>
      </w:r>
      <w:r>
        <w:rPr>
          <w:color w:val="000000"/>
          <w:szCs w:val="21"/>
        </w:rPr>
        <w:t>0.10%</w:t>
      </w:r>
      <w:r>
        <w:rPr>
          <w:color w:val="000000"/>
          <w:szCs w:val="21"/>
        </w:rPr>
        <w:t>的年费率计提，逐日累计至每月月底，按月支付。其计算公式为：</w:t>
      </w:r>
    </w:p>
    <w:p w:rsidR="003663E4" w:rsidRDefault="00FD3F7D">
      <w:pPr>
        <w:spacing w:line="360" w:lineRule="auto"/>
        <w:ind w:firstLineChars="200" w:firstLine="420"/>
        <w:rPr>
          <w:color w:val="000000"/>
          <w:szCs w:val="21"/>
        </w:rPr>
      </w:pPr>
      <w:r>
        <w:rPr>
          <w:color w:val="000000"/>
          <w:szCs w:val="21"/>
        </w:rPr>
        <w:t>日托管费＝前一日基金资产净值</w:t>
      </w:r>
      <w:r>
        <w:rPr>
          <w:color w:val="000000"/>
          <w:szCs w:val="21"/>
        </w:rPr>
        <w:t>×0.10%÷</w:t>
      </w:r>
      <w:r>
        <w:rPr>
          <w:color w:val="000000"/>
          <w:szCs w:val="21"/>
        </w:rPr>
        <w:t>当年天数。</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7.1.4.10.2.3 </w:t>
      </w:r>
      <w:r>
        <w:rPr>
          <w:b/>
          <w:bCs/>
          <w:color w:val="000000"/>
          <w:kern w:val="0"/>
          <w:szCs w:val="21"/>
        </w:rPr>
        <w:t>销售服务费</w:t>
      </w:r>
    </w:p>
    <w:p w:rsidR="003663E4" w:rsidRDefault="00FD3F7D">
      <w:pPr>
        <w:spacing w:line="360" w:lineRule="auto"/>
        <w:ind w:firstLineChars="200" w:firstLine="420"/>
        <w:rPr>
          <w:color w:val="000000"/>
        </w:rPr>
      </w:pPr>
      <w:r>
        <w:rPr>
          <w:color w:val="000000"/>
        </w:rPr>
        <w:t>无。</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7.1.4.10.3 </w:t>
      </w:r>
      <w:r>
        <w:rPr>
          <w:b/>
          <w:bCs/>
          <w:color w:val="000000"/>
          <w:kern w:val="0"/>
          <w:szCs w:val="21"/>
        </w:rPr>
        <w:t>与关联方进行银行间同业市场的债券</w:t>
      </w:r>
      <w:r>
        <w:rPr>
          <w:b/>
          <w:bCs/>
          <w:color w:val="000000"/>
          <w:kern w:val="0"/>
          <w:szCs w:val="21"/>
        </w:rPr>
        <w:t>(</w:t>
      </w:r>
      <w:r>
        <w:rPr>
          <w:b/>
          <w:bCs/>
          <w:color w:val="000000"/>
          <w:kern w:val="0"/>
          <w:szCs w:val="21"/>
        </w:rPr>
        <w:t>含回购</w:t>
      </w:r>
      <w:r>
        <w:rPr>
          <w:b/>
          <w:bCs/>
          <w:color w:val="000000"/>
          <w:kern w:val="0"/>
          <w:szCs w:val="21"/>
        </w:rPr>
        <w:t>)</w:t>
      </w:r>
      <w:r>
        <w:rPr>
          <w:b/>
          <w:bCs/>
          <w:color w:val="000000"/>
          <w:kern w:val="0"/>
          <w:szCs w:val="21"/>
        </w:rPr>
        <w:t>交易</w:t>
      </w:r>
    </w:p>
    <w:p w:rsidR="003663E4" w:rsidRDefault="00FD3F7D">
      <w:pPr>
        <w:tabs>
          <w:tab w:val="left" w:pos="426"/>
        </w:tabs>
        <w:spacing w:line="360" w:lineRule="auto"/>
        <w:ind w:firstLineChars="200" w:firstLine="420"/>
        <w:jc w:val="left"/>
        <w:rPr>
          <w:kern w:val="0"/>
          <w:szCs w:val="21"/>
        </w:rPr>
      </w:pPr>
      <w:r>
        <w:rPr>
          <w:color w:val="000000"/>
          <w:szCs w:val="21"/>
        </w:rPr>
        <w:t>本基金本报告期内未与关联方进行银行间同业市场的债券</w:t>
      </w:r>
      <w:r>
        <w:rPr>
          <w:color w:val="000000"/>
          <w:szCs w:val="21"/>
        </w:rPr>
        <w:t>(</w:t>
      </w:r>
      <w:r>
        <w:rPr>
          <w:color w:val="000000"/>
          <w:szCs w:val="21"/>
        </w:rPr>
        <w:t>含回购</w:t>
      </w:r>
      <w:r>
        <w:rPr>
          <w:color w:val="000000"/>
          <w:szCs w:val="21"/>
        </w:rPr>
        <w:t>)</w:t>
      </w:r>
      <w:r>
        <w:rPr>
          <w:color w:val="000000"/>
          <w:szCs w:val="21"/>
        </w:rPr>
        <w:t>交易。</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7.1.4.10.4 </w:t>
      </w:r>
      <w:r>
        <w:rPr>
          <w:b/>
          <w:bCs/>
          <w:color w:val="000000"/>
          <w:kern w:val="0"/>
          <w:szCs w:val="21"/>
        </w:rPr>
        <w:t>各关联方投资本基金的情况</w:t>
      </w:r>
    </w:p>
    <w:p w:rsidR="003663E4" w:rsidRDefault="00FD3F7D">
      <w:pPr>
        <w:adjustRightInd w:val="0"/>
        <w:snapToGrid w:val="0"/>
        <w:spacing w:line="360" w:lineRule="auto"/>
        <w:rPr>
          <w:b/>
          <w:bCs/>
          <w:color w:val="000000"/>
          <w:szCs w:val="21"/>
        </w:rPr>
      </w:pPr>
      <w:r>
        <w:rPr>
          <w:b/>
          <w:bCs/>
          <w:color w:val="000000"/>
          <w:kern w:val="0"/>
          <w:szCs w:val="21"/>
        </w:rPr>
        <w:t xml:space="preserve">7.1.4.10.4.1 </w:t>
      </w:r>
      <w:r>
        <w:rPr>
          <w:b/>
          <w:bCs/>
          <w:color w:val="000000"/>
          <w:szCs w:val="21"/>
        </w:rPr>
        <w:t>报告期内基金管理人运用固有资金投资本基金的情况</w:t>
      </w:r>
    </w:p>
    <w:p w:rsidR="003663E4" w:rsidRDefault="00FD3F7D">
      <w:pPr>
        <w:spacing w:line="360" w:lineRule="auto"/>
        <w:ind w:firstLineChars="200" w:firstLine="420"/>
        <w:rPr>
          <w:color w:val="000000"/>
        </w:rPr>
      </w:pPr>
      <w:r>
        <w:rPr>
          <w:color w:val="000000"/>
        </w:rPr>
        <w:t>本报告期内未发生基金管理人运用固有资金投资本基金的情况。</w:t>
      </w:r>
    </w:p>
    <w:p w:rsidR="003663E4" w:rsidRDefault="00FD3F7D">
      <w:pPr>
        <w:autoSpaceDE w:val="0"/>
        <w:autoSpaceDN w:val="0"/>
        <w:adjustRightInd w:val="0"/>
        <w:spacing w:beforeLines="50" w:before="156" w:line="360" w:lineRule="auto"/>
        <w:jc w:val="left"/>
        <w:rPr>
          <w:rFonts w:eastAsia="Times New Roman"/>
          <w:b/>
          <w:color w:val="000000"/>
          <w:kern w:val="0"/>
        </w:rPr>
      </w:pPr>
      <w:r>
        <w:rPr>
          <w:b/>
          <w:color w:val="000000"/>
          <w:kern w:val="0"/>
        </w:rPr>
        <w:t xml:space="preserve">7.1.4.10.4.2 </w:t>
      </w:r>
      <w:r>
        <w:rPr>
          <w:rFonts w:hint="eastAsia"/>
          <w:b/>
          <w:color w:val="000000"/>
          <w:kern w:val="0"/>
        </w:rPr>
        <w:t>报告期末除基金管理人之外的其他关联方投资本基金的情况</w:t>
      </w:r>
    </w:p>
    <w:p w:rsidR="003663E4" w:rsidRDefault="00FD3F7D">
      <w:pPr>
        <w:adjustRightInd w:val="0"/>
        <w:snapToGrid w:val="0"/>
        <w:spacing w:line="360" w:lineRule="auto"/>
        <w:jc w:val="right"/>
        <w:rPr>
          <w:rFonts w:eastAsia="Times New Roman"/>
          <w:color w:val="000000"/>
        </w:rPr>
      </w:pPr>
      <w:r>
        <w:rPr>
          <w:rFonts w:hint="eastAsia"/>
          <w:color w:val="000000"/>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3445"/>
        <w:gridCol w:w="3755"/>
      </w:tblGrid>
      <w:tr w:rsidR="003663E4">
        <w:tc>
          <w:tcPr>
            <w:tcW w:w="1800" w:type="dxa"/>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3663E4" w:rsidRDefault="00FD3F7D">
            <w:pPr>
              <w:spacing w:line="276" w:lineRule="auto"/>
              <w:jc w:val="center"/>
              <w:rPr>
                <w:color w:val="000000"/>
              </w:rPr>
            </w:pPr>
            <w:r>
              <w:rPr>
                <w:rFonts w:hint="eastAsia"/>
                <w:color w:val="000000"/>
              </w:rPr>
              <w:t>关联方名称</w:t>
            </w:r>
          </w:p>
        </w:tc>
        <w:tc>
          <w:tcPr>
            <w:tcW w:w="7200" w:type="dxa"/>
            <w:gridSpan w:val="2"/>
            <w:tcBorders>
              <w:top w:val="single" w:sz="4" w:space="0" w:color="000000"/>
              <w:left w:val="single" w:sz="4" w:space="0" w:color="000000"/>
              <w:bottom w:val="single" w:sz="4" w:space="0" w:color="000000"/>
              <w:right w:val="single" w:sz="4" w:space="0" w:color="000000"/>
              <w:tl2br w:val="nil"/>
              <w:tr2bl w:val="nil"/>
            </w:tcBorders>
            <w:vAlign w:val="center"/>
          </w:tcPr>
          <w:p w:rsidR="003663E4" w:rsidRDefault="00FD3F7D">
            <w:pPr>
              <w:spacing w:line="276" w:lineRule="auto"/>
              <w:jc w:val="center"/>
              <w:rPr>
                <w:color w:val="000000"/>
              </w:rPr>
            </w:pPr>
            <w:r>
              <w:rPr>
                <w:rFonts w:hint="eastAsia"/>
                <w:color w:val="000000"/>
              </w:rPr>
              <w:t>本期末</w:t>
            </w:r>
            <w:r>
              <w:rPr>
                <w:color w:val="000000"/>
              </w:rPr>
              <w:t>2020</w:t>
            </w:r>
            <w:r>
              <w:rPr>
                <w:color w:val="000000"/>
              </w:rPr>
              <w:t>年</w:t>
            </w:r>
            <w:r>
              <w:rPr>
                <w:color w:val="000000"/>
              </w:rPr>
              <w:t>12</w:t>
            </w:r>
            <w:r>
              <w:rPr>
                <w:color w:val="000000"/>
              </w:rPr>
              <w:t>月</w:t>
            </w:r>
            <w:r>
              <w:rPr>
                <w:color w:val="000000"/>
              </w:rPr>
              <w:t>31</w:t>
            </w:r>
            <w:r>
              <w:rPr>
                <w:color w:val="000000"/>
              </w:rPr>
              <w:t>日</w:t>
            </w:r>
          </w:p>
        </w:tc>
      </w:tr>
      <w:tr w:rsidR="003663E4">
        <w:tc>
          <w:tcPr>
            <w:tcW w:w="1800" w:type="dxa"/>
            <w:vMerge/>
            <w:tcBorders>
              <w:top w:val="single" w:sz="4" w:space="0" w:color="000000"/>
              <w:left w:val="single" w:sz="4" w:space="0" w:color="000000"/>
              <w:bottom w:val="single" w:sz="4" w:space="0" w:color="000000"/>
              <w:right w:val="single" w:sz="4" w:space="0" w:color="000000"/>
              <w:tl2br w:val="nil"/>
              <w:tr2bl w:val="nil"/>
            </w:tcBorders>
            <w:vAlign w:val="center"/>
          </w:tcPr>
          <w:p w:rsidR="003663E4" w:rsidRDefault="003663E4">
            <w:pPr>
              <w:widowControl/>
              <w:spacing w:line="276" w:lineRule="auto"/>
              <w:jc w:val="left"/>
              <w:rPr>
                <w:rFonts w:eastAsia="Times New Roman"/>
                <w:color w:val="000000"/>
              </w:rPr>
            </w:pPr>
          </w:p>
        </w:tc>
        <w:tc>
          <w:tcPr>
            <w:tcW w:w="3445" w:type="dxa"/>
            <w:tcBorders>
              <w:top w:val="single" w:sz="4" w:space="0" w:color="000000"/>
              <w:left w:val="single" w:sz="4" w:space="0" w:color="000000"/>
              <w:bottom w:val="single" w:sz="4" w:space="0" w:color="000000"/>
              <w:right w:val="single" w:sz="4" w:space="0" w:color="000000"/>
              <w:tl2br w:val="nil"/>
              <w:tr2bl w:val="nil"/>
            </w:tcBorders>
            <w:vAlign w:val="center"/>
          </w:tcPr>
          <w:p w:rsidR="003663E4" w:rsidRDefault="00FD3F7D">
            <w:pPr>
              <w:spacing w:line="276" w:lineRule="auto"/>
              <w:jc w:val="center"/>
              <w:rPr>
                <w:rFonts w:eastAsia="Times New Roman"/>
                <w:color w:val="000000"/>
              </w:rPr>
            </w:pPr>
            <w:r>
              <w:rPr>
                <w:rFonts w:hint="eastAsia"/>
                <w:color w:val="000000"/>
              </w:rPr>
              <w:t>持有的基金份额</w:t>
            </w:r>
          </w:p>
        </w:tc>
        <w:tc>
          <w:tcPr>
            <w:tcW w:w="3755" w:type="dxa"/>
            <w:tcBorders>
              <w:top w:val="single" w:sz="4" w:space="0" w:color="000000"/>
              <w:left w:val="single" w:sz="4" w:space="0" w:color="000000"/>
              <w:bottom w:val="single" w:sz="4" w:space="0" w:color="000000"/>
              <w:right w:val="single" w:sz="4" w:space="0" w:color="000000"/>
              <w:tl2br w:val="nil"/>
              <w:tr2bl w:val="nil"/>
            </w:tcBorders>
            <w:vAlign w:val="center"/>
          </w:tcPr>
          <w:p w:rsidR="003663E4" w:rsidRDefault="00FD3F7D">
            <w:pPr>
              <w:spacing w:line="276" w:lineRule="auto"/>
              <w:jc w:val="center"/>
              <w:rPr>
                <w:rFonts w:eastAsia="Times New Roman"/>
                <w:color w:val="000000"/>
              </w:rPr>
            </w:pPr>
            <w:r>
              <w:rPr>
                <w:rFonts w:hint="eastAsia"/>
                <w:color w:val="000000"/>
              </w:rPr>
              <w:t>持有的基金份额占基金总份额的比例</w:t>
            </w:r>
          </w:p>
        </w:tc>
      </w:tr>
      <w:tr w:rsidR="003663E4">
        <w:tc>
          <w:tcPr>
            <w:tcW w:w="1800" w:type="dxa"/>
            <w:vAlign w:val="center"/>
          </w:tcPr>
          <w:p w:rsidR="003663E4" w:rsidRDefault="00FD3F7D">
            <w:pPr>
              <w:jc w:val="left"/>
            </w:pPr>
            <w:r>
              <w:rPr>
                <w:rFonts w:eastAsia="Times New Roman"/>
                <w:color w:val="000000"/>
              </w:rPr>
              <w:t>上海直源投资管理有限公司</w:t>
            </w:r>
          </w:p>
        </w:tc>
        <w:tc>
          <w:tcPr>
            <w:tcW w:w="3445" w:type="dxa"/>
            <w:vAlign w:val="center"/>
          </w:tcPr>
          <w:p w:rsidR="003663E4" w:rsidRDefault="00FD3F7D">
            <w:pPr>
              <w:jc w:val="right"/>
            </w:pPr>
            <w:r>
              <w:rPr>
                <w:rFonts w:eastAsia="Times New Roman"/>
                <w:color w:val="000000"/>
              </w:rPr>
              <w:t>7,676,914.48</w:t>
            </w:r>
          </w:p>
        </w:tc>
        <w:tc>
          <w:tcPr>
            <w:tcW w:w="3755" w:type="dxa"/>
            <w:vAlign w:val="center"/>
          </w:tcPr>
          <w:p w:rsidR="003663E4" w:rsidRDefault="00FD3F7D">
            <w:pPr>
              <w:jc w:val="right"/>
            </w:pPr>
            <w:r>
              <w:rPr>
                <w:rFonts w:eastAsia="Times New Roman"/>
                <w:color w:val="000000"/>
              </w:rPr>
              <w:t>1.00%</w:t>
            </w:r>
          </w:p>
        </w:tc>
      </w:tr>
    </w:tbl>
    <w:p w:rsidR="003663E4" w:rsidRDefault="00FD3F7D">
      <w:pPr>
        <w:spacing w:line="360" w:lineRule="auto"/>
        <w:ind w:firstLineChars="100" w:firstLine="210"/>
        <w:rPr>
          <w:rFonts w:eastAsia="Times New Roman"/>
          <w:b/>
          <w:color w:val="000000"/>
        </w:rPr>
      </w:pPr>
      <w:r>
        <w:rPr>
          <w:color w:val="000000"/>
          <w:kern w:val="0"/>
        </w:rPr>
        <w:t>注：关联方投资本基金的费率按照基金合同和招募说明书规定的确定，符合公允性要求。</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7.1.4.10.5 </w:t>
      </w:r>
      <w:r>
        <w:rPr>
          <w:b/>
          <w:bCs/>
          <w:color w:val="000000"/>
          <w:kern w:val="0"/>
          <w:szCs w:val="21"/>
        </w:rPr>
        <w:t>由关联方保管的银行存款余额及当期产生的利息收入</w:t>
      </w:r>
    </w:p>
    <w:p w:rsidR="003663E4" w:rsidRDefault="00FD3F7D">
      <w:pPr>
        <w:autoSpaceDE w:val="0"/>
        <w:autoSpaceDN w:val="0"/>
        <w:adjustRightInd w:val="0"/>
        <w:spacing w:before="29" w:line="360" w:lineRule="auto"/>
        <w:ind w:left="15" w:right="210"/>
        <w:jc w:val="right"/>
        <w:rPr>
          <w:color w:val="000000"/>
          <w:kern w:val="0"/>
          <w:szCs w:val="21"/>
        </w:rPr>
      </w:pPr>
      <w:r>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366"/>
        <w:gridCol w:w="3366"/>
      </w:tblGrid>
      <w:tr w:rsidR="003663E4">
        <w:tc>
          <w:tcPr>
            <w:tcW w:w="2268" w:type="dxa"/>
            <w:vMerge w:val="restart"/>
            <w:vAlign w:val="center"/>
          </w:tcPr>
          <w:p w:rsidR="003663E4" w:rsidRDefault="00FD3F7D">
            <w:pPr>
              <w:spacing w:line="276" w:lineRule="auto"/>
              <w:jc w:val="center"/>
              <w:rPr>
                <w:color w:val="000000"/>
                <w:szCs w:val="21"/>
              </w:rPr>
            </w:pPr>
            <w:r>
              <w:rPr>
                <w:color w:val="000000"/>
                <w:szCs w:val="21"/>
              </w:rPr>
              <w:t>关联方名称</w:t>
            </w:r>
          </w:p>
        </w:tc>
        <w:tc>
          <w:tcPr>
            <w:tcW w:w="6732" w:type="dxa"/>
            <w:gridSpan w:val="2"/>
          </w:tcPr>
          <w:p w:rsidR="003663E4" w:rsidRDefault="00FD3F7D">
            <w:pPr>
              <w:spacing w:line="276" w:lineRule="auto"/>
              <w:jc w:val="center"/>
              <w:rPr>
                <w:color w:val="000000"/>
                <w:szCs w:val="21"/>
              </w:rPr>
            </w:pPr>
            <w:r>
              <w:rPr>
                <w:color w:val="000000"/>
                <w:szCs w:val="21"/>
              </w:rPr>
              <w:t>本期</w:t>
            </w:r>
          </w:p>
          <w:p w:rsidR="003663E4" w:rsidRDefault="00FD3F7D">
            <w:pPr>
              <w:widowControl/>
              <w:autoSpaceDE w:val="0"/>
              <w:autoSpaceDN w:val="0"/>
              <w:spacing w:line="276" w:lineRule="auto"/>
              <w:ind w:right="-15"/>
              <w:jc w:val="center"/>
              <w:textAlignment w:val="bottom"/>
              <w:rPr>
                <w:color w:val="000000"/>
                <w:kern w:val="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日（基金合同生效日）至</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663E4">
        <w:tc>
          <w:tcPr>
            <w:tcW w:w="2268" w:type="dxa"/>
            <w:vMerge/>
            <w:vAlign w:val="center"/>
          </w:tcPr>
          <w:p w:rsidR="003663E4" w:rsidRDefault="003663E4">
            <w:pPr>
              <w:widowControl/>
              <w:spacing w:line="276" w:lineRule="auto"/>
              <w:jc w:val="left"/>
              <w:rPr>
                <w:color w:val="000000"/>
                <w:szCs w:val="21"/>
              </w:rPr>
            </w:pPr>
          </w:p>
        </w:tc>
        <w:tc>
          <w:tcPr>
            <w:tcW w:w="3366" w:type="dxa"/>
            <w:vAlign w:val="center"/>
          </w:tcPr>
          <w:p w:rsidR="003663E4" w:rsidRDefault="00FD3F7D">
            <w:pPr>
              <w:spacing w:line="276" w:lineRule="auto"/>
              <w:jc w:val="center"/>
              <w:rPr>
                <w:color w:val="000000"/>
                <w:szCs w:val="21"/>
              </w:rPr>
            </w:pPr>
            <w:r>
              <w:rPr>
                <w:color w:val="000000"/>
                <w:szCs w:val="21"/>
              </w:rPr>
              <w:t>期末余额</w:t>
            </w:r>
          </w:p>
        </w:tc>
        <w:tc>
          <w:tcPr>
            <w:tcW w:w="3366" w:type="dxa"/>
            <w:vAlign w:val="center"/>
          </w:tcPr>
          <w:p w:rsidR="003663E4" w:rsidRDefault="00FD3F7D">
            <w:pPr>
              <w:spacing w:line="276" w:lineRule="auto"/>
              <w:jc w:val="center"/>
              <w:rPr>
                <w:color w:val="000000"/>
                <w:szCs w:val="21"/>
              </w:rPr>
            </w:pPr>
            <w:r>
              <w:rPr>
                <w:color w:val="000000"/>
                <w:szCs w:val="21"/>
              </w:rPr>
              <w:t>当期利息收入</w:t>
            </w:r>
          </w:p>
        </w:tc>
      </w:tr>
      <w:tr w:rsidR="003663E4">
        <w:tc>
          <w:tcPr>
            <w:tcW w:w="2268" w:type="dxa"/>
            <w:vAlign w:val="center"/>
          </w:tcPr>
          <w:p w:rsidR="003663E4" w:rsidRDefault="00FD3F7D">
            <w:pPr>
              <w:jc w:val="left"/>
            </w:pPr>
            <w:r>
              <w:rPr>
                <w:color w:val="000000"/>
                <w:szCs w:val="21"/>
              </w:rPr>
              <w:t>中国建设银行股份有限公司</w:t>
            </w:r>
          </w:p>
        </w:tc>
        <w:tc>
          <w:tcPr>
            <w:tcW w:w="3366" w:type="dxa"/>
            <w:vAlign w:val="center"/>
          </w:tcPr>
          <w:p w:rsidR="003663E4" w:rsidRDefault="00FD3F7D">
            <w:pPr>
              <w:jc w:val="right"/>
            </w:pPr>
            <w:r>
              <w:rPr>
                <w:color w:val="000000"/>
                <w:szCs w:val="21"/>
              </w:rPr>
              <w:t>1,252,444.69</w:t>
            </w:r>
          </w:p>
        </w:tc>
        <w:tc>
          <w:tcPr>
            <w:tcW w:w="3366" w:type="dxa"/>
            <w:vAlign w:val="center"/>
          </w:tcPr>
          <w:p w:rsidR="003663E4" w:rsidRDefault="00FD3F7D">
            <w:pPr>
              <w:jc w:val="right"/>
            </w:pPr>
            <w:r>
              <w:rPr>
                <w:color w:val="000000"/>
                <w:szCs w:val="21"/>
              </w:rPr>
              <w:t>5,216.82</w:t>
            </w:r>
          </w:p>
        </w:tc>
      </w:tr>
    </w:tbl>
    <w:p w:rsidR="003663E4" w:rsidRDefault="00FD3F7D">
      <w:pPr>
        <w:spacing w:line="360" w:lineRule="auto"/>
        <w:ind w:firstLineChars="200" w:firstLine="420"/>
        <w:rPr>
          <w:color w:val="000000"/>
          <w:szCs w:val="21"/>
        </w:rPr>
      </w:pPr>
      <w:r>
        <w:rPr>
          <w:color w:val="000000"/>
          <w:szCs w:val="21"/>
        </w:rPr>
        <w:t>注：本基金的银行存款由基金托管人保管，按银行同业利率计息。</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7.1.4.10.6</w:t>
      </w:r>
      <w:r>
        <w:rPr>
          <w:rFonts w:hint="eastAsia"/>
          <w:b/>
          <w:bCs/>
          <w:color w:val="000000"/>
          <w:kern w:val="0"/>
          <w:szCs w:val="21"/>
        </w:rPr>
        <w:t xml:space="preserve"> </w:t>
      </w:r>
      <w:r>
        <w:rPr>
          <w:b/>
          <w:bCs/>
          <w:color w:val="000000"/>
          <w:kern w:val="0"/>
          <w:szCs w:val="21"/>
        </w:rPr>
        <w:t>本基金在承销期内参与关联方承销证券的情况</w:t>
      </w:r>
    </w:p>
    <w:p w:rsidR="003663E4" w:rsidRDefault="00FD3F7D">
      <w:pPr>
        <w:spacing w:line="360" w:lineRule="auto"/>
        <w:ind w:firstLineChars="200" w:firstLine="420"/>
        <w:rPr>
          <w:color w:val="000000"/>
          <w:szCs w:val="21"/>
        </w:rPr>
      </w:pPr>
      <w:r>
        <w:rPr>
          <w:color w:val="000000"/>
          <w:szCs w:val="21"/>
        </w:rPr>
        <w:t>本基金本报告期内未在承销期内参与关联方承销证券。</w:t>
      </w:r>
    </w:p>
    <w:p w:rsidR="003663E4" w:rsidRDefault="00FD3F7D">
      <w:pPr>
        <w:adjustRightInd w:val="0"/>
        <w:snapToGrid w:val="0"/>
        <w:spacing w:beforeLines="100" w:before="312" w:line="360" w:lineRule="auto"/>
        <w:rPr>
          <w:b/>
          <w:color w:val="000000"/>
          <w:szCs w:val="21"/>
        </w:rPr>
      </w:pPr>
      <w:r>
        <w:rPr>
          <w:b/>
          <w:bCs/>
          <w:color w:val="000000"/>
          <w:kern w:val="0"/>
          <w:szCs w:val="21"/>
        </w:rPr>
        <w:t>7.1.4.10</w:t>
      </w:r>
      <w:r>
        <w:rPr>
          <w:rFonts w:hint="eastAsia"/>
          <w:b/>
          <w:bCs/>
          <w:color w:val="000000"/>
          <w:kern w:val="0"/>
          <w:szCs w:val="21"/>
        </w:rPr>
        <w:t>.7</w:t>
      </w:r>
      <w:r>
        <w:rPr>
          <w:b/>
          <w:bCs/>
          <w:color w:val="000000"/>
          <w:kern w:val="0"/>
          <w:szCs w:val="21"/>
        </w:rPr>
        <w:t xml:space="preserve"> </w:t>
      </w:r>
      <w:r>
        <w:rPr>
          <w:b/>
          <w:color w:val="000000"/>
          <w:szCs w:val="21"/>
        </w:rPr>
        <w:t>其他关联交易事项的说明</w:t>
      </w:r>
    </w:p>
    <w:p w:rsidR="003663E4" w:rsidRDefault="00FD3F7D">
      <w:pPr>
        <w:widowControl/>
        <w:spacing w:line="360" w:lineRule="auto"/>
        <w:ind w:firstLineChars="200" w:firstLine="420"/>
        <w:rPr>
          <w:color w:val="000000"/>
          <w:kern w:val="0"/>
          <w:szCs w:val="21"/>
        </w:rPr>
      </w:pPr>
      <w:r>
        <w:rPr>
          <w:rFonts w:hint="eastAsia"/>
          <w:color w:val="000000"/>
          <w:kern w:val="0"/>
          <w:szCs w:val="21"/>
        </w:rPr>
        <w:t>本基金本报告期内无其他关联交易事项。</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7.1.4.11 </w:t>
      </w:r>
      <w:r>
        <w:rPr>
          <w:b/>
          <w:bCs/>
          <w:color w:val="000000"/>
          <w:kern w:val="0"/>
          <w:szCs w:val="21"/>
        </w:rPr>
        <w:t>利润分配情况</w:t>
      </w:r>
    </w:p>
    <w:p w:rsidR="003663E4" w:rsidRDefault="00FD3F7D">
      <w:pPr>
        <w:widowControl/>
        <w:spacing w:line="360" w:lineRule="auto"/>
        <w:ind w:firstLineChars="200" w:firstLine="420"/>
        <w:rPr>
          <w:color w:val="000000"/>
          <w:kern w:val="0"/>
          <w:szCs w:val="21"/>
        </w:rPr>
      </w:pPr>
      <w:r>
        <w:rPr>
          <w:color w:val="000000"/>
          <w:szCs w:val="21"/>
        </w:rPr>
        <w:t>本基金本报告期内未进行利润分配。</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7.1.4.12 </w:t>
      </w:r>
      <w:r>
        <w:rPr>
          <w:b/>
          <w:bCs/>
          <w:color w:val="000000"/>
          <w:kern w:val="0"/>
          <w:szCs w:val="21"/>
        </w:rPr>
        <w:t>期末（</w:t>
      </w:r>
      <w:r>
        <w:rPr>
          <w:b/>
          <w:bCs/>
          <w:color w:val="000000"/>
          <w:kern w:val="0"/>
          <w:szCs w:val="21"/>
        </w:rPr>
        <w:t>2020</w:t>
      </w:r>
      <w:r>
        <w:rPr>
          <w:b/>
          <w:bCs/>
          <w:color w:val="000000"/>
          <w:kern w:val="0"/>
          <w:szCs w:val="21"/>
        </w:rPr>
        <w:t>年</w:t>
      </w:r>
      <w:r>
        <w:rPr>
          <w:b/>
          <w:bCs/>
          <w:color w:val="000000"/>
          <w:kern w:val="0"/>
          <w:szCs w:val="21"/>
        </w:rPr>
        <w:t>12</w:t>
      </w:r>
      <w:r>
        <w:rPr>
          <w:b/>
          <w:bCs/>
          <w:color w:val="000000"/>
          <w:kern w:val="0"/>
          <w:szCs w:val="21"/>
        </w:rPr>
        <w:t>月</w:t>
      </w:r>
      <w:r>
        <w:rPr>
          <w:b/>
          <w:bCs/>
          <w:color w:val="000000"/>
          <w:kern w:val="0"/>
          <w:szCs w:val="21"/>
        </w:rPr>
        <w:t>31</w:t>
      </w:r>
      <w:r>
        <w:rPr>
          <w:b/>
          <w:bCs/>
          <w:color w:val="000000"/>
          <w:kern w:val="0"/>
          <w:szCs w:val="21"/>
        </w:rPr>
        <w:t>日）本基金持有的流通受限证券</w:t>
      </w:r>
    </w:p>
    <w:p w:rsidR="003663E4" w:rsidRDefault="00FD3F7D">
      <w:pPr>
        <w:spacing w:line="360" w:lineRule="auto"/>
        <w:rPr>
          <w:b/>
          <w:bCs/>
          <w:color w:val="000000"/>
          <w:szCs w:val="21"/>
        </w:rPr>
      </w:pPr>
      <w:r>
        <w:rPr>
          <w:b/>
          <w:bCs/>
          <w:color w:val="000000"/>
          <w:kern w:val="0"/>
          <w:szCs w:val="21"/>
        </w:rPr>
        <w:t xml:space="preserve">7.1.4.12.1 </w:t>
      </w:r>
      <w:r>
        <w:rPr>
          <w:b/>
          <w:bCs/>
          <w:color w:val="000000"/>
          <w:szCs w:val="21"/>
        </w:rPr>
        <w:t>因认购新发</w:t>
      </w:r>
      <w:r>
        <w:rPr>
          <w:b/>
          <w:bCs/>
          <w:color w:val="000000"/>
          <w:szCs w:val="21"/>
        </w:rPr>
        <w:t>/</w:t>
      </w:r>
      <w:r>
        <w:rPr>
          <w:b/>
          <w:bCs/>
          <w:color w:val="000000"/>
          <w:szCs w:val="21"/>
        </w:rPr>
        <w:t>增发证券而于期末持有的流通受限证券</w:t>
      </w:r>
    </w:p>
    <w:p w:rsidR="003663E4" w:rsidRDefault="00FD3F7D">
      <w:pPr>
        <w:spacing w:line="360" w:lineRule="auto"/>
        <w:ind w:firstLineChars="200" w:firstLine="420"/>
        <w:rPr>
          <w:color w:val="000000"/>
          <w:szCs w:val="21"/>
        </w:rPr>
      </w:pPr>
      <w:r>
        <w:rPr>
          <w:color w:val="000000"/>
          <w:szCs w:val="21"/>
        </w:rPr>
        <w:t>本基金本报告期末未持有因认购新发</w:t>
      </w:r>
      <w:r>
        <w:rPr>
          <w:color w:val="000000"/>
          <w:szCs w:val="21"/>
        </w:rPr>
        <w:t>/</w:t>
      </w:r>
      <w:r>
        <w:rPr>
          <w:color w:val="000000"/>
          <w:szCs w:val="21"/>
        </w:rPr>
        <w:t>增发证券而流通受限的证券。</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7.1.4.12.2 </w:t>
      </w:r>
      <w:r>
        <w:rPr>
          <w:b/>
          <w:bCs/>
          <w:color w:val="000000"/>
          <w:kern w:val="0"/>
          <w:szCs w:val="21"/>
        </w:rPr>
        <w:t>期末持有的暂时停牌等流通受限股票</w:t>
      </w:r>
    </w:p>
    <w:p w:rsidR="003663E4" w:rsidRDefault="00FD3F7D">
      <w:pPr>
        <w:spacing w:line="360" w:lineRule="auto"/>
        <w:ind w:firstLineChars="200" w:firstLine="420"/>
        <w:rPr>
          <w:color w:val="000000"/>
          <w:szCs w:val="21"/>
        </w:rPr>
      </w:pPr>
      <w:r>
        <w:rPr>
          <w:color w:val="000000"/>
          <w:szCs w:val="21"/>
        </w:rPr>
        <w:t>本基金本报告期末未持有暂时停牌等流通受限股票。</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7.1.4.12.3 </w:t>
      </w:r>
      <w:r>
        <w:rPr>
          <w:b/>
          <w:bCs/>
          <w:color w:val="000000"/>
          <w:kern w:val="0"/>
          <w:szCs w:val="21"/>
        </w:rPr>
        <w:t>期末债券正回购交易中作为抵押的债券</w:t>
      </w:r>
    </w:p>
    <w:p w:rsidR="003663E4" w:rsidRDefault="00FD3F7D">
      <w:pPr>
        <w:spacing w:line="360" w:lineRule="auto"/>
        <w:ind w:firstLineChars="200" w:firstLine="420"/>
        <w:rPr>
          <w:color w:val="000000"/>
          <w:szCs w:val="21"/>
        </w:rPr>
      </w:pPr>
      <w:r>
        <w:rPr>
          <w:color w:val="000000"/>
          <w:szCs w:val="21"/>
        </w:rPr>
        <w:t>本基金本报告期末无从事债券正回购交易形成的卖出回购证券款余额。</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7.1.4.13 </w:t>
      </w:r>
      <w:r>
        <w:rPr>
          <w:b/>
          <w:bCs/>
          <w:color w:val="000000"/>
          <w:kern w:val="0"/>
          <w:szCs w:val="21"/>
        </w:rPr>
        <w:t>金融工具风险及管理</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7.1.4.13.1 </w:t>
      </w:r>
      <w:r>
        <w:rPr>
          <w:b/>
          <w:bCs/>
          <w:color w:val="000000"/>
          <w:kern w:val="0"/>
          <w:szCs w:val="21"/>
        </w:rPr>
        <w:t>风险管理政策和组织架构</w:t>
      </w:r>
    </w:p>
    <w:p w:rsidR="003663E4" w:rsidRDefault="00FD3F7D">
      <w:pPr>
        <w:spacing w:line="360" w:lineRule="auto"/>
        <w:ind w:firstLineChars="200" w:firstLine="420"/>
        <w:rPr>
          <w:color w:val="000000"/>
          <w:szCs w:val="21"/>
        </w:rPr>
      </w:pPr>
      <w:r>
        <w:rPr>
          <w:color w:val="000000"/>
          <w:szCs w:val="21"/>
        </w:rPr>
        <w:t>本基金是一只债券型基金，其预期风险与预期收益高于货币市场基金，低于混合型基金和股票型基金。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以及法律法规或中国证监会允许投资的其他金融工具（但须符合中国证监会相关规定）。本基金不投资于股票，也不投资</w:t>
      </w:r>
      <w:r>
        <w:rPr>
          <w:color w:val="000000"/>
          <w:szCs w:val="21"/>
        </w:rPr>
        <w:t>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在严格控制风险和保持资产流动性的基础上，通过积极主动的投资管理，力争持续稳定地实现超越业绩比较基准的投资回报。</w:t>
      </w:r>
    </w:p>
    <w:p w:rsidR="003663E4" w:rsidRDefault="00FD3F7D">
      <w:pPr>
        <w:spacing w:line="360" w:lineRule="auto"/>
        <w:ind w:firstLineChars="200" w:firstLine="420"/>
        <w:rPr>
          <w:color w:val="000000"/>
          <w:szCs w:val="21"/>
        </w:rPr>
      </w:pPr>
      <w:r>
        <w:rPr>
          <w:color w:val="000000"/>
          <w:szCs w:val="21"/>
        </w:rPr>
        <w:t>本基金的基金管理人奉行全面风险管理体系的建设，在董事会下设立合规审核及风险管理委员会，负责制定风险管理的宏观政策，审议通过风险控制的总体措施等；在管理层层面设立风险控制委</w:t>
      </w:r>
      <w:r>
        <w:rPr>
          <w:color w:val="000000"/>
          <w:szCs w:val="21"/>
        </w:rPr>
        <w:t>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3663E4" w:rsidRDefault="00FD3F7D">
      <w:pPr>
        <w:spacing w:line="360" w:lineRule="auto"/>
        <w:ind w:firstLineChars="200" w:firstLine="420"/>
        <w:rPr>
          <w:color w:val="000000"/>
          <w:szCs w:val="21"/>
        </w:rPr>
      </w:pPr>
      <w:r>
        <w:rPr>
          <w:color w:val="000000"/>
          <w:szCs w:val="21"/>
        </w:rPr>
        <w:t>本基金的基金管理人建立了以合规审核及风险管理委员会为核心的，由督察长、风险控制委员会、风险管理部和相关业务部门构成的风险管理架构体系。</w:t>
      </w:r>
    </w:p>
    <w:p w:rsidR="003663E4" w:rsidRDefault="00FD3F7D">
      <w:pPr>
        <w:spacing w:line="360" w:lineRule="auto"/>
        <w:ind w:firstLineChars="200" w:firstLine="420"/>
        <w:rPr>
          <w:color w:val="000000"/>
          <w:szCs w:val="21"/>
        </w:rPr>
      </w:pPr>
      <w:r>
        <w:rPr>
          <w:color w:val="000000"/>
          <w:szCs w:val="21"/>
        </w:rPr>
        <w:t>本基金的基金管理人对于金融工</w:t>
      </w:r>
      <w:r>
        <w:rPr>
          <w:color w:val="000000"/>
          <w:szCs w:val="21"/>
        </w:rPr>
        <w:t>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7.1.4.13.2 </w:t>
      </w:r>
      <w:r>
        <w:rPr>
          <w:b/>
          <w:bCs/>
          <w:color w:val="000000"/>
          <w:kern w:val="0"/>
          <w:szCs w:val="21"/>
        </w:rPr>
        <w:t>信用风险</w:t>
      </w:r>
    </w:p>
    <w:p w:rsidR="003663E4" w:rsidRDefault="00FD3F7D">
      <w:pPr>
        <w:spacing w:line="360" w:lineRule="auto"/>
        <w:ind w:firstLineChars="200" w:firstLine="420"/>
        <w:rPr>
          <w:color w:val="000000"/>
          <w:szCs w:val="21"/>
        </w:rPr>
      </w:pPr>
      <w:r>
        <w:rPr>
          <w:color w:val="000000"/>
          <w:szCs w:val="21"/>
        </w:rPr>
        <w:t>信用风险是指基金在交易过程中因交易对手未履行合约责任，或者基金所投资证券之发行人出现违</w:t>
      </w:r>
      <w:r>
        <w:rPr>
          <w:color w:val="000000"/>
          <w:szCs w:val="21"/>
        </w:rPr>
        <w:t>约、拒绝支付到期本息等情况，导致基金资产损失和收益变化的风险。</w:t>
      </w:r>
    </w:p>
    <w:p w:rsidR="003663E4" w:rsidRDefault="00FD3F7D">
      <w:pPr>
        <w:spacing w:line="360" w:lineRule="auto"/>
        <w:ind w:firstLineChars="200" w:firstLine="420"/>
        <w:rPr>
          <w:color w:val="000000"/>
          <w:szCs w:val="21"/>
        </w:rPr>
      </w:pPr>
      <w:r>
        <w:rPr>
          <w:color w:val="000000"/>
          <w:szCs w:val="21"/>
        </w:rPr>
        <w:t>本基金的基金管理人在交易前对交易对手的资信状况进行了充分的评估。本基金的银行存款存放在本基金的托管人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3663E4" w:rsidRDefault="00FD3F7D">
      <w:pPr>
        <w:spacing w:line="360" w:lineRule="auto"/>
        <w:ind w:firstLineChars="200" w:firstLine="420"/>
        <w:rPr>
          <w:color w:val="000000"/>
          <w:szCs w:val="21"/>
        </w:rPr>
      </w:pPr>
      <w:r>
        <w:rPr>
          <w:color w:val="000000"/>
          <w:szCs w:val="21"/>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3663E4" w:rsidRDefault="00FD3F7D">
      <w:pPr>
        <w:spacing w:line="360" w:lineRule="auto"/>
        <w:ind w:firstLineChars="200" w:firstLine="420"/>
        <w:rPr>
          <w:color w:val="000000"/>
          <w:szCs w:val="21"/>
        </w:rPr>
      </w:pPr>
      <w:r>
        <w:rPr>
          <w:color w:val="000000"/>
          <w:szCs w:val="21"/>
        </w:rPr>
        <w:t xml:space="preserve"> </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7.1.4.13.2.1 </w:t>
      </w:r>
      <w:r>
        <w:rPr>
          <w:rFonts w:hint="eastAsia"/>
          <w:b/>
          <w:bCs/>
          <w:color w:val="000000"/>
          <w:kern w:val="0"/>
          <w:szCs w:val="21"/>
        </w:rPr>
        <w:t>按短期信用评级列示的债券投资</w:t>
      </w:r>
    </w:p>
    <w:p w:rsidR="003663E4" w:rsidRDefault="00FD3F7D">
      <w:pPr>
        <w:tabs>
          <w:tab w:val="left" w:pos="7200"/>
          <w:tab w:val="left" w:pos="8280"/>
        </w:tabs>
        <w:spacing w:line="360" w:lineRule="auto"/>
        <w:ind w:rightChars="268" w:right="563"/>
        <w:jc w:val="right"/>
        <w:rPr>
          <w:bCs/>
          <w:color w:val="000000"/>
          <w:szCs w:val="21"/>
        </w:rPr>
      </w:pPr>
      <w:r>
        <w:rPr>
          <w:rFonts w:hint="eastAsia"/>
          <w:color w:val="000000"/>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6088"/>
      </w:tblGrid>
      <w:tr w:rsidR="003663E4">
        <w:tc>
          <w:tcPr>
            <w:tcW w:w="2552" w:type="dxa"/>
            <w:vAlign w:val="center"/>
          </w:tcPr>
          <w:p w:rsidR="003663E4" w:rsidRDefault="00FD3F7D">
            <w:pPr>
              <w:spacing w:line="360" w:lineRule="auto"/>
              <w:jc w:val="center"/>
              <w:rPr>
                <w:color w:val="000000"/>
                <w:szCs w:val="21"/>
              </w:rPr>
            </w:pPr>
            <w:r>
              <w:rPr>
                <w:rFonts w:eastAsiaTheme="minorEastAsia" w:hint="eastAsia"/>
                <w:szCs w:val="21"/>
              </w:rPr>
              <w:t>短期信用评级</w:t>
            </w:r>
          </w:p>
        </w:tc>
        <w:tc>
          <w:tcPr>
            <w:tcW w:w="6088" w:type="dxa"/>
          </w:tcPr>
          <w:p w:rsidR="003663E4" w:rsidRDefault="00FD3F7D">
            <w:pPr>
              <w:widowControl/>
              <w:autoSpaceDE w:val="0"/>
              <w:autoSpaceDN w:val="0"/>
              <w:spacing w:line="276" w:lineRule="auto"/>
              <w:ind w:right="-15"/>
              <w:jc w:val="center"/>
              <w:textAlignment w:val="bottom"/>
              <w:rPr>
                <w:color w:val="000000"/>
                <w:szCs w:val="21"/>
              </w:rPr>
            </w:pPr>
            <w:r>
              <w:rPr>
                <w:rFonts w:hint="eastAsia"/>
                <w:color w:val="000000"/>
                <w:szCs w:val="21"/>
              </w:rPr>
              <w:t>本期末</w:t>
            </w:r>
          </w:p>
          <w:p w:rsidR="003663E4" w:rsidRDefault="00FD3F7D">
            <w:pPr>
              <w:widowControl/>
              <w:autoSpaceDE w:val="0"/>
              <w:autoSpaceDN w:val="0"/>
              <w:spacing w:line="276" w:lineRule="auto"/>
              <w:ind w:right="-15"/>
              <w:jc w:val="center"/>
              <w:textAlignment w:val="bottom"/>
              <w:rPr>
                <w:color w:val="000000"/>
                <w:szCs w:val="21"/>
              </w:rPr>
            </w:pP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663E4">
        <w:tc>
          <w:tcPr>
            <w:tcW w:w="2552" w:type="dxa"/>
          </w:tcPr>
          <w:p w:rsidR="003663E4" w:rsidRDefault="00FD3F7D">
            <w:pPr>
              <w:spacing w:line="360" w:lineRule="auto"/>
              <w:rPr>
                <w:rFonts w:eastAsiaTheme="minorEastAsia"/>
                <w:szCs w:val="21"/>
              </w:rPr>
            </w:pPr>
            <w:r>
              <w:rPr>
                <w:rFonts w:eastAsiaTheme="minorEastAsia"/>
                <w:szCs w:val="21"/>
              </w:rPr>
              <w:t>A-1</w:t>
            </w:r>
          </w:p>
        </w:tc>
        <w:tc>
          <w:tcPr>
            <w:tcW w:w="6088" w:type="dxa"/>
          </w:tcPr>
          <w:p w:rsidR="003663E4" w:rsidRDefault="00FD3F7D">
            <w:pPr>
              <w:spacing w:line="276" w:lineRule="auto"/>
              <w:jc w:val="right"/>
              <w:rPr>
                <w:color w:val="000000"/>
                <w:szCs w:val="21"/>
              </w:rPr>
            </w:pPr>
            <w:r>
              <w:rPr>
                <w:color w:val="000000"/>
                <w:szCs w:val="21"/>
              </w:rPr>
              <w:t>-</w:t>
            </w:r>
          </w:p>
        </w:tc>
      </w:tr>
      <w:tr w:rsidR="003663E4">
        <w:tc>
          <w:tcPr>
            <w:tcW w:w="2552" w:type="dxa"/>
          </w:tcPr>
          <w:p w:rsidR="003663E4" w:rsidRDefault="00FD3F7D">
            <w:pPr>
              <w:spacing w:line="360" w:lineRule="auto"/>
              <w:rPr>
                <w:rFonts w:eastAsiaTheme="minorEastAsia"/>
                <w:szCs w:val="21"/>
              </w:rPr>
            </w:pPr>
            <w:r>
              <w:rPr>
                <w:rFonts w:eastAsiaTheme="minorEastAsia"/>
                <w:szCs w:val="21"/>
              </w:rPr>
              <w:t>A-1</w:t>
            </w:r>
            <w:r>
              <w:rPr>
                <w:rFonts w:eastAsiaTheme="minorEastAsia" w:hint="eastAsia"/>
                <w:szCs w:val="21"/>
              </w:rPr>
              <w:t>以下</w:t>
            </w:r>
          </w:p>
        </w:tc>
        <w:tc>
          <w:tcPr>
            <w:tcW w:w="6088" w:type="dxa"/>
          </w:tcPr>
          <w:p w:rsidR="003663E4" w:rsidRDefault="00FD3F7D">
            <w:pPr>
              <w:spacing w:line="276" w:lineRule="auto"/>
              <w:jc w:val="right"/>
              <w:rPr>
                <w:color w:val="000000"/>
                <w:szCs w:val="21"/>
              </w:rPr>
            </w:pPr>
            <w:r>
              <w:rPr>
                <w:color w:val="000000"/>
                <w:szCs w:val="21"/>
              </w:rPr>
              <w:t>-</w:t>
            </w:r>
          </w:p>
        </w:tc>
      </w:tr>
      <w:tr w:rsidR="003663E4">
        <w:tc>
          <w:tcPr>
            <w:tcW w:w="2552" w:type="dxa"/>
            <w:vAlign w:val="center"/>
          </w:tcPr>
          <w:p w:rsidR="003663E4" w:rsidRDefault="00FD3F7D">
            <w:pPr>
              <w:spacing w:line="360" w:lineRule="auto"/>
              <w:rPr>
                <w:rFonts w:eastAsiaTheme="minorEastAsia"/>
                <w:szCs w:val="21"/>
              </w:rPr>
            </w:pPr>
            <w:r>
              <w:rPr>
                <w:rFonts w:eastAsiaTheme="minorEastAsia" w:hint="eastAsia"/>
                <w:szCs w:val="21"/>
              </w:rPr>
              <w:t>未评级</w:t>
            </w:r>
          </w:p>
        </w:tc>
        <w:tc>
          <w:tcPr>
            <w:tcW w:w="6088" w:type="dxa"/>
            <w:vAlign w:val="center"/>
          </w:tcPr>
          <w:p w:rsidR="003663E4" w:rsidRDefault="00FD3F7D">
            <w:pPr>
              <w:spacing w:line="276" w:lineRule="auto"/>
              <w:jc w:val="right"/>
              <w:rPr>
                <w:color w:val="000000"/>
                <w:szCs w:val="21"/>
              </w:rPr>
            </w:pPr>
            <w:r>
              <w:rPr>
                <w:color w:val="000000"/>
                <w:szCs w:val="21"/>
              </w:rPr>
              <w:t>50,085,000.00</w:t>
            </w:r>
          </w:p>
        </w:tc>
      </w:tr>
      <w:tr w:rsidR="003663E4">
        <w:tc>
          <w:tcPr>
            <w:tcW w:w="2552" w:type="dxa"/>
            <w:vAlign w:val="center"/>
          </w:tcPr>
          <w:p w:rsidR="003663E4" w:rsidRDefault="00FD3F7D">
            <w:pPr>
              <w:spacing w:line="360" w:lineRule="auto"/>
              <w:rPr>
                <w:rFonts w:eastAsiaTheme="minorEastAsia"/>
                <w:szCs w:val="21"/>
              </w:rPr>
            </w:pPr>
            <w:r>
              <w:rPr>
                <w:rFonts w:eastAsiaTheme="minorEastAsia" w:hint="eastAsia"/>
                <w:szCs w:val="21"/>
              </w:rPr>
              <w:t>合计</w:t>
            </w:r>
          </w:p>
        </w:tc>
        <w:tc>
          <w:tcPr>
            <w:tcW w:w="6088" w:type="dxa"/>
            <w:vAlign w:val="center"/>
          </w:tcPr>
          <w:p w:rsidR="003663E4" w:rsidRDefault="00FD3F7D">
            <w:pPr>
              <w:spacing w:line="276" w:lineRule="auto"/>
              <w:jc w:val="right"/>
              <w:rPr>
                <w:color w:val="000000"/>
                <w:szCs w:val="21"/>
              </w:rPr>
            </w:pPr>
            <w:r>
              <w:rPr>
                <w:color w:val="000000"/>
                <w:szCs w:val="21"/>
              </w:rPr>
              <w:t>50,085,000.00</w:t>
            </w:r>
          </w:p>
        </w:tc>
      </w:tr>
    </w:tbl>
    <w:p w:rsidR="003663E4" w:rsidRDefault="00FD3F7D">
      <w:pPr>
        <w:spacing w:line="360" w:lineRule="auto"/>
        <w:ind w:firstLineChars="200" w:firstLine="420"/>
        <w:rPr>
          <w:color w:val="000000"/>
          <w:szCs w:val="21"/>
        </w:rPr>
      </w:pPr>
      <w:r>
        <w:rPr>
          <w:color w:val="000000"/>
          <w:szCs w:val="21"/>
        </w:rPr>
        <w:t>注：未评级部分为政策性金融债。</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7.1.4.13.2.2 </w:t>
      </w:r>
      <w:r>
        <w:rPr>
          <w:rFonts w:hint="eastAsia"/>
          <w:b/>
          <w:bCs/>
          <w:color w:val="000000"/>
          <w:kern w:val="0"/>
          <w:szCs w:val="21"/>
        </w:rPr>
        <w:t>按长期信用评级列示的债券投资</w:t>
      </w:r>
    </w:p>
    <w:p w:rsidR="003663E4" w:rsidRDefault="00FD3F7D">
      <w:pPr>
        <w:tabs>
          <w:tab w:val="left" w:pos="7200"/>
          <w:tab w:val="left" w:pos="8280"/>
        </w:tabs>
        <w:spacing w:line="360" w:lineRule="auto"/>
        <w:ind w:rightChars="268" w:right="563"/>
        <w:jc w:val="right"/>
        <w:rPr>
          <w:bCs/>
          <w:color w:val="000000"/>
          <w:szCs w:val="21"/>
        </w:rPr>
      </w:pPr>
      <w:r>
        <w:rPr>
          <w:rFonts w:hint="eastAsia"/>
          <w:color w:val="000000"/>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6088"/>
      </w:tblGrid>
      <w:tr w:rsidR="003663E4">
        <w:tc>
          <w:tcPr>
            <w:tcW w:w="2552" w:type="dxa"/>
            <w:vAlign w:val="center"/>
          </w:tcPr>
          <w:p w:rsidR="003663E4" w:rsidRDefault="00FD3F7D">
            <w:pPr>
              <w:spacing w:line="360" w:lineRule="auto"/>
              <w:jc w:val="center"/>
              <w:rPr>
                <w:rFonts w:eastAsiaTheme="minorEastAsia"/>
                <w:szCs w:val="21"/>
              </w:rPr>
            </w:pPr>
            <w:r>
              <w:rPr>
                <w:rFonts w:eastAsiaTheme="minorEastAsia" w:hint="eastAsia"/>
                <w:szCs w:val="21"/>
              </w:rPr>
              <w:t>长期信用评级</w:t>
            </w:r>
          </w:p>
        </w:tc>
        <w:tc>
          <w:tcPr>
            <w:tcW w:w="6088" w:type="dxa"/>
          </w:tcPr>
          <w:p w:rsidR="003663E4" w:rsidRDefault="00FD3F7D">
            <w:pPr>
              <w:widowControl/>
              <w:autoSpaceDE w:val="0"/>
              <w:autoSpaceDN w:val="0"/>
              <w:spacing w:line="276" w:lineRule="auto"/>
              <w:ind w:right="-15"/>
              <w:jc w:val="center"/>
              <w:textAlignment w:val="bottom"/>
              <w:rPr>
                <w:color w:val="000000"/>
                <w:szCs w:val="21"/>
              </w:rPr>
            </w:pPr>
            <w:r>
              <w:rPr>
                <w:rFonts w:hint="eastAsia"/>
                <w:color w:val="000000"/>
                <w:szCs w:val="21"/>
              </w:rPr>
              <w:t>本期末</w:t>
            </w:r>
          </w:p>
          <w:p w:rsidR="003663E4" w:rsidRDefault="00FD3F7D">
            <w:pPr>
              <w:widowControl/>
              <w:autoSpaceDE w:val="0"/>
              <w:autoSpaceDN w:val="0"/>
              <w:spacing w:line="276" w:lineRule="auto"/>
              <w:ind w:right="-15"/>
              <w:jc w:val="center"/>
              <w:textAlignment w:val="bottom"/>
              <w:rPr>
                <w:color w:val="000000"/>
                <w:szCs w:val="21"/>
              </w:rPr>
            </w:pP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663E4">
        <w:tc>
          <w:tcPr>
            <w:tcW w:w="2552" w:type="dxa"/>
          </w:tcPr>
          <w:p w:rsidR="003663E4" w:rsidRDefault="00FD3F7D">
            <w:pPr>
              <w:spacing w:line="360" w:lineRule="auto"/>
              <w:rPr>
                <w:rFonts w:eastAsiaTheme="minorEastAsia"/>
                <w:szCs w:val="21"/>
              </w:rPr>
            </w:pPr>
            <w:r>
              <w:rPr>
                <w:rFonts w:eastAsiaTheme="minorEastAsia"/>
                <w:szCs w:val="21"/>
              </w:rPr>
              <w:t>AAA</w:t>
            </w:r>
          </w:p>
        </w:tc>
        <w:tc>
          <w:tcPr>
            <w:tcW w:w="6088" w:type="dxa"/>
          </w:tcPr>
          <w:p w:rsidR="003663E4" w:rsidRDefault="00FD3F7D">
            <w:pPr>
              <w:spacing w:line="276" w:lineRule="auto"/>
              <w:jc w:val="right"/>
              <w:rPr>
                <w:color w:val="000000"/>
                <w:szCs w:val="21"/>
              </w:rPr>
            </w:pPr>
            <w:r>
              <w:rPr>
                <w:color w:val="000000"/>
                <w:szCs w:val="21"/>
              </w:rPr>
              <w:t>412,988,000.00</w:t>
            </w:r>
          </w:p>
        </w:tc>
      </w:tr>
      <w:tr w:rsidR="003663E4">
        <w:tc>
          <w:tcPr>
            <w:tcW w:w="2552" w:type="dxa"/>
          </w:tcPr>
          <w:p w:rsidR="003663E4" w:rsidRDefault="00FD3F7D">
            <w:pPr>
              <w:spacing w:line="360" w:lineRule="auto"/>
              <w:rPr>
                <w:rFonts w:eastAsiaTheme="minorEastAsia"/>
                <w:szCs w:val="21"/>
              </w:rPr>
            </w:pPr>
            <w:r>
              <w:rPr>
                <w:rFonts w:eastAsiaTheme="minorEastAsia"/>
                <w:szCs w:val="21"/>
              </w:rPr>
              <w:t>AAA</w:t>
            </w:r>
            <w:r>
              <w:rPr>
                <w:rFonts w:eastAsiaTheme="minorEastAsia" w:hint="eastAsia"/>
                <w:szCs w:val="21"/>
              </w:rPr>
              <w:t>以下</w:t>
            </w:r>
          </w:p>
        </w:tc>
        <w:tc>
          <w:tcPr>
            <w:tcW w:w="6088" w:type="dxa"/>
          </w:tcPr>
          <w:p w:rsidR="003663E4" w:rsidRDefault="00FD3F7D">
            <w:pPr>
              <w:spacing w:line="276" w:lineRule="auto"/>
              <w:jc w:val="right"/>
              <w:rPr>
                <w:color w:val="000000"/>
                <w:szCs w:val="21"/>
              </w:rPr>
            </w:pPr>
            <w:r>
              <w:rPr>
                <w:color w:val="000000"/>
                <w:szCs w:val="21"/>
              </w:rPr>
              <w:t>-</w:t>
            </w:r>
          </w:p>
        </w:tc>
      </w:tr>
      <w:tr w:rsidR="003663E4">
        <w:tc>
          <w:tcPr>
            <w:tcW w:w="2552" w:type="dxa"/>
            <w:vAlign w:val="center"/>
          </w:tcPr>
          <w:p w:rsidR="003663E4" w:rsidRDefault="00FD3F7D">
            <w:pPr>
              <w:spacing w:line="360" w:lineRule="auto"/>
              <w:rPr>
                <w:rFonts w:eastAsiaTheme="minorEastAsia"/>
                <w:szCs w:val="21"/>
              </w:rPr>
            </w:pPr>
            <w:r>
              <w:rPr>
                <w:rFonts w:eastAsiaTheme="minorEastAsia" w:hint="eastAsia"/>
                <w:szCs w:val="21"/>
              </w:rPr>
              <w:t>未评级</w:t>
            </w:r>
          </w:p>
        </w:tc>
        <w:tc>
          <w:tcPr>
            <w:tcW w:w="6088" w:type="dxa"/>
            <w:vAlign w:val="center"/>
          </w:tcPr>
          <w:p w:rsidR="003663E4" w:rsidRDefault="00FD3F7D">
            <w:pPr>
              <w:spacing w:line="276" w:lineRule="auto"/>
              <w:jc w:val="right"/>
              <w:rPr>
                <w:color w:val="000000"/>
                <w:szCs w:val="21"/>
              </w:rPr>
            </w:pPr>
            <w:r>
              <w:rPr>
                <w:color w:val="000000"/>
                <w:szCs w:val="21"/>
              </w:rPr>
              <w:t>279,936,000.00</w:t>
            </w:r>
          </w:p>
        </w:tc>
      </w:tr>
      <w:tr w:rsidR="003663E4">
        <w:tc>
          <w:tcPr>
            <w:tcW w:w="2552" w:type="dxa"/>
            <w:vAlign w:val="center"/>
          </w:tcPr>
          <w:p w:rsidR="003663E4" w:rsidRDefault="00FD3F7D">
            <w:pPr>
              <w:spacing w:line="360" w:lineRule="auto"/>
              <w:rPr>
                <w:rFonts w:eastAsiaTheme="minorEastAsia"/>
                <w:szCs w:val="21"/>
              </w:rPr>
            </w:pPr>
            <w:r>
              <w:rPr>
                <w:rFonts w:eastAsiaTheme="minorEastAsia" w:hint="eastAsia"/>
                <w:szCs w:val="21"/>
              </w:rPr>
              <w:t>合计</w:t>
            </w:r>
          </w:p>
        </w:tc>
        <w:tc>
          <w:tcPr>
            <w:tcW w:w="6088" w:type="dxa"/>
            <w:vAlign w:val="center"/>
          </w:tcPr>
          <w:p w:rsidR="003663E4" w:rsidRDefault="00FD3F7D">
            <w:pPr>
              <w:spacing w:line="276" w:lineRule="auto"/>
              <w:jc w:val="right"/>
              <w:rPr>
                <w:color w:val="000000"/>
                <w:szCs w:val="21"/>
              </w:rPr>
            </w:pPr>
            <w:r>
              <w:rPr>
                <w:color w:val="000000"/>
                <w:szCs w:val="21"/>
              </w:rPr>
              <w:t>692,924,000.00</w:t>
            </w:r>
          </w:p>
        </w:tc>
      </w:tr>
    </w:tbl>
    <w:p w:rsidR="003663E4" w:rsidRDefault="00FD3F7D">
      <w:pPr>
        <w:spacing w:line="360" w:lineRule="auto"/>
        <w:ind w:firstLineChars="200" w:firstLine="420"/>
        <w:rPr>
          <w:color w:val="000000"/>
          <w:szCs w:val="21"/>
        </w:rPr>
      </w:pPr>
      <w:r>
        <w:rPr>
          <w:color w:val="000000"/>
          <w:szCs w:val="21"/>
        </w:rPr>
        <w:t>注：未评级部分为政策性金融债。</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7.1.4.13.3 </w:t>
      </w:r>
      <w:r>
        <w:rPr>
          <w:b/>
          <w:bCs/>
          <w:color w:val="000000"/>
          <w:kern w:val="0"/>
          <w:szCs w:val="21"/>
        </w:rPr>
        <w:t>流动性风险</w:t>
      </w:r>
    </w:p>
    <w:p w:rsidR="003663E4" w:rsidRDefault="00FD3F7D">
      <w:pPr>
        <w:spacing w:line="360" w:lineRule="auto"/>
        <w:ind w:firstLineChars="200" w:firstLine="420"/>
        <w:rPr>
          <w:color w:val="000000"/>
          <w:szCs w:val="21"/>
        </w:rPr>
      </w:pPr>
      <w:r>
        <w:rPr>
          <w:color w:val="00000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663E4" w:rsidRDefault="00FD3F7D">
      <w:pPr>
        <w:spacing w:line="360" w:lineRule="auto"/>
        <w:ind w:firstLineChars="200" w:firstLine="420"/>
        <w:rPr>
          <w:color w:val="000000"/>
          <w:szCs w:val="21"/>
        </w:rPr>
      </w:pPr>
      <w:r>
        <w:rPr>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w:t>
      </w:r>
      <w:r>
        <w:rPr>
          <w:color w:val="000000"/>
          <w:szCs w:val="21"/>
        </w:rPr>
        <w:t>赎回模式带来的流动性风险，有效保障基金持有人利益。</w:t>
      </w:r>
    </w:p>
    <w:p w:rsidR="003663E4" w:rsidRDefault="00FD3F7D">
      <w:pPr>
        <w:spacing w:line="360" w:lineRule="auto"/>
        <w:ind w:firstLineChars="200" w:firstLine="420"/>
        <w:rPr>
          <w:color w:val="000000"/>
          <w:szCs w:val="21"/>
        </w:rPr>
      </w:pPr>
      <w:r>
        <w:rPr>
          <w:color w:val="000000"/>
          <w:szCs w:val="21"/>
        </w:rPr>
        <w:t>于</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日，本基金所承担的全部金融负债的合约约定到期日均为一个月以内且不计息，可赎回基金份额净值</w:t>
      </w:r>
      <w:r>
        <w:rPr>
          <w:color w:val="000000"/>
          <w:szCs w:val="21"/>
        </w:rPr>
        <w:t>(</w:t>
      </w:r>
      <w:r>
        <w:rPr>
          <w:color w:val="000000"/>
          <w:szCs w:val="21"/>
        </w:rPr>
        <w:t>所有者权益</w:t>
      </w:r>
      <w:r>
        <w:rPr>
          <w:color w:val="000000"/>
          <w:szCs w:val="21"/>
        </w:rPr>
        <w:t>)</w:t>
      </w:r>
      <w:r>
        <w:rPr>
          <w:color w:val="000000"/>
          <w:szCs w:val="21"/>
        </w:rPr>
        <w:t>无固定到期日且不计息，因此账面余额即为未折现的合约到期现金流量。</w:t>
      </w:r>
    </w:p>
    <w:p w:rsidR="003663E4" w:rsidRDefault="00FD3F7D">
      <w:pPr>
        <w:spacing w:line="360" w:lineRule="auto"/>
        <w:ind w:firstLineChars="200" w:firstLine="420"/>
        <w:rPr>
          <w:color w:val="000000"/>
          <w:szCs w:val="21"/>
        </w:rPr>
      </w:pPr>
      <w:r>
        <w:rPr>
          <w:color w:val="000000"/>
          <w:szCs w:val="21"/>
        </w:rPr>
        <w:t>注：流动性受限资产、</w:t>
      </w:r>
      <w:r>
        <w:rPr>
          <w:color w:val="000000"/>
          <w:szCs w:val="21"/>
        </w:rPr>
        <w:t>7</w:t>
      </w:r>
      <w:r>
        <w:rPr>
          <w:color w:val="000000"/>
          <w:szCs w:val="21"/>
        </w:rPr>
        <w:t>个工作日可变现资产的计算口径见《公开募集开放式证券投资基金流动性风险管理规定》第四十条。</w:t>
      </w:r>
    </w:p>
    <w:p w:rsidR="003663E4" w:rsidRDefault="00FD3F7D">
      <w:pPr>
        <w:spacing w:beforeLines="50" w:before="156" w:line="360" w:lineRule="auto"/>
        <w:rPr>
          <w:b/>
          <w:bCs/>
          <w:color w:val="000000"/>
          <w:szCs w:val="21"/>
        </w:rPr>
      </w:pPr>
      <w:r>
        <w:rPr>
          <w:b/>
          <w:bCs/>
          <w:color w:val="000000"/>
          <w:kern w:val="0"/>
          <w:szCs w:val="21"/>
        </w:rPr>
        <w:t>7.1.4.13</w:t>
      </w:r>
      <w:r>
        <w:rPr>
          <w:rFonts w:hint="eastAsia"/>
          <w:b/>
          <w:bCs/>
          <w:color w:val="000000"/>
          <w:kern w:val="0"/>
          <w:szCs w:val="21"/>
        </w:rPr>
        <w:t>.3</w:t>
      </w:r>
      <w:r>
        <w:rPr>
          <w:b/>
          <w:bCs/>
          <w:color w:val="000000"/>
          <w:kern w:val="0"/>
          <w:szCs w:val="21"/>
        </w:rPr>
        <w:t xml:space="preserve">.1 </w:t>
      </w:r>
      <w:r>
        <w:rPr>
          <w:rFonts w:hint="eastAsia"/>
          <w:b/>
          <w:bCs/>
          <w:color w:val="000000"/>
          <w:szCs w:val="21"/>
        </w:rPr>
        <w:t>报告期内本基金组合资产的流动性风险分析</w:t>
      </w:r>
    </w:p>
    <w:p w:rsidR="003663E4" w:rsidRDefault="00FD3F7D">
      <w:pPr>
        <w:spacing w:line="360" w:lineRule="auto"/>
        <w:ind w:firstLineChars="200" w:firstLine="420"/>
        <w:rPr>
          <w:color w:val="000000"/>
          <w:szCs w:val="21"/>
        </w:rPr>
      </w:pPr>
      <w:r>
        <w:rPr>
          <w:color w:val="000000"/>
          <w:szCs w:val="21"/>
        </w:rPr>
        <w:t>本基金的基金管理人在基金运作过程中严格按照《公开募集证券投资基金运作管理办法》且于基金开放期内按照《公开募集开放式证券投资基金流动性风险管理规定》</w:t>
      </w:r>
      <w:r>
        <w:rPr>
          <w:color w:val="000000"/>
          <w:szCs w:val="21"/>
        </w:rPr>
        <w:t>(</w:t>
      </w:r>
      <w:r>
        <w:rPr>
          <w:color w:val="000000"/>
          <w:szCs w:val="21"/>
        </w:rPr>
        <w:t>自</w:t>
      </w:r>
      <w:r>
        <w:rPr>
          <w:color w:val="000000"/>
          <w:szCs w:val="21"/>
        </w:rPr>
        <w:t>2017</w:t>
      </w:r>
      <w:r>
        <w:rPr>
          <w:color w:val="000000"/>
          <w:szCs w:val="21"/>
        </w:rPr>
        <w:t>年</w:t>
      </w:r>
      <w:r>
        <w:rPr>
          <w:color w:val="000000"/>
          <w:szCs w:val="21"/>
        </w:rPr>
        <w:t>10</w:t>
      </w:r>
      <w:r>
        <w:rPr>
          <w:color w:val="000000"/>
          <w:szCs w:val="21"/>
        </w:rPr>
        <w:t>月</w:t>
      </w:r>
      <w:r>
        <w:rPr>
          <w:color w:val="000000"/>
          <w:szCs w:val="21"/>
        </w:rPr>
        <w:t>1</w:t>
      </w:r>
      <w:r>
        <w:rPr>
          <w:color w:val="000000"/>
          <w:szCs w:val="21"/>
        </w:rPr>
        <w:t>日起施行</w:t>
      </w:r>
      <w:r>
        <w:rPr>
          <w:color w:val="000000"/>
          <w:szCs w:val="21"/>
        </w:rPr>
        <w:t>)</w:t>
      </w:r>
      <w:r>
        <w:rPr>
          <w:color w:val="00000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3663E4" w:rsidRDefault="00FD3F7D">
      <w:pPr>
        <w:spacing w:line="360" w:lineRule="auto"/>
        <w:ind w:firstLineChars="200" w:firstLine="420"/>
        <w:rPr>
          <w:color w:val="000000"/>
          <w:szCs w:val="21"/>
        </w:rPr>
      </w:pPr>
      <w:r>
        <w:rPr>
          <w:color w:val="000000"/>
          <w:szCs w:val="21"/>
        </w:rPr>
        <w:t>本基金投资于一家公司发行的证券市值不超过基金资产净值的</w:t>
      </w:r>
      <w:r>
        <w:rPr>
          <w:color w:val="000000"/>
          <w:szCs w:val="21"/>
        </w:rPr>
        <w:t>10%</w:t>
      </w:r>
      <w:r>
        <w:rPr>
          <w:color w:val="000000"/>
          <w:szCs w:val="21"/>
        </w:rPr>
        <w:t>，且本基金与由本基金的基金管理人管理的其他基金共同持有一家公司发行的证券不得</w:t>
      </w:r>
      <w:r>
        <w:rPr>
          <w:color w:val="000000"/>
          <w:szCs w:val="21"/>
        </w:rPr>
        <w:t>超过该证券的</w:t>
      </w:r>
      <w:r>
        <w:rPr>
          <w:color w:val="000000"/>
          <w:szCs w:val="21"/>
        </w:rPr>
        <w:t>10%</w:t>
      </w:r>
      <w:r>
        <w:rPr>
          <w:color w:val="000000"/>
          <w:szCs w:val="21"/>
        </w:rPr>
        <w:t>。于开放期内，本基金与由本基金的基金管理人管理的其他开放式基金共同持有一家上市公司发行的可流通股票不得超过该上市公司可流通股票的</w:t>
      </w:r>
      <w:r>
        <w:rPr>
          <w:color w:val="000000"/>
          <w:szCs w:val="21"/>
        </w:rPr>
        <w:t>15%</w:t>
      </w:r>
      <w:r>
        <w:rPr>
          <w:color w:val="000000"/>
          <w:szCs w:val="21"/>
        </w:rPr>
        <w:t>，本基金与由本基金的基金管理人管理的全部投资组合持有一家上市公司发行的可流通股票，不得超过该上市公司可流通股票的</w:t>
      </w:r>
      <w:r>
        <w:rPr>
          <w:color w:val="000000"/>
          <w:szCs w:val="21"/>
        </w:rPr>
        <w:t>30%(</w:t>
      </w:r>
      <w:r>
        <w:rPr>
          <w:color w:val="000000"/>
          <w:szCs w:val="21"/>
        </w:rPr>
        <w:t>完全按照有关指数构成比例进行证券投资的开放式基金及中国证监会认定的特殊投资组合不受该比例限制</w:t>
      </w:r>
      <w:r>
        <w:rPr>
          <w:color w:val="000000"/>
          <w:szCs w:val="21"/>
        </w:rPr>
        <w:t>)</w:t>
      </w:r>
      <w:r>
        <w:rPr>
          <w:color w:val="000000"/>
          <w:szCs w:val="21"/>
        </w:rPr>
        <w:t>。</w:t>
      </w:r>
    </w:p>
    <w:p w:rsidR="003663E4" w:rsidRDefault="00FD3F7D">
      <w:pPr>
        <w:spacing w:line="360" w:lineRule="auto"/>
        <w:ind w:firstLineChars="200" w:firstLine="420"/>
        <w:rPr>
          <w:color w:val="000000"/>
          <w:szCs w:val="21"/>
        </w:rPr>
      </w:pPr>
      <w:r>
        <w:rPr>
          <w:color w:val="000000"/>
          <w:szCs w:val="21"/>
        </w:rPr>
        <w:t>本基金所持部分证券在证券交易所上市，其余亦可在银行间同业市场交易，部分基金资产流通暂时受限制不能自由转让的情况参见附注</w:t>
      </w:r>
      <w:r>
        <w:rPr>
          <w:color w:val="000000"/>
          <w:szCs w:val="21"/>
        </w:rPr>
        <w:t>7.1.4.12</w:t>
      </w:r>
      <w:r>
        <w:rPr>
          <w:color w:val="000000"/>
          <w:szCs w:val="21"/>
        </w:rPr>
        <w:t>。此外，</w:t>
      </w:r>
      <w:r>
        <w:rPr>
          <w:color w:val="000000"/>
          <w:szCs w:val="21"/>
        </w:rPr>
        <w:t>本基金可通过卖出回购金融资产方式借入短期资金应对流动性需求，其上限一般不超过基金持有的债券投资的公允价值。本基金主动投资于流动性受限资产的市值合计不得超过基金资产净值的</w:t>
      </w:r>
      <w:r>
        <w:rPr>
          <w:color w:val="000000"/>
          <w:szCs w:val="21"/>
        </w:rPr>
        <w:t>15%</w:t>
      </w:r>
      <w:r>
        <w:rPr>
          <w:color w:val="000000"/>
          <w:szCs w:val="21"/>
        </w:rPr>
        <w:t>。</w:t>
      </w:r>
    </w:p>
    <w:p w:rsidR="003663E4" w:rsidRDefault="00FD3F7D">
      <w:pPr>
        <w:spacing w:line="360" w:lineRule="auto"/>
        <w:ind w:firstLineChars="200" w:firstLine="420"/>
        <w:rPr>
          <w:color w:val="000000"/>
          <w:szCs w:val="21"/>
        </w:rPr>
      </w:pPr>
      <w:r>
        <w:rPr>
          <w:color w:val="000000"/>
          <w:szCs w:val="21"/>
        </w:rPr>
        <w:t>于开放期内，本基金的基金管理人每日对基金组合资产中</w:t>
      </w:r>
      <w:r>
        <w:rPr>
          <w:color w:val="000000"/>
          <w:szCs w:val="21"/>
        </w:rPr>
        <w:t>7</w:t>
      </w:r>
      <w:r>
        <w:rPr>
          <w:color w:val="000000"/>
          <w:szCs w:val="21"/>
        </w:rPr>
        <w:t>个工作日可变现资产的可变现价值进行审慎评估与测算，确保每日确认的净赎回申请不得超过</w:t>
      </w:r>
      <w:r>
        <w:rPr>
          <w:color w:val="000000"/>
          <w:szCs w:val="21"/>
        </w:rPr>
        <w:t>7</w:t>
      </w:r>
      <w:r>
        <w:rPr>
          <w:color w:val="000000"/>
          <w:szCs w:val="21"/>
        </w:rPr>
        <w:t>个工作日可变现资产的可变现价值。</w:t>
      </w:r>
    </w:p>
    <w:p w:rsidR="003663E4" w:rsidRDefault="00FD3F7D">
      <w:pPr>
        <w:spacing w:line="360" w:lineRule="auto"/>
        <w:ind w:firstLineChars="200" w:firstLine="420"/>
        <w:rPr>
          <w:color w:val="000000"/>
          <w:szCs w:val="21"/>
        </w:rPr>
      </w:pPr>
      <w:r>
        <w:rPr>
          <w:color w:val="00000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w:t>
      </w:r>
      <w:r>
        <w:rPr>
          <w:color w:val="000000"/>
          <w:szCs w:val="21"/>
        </w:rPr>
        <w:t>受质押品的资质要求与基金合同约定的投资范围保持一致。</w:t>
      </w:r>
    </w:p>
    <w:p w:rsidR="003663E4" w:rsidRDefault="00FD3F7D">
      <w:pPr>
        <w:spacing w:line="360" w:lineRule="auto"/>
        <w:ind w:firstLineChars="200" w:firstLine="420"/>
        <w:rPr>
          <w:color w:val="000000"/>
          <w:szCs w:val="21"/>
        </w:rPr>
      </w:pPr>
      <w:r>
        <w:rPr>
          <w:color w:val="000000"/>
          <w:szCs w:val="21"/>
        </w:rPr>
        <w:t>综合上述各项流动性指标的监测结果及流动性风险管理措施的实施，本基金在本报告期内流动性情况良好。</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7.1.4.13.4 </w:t>
      </w:r>
      <w:r>
        <w:rPr>
          <w:b/>
          <w:bCs/>
          <w:color w:val="000000"/>
          <w:kern w:val="0"/>
          <w:szCs w:val="21"/>
        </w:rPr>
        <w:t>市场风险</w:t>
      </w:r>
    </w:p>
    <w:p w:rsidR="003663E4" w:rsidRDefault="00FD3F7D">
      <w:pPr>
        <w:spacing w:line="360" w:lineRule="auto"/>
        <w:ind w:firstLineChars="200" w:firstLine="420"/>
        <w:rPr>
          <w:color w:val="000000"/>
          <w:szCs w:val="21"/>
        </w:rPr>
      </w:pPr>
      <w:r>
        <w:rPr>
          <w:color w:val="000000"/>
          <w:szCs w:val="21"/>
        </w:rPr>
        <w:t>市场风险是指基金所持金融工具的公允价值或未来现金流量因所处市场各类价格因素的变动而发生波动的风险，包括利率风险、外汇风险和其他价格风险。</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7.1.4.13.4.1 </w:t>
      </w:r>
      <w:r>
        <w:rPr>
          <w:b/>
          <w:bCs/>
          <w:color w:val="000000"/>
          <w:kern w:val="0"/>
          <w:szCs w:val="21"/>
        </w:rPr>
        <w:t>利率风险</w:t>
      </w:r>
    </w:p>
    <w:p w:rsidR="003663E4" w:rsidRDefault="00FD3F7D">
      <w:pPr>
        <w:spacing w:line="360" w:lineRule="auto"/>
        <w:ind w:firstLineChars="200" w:firstLine="420"/>
        <w:rPr>
          <w:color w:val="000000"/>
          <w:szCs w:val="21"/>
        </w:rPr>
      </w:pPr>
      <w:r>
        <w:rPr>
          <w:color w:val="000000"/>
          <w:szCs w:val="21"/>
        </w:rPr>
        <w:t>利率风险是指金融工具的公允价值或现金流量受市场利率变动而发生波动的风险。利率敏感性金融工具均面临由于市场利率上升而导致公允价值下降的风险，其中浮动利率类金融</w:t>
      </w:r>
      <w:r>
        <w:rPr>
          <w:color w:val="000000"/>
          <w:szCs w:val="21"/>
        </w:rPr>
        <w:t>工具还面临每个付息期间结束根据市场利率重新定价时对于未来现金流影响的风险。</w:t>
      </w:r>
    </w:p>
    <w:p w:rsidR="003663E4" w:rsidRDefault="00FD3F7D">
      <w:pPr>
        <w:spacing w:line="360" w:lineRule="auto"/>
        <w:ind w:firstLineChars="200" w:firstLine="420"/>
        <w:rPr>
          <w:color w:val="000000"/>
          <w:szCs w:val="21"/>
        </w:rPr>
      </w:pPr>
      <w:r>
        <w:rPr>
          <w:color w:val="000000"/>
          <w:szCs w:val="21"/>
        </w:rPr>
        <w:t>本基金的基金管理人定期对本基金面临的利率敏感性缺口进行监控，并通过调整投资组合的久期等方法对上述利率风险进行管理。</w:t>
      </w:r>
    </w:p>
    <w:p w:rsidR="003663E4" w:rsidRDefault="00FD3F7D">
      <w:pPr>
        <w:spacing w:line="360" w:lineRule="auto"/>
        <w:ind w:firstLineChars="200" w:firstLine="420"/>
        <w:rPr>
          <w:color w:val="000000"/>
          <w:szCs w:val="21"/>
        </w:rPr>
      </w:pPr>
      <w:r>
        <w:rPr>
          <w:color w:val="000000"/>
          <w:szCs w:val="21"/>
        </w:rPr>
        <w:t>本基金主要投资于交易所及银行间市场交易的固定收益品种，因此存在相应的利率风险。</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7.1.4.13.4.1.1 </w:t>
      </w:r>
      <w:r>
        <w:rPr>
          <w:b/>
          <w:bCs/>
          <w:color w:val="000000"/>
          <w:kern w:val="0"/>
          <w:szCs w:val="21"/>
        </w:rPr>
        <w:t>利率风险敞口</w:t>
      </w:r>
    </w:p>
    <w:p w:rsidR="003663E4" w:rsidRDefault="00FD3F7D">
      <w:pPr>
        <w:autoSpaceDE w:val="0"/>
        <w:autoSpaceDN w:val="0"/>
        <w:adjustRightInd w:val="0"/>
        <w:spacing w:line="360" w:lineRule="auto"/>
        <w:ind w:left="15"/>
        <w:jc w:val="right"/>
        <w:rPr>
          <w:rFonts w:eastAsiaTheme="minorEastAsia"/>
          <w:color w:val="000000"/>
          <w:szCs w:val="21"/>
        </w:rPr>
      </w:pPr>
      <w:r>
        <w:rPr>
          <w:rFonts w:eastAsiaTheme="minorEastAsia" w:hint="eastAsia"/>
          <w:color w:val="000000"/>
          <w:szCs w:val="21"/>
        </w:rPr>
        <w:t>单位：人民币元</w:t>
      </w:r>
    </w:p>
    <w:tbl>
      <w:tblPr>
        <w:tblW w:w="94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88"/>
        <w:gridCol w:w="1701"/>
        <w:gridCol w:w="1700"/>
        <w:gridCol w:w="1558"/>
        <w:gridCol w:w="1558"/>
        <w:gridCol w:w="1300"/>
      </w:tblGrid>
      <w:tr w:rsidR="003663E4">
        <w:trPr>
          <w:trHeight w:val="280"/>
        </w:trPr>
        <w:tc>
          <w:tcPr>
            <w:tcW w:w="1588" w:type="dxa"/>
            <w:vAlign w:val="center"/>
          </w:tcPr>
          <w:p w:rsidR="003663E4" w:rsidRDefault="00FD3F7D">
            <w:pPr>
              <w:spacing w:line="276" w:lineRule="auto"/>
              <w:jc w:val="center"/>
              <w:rPr>
                <w:b/>
                <w:color w:val="000000"/>
                <w:szCs w:val="21"/>
              </w:rPr>
            </w:pPr>
            <w:r>
              <w:rPr>
                <w:rFonts w:hint="eastAsia"/>
                <w:b/>
                <w:color w:val="000000"/>
                <w:szCs w:val="21"/>
              </w:rPr>
              <w:t>本期末</w:t>
            </w:r>
          </w:p>
          <w:p w:rsidR="003663E4" w:rsidRDefault="00FD3F7D">
            <w:pPr>
              <w:spacing w:line="276" w:lineRule="auto"/>
              <w:jc w:val="center"/>
              <w:rPr>
                <w:b/>
                <w:color w:val="000000"/>
                <w:szCs w:val="21"/>
              </w:rPr>
            </w:pPr>
            <w:r>
              <w:rPr>
                <w:b/>
                <w:color w:val="000000"/>
                <w:szCs w:val="21"/>
              </w:rPr>
              <w:t>2020</w:t>
            </w:r>
            <w:r>
              <w:rPr>
                <w:b/>
                <w:color w:val="000000"/>
                <w:szCs w:val="21"/>
              </w:rPr>
              <w:t>年</w:t>
            </w:r>
            <w:r>
              <w:rPr>
                <w:b/>
                <w:color w:val="000000"/>
                <w:szCs w:val="21"/>
              </w:rPr>
              <w:t>12</w:t>
            </w:r>
            <w:r>
              <w:rPr>
                <w:b/>
                <w:color w:val="000000"/>
                <w:szCs w:val="21"/>
              </w:rPr>
              <w:t>月</w:t>
            </w:r>
            <w:r>
              <w:rPr>
                <w:b/>
                <w:color w:val="000000"/>
                <w:szCs w:val="21"/>
              </w:rPr>
              <w:t>31</w:t>
            </w:r>
            <w:r>
              <w:rPr>
                <w:b/>
                <w:color w:val="000000"/>
                <w:szCs w:val="21"/>
              </w:rPr>
              <w:t>日</w:t>
            </w:r>
          </w:p>
        </w:tc>
        <w:tc>
          <w:tcPr>
            <w:tcW w:w="1701" w:type="dxa"/>
            <w:vAlign w:val="center"/>
          </w:tcPr>
          <w:p w:rsidR="003663E4" w:rsidRDefault="00FD3F7D">
            <w:pPr>
              <w:spacing w:line="276" w:lineRule="auto"/>
              <w:jc w:val="center"/>
              <w:rPr>
                <w:b/>
                <w:color w:val="000000"/>
                <w:szCs w:val="21"/>
              </w:rPr>
            </w:pPr>
            <w:r>
              <w:rPr>
                <w:b/>
                <w:color w:val="000000"/>
                <w:szCs w:val="21"/>
              </w:rPr>
              <w:t>1</w:t>
            </w:r>
            <w:r>
              <w:rPr>
                <w:rFonts w:hint="eastAsia"/>
                <w:b/>
                <w:color w:val="000000"/>
                <w:szCs w:val="21"/>
              </w:rPr>
              <w:t>年以内</w:t>
            </w:r>
          </w:p>
        </w:tc>
        <w:tc>
          <w:tcPr>
            <w:tcW w:w="1700" w:type="dxa"/>
            <w:vAlign w:val="center"/>
          </w:tcPr>
          <w:p w:rsidR="003663E4" w:rsidRDefault="00FD3F7D">
            <w:pPr>
              <w:spacing w:line="276" w:lineRule="auto"/>
              <w:jc w:val="center"/>
              <w:rPr>
                <w:b/>
                <w:color w:val="000000"/>
                <w:szCs w:val="21"/>
              </w:rPr>
            </w:pPr>
            <w:r>
              <w:rPr>
                <w:b/>
                <w:color w:val="000000"/>
                <w:szCs w:val="21"/>
              </w:rPr>
              <w:t>1-5</w:t>
            </w:r>
            <w:r>
              <w:rPr>
                <w:rFonts w:hint="eastAsia"/>
                <w:b/>
                <w:color w:val="000000"/>
                <w:szCs w:val="21"/>
              </w:rPr>
              <w:t>年</w:t>
            </w:r>
          </w:p>
        </w:tc>
        <w:tc>
          <w:tcPr>
            <w:tcW w:w="1558" w:type="dxa"/>
            <w:vAlign w:val="center"/>
          </w:tcPr>
          <w:p w:rsidR="003663E4" w:rsidRDefault="00FD3F7D">
            <w:pPr>
              <w:spacing w:line="276" w:lineRule="auto"/>
              <w:jc w:val="center"/>
              <w:rPr>
                <w:b/>
                <w:color w:val="000000"/>
                <w:szCs w:val="21"/>
              </w:rPr>
            </w:pPr>
            <w:r>
              <w:rPr>
                <w:b/>
                <w:color w:val="000000"/>
                <w:szCs w:val="21"/>
              </w:rPr>
              <w:t>5</w:t>
            </w:r>
            <w:r>
              <w:rPr>
                <w:rFonts w:hint="eastAsia"/>
                <w:b/>
                <w:color w:val="000000"/>
                <w:szCs w:val="21"/>
              </w:rPr>
              <w:t>年以上</w:t>
            </w:r>
          </w:p>
        </w:tc>
        <w:tc>
          <w:tcPr>
            <w:tcW w:w="1558" w:type="dxa"/>
            <w:vAlign w:val="center"/>
          </w:tcPr>
          <w:p w:rsidR="003663E4" w:rsidRDefault="00FD3F7D">
            <w:pPr>
              <w:spacing w:line="276" w:lineRule="auto"/>
              <w:jc w:val="center"/>
              <w:rPr>
                <w:b/>
                <w:color w:val="000000"/>
                <w:szCs w:val="21"/>
              </w:rPr>
            </w:pPr>
            <w:r>
              <w:rPr>
                <w:rFonts w:hint="eastAsia"/>
                <w:b/>
                <w:color w:val="000000"/>
                <w:szCs w:val="21"/>
              </w:rPr>
              <w:t>不计息</w:t>
            </w:r>
          </w:p>
        </w:tc>
        <w:tc>
          <w:tcPr>
            <w:tcW w:w="1300" w:type="dxa"/>
            <w:vAlign w:val="center"/>
          </w:tcPr>
          <w:p w:rsidR="003663E4" w:rsidRDefault="00FD3F7D">
            <w:pPr>
              <w:spacing w:line="276" w:lineRule="auto"/>
              <w:jc w:val="center"/>
              <w:rPr>
                <w:b/>
                <w:color w:val="000000"/>
                <w:szCs w:val="21"/>
              </w:rPr>
            </w:pPr>
            <w:r>
              <w:rPr>
                <w:rFonts w:hint="eastAsia"/>
                <w:b/>
                <w:color w:val="000000"/>
                <w:szCs w:val="21"/>
              </w:rPr>
              <w:t>合计</w:t>
            </w:r>
          </w:p>
        </w:tc>
      </w:tr>
      <w:tr w:rsidR="003663E4">
        <w:trPr>
          <w:trHeight w:val="280"/>
        </w:trPr>
        <w:tc>
          <w:tcPr>
            <w:tcW w:w="1588" w:type="dxa"/>
            <w:vAlign w:val="center"/>
          </w:tcPr>
          <w:p w:rsidR="003663E4" w:rsidRDefault="00FD3F7D">
            <w:pPr>
              <w:spacing w:line="276" w:lineRule="auto"/>
              <w:rPr>
                <w:color w:val="000000"/>
                <w:szCs w:val="21"/>
              </w:rPr>
            </w:pPr>
            <w:r>
              <w:rPr>
                <w:rFonts w:hint="eastAsia"/>
                <w:color w:val="000000"/>
                <w:szCs w:val="21"/>
              </w:rPr>
              <w:t>资产</w:t>
            </w:r>
          </w:p>
        </w:tc>
        <w:tc>
          <w:tcPr>
            <w:tcW w:w="1701" w:type="dxa"/>
            <w:vAlign w:val="center"/>
          </w:tcPr>
          <w:p w:rsidR="003663E4" w:rsidRDefault="003663E4">
            <w:pPr>
              <w:spacing w:line="276" w:lineRule="auto"/>
              <w:jc w:val="right"/>
              <w:rPr>
                <w:color w:val="000000"/>
                <w:szCs w:val="21"/>
              </w:rPr>
            </w:pPr>
          </w:p>
        </w:tc>
        <w:tc>
          <w:tcPr>
            <w:tcW w:w="1700" w:type="dxa"/>
            <w:vAlign w:val="center"/>
          </w:tcPr>
          <w:p w:rsidR="003663E4" w:rsidRDefault="003663E4">
            <w:pPr>
              <w:spacing w:line="276" w:lineRule="auto"/>
              <w:jc w:val="right"/>
              <w:rPr>
                <w:color w:val="000000"/>
                <w:szCs w:val="21"/>
              </w:rPr>
            </w:pPr>
          </w:p>
        </w:tc>
        <w:tc>
          <w:tcPr>
            <w:tcW w:w="1558" w:type="dxa"/>
            <w:vAlign w:val="center"/>
          </w:tcPr>
          <w:p w:rsidR="003663E4" w:rsidRDefault="003663E4">
            <w:pPr>
              <w:spacing w:line="276" w:lineRule="auto"/>
              <w:jc w:val="right"/>
              <w:rPr>
                <w:color w:val="000000"/>
                <w:szCs w:val="21"/>
              </w:rPr>
            </w:pPr>
          </w:p>
        </w:tc>
        <w:tc>
          <w:tcPr>
            <w:tcW w:w="1558" w:type="dxa"/>
            <w:vAlign w:val="center"/>
          </w:tcPr>
          <w:p w:rsidR="003663E4" w:rsidRDefault="003663E4">
            <w:pPr>
              <w:spacing w:line="276" w:lineRule="auto"/>
              <w:jc w:val="right"/>
              <w:rPr>
                <w:color w:val="000000"/>
                <w:szCs w:val="21"/>
              </w:rPr>
            </w:pPr>
          </w:p>
        </w:tc>
        <w:tc>
          <w:tcPr>
            <w:tcW w:w="1300" w:type="dxa"/>
            <w:vAlign w:val="center"/>
          </w:tcPr>
          <w:p w:rsidR="003663E4" w:rsidRDefault="003663E4">
            <w:pPr>
              <w:spacing w:line="276" w:lineRule="auto"/>
              <w:jc w:val="right"/>
              <w:rPr>
                <w:b/>
                <w:color w:val="000000"/>
                <w:szCs w:val="21"/>
              </w:rPr>
            </w:pPr>
          </w:p>
        </w:tc>
      </w:tr>
      <w:tr w:rsidR="003663E4">
        <w:tc>
          <w:tcPr>
            <w:tcW w:w="1588" w:type="dxa"/>
            <w:vAlign w:val="center"/>
          </w:tcPr>
          <w:p w:rsidR="003663E4" w:rsidRDefault="00FD3F7D">
            <w:pPr>
              <w:jc w:val="center"/>
            </w:pPr>
            <w:r>
              <w:rPr>
                <w:color w:val="000000"/>
                <w:szCs w:val="21"/>
              </w:rPr>
              <w:t>银行存款</w:t>
            </w:r>
          </w:p>
        </w:tc>
        <w:tc>
          <w:tcPr>
            <w:tcW w:w="1701" w:type="dxa"/>
            <w:vAlign w:val="center"/>
          </w:tcPr>
          <w:p w:rsidR="003663E4" w:rsidRDefault="00FD3F7D">
            <w:pPr>
              <w:jc w:val="right"/>
            </w:pPr>
            <w:r>
              <w:rPr>
                <w:color w:val="000000"/>
                <w:szCs w:val="21"/>
              </w:rPr>
              <w:t>1,252,444.69</w:t>
            </w:r>
          </w:p>
        </w:tc>
        <w:tc>
          <w:tcPr>
            <w:tcW w:w="1700" w:type="dxa"/>
            <w:vAlign w:val="center"/>
          </w:tcPr>
          <w:p w:rsidR="003663E4" w:rsidRDefault="00FD3F7D">
            <w:pPr>
              <w:jc w:val="right"/>
            </w:pPr>
            <w:r>
              <w:rPr>
                <w:color w:val="000000"/>
                <w:szCs w:val="21"/>
              </w:rPr>
              <w:t>-</w:t>
            </w:r>
          </w:p>
        </w:tc>
        <w:tc>
          <w:tcPr>
            <w:tcW w:w="1558" w:type="dxa"/>
            <w:vAlign w:val="center"/>
          </w:tcPr>
          <w:p w:rsidR="003663E4" w:rsidRDefault="00FD3F7D">
            <w:pPr>
              <w:jc w:val="right"/>
            </w:pPr>
            <w:r>
              <w:rPr>
                <w:color w:val="000000"/>
                <w:szCs w:val="21"/>
              </w:rPr>
              <w:t>-</w:t>
            </w:r>
          </w:p>
        </w:tc>
        <w:tc>
          <w:tcPr>
            <w:tcW w:w="1558" w:type="dxa"/>
            <w:vAlign w:val="center"/>
          </w:tcPr>
          <w:p w:rsidR="003663E4" w:rsidRDefault="00FD3F7D">
            <w:pPr>
              <w:jc w:val="right"/>
            </w:pPr>
            <w:r>
              <w:rPr>
                <w:color w:val="000000"/>
                <w:szCs w:val="21"/>
              </w:rPr>
              <w:t>-</w:t>
            </w:r>
          </w:p>
        </w:tc>
        <w:tc>
          <w:tcPr>
            <w:tcW w:w="1300" w:type="dxa"/>
            <w:vAlign w:val="center"/>
          </w:tcPr>
          <w:p w:rsidR="003663E4" w:rsidRDefault="00FD3F7D">
            <w:pPr>
              <w:jc w:val="right"/>
            </w:pPr>
            <w:r>
              <w:rPr>
                <w:color w:val="000000"/>
                <w:szCs w:val="21"/>
              </w:rPr>
              <w:t>1,252,444.69</w:t>
            </w:r>
          </w:p>
        </w:tc>
      </w:tr>
      <w:tr w:rsidR="003663E4">
        <w:tc>
          <w:tcPr>
            <w:tcW w:w="1588" w:type="dxa"/>
            <w:vAlign w:val="center"/>
          </w:tcPr>
          <w:p w:rsidR="003663E4" w:rsidRDefault="00FD3F7D">
            <w:pPr>
              <w:jc w:val="center"/>
            </w:pPr>
            <w:r>
              <w:rPr>
                <w:color w:val="000000"/>
                <w:szCs w:val="21"/>
              </w:rPr>
              <w:t>交易性金融资产</w:t>
            </w:r>
          </w:p>
        </w:tc>
        <w:tc>
          <w:tcPr>
            <w:tcW w:w="1701" w:type="dxa"/>
            <w:vAlign w:val="center"/>
          </w:tcPr>
          <w:p w:rsidR="003663E4" w:rsidRDefault="00FD3F7D">
            <w:pPr>
              <w:jc w:val="right"/>
            </w:pPr>
            <w:r>
              <w:rPr>
                <w:color w:val="000000"/>
                <w:szCs w:val="21"/>
              </w:rPr>
              <w:t>482,993,000.00</w:t>
            </w:r>
          </w:p>
        </w:tc>
        <w:tc>
          <w:tcPr>
            <w:tcW w:w="1700" w:type="dxa"/>
            <w:vAlign w:val="center"/>
          </w:tcPr>
          <w:p w:rsidR="003663E4" w:rsidRDefault="00FD3F7D">
            <w:pPr>
              <w:jc w:val="right"/>
            </w:pPr>
            <w:r>
              <w:rPr>
                <w:color w:val="000000"/>
                <w:szCs w:val="21"/>
              </w:rPr>
              <w:t>250,426,000.00</w:t>
            </w:r>
          </w:p>
        </w:tc>
        <w:tc>
          <w:tcPr>
            <w:tcW w:w="1558" w:type="dxa"/>
            <w:vAlign w:val="center"/>
          </w:tcPr>
          <w:p w:rsidR="003663E4" w:rsidRDefault="00FD3F7D">
            <w:pPr>
              <w:jc w:val="right"/>
            </w:pPr>
            <w:r>
              <w:rPr>
                <w:color w:val="000000"/>
                <w:szCs w:val="21"/>
              </w:rPr>
              <w:t>9,590,000.00</w:t>
            </w:r>
          </w:p>
        </w:tc>
        <w:tc>
          <w:tcPr>
            <w:tcW w:w="1558" w:type="dxa"/>
            <w:vAlign w:val="center"/>
          </w:tcPr>
          <w:p w:rsidR="003663E4" w:rsidRDefault="00FD3F7D">
            <w:pPr>
              <w:jc w:val="right"/>
            </w:pPr>
            <w:r>
              <w:rPr>
                <w:color w:val="000000"/>
                <w:szCs w:val="21"/>
              </w:rPr>
              <w:t>-</w:t>
            </w:r>
          </w:p>
        </w:tc>
        <w:tc>
          <w:tcPr>
            <w:tcW w:w="1300" w:type="dxa"/>
            <w:vAlign w:val="center"/>
          </w:tcPr>
          <w:p w:rsidR="003663E4" w:rsidRDefault="00FD3F7D">
            <w:pPr>
              <w:jc w:val="right"/>
            </w:pPr>
            <w:r>
              <w:rPr>
                <w:color w:val="000000"/>
                <w:szCs w:val="21"/>
              </w:rPr>
              <w:t>743,009,000.00</w:t>
            </w:r>
          </w:p>
        </w:tc>
      </w:tr>
      <w:tr w:rsidR="003663E4">
        <w:tc>
          <w:tcPr>
            <w:tcW w:w="1588" w:type="dxa"/>
            <w:vAlign w:val="center"/>
          </w:tcPr>
          <w:p w:rsidR="003663E4" w:rsidRDefault="00FD3F7D">
            <w:pPr>
              <w:jc w:val="center"/>
            </w:pPr>
            <w:r>
              <w:rPr>
                <w:color w:val="000000"/>
                <w:szCs w:val="21"/>
              </w:rPr>
              <w:t>买入返售金融资产</w:t>
            </w:r>
          </w:p>
        </w:tc>
        <w:tc>
          <w:tcPr>
            <w:tcW w:w="1701" w:type="dxa"/>
            <w:vAlign w:val="center"/>
          </w:tcPr>
          <w:p w:rsidR="003663E4" w:rsidRDefault="00FD3F7D">
            <w:pPr>
              <w:jc w:val="right"/>
            </w:pPr>
            <w:r>
              <w:rPr>
                <w:color w:val="000000"/>
                <w:szCs w:val="21"/>
              </w:rPr>
              <w:t>25,000,157.50</w:t>
            </w:r>
          </w:p>
        </w:tc>
        <w:tc>
          <w:tcPr>
            <w:tcW w:w="1700" w:type="dxa"/>
            <w:vAlign w:val="center"/>
          </w:tcPr>
          <w:p w:rsidR="003663E4" w:rsidRDefault="00FD3F7D">
            <w:pPr>
              <w:jc w:val="right"/>
            </w:pPr>
            <w:r>
              <w:rPr>
                <w:color w:val="000000"/>
                <w:szCs w:val="21"/>
              </w:rPr>
              <w:t>-</w:t>
            </w:r>
          </w:p>
        </w:tc>
        <w:tc>
          <w:tcPr>
            <w:tcW w:w="1558" w:type="dxa"/>
            <w:vAlign w:val="center"/>
          </w:tcPr>
          <w:p w:rsidR="003663E4" w:rsidRDefault="00FD3F7D">
            <w:pPr>
              <w:jc w:val="right"/>
            </w:pPr>
            <w:r>
              <w:rPr>
                <w:color w:val="000000"/>
                <w:szCs w:val="21"/>
              </w:rPr>
              <w:t>-</w:t>
            </w:r>
          </w:p>
        </w:tc>
        <w:tc>
          <w:tcPr>
            <w:tcW w:w="1558" w:type="dxa"/>
            <w:vAlign w:val="center"/>
          </w:tcPr>
          <w:p w:rsidR="003663E4" w:rsidRDefault="00FD3F7D">
            <w:pPr>
              <w:jc w:val="right"/>
            </w:pPr>
            <w:r>
              <w:rPr>
                <w:color w:val="000000"/>
                <w:szCs w:val="21"/>
              </w:rPr>
              <w:t>-</w:t>
            </w:r>
          </w:p>
        </w:tc>
        <w:tc>
          <w:tcPr>
            <w:tcW w:w="1300" w:type="dxa"/>
            <w:vAlign w:val="center"/>
          </w:tcPr>
          <w:p w:rsidR="003663E4" w:rsidRDefault="00FD3F7D">
            <w:pPr>
              <w:jc w:val="right"/>
            </w:pPr>
            <w:r>
              <w:rPr>
                <w:color w:val="000000"/>
                <w:szCs w:val="21"/>
              </w:rPr>
              <w:t>25,000,157.50</w:t>
            </w:r>
          </w:p>
        </w:tc>
      </w:tr>
      <w:tr w:rsidR="003663E4">
        <w:tc>
          <w:tcPr>
            <w:tcW w:w="1588" w:type="dxa"/>
            <w:vAlign w:val="center"/>
          </w:tcPr>
          <w:p w:rsidR="003663E4" w:rsidRDefault="00FD3F7D">
            <w:pPr>
              <w:jc w:val="center"/>
            </w:pPr>
            <w:r>
              <w:rPr>
                <w:color w:val="000000"/>
                <w:szCs w:val="21"/>
              </w:rPr>
              <w:t>应收利息</w:t>
            </w:r>
          </w:p>
        </w:tc>
        <w:tc>
          <w:tcPr>
            <w:tcW w:w="1701" w:type="dxa"/>
            <w:vAlign w:val="center"/>
          </w:tcPr>
          <w:p w:rsidR="003663E4" w:rsidRDefault="00FD3F7D">
            <w:pPr>
              <w:jc w:val="right"/>
            </w:pPr>
            <w:r>
              <w:rPr>
                <w:color w:val="000000"/>
                <w:szCs w:val="21"/>
              </w:rPr>
              <w:t>-</w:t>
            </w:r>
          </w:p>
        </w:tc>
        <w:tc>
          <w:tcPr>
            <w:tcW w:w="1700" w:type="dxa"/>
            <w:vAlign w:val="center"/>
          </w:tcPr>
          <w:p w:rsidR="003663E4" w:rsidRDefault="00FD3F7D">
            <w:pPr>
              <w:jc w:val="right"/>
            </w:pPr>
            <w:r>
              <w:rPr>
                <w:color w:val="000000"/>
                <w:szCs w:val="21"/>
              </w:rPr>
              <w:t>-</w:t>
            </w:r>
          </w:p>
        </w:tc>
        <w:tc>
          <w:tcPr>
            <w:tcW w:w="1558" w:type="dxa"/>
            <w:vAlign w:val="center"/>
          </w:tcPr>
          <w:p w:rsidR="003663E4" w:rsidRDefault="00FD3F7D">
            <w:pPr>
              <w:jc w:val="right"/>
            </w:pPr>
            <w:r>
              <w:rPr>
                <w:color w:val="000000"/>
                <w:szCs w:val="21"/>
              </w:rPr>
              <w:t>-</w:t>
            </w:r>
          </w:p>
        </w:tc>
        <w:tc>
          <w:tcPr>
            <w:tcW w:w="1558" w:type="dxa"/>
            <w:vAlign w:val="center"/>
          </w:tcPr>
          <w:p w:rsidR="003663E4" w:rsidRDefault="00FD3F7D">
            <w:pPr>
              <w:jc w:val="right"/>
            </w:pPr>
            <w:r>
              <w:rPr>
                <w:color w:val="000000"/>
                <w:szCs w:val="21"/>
              </w:rPr>
              <w:t>9,631,110.00</w:t>
            </w:r>
          </w:p>
        </w:tc>
        <w:tc>
          <w:tcPr>
            <w:tcW w:w="1300" w:type="dxa"/>
            <w:vAlign w:val="center"/>
          </w:tcPr>
          <w:p w:rsidR="003663E4" w:rsidRDefault="00FD3F7D">
            <w:pPr>
              <w:jc w:val="right"/>
            </w:pPr>
            <w:r>
              <w:rPr>
                <w:color w:val="000000"/>
                <w:szCs w:val="21"/>
              </w:rPr>
              <w:t>9,631,110.00</w:t>
            </w:r>
          </w:p>
        </w:tc>
      </w:tr>
      <w:tr w:rsidR="003663E4">
        <w:tc>
          <w:tcPr>
            <w:tcW w:w="1588" w:type="dxa"/>
            <w:vAlign w:val="center"/>
          </w:tcPr>
          <w:p w:rsidR="003663E4" w:rsidRDefault="00FD3F7D">
            <w:pPr>
              <w:jc w:val="center"/>
            </w:pPr>
            <w:r>
              <w:rPr>
                <w:color w:val="000000"/>
                <w:szCs w:val="21"/>
              </w:rPr>
              <w:t>应收申购款</w:t>
            </w:r>
          </w:p>
        </w:tc>
        <w:tc>
          <w:tcPr>
            <w:tcW w:w="1701" w:type="dxa"/>
            <w:vAlign w:val="center"/>
          </w:tcPr>
          <w:p w:rsidR="003663E4" w:rsidRDefault="00FD3F7D">
            <w:pPr>
              <w:jc w:val="right"/>
            </w:pPr>
            <w:r>
              <w:rPr>
                <w:color w:val="000000"/>
                <w:szCs w:val="21"/>
              </w:rPr>
              <w:t>-</w:t>
            </w:r>
          </w:p>
        </w:tc>
        <w:tc>
          <w:tcPr>
            <w:tcW w:w="1700" w:type="dxa"/>
            <w:vAlign w:val="center"/>
          </w:tcPr>
          <w:p w:rsidR="003663E4" w:rsidRDefault="00FD3F7D">
            <w:pPr>
              <w:jc w:val="right"/>
            </w:pPr>
            <w:r>
              <w:rPr>
                <w:color w:val="000000"/>
                <w:szCs w:val="21"/>
              </w:rPr>
              <w:t>-</w:t>
            </w:r>
          </w:p>
        </w:tc>
        <w:tc>
          <w:tcPr>
            <w:tcW w:w="1558" w:type="dxa"/>
            <w:vAlign w:val="center"/>
          </w:tcPr>
          <w:p w:rsidR="003663E4" w:rsidRDefault="00FD3F7D">
            <w:pPr>
              <w:jc w:val="right"/>
            </w:pPr>
            <w:r>
              <w:rPr>
                <w:color w:val="000000"/>
                <w:szCs w:val="21"/>
              </w:rPr>
              <w:t>-</w:t>
            </w:r>
          </w:p>
        </w:tc>
        <w:tc>
          <w:tcPr>
            <w:tcW w:w="1558" w:type="dxa"/>
            <w:vAlign w:val="center"/>
          </w:tcPr>
          <w:p w:rsidR="003663E4" w:rsidRDefault="00FD3F7D">
            <w:pPr>
              <w:jc w:val="right"/>
            </w:pPr>
            <w:r>
              <w:rPr>
                <w:color w:val="000000"/>
                <w:szCs w:val="21"/>
              </w:rPr>
              <w:t>997.01</w:t>
            </w:r>
          </w:p>
        </w:tc>
        <w:tc>
          <w:tcPr>
            <w:tcW w:w="1300" w:type="dxa"/>
            <w:vAlign w:val="center"/>
          </w:tcPr>
          <w:p w:rsidR="003663E4" w:rsidRDefault="00FD3F7D">
            <w:pPr>
              <w:jc w:val="right"/>
            </w:pPr>
            <w:r>
              <w:rPr>
                <w:color w:val="000000"/>
                <w:szCs w:val="21"/>
              </w:rPr>
              <w:t>997.01</w:t>
            </w:r>
          </w:p>
        </w:tc>
      </w:tr>
      <w:tr w:rsidR="003663E4">
        <w:trPr>
          <w:trHeight w:val="280"/>
        </w:trPr>
        <w:tc>
          <w:tcPr>
            <w:tcW w:w="1588" w:type="dxa"/>
            <w:vAlign w:val="center"/>
          </w:tcPr>
          <w:p w:rsidR="003663E4" w:rsidRDefault="00FD3F7D">
            <w:pPr>
              <w:autoSpaceDE w:val="0"/>
              <w:autoSpaceDN w:val="0"/>
              <w:adjustRightInd w:val="0"/>
              <w:spacing w:before="29" w:line="276" w:lineRule="auto"/>
              <w:rPr>
                <w:color w:val="000000"/>
                <w:szCs w:val="21"/>
              </w:rPr>
            </w:pPr>
            <w:r>
              <w:rPr>
                <w:rFonts w:hint="eastAsia"/>
                <w:color w:val="000000"/>
                <w:szCs w:val="21"/>
              </w:rPr>
              <w:t>资产总计</w:t>
            </w:r>
          </w:p>
        </w:tc>
        <w:tc>
          <w:tcPr>
            <w:tcW w:w="1701" w:type="dxa"/>
            <w:vAlign w:val="center"/>
          </w:tcPr>
          <w:p w:rsidR="003663E4" w:rsidRDefault="00FD3F7D">
            <w:pPr>
              <w:autoSpaceDE w:val="0"/>
              <w:autoSpaceDN w:val="0"/>
              <w:adjustRightInd w:val="0"/>
              <w:spacing w:before="29" w:line="276" w:lineRule="auto"/>
              <w:jc w:val="right"/>
              <w:rPr>
                <w:color w:val="000000"/>
                <w:szCs w:val="21"/>
              </w:rPr>
            </w:pPr>
            <w:r>
              <w:rPr>
                <w:color w:val="000000"/>
                <w:szCs w:val="21"/>
              </w:rPr>
              <w:t>509,245,602.19</w:t>
            </w:r>
          </w:p>
        </w:tc>
        <w:tc>
          <w:tcPr>
            <w:tcW w:w="1700" w:type="dxa"/>
            <w:vAlign w:val="center"/>
          </w:tcPr>
          <w:p w:rsidR="003663E4" w:rsidRDefault="00FD3F7D">
            <w:pPr>
              <w:autoSpaceDE w:val="0"/>
              <w:autoSpaceDN w:val="0"/>
              <w:adjustRightInd w:val="0"/>
              <w:spacing w:before="29" w:line="276" w:lineRule="auto"/>
              <w:jc w:val="right"/>
              <w:rPr>
                <w:color w:val="000000"/>
                <w:szCs w:val="21"/>
              </w:rPr>
            </w:pPr>
            <w:r>
              <w:rPr>
                <w:color w:val="000000"/>
                <w:szCs w:val="21"/>
              </w:rPr>
              <w:t>250,426,000.00</w:t>
            </w:r>
          </w:p>
        </w:tc>
        <w:tc>
          <w:tcPr>
            <w:tcW w:w="1558" w:type="dxa"/>
            <w:vAlign w:val="center"/>
          </w:tcPr>
          <w:p w:rsidR="003663E4" w:rsidRDefault="00FD3F7D">
            <w:pPr>
              <w:autoSpaceDE w:val="0"/>
              <w:autoSpaceDN w:val="0"/>
              <w:adjustRightInd w:val="0"/>
              <w:spacing w:before="29" w:line="276" w:lineRule="auto"/>
              <w:jc w:val="right"/>
              <w:rPr>
                <w:color w:val="000000"/>
                <w:szCs w:val="21"/>
              </w:rPr>
            </w:pPr>
            <w:r>
              <w:rPr>
                <w:color w:val="000000"/>
                <w:szCs w:val="21"/>
              </w:rPr>
              <w:t>9,590,000.00</w:t>
            </w:r>
          </w:p>
        </w:tc>
        <w:tc>
          <w:tcPr>
            <w:tcW w:w="1558" w:type="dxa"/>
            <w:vAlign w:val="center"/>
          </w:tcPr>
          <w:p w:rsidR="003663E4" w:rsidRDefault="00FD3F7D">
            <w:pPr>
              <w:autoSpaceDE w:val="0"/>
              <w:autoSpaceDN w:val="0"/>
              <w:adjustRightInd w:val="0"/>
              <w:spacing w:before="29" w:line="276" w:lineRule="auto"/>
              <w:jc w:val="right"/>
              <w:rPr>
                <w:color w:val="000000"/>
                <w:szCs w:val="21"/>
              </w:rPr>
            </w:pPr>
            <w:r>
              <w:rPr>
                <w:color w:val="000000"/>
                <w:szCs w:val="21"/>
              </w:rPr>
              <w:t>9,632,107.01</w:t>
            </w:r>
          </w:p>
        </w:tc>
        <w:tc>
          <w:tcPr>
            <w:tcW w:w="1300" w:type="dxa"/>
            <w:vAlign w:val="center"/>
          </w:tcPr>
          <w:p w:rsidR="003663E4" w:rsidRDefault="00FD3F7D">
            <w:pPr>
              <w:autoSpaceDE w:val="0"/>
              <w:autoSpaceDN w:val="0"/>
              <w:adjustRightInd w:val="0"/>
              <w:spacing w:before="29" w:line="276" w:lineRule="auto"/>
              <w:jc w:val="right"/>
              <w:rPr>
                <w:color w:val="000000"/>
                <w:szCs w:val="21"/>
              </w:rPr>
            </w:pPr>
            <w:r>
              <w:rPr>
                <w:color w:val="000000"/>
                <w:szCs w:val="21"/>
              </w:rPr>
              <w:t>778,893,709.20</w:t>
            </w:r>
          </w:p>
        </w:tc>
      </w:tr>
      <w:tr w:rsidR="003663E4">
        <w:trPr>
          <w:trHeight w:val="280"/>
        </w:trPr>
        <w:tc>
          <w:tcPr>
            <w:tcW w:w="1588" w:type="dxa"/>
            <w:vAlign w:val="center"/>
          </w:tcPr>
          <w:p w:rsidR="003663E4" w:rsidRDefault="00FD3F7D">
            <w:pPr>
              <w:spacing w:line="276" w:lineRule="auto"/>
              <w:rPr>
                <w:color w:val="000000"/>
                <w:szCs w:val="21"/>
              </w:rPr>
            </w:pPr>
            <w:r>
              <w:rPr>
                <w:rFonts w:hint="eastAsia"/>
                <w:color w:val="000000"/>
                <w:szCs w:val="21"/>
              </w:rPr>
              <w:t>负债</w:t>
            </w:r>
          </w:p>
        </w:tc>
        <w:tc>
          <w:tcPr>
            <w:tcW w:w="1701" w:type="dxa"/>
            <w:vAlign w:val="center"/>
          </w:tcPr>
          <w:p w:rsidR="003663E4" w:rsidRDefault="003663E4">
            <w:pPr>
              <w:spacing w:line="276" w:lineRule="auto"/>
              <w:jc w:val="right"/>
              <w:rPr>
                <w:color w:val="000000"/>
                <w:kern w:val="0"/>
                <w:szCs w:val="21"/>
              </w:rPr>
            </w:pPr>
          </w:p>
        </w:tc>
        <w:tc>
          <w:tcPr>
            <w:tcW w:w="1700" w:type="dxa"/>
            <w:vAlign w:val="center"/>
          </w:tcPr>
          <w:p w:rsidR="003663E4" w:rsidRDefault="003663E4">
            <w:pPr>
              <w:spacing w:line="276" w:lineRule="auto"/>
              <w:jc w:val="right"/>
              <w:rPr>
                <w:color w:val="000000"/>
                <w:szCs w:val="21"/>
              </w:rPr>
            </w:pPr>
          </w:p>
        </w:tc>
        <w:tc>
          <w:tcPr>
            <w:tcW w:w="1558" w:type="dxa"/>
            <w:vAlign w:val="center"/>
          </w:tcPr>
          <w:p w:rsidR="003663E4" w:rsidRDefault="003663E4">
            <w:pPr>
              <w:spacing w:line="276" w:lineRule="auto"/>
              <w:jc w:val="right"/>
              <w:rPr>
                <w:color w:val="000000"/>
                <w:szCs w:val="21"/>
              </w:rPr>
            </w:pPr>
          </w:p>
        </w:tc>
        <w:tc>
          <w:tcPr>
            <w:tcW w:w="1558" w:type="dxa"/>
            <w:vAlign w:val="center"/>
          </w:tcPr>
          <w:p w:rsidR="003663E4" w:rsidRDefault="003663E4">
            <w:pPr>
              <w:spacing w:line="276" w:lineRule="auto"/>
              <w:jc w:val="right"/>
              <w:rPr>
                <w:color w:val="000000"/>
                <w:szCs w:val="21"/>
              </w:rPr>
            </w:pPr>
          </w:p>
        </w:tc>
        <w:tc>
          <w:tcPr>
            <w:tcW w:w="1300" w:type="dxa"/>
            <w:vAlign w:val="center"/>
          </w:tcPr>
          <w:p w:rsidR="003663E4" w:rsidRDefault="003663E4">
            <w:pPr>
              <w:spacing w:line="276" w:lineRule="auto"/>
              <w:jc w:val="right"/>
              <w:rPr>
                <w:color w:val="000000"/>
                <w:szCs w:val="21"/>
              </w:rPr>
            </w:pPr>
          </w:p>
        </w:tc>
      </w:tr>
      <w:tr w:rsidR="003663E4">
        <w:tc>
          <w:tcPr>
            <w:tcW w:w="1588" w:type="dxa"/>
            <w:vAlign w:val="center"/>
          </w:tcPr>
          <w:p w:rsidR="003663E4" w:rsidRDefault="00FD3F7D">
            <w:pPr>
              <w:jc w:val="center"/>
            </w:pPr>
            <w:r>
              <w:rPr>
                <w:color w:val="000000"/>
                <w:szCs w:val="21"/>
              </w:rPr>
              <w:t>应付管理人报酬</w:t>
            </w:r>
          </w:p>
        </w:tc>
        <w:tc>
          <w:tcPr>
            <w:tcW w:w="1701" w:type="dxa"/>
            <w:vAlign w:val="center"/>
          </w:tcPr>
          <w:p w:rsidR="003663E4" w:rsidRDefault="00FD3F7D">
            <w:pPr>
              <w:jc w:val="right"/>
            </w:pPr>
            <w:r>
              <w:rPr>
                <w:color w:val="000000"/>
                <w:szCs w:val="21"/>
              </w:rPr>
              <w:t>-</w:t>
            </w:r>
          </w:p>
        </w:tc>
        <w:tc>
          <w:tcPr>
            <w:tcW w:w="1700" w:type="dxa"/>
            <w:vAlign w:val="center"/>
          </w:tcPr>
          <w:p w:rsidR="003663E4" w:rsidRDefault="00FD3F7D">
            <w:pPr>
              <w:jc w:val="right"/>
            </w:pPr>
            <w:r>
              <w:rPr>
                <w:color w:val="000000"/>
                <w:szCs w:val="21"/>
              </w:rPr>
              <w:t>-</w:t>
            </w:r>
          </w:p>
        </w:tc>
        <w:tc>
          <w:tcPr>
            <w:tcW w:w="1558" w:type="dxa"/>
            <w:vAlign w:val="center"/>
          </w:tcPr>
          <w:p w:rsidR="003663E4" w:rsidRDefault="00FD3F7D">
            <w:pPr>
              <w:jc w:val="right"/>
            </w:pPr>
            <w:r>
              <w:rPr>
                <w:color w:val="000000"/>
                <w:szCs w:val="21"/>
              </w:rPr>
              <w:t>-</w:t>
            </w:r>
          </w:p>
        </w:tc>
        <w:tc>
          <w:tcPr>
            <w:tcW w:w="1558" w:type="dxa"/>
            <w:vAlign w:val="center"/>
          </w:tcPr>
          <w:p w:rsidR="003663E4" w:rsidRDefault="00FD3F7D">
            <w:pPr>
              <w:jc w:val="right"/>
            </w:pPr>
            <w:r>
              <w:rPr>
                <w:color w:val="000000"/>
                <w:szCs w:val="21"/>
              </w:rPr>
              <w:t>197,105.82</w:t>
            </w:r>
          </w:p>
        </w:tc>
        <w:tc>
          <w:tcPr>
            <w:tcW w:w="1300" w:type="dxa"/>
            <w:vAlign w:val="center"/>
          </w:tcPr>
          <w:p w:rsidR="003663E4" w:rsidRDefault="00FD3F7D">
            <w:pPr>
              <w:jc w:val="right"/>
            </w:pPr>
            <w:r>
              <w:rPr>
                <w:color w:val="000000"/>
                <w:szCs w:val="21"/>
              </w:rPr>
              <w:t>197,105.82</w:t>
            </w:r>
          </w:p>
        </w:tc>
      </w:tr>
      <w:tr w:rsidR="003663E4">
        <w:tc>
          <w:tcPr>
            <w:tcW w:w="1588" w:type="dxa"/>
            <w:vAlign w:val="center"/>
          </w:tcPr>
          <w:p w:rsidR="003663E4" w:rsidRDefault="00FD3F7D">
            <w:pPr>
              <w:jc w:val="center"/>
            </w:pPr>
            <w:r>
              <w:rPr>
                <w:color w:val="000000"/>
                <w:szCs w:val="21"/>
              </w:rPr>
              <w:t>应付托管费</w:t>
            </w:r>
          </w:p>
        </w:tc>
        <w:tc>
          <w:tcPr>
            <w:tcW w:w="1701" w:type="dxa"/>
            <w:vAlign w:val="center"/>
          </w:tcPr>
          <w:p w:rsidR="003663E4" w:rsidRDefault="00FD3F7D">
            <w:pPr>
              <w:jc w:val="right"/>
            </w:pPr>
            <w:r>
              <w:rPr>
                <w:color w:val="000000"/>
                <w:szCs w:val="21"/>
              </w:rPr>
              <w:t>-</w:t>
            </w:r>
          </w:p>
        </w:tc>
        <w:tc>
          <w:tcPr>
            <w:tcW w:w="1700" w:type="dxa"/>
            <w:vAlign w:val="center"/>
          </w:tcPr>
          <w:p w:rsidR="003663E4" w:rsidRDefault="00FD3F7D">
            <w:pPr>
              <w:jc w:val="right"/>
            </w:pPr>
            <w:r>
              <w:rPr>
                <w:color w:val="000000"/>
                <w:szCs w:val="21"/>
              </w:rPr>
              <w:t>-</w:t>
            </w:r>
          </w:p>
        </w:tc>
        <w:tc>
          <w:tcPr>
            <w:tcW w:w="1558" w:type="dxa"/>
            <w:vAlign w:val="center"/>
          </w:tcPr>
          <w:p w:rsidR="003663E4" w:rsidRDefault="00FD3F7D">
            <w:pPr>
              <w:jc w:val="right"/>
            </w:pPr>
            <w:r>
              <w:rPr>
                <w:color w:val="000000"/>
                <w:szCs w:val="21"/>
              </w:rPr>
              <w:t>-</w:t>
            </w:r>
          </w:p>
        </w:tc>
        <w:tc>
          <w:tcPr>
            <w:tcW w:w="1558" w:type="dxa"/>
            <w:vAlign w:val="center"/>
          </w:tcPr>
          <w:p w:rsidR="003663E4" w:rsidRDefault="00FD3F7D">
            <w:pPr>
              <w:jc w:val="right"/>
            </w:pPr>
            <w:r>
              <w:rPr>
                <w:color w:val="000000"/>
                <w:szCs w:val="21"/>
              </w:rPr>
              <w:t>65,701.92</w:t>
            </w:r>
          </w:p>
        </w:tc>
        <w:tc>
          <w:tcPr>
            <w:tcW w:w="1300" w:type="dxa"/>
            <w:vAlign w:val="center"/>
          </w:tcPr>
          <w:p w:rsidR="003663E4" w:rsidRDefault="00FD3F7D">
            <w:pPr>
              <w:jc w:val="right"/>
            </w:pPr>
            <w:r>
              <w:rPr>
                <w:color w:val="000000"/>
                <w:szCs w:val="21"/>
              </w:rPr>
              <w:t>65,701.92</w:t>
            </w:r>
          </w:p>
        </w:tc>
      </w:tr>
      <w:tr w:rsidR="003663E4">
        <w:tc>
          <w:tcPr>
            <w:tcW w:w="1588" w:type="dxa"/>
            <w:vAlign w:val="center"/>
          </w:tcPr>
          <w:p w:rsidR="003663E4" w:rsidRDefault="00FD3F7D">
            <w:pPr>
              <w:jc w:val="center"/>
            </w:pPr>
            <w:r>
              <w:rPr>
                <w:color w:val="000000"/>
                <w:szCs w:val="21"/>
              </w:rPr>
              <w:t>应付交易费用</w:t>
            </w:r>
          </w:p>
        </w:tc>
        <w:tc>
          <w:tcPr>
            <w:tcW w:w="1701" w:type="dxa"/>
            <w:vAlign w:val="center"/>
          </w:tcPr>
          <w:p w:rsidR="003663E4" w:rsidRDefault="00FD3F7D">
            <w:pPr>
              <w:jc w:val="right"/>
            </w:pPr>
            <w:r>
              <w:rPr>
                <w:color w:val="000000"/>
                <w:szCs w:val="21"/>
              </w:rPr>
              <w:t>-</w:t>
            </w:r>
          </w:p>
        </w:tc>
        <w:tc>
          <w:tcPr>
            <w:tcW w:w="1700" w:type="dxa"/>
            <w:vAlign w:val="center"/>
          </w:tcPr>
          <w:p w:rsidR="003663E4" w:rsidRDefault="00FD3F7D">
            <w:pPr>
              <w:jc w:val="right"/>
            </w:pPr>
            <w:r>
              <w:rPr>
                <w:color w:val="000000"/>
                <w:szCs w:val="21"/>
              </w:rPr>
              <w:t>-</w:t>
            </w:r>
          </w:p>
        </w:tc>
        <w:tc>
          <w:tcPr>
            <w:tcW w:w="1558" w:type="dxa"/>
            <w:vAlign w:val="center"/>
          </w:tcPr>
          <w:p w:rsidR="003663E4" w:rsidRDefault="00FD3F7D">
            <w:pPr>
              <w:jc w:val="right"/>
            </w:pPr>
            <w:r>
              <w:rPr>
                <w:color w:val="000000"/>
                <w:szCs w:val="21"/>
              </w:rPr>
              <w:t>-</w:t>
            </w:r>
          </w:p>
        </w:tc>
        <w:tc>
          <w:tcPr>
            <w:tcW w:w="1558" w:type="dxa"/>
            <w:vAlign w:val="center"/>
          </w:tcPr>
          <w:p w:rsidR="003663E4" w:rsidRDefault="00FD3F7D">
            <w:pPr>
              <w:jc w:val="right"/>
            </w:pPr>
            <w:r>
              <w:rPr>
                <w:color w:val="000000"/>
                <w:szCs w:val="21"/>
              </w:rPr>
              <w:t>15,830.16</w:t>
            </w:r>
          </w:p>
        </w:tc>
        <w:tc>
          <w:tcPr>
            <w:tcW w:w="1300" w:type="dxa"/>
            <w:vAlign w:val="center"/>
          </w:tcPr>
          <w:p w:rsidR="003663E4" w:rsidRDefault="00FD3F7D">
            <w:pPr>
              <w:jc w:val="right"/>
            </w:pPr>
            <w:r>
              <w:rPr>
                <w:color w:val="000000"/>
                <w:szCs w:val="21"/>
              </w:rPr>
              <w:t>15,830.16</w:t>
            </w:r>
          </w:p>
        </w:tc>
      </w:tr>
      <w:tr w:rsidR="003663E4">
        <w:tc>
          <w:tcPr>
            <w:tcW w:w="1588" w:type="dxa"/>
            <w:vAlign w:val="center"/>
          </w:tcPr>
          <w:p w:rsidR="003663E4" w:rsidRDefault="00FD3F7D">
            <w:pPr>
              <w:jc w:val="center"/>
            </w:pPr>
            <w:r>
              <w:rPr>
                <w:color w:val="000000"/>
                <w:szCs w:val="21"/>
              </w:rPr>
              <w:t>应交税费</w:t>
            </w:r>
          </w:p>
        </w:tc>
        <w:tc>
          <w:tcPr>
            <w:tcW w:w="1701" w:type="dxa"/>
            <w:vAlign w:val="center"/>
          </w:tcPr>
          <w:p w:rsidR="003663E4" w:rsidRDefault="00FD3F7D">
            <w:pPr>
              <w:jc w:val="right"/>
            </w:pPr>
            <w:r>
              <w:rPr>
                <w:color w:val="000000"/>
                <w:szCs w:val="21"/>
              </w:rPr>
              <w:t>-</w:t>
            </w:r>
          </w:p>
        </w:tc>
        <w:tc>
          <w:tcPr>
            <w:tcW w:w="1700" w:type="dxa"/>
            <w:vAlign w:val="center"/>
          </w:tcPr>
          <w:p w:rsidR="003663E4" w:rsidRDefault="00FD3F7D">
            <w:pPr>
              <w:jc w:val="right"/>
            </w:pPr>
            <w:r>
              <w:rPr>
                <w:color w:val="000000"/>
                <w:szCs w:val="21"/>
              </w:rPr>
              <w:t>-</w:t>
            </w:r>
          </w:p>
        </w:tc>
        <w:tc>
          <w:tcPr>
            <w:tcW w:w="1558" w:type="dxa"/>
            <w:vAlign w:val="center"/>
          </w:tcPr>
          <w:p w:rsidR="003663E4" w:rsidRDefault="00FD3F7D">
            <w:pPr>
              <w:jc w:val="right"/>
            </w:pPr>
            <w:r>
              <w:rPr>
                <w:color w:val="000000"/>
                <w:szCs w:val="21"/>
              </w:rPr>
              <w:t>-</w:t>
            </w:r>
          </w:p>
        </w:tc>
        <w:tc>
          <w:tcPr>
            <w:tcW w:w="1558" w:type="dxa"/>
            <w:vAlign w:val="center"/>
          </w:tcPr>
          <w:p w:rsidR="003663E4" w:rsidRDefault="00FD3F7D">
            <w:pPr>
              <w:jc w:val="right"/>
            </w:pPr>
            <w:r>
              <w:rPr>
                <w:color w:val="000000"/>
                <w:szCs w:val="21"/>
              </w:rPr>
              <w:t>1,263.20</w:t>
            </w:r>
          </w:p>
        </w:tc>
        <w:tc>
          <w:tcPr>
            <w:tcW w:w="1300" w:type="dxa"/>
            <w:vAlign w:val="center"/>
          </w:tcPr>
          <w:p w:rsidR="003663E4" w:rsidRDefault="00FD3F7D">
            <w:pPr>
              <w:jc w:val="right"/>
            </w:pPr>
            <w:r>
              <w:rPr>
                <w:color w:val="000000"/>
                <w:szCs w:val="21"/>
              </w:rPr>
              <w:t>1,263.20</w:t>
            </w:r>
          </w:p>
        </w:tc>
      </w:tr>
      <w:tr w:rsidR="003663E4">
        <w:tc>
          <w:tcPr>
            <w:tcW w:w="1588" w:type="dxa"/>
            <w:vAlign w:val="center"/>
          </w:tcPr>
          <w:p w:rsidR="003663E4" w:rsidRDefault="00FD3F7D">
            <w:pPr>
              <w:jc w:val="center"/>
            </w:pPr>
            <w:r>
              <w:rPr>
                <w:color w:val="000000"/>
                <w:szCs w:val="21"/>
              </w:rPr>
              <w:t>其他负债</w:t>
            </w:r>
          </w:p>
        </w:tc>
        <w:tc>
          <w:tcPr>
            <w:tcW w:w="1701" w:type="dxa"/>
            <w:vAlign w:val="center"/>
          </w:tcPr>
          <w:p w:rsidR="003663E4" w:rsidRDefault="00FD3F7D">
            <w:pPr>
              <w:jc w:val="right"/>
            </w:pPr>
            <w:r>
              <w:rPr>
                <w:color w:val="000000"/>
                <w:szCs w:val="21"/>
              </w:rPr>
              <w:t>-</w:t>
            </w:r>
          </w:p>
        </w:tc>
        <w:tc>
          <w:tcPr>
            <w:tcW w:w="1700" w:type="dxa"/>
            <w:vAlign w:val="center"/>
          </w:tcPr>
          <w:p w:rsidR="003663E4" w:rsidRDefault="00FD3F7D">
            <w:pPr>
              <w:jc w:val="right"/>
            </w:pPr>
            <w:r>
              <w:rPr>
                <w:color w:val="000000"/>
                <w:szCs w:val="21"/>
              </w:rPr>
              <w:t>-</w:t>
            </w:r>
          </w:p>
        </w:tc>
        <w:tc>
          <w:tcPr>
            <w:tcW w:w="1558" w:type="dxa"/>
            <w:vAlign w:val="center"/>
          </w:tcPr>
          <w:p w:rsidR="003663E4" w:rsidRDefault="00FD3F7D">
            <w:pPr>
              <w:jc w:val="right"/>
            </w:pPr>
            <w:r>
              <w:rPr>
                <w:color w:val="000000"/>
                <w:szCs w:val="21"/>
              </w:rPr>
              <w:t>-</w:t>
            </w:r>
          </w:p>
        </w:tc>
        <w:tc>
          <w:tcPr>
            <w:tcW w:w="1558" w:type="dxa"/>
            <w:vAlign w:val="center"/>
          </w:tcPr>
          <w:p w:rsidR="003663E4" w:rsidRDefault="00FD3F7D">
            <w:pPr>
              <w:jc w:val="right"/>
            </w:pPr>
            <w:r>
              <w:rPr>
                <w:color w:val="000000"/>
                <w:szCs w:val="21"/>
              </w:rPr>
              <w:t>219,300.00</w:t>
            </w:r>
          </w:p>
        </w:tc>
        <w:tc>
          <w:tcPr>
            <w:tcW w:w="1300" w:type="dxa"/>
            <w:vAlign w:val="center"/>
          </w:tcPr>
          <w:p w:rsidR="003663E4" w:rsidRDefault="00FD3F7D">
            <w:pPr>
              <w:jc w:val="right"/>
            </w:pPr>
            <w:r>
              <w:rPr>
                <w:color w:val="000000"/>
                <w:szCs w:val="21"/>
              </w:rPr>
              <w:t>219,300.00</w:t>
            </w:r>
          </w:p>
        </w:tc>
      </w:tr>
      <w:tr w:rsidR="003663E4">
        <w:trPr>
          <w:trHeight w:val="280"/>
        </w:trPr>
        <w:tc>
          <w:tcPr>
            <w:tcW w:w="1588" w:type="dxa"/>
            <w:vAlign w:val="center"/>
          </w:tcPr>
          <w:p w:rsidR="003663E4" w:rsidRDefault="00FD3F7D">
            <w:pPr>
              <w:spacing w:line="276" w:lineRule="auto"/>
              <w:rPr>
                <w:color w:val="000000"/>
                <w:szCs w:val="21"/>
              </w:rPr>
            </w:pPr>
            <w:r>
              <w:rPr>
                <w:rFonts w:hint="eastAsia"/>
                <w:color w:val="000000"/>
                <w:szCs w:val="21"/>
              </w:rPr>
              <w:t>负债总计</w:t>
            </w:r>
          </w:p>
        </w:tc>
        <w:tc>
          <w:tcPr>
            <w:tcW w:w="1701" w:type="dxa"/>
            <w:vAlign w:val="center"/>
          </w:tcPr>
          <w:p w:rsidR="003663E4" w:rsidRDefault="00FD3F7D">
            <w:pPr>
              <w:spacing w:line="276" w:lineRule="auto"/>
              <w:jc w:val="right"/>
              <w:rPr>
                <w:color w:val="000000"/>
                <w:szCs w:val="21"/>
              </w:rPr>
            </w:pPr>
            <w:r>
              <w:rPr>
                <w:color w:val="000000"/>
                <w:szCs w:val="21"/>
              </w:rPr>
              <w:t>-</w:t>
            </w:r>
          </w:p>
        </w:tc>
        <w:tc>
          <w:tcPr>
            <w:tcW w:w="1700" w:type="dxa"/>
            <w:vAlign w:val="center"/>
          </w:tcPr>
          <w:p w:rsidR="003663E4" w:rsidRDefault="00FD3F7D">
            <w:pPr>
              <w:spacing w:line="276" w:lineRule="auto"/>
              <w:jc w:val="right"/>
              <w:rPr>
                <w:color w:val="000000"/>
                <w:szCs w:val="21"/>
              </w:rPr>
            </w:pPr>
            <w:r>
              <w:rPr>
                <w:color w:val="000000"/>
                <w:szCs w:val="21"/>
              </w:rPr>
              <w:t>-</w:t>
            </w:r>
          </w:p>
        </w:tc>
        <w:tc>
          <w:tcPr>
            <w:tcW w:w="1558" w:type="dxa"/>
            <w:vAlign w:val="center"/>
          </w:tcPr>
          <w:p w:rsidR="003663E4" w:rsidRDefault="00FD3F7D">
            <w:pPr>
              <w:spacing w:line="276" w:lineRule="auto"/>
              <w:jc w:val="right"/>
              <w:rPr>
                <w:color w:val="000000"/>
                <w:szCs w:val="21"/>
              </w:rPr>
            </w:pPr>
            <w:r>
              <w:rPr>
                <w:color w:val="000000"/>
                <w:szCs w:val="21"/>
              </w:rPr>
              <w:t>-</w:t>
            </w:r>
          </w:p>
        </w:tc>
        <w:tc>
          <w:tcPr>
            <w:tcW w:w="1558" w:type="dxa"/>
            <w:vAlign w:val="center"/>
          </w:tcPr>
          <w:p w:rsidR="003663E4" w:rsidRDefault="00FD3F7D">
            <w:pPr>
              <w:spacing w:line="276" w:lineRule="auto"/>
              <w:jc w:val="right"/>
              <w:rPr>
                <w:color w:val="000000"/>
                <w:szCs w:val="21"/>
              </w:rPr>
            </w:pPr>
            <w:r>
              <w:rPr>
                <w:color w:val="000000"/>
                <w:szCs w:val="21"/>
              </w:rPr>
              <w:t>499,201.10</w:t>
            </w:r>
          </w:p>
        </w:tc>
        <w:tc>
          <w:tcPr>
            <w:tcW w:w="1300" w:type="dxa"/>
            <w:vAlign w:val="center"/>
          </w:tcPr>
          <w:p w:rsidR="003663E4" w:rsidRDefault="00FD3F7D">
            <w:pPr>
              <w:wordWrap w:val="0"/>
              <w:spacing w:line="276" w:lineRule="auto"/>
              <w:jc w:val="right"/>
              <w:rPr>
                <w:color w:val="000000"/>
                <w:szCs w:val="21"/>
              </w:rPr>
            </w:pPr>
            <w:r>
              <w:rPr>
                <w:color w:val="000000"/>
                <w:szCs w:val="21"/>
              </w:rPr>
              <w:t>499,201.10</w:t>
            </w:r>
          </w:p>
        </w:tc>
      </w:tr>
      <w:tr w:rsidR="003663E4">
        <w:trPr>
          <w:trHeight w:val="280"/>
        </w:trPr>
        <w:tc>
          <w:tcPr>
            <w:tcW w:w="1588" w:type="dxa"/>
            <w:vAlign w:val="center"/>
          </w:tcPr>
          <w:p w:rsidR="003663E4" w:rsidRDefault="00FD3F7D">
            <w:pPr>
              <w:spacing w:line="276" w:lineRule="auto"/>
              <w:rPr>
                <w:color w:val="000000"/>
                <w:szCs w:val="21"/>
              </w:rPr>
            </w:pPr>
            <w:r>
              <w:rPr>
                <w:rFonts w:hint="eastAsia"/>
                <w:color w:val="000000"/>
                <w:szCs w:val="21"/>
              </w:rPr>
              <w:t>利率敏感度缺口</w:t>
            </w:r>
          </w:p>
        </w:tc>
        <w:tc>
          <w:tcPr>
            <w:tcW w:w="1701" w:type="dxa"/>
            <w:vAlign w:val="center"/>
          </w:tcPr>
          <w:p w:rsidR="003663E4" w:rsidRDefault="00FD3F7D">
            <w:pPr>
              <w:spacing w:line="276" w:lineRule="auto"/>
              <w:jc w:val="right"/>
              <w:rPr>
                <w:color w:val="000000"/>
                <w:szCs w:val="21"/>
              </w:rPr>
            </w:pPr>
            <w:r>
              <w:rPr>
                <w:color w:val="000000"/>
                <w:szCs w:val="21"/>
              </w:rPr>
              <w:t>509,245,602.19</w:t>
            </w:r>
          </w:p>
        </w:tc>
        <w:tc>
          <w:tcPr>
            <w:tcW w:w="1700" w:type="dxa"/>
            <w:vAlign w:val="center"/>
          </w:tcPr>
          <w:p w:rsidR="003663E4" w:rsidRDefault="00FD3F7D">
            <w:pPr>
              <w:spacing w:line="276" w:lineRule="auto"/>
              <w:jc w:val="right"/>
              <w:rPr>
                <w:color w:val="000000"/>
                <w:szCs w:val="21"/>
              </w:rPr>
            </w:pPr>
            <w:r>
              <w:rPr>
                <w:color w:val="000000"/>
                <w:szCs w:val="21"/>
              </w:rPr>
              <w:t>250,426,000.00</w:t>
            </w:r>
          </w:p>
        </w:tc>
        <w:tc>
          <w:tcPr>
            <w:tcW w:w="1558" w:type="dxa"/>
            <w:vAlign w:val="center"/>
          </w:tcPr>
          <w:p w:rsidR="003663E4" w:rsidRDefault="00FD3F7D">
            <w:pPr>
              <w:spacing w:line="276" w:lineRule="auto"/>
              <w:jc w:val="right"/>
              <w:rPr>
                <w:color w:val="000000"/>
                <w:szCs w:val="21"/>
              </w:rPr>
            </w:pPr>
            <w:r>
              <w:rPr>
                <w:color w:val="000000"/>
                <w:szCs w:val="21"/>
              </w:rPr>
              <w:t>9,590,000.00</w:t>
            </w:r>
          </w:p>
        </w:tc>
        <w:tc>
          <w:tcPr>
            <w:tcW w:w="1558" w:type="dxa"/>
            <w:vAlign w:val="center"/>
          </w:tcPr>
          <w:p w:rsidR="003663E4" w:rsidRDefault="00FD3F7D">
            <w:pPr>
              <w:spacing w:line="276" w:lineRule="auto"/>
              <w:jc w:val="right"/>
              <w:rPr>
                <w:color w:val="000000"/>
                <w:szCs w:val="21"/>
              </w:rPr>
            </w:pPr>
            <w:r>
              <w:rPr>
                <w:color w:val="000000"/>
                <w:szCs w:val="21"/>
              </w:rPr>
              <w:t>9,132,905.91</w:t>
            </w:r>
          </w:p>
        </w:tc>
        <w:tc>
          <w:tcPr>
            <w:tcW w:w="1300" w:type="dxa"/>
            <w:vAlign w:val="center"/>
          </w:tcPr>
          <w:p w:rsidR="003663E4" w:rsidRDefault="00FD3F7D">
            <w:pPr>
              <w:spacing w:line="276" w:lineRule="auto"/>
              <w:jc w:val="right"/>
              <w:rPr>
                <w:color w:val="000000"/>
                <w:szCs w:val="21"/>
              </w:rPr>
            </w:pPr>
            <w:r>
              <w:rPr>
                <w:color w:val="000000"/>
                <w:szCs w:val="21"/>
              </w:rPr>
              <w:t>778,394,508.10</w:t>
            </w:r>
          </w:p>
        </w:tc>
      </w:tr>
    </w:tbl>
    <w:p w:rsidR="003663E4" w:rsidRDefault="00FD3F7D">
      <w:pPr>
        <w:spacing w:line="360" w:lineRule="auto"/>
        <w:ind w:firstLineChars="200" w:firstLine="420"/>
        <w:rPr>
          <w:color w:val="000000"/>
          <w:szCs w:val="21"/>
        </w:rPr>
      </w:pPr>
      <w:r>
        <w:rPr>
          <w:rFonts w:eastAsiaTheme="minorEastAsia"/>
          <w:color w:val="000000"/>
          <w:kern w:val="0"/>
          <w:szCs w:val="21"/>
        </w:rPr>
        <w:t>注：表中所示为本基金资产及负债的账面价值，并按照合约规定的利率重新定价日或到期日孰早予以分类。</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7.1.4.13.4.1.2 </w:t>
      </w:r>
      <w:r>
        <w:rPr>
          <w:b/>
          <w:bCs/>
          <w:color w:val="000000"/>
          <w:kern w:val="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5559"/>
      </w:tblGrid>
      <w:tr w:rsidR="003663E4">
        <w:tc>
          <w:tcPr>
            <w:tcW w:w="851" w:type="dxa"/>
            <w:vAlign w:val="center"/>
          </w:tcPr>
          <w:p w:rsidR="003663E4" w:rsidRDefault="00FD3F7D">
            <w:pPr>
              <w:jc w:val="left"/>
            </w:pPr>
            <w:r>
              <w:rPr>
                <w:color w:val="000000"/>
                <w:szCs w:val="21"/>
              </w:rPr>
              <w:t>假设</w:t>
            </w:r>
          </w:p>
        </w:tc>
        <w:tc>
          <w:tcPr>
            <w:tcW w:w="8149" w:type="dxa"/>
            <w:gridSpan w:val="2"/>
            <w:vAlign w:val="center"/>
          </w:tcPr>
          <w:p w:rsidR="003663E4" w:rsidRDefault="00FD3F7D">
            <w:pPr>
              <w:jc w:val="left"/>
            </w:pPr>
            <w:r>
              <w:rPr>
                <w:color w:val="000000"/>
                <w:szCs w:val="21"/>
              </w:rPr>
              <w:t>除市场利率以外的其他市场变量保持不变</w:t>
            </w:r>
          </w:p>
        </w:tc>
      </w:tr>
      <w:tr w:rsidR="003663E4">
        <w:tc>
          <w:tcPr>
            <w:tcW w:w="851" w:type="dxa"/>
            <w:vMerge w:val="restart"/>
            <w:vAlign w:val="center"/>
          </w:tcPr>
          <w:p w:rsidR="003663E4" w:rsidRDefault="00FD3F7D">
            <w:pPr>
              <w:pStyle w:val="ae"/>
              <w:spacing w:line="276" w:lineRule="auto"/>
              <w:jc w:val="center"/>
              <w:rPr>
                <w:color w:val="000000"/>
                <w:sz w:val="21"/>
                <w:szCs w:val="21"/>
              </w:rPr>
            </w:pPr>
            <w:r>
              <w:rPr>
                <w:bCs/>
                <w:color w:val="000000"/>
                <w:sz w:val="21"/>
                <w:szCs w:val="21"/>
              </w:rPr>
              <w:t>分析</w:t>
            </w:r>
          </w:p>
        </w:tc>
        <w:tc>
          <w:tcPr>
            <w:tcW w:w="2590" w:type="dxa"/>
            <w:vMerge w:val="restart"/>
            <w:vAlign w:val="center"/>
          </w:tcPr>
          <w:p w:rsidR="003663E4" w:rsidRDefault="00FD3F7D">
            <w:pPr>
              <w:widowControl/>
              <w:autoSpaceDE w:val="0"/>
              <w:autoSpaceDN w:val="0"/>
              <w:spacing w:line="276" w:lineRule="auto"/>
              <w:ind w:right="-15"/>
              <w:jc w:val="center"/>
              <w:textAlignment w:val="bottom"/>
              <w:rPr>
                <w:color w:val="000000"/>
                <w:kern w:val="0"/>
                <w:szCs w:val="21"/>
              </w:rPr>
            </w:pPr>
            <w:r>
              <w:rPr>
                <w:bCs/>
                <w:color w:val="000000"/>
                <w:szCs w:val="21"/>
              </w:rPr>
              <w:t>相关风险变量的变动</w:t>
            </w:r>
          </w:p>
        </w:tc>
        <w:tc>
          <w:tcPr>
            <w:tcW w:w="5559" w:type="dxa"/>
          </w:tcPr>
          <w:p w:rsidR="003663E4" w:rsidRDefault="00FD3F7D">
            <w:pPr>
              <w:spacing w:line="276" w:lineRule="auto"/>
              <w:jc w:val="center"/>
              <w:rPr>
                <w:color w:val="000000"/>
                <w:szCs w:val="21"/>
              </w:rPr>
            </w:pPr>
            <w:r>
              <w:rPr>
                <w:color w:val="000000"/>
                <w:szCs w:val="21"/>
              </w:rPr>
              <w:t>对资产负债表日基金资产净值的</w:t>
            </w:r>
          </w:p>
          <w:p w:rsidR="003663E4" w:rsidRDefault="00FD3F7D">
            <w:pPr>
              <w:widowControl/>
              <w:autoSpaceDE w:val="0"/>
              <w:autoSpaceDN w:val="0"/>
              <w:spacing w:line="276" w:lineRule="auto"/>
              <w:ind w:right="-15"/>
              <w:jc w:val="center"/>
              <w:textAlignment w:val="bottom"/>
              <w:rPr>
                <w:color w:val="000000"/>
                <w:kern w:val="0"/>
                <w:szCs w:val="21"/>
              </w:rPr>
            </w:pPr>
            <w:r>
              <w:rPr>
                <w:color w:val="000000"/>
                <w:szCs w:val="21"/>
              </w:rPr>
              <w:t>影响金额（单位：人民币</w:t>
            </w:r>
            <w:r>
              <w:rPr>
                <w:rFonts w:hint="eastAsia"/>
                <w:color w:val="000000"/>
                <w:szCs w:val="21"/>
              </w:rPr>
              <w:t>万</w:t>
            </w:r>
            <w:r>
              <w:rPr>
                <w:color w:val="000000"/>
                <w:szCs w:val="21"/>
              </w:rPr>
              <w:t>元）</w:t>
            </w:r>
          </w:p>
        </w:tc>
      </w:tr>
      <w:tr w:rsidR="003663E4">
        <w:tc>
          <w:tcPr>
            <w:tcW w:w="851" w:type="dxa"/>
            <w:vMerge/>
            <w:vAlign w:val="center"/>
          </w:tcPr>
          <w:p w:rsidR="003663E4" w:rsidRDefault="003663E4">
            <w:pPr>
              <w:widowControl/>
              <w:spacing w:line="276" w:lineRule="auto"/>
              <w:jc w:val="left"/>
              <w:rPr>
                <w:color w:val="000000"/>
                <w:szCs w:val="21"/>
              </w:rPr>
            </w:pPr>
          </w:p>
        </w:tc>
        <w:tc>
          <w:tcPr>
            <w:tcW w:w="2590" w:type="dxa"/>
            <w:vMerge/>
            <w:vAlign w:val="center"/>
          </w:tcPr>
          <w:p w:rsidR="003663E4" w:rsidRDefault="003663E4">
            <w:pPr>
              <w:widowControl/>
              <w:spacing w:line="276" w:lineRule="auto"/>
              <w:jc w:val="left"/>
              <w:rPr>
                <w:color w:val="000000"/>
                <w:kern w:val="0"/>
                <w:szCs w:val="21"/>
              </w:rPr>
            </w:pPr>
          </w:p>
        </w:tc>
        <w:tc>
          <w:tcPr>
            <w:tcW w:w="5559" w:type="dxa"/>
          </w:tcPr>
          <w:p w:rsidR="003663E4" w:rsidRDefault="00FD3F7D">
            <w:pPr>
              <w:spacing w:line="276" w:lineRule="auto"/>
              <w:jc w:val="center"/>
              <w:rPr>
                <w:color w:val="000000"/>
                <w:szCs w:val="21"/>
              </w:rPr>
            </w:pPr>
            <w:r>
              <w:rPr>
                <w:color w:val="000000"/>
                <w:szCs w:val="21"/>
              </w:rPr>
              <w:t>本期末</w:t>
            </w:r>
          </w:p>
          <w:p w:rsidR="003663E4" w:rsidRDefault="00FD3F7D">
            <w:pPr>
              <w:spacing w:line="276" w:lineRule="auto"/>
              <w:jc w:val="center"/>
              <w:rPr>
                <w:bCs/>
                <w:color w:val="000000"/>
                <w:szCs w:val="21"/>
              </w:rPr>
            </w:pP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663E4">
        <w:tc>
          <w:tcPr>
            <w:tcW w:w="851" w:type="dxa"/>
            <w:vMerge/>
          </w:tcPr>
          <w:p w:rsidR="003663E4" w:rsidRDefault="003663E4"/>
        </w:tc>
        <w:tc>
          <w:tcPr>
            <w:tcW w:w="2590" w:type="dxa"/>
            <w:vAlign w:val="center"/>
          </w:tcPr>
          <w:p w:rsidR="003663E4" w:rsidRDefault="00FD3F7D">
            <w:pPr>
              <w:jc w:val="left"/>
            </w:pPr>
            <w:r>
              <w:rPr>
                <w:color w:val="000000"/>
                <w:szCs w:val="21"/>
              </w:rPr>
              <w:t>市场利率上升</w:t>
            </w:r>
            <w:r>
              <w:rPr>
                <w:color w:val="000000"/>
                <w:szCs w:val="21"/>
              </w:rPr>
              <w:t>25</w:t>
            </w:r>
            <w:r>
              <w:rPr>
                <w:color w:val="000000"/>
                <w:szCs w:val="21"/>
              </w:rPr>
              <w:t>个基点</w:t>
            </w:r>
          </w:p>
        </w:tc>
        <w:tc>
          <w:tcPr>
            <w:tcW w:w="5559" w:type="dxa"/>
            <w:vAlign w:val="center"/>
          </w:tcPr>
          <w:p w:rsidR="003663E4" w:rsidRDefault="00FD3F7D">
            <w:pPr>
              <w:jc w:val="right"/>
            </w:pPr>
            <w:r>
              <w:rPr>
                <w:rFonts w:hint="eastAsia"/>
                <w:color w:val="000000"/>
                <w:szCs w:val="21"/>
              </w:rPr>
              <w:t>减少约</w:t>
            </w:r>
            <w:r>
              <w:rPr>
                <w:rFonts w:hint="eastAsia"/>
                <w:color w:val="000000"/>
                <w:szCs w:val="21"/>
              </w:rPr>
              <w:t>2</w:t>
            </w:r>
            <w:r>
              <w:rPr>
                <w:color w:val="000000"/>
                <w:szCs w:val="21"/>
              </w:rPr>
              <w:t>62</w:t>
            </w:r>
          </w:p>
        </w:tc>
      </w:tr>
      <w:tr w:rsidR="003663E4">
        <w:tc>
          <w:tcPr>
            <w:tcW w:w="851" w:type="dxa"/>
            <w:vMerge/>
          </w:tcPr>
          <w:p w:rsidR="003663E4" w:rsidRDefault="003663E4"/>
        </w:tc>
        <w:tc>
          <w:tcPr>
            <w:tcW w:w="2590" w:type="dxa"/>
            <w:vAlign w:val="center"/>
          </w:tcPr>
          <w:p w:rsidR="003663E4" w:rsidRDefault="00FD3F7D">
            <w:pPr>
              <w:jc w:val="left"/>
            </w:pPr>
            <w:r>
              <w:rPr>
                <w:color w:val="000000"/>
                <w:szCs w:val="21"/>
              </w:rPr>
              <w:t>市场利率下降</w:t>
            </w:r>
            <w:r>
              <w:rPr>
                <w:color w:val="000000"/>
                <w:szCs w:val="21"/>
              </w:rPr>
              <w:t>25</w:t>
            </w:r>
            <w:r>
              <w:rPr>
                <w:color w:val="000000"/>
                <w:szCs w:val="21"/>
              </w:rPr>
              <w:t>个基点</w:t>
            </w:r>
          </w:p>
        </w:tc>
        <w:tc>
          <w:tcPr>
            <w:tcW w:w="5559" w:type="dxa"/>
            <w:vAlign w:val="center"/>
          </w:tcPr>
          <w:p w:rsidR="003663E4" w:rsidRDefault="00FD3F7D">
            <w:pPr>
              <w:jc w:val="right"/>
            </w:pPr>
            <w:r>
              <w:rPr>
                <w:rFonts w:hint="eastAsia"/>
                <w:color w:val="000000"/>
                <w:szCs w:val="21"/>
              </w:rPr>
              <w:t>增加</w:t>
            </w:r>
            <w:r>
              <w:rPr>
                <w:color w:val="000000"/>
                <w:szCs w:val="21"/>
              </w:rPr>
              <w:t>约</w:t>
            </w:r>
            <w:r>
              <w:rPr>
                <w:rFonts w:hint="eastAsia"/>
                <w:color w:val="000000"/>
                <w:szCs w:val="21"/>
              </w:rPr>
              <w:t>2</w:t>
            </w:r>
            <w:r>
              <w:rPr>
                <w:color w:val="000000"/>
                <w:szCs w:val="21"/>
              </w:rPr>
              <w:t>65</w:t>
            </w:r>
          </w:p>
        </w:tc>
      </w:tr>
    </w:tbl>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7.1.4.13.4.2</w:t>
      </w:r>
      <w:r>
        <w:rPr>
          <w:b/>
          <w:bCs/>
          <w:color w:val="000000"/>
          <w:kern w:val="0"/>
          <w:szCs w:val="21"/>
        </w:rPr>
        <w:t xml:space="preserve"> </w:t>
      </w:r>
      <w:r>
        <w:rPr>
          <w:b/>
          <w:bCs/>
          <w:color w:val="000000"/>
          <w:kern w:val="0"/>
          <w:szCs w:val="21"/>
        </w:rPr>
        <w:t>外汇风险</w:t>
      </w:r>
    </w:p>
    <w:p w:rsidR="003663E4" w:rsidRDefault="00FD3F7D">
      <w:pPr>
        <w:spacing w:line="360" w:lineRule="auto"/>
        <w:ind w:firstLineChars="200" w:firstLine="420"/>
        <w:rPr>
          <w:color w:val="000000"/>
          <w:szCs w:val="21"/>
        </w:rPr>
      </w:pPr>
      <w:r>
        <w:rPr>
          <w:color w:val="000000"/>
          <w:szCs w:val="21"/>
        </w:rPr>
        <w:t>外汇风险是指金融工具的公允价值或未来现金流量因外汇汇率变动而发生波动的风险。本基金的所有资产及负债以人民币计价，因此无重大外汇风险。</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7.1.4.13.4.3 </w:t>
      </w:r>
      <w:r>
        <w:rPr>
          <w:b/>
          <w:bCs/>
          <w:color w:val="000000"/>
          <w:kern w:val="0"/>
          <w:szCs w:val="21"/>
        </w:rPr>
        <w:t>其他价格风险</w:t>
      </w:r>
    </w:p>
    <w:p w:rsidR="003663E4" w:rsidRDefault="00FD3F7D">
      <w:pPr>
        <w:spacing w:line="360" w:lineRule="auto"/>
        <w:ind w:firstLineChars="200" w:firstLine="420"/>
        <w:rPr>
          <w:color w:val="000000"/>
          <w:szCs w:val="21"/>
        </w:rPr>
      </w:pPr>
      <w:r>
        <w:rPr>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7.1.4.14</w:t>
      </w:r>
      <w:r>
        <w:rPr>
          <w:rFonts w:hint="eastAsia"/>
          <w:b/>
          <w:bCs/>
          <w:color w:val="000000"/>
          <w:kern w:val="0"/>
          <w:szCs w:val="21"/>
        </w:rPr>
        <w:t xml:space="preserve"> </w:t>
      </w:r>
      <w:r>
        <w:rPr>
          <w:b/>
          <w:bCs/>
          <w:color w:val="000000"/>
          <w:kern w:val="0"/>
          <w:szCs w:val="21"/>
        </w:rPr>
        <w:t>有助于理解和分析会计报表需要说明的其他事项</w:t>
      </w:r>
    </w:p>
    <w:p w:rsidR="003663E4" w:rsidRDefault="00FD3F7D">
      <w:pPr>
        <w:spacing w:line="360" w:lineRule="auto"/>
        <w:ind w:firstLineChars="200" w:firstLine="420"/>
        <w:rPr>
          <w:color w:val="000000"/>
          <w:szCs w:val="21"/>
        </w:rPr>
      </w:pPr>
      <w:r>
        <w:rPr>
          <w:color w:val="000000"/>
          <w:szCs w:val="21"/>
        </w:rPr>
        <w:t xml:space="preserve">(1) </w:t>
      </w:r>
      <w:r>
        <w:rPr>
          <w:color w:val="000000"/>
          <w:szCs w:val="21"/>
        </w:rPr>
        <w:t>公允价值</w:t>
      </w:r>
    </w:p>
    <w:p w:rsidR="003663E4" w:rsidRDefault="00FD3F7D">
      <w:pPr>
        <w:spacing w:line="360" w:lineRule="auto"/>
        <w:ind w:firstLineChars="200" w:firstLine="420"/>
        <w:rPr>
          <w:color w:val="000000"/>
          <w:szCs w:val="21"/>
        </w:rPr>
      </w:pPr>
      <w:r>
        <w:rPr>
          <w:color w:val="000000"/>
          <w:szCs w:val="21"/>
        </w:rPr>
        <w:t xml:space="preserve">(a)  </w:t>
      </w:r>
      <w:r>
        <w:rPr>
          <w:color w:val="000000"/>
          <w:szCs w:val="21"/>
        </w:rPr>
        <w:t>金融工具公允价值计量的方法</w:t>
      </w:r>
    </w:p>
    <w:p w:rsidR="003663E4" w:rsidRDefault="00FD3F7D">
      <w:pPr>
        <w:spacing w:line="360" w:lineRule="auto"/>
        <w:ind w:firstLineChars="200" w:firstLine="420"/>
        <w:rPr>
          <w:color w:val="000000"/>
          <w:szCs w:val="21"/>
        </w:rPr>
      </w:pPr>
      <w:r>
        <w:rPr>
          <w:color w:val="000000"/>
          <w:szCs w:val="21"/>
        </w:rPr>
        <w:t>公允价值计量结果所属的层次，由对公允价值计量整体而言具有重要意义的输入值所属的最低层次决定：</w:t>
      </w:r>
    </w:p>
    <w:p w:rsidR="003663E4" w:rsidRDefault="00FD3F7D">
      <w:pPr>
        <w:spacing w:line="360" w:lineRule="auto"/>
        <w:ind w:firstLineChars="200" w:firstLine="420"/>
        <w:rPr>
          <w:color w:val="000000"/>
          <w:szCs w:val="21"/>
        </w:rPr>
      </w:pPr>
      <w:r>
        <w:rPr>
          <w:color w:val="000000"/>
          <w:szCs w:val="21"/>
        </w:rPr>
        <w:t>第一层次：相同资产或负债在活跃市场上未经调整的报价。</w:t>
      </w:r>
    </w:p>
    <w:p w:rsidR="003663E4" w:rsidRDefault="00FD3F7D">
      <w:pPr>
        <w:spacing w:line="360" w:lineRule="auto"/>
        <w:ind w:firstLineChars="200" w:firstLine="420"/>
        <w:rPr>
          <w:color w:val="000000"/>
          <w:szCs w:val="21"/>
        </w:rPr>
      </w:pPr>
      <w:r>
        <w:rPr>
          <w:color w:val="000000"/>
          <w:szCs w:val="21"/>
        </w:rPr>
        <w:t>第二层次：除第一层次输入值外相关资产或负债直接或间接可观察的输入值。</w:t>
      </w:r>
    </w:p>
    <w:p w:rsidR="003663E4" w:rsidRDefault="00FD3F7D">
      <w:pPr>
        <w:spacing w:line="360" w:lineRule="auto"/>
        <w:ind w:firstLineChars="200" w:firstLine="420"/>
        <w:rPr>
          <w:color w:val="000000"/>
          <w:szCs w:val="21"/>
        </w:rPr>
      </w:pPr>
      <w:r>
        <w:rPr>
          <w:color w:val="000000"/>
          <w:szCs w:val="21"/>
        </w:rPr>
        <w:t>第三层次：相关资产或负债的不可观察输入值。</w:t>
      </w:r>
    </w:p>
    <w:p w:rsidR="003663E4" w:rsidRDefault="00FD3F7D">
      <w:pPr>
        <w:spacing w:line="360" w:lineRule="auto"/>
        <w:ind w:firstLineChars="200" w:firstLine="420"/>
        <w:rPr>
          <w:color w:val="000000"/>
          <w:szCs w:val="21"/>
        </w:rPr>
      </w:pPr>
      <w:r>
        <w:rPr>
          <w:color w:val="000000"/>
          <w:szCs w:val="21"/>
        </w:rPr>
        <w:t xml:space="preserve">(b)  </w:t>
      </w:r>
      <w:r>
        <w:rPr>
          <w:color w:val="000000"/>
          <w:szCs w:val="21"/>
        </w:rPr>
        <w:t>持续的以公允价值计量的金融工具</w:t>
      </w:r>
    </w:p>
    <w:p w:rsidR="003663E4" w:rsidRDefault="00FD3F7D">
      <w:pPr>
        <w:spacing w:line="360" w:lineRule="auto"/>
        <w:ind w:firstLineChars="200" w:firstLine="420"/>
        <w:rPr>
          <w:color w:val="000000"/>
          <w:szCs w:val="21"/>
        </w:rPr>
      </w:pPr>
      <w:r>
        <w:rPr>
          <w:color w:val="000000"/>
          <w:szCs w:val="21"/>
        </w:rPr>
        <w:t xml:space="preserve">(i)  </w:t>
      </w:r>
      <w:r>
        <w:rPr>
          <w:color w:val="000000"/>
          <w:szCs w:val="21"/>
        </w:rPr>
        <w:t>各层次金融工具公允价值</w:t>
      </w:r>
    </w:p>
    <w:p w:rsidR="003663E4" w:rsidRDefault="00FD3F7D">
      <w:pPr>
        <w:spacing w:line="360" w:lineRule="auto"/>
        <w:ind w:firstLineChars="200" w:firstLine="420"/>
        <w:rPr>
          <w:color w:val="000000"/>
          <w:szCs w:val="21"/>
        </w:rPr>
      </w:pPr>
      <w:r>
        <w:rPr>
          <w:color w:val="000000"/>
          <w:szCs w:val="21"/>
        </w:rPr>
        <w:t>于</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日，本基金持有的以公允价值计量且其变动计入当期损益的金融资产中属于第二层次的余额为</w:t>
      </w:r>
      <w:r>
        <w:rPr>
          <w:color w:val="000000"/>
          <w:szCs w:val="21"/>
        </w:rPr>
        <w:t>743,009,000.00</w:t>
      </w:r>
      <w:r>
        <w:rPr>
          <w:color w:val="000000"/>
          <w:szCs w:val="21"/>
        </w:rPr>
        <w:t>元，无属于第一或第三层次的余额。</w:t>
      </w:r>
    </w:p>
    <w:p w:rsidR="003663E4" w:rsidRDefault="00FD3F7D">
      <w:pPr>
        <w:spacing w:line="360" w:lineRule="auto"/>
        <w:ind w:firstLineChars="200" w:firstLine="420"/>
        <w:rPr>
          <w:color w:val="000000"/>
          <w:szCs w:val="21"/>
        </w:rPr>
      </w:pPr>
      <w:r>
        <w:rPr>
          <w:color w:val="000000"/>
          <w:szCs w:val="21"/>
        </w:rPr>
        <w:t>(ii)</w:t>
      </w:r>
      <w:r>
        <w:rPr>
          <w:color w:val="000000"/>
          <w:szCs w:val="21"/>
        </w:rPr>
        <w:t xml:space="preserve">  </w:t>
      </w:r>
      <w:r>
        <w:rPr>
          <w:color w:val="000000"/>
          <w:szCs w:val="21"/>
        </w:rPr>
        <w:t>公允价值所属层次间的重大变动</w:t>
      </w:r>
    </w:p>
    <w:p w:rsidR="003663E4" w:rsidRDefault="00FD3F7D">
      <w:pPr>
        <w:spacing w:line="360" w:lineRule="auto"/>
        <w:ind w:firstLineChars="200" w:firstLine="420"/>
        <w:rPr>
          <w:color w:val="000000"/>
          <w:szCs w:val="21"/>
        </w:rPr>
      </w:pPr>
      <w:r>
        <w:rPr>
          <w:color w:val="000000"/>
          <w:szCs w:val="21"/>
        </w:rPr>
        <w:t>本基金以导致各层次之间转换的事项发生日为确认各层次之间转换的时点。</w:t>
      </w:r>
    </w:p>
    <w:p w:rsidR="003663E4" w:rsidRDefault="00FD3F7D">
      <w:pPr>
        <w:spacing w:line="360" w:lineRule="auto"/>
        <w:ind w:firstLineChars="200" w:firstLine="420"/>
        <w:rPr>
          <w:color w:val="000000"/>
          <w:szCs w:val="21"/>
        </w:rPr>
      </w:pPr>
      <w:r>
        <w:rPr>
          <w:color w:val="000000"/>
          <w:szCs w:val="21"/>
        </w:rPr>
        <w:t>本基金本期持有的以公允价值计量的金融工具的公允价值所属层次未发生重大变动。</w:t>
      </w:r>
    </w:p>
    <w:p w:rsidR="003663E4" w:rsidRDefault="00FD3F7D">
      <w:pPr>
        <w:spacing w:line="360" w:lineRule="auto"/>
        <w:ind w:firstLineChars="200" w:firstLine="420"/>
        <w:rPr>
          <w:color w:val="000000"/>
          <w:szCs w:val="21"/>
        </w:rPr>
      </w:pPr>
      <w:r>
        <w:rPr>
          <w:color w:val="000000"/>
          <w:szCs w:val="21"/>
        </w:rPr>
        <w:t xml:space="preserve">(iii)  </w:t>
      </w:r>
      <w:r>
        <w:rPr>
          <w:color w:val="000000"/>
          <w:szCs w:val="21"/>
        </w:rPr>
        <w:t>第三层次公允价值余额和本期变动金额</w:t>
      </w:r>
    </w:p>
    <w:p w:rsidR="003663E4" w:rsidRDefault="00FD3F7D">
      <w:pPr>
        <w:spacing w:line="360" w:lineRule="auto"/>
        <w:ind w:firstLineChars="200" w:firstLine="420"/>
        <w:rPr>
          <w:color w:val="000000"/>
          <w:szCs w:val="21"/>
        </w:rPr>
      </w:pPr>
      <w:r>
        <w:rPr>
          <w:color w:val="000000"/>
          <w:szCs w:val="21"/>
        </w:rPr>
        <w:t>无。</w:t>
      </w:r>
    </w:p>
    <w:p w:rsidR="003663E4" w:rsidRDefault="00FD3F7D">
      <w:pPr>
        <w:spacing w:line="360" w:lineRule="auto"/>
        <w:ind w:firstLineChars="200" w:firstLine="420"/>
        <w:rPr>
          <w:color w:val="000000"/>
          <w:szCs w:val="21"/>
        </w:rPr>
      </w:pPr>
      <w:r>
        <w:rPr>
          <w:color w:val="000000"/>
          <w:szCs w:val="21"/>
        </w:rPr>
        <w:t xml:space="preserve">(c)  </w:t>
      </w:r>
      <w:r>
        <w:rPr>
          <w:color w:val="000000"/>
          <w:szCs w:val="21"/>
        </w:rPr>
        <w:t>非持续的以公允价值计量的金融工具</w:t>
      </w:r>
    </w:p>
    <w:p w:rsidR="003663E4" w:rsidRDefault="00FD3F7D">
      <w:pPr>
        <w:spacing w:line="360" w:lineRule="auto"/>
        <w:ind w:firstLineChars="200" w:firstLine="420"/>
        <w:rPr>
          <w:color w:val="000000"/>
          <w:szCs w:val="21"/>
        </w:rPr>
      </w:pPr>
      <w:r>
        <w:rPr>
          <w:color w:val="000000"/>
          <w:szCs w:val="21"/>
        </w:rPr>
        <w:t>于</w:t>
      </w:r>
      <w:r>
        <w:rPr>
          <w:color w:val="000000"/>
          <w:szCs w:val="21"/>
        </w:rPr>
        <w:t>2020</w:t>
      </w:r>
      <w:r>
        <w:rPr>
          <w:color w:val="000000"/>
          <w:szCs w:val="21"/>
        </w:rPr>
        <w:t>年</w:t>
      </w:r>
      <w:r>
        <w:rPr>
          <w:color w:val="000000"/>
          <w:szCs w:val="21"/>
        </w:rPr>
        <w:t>12</w:t>
      </w:r>
      <w:r>
        <w:rPr>
          <w:color w:val="000000"/>
          <w:szCs w:val="21"/>
        </w:rPr>
        <w:t>月</w:t>
      </w:r>
      <w:r>
        <w:rPr>
          <w:color w:val="000000"/>
          <w:szCs w:val="21"/>
        </w:rPr>
        <w:t>31</w:t>
      </w:r>
      <w:r>
        <w:rPr>
          <w:color w:val="000000"/>
          <w:szCs w:val="21"/>
        </w:rPr>
        <w:t>日，本基金未持有非持续的以公允价值计量的金融资产。</w:t>
      </w:r>
    </w:p>
    <w:p w:rsidR="003663E4" w:rsidRDefault="00FD3F7D">
      <w:pPr>
        <w:spacing w:line="360" w:lineRule="auto"/>
        <w:ind w:firstLineChars="200" w:firstLine="420"/>
        <w:rPr>
          <w:color w:val="000000"/>
          <w:szCs w:val="21"/>
        </w:rPr>
      </w:pPr>
      <w:r>
        <w:rPr>
          <w:color w:val="000000"/>
          <w:szCs w:val="21"/>
        </w:rPr>
        <w:t xml:space="preserve">(d)  </w:t>
      </w:r>
      <w:r>
        <w:rPr>
          <w:color w:val="000000"/>
          <w:szCs w:val="21"/>
        </w:rPr>
        <w:t>不以公允价值计量的金融工具</w:t>
      </w:r>
    </w:p>
    <w:p w:rsidR="003663E4" w:rsidRDefault="00FD3F7D">
      <w:pPr>
        <w:spacing w:line="360" w:lineRule="auto"/>
        <w:ind w:firstLineChars="200" w:firstLine="420"/>
        <w:rPr>
          <w:color w:val="000000"/>
          <w:szCs w:val="21"/>
        </w:rPr>
      </w:pPr>
      <w:r>
        <w:rPr>
          <w:color w:val="000000"/>
          <w:szCs w:val="21"/>
        </w:rPr>
        <w:t>不以公允价值计量的金融资产和负债主要包括应收款项和其他金融负债，其账面价值与公允价值相差很小。</w:t>
      </w:r>
    </w:p>
    <w:p w:rsidR="003663E4" w:rsidRDefault="00FD3F7D">
      <w:pPr>
        <w:spacing w:line="360" w:lineRule="auto"/>
        <w:ind w:firstLineChars="200" w:firstLine="420"/>
        <w:rPr>
          <w:color w:val="000000"/>
          <w:szCs w:val="21"/>
        </w:rPr>
      </w:pPr>
      <w:r>
        <w:rPr>
          <w:color w:val="000000"/>
          <w:szCs w:val="21"/>
        </w:rPr>
        <w:t xml:space="preserve">(2) </w:t>
      </w:r>
      <w:r>
        <w:rPr>
          <w:color w:val="000000"/>
          <w:szCs w:val="21"/>
        </w:rPr>
        <w:t>除公允价值外，截至</w:t>
      </w:r>
      <w:r>
        <w:rPr>
          <w:color w:val="000000"/>
          <w:szCs w:val="21"/>
        </w:rPr>
        <w:t>资产负债表日本基金无需要说明的其他重要事项。</w:t>
      </w:r>
    </w:p>
    <w:p w:rsidR="003663E4" w:rsidRDefault="00FD3F7D">
      <w:pPr>
        <w:pStyle w:val="2"/>
        <w:spacing w:beforeLines="100" w:before="312" w:after="0"/>
        <w:rPr>
          <w:rFonts w:ascii="Times New Roman" w:hAnsi="Times New Roman" w:cs="Times New Roman"/>
          <w:color w:val="000000"/>
          <w:kern w:val="0"/>
          <w:sz w:val="21"/>
          <w:szCs w:val="21"/>
        </w:rPr>
      </w:pPr>
      <w:bookmarkStart w:id="160" w:name="_Toc508540287"/>
      <w:bookmarkStart w:id="161" w:name="_Toc23339383"/>
      <w:bookmarkStart w:id="162" w:name="_Toc17715"/>
      <w:r>
        <w:rPr>
          <w:rFonts w:ascii="Times New Roman" w:eastAsiaTheme="minorEastAsia" w:hAnsi="Times New Roman" w:cs="Times New Roman"/>
          <w:bCs w:val="0"/>
          <w:kern w:val="0"/>
          <w:sz w:val="21"/>
          <w:szCs w:val="21"/>
        </w:rPr>
        <w:t xml:space="preserve">7.2 </w:t>
      </w:r>
      <w:r>
        <w:rPr>
          <w:rFonts w:ascii="Times New Roman" w:hAnsi="Times New Roman" w:cs="Times New Roman"/>
          <w:color w:val="000000"/>
          <w:kern w:val="0"/>
          <w:sz w:val="21"/>
          <w:szCs w:val="21"/>
        </w:rPr>
        <w:t>交银施罗德理财</w:t>
      </w:r>
      <w:r>
        <w:rPr>
          <w:rFonts w:ascii="Times New Roman" w:hAnsi="Times New Roman" w:cs="Times New Roman"/>
          <w:color w:val="000000"/>
          <w:kern w:val="0"/>
          <w:sz w:val="21"/>
          <w:szCs w:val="21"/>
        </w:rPr>
        <w:t>60</w:t>
      </w:r>
      <w:r>
        <w:rPr>
          <w:rFonts w:ascii="Times New Roman" w:hAnsi="Times New Roman" w:cs="Times New Roman"/>
          <w:color w:val="000000"/>
          <w:kern w:val="0"/>
          <w:sz w:val="21"/>
          <w:szCs w:val="21"/>
        </w:rPr>
        <w:t>天债券型证券投资基金</w:t>
      </w:r>
      <w:bookmarkEnd w:id="160"/>
      <w:bookmarkEnd w:id="161"/>
      <w:bookmarkEnd w:id="162"/>
    </w:p>
    <w:p w:rsidR="003663E4" w:rsidRDefault="00FD3F7D">
      <w:pPr>
        <w:pStyle w:val="3"/>
        <w:spacing w:before="0" w:after="0" w:line="360" w:lineRule="auto"/>
        <w:rPr>
          <w:color w:val="000000"/>
          <w:sz w:val="21"/>
          <w:szCs w:val="21"/>
        </w:rPr>
      </w:pPr>
      <w:bookmarkStart w:id="163" w:name="_Toc23339384"/>
      <w:bookmarkStart w:id="164" w:name="_Toc361324873"/>
      <w:bookmarkStart w:id="165" w:name="_Toc409100437"/>
      <w:bookmarkStart w:id="166" w:name="_Toc225498268"/>
      <w:bookmarkStart w:id="167" w:name="_Toc409100074"/>
      <w:bookmarkStart w:id="168" w:name="_Toc508540288"/>
      <w:bookmarkStart w:id="169" w:name="_Toc13338"/>
      <w:r>
        <w:rPr>
          <w:color w:val="000000"/>
          <w:kern w:val="0"/>
          <w:sz w:val="21"/>
          <w:szCs w:val="21"/>
        </w:rPr>
        <w:t>7.2.1</w:t>
      </w:r>
      <w:r>
        <w:rPr>
          <w:rFonts w:hint="eastAsia"/>
          <w:color w:val="000000"/>
          <w:kern w:val="0"/>
          <w:sz w:val="21"/>
          <w:szCs w:val="21"/>
        </w:rPr>
        <w:t xml:space="preserve"> </w:t>
      </w:r>
      <w:r>
        <w:rPr>
          <w:color w:val="000000"/>
          <w:sz w:val="21"/>
          <w:szCs w:val="21"/>
        </w:rPr>
        <w:t>资产负债表</w:t>
      </w:r>
      <w:bookmarkEnd w:id="163"/>
      <w:bookmarkEnd w:id="164"/>
      <w:bookmarkEnd w:id="165"/>
      <w:bookmarkEnd w:id="166"/>
      <w:bookmarkEnd w:id="167"/>
      <w:bookmarkEnd w:id="168"/>
      <w:bookmarkEnd w:id="169"/>
    </w:p>
    <w:p w:rsidR="003663E4" w:rsidRDefault="00FD3F7D">
      <w:pPr>
        <w:spacing w:line="360" w:lineRule="auto"/>
        <w:rPr>
          <w:color w:val="000000"/>
          <w:szCs w:val="21"/>
        </w:rPr>
      </w:pPr>
      <w:r>
        <w:rPr>
          <w:color w:val="000000"/>
          <w:szCs w:val="21"/>
        </w:rPr>
        <w:t>会计主体：交银施罗德理财</w:t>
      </w:r>
      <w:r>
        <w:rPr>
          <w:color w:val="000000"/>
          <w:szCs w:val="21"/>
        </w:rPr>
        <w:t>60</w:t>
      </w:r>
      <w:r>
        <w:rPr>
          <w:color w:val="000000"/>
          <w:szCs w:val="21"/>
        </w:rPr>
        <w:t>天债券型证券投资基金</w:t>
      </w:r>
    </w:p>
    <w:p w:rsidR="003663E4" w:rsidRDefault="00FD3F7D">
      <w:pPr>
        <w:spacing w:line="360" w:lineRule="auto"/>
        <w:rPr>
          <w:color w:val="000000"/>
          <w:szCs w:val="21"/>
        </w:rPr>
      </w:pPr>
      <w:r>
        <w:rPr>
          <w:color w:val="000000"/>
          <w:szCs w:val="21"/>
        </w:rPr>
        <w:t>报告截止日：</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p>
    <w:p w:rsidR="003663E4" w:rsidRDefault="00FD3F7D">
      <w:pPr>
        <w:autoSpaceDE w:val="0"/>
        <w:autoSpaceDN w:val="0"/>
        <w:adjustRightInd w:val="0"/>
        <w:spacing w:before="29" w:line="360" w:lineRule="auto"/>
        <w:ind w:left="15"/>
        <w:jc w:val="right"/>
        <w:rPr>
          <w:color w:val="000000"/>
          <w:kern w:val="0"/>
          <w:szCs w:val="21"/>
        </w:rPr>
      </w:pPr>
      <w:r>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3663E4">
        <w:tc>
          <w:tcPr>
            <w:tcW w:w="2880" w:type="dxa"/>
            <w:vAlign w:val="center"/>
          </w:tcPr>
          <w:p w:rsidR="003663E4" w:rsidRDefault="00FD3F7D">
            <w:pPr>
              <w:pStyle w:val="af9"/>
              <w:spacing w:line="276" w:lineRule="auto"/>
              <w:jc w:val="center"/>
              <w:rPr>
                <w:rFonts w:ascii="Times New Roman" w:hAnsi="Times New Roman"/>
                <w:b/>
                <w:color w:val="000000"/>
                <w:sz w:val="21"/>
                <w:szCs w:val="21"/>
              </w:rPr>
            </w:pPr>
            <w:r>
              <w:rPr>
                <w:rFonts w:ascii="Times New Roman" w:hAnsi="Times New Roman"/>
                <w:b/>
                <w:color w:val="000000"/>
                <w:sz w:val="21"/>
                <w:szCs w:val="21"/>
              </w:rPr>
              <w:t>资</w:t>
            </w:r>
            <w:r>
              <w:rPr>
                <w:rFonts w:ascii="Times New Roman" w:hAnsi="Times New Roman" w:hint="eastAsia"/>
                <w:b/>
                <w:color w:val="000000"/>
                <w:sz w:val="21"/>
                <w:szCs w:val="21"/>
              </w:rPr>
              <w:t xml:space="preserve"> </w:t>
            </w:r>
            <w:r>
              <w:rPr>
                <w:rFonts w:ascii="Times New Roman" w:hAnsi="Times New Roman"/>
                <w:b/>
                <w:color w:val="000000"/>
                <w:sz w:val="21"/>
                <w:szCs w:val="21"/>
              </w:rPr>
              <w:t>产</w:t>
            </w:r>
          </w:p>
        </w:tc>
        <w:tc>
          <w:tcPr>
            <w:tcW w:w="1080" w:type="dxa"/>
            <w:vAlign w:val="center"/>
          </w:tcPr>
          <w:p w:rsidR="003663E4" w:rsidRDefault="00FD3F7D">
            <w:pPr>
              <w:pStyle w:val="af9"/>
              <w:spacing w:line="276" w:lineRule="auto"/>
              <w:jc w:val="center"/>
              <w:rPr>
                <w:rFonts w:ascii="Times New Roman" w:hAnsi="Times New Roman"/>
                <w:b/>
                <w:color w:val="000000"/>
                <w:sz w:val="21"/>
                <w:szCs w:val="21"/>
              </w:rPr>
            </w:pPr>
            <w:r>
              <w:rPr>
                <w:rFonts w:ascii="Times New Roman" w:hAnsi="Times New Roman"/>
                <w:b/>
                <w:color w:val="000000"/>
                <w:sz w:val="21"/>
                <w:szCs w:val="21"/>
              </w:rPr>
              <w:t>附注号</w:t>
            </w:r>
          </w:p>
        </w:tc>
        <w:tc>
          <w:tcPr>
            <w:tcW w:w="2520" w:type="dxa"/>
            <w:vAlign w:val="center"/>
          </w:tcPr>
          <w:p w:rsidR="003663E4" w:rsidRDefault="00FD3F7D">
            <w:pPr>
              <w:pStyle w:val="af9"/>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本期末</w:t>
            </w:r>
          </w:p>
          <w:p w:rsidR="003663E4" w:rsidRDefault="00FD3F7D">
            <w:pPr>
              <w:pStyle w:val="af9"/>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kern w:val="2"/>
                <w:sz w:val="21"/>
                <w:szCs w:val="21"/>
              </w:rPr>
              <w:t>2020</w:t>
            </w:r>
            <w:r>
              <w:rPr>
                <w:rFonts w:ascii="Times New Roman" w:hAnsi="Times New Roman"/>
                <w:b/>
                <w:color w:val="000000"/>
                <w:kern w:val="2"/>
                <w:sz w:val="21"/>
                <w:szCs w:val="21"/>
              </w:rPr>
              <w:t>年</w:t>
            </w:r>
            <w:r>
              <w:rPr>
                <w:rFonts w:ascii="Times New Roman" w:hAnsi="Times New Roman"/>
                <w:b/>
                <w:color w:val="000000"/>
                <w:kern w:val="2"/>
                <w:sz w:val="21"/>
                <w:szCs w:val="21"/>
              </w:rPr>
              <w:t>7</w:t>
            </w:r>
            <w:r>
              <w:rPr>
                <w:rFonts w:ascii="Times New Roman" w:hAnsi="Times New Roman"/>
                <w:b/>
                <w:color w:val="000000"/>
                <w:kern w:val="2"/>
                <w:sz w:val="21"/>
                <w:szCs w:val="21"/>
              </w:rPr>
              <w:t>月</w:t>
            </w:r>
            <w:r>
              <w:rPr>
                <w:rFonts w:ascii="Times New Roman" w:hAnsi="Times New Roman"/>
                <w:b/>
                <w:color w:val="000000"/>
                <w:kern w:val="2"/>
                <w:sz w:val="21"/>
                <w:szCs w:val="21"/>
              </w:rPr>
              <w:t>27</w:t>
            </w:r>
            <w:r>
              <w:rPr>
                <w:rFonts w:ascii="Times New Roman" w:hAnsi="Times New Roman"/>
                <w:b/>
                <w:color w:val="000000"/>
                <w:kern w:val="2"/>
                <w:sz w:val="21"/>
                <w:szCs w:val="21"/>
              </w:rPr>
              <w:t>日</w:t>
            </w:r>
          </w:p>
        </w:tc>
        <w:tc>
          <w:tcPr>
            <w:tcW w:w="2520" w:type="dxa"/>
            <w:vAlign w:val="center"/>
          </w:tcPr>
          <w:p w:rsidR="003663E4" w:rsidRDefault="00FD3F7D">
            <w:pPr>
              <w:pStyle w:val="af9"/>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上年度末</w:t>
            </w:r>
          </w:p>
          <w:p w:rsidR="003663E4" w:rsidRDefault="00FD3F7D">
            <w:pPr>
              <w:pStyle w:val="af9"/>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2019</w:t>
            </w:r>
            <w:r>
              <w:rPr>
                <w:rFonts w:ascii="Times New Roman" w:hAnsi="Times New Roman"/>
                <w:b/>
                <w:color w:val="000000"/>
                <w:sz w:val="21"/>
                <w:szCs w:val="21"/>
              </w:rPr>
              <w:t>年</w:t>
            </w:r>
            <w:r>
              <w:rPr>
                <w:rFonts w:ascii="Times New Roman" w:hAnsi="Times New Roman"/>
                <w:b/>
                <w:color w:val="000000"/>
                <w:sz w:val="21"/>
                <w:szCs w:val="21"/>
              </w:rPr>
              <w:t>12</w:t>
            </w:r>
            <w:r>
              <w:rPr>
                <w:rFonts w:ascii="Times New Roman" w:hAnsi="Times New Roman"/>
                <w:b/>
                <w:color w:val="000000"/>
                <w:sz w:val="21"/>
                <w:szCs w:val="21"/>
              </w:rPr>
              <w:t>月</w:t>
            </w:r>
            <w:r>
              <w:rPr>
                <w:rFonts w:ascii="Times New Roman" w:hAnsi="Times New Roman"/>
                <w:b/>
                <w:color w:val="000000"/>
                <w:sz w:val="21"/>
                <w:szCs w:val="21"/>
              </w:rPr>
              <w:t>31</w:t>
            </w:r>
            <w:r>
              <w:rPr>
                <w:rFonts w:ascii="Times New Roman" w:hAnsi="Times New Roman"/>
                <w:b/>
                <w:color w:val="000000"/>
                <w:sz w:val="21"/>
                <w:szCs w:val="21"/>
              </w:rPr>
              <w:t>日</w:t>
            </w:r>
          </w:p>
        </w:tc>
      </w:tr>
      <w:tr w:rsidR="003663E4">
        <w:tc>
          <w:tcPr>
            <w:tcW w:w="2880" w:type="dxa"/>
            <w:vAlign w:val="center"/>
          </w:tcPr>
          <w:p w:rsidR="003663E4" w:rsidRDefault="00FD3F7D">
            <w:pPr>
              <w:spacing w:line="276" w:lineRule="auto"/>
              <w:rPr>
                <w:color w:val="000000"/>
                <w:szCs w:val="21"/>
              </w:rPr>
            </w:pPr>
            <w:r>
              <w:rPr>
                <w:color w:val="000000"/>
                <w:szCs w:val="21"/>
              </w:rPr>
              <w:t>资</w:t>
            </w:r>
            <w:r>
              <w:rPr>
                <w:color w:val="000000"/>
                <w:szCs w:val="21"/>
              </w:rPr>
              <w:t xml:space="preserve"> </w:t>
            </w:r>
            <w:r>
              <w:rPr>
                <w:color w:val="000000"/>
                <w:szCs w:val="21"/>
              </w:rPr>
              <w:t>产：</w:t>
            </w:r>
          </w:p>
        </w:tc>
        <w:tc>
          <w:tcPr>
            <w:tcW w:w="1080" w:type="dxa"/>
            <w:vAlign w:val="center"/>
          </w:tcPr>
          <w:p w:rsidR="003663E4" w:rsidRDefault="003663E4">
            <w:pPr>
              <w:widowControl/>
              <w:autoSpaceDE w:val="0"/>
              <w:autoSpaceDN w:val="0"/>
              <w:spacing w:line="276" w:lineRule="auto"/>
              <w:ind w:right="-15"/>
              <w:jc w:val="center"/>
              <w:textAlignment w:val="bottom"/>
              <w:rPr>
                <w:color w:val="000000"/>
                <w:szCs w:val="21"/>
              </w:rPr>
            </w:pPr>
          </w:p>
        </w:tc>
        <w:tc>
          <w:tcPr>
            <w:tcW w:w="2520" w:type="dxa"/>
            <w:vAlign w:val="center"/>
          </w:tcPr>
          <w:p w:rsidR="003663E4" w:rsidRDefault="003663E4">
            <w:pPr>
              <w:spacing w:line="276" w:lineRule="auto"/>
              <w:jc w:val="right"/>
              <w:rPr>
                <w:color w:val="000000"/>
                <w:szCs w:val="21"/>
              </w:rPr>
            </w:pPr>
          </w:p>
        </w:tc>
        <w:tc>
          <w:tcPr>
            <w:tcW w:w="2520" w:type="dxa"/>
            <w:vAlign w:val="center"/>
          </w:tcPr>
          <w:p w:rsidR="003663E4" w:rsidRDefault="003663E4">
            <w:pPr>
              <w:spacing w:line="276" w:lineRule="auto"/>
              <w:jc w:val="right"/>
              <w:rPr>
                <w:color w:val="000000"/>
                <w:szCs w:val="21"/>
              </w:rPr>
            </w:pPr>
          </w:p>
        </w:tc>
      </w:tr>
      <w:tr w:rsidR="003663E4">
        <w:tc>
          <w:tcPr>
            <w:tcW w:w="2880" w:type="dxa"/>
            <w:vAlign w:val="center"/>
          </w:tcPr>
          <w:p w:rsidR="003663E4" w:rsidRDefault="00FD3F7D">
            <w:pPr>
              <w:spacing w:line="276" w:lineRule="auto"/>
              <w:rPr>
                <w:color w:val="000000"/>
                <w:szCs w:val="21"/>
              </w:rPr>
            </w:pPr>
            <w:r>
              <w:rPr>
                <w:color w:val="000000"/>
                <w:szCs w:val="21"/>
              </w:rPr>
              <w:t>银行存款</w:t>
            </w:r>
          </w:p>
        </w:tc>
        <w:tc>
          <w:tcPr>
            <w:tcW w:w="1080" w:type="dxa"/>
            <w:vAlign w:val="center"/>
          </w:tcPr>
          <w:p w:rsidR="003663E4" w:rsidRDefault="00FD3F7D">
            <w:pPr>
              <w:widowControl/>
              <w:autoSpaceDE w:val="0"/>
              <w:autoSpaceDN w:val="0"/>
              <w:spacing w:line="276" w:lineRule="auto"/>
              <w:ind w:right="-15"/>
              <w:jc w:val="center"/>
              <w:textAlignment w:val="bottom"/>
              <w:rPr>
                <w:color w:val="000000"/>
                <w:szCs w:val="21"/>
              </w:rPr>
            </w:pPr>
            <w:r>
              <w:rPr>
                <w:color w:val="000000"/>
                <w:szCs w:val="21"/>
              </w:rPr>
              <w:t>7.2.4.7.1</w:t>
            </w:r>
          </w:p>
        </w:tc>
        <w:tc>
          <w:tcPr>
            <w:tcW w:w="2520" w:type="dxa"/>
            <w:vAlign w:val="center"/>
          </w:tcPr>
          <w:p w:rsidR="003663E4" w:rsidRDefault="00FD3F7D">
            <w:pPr>
              <w:spacing w:line="276" w:lineRule="auto"/>
              <w:jc w:val="right"/>
              <w:rPr>
                <w:color w:val="000000"/>
                <w:szCs w:val="21"/>
              </w:rPr>
            </w:pPr>
            <w:r>
              <w:rPr>
                <w:color w:val="000000"/>
                <w:szCs w:val="21"/>
              </w:rPr>
              <w:t>2,715,773.95</w:t>
            </w:r>
          </w:p>
        </w:tc>
        <w:tc>
          <w:tcPr>
            <w:tcW w:w="2520" w:type="dxa"/>
            <w:vAlign w:val="center"/>
          </w:tcPr>
          <w:p w:rsidR="003663E4" w:rsidRDefault="00FD3F7D">
            <w:pPr>
              <w:spacing w:line="276" w:lineRule="auto"/>
              <w:jc w:val="right"/>
              <w:rPr>
                <w:color w:val="000000"/>
                <w:szCs w:val="21"/>
              </w:rPr>
            </w:pPr>
            <w:r>
              <w:rPr>
                <w:color w:val="000000"/>
                <w:szCs w:val="21"/>
              </w:rPr>
              <w:t>1,751,376,445.57</w:t>
            </w:r>
          </w:p>
        </w:tc>
      </w:tr>
      <w:tr w:rsidR="003663E4">
        <w:tc>
          <w:tcPr>
            <w:tcW w:w="2880" w:type="dxa"/>
            <w:vAlign w:val="center"/>
          </w:tcPr>
          <w:p w:rsidR="003663E4" w:rsidRDefault="00FD3F7D">
            <w:pPr>
              <w:spacing w:line="276" w:lineRule="auto"/>
              <w:rPr>
                <w:color w:val="000000"/>
                <w:szCs w:val="21"/>
              </w:rPr>
            </w:pPr>
            <w:r>
              <w:rPr>
                <w:color w:val="000000"/>
                <w:szCs w:val="21"/>
              </w:rPr>
              <w:t>结算备付金</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520" w:type="dxa"/>
            <w:vAlign w:val="center"/>
          </w:tcPr>
          <w:p w:rsidR="003663E4" w:rsidRDefault="00FD3F7D">
            <w:pPr>
              <w:spacing w:line="276" w:lineRule="auto"/>
              <w:jc w:val="right"/>
              <w:rPr>
                <w:color w:val="000000"/>
                <w:szCs w:val="21"/>
              </w:rPr>
            </w:pPr>
            <w:r>
              <w:rPr>
                <w:color w:val="000000"/>
                <w:szCs w:val="21"/>
              </w:rPr>
              <w:t>-</w:t>
            </w:r>
          </w:p>
        </w:tc>
        <w:tc>
          <w:tcPr>
            <w:tcW w:w="252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color w:val="000000"/>
                <w:szCs w:val="21"/>
              </w:rPr>
            </w:pPr>
            <w:r>
              <w:rPr>
                <w:color w:val="000000"/>
                <w:szCs w:val="21"/>
              </w:rPr>
              <w:t>存出保证金</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520" w:type="dxa"/>
            <w:vAlign w:val="center"/>
          </w:tcPr>
          <w:p w:rsidR="003663E4" w:rsidRDefault="00FD3F7D">
            <w:pPr>
              <w:spacing w:line="276" w:lineRule="auto"/>
              <w:jc w:val="right"/>
              <w:rPr>
                <w:color w:val="000000"/>
                <w:szCs w:val="21"/>
              </w:rPr>
            </w:pPr>
            <w:r>
              <w:rPr>
                <w:color w:val="000000"/>
                <w:szCs w:val="21"/>
              </w:rPr>
              <w:t>-</w:t>
            </w:r>
          </w:p>
        </w:tc>
        <w:tc>
          <w:tcPr>
            <w:tcW w:w="252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color w:val="000000"/>
                <w:szCs w:val="21"/>
              </w:rPr>
            </w:pPr>
            <w:r>
              <w:rPr>
                <w:color w:val="000000"/>
                <w:szCs w:val="21"/>
              </w:rPr>
              <w:t>交易性金融资产</w:t>
            </w:r>
          </w:p>
        </w:tc>
        <w:tc>
          <w:tcPr>
            <w:tcW w:w="1080" w:type="dxa"/>
            <w:vAlign w:val="center"/>
          </w:tcPr>
          <w:p w:rsidR="003663E4" w:rsidRDefault="00FD3F7D">
            <w:pPr>
              <w:pStyle w:val="af9"/>
              <w:spacing w:line="276" w:lineRule="auto"/>
              <w:jc w:val="center"/>
              <w:rPr>
                <w:rFonts w:ascii="Times New Roman" w:hAnsi="Times New Roman"/>
                <w:color w:val="000000"/>
                <w:sz w:val="21"/>
                <w:szCs w:val="21"/>
              </w:rPr>
            </w:pPr>
            <w:r>
              <w:rPr>
                <w:rFonts w:ascii="Times New Roman" w:hAnsi="Times New Roman"/>
                <w:color w:val="000000"/>
                <w:sz w:val="21"/>
                <w:szCs w:val="21"/>
              </w:rPr>
              <w:t>7.2.4.7.2</w:t>
            </w:r>
          </w:p>
        </w:tc>
        <w:tc>
          <w:tcPr>
            <w:tcW w:w="2520" w:type="dxa"/>
            <w:vAlign w:val="center"/>
          </w:tcPr>
          <w:p w:rsidR="003663E4" w:rsidRDefault="00FD3F7D">
            <w:pPr>
              <w:spacing w:line="276" w:lineRule="auto"/>
              <w:jc w:val="right"/>
              <w:rPr>
                <w:color w:val="000000"/>
                <w:szCs w:val="21"/>
              </w:rPr>
            </w:pPr>
            <w:r>
              <w:rPr>
                <w:color w:val="000000"/>
                <w:szCs w:val="21"/>
              </w:rPr>
              <w:t>729,966,052.15</w:t>
            </w:r>
          </w:p>
        </w:tc>
        <w:tc>
          <w:tcPr>
            <w:tcW w:w="2520" w:type="dxa"/>
            <w:vAlign w:val="center"/>
          </w:tcPr>
          <w:p w:rsidR="003663E4" w:rsidRDefault="00FD3F7D">
            <w:pPr>
              <w:spacing w:line="276" w:lineRule="auto"/>
              <w:jc w:val="right"/>
              <w:rPr>
                <w:color w:val="000000"/>
                <w:szCs w:val="21"/>
              </w:rPr>
            </w:pPr>
            <w:r>
              <w:rPr>
                <w:color w:val="000000"/>
                <w:szCs w:val="21"/>
              </w:rPr>
              <w:t>6,076,077,745.20</w:t>
            </w:r>
          </w:p>
        </w:tc>
      </w:tr>
      <w:tr w:rsidR="003663E4">
        <w:tc>
          <w:tcPr>
            <w:tcW w:w="2880" w:type="dxa"/>
            <w:vAlign w:val="center"/>
          </w:tcPr>
          <w:p w:rsidR="003663E4" w:rsidRDefault="00FD3F7D">
            <w:pPr>
              <w:spacing w:line="276" w:lineRule="auto"/>
              <w:rPr>
                <w:color w:val="000000"/>
                <w:szCs w:val="21"/>
              </w:rPr>
            </w:pPr>
            <w:r>
              <w:rPr>
                <w:color w:val="000000"/>
                <w:szCs w:val="21"/>
              </w:rPr>
              <w:t>其中：股票投资</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520" w:type="dxa"/>
            <w:vAlign w:val="center"/>
          </w:tcPr>
          <w:p w:rsidR="003663E4" w:rsidRDefault="00FD3F7D">
            <w:pPr>
              <w:spacing w:line="276" w:lineRule="auto"/>
              <w:jc w:val="right"/>
              <w:rPr>
                <w:color w:val="000000"/>
                <w:szCs w:val="21"/>
              </w:rPr>
            </w:pPr>
            <w:r>
              <w:rPr>
                <w:color w:val="000000"/>
                <w:szCs w:val="21"/>
              </w:rPr>
              <w:t>-</w:t>
            </w:r>
          </w:p>
        </w:tc>
        <w:tc>
          <w:tcPr>
            <w:tcW w:w="252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pStyle w:val="af9"/>
              <w:spacing w:line="276" w:lineRule="auto"/>
              <w:ind w:firstLineChars="300" w:firstLine="630"/>
              <w:jc w:val="both"/>
              <w:rPr>
                <w:rFonts w:ascii="Times New Roman" w:hAnsi="Times New Roman"/>
                <w:color w:val="000000"/>
                <w:sz w:val="21"/>
                <w:szCs w:val="21"/>
              </w:rPr>
            </w:pPr>
            <w:r>
              <w:rPr>
                <w:rFonts w:ascii="Times New Roman" w:hAnsi="Times New Roman"/>
                <w:color w:val="000000"/>
                <w:sz w:val="21"/>
                <w:szCs w:val="21"/>
              </w:rPr>
              <w:t>基金投资</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520" w:type="dxa"/>
            <w:vAlign w:val="center"/>
          </w:tcPr>
          <w:p w:rsidR="003663E4" w:rsidRDefault="00FD3F7D">
            <w:pPr>
              <w:spacing w:line="276" w:lineRule="auto"/>
              <w:jc w:val="right"/>
              <w:rPr>
                <w:color w:val="000000"/>
                <w:szCs w:val="21"/>
              </w:rPr>
            </w:pPr>
            <w:r>
              <w:rPr>
                <w:color w:val="000000"/>
                <w:szCs w:val="21"/>
              </w:rPr>
              <w:t>-</w:t>
            </w:r>
          </w:p>
        </w:tc>
        <w:tc>
          <w:tcPr>
            <w:tcW w:w="252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ind w:firstLineChars="300" w:firstLine="630"/>
              <w:rPr>
                <w:color w:val="000000"/>
                <w:szCs w:val="21"/>
              </w:rPr>
            </w:pPr>
            <w:r>
              <w:rPr>
                <w:color w:val="000000"/>
                <w:szCs w:val="21"/>
              </w:rPr>
              <w:t>债券投资</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520" w:type="dxa"/>
            <w:vAlign w:val="center"/>
          </w:tcPr>
          <w:p w:rsidR="003663E4" w:rsidRDefault="00FD3F7D">
            <w:pPr>
              <w:spacing w:line="276" w:lineRule="auto"/>
              <w:jc w:val="right"/>
              <w:rPr>
                <w:color w:val="000000"/>
                <w:szCs w:val="21"/>
              </w:rPr>
            </w:pPr>
            <w:r>
              <w:rPr>
                <w:color w:val="000000"/>
                <w:szCs w:val="21"/>
              </w:rPr>
              <w:t>729,966,052.15</w:t>
            </w:r>
          </w:p>
        </w:tc>
        <w:tc>
          <w:tcPr>
            <w:tcW w:w="2520" w:type="dxa"/>
            <w:vAlign w:val="center"/>
          </w:tcPr>
          <w:p w:rsidR="003663E4" w:rsidRDefault="00FD3F7D">
            <w:pPr>
              <w:spacing w:line="276" w:lineRule="auto"/>
              <w:jc w:val="right"/>
              <w:rPr>
                <w:color w:val="000000"/>
                <w:szCs w:val="21"/>
              </w:rPr>
            </w:pPr>
            <w:r>
              <w:rPr>
                <w:color w:val="000000"/>
                <w:szCs w:val="21"/>
              </w:rPr>
              <w:t>6,076,077,745.20</w:t>
            </w:r>
          </w:p>
        </w:tc>
      </w:tr>
      <w:tr w:rsidR="003663E4">
        <w:tc>
          <w:tcPr>
            <w:tcW w:w="2880" w:type="dxa"/>
            <w:vAlign w:val="center"/>
          </w:tcPr>
          <w:p w:rsidR="003663E4" w:rsidRDefault="00FD3F7D">
            <w:pPr>
              <w:spacing w:line="276" w:lineRule="auto"/>
              <w:ind w:firstLineChars="300" w:firstLine="630"/>
              <w:rPr>
                <w:color w:val="000000"/>
                <w:szCs w:val="21"/>
              </w:rPr>
            </w:pPr>
            <w:r>
              <w:rPr>
                <w:color w:val="000000"/>
                <w:szCs w:val="21"/>
              </w:rPr>
              <w:t>资产支持证券投资</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520" w:type="dxa"/>
            <w:vAlign w:val="center"/>
          </w:tcPr>
          <w:p w:rsidR="003663E4" w:rsidRDefault="00FD3F7D">
            <w:pPr>
              <w:spacing w:line="276" w:lineRule="auto"/>
              <w:jc w:val="right"/>
              <w:rPr>
                <w:color w:val="000000"/>
                <w:szCs w:val="21"/>
              </w:rPr>
            </w:pPr>
            <w:r>
              <w:rPr>
                <w:color w:val="000000"/>
                <w:szCs w:val="21"/>
              </w:rPr>
              <w:t>-</w:t>
            </w:r>
          </w:p>
        </w:tc>
        <w:tc>
          <w:tcPr>
            <w:tcW w:w="252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360" w:lineRule="auto"/>
              <w:ind w:firstLineChars="300" w:firstLine="630"/>
              <w:rPr>
                <w:rFonts w:eastAsiaTheme="minorEastAsia"/>
                <w:color w:val="000000"/>
                <w:szCs w:val="21"/>
              </w:rPr>
            </w:pPr>
            <w:r>
              <w:t>贵金属投资</w:t>
            </w:r>
          </w:p>
        </w:tc>
        <w:tc>
          <w:tcPr>
            <w:tcW w:w="1080" w:type="dxa"/>
            <w:vAlign w:val="center"/>
          </w:tcPr>
          <w:p w:rsidR="003663E4" w:rsidRDefault="003663E4">
            <w:pPr>
              <w:pStyle w:val="af9"/>
              <w:spacing w:line="360" w:lineRule="auto"/>
              <w:jc w:val="center"/>
              <w:rPr>
                <w:rFonts w:ascii="Times New Roman" w:eastAsiaTheme="minorEastAsia" w:hAnsi="Times New Roman"/>
                <w:color w:val="000000"/>
                <w:sz w:val="21"/>
                <w:szCs w:val="21"/>
              </w:rPr>
            </w:pPr>
          </w:p>
        </w:tc>
        <w:tc>
          <w:tcPr>
            <w:tcW w:w="2520" w:type="dxa"/>
            <w:vAlign w:val="center"/>
          </w:tcPr>
          <w:p w:rsidR="003663E4" w:rsidRDefault="00FD3F7D">
            <w:pPr>
              <w:spacing w:line="360" w:lineRule="auto"/>
              <w:jc w:val="right"/>
              <w:rPr>
                <w:rFonts w:eastAsiaTheme="minorEastAsia"/>
                <w:color w:val="000000"/>
                <w:szCs w:val="21"/>
              </w:rPr>
            </w:pPr>
            <w:r>
              <w:rPr>
                <w:rFonts w:eastAsiaTheme="minorEastAsia"/>
                <w:color w:val="000000"/>
                <w:szCs w:val="21"/>
              </w:rPr>
              <w:t>-</w:t>
            </w:r>
          </w:p>
        </w:tc>
        <w:tc>
          <w:tcPr>
            <w:tcW w:w="2520" w:type="dxa"/>
            <w:vAlign w:val="center"/>
          </w:tcPr>
          <w:p w:rsidR="003663E4" w:rsidRDefault="00FD3F7D">
            <w:pPr>
              <w:spacing w:line="360" w:lineRule="auto"/>
              <w:jc w:val="right"/>
              <w:rPr>
                <w:rFonts w:eastAsiaTheme="minorEastAsia"/>
                <w:color w:val="000000"/>
                <w:szCs w:val="21"/>
              </w:rPr>
            </w:pPr>
            <w:r>
              <w:rPr>
                <w:rFonts w:eastAsiaTheme="minorEastAsia"/>
                <w:color w:val="000000"/>
                <w:szCs w:val="21"/>
              </w:rPr>
              <w:t>-</w:t>
            </w:r>
          </w:p>
        </w:tc>
      </w:tr>
      <w:tr w:rsidR="003663E4">
        <w:tc>
          <w:tcPr>
            <w:tcW w:w="2880" w:type="dxa"/>
            <w:vAlign w:val="center"/>
          </w:tcPr>
          <w:p w:rsidR="003663E4" w:rsidRDefault="00FD3F7D">
            <w:pPr>
              <w:spacing w:line="276" w:lineRule="auto"/>
              <w:rPr>
                <w:color w:val="000000"/>
                <w:szCs w:val="21"/>
              </w:rPr>
            </w:pPr>
            <w:r>
              <w:rPr>
                <w:color w:val="000000"/>
                <w:szCs w:val="21"/>
              </w:rPr>
              <w:t>衍生金融资产</w:t>
            </w:r>
          </w:p>
        </w:tc>
        <w:tc>
          <w:tcPr>
            <w:tcW w:w="1080" w:type="dxa"/>
            <w:vAlign w:val="center"/>
          </w:tcPr>
          <w:p w:rsidR="003663E4" w:rsidRDefault="00FD3F7D">
            <w:pPr>
              <w:pStyle w:val="af9"/>
              <w:spacing w:line="276" w:lineRule="auto"/>
              <w:jc w:val="center"/>
              <w:rPr>
                <w:rFonts w:ascii="Times New Roman" w:hAnsi="Times New Roman"/>
                <w:color w:val="000000"/>
                <w:sz w:val="21"/>
                <w:szCs w:val="21"/>
              </w:rPr>
            </w:pPr>
            <w:r>
              <w:rPr>
                <w:rFonts w:ascii="Times New Roman" w:hAnsi="Times New Roman"/>
                <w:color w:val="000000"/>
                <w:sz w:val="21"/>
                <w:szCs w:val="21"/>
              </w:rPr>
              <w:t>7.2.4.7.3</w:t>
            </w:r>
          </w:p>
        </w:tc>
        <w:tc>
          <w:tcPr>
            <w:tcW w:w="2520" w:type="dxa"/>
            <w:vAlign w:val="center"/>
          </w:tcPr>
          <w:p w:rsidR="003663E4" w:rsidRDefault="00FD3F7D">
            <w:pPr>
              <w:spacing w:line="276" w:lineRule="auto"/>
              <w:jc w:val="right"/>
              <w:rPr>
                <w:color w:val="000000"/>
                <w:szCs w:val="21"/>
              </w:rPr>
            </w:pPr>
            <w:r>
              <w:rPr>
                <w:color w:val="000000"/>
                <w:szCs w:val="21"/>
              </w:rPr>
              <w:t>-</w:t>
            </w:r>
          </w:p>
        </w:tc>
        <w:tc>
          <w:tcPr>
            <w:tcW w:w="252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color w:val="000000"/>
                <w:szCs w:val="21"/>
              </w:rPr>
            </w:pPr>
            <w:r>
              <w:rPr>
                <w:color w:val="000000"/>
                <w:szCs w:val="21"/>
              </w:rPr>
              <w:t>买入返售金融资产</w:t>
            </w:r>
          </w:p>
        </w:tc>
        <w:tc>
          <w:tcPr>
            <w:tcW w:w="1080" w:type="dxa"/>
            <w:vAlign w:val="center"/>
          </w:tcPr>
          <w:p w:rsidR="003663E4" w:rsidRDefault="00FD3F7D">
            <w:pPr>
              <w:pStyle w:val="af9"/>
              <w:spacing w:line="276" w:lineRule="auto"/>
              <w:jc w:val="center"/>
              <w:rPr>
                <w:rFonts w:ascii="Times New Roman" w:hAnsi="Times New Roman"/>
                <w:color w:val="000000"/>
                <w:sz w:val="21"/>
                <w:szCs w:val="21"/>
              </w:rPr>
            </w:pPr>
            <w:r>
              <w:rPr>
                <w:rFonts w:ascii="Times New Roman" w:hAnsi="Times New Roman"/>
                <w:color w:val="000000"/>
                <w:sz w:val="21"/>
                <w:szCs w:val="21"/>
              </w:rPr>
              <w:t>7.2.4.7.4</w:t>
            </w:r>
          </w:p>
        </w:tc>
        <w:tc>
          <w:tcPr>
            <w:tcW w:w="2520" w:type="dxa"/>
            <w:vAlign w:val="center"/>
          </w:tcPr>
          <w:p w:rsidR="003663E4" w:rsidRDefault="00FD3F7D">
            <w:pPr>
              <w:spacing w:line="276" w:lineRule="auto"/>
              <w:jc w:val="right"/>
              <w:rPr>
                <w:color w:val="000000"/>
                <w:szCs w:val="21"/>
              </w:rPr>
            </w:pPr>
            <w:r>
              <w:rPr>
                <w:color w:val="000000"/>
                <w:szCs w:val="21"/>
              </w:rPr>
              <w:t>35,000,000.00</w:t>
            </w:r>
          </w:p>
        </w:tc>
        <w:tc>
          <w:tcPr>
            <w:tcW w:w="252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color w:val="000000"/>
                <w:szCs w:val="21"/>
              </w:rPr>
            </w:pPr>
            <w:r>
              <w:rPr>
                <w:color w:val="000000"/>
                <w:szCs w:val="21"/>
              </w:rPr>
              <w:t>应收证券清算款</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520" w:type="dxa"/>
            <w:vAlign w:val="center"/>
          </w:tcPr>
          <w:p w:rsidR="003663E4" w:rsidRDefault="00FD3F7D">
            <w:pPr>
              <w:spacing w:line="276" w:lineRule="auto"/>
              <w:jc w:val="right"/>
              <w:rPr>
                <w:color w:val="000000"/>
                <w:szCs w:val="21"/>
              </w:rPr>
            </w:pPr>
            <w:r>
              <w:rPr>
                <w:color w:val="000000"/>
                <w:szCs w:val="21"/>
              </w:rPr>
              <w:t>-</w:t>
            </w:r>
          </w:p>
        </w:tc>
        <w:tc>
          <w:tcPr>
            <w:tcW w:w="252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color w:val="000000"/>
                <w:szCs w:val="21"/>
              </w:rPr>
            </w:pPr>
            <w:r>
              <w:rPr>
                <w:color w:val="000000"/>
                <w:szCs w:val="21"/>
              </w:rPr>
              <w:t>应收利息</w:t>
            </w:r>
          </w:p>
        </w:tc>
        <w:tc>
          <w:tcPr>
            <w:tcW w:w="1080" w:type="dxa"/>
            <w:vAlign w:val="center"/>
          </w:tcPr>
          <w:p w:rsidR="003663E4" w:rsidRDefault="00FD3F7D">
            <w:pPr>
              <w:pStyle w:val="af9"/>
              <w:spacing w:line="276" w:lineRule="auto"/>
              <w:jc w:val="center"/>
              <w:rPr>
                <w:rFonts w:ascii="Times New Roman" w:hAnsi="Times New Roman"/>
                <w:color w:val="000000"/>
                <w:sz w:val="21"/>
                <w:szCs w:val="21"/>
              </w:rPr>
            </w:pPr>
            <w:r>
              <w:rPr>
                <w:rFonts w:ascii="Times New Roman" w:hAnsi="Times New Roman"/>
                <w:color w:val="000000"/>
                <w:sz w:val="21"/>
                <w:szCs w:val="21"/>
              </w:rPr>
              <w:t>7.2.4.7.5</w:t>
            </w:r>
          </w:p>
        </w:tc>
        <w:tc>
          <w:tcPr>
            <w:tcW w:w="2520" w:type="dxa"/>
            <w:vAlign w:val="center"/>
          </w:tcPr>
          <w:p w:rsidR="003663E4" w:rsidRDefault="00FD3F7D">
            <w:pPr>
              <w:spacing w:line="276" w:lineRule="auto"/>
              <w:jc w:val="right"/>
              <w:rPr>
                <w:color w:val="000000"/>
                <w:szCs w:val="21"/>
              </w:rPr>
            </w:pPr>
            <w:r>
              <w:rPr>
                <w:color w:val="000000"/>
                <w:szCs w:val="21"/>
              </w:rPr>
              <w:t>5,630,470.47</w:t>
            </w:r>
          </w:p>
        </w:tc>
        <w:tc>
          <w:tcPr>
            <w:tcW w:w="2520" w:type="dxa"/>
            <w:vAlign w:val="center"/>
          </w:tcPr>
          <w:p w:rsidR="003663E4" w:rsidRDefault="00FD3F7D">
            <w:pPr>
              <w:spacing w:line="276" w:lineRule="auto"/>
              <w:jc w:val="right"/>
              <w:rPr>
                <w:color w:val="000000"/>
                <w:szCs w:val="21"/>
              </w:rPr>
            </w:pPr>
            <w:r>
              <w:rPr>
                <w:color w:val="000000"/>
                <w:szCs w:val="21"/>
              </w:rPr>
              <w:t>23,101,962.92</w:t>
            </w:r>
          </w:p>
        </w:tc>
      </w:tr>
      <w:tr w:rsidR="003663E4">
        <w:tc>
          <w:tcPr>
            <w:tcW w:w="2880" w:type="dxa"/>
            <w:vAlign w:val="center"/>
          </w:tcPr>
          <w:p w:rsidR="003663E4" w:rsidRDefault="00FD3F7D">
            <w:pPr>
              <w:spacing w:line="276" w:lineRule="auto"/>
              <w:rPr>
                <w:color w:val="000000"/>
                <w:szCs w:val="21"/>
              </w:rPr>
            </w:pPr>
            <w:r>
              <w:rPr>
                <w:color w:val="000000"/>
                <w:szCs w:val="21"/>
              </w:rPr>
              <w:t>应收股利</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520" w:type="dxa"/>
            <w:vAlign w:val="center"/>
          </w:tcPr>
          <w:p w:rsidR="003663E4" w:rsidRDefault="00FD3F7D">
            <w:pPr>
              <w:spacing w:line="276" w:lineRule="auto"/>
              <w:jc w:val="right"/>
              <w:rPr>
                <w:color w:val="000000"/>
                <w:szCs w:val="21"/>
              </w:rPr>
            </w:pPr>
            <w:r>
              <w:rPr>
                <w:color w:val="000000"/>
                <w:szCs w:val="21"/>
              </w:rPr>
              <w:t>-</w:t>
            </w:r>
          </w:p>
        </w:tc>
        <w:tc>
          <w:tcPr>
            <w:tcW w:w="252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color w:val="000000"/>
                <w:szCs w:val="21"/>
              </w:rPr>
            </w:pPr>
            <w:r>
              <w:rPr>
                <w:color w:val="000000"/>
                <w:szCs w:val="21"/>
              </w:rPr>
              <w:t>应收申购款</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520" w:type="dxa"/>
            <w:vAlign w:val="center"/>
          </w:tcPr>
          <w:p w:rsidR="003663E4" w:rsidRDefault="00FD3F7D">
            <w:pPr>
              <w:spacing w:line="276" w:lineRule="auto"/>
              <w:jc w:val="right"/>
              <w:rPr>
                <w:color w:val="000000"/>
                <w:szCs w:val="21"/>
              </w:rPr>
            </w:pPr>
            <w:r>
              <w:rPr>
                <w:color w:val="000000"/>
                <w:szCs w:val="21"/>
              </w:rPr>
              <w:t>-</w:t>
            </w:r>
          </w:p>
        </w:tc>
        <w:tc>
          <w:tcPr>
            <w:tcW w:w="252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color w:val="000000"/>
                <w:szCs w:val="21"/>
              </w:rPr>
            </w:pPr>
            <w:r>
              <w:rPr>
                <w:color w:val="000000"/>
                <w:szCs w:val="21"/>
              </w:rPr>
              <w:t>递延所得税资产</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520" w:type="dxa"/>
            <w:vAlign w:val="center"/>
          </w:tcPr>
          <w:p w:rsidR="003663E4" w:rsidRDefault="00FD3F7D">
            <w:pPr>
              <w:spacing w:line="276" w:lineRule="auto"/>
              <w:jc w:val="right"/>
              <w:rPr>
                <w:color w:val="000000"/>
                <w:szCs w:val="21"/>
              </w:rPr>
            </w:pPr>
            <w:r>
              <w:rPr>
                <w:color w:val="000000"/>
                <w:szCs w:val="21"/>
              </w:rPr>
              <w:t>-</w:t>
            </w:r>
          </w:p>
        </w:tc>
        <w:tc>
          <w:tcPr>
            <w:tcW w:w="252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color w:val="000000"/>
                <w:szCs w:val="21"/>
              </w:rPr>
            </w:pPr>
            <w:r>
              <w:rPr>
                <w:color w:val="000000"/>
                <w:szCs w:val="21"/>
              </w:rPr>
              <w:t>其他资产</w:t>
            </w:r>
          </w:p>
        </w:tc>
        <w:tc>
          <w:tcPr>
            <w:tcW w:w="1080" w:type="dxa"/>
            <w:vAlign w:val="center"/>
          </w:tcPr>
          <w:p w:rsidR="003663E4" w:rsidRDefault="00FD3F7D">
            <w:pPr>
              <w:pStyle w:val="af9"/>
              <w:spacing w:line="276" w:lineRule="auto"/>
              <w:jc w:val="center"/>
              <w:rPr>
                <w:rFonts w:ascii="Times New Roman" w:hAnsi="Times New Roman"/>
                <w:color w:val="000000"/>
                <w:sz w:val="21"/>
                <w:szCs w:val="21"/>
              </w:rPr>
            </w:pPr>
            <w:r>
              <w:rPr>
                <w:rFonts w:ascii="Times New Roman" w:hAnsi="Times New Roman"/>
                <w:color w:val="000000"/>
                <w:sz w:val="21"/>
                <w:szCs w:val="21"/>
              </w:rPr>
              <w:t>7.2.4.7.6</w:t>
            </w:r>
          </w:p>
        </w:tc>
        <w:tc>
          <w:tcPr>
            <w:tcW w:w="2520" w:type="dxa"/>
            <w:vAlign w:val="center"/>
          </w:tcPr>
          <w:p w:rsidR="003663E4" w:rsidRDefault="00FD3F7D">
            <w:pPr>
              <w:spacing w:line="276" w:lineRule="auto"/>
              <w:jc w:val="right"/>
              <w:rPr>
                <w:color w:val="000000"/>
                <w:szCs w:val="21"/>
              </w:rPr>
            </w:pPr>
            <w:r>
              <w:rPr>
                <w:color w:val="000000"/>
                <w:szCs w:val="21"/>
              </w:rPr>
              <w:t>-</w:t>
            </w:r>
          </w:p>
        </w:tc>
        <w:tc>
          <w:tcPr>
            <w:tcW w:w="252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b/>
                <w:color w:val="000000"/>
                <w:szCs w:val="21"/>
              </w:rPr>
            </w:pPr>
            <w:r>
              <w:rPr>
                <w:b/>
                <w:color w:val="000000"/>
                <w:szCs w:val="21"/>
              </w:rPr>
              <w:t>资产总计</w:t>
            </w:r>
          </w:p>
        </w:tc>
        <w:tc>
          <w:tcPr>
            <w:tcW w:w="1080" w:type="dxa"/>
            <w:vAlign w:val="center"/>
          </w:tcPr>
          <w:p w:rsidR="003663E4" w:rsidRDefault="003663E4">
            <w:pPr>
              <w:pStyle w:val="af9"/>
              <w:spacing w:line="276" w:lineRule="auto"/>
              <w:jc w:val="center"/>
              <w:rPr>
                <w:rFonts w:ascii="Times New Roman" w:hAnsi="Times New Roman"/>
                <w:b/>
                <w:color w:val="000000"/>
                <w:sz w:val="21"/>
                <w:szCs w:val="21"/>
              </w:rPr>
            </w:pPr>
          </w:p>
        </w:tc>
        <w:tc>
          <w:tcPr>
            <w:tcW w:w="2520" w:type="dxa"/>
            <w:vAlign w:val="center"/>
          </w:tcPr>
          <w:p w:rsidR="003663E4" w:rsidRDefault="00FD3F7D">
            <w:pPr>
              <w:spacing w:line="276" w:lineRule="auto"/>
              <w:jc w:val="right"/>
              <w:rPr>
                <w:b/>
                <w:color w:val="000000"/>
                <w:szCs w:val="21"/>
              </w:rPr>
            </w:pPr>
            <w:r>
              <w:rPr>
                <w:b/>
                <w:color w:val="000000"/>
                <w:szCs w:val="21"/>
              </w:rPr>
              <w:t>773,312,296.57</w:t>
            </w:r>
          </w:p>
        </w:tc>
        <w:tc>
          <w:tcPr>
            <w:tcW w:w="2520" w:type="dxa"/>
            <w:vAlign w:val="center"/>
          </w:tcPr>
          <w:p w:rsidR="003663E4" w:rsidRDefault="00FD3F7D">
            <w:pPr>
              <w:spacing w:line="276" w:lineRule="auto"/>
              <w:jc w:val="right"/>
              <w:rPr>
                <w:b/>
                <w:color w:val="000000"/>
                <w:szCs w:val="21"/>
              </w:rPr>
            </w:pPr>
            <w:r>
              <w:rPr>
                <w:b/>
                <w:color w:val="000000"/>
                <w:szCs w:val="21"/>
              </w:rPr>
              <w:t>7,850,556,153.69</w:t>
            </w:r>
          </w:p>
        </w:tc>
      </w:tr>
      <w:tr w:rsidR="003663E4">
        <w:tc>
          <w:tcPr>
            <w:tcW w:w="2880" w:type="dxa"/>
            <w:vAlign w:val="center"/>
          </w:tcPr>
          <w:p w:rsidR="003663E4" w:rsidRDefault="00FD3F7D">
            <w:pPr>
              <w:pStyle w:val="af9"/>
              <w:spacing w:line="276" w:lineRule="auto"/>
              <w:jc w:val="center"/>
              <w:rPr>
                <w:rFonts w:ascii="Times New Roman" w:hAnsi="Times New Roman"/>
                <w:b/>
                <w:color w:val="000000"/>
                <w:sz w:val="21"/>
                <w:szCs w:val="21"/>
              </w:rPr>
            </w:pPr>
            <w:r>
              <w:rPr>
                <w:rFonts w:ascii="Times New Roman" w:hAnsi="Times New Roman"/>
                <w:b/>
                <w:color w:val="000000"/>
                <w:sz w:val="21"/>
                <w:szCs w:val="21"/>
              </w:rPr>
              <w:t>负债和所有者权益</w:t>
            </w:r>
          </w:p>
        </w:tc>
        <w:tc>
          <w:tcPr>
            <w:tcW w:w="1080" w:type="dxa"/>
            <w:vAlign w:val="center"/>
          </w:tcPr>
          <w:p w:rsidR="003663E4" w:rsidRDefault="00FD3F7D">
            <w:pPr>
              <w:pStyle w:val="af9"/>
              <w:spacing w:line="276" w:lineRule="auto"/>
              <w:jc w:val="center"/>
              <w:rPr>
                <w:rFonts w:ascii="Times New Roman" w:hAnsi="Times New Roman"/>
                <w:b/>
                <w:color w:val="000000"/>
                <w:sz w:val="21"/>
                <w:szCs w:val="21"/>
              </w:rPr>
            </w:pPr>
            <w:r>
              <w:rPr>
                <w:rFonts w:ascii="Times New Roman" w:hAnsi="Times New Roman"/>
                <w:b/>
                <w:color w:val="000000"/>
                <w:sz w:val="21"/>
                <w:szCs w:val="21"/>
              </w:rPr>
              <w:t>附注号</w:t>
            </w:r>
          </w:p>
        </w:tc>
        <w:tc>
          <w:tcPr>
            <w:tcW w:w="2520" w:type="dxa"/>
            <w:vAlign w:val="center"/>
          </w:tcPr>
          <w:p w:rsidR="003663E4" w:rsidRDefault="00FD3F7D">
            <w:pPr>
              <w:pStyle w:val="af9"/>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本期末</w:t>
            </w:r>
          </w:p>
          <w:p w:rsidR="003663E4" w:rsidRDefault="00FD3F7D">
            <w:pPr>
              <w:pStyle w:val="af9"/>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kern w:val="2"/>
                <w:sz w:val="21"/>
                <w:szCs w:val="21"/>
              </w:rPr>
              <w:t>2020</w:t>
            </w:r>
            <w:r>
              <w:rPr>
                <w:rFonts w:ascii="Times New Roman" w:hAnsi="Times New Roman"/>
                <w:b/>
                <w:color w:val="000000"/>
                <w:kern w:val="2"/>
                <w:sz w:val="21"/>
                <w:szCs w:val="21"/>
              </w:rPr>
              <w:t>年</w:t>
            </w:r>
            <w:r>
              <w:rPr>
                <w:rFonts w:ascii="Times New Roman" w:hAnsi="Times New Roman"/>
                <w:b/>
                <w:color w:val="000000"/>
                <w:kern w:val="2"/>
                <w:sz w:val="21"/>
                <w:szCs w:val="21"/>
              </w:rPr>
              <w:t>7</w:t>
            </w:r>
            <w:r>
              <w:rPr>
                <w:rFonts w:ascii="Times New Roman" w:hAnsi="Times New Roman"/>
                <w:b/>
                <w:color w:val="000000"/>
                <w:kern w:val="2"/>
                <w:sz w:val="21"/>
                <w:szCs w:val="21"/>
              </w:rPr>
              <w:t>月</w:t>
            </w:r>
            <w:r>
              <w:rPr>
                <w:rFonts w:ascii="Times New Roman" w:hAnsi="Times New Roman"/>
                <w:b/>
                <w:color w:val="000000"/>
                <w:kern w:val="2"/>
                <w:sz w:val="21"/>
                <w:szCs w:val="21"/>
              </w:rPr>
              <w:t>27</w:t>
            </w:r>
            <w:r>
              <w:rPr>
                <w:rFonts w:ascii="Times New Roman" w:hAnsi="Times New Roman"/>
                <w:b/>
                <w:color w:val="000000"/>
                <w:kern w:val="2"/>
                <w:sz w:val="21"/>
                <w:szCs w:val="21"/>
              </w:rPr>
              <w:t>日</w:t>
            </w:r>
          </w:p>
        </w:tc>
        <w:tc>
          <w:tcPr>
            <w:tcW w:w="2520" w:type="dxa"/>
            <w:vAlign w:val="center"/>
          </w:tcPr>
          <w:p w:rsidR="003663E4" w:rsidRDefault="00FD3F7D">
            <w:pPr>
              <w:pStyle w:val="af9"/>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上年度末</w:t>
            </w:r>
          </w:p>
          <w:p w:rsidR="003663E4" w:rsidRDefault="00FD3F7D">
            <w:pPr>
              <w:pStyle w:val="af9"/>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2019</w:t>
            </w:r>
            <w:r>
              <w:rPr>
                <w:rFonts w:ascii="Times New Roman" w:hAnsi="Times New Roman"/>
                <w:b/>
                <w:color w:val="000000"/>
                <w:sz w:val="21"/>
                <w:szCs w:val="21"/>
              </w:rPr>
              <w:t>年</w:t>
            </w:r>
            <w:r>
              <w:rPr>
                <w:rFonts w:ascii="Times New Roman" w:hAnsi="Times New Roman"/>
                <w:b/>
                <w:color w:val="000000"/>
                <w:sz w:val="21"/>
                <w:szCs w:val="21"/>
              </w:rPr>
              <w:t>12</w:t>
            </w:r>
            <w:r>
              <w:rPr>
                <w:rFonts w:ascii="Times New Roman" w:hAnsi="Times New Roman"/>
                <w:b/>
                <w:color w:val="000000"/>
                <w:sz w:val="21"/>
                <w:szCs w:val="21"/>
              </w:rPr>
              <w:t>月</w:t>
            </w:r>
            <w:r>
              <w:rPr>
                <w:rFonts w:ascii="Times New Roman" w:hAnsi="Times New Roman"/>
                <w:b/>
                <w:color w:val="000000"/>
                <w:sz w:val="21"/>
                <w:szCs w:val="21"/>
              </w:rPr>
              <w:t>31</w:t>
            </w:r>
            <w:r>
              <w:rPr>
                <w:rFonts w:ascii="Times New Roman" w:hAnsi="Times New Roman"/>
                <w:b/>
                <w:color w:val="000000"/>
                <w:sz w:val="21"/>
                <w:szCs w:val="21"/>
              </w:rPr>
              <w:t>日</w:t>
            </w:r>
          </w:p>
        </w:tc>
      </w:tr>
      <w:tr w:rsidR="003663E4">
        <w:tc>
          <w:tcPr>
            <w:tcW w:w="2880" w:type="dxa"/>
            <w:vAlign w:val="center"/>
          </w:tcPr>
          <w:p w:rsidR="003663E4" w:rsidRDefault="00FD3F7D">
            <w:pPr>
              <w:spacing w:line="276" w:lineRule="auto"/>
              <w:rPr>
                <w:color w:val="000000"/>
                <w:szCs w:val="21"/>
              </w:rPr>
            </w:pPr>
            <w:r>
              <w:rPr>
                <w:color w:val="000000"/>
                <w:szCs w:val="21"/>
              </w:rPr>
              <w:t>负</w:t>
            </w:r>
            <w:r>
              <w:rPr>
                <w:color w:val="000000"/>
                <w:szCs w:val="21"/>
              </w:rPr>
              <w:t xml:space="preserve"> </w:t>
            </w:r>
            <w:r>
              <w:rPr>
                <w:color w:val="000000"/>
                <w:szCs w:val="21"/>
              </w:rPr>
              <w:t>债：</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520" w:type="dxa"/>
            <w:vAlign w:val="center"/>
          </w:tcPr>
          <w:p w:rsidR="003663E4" w:rsidRDefault="003663E4">
            <w:pPr>
              <w:spacing w:line="276" w:lineRule="auto"/>
              <w:jc w:val="right"/>
              <w:rPr>
                <w:color w:val="000000"/>
                <w:szCs w:val="21"/>
              </w:rPr>
            </w:pPr>
          </w:p>
        </w:tc>
        <w:tc>
          <w:tcPr>
            <w:tcW w:w="2520" w:type="dxa"/>
            <w:vAlign w:val="center"/>
          </w:tcPr>
          <w:p w:rsidR="003663E4" w:rsidRDefault="003663E4">
            <w:pPr>
              <w:spacing w:line="276" w:lineRule="auto"/>
              <w:jc w:val="right"/>
              <w:rPr>
                <w:color w:val="000000"/>
                <w:szCs w:val="21"/>
              </w:rPr>
            </w:pPr>
          </w:p>
        </w:tc>
      </w:tr>
      <w:tr w:rsidR="003663E4">
        <w:tc>
          <w:tcPr>
            <w:tcW w:w="2880" w:type="dxa"/>
            <w:vAlign w:val="center"/>
          </w:tcPr>
          <w:p w:rsidR="003663E4" w:rsidRDefault="00FD3F7D">
            <w:pPr>
              <w:spacing w:line="276" w:lineRule="auto"/>
              <w:rPr>
                <w:color w:val="000000"/>
                <w:szCs w:val="21"/>
              </w:rPr>
            </w:pPr>
            <w:r>
              <w:rPr>
                <w:color w:val="000000"/>
                <w:szCs w:val="21"/>
              </w:rPr>
              <w:t>短期借款</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520" w:type="dxa"/>
            <w:vAlign w:val="center"/>
          </w:tcPr>
          <w:p w:rsidR="003663E4" w:rsidRDefault="00FD3F7D">
            <w:pPr>
              <w:spacing w:line="276" w:lineRule="auto"/>
              <w:jc w:val="right"/>
              <w:rPr>
                <w:color w:val="000000"/>
                <w:szCs w:val="21"/>
              </w:rPr>
            </w:pPr>
            <w:r>
              <w:rPr>
                <w:color w:val="000000"/>
                <w:szCs w:val="21"/>
              </w:rPr>
              <w:t>-</w:t>
            </w:r>
          </w:p>
        </w:tc>
        <w:tc>
          <w:tcPr>
            <w:tcW w:w="252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color w:val="000000"/>
                <w:szCs w:val="21"/>
              </w:rPr>
            </w:pPr>
            <w:r>
              <w:rPr>
                <w:color w:val="000000"/>
                <w:szCs w:val="21"/>
              </w:rPr>
              <w:t>交易性金融负债</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520" w:type="dxa"/>
            <w:vAlign w:val="center"/>
          </w:tcPr>
          <w:p w:rsidR="003663E4" w:rsidRDefault="00FD3F7D">
            <w:pPr>
              <w:spacing w:line="276" w:lineRule="auto"/>
              <w:jc w:val="right"/>
              <w:rPr>
                <w:color w:val="000000"/>
                <w:szCs w:val="21"/>
              </w:rPr>
            </w:pPr>
            <w:r>
              <w:rPr>
                <w:color w:val="000000"/>
                <w:szCs w:val="21"/>
              </w:rPr>
              <w:t>-</w:t>
            </w:r>
          </w:p>
        </w:tc>
        <w:tc>
          <w:tcPr>
            <w:tcW w:w="252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color w:val="000000"/>
                <w:szCs w:val="21"/>
              </w:rPr>
            </w:pPr>
            <w:r>
              <w:rPr>
                <w:color w:val="000000"/>
                <w:szCs w:val="21"/>
              </w:rPr>
              <w:t>衍生金融负债</w:t>
            </w:r>
          </w:p>
        </w:tc>
        <w:tc>
          <w:tcPr>
            <w:tcW w:w="1080" w:type="dxa"/>
            <w:vAlign w:val="center"/>
          </w:tcPr>
          <w:p w:rsidR="003663E4" w:rsidRDefault="00FD3F7D">
            <w:pPr>
              <w:pStyle w:val="af9"/>
              <w:spacing w:line="276" w:lineRule="auto"/>
              <w:jc w:val="center"/>
              <w:rPr>
                <w:rFonts w:ascii="Times New Roman" w:hAnsi="Times New Roman"/>
                <w:color w:val="000000"/>
                <w:sz w:val="21"/>
                <w:szCs w:val="21"/>
              </w:rPr>
            </w:pPr>
            <w:r>
              <w:rPr>
                <w:rFonts w:ascii="Times New Roman" w:hAnsi="Times New Roman"/>
                <w:color w:val="000000"/>
                <w:sz w:val="21"/>
                <w:szCs w:val="21"/>
              </w:rPr>
              <w:t>7.2.4.7.3</w:t>
            </w:r>
          </w:p>
        </w:tc>
        <w:tc>
          <w:tcPr>
            <w:tcW w:w="2520" w:type="dxa"/>
            <w:vAlign w:val="center"/>
          </w:tcPr>
          <w:p w:rsidR="003663E4" w:rsidRDefault="00FD3F7D">
            <w:pPr>
              <w:spacing w:line="276" w:lineRule="auto"/>
              <w:jc w:val="right"/>
              <w:rPr>
                <w:color w:val="000000"/>
                <w:szCs w:val="21"/>
              </w:rPr>
            </w:pPr>
            <w:r>
              <w:rPr>
                <w:color w:val="000000"/>
                <w:szCs w:val="21"/>
              </w:rPr>
              <w:t>-</w:t>
            </w:r>
          </w:p>
        </w:tc>
        <w:tc>
          <w:tcPr>
            <w:tcW w:w="252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color w:val="000000"/>
                <w:szCs w:val="21"/>
              </w:rPr>
            </w:pPr>
            <w:r>
              <w:rPr>
                <w:color w:val="000000"/>
                <w:szCs w:val="21"/>
              </w:rPr>
              <w:t>卖出回购金融资产款</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520" w:type="dxa"/>
            <w:vAlign w:val="center"/>
          </w:tcPr>
          <w:p w:rsidR="003663E4" w:rsidRDefault="00FD3F7D">
            <w:pPr>
              <w:spacing w:line="276" w:lineRule="auto"/>
              <w:jc w:val="right"/>
              <w:rPr>
                <w:color w:val="000000"/>
                <w:szCs w:val="21"/>
              </w:rPr>
            </w:pPr>
            <w:r>
              <w:rPr>
                <w:color w:val="000000"/>
                <w:szCs w:val="21"/>
              </w:rPr>
              <w:t>-</w:t>
            </w:r>
          </w:p>
        </w:tc>
        <w:tc>
          <w:tcPr>
            <w:tcW w:w="2520" w:type="dxa"/>
            <w:vAlign w:val="center"/>
          </w:tcPr>
          <w:p w:rsidR="003663E4" w:rsidRDefault="00FD3F7D">
            <w:pPr>
              <w:spacing w:line="276" w:lineRule="auto"/>
              <w:jc w:val="right"/>
              <w:rPr>
                <w:color w:val="000000"/>
                <w:szCs w:val="21"/>
              </w:rPr>
            </w:pPr>
            <w:r>
              <w:rPr>
                <w:color w:val="000000"/>
                <w:szCs w:val="21"/>
              </w:rPr>
              <w:t>728,114,015.90</w:t>
            </w:r>
          </w:p>
        </w:tc>
      </w:tr>
      <w:tr w:rsidR="003663E4">
        <w:tc>
          <w:tcPr>
            <w:tcW w:w="2880" w:type="dxa"/>
            <w:vAlign w:val="center"/>
          </w:tcPr>
          <w:p w:rsidR="003663E4" w:rsidRDefault="00FD3F7D">
            <w:pPr>
              <w:spacing w:line="276" w:lineRule="auto"/>
              <w:rPr>
                <w:color w:val="000000"/>
                <w:szCs w:val="21"/>
              </w:rPr>
            </w:pPr>
            <w:r>
              <w:rPr>
                <w:color w:val="000000"/>
                <w:szCs w:val="21"/>
              </w:rPr>
              <w:t>应付证券清算款</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520" w:type="dxa"/>
            <w:vAlign w:val="center"/>
          </w:tcPr>
          <w:p w:rsidR="003663E4" w:rsidRDefault="00FD3F7D">
            <w:pPr>
              <w:spacing w:line="276" w:lineRule="auto"/>
              <w:jc w:val="right"/>
              <w:rPr>
                <w:color w:val="000000"/>
                <w:szCs w:val="21"/>
              </w:rPr>
            </w:pPr>
            <w:r>
              <w:rPr>
                <w:color w:val="000000"/>
                <w:szCs w:val="21"/>
              </w:rPr>
              <w:t>1,998,309.31</w:t>
            </w:r>
          </w:p>
        </w:tc>
        <w:tc>
          <w:tcPr>
            <w:tcW w:w="252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color w:val="000000"/>
                <w:szCs w:val="21"/>
              </w:rPr>
            </w:pPr>
            <w:r>
              <w:rPr>
                <w:color w:val="000000"/>
                <w:szCs w:val="21"/>
              </w:rPr>
              <w:t>应付赎回款</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520" w:type="dxa"/>
            <w:vAlign w:val="center"/>
          </w:tcPr>
          <w:p w:rsidR="003663E4" w:rsidRDefault="00FD3F7D">
            <w:pPr>
              <w:spacing w:line="276" w:lineRule="auto"/>
              <w:jc w:val="right"/>
              <w:rPr>
                <w:color w:val="000000"/>
                <w:szCs w:val="21"/>
              </w:rPr>
            </w:pPr>
            <w:r>
              <w:rPr>
                <w:color w:val="000000"/>
                <w:szCs w:val="21"/>
              </w:rPr>
              <w:t>-</w:t>
            </w:r>
          </w:p>
        </w:tc>
        <w:tc>
          <w:tcPr>
            <w:tcW w:w="252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color w:val="000000"/>
                <w:szCs w:val="21"/>
              </w:rPr>
            </w:pPr>
            <w:r>
              <w:rPr>
                <w:color w:val="000000"/>
                <w:szCs w:val="21"/>
              </w:rPr>
              <w:t>应付管理人报酬</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520" w:type="dxa"/>
            <w:vAlign w:val="center"/>
          </w:tcPr>
          <w:p w:rsidR="003663E4" w:rsidRDefault="00FD3F7D">
            <w:pPr>
              <w:spacing w:line="276" w:lineRule="auto"/>
              <w:jc w:val="right"/>
              <w:rPr>
                <w:color w:val="000000"/>
                <w:szCs w:val="21"/>
              </w:rPr>
            </w:pPr>
            <w:r>
              <w:rPr>
                <w:color w:val="000000"/>
                <w:szCs w:val="21"/>
              </w:rPr>
              <w:t>640,756.52</w:t>
            </w:r>
          </w:p>
        </w:tc>
        <w:tc>
          <w:tcPr>
            <w:tcW w:w="2520" w:type="dxa"/>
            <w:vAlign w:val="center"/>
          </w:tcPr>
          <w:p w:rsidR="003663E4" w:rsidRDefault="00FD3F7D">
            <w:pPr>
              <w:spacing w:line="276" w:lineRule="auto"/>
              <w:jc w:val="right"/>
              <w:rPr>
                <w:color w:val="000000"/>
                <w:szCs w:val="21"/>
              </w:rPr>
            </w:pPr>
            <w:r>
              <w:rPr>
                <w:color w:val="000000"/>
                <w:szCs w:val="21"/>
              </w:rPr>
              <w:t>1,301,984.06</w:t>
            </w:r>
          </w:p>
        </w:tc>
      </w:tr>
      <w:tr w:rsidR="003663E4">
        <w:tc>
          <w:tcPr>
            <w:tcW w:w="2880" w:type="dxa"/>
            <w:vAlign w:val="center"/>
          </w:tcPr>
          <w:p w:rsidR="003663E4" w:rsidRDefault="00FD3F7D">
            <w:pPr>
              <w:spacing w:line="276" w:lineRule="auto"/>
              <w:rPr>
                <w:color w:val="000000"/>
                <w:szCs w:val="21"/>
              </w:rPr>
            </w:pPr>
            <w:r>
              <w:rPr>
                <w:color w:val="000000"/>
                <w:szCs w:val="21"/>
              </w:rPr>
              <w:t>应付托管费</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520" w:type="dxa"/>
            <w:vAlign w:val="center"/>
          </w:tcPr>
          <w:p w:rsidR="003663E4" w:rsidRDefault="00FD3F7D">
            <w:pPr>
              <w:spacing w:line="276" w:lineRule="auto"/>
              <w:jc w:val="right"/>
              <w:rPr>
                <w:color w:val="000000"/>
                <w:szCs w:val="21"/>
              </w:rPr>
            </w:pPr>
            <w:r>
              <w:rPr>
                <w:color w:val="000000"/>
                <w:szCs w:val="21"/>
              </w:rPr>
              <w:t>256,302.60</w:t>
            </w:r>
          </w:p>
        </w:tc>
        <w:tc>
          <w:tcPr>
            <w:tcW w:w="2520" w:type="dxa"/>
            <w:vAlign w:val="center"/>
          </w:tcPr>
          <w:p w:rsidR="003663E4" w:rsidRDefault="00FD3F7D">
            <w:pPr>
              <w:spacing w:line="276" w:lineRule="auto"/>
              <w:jc w:val="right"/>
              <w:rPr>
                <w:color w:val="000000"/>
                <w:szCs w:val="21"/>
              </w:rPr>
            </w:pPr>
            <w:r>
              <w:rPr>
                <w:color w:val="000000"/>
                <w:szCs w:val="21"/>
              </w:rPr>
              <w:t>520,793.67</w:t>
            </w:r>
          </w:p>
        </w:tc>
      </w:tr>
      <w:tr w:rsidR="003663E4">
        <w:tc>
          <w:tcPr>
            <w:tcW w:w="2880" w:type="dxa"/>
            <w:vAlign w:val="center"/>
          </w:tcPr>
          <w:p w:rsidR="003663E4" w:rsidRDefault="00FD3F7D">
            <w:pPr>
              <w:spacing w:line="276" w:lineRule="auto"/>
              <w:rPr>
                <w:color w:val="000000"/>
                <w:szCs w:val="21"/>
              </w:rPr>
            </w:pPr>
            <w:r>
              <w:rPr>
                <w:color w:val="000000"/>
                <w:szCs w:val="21"/>
              </w:rPr>
              <w:t>应付销售服务费</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520" w:type="dxa"/>
            <w:vAlign w:val="center"/>
          </w:tcPr>
          <w:p w:rsidR="003663E4" w:rsidRDefault="00FD3F7D">
            <w:pPr>
              <w:spacing w:line="276" w:lineRule="auto"/>
              <w:jc w:val="right"/>
              <w:rPr>
                <w:color w:val="000000"/>
                <w:szCs w:val="21"/>
              </w:rPr>
            </w:pPr>
            <w:r>
              <w:rPr>
                <w:color w:val="000000"/>
                <w:szCs w:val="21"/>
              </w:rPr>
              <w:t>32,784.66</w:t>
            </w:r>
          </w:p>
        </w:tc>
        <w:tc>
          <w:tcPr>
            <w:tcW w:w="2520" w:type="dxa"/>
            <w:vAlign w:val="center"/>
          </w:tcPr>
          <w:p w:rsidR="003663E4" w:rsidRDefault="00FD3F7D">
            <w:pPr>
              <w:spacing w:line="276" w:lineRule="auto"/>
              <w:jc w:val="right"/>
              <w:rPr>
                <w:color w:val="000000"/>
                <w:szCs w:val="21"/>
              </w:rPr>
            </w:pPr>
            <w:r>
              <w:rPr>
                <w:color w:val="000000"/>
                <w:szCs w:val="21"/>
              </w:rPr>
              <w:t>66,665.01</w:t>
            </w:r>
          </w:p>
        </w:tc>
      </w:tr>
      <w:tr w:rsidR="003663E4">
        <w:tc>
          <w:tcPr>
            <w:tcW w:w="2880" w:type="dxa"/>
            <w:vAlign w:val="center"/>
          </w:tcPr>
          <w:p w:rsidR="003663E4" w:rsidRDefault="00FD3F7D">
            <w:pPr>
              <w:spacing w:line="276" w:lineRule="auto"/>
              <w:rPr>
                <w:color w:val="000000"/>
                <w:szCs w:val="21"/>
              </w:rPr>
            </w:pPr>
            <w:r>
              <w:rPr>
                <w:color w:val="000000"/>
                <w:szCs w:val="21"/>
              </w:rPr>
              <w:t>应付交易费用</w:t>
            </w:r>
          </w:p>
        </w:tc>
        <w:tc>
          <w:tcPr>
            <w:tcW w:w="1080" w:type="dxa"/>
            <w:vAlign w:val="center"/>
          </w:tcPr>
          <w:p w:rsidR="003663E4" w:rsidRDefault="00FD3F7D">
            <w:pPr>
              <w:pStyle w:val="af9"/>
              <w:spacing w:line="276" w:lineRule="auto"/>
              <w:jc w:val="center"/>
              <w:rPr>
                <w:rFonts w:ascii="Times New Roman" w:hAnsi="Times New Roman"/>
                <w:color w:val="000000"/>
                <w:sz w:val="21"/>
                <w:szCs w:val="21"/>
              </w:rPr>
            </w:pPr>
            <w:r>
              <w:rPr>
                <w:rFonts w:ascii="Times New Roman" w:hAnsi="Times New Roman"/>
                <w:color w:val="000000"/>
                <w:sz w:val="21"/>
                <w:szCs w:val="21"/>
              </w:rPr>
              <w:t>7.2.4.7.7</w:t>
            </w:r>
          </w:p>
        </w:tc>
        <w:tc>
          <w:tcPr>
            <w:tcW w:w="2520" w:type="dxa"/>
            <w:vAlign w:val="center"/>
          </w:tcPr>
          <w:p w:rsidR="003663E4" w:rsidRDefault="00FD3F7D">
            <w:pPr>
              <w:spacing w:line="276" w:lineRule="auto"/>
              <w:jc w:val="right"/>
              <w:rPr>
                <w:color w:val="000000"/>
                <w:szCs w:val="21"/>
              </w:rPr>
            </w:pPr>
            <w:r>
              <w:rPr>
                <w:color w:val="000000"/>
                <w:szCs w:val="21"/>
              </w:rPr>
              <w:t>35,911.43</w:t>
            </w:r>
          </w:p>
        </w:tc>
        <w:tc>
          <w:tcPr>
            <w:tcW w:w="2520" w:type="dxa"/>
            <w:vAlign w:val="center"/>
          </w:tcPr>
          <w:p w:rsidR="003663E4" w:rsidRDefault="00FD3F7D">
            <w:pPr>
              <w:spacing w:line="276" w:lineRule="auto"/>
              <w:jc w:val="right"/>
              <w:rPr>
                <w:color w:val="000000"/>
                <w:szCs w:val="21"/>
              </w:rPr>
            </w:pPr>
            <w:r>
              <w:rPr>
                <w:color w:val="000000"/>
                <w:szCs w:val="21"/>
              </w:rPr>
              <w:t>73,515.26</w:t>
            </w:r>
          </w:p>
        </w:tc>
      </w:tr>
      <w:tr w:rsidR="003663E4">
        <w:tc>
          <w:tcPr>
            <w:tcW w:w="2880" w:type="dxa"/>
            <w:vAlign w:val="center"/>
          </w:tcPr>
          <w:p w:rsidR="003663E4" w:rsidRDefault="00FD3F7D">
            <w:pPr>
              <w:spacing w:line="276" w:lineRule="auto"/>
              <w:rPr>
                <w:color w:val="000000"/>
                <w:szCs w:val="21"/>
              </w:rPr>
            </w:pPr>
            <w:r>
              <w:rPr>
                <w:color w:val="000000"/>
                <w:szCs w:val="21"/>
              </w:rPr>
              <w:t>应交税费</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520" w:type="dxa"/>
            <w:vAlign w:val="center"/>
          </w:tcPr>
          <w:p w:rsidR="003663E4" w:rsidRDefault="00FD3F7D">
            <w:pPr>
              <w:spacing w:line="276" w:lineRule="auto"/>
              <w:jc w:val="right"/>
              <w:rPr>
                <w:color w:val="000000"/>
                <w:szCs w:val="21"/>
              </w:rPr>
            </w:pPr>
            <w:r>
              <w:rPr>
                <w:color w:val="000000"/>
                <w:szCs w:val="21"/>
              </w:rPr>
              <w:t>123,692.79</w:t>
            </w:r>
          </w:p>
        </w:tc>
        <w:tc>
          <w:tcPr>
            <w:tcW w:w="2520" w:type="dxa"/>
            <w:vAlign w:val="center"/>
          </w:tcPr>
          <w:p w:rsidR="003663E4" w:rsidRDefault="00FD3F7D">
            <w:pPr>
              <w:spacing w:line="276" w:lineRule="auto"/>
              <w:jc w:val="right"/>
              <w:rPr>
                <w:color w:val="000000"/>
                <w:szCs w:val="21"/>
              </w:rPr>
            </w:pPr>
            <w:r>
              <w:rPr>
                <w:color w:val="000000"/>
                <w:szCs w:val="21"/>
              </w:rPr>
              <w:t>113,302.57</w:t>
            </w:r>
          </w:p>
        </w:tc>
      </w:tr>
      <w:tr w:rsidR="003663E4">
        <w:tc>
          <w:tcPr>
            <w:tcW w:w="2880" w:type="dxa"/>
            <w:vAlign w:val="center"/>
          </w:tcPr>
          <w:p w:rsidR="003663E4" w:rsidRDefault="00FD3F7D">
            <w:pPr>
              <w:spacing w:line="276" w:lineRule="auto"/>
              <w:rPr>
                <w:color w:val="000000"/>
                <w:szCs w:val="21"/>
              </w:rPr>
            </w:pPr>
            <w:r>
              <w:rPr>
                <w:color w:val="000000"/>
                <w:szCs w:val="21"/>
              </w:rPr>
              <w:t>应付利息</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520" w:type="dxa"/>
            <w:vAlign w:val="center"/>
          </w:tcPr>
          <w:p w:rsidR="003663E4" w:rsidRDefault="00FD3F7D">
            <w:pPr>
              <w:spacing w:line="276" w:lineRule="auto"/>
              <w:jc w:val="right"/>
              <w:rPr>
                <w:color w:val="000000"/>
                <w:szCs w:val="21"/>
              </w:rPr>
            </w:pPr>
            <w:r>
              <w:rPr>
                <w:color w:val="000000"/>
                <w:szCs w:val="21"/>
              </w:rPr>
              <w:t>-</w:t>
            </w:r>
          </w:p>
        </w:tc>
        <w:tc>
          <w:tcPr>
            <w:tcW w:w="2520" w:type="dxa"/>
            <w:vAlign w:val="center"/>
          </w:tcPr>
          <w:p w:rsidR="003663E4" w:rsidRDefault="00FD3F7D">
            <w:pPr>
              <w:spacing w:line="276" w:lineRule="auto"/>
              <w:jc w:val="right"/>
              <w:rPr>
                <w:color w:val="000000"/>
                <w:szCs w:val="21"/>
              </w:rPr>
            </w:pPr>
            <w:r>
              <w:rPr>
                <w:color w:val="000000"/>
                <w:szCs w:val="21"/>
              </w:rPr>
              <w:t>57,114.01</w:t>
            </w:r>
          </w:p>
        </w:tc>
      </w:tr>
      <w:tr w:rsidR="003663E4">
        <w:tc>
          <w:tcPr>
            <w:tcW w:w="2880" w:type="dxa"/>
            <w:vAlign w:val="center"/>
          </w:tcPr>
          <w:p w:rsidR="003663E4" w:rsidRDefault="00FD3F7D">
            <w:pPr>
              <w:spacing w:line="276" w:lineRule="auto"/>
              <w:rPr>
                <w:color w:val="000000"/>
                <w:szCs w:val="21"/>
              </w:rPr>
            </w:pPr>
            <w:r>
              <w:rPr>
                <w:color w:val="000000"/>
                <w:szCs w:val="21"/>
              </w:rPr>
              <w:t>应付利润</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520" w:type="dxa"/>
            <w:vAlign w:val="center"/>
          </w:tcPr>
          <w:p w:rsidR="003663E4" w:rsidRDefault="00FD3F7D">
            <w:pPr>
              <w:spacing w:line="276" w:lineRule="auto"/>
              <w:jc w:val="right"/>
              <w:rPr>
                <w:color w:val="000000"/>
                <w:szCs w:val="21"/>
              </w:rPr>
            </w:pPr>
            <w:r>
              <w:rPr>
                <w:color w:val="000000"/>
                <w:szCs w:val="21"/>
              </w:rPr>
              <w:t>25,759.68</w:t>
            </w:r>
          </w:p>
        </w:tc>
        <w:tc>
          <w:tcPr>
            <w:tcW w:w="2520" w:type="dxa"/>
            <w:vAlign w:val="center"/>
          </w:tcPr>
          <w:p w:rsidR="003663E4" w:rsidRDefault="00FD3F7D">
            <w:pPr>
              <w:spacing w:line="276" w:lineRule="auto"/>
              <w:jc w:val="right"/>
              <w:rPr>
                <w:color w:val="000000"/>
                <w:szCs w:val="21"/>
              </w:rPr>
            </w:pPr>
            <w:r>
              <w:rPr>
                <w:color w:val="000000"/>
                <w:szCs w:val="21"/>
              </w:rPr>
              <w:t>24,919,789.49</w:t>
            </w:r>
          </w:p>
        </w:tc>
      </w:tr>
      <w:tr w:rsidR="003663E4">
        <w:tc>
          <w:tcPr>
            <w:tcW w:w="2880" w:type="dxa"/>
            <w:vAlign w:val="center"/>
          </w:tcPr>
          <w:p w:rsidR="003663E4" w:rsidRDefault="00FD3F7D">
            <w:pPr>
              <w:spacing w:line="276" w:lineRule="auto"/>
              <w:rPr>
                <w:color w:val="000000"/>
                <w:szCs w:val="21"/>
              </w:rPr>
            </w:pPr>
            <w:r>
              <w:rPr>
                <w:color w:val="000000"/>
                <w:szCs w:val="21"/>
              </w:rPr>
              <w:t>递延所得税负债</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520" w:type="dxa"/>
            <w:vAlign w:val="center"/>
          </w:tcPr>
          <w:p w:rsidR="003663E4" w:rsidRDefault="00FD3F7D">
            <w:pPr>
              <w:spacing w:line="276" w:lineRule="auto"/>
              <w:jc w:val="right"/>
              <w:rPr>
                <w:color w:val="000000"/>
                <w:szCs w:val="21"/>
              </w:rPr>
            </w:pPr>
            <w:r>
              <w:rPr>
                <w:color w:val="000000"/>
                <w:szCs w:val="21"/>
              </w:rPr>
              <w:t>-</w:t>
            </w:r>
          </w:p>
        </w:tc>
        <w:tc>
          <w:tcPr>
            <w:tcW w:w="252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color w:val="000000"/>
                <w:szCs w:val="21"/>
              </w:rPr>
            </w:pPr>
            <w:r>
              <w:rPr>
                <w:color w:val="000000"/>
                <w:szCs w:val="21"/>
              </w:rPr>
              <w:t>其他负债</w:t>
            </w:r>
          </w:p>
        </w:tc>
        <w:tc>
          <w:tcPr>
            <w:tcW w:w="1080" w:type="dxa"/>
            <w:vAlign w:val="center"/>
          </w:tcPr>
          <w:p w:rsidR="003663E4" w:rsidRDefault="00FD3F7D">
            <w:pPr>
              <w:pStyle w:val="af9"/>
              <w:spacing w:line="276" w:lineRule="auto"/>
              <w:jc w:val="center"/>
              <w:rPr>
                <w:rFonts w:ascii="Times New Roman" w:hAnsi="Times New Roman"/>
                <w:color w:val="000000"/>
                <w:sz w:val="21"/>
                <w:szCs w:val="21"/>
              </w:rPr>
            </w:pPr>
            <w:r>
              <w:rPr>
                <w:rFonts w:ascii="Times New Roman" w:hAnsi="Times New Roman"/>
                <w:color w:val="000000"/>
                <w:sz w:val="21"/>
                <w:szCs w:val="21"/>
              </w:rPr>
              <w:t>7.2.4.7.8</w:t>
            </w:r>
          </w:p>
        </w:tc>
        <w:tc>
          <w:tcPr>
            <w:tcW w:w="2520" w:type="dxa"/>
            <w:vAlign w:val="center"/>
          </w:tcPr>
          <w:p w:rsidR="003663E4" w:rsidRDefault="00FD3F7D">
            <w:pPr>
              <w:spacing w:line="276" w:lineRule="auto"/>
              <w:jc w:val="right"/>
              <w:rPr>
                <w:color w:val="000000"/>
                <w:szCs w:val="21"/>
              </w:rPr>
            </w:pPr>
            <w:r>
              <w:rPr>
                <w:color w:val="000000"/>
                <w:szCs w:val="21"/>
              </w:rPr>
              <w:t>139,778.82</w:t>
            </w:r>
          </w:p>
        </w:tc>
        <w:tc>
          <w:tcPr>
            <w:tcW w:w="2520" w:type="dxa"/>
            <w:vAlign w:val="center"/>
          </w:tcPr>
          <w:p w:rsidR="003663E4" w:rsidRDefault="00FD3F7D">
            <w:pPr>
              <w:spacing w:line="276" w:lineRule="auto"/>
              <w:jc w:val="right"/>
              <w:rPr>
                <w:color w:val="000000"/>
                <w:szCs w:val="21"/>
              </w:rPr>
            </w:pPr>
            <w:r>
              <w:rPr>
                <w:color w:val="000000"/>
                <w:szCs w:val="21"/>
              </w:rPr>
              <w:t>259,300.00</w:t>
            </w:r>
          </w:p>
        </w:tc>
      </w:tr>
      <w:tr w:rsidR="003663E4">
        <w:tc>
          <w:tcPr>
            <w:tcW w:w="2880" w:type="dxa"/>
            <w:vAlign w:val="center"/>
          </w:tcPr>
          <w:p w:rsidR="003663E4" w:rsidRDefault="00FD3F7D">
            <w:pPr>
              <w:pStyle w:val="af9"/>
              <w:spacing w:line="276" w:lineRule="auto"/>
              <w:jc w:val="both"/>
              <w:rPr>
                <w:rFonts w:ascii="Times New Roman" w:hAnsi="Times New Roman"/>
                <w:b/>
                <w:color w:val="000000"/>
                <w:sz w:val="21"/>
                <w:szCs w:val="21"/>
              </w:rPr>
            </w:pPr>
            <w:r>
              <w:rPr>
                <w:rFonts w:ascii="Times New Roman" w:hAnsi="Times New Roman"/>
                <w:b/>
                <w:color w:val="000000"/>
                <w:sz w:val="21"/>
                <w:szCs w:val="21"/>
              </w:rPr>
              <w:t>负债合计</w:t>
            </w:r>
          </w:p>
        </w:tc>
        <w:tc>
          <w:tcPr>
            <w:tcW w:w="1080" w:type="dxa"/>
            <w:vAlign w:val="center"/>
          </w:tcPr>
          <w:p w:rsidR="003663E4" w:rsidRDefault="003663E4">
            <w:pPr>
              <w:pStyle w:val="af9"/>
              <w:spacing w:line="276" w:lineRule="auto"/>
              <w:jc w:val="center"/>
              <w:rPr>
                <w:rFonts w:ascii="Times New Roman" w:hAnsi="Times New Roman"/>
                <w:b/>
                <w:color w:val="000000"/>
                <w:sz w:val="21"/>
                <w:szCs w:val="21"/>
              </w:rPr>
            </w:pPr>
          </w:p>
        </w:tc>
        <w:tc>
          <w:tcPr>
            <w:tcW w:w="2520" w:type="dxa"/>
            <w:vAlign w:val="center"/>
          </w:tcPr>
          <w:p w:rsidR="003663E4" w:rsidRDefault="00FD3F7D">
            <w:pPr>
              <w:spacing w:line="276" w:lineRule="auto"/>
              <w:jc w:val="right"/>
              <w:rPr>
                <w:b/>
                <w:color w:val="000000"/>
                <w:szCs w:val="21"/>
              </w:rPr>
            </w:pPr>
            <w:r>
              <w:rPr>
                <w:b/>
                <w:color w:val="000000"/>
                <w:szCs w:val="21"/>
              </w:rPr>
              <w:t>3,253,295.81</w:t>
            </w:r>
          </w:p>
        </w:tc>
        <w:tc>
          <w:tcPr>
            <w:tcW w:w="2520" w:type="dxa"/>
            <w:vAlign w:val="center"/>
          </w:tcPr>
          <w:p w:rsidR="003663E4" w:rsidRDefault="00FD3F7D">
            <w:pPr>
              <w:spacing w:line="276" w:lineRule="auto"/>
              <w:jc w:val="right"/>
              <w:rPr>
                <w:b/>
                <w:color w:val="000000"/>
                <w:szCs w:val="21"/>
              </w:rPr>
            </w:pPr>
            <w:r>
              <w:rPr>
                <w:b/>
                <w:color w:val="000000"/>
                <w:szCs w:val="21"/>
              </w:rPr>
              <w:t>755,426,479.97</w:t>
            </w:r>
          </w:p>
        </w:tc>
      </w:tr>
      <w:tr w:rsidR="003663E4">
        <w:tc>
          <w:tcPr>
            <w:tcW w:w="2880" w:type="dxa"/>
            <w:vAlign w:val="center"/>
          </w:tcPr>
          <w:p w:rsidR="003663E4" w:rsidRDefault="00FD3F7D">
            <w:pPr>
              <w:spacing w:line="276" w:lineRule="auto"/>
              <w:rPr>
                <w:b/>
                <w:color w:val="000000"/>
                <w:szCs w:val="21"/>
              </w:rPr>
            </w:pPr>
            <w:r>
              <w:rPr>
                <w:b/>
                <w:color w:val="000000"/>
                <w:szCs w:val="21"/>
              </w:rPr>
              <w:t>所有者权益：</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520" w:type="dxa"/>
            <w:vAlign w:val="center"/>
          </w:tcPr>
          <w:p w:rsidR="003663E4" w:rsidRDefault="003663E4">
            <w:pPr>
              <w:spacing w:line="276" w:lineRule="auto"/>
              <w:jc w:val="right"/>
              <w:rPr>
                <w:b/>
                <w:color w:val="000000"/>
                <w:szCs w:val="21"/>
              </w:rPr>
            </w:pPr>
          </w:p>
        </w:tc>
        <w:tc>
          <w:tcPr>
            <w:tcW w:w="2520" w:type="dxa"/>
            <w:vAlign w:val="center"/>
          </w:tcPr>
          <w:p w:rsidR="003663E4" w:rsidRDefault="003663E4">
            <w:pPr>
              <w:spacing w:line="276" w:lineRule="auto"/>
              <w:jc w:val="right"/>
              <w:rPr>
                <w:b/>
                <w:color w:val="000000"/>
                <w:szCs w:val="21"/>
              </w:rPr>
            </w:pPr>
          </w:p>
        </w:tc>
      </w:tr>
      <w:tr w:rsidR="003663E4">
        <w:tc>
          <w:tcPr>
            <w:tcW w:w="2880" w:type="dxa"/>
            <w:vAlign w:val="center"/>
          </w:tcPr>
          <w:p w:rsidR="003663E4" w:rsidRDefault="00FD3F7D">
            <w:pPr>
              <w:spacing w:line="276" w:lineRule="auto"/>
              <w:rPr>
                <w:color w:val="000000"/>
                <w:szCs w:val="21"/>
              </w:rPr>
            </w:pPr>
            <w:r>
              <w:rPr>
                <w:color w:val="000000"/>
                <w:szCs w:val="21"/>
              </w:rPr>
              <w:t>实收基金</w:t>
            </w:r>
          </w:p>
        </w:tc>
        <w:tc>
          <w:tcPr>
            <w:tcW w:w="1080" w:type="dxa"/>
            <w:vAlign w:val="center"/>
          </w:tcPr>
          <w:p w:rsidR="003663E4" w:rsidRDefault="00FD3F7D">
            <w:pPr>
              <w:pStyle w:val="af9"/>
              <w:spacing w:line="276" w:lineRule="auto"/>
              <w:jc w:val="center"/>
              <w:rPr>
                <w:rFonts w:ascii="Times New Roman" w:hAnsi="Times New Roman"/>
                <w:color w:val="000000"/>
                <w:sz w:val="21"/>
                <w:szCs w:val="21"/>
              </w:rPr>
            </w:pPr>
            <w:r>
              <w:rPr>
                <w:rFonts w:ascii="Times New Roman" w:hAnsi="Times New Roman"/>
                <w:color w:val="000000"/>
                <w:sz w:val="21"/>
                <w:szCs w:val="21"/>
              </w:rPr>
              <w:t>7.2.4.7.9</w:t>
            </w:r>
          </w:p>
        </w:tc>
        <w:tc>
          <w:tcPr>
            <w:tcW w:w="2520" w:type="dxa"/>
            <w:vAlign w:val="center"/>
          </w:tcPr>
          <w:p w:rsidR="003663E4" w:rsidRDefault="00FD3F7D">
            <w:pPr>
              <w:spacing w:line="276" w:lineRule="auto"/>
              <w:jc w:val="right"/>
              <w:rPr>
                <w:color w:val="000000"/>
                <w:szCs w:val="21"/>
              </w:rPr>
            </w:pPr>
            <w:r>
              <w:rPr>
                <w:color w:val="000000"/>
                <w:szCs w:val="21"/>
              </w:rPr>
              <w:t>770,059,000.76</w:t>
            </w:r>
          </w:p>
        </w:tc>
        <w:tc>
          <w:tcPr>
            <w:tcW w:w="2520" w:type="dxa"/>
            <w:vAlign w:val="center"/>
          </w:tcPr>
          <w:p w:rsidR="003663E4" w:rsidRDefault="00FD3F7D">
            <w:pPr>
              <w:spacing w:line="276" w:lineRule="auto"/>
              <w:jc w:val="right"/>
              <w:rPr>
                <w:color w:val="000000"/>
                <w:szCs w:val="21"/>
              </w:rPr>
            </w:pPr>
            <w:r>
              <w:rPr>
                <w:color w:val="000000"/>
                <w:szCs w:val="21"/>
              </w:rPr>
              <w:t>7,095,129,673.72</w:t>
            </w:r>
          </w:p>
        </w:tc>
      </w:tr>
      <w:tr w:rsidR="003663E4">
        <w:tc>
          <w:tcPr>
            <w:tcW w:w="2880" w:type="dxa"/>
            <w:vAlign w:val="center"/>
          </w:tcPr>
          <w:p w:rsidR="003663E4" w:rsidRDefault="00FD3F7D">
            <w:pPr>
              <w:spacing w:line="276" w:lineRule="auto"/>
              <w:rPr>
                <w:color w:val="000000"/>
                <w:szCs w:val="21"/>
              </w:rPr>
            </w:pPr>
            <w:r>
              <w:rPr>
                <w:color w:val="000000"/>
                <w:szCs w:val="21"/>
              </w:rPr>
              <w:t>未分配利润</w:t>
            </w:r>
          </w:p>
        </w:tc>
        <w:tc>
          <w:tcPr>
            <w:tcW w:w="1080" w:type="dxa"/>
            <w:vAlign w:val="center"/>
          </w:tcPr>
          <w:p w:rsidR="003663E4" w:rsidRDefault="00FD3F7D">
            <w:pPr>
              <w:pStyle w:val="af9"/>
              <w:spacing w:line="276" w:lineRule="auto"/>
              <w:jc w:val="center"/>
              <w:rPr>
                <w:rFonts w:ascii="Times New Roman" w:hAnsi="Times New Roman"/>
                <w:color w:val="000000"/>
                <w:sz w:val="21"/>
                <w:szCs w:val="21"/>
              </w:rPr>
            </w:pPr>
            <w:r>
              <w:rPr>
                <w:rFonts w:ascii="Times New Roman" w:hAnsi="Times New Roman"/>
                <w:color w:val="000000"/>
                <w:sz w:val="21"/>
                <w:szCs w:val="21"/>
              </w:rPr>
              <w:t>7.2.4.7.10</w:t>
            </w:r>
          </w:p>
        </w:tc>
        <w:tc>
          <w:tcPr>
            <w:tcW w:w="2520" w:type="dxa"/>
            <w:vAlign w:val="center"/>
          </w:tcPr>
          <w:p w:rsidR="003663E4" w:rsidRDefault="00FD3F7D">
            <w:pPr>
              <w:spacing w:line="276" w:lineRule="auto"/>
              <w:jc w:val="right"/>
              <w:rPr>
                <w:color w:val="000000"/>
                <w:szCs w:val="21"/>
              </w:rPr>
            </w:pPr>
            <w:r>
              <w:rPr>
                <w:color w:val="000000"/>
                <w:szCs w:val="21"/>
              </w:rPr>
              <w:t>-</w:t>
            </w:r>
          </w:p>
        </w:tc>
        <w:tc>
          <w:tcPr>
            <w:tcW w:w="2520" w:type="dxa"/>
            <w:vAlign w:val="center"/>
          </w:tcPr>
          <w:p w:rsidR="003663E4" w:rsidRDefault="00FD3F7D">
            <w:pPr>
              <w:spacing w:line="276" w:lineRule="auto"/>
              <w:jc w:val="right"/>
              <w:rPr>
                <w:color w:val="000000"/>
                <w:szCs w:val="21"/>
              </w:rPr>
            </w:pPr>
            <w:r>
              <w:rPr>
                <w:color w:val="000000"/>
                <w:szCs w:val="21"/>
              </w:rPr>
              <w:t>-</w:t>
            </w:r>
          </w:p>
        </w:tc>
      </w:tr>
      <w:tr w:rsidR="003663E4">
        <w:tc>
          <w:tcPr>
            <w:tcW w:w="2880" w:type="dxa"/>
            <w:vAlign w:val="center"/>
          </w:tcPr>
          <w:p w:rsidR="003663E4" w:rsidRDefault="00FD3F7D">
            <w:pPr>
              <w:spacing w:line="276" w:lineRule="auto"/>
              <w:rPr>
                <w:b/>
                <w:color w:val="000000"/>
                <w:szCs w:val="21"/>
              </w:rPr>
            </w:pPr>
            <w:r>
              <w:rPr>
                <w:b/>
                <w:color w:val="000000"/>
                <w:szCs w:val="21"/>
              </w:rPr>
              <w:t>所有者权益合计</w:t>
            </w:r>
          </w:p>
        </w:tc>
        <w:tc>
          <w:tcPr>
            <w:tcW w:w="1080" w:type="dxa"/>
            <w:vAlign w:val="center"/>
          </w:tcPr>
          <w:p w:rsidR="003663E4" w:rsidRDefault="003663E4">
            <w:pPr>
              <w:pStyle w:val="af9"/>
              <w:spacing w:line="276" w:lineRule="auto"/>
              <w:jc w:val="center"/>
              <w:rPr>
                <w:rFonts w:ascii="Times New Roman" w:hAnsi="Times New Roman"/>
                <w:b/>
                <w:color w:val="000000"/>
                <w:sz w:val="21"/>
                <w:szCs w:val="21"/>
              </w:rPr>
            </w:pPr>
          </w:p>
        </w:tc>
        <w:tc>
          <w:tcPr>
            <w:tcW w:w="2520" w:type="dxa"/>
            <w:vAlign w:val="center"/>
          </w:tcPr>
          <w:p w:rsidR="003663E4" w:rsidRDefault="00FD3F7D">
            <w:pPr>
              <w:spacing w:line="276" w:lineRule="auto"/>
              <w:jc w:val="right"/>
              <w:rPr>
                <w:b/>
                <w:color w:val="000000"/>
                <w:szCs w:val="21"/>
              </w:rPr>
            </w:pPr>
            <w:r>
              <w:rPr>
                <w:b/>
                <w:color w:val="000000"/>
                <w:szCs w:val="21"/>
              </w:rPr>
              <w:t>770,059,000.76</w:t>
            </w:r>
          </w:p>
        </w:tc>
        <w:tc>
          <w:tcPr>
            <w:tcW w:w="2520" w:type="dxa"/>
            <w:vAlign w:val="center"/>
          </w:tcPr>
          <w:p w:rsidR="003663E4" w:rsidRDefault="00FD3F7D">
            <w:pPr>
              <w:spacing w:line="276" w:lineRule="auto"/>
              <w:jc w:val="right"/>
              <w:rPr>
                <w:b/>
                <w:color w:val="000000"/>
                <w:szCs w:val="21"/>
              </w:rPr>
            </w:pPr>
            <w:r>
              <w:rPr>
                <w:b/>
                <w:color w:val="000000"/>
                <w:szCs w:val="21"/>
              </w:rPr>
              <w:t>7,095,129,673.72</w:t>
            </w:r>
          </w:p>
        </w:tc>
      </w:tr>
      <w:tr w:rsidR="003663E4">
        <w:tc>
          <w:tcPr>
            <w:tcW w:w="2880" w:type="dxa"/>
            <w:vAlign w:val="center"/>
          </w:tcPr>
          <w:p w:rsidR="003663E4" w:rsidRDefault="00FD3F7D">
            <w:pPr>
              <w:spacing w:line="276" w:lineRule="auto"/>
              <w:rPr>
                <w:b/>
                <w:color w:val="000000"/>
                <w:szCs w:val="21"/>
              </w:rPr>
            </w:pPr>
            <w:r>
              <w:rPr>
                <w:b/>
                <w:color w:val="000000"/>
                <w:szCs w:val="21"/>
              </w:rPr>
              <w:t>负债和所有者权益总计</w:t>
            </w:r>
          </w:p>
        </w:tc>
        <w:tc>
          <w:tcPr>
            <w:tcW w:w="1080" w:type="dxa"/>
            <w:vAlign w:val="center"/>
          </w:tcPr>
          <w:p w:rsidR="003663E4" w:rsidRDefault="003663E4">
            <w:pPr>
              <w:pStyle w:val="af9"/>
              <w:spacing w:line="276" w:lineRule="auto"/>
              <w:jc w:val="center"/>
              <w:rPr>
                <w:rFonts w:ascii="Times New Roman" w:hAnsi="Times New Roman"/>
                <w:b/>
                <w:color w:val="000000"/>
                <w:sz w:val="21"/>
                <w:szCs w:val="21"/>
              </w:rPr>
            </w:pPr>
          </w:p>
        </w:tc>
        <w:tc>
          <w:tcPr>
            <w:tcW w:w="2520" w:type="dxa"/>
            <w:vAlign w:val="center"/>
          </w:tcPr>
          <w:p w:rsidR="003663E4" w:rsidRDefault="00FD3F7D">
            <w:pPr>
              <w:spacing w:line="276" w:lineRule="auto"/>
              <w:jc w:val="right"/>
              <w:rPr>
                <w:b/>
                <w:color w:val="000000"/>
                <w:szCs w:val="21"/>
              </w:rPr>
            </w:pPr>
            <w:r>
              <w:rPr>
                <w:b/>
                <w:color w:val="000000"/>
                <w:szCs w:val="21"/>
              </w:rPr>
              <w:t>773,312,296.57</w:t>
            </w:r>
          </w:p>
        </w:tc>
        <w:tc>
          <w:tcPr>
            <w:tcW w:w="2520" w:type="dxa"/>
            <w:vAlign w:val="center"/>
          </w:tcPr>
          <w:p w:rsidR="003663E4" w:rsidRDefault="00FD3F7D">
            <w:pPr>
              <w:spacing w:line="276" w:lineRule="auto"/>
              <w:jc w:val="right"/>
              <w:rPr>
                <w:b/>
                <w:color w:val="000000"/>
                <w:szCs w:val="21"/>
              </w:rPr>
            </w:pPr>
            <w:r>
              <w:rPr>
                <w:b/>
                <w:color w:val="000000"/>
                <w:szCs w:val="21"/>
              </w:rPr>
              <w:t>7,850,556,153.69</w:t>
            </w:r>
          </w:p>
        </w:tc>
      </w:tr>
    </w:tbl>
    <w:p w:rsidR="003663E4" w:rsidRDefault="00FD3F7D">
      <w:pPr>
        <w:spacing w:line="360" w:lineRule="auto"/>
        <w:ind w:firstLineChars="200" w:firstLine="420"/>
        <w:rPr>
          <w:color w:val="000000"/>
          <w:szCs w:val="21"/>
        </w:rPr>
      </w:pPr>
      <w:r>
        <w:rPr>
          <w:color w:val="000000"/>
          <w:szCs w:val="21"/>
        </w:rPr>
        <w:t>注：</w:t>
      </w:r>
      <w:r>
        <w:rPr>
          <w:color w:val="000000"/>
          <w:szCs w:val="21"/>
        </w:rPr>
        <w:t>1</w:t>
      </w:r>
      <w:r>
        <w:rPr>
          <w:color w:val="000000"/>
          <w:szCs w:val="21"/>
        </w:rPr>
        <w:t>、报告截止日</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r>
        <w:rPr>
          <w:color w:val="000000"/>
          <w:szCs w:val="21"/>
        </w:rPr>
        <w:t>(</w:t>
      </w:r>
      <w:r>
        <w:rPr>
          <w:color w:val="000000"/>
          <w:szCs w:val="21"/>
        </w:rPr>
        <w:t>基金合同失效前日</w:t>
      </w:r>
      <w:r>
        <w:rPr>
          <w:color w:val="000000"/>
          <w:szCs w:val="21"/>
        </w:rPr>
        <w:t>)</w:t>
      </w:r>
      <w:r>
        <w:rPr>
          <w:color w:val="000000"/>
          <w:szCs w:val="21"/>
        </w:rPr>
        <w:t>，基金份额净值</w:t>
      </w:r>
      <w:r>
        <w:rPr>
          <w:color w:val="000000"/>
          <w:szCs w:val="21"/>
        </w:rPr>
        <w:t>1.0000</w:t>
      </w:r>
      <w:r>
        <w:rPr>
          <w:color w:val="000000"/>
          <w:szCs w:val="21"/>
        </w:rPr>
        <w:t>元，基金份额总额</w:t>
      </w:r>
      <w:r>
        <w:rPr>
          <w:color w:val="000000"/>
          <w:szCs w:val="21"/>
        </w:rPr>
        <w:t>770,059,000.76</w:t>
      </w:r>
      <w:r>
        <w:rPr>
          <w:color w:val="000000"/>
          <w:szCs w:val="21"/>
        </w:rPr>
        <w:t>份，其中</w:t>
      </w:r>
      <w:r>
        <w:rPr>
          <w:color w:val="000000"/>
          <w:szCs w:val="21"/>
        </w:rPr>
        <w:t>A</w:t>
      </w:r>
      <w:r>
        <w:rPr>
          <w:color w:val="000000"/>
          <w:szCs w:val="21"/>
        </w:rPr>
        <w:t>类基金份额</w:t>
      </w:r>
      <w:r>
        <w:rPr>
          <w:color w:val="000000"/>
          <w:szCs w:val="21"/>
        </w:rPr>
        <w:t>3,346,487.94</w:t>
      </w:r>
      <w:r>
        <w:rPr>
          <w:color w:val="000000"/>
          <w:szCs w:val="21"/>
        </w:rPr>
        <w:t>份，</w:t>
      </w:r>
      <w:r>
        <w:rPr>
          <w:color w:val="000000"/>
          <w:szCs w:val="21"/>
        </w:rPr>
        <w:t>B</w:t>
      </w:r>
      <w:r>
        <w:rPr>
          <w:color w:val="000000"/>
          <w:szCs w:val="21"/>
        </w:rPr>
        <w:t>类基金份额</w:t>
      </w:r>
      <w:r>
        <w:rPr>
          <w:color w:val="000000"/>
          <w:szCs w:val="21"/>
        </w:rPr>
        <w:t>766,712,512.82</w:t>
      </w:r>
      <w:r>
        <w:rPr>
          <w:color w:val="000000"/>
          <w:szCs w:val="21"/>
        </w:rPr>
        <w:t>份。</w:t>
      </w:r>
    </w:p>
    <w:p w:rsidR="003663E4" w:rsidRDefault="00FD3F7D">
      <w:pPr>
        <w:spacing w:line="360" w:lineRule="auto"/>
        <w:ind w:firstLineChars="200" w:firstLine="420"/>
        <w:rPr>
          <w:color w:val="000000"/>
          <w:szCs w:val="21"/>
        </w:rPr>
      </w:pPr>
      <w:r>
        <w:rPr>
          <w:color w:val="000000"/>
          <w:szCs w:val="21"/>
        </w:rPr>
        <w:t>2</w:t>
      </w:r>
      <w:r>
        <w:rPr>
          <w:color w:val="000000"/>
          <w:szCs w:val="21"/>
        </w:rPr>
        <w:t>、本财务报表的实际编制期间为</w:t>
      </w: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r>
        <w:rPr>
          <w:color w:val="000000"/>
          <w:szCs w:val="21"/>
        </w:rPr>
        <w:t>(</w:t>
      </w:r>
      <w:r>
        <w:rPr>
          <w:color w:val="000000"/>
          <w:szCs w:val="21"/>
        </w:rPr>
        <w:t>基金合同失效前日</w:t>
      </w:r>
      <w:r>
        <w:rPr>
          <w:color w:val="000000"/>
          <w:szCs w:val="21"/>
        </w:rPr>
        <w:t>)</w:t>
      </w:r>
      <w:r>
        <w:rPr>
          <w:color w:val="000000"/>
          <w:szCs w:val="21"/>
        </w:rPr>
        <w:t>。</w:t>
      </w:r>
    </w:p>
    <w:p w:rsidR="003663E4" w:rsidRDefault="00FD3F7D">
      <w:pPr>
        <w:pStyle w:val="3"/>
        <w:spacing w:beforeLines="50" w:before="156" w:after="0" w:line="360" w:lineRule="auto"/>
        <w:rPr>
          <w:color w:val="000000"/>
          <w:sz w:val="21"/>
          <w:szCs w:val="21"/>
        </w:rPr>
      </w:pPr>
      <w:bookmarkStart w:id="170" w:name="_Toc409100075"/>
      <w:bookmarkStart w:id="171" w:name="_Toc409100438"/>
      <w:bookmarkStart w:id="172" w:name="_Toc508540289"/>
      <w:bookmarkStart w:id="173" w:name="_Toc23339385"/>
      <w:bookmarkStart w:id="174" w:name="_Toc361324874"/>
      <w:bookmarkStart w:id="175" w:name="_Toc225498269"/>
      <w:bookmarkStart w:id="176" w:name="_Toc30928"/>
      <w:r>
        <w:rPr>
          <w:color w:val="000000"/>
          <w:kern w:val="0"/>
          <w:sz w:val="21"/>
          <w:szCs w:val="21"/>
        </w:rPr>
        <w:t>7.2.2</w:t>
      </w:r>
      <w:r>
        <w:rPr>
          <w:rFonts w:hint="eastAsia"/>
          <w:color w:val="000000"/>
          <w:sz w:val="21"/>
          <w:szCs w:val="21"/>
        </w:rPr>
        <w:t xml:space="preserve"> </w:t>
      </w:r>
      <w:r>
        <w:rPr>
          <w:color w:val="000000"/>
          <w:sz w:val="21"/>
          <w:szCs w:val="21"/>
        </w:rPr>
        <w:t>利润表</w:t>
      </w:r>
      <w:bookmarkEnd w:id="170"/>
      <w:bookmarkEnd w:id="171"/>
      <w:bookmarkEnd w:id="172"/>
      <w:bookmarkEnd w:id="173"/>
      <w:bookmarkEnd w:id="174"/>
      <w:bookmarkEnd w:id="175"/>
      <w:bookmarkEnd w:id="176"/>
    </w:p>
    <w:p w:rsidR="003663E4" w:rsidRDefault="00FD3F7D">
      <w:pPr>
        <w:spacing w:line="360" w:lineRule="auto"/>
        <w:rPr>
          <w:color w:val="000000"/>
          <w:kern w:val="0"/>
          <w:szCs w:val="21"/>
        </w:rPr>
      </w:pPr>
      <w:r>
        <w:rPr>
          <w:color w:val="000000"/>
          <w:szCs w:val="21"/>
        </w:rPr>
        <w:t>会计主体：</w:t>
      </w:r>
      <w:r>
        <w:rPr>
          <w:color w:val="000000"/>
          <w:kern w:val="0"/>
          <w:szCs w:val="21"/>
        </w:rPr>
        <w:t>交银施罗德理财</w:t>
      </w:r>
      <w:r>
        <w:rPr>
          <w:color w:val="000000"/>
          <w:kern w:val="0"/>
          <w:szCs w:val="21"/>
        </w:rPr>
        <w:t>60</w:t>
      </w:r>
      <w:r>
        <w:rPr>
          <w:color w:val="000000"/>
          <w:kern w:val="0"/>
          <w:szCs w:val="21"/>
        </w:rPr>
        <w:t>天债券型证券投资基金</w:t>
      </w:r>
    </w:p>
    <w:p w:rsidR="003663E4" w:rsidRDefault="00FD3F7D">
      <w:pPr>
        <w:spacing w:line="360" w:lineRule="auto"/>
        <w:rPr>
          <w:color w:val="000000"/>
          <w:kern w:val="0"/>
          <w:szCs w:val="21"/>
        </w:rPr>
      </w:pPr>
      <w:r>
        <w:rPr>
          <w:color w:val="000000"/>
          <w:szCs w:val="21"/>
        </w:rPr>
        <w:t>本报告期：</w:t>
      </w:r>
      <w:r>
        <w:rPr>
          <w:color w:val="000000"/>
          <w:kern w:val="0"/>
          <w:szCs w:val="21"/>
        </w:rPr>
        <w:t>2020</w:t>
      </w:r>
      <w:r>
        <w:rPr>
          <w:color w:val="000000"/>
          <w:kern w:val="0"/>
          <w:szCs w:val="21"/>
        </w:rPr>
        <w:t>年</w:t>
      </w:r>
      <w:r>
        <w:rPr>
          <w:color w:val="000000"/>
          <w:kern w:val="0"/>
          <w:szCs w:val="21"/>
        </w:rPr>
        <w:t>1</w:t>
      </w:r>
      <w:r>
        <w:rPr>
          <w:color w:val="000000"/>
          <w:kern w:val="0"/>
          <w:szCs w:val="21"/>
        </w:rPr>
        <w:t>月</w:t>
      </w:r>
      <w:r>
        <w:rPr>
          <w:color w:val="000000"/>
          <w:kern w:val="0"/>
          <w:szCs w:val="21"/>
        </w:rPr>
        <w:t>1</w:t>
      </w:r>
      <w:r>
        <w:rPr>
          <w:color w:val="000000"/>
          <w:kern w:val="0"/>
          <w:szCs w:val="21"/>
        </w:rPr>
        <w:t>日至</w:t>
      </w:r>
      <w:r>
        <w:rPr>
          <w:color w:val="000000"/>
          <w:kern w:val="0"/>
          <w:szCs w:val="21"/>
        </w:rPr>
        <w:t>2020</w:t>
      </w:r>
      <w:r>
        <w:rPr>
          <w:color w:val="000000"/>
          <w:kern w:val="0"/>
          <w:szCs w:val="21"/>
        </w:rPr>
        <w:t>年</w:t>
      </w:r>
      <w:r>
        <w:rPr>
          <w:color w:val="000000"/>
          <w:kern w:val="0"/>
          <w:szCs w:val="21"/>
        </w:rPr>
        <w:t>7</w:t>
      </w:r>
      <w:r>
        <w:rPr>
          <w:color w:val="000000"/>
          <w:kern w:val="0"/>
          <w:szCs w:val="21"/>
        </w:rPr>
        <w:t>月</w:t>
      </w:r>
      <w:r>
        <w:rPr>
          <w:color w:val="000000"/>
          <w:kern w:val="0"/>
          <w:szCs w:val="21"/>
        </w:rPr>
        <w:t>27</w:t>
      </w:r>
      <w:r>
        <w:rPr>
          <w:color w:val="000000"/>
          <w:kern w:val="0"/>
          <w:szCs w:val="21"/>
        </w:rPr>
        <w:t>日</w:t>
      </w:r>
    </w:p>
    <w:p w:rsidR="003663E4" w:rsidRDefault="00FD3F7D">
      <w:pPr>
        <w:autoSpaceDE w:val="0"/>
        <w:autoSpaceDN w:val="0"/>
        <w:adjustRightInd w:val="0"/>
        <w:spacing w:before="29" w:line="360" w:lineRule="auto"/>
        <w:ind w:left="15"/>
        <w:jc w:val="right"/>
        <w:rPr>
          <w:color w:val="000000"/>
          <w:kern w:val="0"/>
          <w:szCs w:val="21"/>
        </w:rPr>
      </w:pPr>
      <w:r>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3663E4">
        <w:tc>
          <w:tcPr>
            <w:tcW w:w="3420" w:type="dxa"/>
            <w:vAlign w:val="center"/>
          </w:tcPr>
          <w:p w:rsidR="003663E4" w:rsidRDefault="00FD3F7D">
            <w:pPr>
              <w:pStyle w:val="af9"/>
              <w:spacing w:line="276" w:lineRule="auto"/>
              <w:jc w:val="center"/>
              <w:rPr>
                <w:rFonts w:ascii="Times New Roman" w:hAnsi="Times New Roman"/>
                <w:b/>
                <w:color w:val="000000"/>
                <w:sz w:val="21"/>
                <w:szCs w:val="21"/>
              </w:rPr>
            </w:pPr>
            <w:r>
              <w:rPr>
                <w:rFonts w:ascii="Times New Roman" w:hAnsi="Times New Roman"/>
                <w:b/>
                <w:color w:val="000000"/>
                <w:sz w:val="21"/>
                <w:szCs w:val="21"/>
              </w:rPr>
              <w:t>项</w:t>
            </w:r>
            <w:r>
              <w:rPr>
                <w:rFonts w:ascii="Times New Roman" w:hAnsi="Times New Roman" w:hint="eastAsia"/>
                <w:b/>
                <w:color w:val="000000"/>
                <w:sz w:val="21"/>
                <w:szCs w:val="21"/>
              </w:rPr>
              <w:t xml:space="preserve"> </w:t>
            </w:r>
            <w:r>
              <w:rPr>
                <w:rFonts w:ascii="Times New Roman" w:hAnsi="Times New Roman"/>
                <w:b/>
                <w:color w:val="000000"/>
                <w:sz w:val="21"/>
                <w:szCs w:val="21"/>
              </w:rPr>
              <w:t>目</w:t>
            </w:r>
          </w:p>
        </w:tc>
        <w:tc>
          <w:tcPr>
            <w:tcW w:w="1080" w:type="dxa"/>
            <w:vAlign w:val="center"/>
          </w:tcPr>
          <w:p w:rsidR="003663E4" w:rsidRDefault="00FD3F7D">
            <w:pPr>
              <w:pStyle w:val="af9"/>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附注号</w:t>
            </w:r>
          </w:p>
        </w:tc>
        <w:tc>
          <w:tcPr>
            <w:tcW w:w="2250" w:type="dxa"/>
            <w:vAlign w:val="center"/>
          </w:tcPr>
          <w:p w:rsidR="003663E4" w:rsidRDefault="00FD3F7D">
            <w:pPr>
              <w:pStyle w:val="af9"/>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本期</w:t>
            </w:r>
          </w:p>
          <w:p w:rsidR="003663E4" w:rsidRDefault="00FD3F7D">
            <w:pPr>
              <w:pStyle w:val="af9"/>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2020</w:t>
            </w:r>
            <w:r>
              <w:rPr>
                <w:rFonts w:ascii="Times New Roman" w:hAnsi="Times New Roman"/>
                <w:b/>
                <w:color w:val="000000"/>
                <w:sz w:val="21"/>
                <w:szCs w:val="21"/>
              </w:rPr>
              <w:t>年</w:t>
            </w:r>
            <w:r>
              <w:rPr>
                <w:rFonts w:ascii="Times New Roman" w:hAnsi="Times New Roman"/>
                <w:b/>
                <w:color w:val="000000"/>
                <w:sz w:val="21"/>
                <w:szCs w:val="21"/>
              </w:rPr>
              <w:t>1</w:t>
            </w:r>
            <w:r>
              <w:rPr>
                <w:rFonts w:ascii="Times New Roman" w:hAnsi="Times New Roman"/>
                <w:b/>
                <w:color w:val="000000"/>
                <w:sz w:val="21"/>
                <w:szCs w:val="21"/>
              </w:rPr>
              <w:t>月</w:t>
            </w:r>
            <w:r>
              <w:rPr>
                <w:rFonts w:ascii="Times New Roman" w:hAnsi="Times New Roman"/>
                <w:b/>
                <w:color w:val="000000"/>
                <w:sz w:val="21"/>
                <w:szCs w:val="21"/>
              </w:rPr>
              <w:t>1</w:t>
            </w:r>
            <w:r>
              <w:rPr>
                <w:rFonts w:ascii="Times New Roman" w:hAnsi="Times New Roman"/>
                <w:b/>
                <w:color w:val="000000"/>
                <w:sz w:val="21"/>
                <w:szCs w:val="21"/>
              </w:rPr>
              <w:t>日至</w:t>
            </w:r>
            <w:r>
              <w:rPr>
                <w:rFonts w:ascii="Times New Roman" w:hAnsi="Times New Roman"/>
                <w:b/>
                <w:color w:val="000000"/>
                <w:sz w:val="21"/>
                <w:szCs w:val="21"/>
              </w:rPr>
              <w:t>2020</w:t>
            </w:r>
            <w:r>
              <w:rPr>
                <w:rFonts w:ascii="Times New Roman" w:hAnsi="Times New Roman"/>
                <w:b/>
                <w:color w:val="000000"/>
                <w:sz w:val="21"/>
                <w:szCs w:val="21"/>
              </w:rPr>
              <w:t>年</w:t>
            </w:r>
            <w:r>
              <w:rPr>
                <w:rFonts w:ascii="Times New Roman" w:hAnsi="Times New Roman"/>
                <w:b/>
                <w:color w:val="000000"/>
                <w:sz w:val="21"/>
                <w:szCs w:val="21"/>
              </w:rPr>
              <w:t>7</w:t>
            </w:r>
            <w:r>
              <w:rPr>
                <w:rFonts w:ascii="Times New Roman" w:hAnsi="Times New Roman"/>
                <w:b/>
                <w:color w:val="000000"/>
                <w:sz w:val="21"/>
                <w:szCs w:val="21"/>
              </w:rPr>
              <w:t>月</w:t>
            </w:r>
            <w:r>
              <w:rPr>
                <w:rFonts w:ascii="Times New Roman" w:hAnsi="Times New Roman"/>
                <w:b/>
                <w:color w:val="000000"/>
                <w:sz w:val="21"/>
                <w:szCs w:val="21"/>
              </w:rPr>
              <w:t>27</w:t>
            </w:r>
            <w:r>
              <w:rPr>
                <w:rFonts w:ascii="Times New Roman" w:hAnsi="Times New Roman"/>
                <w:b/>
                <w:color w:val="000000"/>
                <w:sz w:val="21"/>
                <w:szCs w:val="21"/>
              </w:rPr>
              <w:t>日</w:t>
            </w:r>
          </w:p>
        </w:tc>
        <w:tc>
          <w:tcPr>
            <w:tcW w:w="2250" w:type="dxa"/>
            <w:vAlign w:val="center"/>
          </w:tcPr>
          <w:p w:rsidR="003663E4" w:rsidRDefault="00FD3F7D">
            <w:pPr>
              <w:pStyle w:val="af9"/>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上年度可比期间</w:t>
            </w:r>
          </w:p>
          <w:p w:rsidR="003663E4" w:rsidRDefault="00FD3F7D">
            <w:pPr>
              <w:pStyle w:val="af9"/>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2019</w:t>
            </w:r>
            <w:r>
              <w:rPr>
                <w:rFonts w:ascii="Times New Roman" w:hAnsi="Times New Roman"/>
                <w:b/>
                <w:color w:val="000000"/>
                <w:sz w:val="21"/>
                <w:szCs w:val="21"/>
              </w:rPr>
              <w:t>年</w:t>
            </w:r>
            <w:r>
              <w:rPr>
                <w:rFonts w:ascii="Times New Roman" w:hAnsi="Times New Roman"/>
                <w:b/>
                <w:color w:val="000000"/>
                <w:sz w:val="21"/>
                <w:szCs w:val="21"/>
              </w:rPr>
              <w:t>1</w:t>
            </w:r>
            <w:r>
              <w:rPr>
                <w:rFonts w:ascii="Times New Roman" w:hAnsi="Times New Roman"/>
                <w:b/>
                <w:color w:val="000000"/>
                <w:sz w:val="21"/>
                <w:szCs w:val="21"/>
              </w:rPr>
              <w:t>月</w:t>
            </w:r>
            <w:r>
              <w:rPr>
                <w:rFonts w:ascii="Times New Roman" w:hAnsi="Times New Roman"/>
                <w:b/>
                <w:color w:val="000000"/>
                <w:sz w:val="21"/>
                <w:szCs w:val="21"/>
              </w:rPr>
              <w:t>1</w:t>
            </w:r>
            <w:r>
              <w:rPr>
                <w:rFonts w:ascii="Times New Roman" w:hAnsi="Times New Roman"/>
                <w:b/>
                <w:color w:val="000000"/>
                <w:sz w:val="21"/>
                <w:szCs w:val="21"/>
              </w:rPr>
              <w:t>日至</w:t>
            </w:r>
            <w:r>
              <w:rPr>
                <w:rFonts w:ascii="Times New Roman" w:hAnsi="Times New Roman"/>
                <w:b/>
                <w:color w:val="000000"/>
                <w:sz w:val="21"/>
                <w:szCs w:val="21"/>
              </w:rPr>
              <w:t>2019</w:t>
            </w:r>
            <w:r>
              <w:rPr>
                <w:rFonts w:ascii="Times New Roman" w:hAnsi="Times New Roman"/>
                <w:b/>
                <w:color w:val="000000"/>
                <w:sz w:val="21"/>
                <w:szCs w:val="21"/>
              </w:rPr>
              <w:t>年</w:t>
            </w:r>
            <w:r>
              <w:rPr>
                <w:rFonts w:ascii="Times New Roman" w:hAnsi="Times New Roman"/>
                <w:b/>
                <w:color w:val="000000"/>
                <w:sz w:val="21"/>
                <w:szCs w:val="21"/>
              </w:rPr>
              <w:t>12</w:t>
            </w:r>
            <w:r>
              <w:rPr>
                <w:rFonts w:ascii="Times New Roman" w:hAnsi="Times New Roman"/>
                <w:b/>
                <w:color w:val="000000"/>
                <w:sz w:val="21"/>
                <w:szCs w:val="21"/>
              </w:rPr>
              <w:t>月</w:t>
            </w:r>
            <w:r>
              <w:rPr>
                <w:rFonts w:ascii="Times New Roman" w:hAnsi="Times New Roman"/>
                <w:b/>
                <w:color w:val="000000"/>
                <w:sz w:val="21"/>
                <w:szCs w:val="21"/>
              </w:rPr>
              <w:t>31</w:t>
            </w:r>
            <w:r>
              <w:rPr>
                <w:rFonts w:ascii="Times New Roman" w:hAnsi="Times New Roman"/>
                <w:b/>
                <w:color w:val="000000"/>
                <w:sz w:val="21"/>
                <w:szCs w:val="21"/>
              </w:rPr>
              <w:t>日</w:t>
            </w:r>
          </w:p>
        </w:tc>
      </w:tr>
      <w:tr w:rsidR="003663E4">
        <w:tc>
          <w:tcPr>
            <w:tcW w:w="3420" w:type="dxa"/>
            <w:vAlign w:val="center"/>
          </w:tcPr>
          <w:p w:rsidR="003663E4" w:rsidRDefault="00FD3F7D">
            <w:pPr>
              <w:spacing w:line="276" w:lineRule="auto"/>
              <w:rPr>
                <w:b/>
                <w:color w:val="000000"/>
                <w:szCs w:val="21"/>
              </w:rPr>
            </w:pPr>
            <w:r>
              <w:rPr>
                <w:b/>
                <w:color w:val="000000"/>
                <w:szCs w:val="21"/>
              </w:rPr>
              <w:t>一、收入</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250" w:type="dxa"/>
            <w:vAlign w:val="center"/>
          </w:tcPr>
          <w:p w:rsidR="003663E4" w:rsidRDefault="00FD3F7D">
            <w:pPr>
              <w:spacing w:line="276" w:lineRule="auto"/>
              <w:jc w:val="right"/>
              <w:rPr>
                <w:b/>
                <w:color w:val="000000"/>
                <w:szCs w:val="21"/>
              </w:rPr>
            </w:pPr>
            <w:r>
              <w:rPr>
                <w:b/>
                <w:color w:val="000000"/>
                <w:szCs w:val="21"/>
              </w:rPr>
              <w:t>109,875,266.75</w:t>
            </w:r>
          </w:p>
        </w:tc>
        <w:tc>
          <w:tcPr>
            <w:tcW w:w="2250" w:type="dxa"/>
            <w:vAlign w:val="center"/>
          </w:tcPr>
          <w:p w:rsidR="003663E4" w:rsidRDefault="00FD3F7D">
            <w:pPr>
              <w:spacing w:line="276" w:lineRule="auto"/>
              <w:jc w:val="right"/>
              <w:rPr>
                <w:b/>
                <w:color w:val="000000"/>
                <w:szCs w:val="21"/>
              </w:rPr>
            </w:pPr>
            <w:r>
              <w:rPr>
                <w:b/>
                <w:color w:val="000000"/>
                <w:szCs w:val="21"/>
              </w:rPr>
              <w:t>317,062,327.33</w:t>
            </w:r>
          </w:p>
        </w:tc>
      </w:tr>
      <w:tr w:rsidR="003663E4">
        <w:tc>
          <w:tcPr>
            <w:tcW w:w="3420" w:type="dxa"/>
            <w:vAlign w:val="center"/>
          </w:tcPr>
          <w:p w:rsidR="003663E4" w:rsidRDefault="00FD3F7D">
            <w:pPr>
              <w:spacing w:line="276" w:lineRule="auto"/>
              <w:rPr>
                <w:color w:val="000000"/>
                <w:szCs w:val="21"/>
              </w:rPr>
            </w:pPr>
            <w:r>
              <w:rPr>
                <w:color w:val="000000"/>
                <w:szCs w:val="21"/>
              </w:rPr>
              <w:t>1.</w:t>
            </w:r>
            <w:r>
              <w:rPr>
                <w:color w:val="000000"/>
                <w:szCs w:val="21"/>
              </w:rPr>
              <w:t>利息收入</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250" w:type="dxa"/>
            <w:vAlign w:val="center"/>
          </w:tcPr>
          <w:p w:rsidR="003663E4" w:rsidRDefault="00FD3F7D">
            <w:pPr>
              <w:spacing w:line="276" w:lineRule="auto"/>
              <w:jc w:val="right"/>
              <w:rPr>
                <w:color w:val="000000"/>
                <w:szCs w:val="21"/>
              </w:rPr>
            </w:pPr>
            <w:r>
              <w:rPr>
                <w:color w:val="000000"/>
                <w:szCs w:val="21"/>
              </w:rPr>
              <w:t>101,471,168.74</w:t>
            </w:r>
          </w:p>
        </w:tc>
        <w:tc>
          <w:tcPr>
            <w:tcW w:w="2250" w:type="dxa"/>
            <w:vAlign w:val="center"/>
          </w:tcPr>
          <w:p w:rsidR="003663E4" w:rsidRDefault="00FD3F7D">
            <w:pPr>
              <w:spacing w:line="276" w:lineRule="auto"/>
              <w:jc w:val="right"/>
              <w:rPr>
                <w:color w:val="000000"/>
                <w:szCs w:val="21"/>
              </w:rPr>
            </w:pPr>
            <w:r>
              <w:rPr>
                <w:color w:val="000000"/>
                <w:szCs w:val="21"/>
              </w:rPr>
              <w:t>316,287,372.13</w:t>
            </w:r>
          </w:p>
        </w:tc>
      </w:tr>
      <w:tr w:rsidR="003663E4">
        <w:tc>
          <w:tcPr>
            <w:tcW w:w="3420" w:type="dxa"/>
            <w:vAlign w:val="center"/>
          </w:tcPr>
          <w:p w:rsidR="003663E4" w:rsidRDefault="00FD3F7D">
            <w:pPr>
              <w:spacing w:line="276" w:lineRule="auto"/>
              <w:rPr>
                <w:color w:val="000000"/>
                <w:szCs w:val="21"/>
              </w:rPr>
            </w:pPr>
            <w:r>
              <w:rPr>
                <w:color w:val="000000"/>
                <w:szCs w:val="21"/>
              </w:rPr>
              <w:t>其中：存款利息收入</w:t>
            </w:r>
          </w:p>
        </w:tc>
        <w:tc>
          <w:tcPr>
            <w:tcW w:w="1080" w:type="dxa"/>
            <w:vAlign w:val="center"/>
          </w:tcPr>
          <w:p w:rsidR="003663E4" w:rsidRDefault="00FD3F7D">
            <w:pPr>
              <w:pStyle w:val="af9"/>
              <w:spacing w:line="276" w:lineRule="auto"/>
              <w:jc w:val="center"/>
              <w:rPr>
                <w:rFonts w:ascii="Times New Roman" w:hAnsi="Times New Roman"/>
                <w:color w:val="000000"/>
                <w:sz w:val="21"/>
                <w:szCs w:val="21"/>
              </w:rPr>
            </w:pPr>
            <w:r>
              <w:rPr>
                <w:rFonts w:ascii="Times New Roman" w:hAnsi="Times New Roman"/>
                <w:color w:val="000000"/>
                <w:sz w:val="21"/>
                <w:szCs w:val="21"/>
              </w:rPr>
              <w:t>7.2.4.7.11</w:t>
            </w:r>
          </w:p>
        </w:tc>
        <w:tc>
          <w:tcPr>
            <w:tcW w:w="2250" w:type="dxa"/>
            <w:vAlign w:val="center"/>
          </w:tcPr>
          <w:p w:rsidR="003663E4" w:rsidRDefault="00FD3F7D">
            <w:pPr>
              <w:spacing w:line="276" w:lineRule="auto"/>
              <w:jc w:val="right"/>
              <w:rPr>
                <w:color w:val="000000"/>
                <w:szCs w:val="21"/>
              </w:rPr>
            </w:pPr>
            <w:r>
              <w:rPr>
                <w:color w:val="000000"/>
                <w:szCs w:val="21"/>
              </w:rPr>
              <w:t>13,056,623.42</w:t>
            </w:r>
          </w:p>
        </w:tc>
        <w:tc>
          <w:tcPr>
            <w:tcW w:w="2250" w:type="dxa"/>
            <w:vAlign w:val="center"/>
          </w:tcPr>
          <w:p w:rsidR="003663E4" w:rsidRDefault="00FD3F7D">
            <w:pPr>
              <w:spacing w:line="276" w:lineRule="auto"/>
              <w:jc w:val="right"/>
              <w:rPr>
                <w:color w:val="000000"/>
                <w:szCs w:val="21"/>
              </w:rPr>
            </w:pPr>
            <w:r>
              <w:rPr>
                <w:color w:val="000000"/>
                <w:szCs w:val="21"/>
              </w:rPr>
              <w:t>62,754,256.42</w:t>
            </w:r>
          </w:p>
        </w:tc>
      </w:tr>
      <w:tr w:rsidR="003663E4">
        <w:tc>
          <w:tcPr>
            <w:tcW w:w="3420" w:type="dxa"/>
            <w:vAlign w:val="center"/>
          </w:tcPr>
          <w:p w:rsidR="003663E4" w:rsidRDefault="00FD3F7D">
            <w:pPr>
              <w:spacing w:line="276" w:lineRule="auto"/>
              <w:ind w:firstLineChars="250" w:firstLine="525"/>
              <w:rPr>
                <w:color w:val="000000"/>
                <w:szCs w:val="21"/>
              </w:rPr>
            </w:pPr>
            <w:r>
              <w:rPr>
                <w:color w:val="000000"/>
                <w:szCs w:val="21"/>
              </w:rPr>
              <w:t>债券利息收入</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250" w:type="dxa"/>
            <w:vAlign w:val="center"/>
          </w:tcPr>
          <w:p w:rsidR="003663E4" w:rsidRDefault="00FD3F7D">
            <w:pPr>
              <w:spacing w:line="276" w:lineRule="auto"/>
              <w:jc w:val="right"/>
              <w:rPr>
                <w:color w:val="000000"/>
                <w:szCs w:val="21"/>
              </w:rPr>
            </w:pPr>
            <w:r>
              <w:rPr>
                <w:color w:val="000000"/>
                <w:szCs w:val="21"/>
              </w:rPr>
              <w:t>82,369,687.57</w:t>
            </w:r>
          </w:p>
        </w:tc>
        <w:tc>
          <w:tcPr>
            <w:tcW w:w="2250" w:type="dxa"/>
            <w:vAlign w:val="center"/>
          </w:tcPr>
          <w:p w:rsidR="003663E4" w:rsidRDefault="00FD3F7D">
            <w:pPr>
              <w:spacing w:line="276" w:lineRule="auto"/>
              <w:jc w:val="right"/>
              <w:rPr>
                <w:color w:val="000000"/>
                <w:szCs w:val="21"/>
              </w:rPr>
            </w:pPr>
            <w:r>
              <w:rPr>
                <w:color w:val="000000"/>
                <w:szCs w:val="21"/>
              </w:rPr>
              <w:t>250,310,736.39</w:t>
            </w:r>
          </w:p>
        </w:tc>
      </w:tr>
      <w:tr w:rsidR="003663E4">
        <w:tc>
          <w:tcPr>
            <w:tcW w:w="3420" w:type="dxa"/>
            <w:vAlign w:val="center"/>
          </w:tcPr>
          <w:p w:rsidR="003663E4" w:rsidRDefault="00FD3F7D">
            <w:pPr>
              <w:spacing w:line="276" w:lineRule="auto"/>
              <w:ind w:firstLineChars="250" w:firstLine="525"/>
              <w:rPr>
                <w:color w:val="000000"/>
                <w:szCs w:val="21"/>
              </w:rPr>
            </w:pPr>
            <w:r>
              <w:rPr>
                <w:color w:val="000000"/>
                <w:szCs w:val="21"/>
              </w:rPr>
              <w:t>资产支持证券利息收入</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250" w:type="dxa"/>
            <w:vAlign w:val="center"/>
          </w:tcPr>
          <w:p w:rsidR="003663E4" w:rsidRDefault="00FD3F7D">
            <w:pPr>
              <w:spacing w:line="276" w:lineRule="auto"/>
              <w:jc w:val="right"/>
              <w:rPr>
                <w:color w:val="000000"/>
                <w:szCs w:val="21"/>
              </w:rPr>
            </w:pPr>
            <w:r>
              <w:rPr>
                <w:color w:val="000000"/>
                <w:szCs w:val="21"/>
              </w:rPr>
              <w:t>-</w:t>
            </w:r>
          </w:p>
        </w:tc>
        <w:tc>
          <w:tcPr>
            <w:tcW w:w="2250" w:type="dxa"/>
            <w:vAlign w:val="center"/>
          </w:tcPr>
          <w:p w:rsidR="003663E4" w:rsidRDefault="00FD3F7D">
            <w:pPr>
              <w:spacing w:line="276" w:lineRule="auto"/>
              <w:jc w:val="right"/>
              <w:rPr>
                <w:color w:val="000000"/>
                <w:szCs w:val="21"/>
              </w:rPr>
            </w:pPr>
            <w:r>
              <w:rPr>
                <w:color w:val="000000"/>
                <w:szCs w:val="21"/>
              </w:rPr>
              <w:t>1,217,033.23</w:t>
            </w:r>
          </w:p>
        </w:tc>
      </w:tr>
      <w:tr w:rsidR="003663E4">
        <w:tc>
          <w:tcPr>
            <w:tcW w:w="3420" w:type="dxa"/>
            <w:vAlign w:val="center"/>
          </w:tcPr>
          <w:p w:rsidR="003663E4" w:rsidRDefault="00FD3F7D">
            <w:pPr>
              <w:spacing w:line="276" w:lineRule="auto"/>
              <w:ind w:firstLineChars="250" w:firstLine="525"/>
              <w:rPr>
                <w:color w:val="000000"/>
                <w:szCs w:val="21"/>
              </w:rPr>
            </w:pPr>
            <w:r>
              <w:rPr>
                <w:color w:val="000000"/>
                <w:szCs w:val="21"/>
              </w:rPr>
              <w:t>买入返售金融资产收入</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250" w:type="dxa"/>
            <w:vAlign w:val="center"/>
          </w:tcPr>
          <w:p w:rsidR="003663E4" w:rsidRDefault="00FD3F7D">
            <w:pPr>
              <w:spacing w:line="276" w:lineRule="auto"/>
              <w:jc w:val="right"/>
              <w:rPr>
                <w:color w:val="000000"/>
                <w:szCs w:val="21"/>
              </w:rPr>
            </w:pPr>
            <w:r>
              <w:rPr>
                <w:color w:val="000000"/>
                <w:szCs w:val="21"/>
              </w:rPr>
              <w:t>6,044,857.75</w:t>
            </w:r>
          </w:p>
        </w:tc>
        <w:tc>
          <w:tcPr>
            <w:tcW w:w="2250" w:type="dxa"/>
            <w:vAlign w:val="center"/>
          </w:tcPr>
          <w:p w:rsidR="003663E4" w:rsidRDefault="00FD3F7D">
            <w:pPr>
              <w:spacing w:line="276" w:lineRule="auto"/>
              <w:jc w:val="right"/>
              <w:rPr>
                <w:color w:val="000000"/>
                <w:szCs w:val="21"/>
              </w:rPr>
            </w:pPr>
            <w:r>
              <w:rPr>
                <w:color w:val="000000"/>
                <w:szCs w:val="21"/>
              </w:rPr>
              <w:t>2,005,346.09</w:t>
            </w:r>
          </w:p>
        </w:tc>
      </w:tr>
      <w:tr w:rsidR="003663E4">
        <w:tc>
          <w:tcPr>
            <w:tcW w:w="3420" w:type="dxa"/>
            <w:vAlign w:val="center"/>
          </w:tcPr>
          <w:p w:rsidR="003663E4" w:rsidRDefault="00FD3F7D">
            <w:pPr>
              <w:spacing w:line="276" w:lineRule="auto"/>
              <w:ind w:firstLineChars="250" w:firstLine="525"/>
              <w:rPr>
                <w:color w:val="000000"/>
                <w:szCs w:val="21"/>
              </w:rPr>
            </w:pPr>
            <w:r>
              <w:rPr>
                <w:color w:val="000000"/>
                <w:szCs w:val="21"/>
              </w:rPr>
              <w:t>其他利息收入</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250" w:type="dxa"/>
            <w:vAlign w:val="center"/>
          </w:tcPr>
          <w:p w:rsidR="003663E4" w:rsidRDefault="00FD3F7D">
            <w:pPr>
              <w:spacing w:line="276" w:lineRule="auto"/>
              <w:jc w:val="right"/>
              <w:rPr>
                <w:color w:val="000000"/>
                <w:szCs w:val="21"/>
              </w:rPr>
            </w:pPr>
            <w:r>
              <w:rPr>
                <w:color w:val="000000"/>
                <w:szCs w:val="21"/>
              </w:rPr>
              <w:t>-</w:t>
            </w:r>
          </w:p>
        </w:tc>
        <w:tc>
          <w:tcPr>
            <w:tcW w:w="2250" w:type="dxa"/>
            <w:vAlign w:val="center"/>
          </w:tcPr>
          <w:p w:rsidR="003663E4" w:rsidRDefault="00FD3F7D">
            <w:pPr>
              <w:spacing w:line="276" w:lineRule="auto"/>
              <w:jc w:val="right"/>
              <w:rPr>
                <w:color w:val="000000"/>
                <w:szCs w:val="21"/>
              </w:rPr>
            </w:pPr>
            <w:r>
              <w:rPr>
                <w:color w:val="000000"/>
                <w:szCs w:val="21"/>
              </w:rPr>
              <w:t>-</w:t>
            </w:r>
          </w:p>
        </w:tc>
      </w:tr>
      <w:tr w:rsidR="003663E4">
        <w:tc>
          <w:tcPr>
            <w:tcW w:w="3420" w:type="dxa"/>
            <w:vAlign w:val="center"/>
          </w:tcPr>
          <w:p w:rsidR="003663E4" w:rsidRDefault="00FD3F7D">
            <w:pPr>
              <w:spacing w:line="276" w:lineRule="auto"/>
              <w:rPr>
                <w:color w:val="000000"/>
                <w:szCs w:val="21"/>
              </w:rPr>
            </w:pPr>
            <w:r>
              <w:rPr>
                <w:color w:val="000000"/>
                <w:szCs w:val="21"/>
              </w:rPr>
              <w:t>2.</w:t>
            </w:r>
            <w:r>
              <w:rPr>
                <w:color w:val="000000"/>
                <w:szCs w:val="21"/>
              </w:rPr>
              <w:t>投资收益（损失以</w:t>
            </w:r>
            <w:r>
              <w:rPr>
                <w:color w:val="000000"/>
                <w:szCs w:val="21"/>
              </w:rPr>
              <w:t>“-”</w:t>
            </w:r>
            <w:r>
              <w:rPr>
                <w:color w:val="000000"/>
                <w:szCs w:val="21"/>
              </w:rPr>
              <w:t>填列）</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250" w:type="dxa"/>
            <w:vAlign w:val="center"/>
          </w:tcPr>
          <w:p w:rsidR="003663E4" w:rsidRDefault="00FD3F7D">
            <w:pPr>
              <w:spacing w:line="276" w:lineRule="auto"/>
              <w:jc w:val="right"/>
              <w:rPr>
                <w:color w:val="000000"/>
                <w:szCs w:val="21"/>
              </w:rPr>
            </w:pPr>
            <w:r>
              <w:rPr>
                <w:color w:val="000000"/>
                <w:szCs w:val="21"/>
              </w:rPr>
              <w:t>8,404,098.01</w:t>
            </w:r>
          </w:p>
        </w:tc>
        <w:tc>
          <w:tcPr>
            <w:tcW w:w="2250" w:type="dxa"/>
            <w:vAlign w:val="center"/>
          </w:tcPr>
          <w:p w:rsidR="003663E4" w:rsidRDefault="00FD3F7D">
            <w:pPr>
              <w:spacing w:line="276" w:lineRule="auto"/>
              <w:jc w:val="right"/>
              <w:rPr>
                <w:color w:val="000000"/>
                <w:szCs w:val="21"/>
              </w:rPr>
            </w:pPr>
            <w:r>
              <w:rPr>
                <w:color w:val="000000"/>
                <w:szCs w:val="21"/>
              </w:rPr>
              <w:t>724,725.76</w:t>
            </w:r>
          </w:p>
        </w:tc>
      </w:tr>
      <w:tr w:rsidR="003663E4">
        <w:tc>
          <w:tcPr>
            <w:tcW w:w="3420" w:type="dxa"/>
            <w:vAlign w:val="center"/>
          </w:tcPr>
          <w:p w:rsidR="003663E4" w:rsidRDefault="00FD3F7D">
            <w:pPr>
              <w:spacing w:line="276" w:lineRule="auto"/>
              <w:rPr>
                <w:color w:val="000000"/>
                <w:szCs w:val="21"/>
              </w:rPr>
            </w:pPr>
            <w:r>
              <w:rPr>
                <w:color w:val="000000"/>
                <w:szCs w:val="21"/>
              </w:rPr>
              <w:t>其中：股票投资收益</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250" w:type="dxa"/>
            <w:vAlign w:val="center"/>
          </w:tcPr>
          <w:p w:rsidR="003663E4" w:rsidRDefault="00FD3F7D">
            <w:pPr>
              <w:spacing w:line="276" w:lineRule="auto"/>
              <w:jc w:val="right"/>
              <w:rPr>
                <w:color w:val="000000"/>
                <w:szCs w:val="21"/>
              </w:rPr>
            </w:pPr>
            <w:r>
              <w:rPr>
                <w:color w:val="000000"/>
                <w:szCs w:val="21"/>
              </w:rPr>
              <w:t>-</w:t>
            </w:r>
          </w:p>
        </w:tc>
        <w:tc>
          <w:tcPr>
            <w:tcW w:w="2250" w:type="dxa"/>
            <w:vAlign w:val="center"/>
          </w:tcPr>
          <w:p w:rsidR="003663E4" w:rsidRDefault="00FD3F7D">
            <w:pPr>
              <w:spacing w:line="276" w:lineRule="auto"/>
              <w:jc w:val="right"/>
              <w:rPr>
                <w:color w:val="000000"/>
                <w:szCs w:val="21"/>
              </w:rPr>
            </w:pPr>
            <w:r>
              <w:rPr>
                <w:color w:val="000000"/>
                <w:szCs w:val="21"/>
              </w:rPr>
              <w:t>-</w:t>
            </w:r>
          </w:p>
        </w:tc>
      </w:tr>
      <w:tr w:rsidR="003663E4">
        <w:tc>
          <w:tcPr>
            <w:tcW w:w="3420" w:type="dxa"/>
            <w:vAlign w:val="center"/>
          </w:tcPr>
          <w:p w:rsidR="003663E4" w:rsidRDefault="00FD3F7D">
            <w:pPr>
              <w:spacing w:line="276" w:lineRule="auto"/>
              <w:ind w:firstLineChars="300" w:firstLine="630"/>
              <w:rPr>
                <w:color w:val="000000"/>
                <w:szCs w:val="21"/>
              </w:rPr>
            </w:pPr>
            <w:r>
              <w:rPr>
                <w:color w:val="000000"/>
                <w:szCs w:val="21"/>
              </w:rPr>
              <w:t>基金投资收益</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250" w:type="dxa"/>
            <w:vAlign w:val="center"/>
          </w:tcPr>
          <w:p w:rsidR="003663E4" w:rsidRDefault="00FD3F7D">
            <w:pPr>
              <w:spacing w:line="276" w:lineRule="auto"/>
              <w:jc w:val="right"/>
              <w:rPr>
                <w:color w:val="000000"/>
                <w:szCs w:val="21"/>
              </w:rPr>
            </w:pPr>
            <w:r>
              <w:rPr>
                <w:color w:val="000000"/>
                <w:szCs w:val="21"/>
              </w:rPr>
              <w:t>-</w:t>
            </w:r>
          </w:p>
        </w:tc>
        <w:tc>
          <w:tcPr>
            <w:tcW w:w="2250" w:type="dxa"/>
            <w:vAlign w:val="center"/>
          </w:tcPr>
          <w:p w:rsidR="003663E4" w:rsidRDefault="00FD3F7D">
            <w:pPr>
              <w:spacing w:line="276" w:lineRule="auto"/>
              <w:jc w:val="right"/>
              <w:rPr>
                <w:color w:val="000000"/>
                <w:szCs w:val="21"/>
              </w:rPr>
            </w:pPr>
            <w:r>
              <w:rPr>
                <w:color w:val="000000"/>
                <w:szCs w:val="21"/>
              </w:rPr>
              <w:t>-</w:t>
            </w:r>
          </w:p>
        </w:tc>
      </w:tr>
      <w:tr w:rsidR="003663E4">
        <w:tc>
          <w:tcPr>
            <w:tcW w:w="3420" w:type="dxa"/>
            <w:vAlign w:val="center"/>
          </w:tcPr>
          <w:p w:rsidR="003663E4" w:rsidRDefault="00FD3F7D">
            <w:pPr>
              <w:spacing w:line="276" w:lineRule="auto"/>
              <w:ind w:firstLineChars="300" w:firstLine="630"/>
              <w:rPr>
                <w:color w:val="000000"/>
                <w:szCs w:val="21"/>
              </w:rPr>
            </w:pPr>
            <w:r>
              <w:rPr>
                <w:color w:val="000000"/>
                <w:szCs w:val="21"/>
              </w:rPr>
              <w:t>债券投资收益</w:t>
            </w:r>
          </w:p>
        </w:tc>
        <w:tc>
          <w:tcPr>
            <w:tcW w:w="1080" w:type="dxa"/>
            <w:vAlign w:val="center"/>
          </w:tcPr>
          <w:p w:rsidR="003663E4" w:rsidRDefault="00FD3F7D">
            <w:pPr>
              <w:pStyle w:val="af9"/>
              <w:spacing w:line="276" w:lineRule="auto"/>
              <w:jc w:val="center"/>
              <w:rPr>
                <w:rFonts w:ascii="Times New Roman" w:hAnsi="Times New Roman"/>
                <w:color w:val="000000"/>
                <w:sz w:val="21"/>
                <w:szCs w:val="21"/>
              </w:rPr>
            </w:pPr>
            <w:r>
              <w:rPr>
                <w:rFonts w:ascii="Times New Roman" w:hAnsi="Times New Roman"/>
                <w:color w:val="000000"/>
                <w:sz w:val="21"/>
                <w:szCs w:val="21"/>
              </w:rPr>
              <w:t>7.2.4.7.12</w:t>
            </w:r>
          </w:p>
        </w:tc>
        <w:tc>
          <w:tcPr>
            <w:tcW w:w="2250" w:type="dxa"/>
            <w:vAlign w:val="center"/>
          </w:tcPr>
          <w:p w:rsidR="003663E4" w:rsidRDefault="00FD3F7D">
            <w:pPr>
              <w:spacing w:line="276" w:lineRule="auto"/>
              <w:jc w:val="right"/>
              <w:rPr>
                <w:color w:val="000000"/>
                <w:szCs w:val="21"/>
              </w:rPr>
            </w:pPr>
            <w:r>
              <w:rPr>
                <w:color w:val="000000"/>
                <w:szCs w:val="21"/>
              </w:rPr>
              <w:t>8,404,098.01</w:t>
            </w:r>
          </w:p>
        </w:tc>
        <w:tc>
          <w:tcPr>
            <w:tcW w:w="2250" w:type="dxa"/>
            <w:vAlign w:val="center"/>
          </w:tcPr>
          <w:p w:rsidR="003663E4" w:rsidRDefault="00FD3F7D">
            <w:pPr>
              <w:spacing w:line="276" w:lineRule="auto"/>
              <w:jc w:val="right"/>
              <w:rPr>
                <w:color w:val="000000"/>
                <w:szCs w:val="21"/>
              </w:rPr>
            </w:pPr>
            <w:r>
              <w:rPr>
                <w:color w:val="000000"/>
                <w:szCs w:val="21"/>
              </w:rPr>
              <w:t>724,725.76</w:t>
            </w:r>
          </w:p>
        </w:tc>
      </w:tr>
      <w:tr w:rsidR="003663E4">
        <w:tc>
          <w:tcPr>
            <w:tcW w:w="3420" w:type="dxa"/>
            <w:vAlign w:val="center"/>
          </w:tcPr>
          <w:p w:rsidR="003663E4" w:rsidRDefault="00FD3F7D">
            <w:pPr>
              <w:spacing w:line="276" w:lineRule="auto"/>
              <w:ind w:firstLineChars="300" w:firstLine="630"/>
              <w:rPr>
                <w:color w:val="000000"/>
                <w:szCs w:val="21"/>
              </w:rPr>
            </w:pPr>
            <w:r>
              <w:rPr>
                <w:color w:val="000000"/>
                <w:szCs w:val="21"/>
              </w:rPr>
              <w:t>资产支持证券投资收益</w:t>
            </w:r>
          </w:p>
        </w:tc>
        <w:tc>
          <w:tcPr>
            <w:tcW w:w="1080" w:type="dxa"/>
            <w:vAlign w:val="center"/>
          </w:tcPr>
          <w:p w:rsidR="003663E4" w:rsidRDefault="00FD3F7D">
            <w:pPr>
              <w:pStyle w:val="af9"/>
              <w:spacing w:line="276" w:lineRule="auto"/>
              <w:jc w:val="center"/>
              <w:rPr>
                <w:rFonts w:ascii="Times New Roman" w:hAnsi="Times New Roman"/>
                <w:color w:val="000000"/>
                <w:sz w:val="21"/>
                <w:szCs w:val="21"/>
              </w:rPr>
            </w:pPr>
            <w:r>
              <w:rPr>
                <w:rFonts w:ascii="Times New Roman" w:hAnsi="Times New Roman"/>
                <w:color w:val="000000"/>
                <w:sz w:val="21"/>
                <w:szCs w:val="21"/>
              </w:rPr>
              <w:t>7.2.4.7.13</w:t>
            </w:r>
          </w:p>
        </w:tc>
        <w:tc>
          <w:tcPr>
            <w:tcW w:w="2250" w:type="dxa"/>
            <w:vAlign w:val="center"/>
          </w:tcPr>
          <w:p w:rsidR="003663E4" w:rsidRDefault="00FD3F7D">
            <w:pPr>
              <w:spacing w:line="276" w:lineRule="auto"/>
              <w:jc w:val="right"/>
              <w:rPr>
                <w:color w:val="000000"/>
                <w:szCs w:val="21"/>
              </w:rPr>
            </w:pPr>
            <w:r>
              <w:rPr>
                <w:color w:val="000000"/>
                <w:szCs w:val="21"/>
              </w:rPr>
              <w:t>-</w:t>
            </w:r>
          </w:p>
        </w:tc>
        <w:tc>
          <w:tcPr>
            <w:tcW w:w="2250" w:type="dxa"/>
            <w:vAlign w:val="center"/>
          </w:tcPr>
          <w:p w:rsidR="003663E4" w:rsidRDefault="00FD3F7D">
            <w:pPr>
              <w:spacing w:line="276" w:lineRule="auto"/>
              <w:jc w:val="right"/>
              <w:rPr>
                <w:color w:val="000000"/>
                <w:szCs w:val="21"/>
              </w:rPr>
            </w:pPr>
            <w:r>
              <w:rPr>
                <w:color w:val="000000"/>
                <w:szCs w:val="21"/>
              </w:rPr>
              <w:t>-</w:t>
            </w:r>
          </w:p>
        </w:tc>
      </w:tr>
      <w:tr w:rsidR="003663E4">
        <w:tc>
          <w:tcPr>
            <w:tcW w:w="3420" w:type="dxa"/>
          </w:tcPr>
          <w:p w:rsidR="003663E4" w:rsidRDefault="00FD3F7D">
            <w:pPr>
              <w:spacing w:line="360" w:lineRule="auto"/>
              <w:ind w:firstLineChars="300" w:firstLine="630"/>
              <w:rPr>
                <w:rFonts w:eastAsiaTheme="minorEastAsia"/>
                <w:color w:val="000000"/>
                <w:szCs w:val="21"/>
              </w:rPr>
            </w:pPr>
            <w:r>
              <w:t>贵金属投资收益</w:t>
            </w:r>
          </w:p>
        </w:tc>
        <w:tc>
          <w:tcPr>
            <w:tcW w:w="1080" w:type="dxa"/>
            <w:vAlign w:val="center"/>
          </w:tcPr>
          <w:p w:rsidR="003663E4" w:rsidRDefault="003663E4">
            <w:pPr>
              <w:pStyle w:val="af9"/>
              <w:spacing w:line="360" w:lineRule="auto"/>
              <w:jc w:val="center"/>
              <w:rPr>
                <w:rFonts w:ascii="Times New Roman" w:eastAsiaTheme="minorEastAsia" w:hAnsi="Times New Roman"/>
                <w:color w:val="000000"/>
                <w:sz w:val="21"/>
                <w:szCs w:val="21"/>
              </w:rPr>
            </w:pPr>
          </w:p>
        </w:tc>
        <w:tc>
          <w:tcPr>
            <w:tcW w:w="2250" w:type="dxa"/>
            <w:vAlign w:val="center"/>
          </w:tcPr>
          <w:p w:rsidR="003663E4" w:rsidRDefault="00FD3F7D">
            <w:pPr>
              <w:spacing w:line="360" w:lineRule="auto"/>
              <w:jc w:val="right"/>
              <w:rPr>
                <w:rFonts w:eastAsiaTheme="minorEastAsia"/>
                <w:color w:val="000000"/>
                <w:szCs w:val="21"/>
              </w:rPr>
            </w:pPr>
            <w:r>
              <w:rPr>
                <w:rFonts w:eastAsiaTheme="minorEastAsia"/>
                <w:color w:val="000000"/>
                <w:szCs w:val="21"/>
              </w:rPr>
              <w:t>-</w:t>
            </w:r>
          </w:p>
        </w:tc>
        <w:tc>
          <w:tcPr>
            <w:tcW w:w="2250" w:type="dxa"/>
            <w:vAlign w:val="center"/>
          </w:tcPr>
          <w:p w:rsidR="003663E4" w:rsidRDefault="00FD3F7D">
            <w:pPr>
              <w:spacing w:line="360" w:lineRule="auto"/>
              <w:jc w:val="right"/>
              <w:rPr>
                <w:rFonts w:eastAsiaTheme="minorEastAsia"/>
                <w:color w:val="000000"/>
                <w:szCs w:val="21"/>
              </w:rPr>
            </w:pPr>
            <w:r>
              <w:rPr>
                <w:rFonts w:eastAsiaTheme="minorEastAsia"/>
                <w:color w:val="000000"/>
                <w:szCs w:val="21"/>
              </w:rPr>
              <w:t>-</w:t>
            </w:r>
          </w:p>
        </w:tc>
      </w:tr>
      <w:tr w:rsidR="003663E4">
        <w:tc>
          <w:tcPr>
            <w:tcW w:w="3420" w:type="dxa"/>
            <w:vAlign w:val="center"/>
          </w:tcPr>
          <w:p w:rsidR="003663E4" w:rsidRDefault="00FD3F7D">
            <w:pPr>
              <w:spacing w:line="276" w:lineRule="auto"/>
              <w:ind w:firstLineChars="300" w:firstLine="630"/>
              <w:rPr>
                <w:color w:val="000000"/>
                <w:szCs w:val="21"/>
              </w:rPr>
            </w:pPr>
            <w:r>
              <w:rPr>
                <w:color w:val="000000"/>
                <w:szCs w:val="21"/>
              </w:rPr>
              <w:t>衍生工具收益</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250" w:type="dxa"/>
            <w:vAlign w:val="center"/>
          </w:tcPr>
          <w:p w:rsidR="003663E4" w:rsidRDefault="00FD3F7D">
            <w:pPr>
              <w:spacing w:line="276" w:lineRule="auto"/>
              <w:jc w:val="right"/>
              <w:rPr>
                <w:color w:val="000000"/>
                <w:szCs w:val="21"/>
              </w:rPr>
            </w:pPr>
            <w:r>
              <w:rPr>
                <w:color w:val="000000"/>
                <w:szCs w:val="21"/>
              </w:rPr>
              <w:t>-</w:t>
            </w:r>
          </w:p>
        </w:tc>
        <w:tc>
          <w:tcPr>
            <w:tcW w:w="2250" w:type="dxa"/>
            <w:vAlign w:val="center"/>
          </w:tcPr>
          <w:p w:rsidR="003663E4" w:rsidRDefault="00FD3F7D">
            <w:pPr>
              <w:spacing w:line="276" w:lineRule="auto"/>
              <w:jc w:val="right"/>
              <w:rPr>
                <w:color w:val="000000"/>
                <w:szCs w:val="21"/>
              </w:rPr>
            </w:pPr>
            <w:r>
              <w:rPr>
                <w:color w:val="000000"/>
                <w:szCs w:val="21"/>
              </w:rPr>
              <w:t>-</w:t>
            </w:r>
          </w:p>
        </w:tc>
      </w:tr>
      <w:tr w:rsidR="003663E4">
        <w:tc>
          <w:tcPr>
            <w:tcW w:w="3420" w:type="dxa"/>
            <w:vAlign w:val="center"/>
          </w:tcPr>
          <w:p w:rsidR="003663E4" w:rsidRDefault="00FD3F7D">
            <w:pPr>
              <w:spacing w:line="276" w:lineRule="auto"/>
              <w:ind w:firstLineChars="300" w:firstLine="630"/>
              <w:rPr>
                <w:color w:val="000000"/>
                <w:szCs w:val="21"/>
              </w:rPr>
            </w:pPr>
            <w:r>
              <w:rPr>
                <w:color w:val="000000"/>
                <w:szCs w:val="21"/>
              </w:rPr>
              <w:t>股利收益</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250" w:type="dxa"/>
            <w:vAlign w:val="center"/>
          </w:tcPr>
          <w:p w:rsidR="003663E4" w:rsidRDefault="00FD3F7D">
            <w:pPr>
              <w:spacing w:line="276" w:lineRule="auto"/>
              <w:jc w:val="right"/>
              <w:rPr>
                <w:color w:val="000000"/>
                <w:szCs w:val="21"/>
              </w:rPr>
            </w:pPr>
            <w:r>
              <w:rPr>
                <w:color w:val="000000"/>
                <w:szCs w:val="21"/>
              </w:rPr>
              <w:t>-</w:t>
            </w:r>
          </w:p>
        </w:tc>
        <w:tc>
          <w:tcPr>
            <w:tcW w:w="2250" w:type="dxa"/>
            <w:vAlign w:val="center"/>
          </w:tcPr>
          <w:p w:rsidR="003663E4" w:rsidRDefault="00FD3F7D">
            <w:pPr>
              <w:spacing w:line="276" w:lineRule="auto"/>
              <w:jc w:val="right"/>
              <w:rPr>
                <w:color w:val="000000"/>
                <w:szCs w:val="21"/>
              </w:rPr>
            </w:pPr>
            <w:r>
              <w:rPr>
                <w:color w:val="000000"/>
                <w:szCs w:val="21"/>
              </w:rPr>
              <w:t>-</w:t>
            </w:r>
          </w:p>
        </w:tc>
      </w:tr>
      <w:tr w:rsidR="003663E4">
        <w:tc>
          <w:tcPr>
            <w:tcW w:w="3420" w:type="dxa"/>
            <w:vAlign w:val="center"/>
          </w:tcPr>
          <w:p w:rsidR="003663E4" w:rsidRDefault="00FD3F7D">
            <w:pPr>
              <w:spacing w:line="276" w:lineRule="auto"/>
              <w:rPr>
                <w:color w:val="000000"/>
                <w:szCs w:val="21"/>
              </w:rPr>
            </w:pPr>
            <w:r>
              <w:rPr>
                <w:color w:val="000000"/>
                <w:szCs w:val="21"/>
              </w:rPr>
              <w:t>3.</w:t>
            </w:r>
            <w:r>
              <w:rPr>
                <w:color w:val="000000"/>
                <w:szCs w:val="21"/>
              </w:rPr>
              <w:t>公允价值变动收益（损失以</w:t>
            </w:r>
            <w:r>
              <w:rPr>
                <w:color w:val="000000"/>
                <w:szCs w:val="21"/>
              </w:rPr>
              <w:t>“-”</w:t>
            </w:r>
            <w:r>
              <w:rPr>
                <w:color w:val="000000"/>
                <w:szCs w:val="21"/>
              </w:rPr>
              <w:t>号填列）</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250" w:type="dxa"/>
            <w:vAlign w:val="center"/>
          </w:tcPr>
          <w:p w:rsidR="003663E4" w:rsidRDefault="00FD3F7D">
            <w:pPr>
              <w:spacing w:line="276" w:lineRule="auto"/>
              <w:jc w:val="right"/>
              <w:rPr>
                <w:color w:val="000000"/>
                <w:szCs w:val="21"/>
              </w:rPr>
            </w:pPr>
            <w:r>
              <w:rPr>
                <w:color w:val="000000"/>
                <w:szCs w:val="21"/>
              </w:rPr>
              <w:t>-</w:t>
            </w:r>
          </w:p>
        </w:tc>
        <w:tc>
          <w:tcPr>
            <w:tcW w:w="2250" w:type="dxa"/>
            <w:vAlign w:val="center"/>
          </w:tcPr>
          <w:p w:rsidR="003663E4" w:rsidRDefault="00FD3F7D">
            <w:pPr>
              <w:spacing w:line="276" w:lineRule="auto"/>
              <w:jc w:val="right"/>
              <w:rPr>
                <w:color w:val="000000"/>
                <w:szCs w:val="21"/>
              </w:rPr>
            </w:pPr>
            <w:r>
              <w:rPr>
                <w:color w:val="000000"/>
                <w:szCs w:val="21"/>
              </w:rPr>
              <w:t>-</w:t>
            </w:r>
          </w:p>
        </w:tc>
      </w:tr>
      <w:tr w:rsidR="003663E4">
        <w:tc>
          <w:tcPr>
            <w:tcW w:w="3420" w:type="dxa"/>
            <w:vAlign w:val="center"/>
          </w:tcPr>
          <w:p w:rsidR="003663E4" w:rsidRDefault="00FD3F7D">
            <w:pPr>
              <w:pStyle w:val="af9"/>
              <w:spacing w:line="276" w:lineRule="auto"/>
              <w:jc w:val="both"/>
              <w:rPr>
                <w:rFonts w:ascii="Times New Roman" w:hAnsi="Times New Roman"/>
                <w:color w:val="000000"/>
                <w:sz w:val="21"/>
                <w:szCs w:val="21"/>
              </w:rPr>
            </w:pPr>
            <w:r>
              <w:rPr>
                <w:rFonts w:ascii="Times New Roman" w:hAnsi="Times New Roman"/>
                <w:color w:val="000000"/>
                <w:sz w:val="21"/>
                <w:szCs w:val="21"/>
              </w:rPr>
              <w:t>4.</w:t>
            </w:r>
            <w:r>
              <w:rPr>
                <w:rFonts w:ascii="Times New Roman" w:hAnsi="Times New Roman"/>
                <w:color w:val="000000"/>
                <w:sz w:val="21"/>
                <w:szCs w:val="21"/>
              </w:rPr>
              <w:t>汇兑</w:t>
            </w:r>
            <w:r>
              <w:rPr>
                <w:rFonts w:ascii="Times New Roman" w:hAnsi="Times New Roman"/>
                <w:color w:val="000000"/>
                <w:kern w:val="2"/>
                <w:sz w:val="21"/>
                <w:szCs w:val="21"/>
              </w:rPr>
              <w:t>收益</w:t>
            </w:r>
            <w:r>
              <w:rPr>
                <w:rFonts w:ascii="Times New Roman" w:hAnsi="Times New Roman" w:hint="eastAsia"/>
                <w:color w:val="000000"/>
                <w:kern w:val="2"/>
                <w:sz w:val="21"/>
                <w:szCs w:val="21"/>
              </w:rPr>
              <w:t>（损失以</w:t>
            </w:r>
            <w:r>
              <w:rPr>
                <w:rFonts w:ascii="Times New Roman" w:hAnsi="Times New Roman"/>
                <w:color w:val="000000"/>
                <w:kern w:val="2"/>
                <w:sz w:val="21"/>
                <w:szCs w:val="21"/>
              </w:rPr>
              <w:t>“-”</w:t>
            </w:r>
            <w:r>
              <w:rPr>
                <w:rFonts w:ascii="Times New Roman" w:hAnsi="Times New Roman" w:hint="eastAsia"/>
                <w:color w:val="000000"/>
                <w:kern w:val="2"/>
                <w:sz w:val="21"/>
                <w:szCs w:val="21"/>
              </w:rPr>
              <w:t>号填列）</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250" w:type="dxa"/>
            <w:vAlign w:val="center"/>
          </w:tcPr>
          <w:p w:rsidR="003663E4" w:rsidRDefault="00FD3F7D">
            <w:pPr>
              <w:spacing w:line="276" w:lineRule="auto"/>
              <w:jc w:val="right"/>
              <w:rPr>
                <w:color w:val="000000"/>
                <w:szCs w:val="21"/>
              </w:rPr>
            </w:pPr>
            <w:r>
              <w:rPr>
                <w:color w:val="000000"/>
                <w:szCs w:val="21"/>
              </w:rPr>
              <w:t>-</w:t>
            </w:r>
          </w:p>
        </w:tc>
        <w:tc>
          <w:tcPr>
            <w:tcW w:w="2250" w:type="dxa"/>
            <w:vAlign w:val="center"/>
          </w:tcPr>
          <w:p w:rsidR="003663E4" w:rsidRDefault="00FD3F7D">
            <w:pPr>
              <w:spacing w:line="276" w:lineRule="auto"/>
              <w:jc w:val="right"/>
              <w:rPr>
                <w:color w:val="000000"/>
                <w:szCs w:val="21"/>
              </w:rPr>
            </w:pPr>
            <w:r>
              <w:rPr>
                <w:color w:val="000000"/>
                <w:szCs w:val="21"/>
              </w:rPr>
              <w:t>-</w:t>
            </w:r>
          </w:p>
        </w:tc>
      </w:tr>
      <w:tr w:rsidR="003663E4">
        <w:tc>
          <w:tcPr>
            <w:tcW w:w="3420" w:type="dxa"/>
            <w:vAlign w:val="center"/>
          </w:tcPr>
          <w:p w:rsidR="003663E4" w:rsidRDefault="00FD3F7D">
            <w:pPr>
              <w:spacing w:line="276" w:lineRule="auto"/>
              <w:rPr>
                <w:color w:val="000000"/>
                <w:szCs w:val="21"/>
              </w:rPr>
            </w:pPr>
            <w:r>
              <w:rPr>
                <w:color w:val="000000"/>
                <w:szCs w:val="21"/>
              </w:rPr>
              <w:t>5.</w:t>
            </w:r>
            <w:r>
              <w:rPr>
                <w:color w:val="000000"/>
                <w:szCs w:val="21"/>
              </w:rPr>
              <w:t>其他收入（损失以</w:t>
            </w:r>
            <w:r>
              <w:rPr>
                <w:color w:val="000000"/>
                <w:szCs w:val="21"/>
              </w:rPr>
              <w:t>“-”</w:t>
            </w:r>
            <w:r>
              <w:rPr>
                <w:color w:val="000000"/>
                <w:szCs w:val="21"/>
              </w:rPr>
              <w:t>号填列）</w:t>
            </w:r>
          </w:p>
        </w:tc>
        <w:tc>
          <w:tcPr>
            <w:tcW w:w="1080" w:type="dxa"/>
            <w:vAlign w:val="center"/>
          </w:tcPr>
          <w:p w:rsidR="003663E4" w:rsidRDefault="00FD3F7D">
            <w:pPr>
              <w:pStyle w:val="af9"/>
              <w:spacing w:line="276" w:lineRule="auto"/>
              <w:jc w:val="center"/>
              <w:rPr>
                <w:rFonts w:ascii="Times New Roman" w:hAnsi="Times New Roman"/>
                <w:color w:val="000000"/>
                <w:sz w:val="21"/>
                <w:szCs w:val="21"/>
              </w:rPr>
            </w:pPr>
            <w:r>
              <w:rPr>
                <w:rFonts w:ascii="Times New Roman" w:hAnsi="Times New Roman"/>
                <w:color w:val="000000"/>
                <w:sz w:val="21"/>
                <w:szCs w:val="21"/>
              </w:rPr>
              <w:t>7.2.4.7.14</w:t>
            </w:r>
          </w:p>
        </w:tc>
        <w:tc>
          <w:tcPr>
            <w:tcW w:w="2250" w:type="dxa"/>
            <w:vAlign w:val="center"/>
          </w:tcPr>
          <w:p w:rsidR="003663E4" w:rsidRDefault="00FD3F7D">
            <w:pPr>
              <w:spacing w:line="276" w:lineRule="auto"/>
              <w:jc w:val="right"/>
              <w:rPr>
                <w:color w:val="000000"/>
                <w:szCs w:val="21"/>
              </w:rPr>
            </w:pPr>
            <w:r>
              <w:rPr>
                <w:color w:val="000000"/>
                <w:szCs w:val="21"/>
              </w:rPr>
              <w:t>-</w:t>
            </w:r>
          </w:p>
        </w:tc>
        <w:tc>
          <w:tcPr>
            <w:tcW w:w="2250" w:type="dxa"/>
            <w:vAlign w:val="center"/>
          </w:tcPr>
          <w:p w:rsidR="003663E4" w:rsidRDefault="00FD3F7D">
            <w:pPr>
              <w:spacing w:line="276" w:lineRule="auto"/>
              <w:jc w:val="right"/>
              <w:rPr>
                <w:color w:val="000000"/>
                <w:szCs w:val="21"/>
              </w:rPr>
            </w:pPr>
            <w:r>
              <w:rPr>
                <w:color w:val="000000"/>
                <w:szCs w:val="21"/>
              </w:rPr>
              <w:t>50,229.44</w:t>
            </w:r>
          </w:p>
        </w:tc>
      </w:tr>
      <w:tr w:rsidR="003663E4">
        <w:tc>
          <w:tcPr>
            <w:tcW w:w="3420" w:type="dxa"/>
            <w:vAlign w:val="center"/>
          </w:tcPr>
          <w:p w:rsidR="003663E4" w:rsidRDefault="00FD3F7D">
            <w:pPr>
              <w:spacing w:line="276" w:lineRule="auto"/>
              <w:rPr>
                <w:b/>
                <w:color w:val="000000"/>
                <w:szCs w:val="21"/>
              </w:rPr>
            </w:pPr>
            <w:r>
              <w:rPr>
                <w:b/>
                <w:color w:val="000000"/>
                <w:szCs w:val="21"/>
              </w:rPr>
              <w:t>减：二、费用</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250" w:type="dxa"/>
            <w:vAlign w:val="center"/>
          </w:tcPr>
          <w:p w:rsidR="003663E4" w:rsidRDefault="00FD3F7D">
            <w:pPr>
              <w:spacing w:line="276" w:lineRule="auto"/>
              <w:jc w:val="right"/>
              <w:rPr>
                <w:b/>
                <w:color w:val="000000"/>
                <w:szCs w:val="21"/>
              </w:rPr>
            </w:pPr>
            <w:r>
              <w:rPr>
                <w:b/>
                <w:color w:val="000000"/>
                <w:szCs w:val="21"/>
              </w:rPr>
              <w:t>18,699,437.93</w:t>
            </w:r>
          </w:p>
        </w:tc>
        <w:tc>
          <w:tcPr>
            <w:tcW w:w="2250" w:type="dxa"/>
            <w:vAlign w:val="center"/>
          </w:tcPr>
          <w:p w:rsidR="003663E4" w:rsidRDefault="00FD3F7D">
            <w:pPr>
              <w:spacing w:line="276" w:lineRule="auto"/>
              <w:jc w:val="right"/>
              <w:rPr>
                <w:b/>
                <w:color w:val="000000"/>
                <w:szCs w:val="21"/>
              </w:rPr>
            </w:pPr>
            <w:r>
              <w:rPr>
                <w:b/>
                <w:color w:val="000000"/>
                <w:szCs w:val="21"/>
              </w:rPr>
              <w:t>47,652,024.06</w:t>
            </w:r>
          </w:p>
        </w:tc>
      </w:tr>
      <w:tr w:rsidR="003663E4">
        <w:tc>
          <w:tcPr>
            <w:tcW w:w="3420" w:type="dxa"/>
            <w:vAlign w:val="center"/>
          </w:tcPr>
          <w:p w:rsidR="003663E4" w:rsidRDefault="00FD3F7D">
            <w:pPr>
              <w:spacing w:line="276" w:lineRule="auto"/>
              <w:rPr>
                <w:color w:val="000000"/>
                <w:szCs w:val="21"/>
              </w:rPr>
            </w:pPr>
            <w:r>
              <w:rPr>
                <w:color w:val="000000"/>
                <w:szCs w:val="21"/>
              </w:rPr>
              <w:t>1</w:t>
            </w:r>
            <w:r>
              <w:rPr>
                <w:color w:val="000000"/>
                <w:szCs w:val="21"/>
              </w:rPr>
              <w:t>．管理人报酬</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250" w:type="dxa"/>
            <w:vAlign w:val="center"/>
          </w:tcPr>
          <w:p w:rsidR="003663E4" w:rsidRDefault="00FD3F7D">
            <w:pPr>
              <w:spacing w:line="276" w:lineRule="auto"/>
              <w:jc w:val="right"/>
              <w:rPr>
                <w:color w:val="000000"/>
                <w:szCs w:val="21"/>
              </w:rPr>
            </w:pPr>
            <w:r>
              <w:rPr>
                <w:color w:val="000000"/>
                <w:szCs w:val="21"/>
              </w:rPr>
              <w:t>7,552,985.97</w:t>
            </w:r>
          </w:p>
        </w:tc>
        <w:tc>
          <w:tcPr>
            <w:tcW w:w="2250" w:type="dxa"/>
            <w:vAlign w:val="center"/>
          </w:tcPr>
          <w:p w:rsidR="003663E4" w:rsidRDefault="00FD3F7D">
            <w:pPr>
              <w:spacing w:line="276" w:lineRule="auto"/>
              <w:jc w:val="right"/>
              <w:rPr>
                <w:color w:val="000000"/>
                <w:szCs w:val="21"/>
              </w:rPr>
            </w:pPr>
            <w:r>
              <w:rPr>
                <w:color w:val="000000"/>
                <w:szCs w:val="21"/>
              </w:rPr>
              <w:t>17,349,540.50</w:t>
            </w:r>
          </w:p>
        </w:tc>
      </w:tr>
      <w:tr w:rsidR="003663E4">
        <w:tc>
          <w:tcPr>
            <w:tcW w:w="3420" w:type="dxa"/>
            <w:vAlign w:val="center"/>
          </w:tcPr>
          <w:p w:rsidR="003663E4" w:rsidRDefault="00FD3F7D">
            <w:pPr>
              <w:spacing w:line="276" w:lineRule="auto"/>
              <w:rPr>
                <w:color w:val="000000"/>
                <w:szCs w:val="21"/>
              </w:rPr>
            </w:pPr>
            <w:r>
              <w:rPr>
                <w:color w:val="000000"/>
                <w:szCs w:val="21"/>
              </w:rPr>
              <w:t>2</w:t>
            </w:r>
            <w:r>
              <w:rPr>
                <w:color w:val="000000"/>
                <w:szCs w:val="21"/>
              </w:rPr>
              <w:t>．托管费</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250" w:type="dxa"/>
            <w:vAlign w:val="center"/>
          </w:tcPr>
          <w:p w:rsidR="003663E4" w:rsidRDefault="00FD3F7D">
            <w:pPr>
              <w:spacing w:line="276" w:lineRule="auto"/>
              <w:jc w:val="right"/>
              <w:rPr>
                <w:color w:val="000000"/>
                <w:szCs w:val="21"/>
              </w:rPr>
            </w:pPr>
            <w:r>
              <w:rPr>
                <w:color w:val="000000"/>
                <w:szCs w:val="21"/>
              </w:rPr>
              <w:t>3,021,194.46</w:t>
            </w:r>
          </w:p>
        </w:tc>
        <w:tc>
          <w:tcPr>
            <w:tcW w:w="2250" w:type="dxa"/>
            <w:vAlign w:val="center"/>
          </w:tcPr>
          <w:p w:rsidR="003663E4" w:rsidRDefault="00FD3F7D">
            <w:pPr>
              <w:spacing w:line="276" w:lineRule="auto"/>
              <w:jc w:val="right"/>
              <w:rPr>
                <w:color w:val="000000"/>
                <w:szCs w:val="21"/>
              </w:rPr>
            </w:pPr>
            <w:r>
              <w:rPr>
                <w:color w:val="000000"/>
                <w:szCs w:val="21"/>
              </w:rPr>
              <w:t>6,939,816.32</w:t>
            </w:r>
          </w:p>
        </w:tc>
      </w:tr>
      <w:tr w:rsidR="003663E4">
        <w:tc>
          <w:tcPr>
            <w:tcW w:w="3420" w:type="dxa"/>
            <w:vAlign w:val="center"/>
          </w:tcPr>
          <w:p w:rsidR="003663E4" w:rsidRDefault="00FD3F7D">
            <w:pPr>
              <w:spacing w:line="276" w:lineRule="auto"/>
              <w:rPr>
                <w:color w:val="000000"/>
                <w:szCs w:val="21"/>
              </w:rPr>
            </w:pPr>
            <w:r>
              <w:rPr>
                <w:color w:val="000000"/>
                <w:szCs w:val="21"/>
              </w:rPr>
              <w:t>3</w:t>
            </w:r>
            <w:r>
              <w:rPr>
                <w:color w:val="000000"/>
                <w:szCs w:val="21"/>
              </w:rPr>
              <w:t>．销售服务费</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250" w:type="dxa"/>
            <w:vAlign w:val="center"/>
          </w:tcPr>
          <w:p w:rsidR="003663E4" w:rsidRDefault="00FD3F7D">
            <w:pPr>
              <w:spacing w:line="276" w:lineRule="auto"/>
              <w:jc w:val="right"/>
              <w:rPr>
                <w:color w:val="000000"/>
                <w:szCs w:val="21"/>
              </w:rPr>
            </w:pPr>
            <w:r>
              <w:rPr>
                <w:color w:val="000000"/>
                <w:szCs w:val="21"/>
              </w:rPr>
              <w:t>385,565.58</w:t>
            </w:r>
          </w:p>
        </w:tc>
        <w:tc>
          <w:tcPr>
            <w:tcW w:w="2250" w:type="dxa"/>
            <w:vAlign w:val="center"/>
          </w:tcPr>
          <w:p w:rsidR="003663E4" w:rsidRDefault="00FD3F7D">
            <w:pPr>
              <w:spacing w:line="276" w:lineRule="auto"/>
              <w:jc w:val="right"/>
              <w:rPr>
                <w:color w:val="000000"/>
                <w:szCs w:val="21"/>
              </w:rPr>
            </w:pPr>
            <w:r>
              <w:rPr>
                <w:color w:val="000000"/>
                <w:szCs w:val="21"/>
              </w:rPr>
              <w:t>894,025.44</w:t>
            </w:r>
          </w:p>
        </w:tc>
      </w:tr>
      <w:tr w:rsidR="003663E4">
        <w:tc>
          <w:tcPr>
            <w:tcW w:w="3420" w:type="dxa"/>
            <w:vAlign w:val="center"/>
          </w:tcPr>
          <w:p w:rsidR="003663E4" w:rsidRDefault="00FD3F7D">
            <w:pPr>
              <w:spacing w:line="276" w:lineRule="auto"/>
              <w:rPr>
                <w:color w:val="000000"/>
                <w:szCs w:val="21"/>
              </w:rPr>
            </w:pPr>
            <w:r>
              <w:rPr>
                <w:color w:val="000000"/>
                <w:szCs w:val="21"/>
              </w:rPr>
              <w:t>4</w:t>
            </w:r>
            <w:r>
              <w:rPr>
                <w:color w:val="000000"/>
                <w:szCs w:val="21"/>
              </w:rPr>
              <w:t>．交易费用</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250" w:type="dxa"/>
            <w:vAlign w:val="center"/>
          </w:tcPr>
          <w:p w:rsidR="003663E4" w:rsidRDefault="00FD3F7D">
            <w:pPr>
              <w:spacing w:line="276" w:lineRule="auto"/>
              <w:jc w:val="right"/>
              <w:rPr>
                <w:color w:val="000000"/>
                <w:szCs w:val="21"/>
              </w:rPr>
            </w:pPr>
            <w:r>
              <w:rPr>
                <w:color w:val="000000"/>
                <w:szCs w:val="21"/>
              </w:rPr>
              <w:t>-</w:t>
            </w:r>
          </w:p>
        </w:tc>
        <w:tc>
          <w:tcPr>
            <w:tcW w:w="2250" w:type="dxa"/>
            <w:vAlign w:val="center"/>
          </w:tcPr>
          <w:p w:rsidR="003663E4" w:rsidRDefault="00FD3F7D">
            <w:pPr>
              <w:spacing w:line="276" w:lineRule="auto"/>
              <w:jc w:val="right"/>
              <w:rPr>
                <w:color w:val="000000"/>
                <w:szCs w:val="21"/>
              </w:rPr>
            </w:pPr>
            <w:r>
              <w:rPr>
                <w:color w:val="000000"/>
                <w:szCs w:val="21"/>
              </w:rPr>
              <w:t>-</w:t>
            </w:r>
          </w:p>
        </w:tc>
      </w:tr>
      <w:tr w:rsidR="003663E4">
        <w:tc>
          <w:tcPr>
            <w:tcW w:w="3420" w:type="dxa"/>
            <w:vAlign w:val="center"/>
          </w:tcPr>
          <w:p w:rsidR="003663E4" w:rsidRDefault="00FD3F7D">
            <w:pPr>
              <w:spacing w:line="276" w:lineRule="auto"/>
              <w:rPr>
                <w:color w:val="000000"/>
                <w:szCs w:val="21"/>
              </w:rPr>
            </w:pPr>
            <w:r>
              <w:rPr>
                <w:color w:val="000000"/>
                <w:szCs w:val="21"/>
              </w:rPr>
              <w:t>5</w:t>
            </w:r>
            <w:r>
              <w:rPr>
                <w:color w:val="000000"/>
                <w:szCs w:val="21"/>
              </w:rPr>
              <w:t>．利息支出</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250" w:type="dxa"/>
            <w:vAlign w:val="center"/>
          </w:tcPr>
          <w:p w:rsidR="003663E4" w:rsidRDefault="00FD3F7D">
            <w:pPr>
              <w:spacing w:line="276" w:lineRule="auto"/>
              <w:jc w:val="right"/>
              <w:rPr>
                <w:color w:val="000000"/>
                <w:szCs w:val="21"/>
              </w:rPr>
            </w:pPr>
            <w:r>
              <w:rPr>
                <w:color w:val="000000"/>
                <w:szCs w:val="21"/>
              </w:rPr>
              <w:t>7,364,588.44</w:t>
            </w:r>
          </w:p>
        </w:tc>
        <w:tc>
          <w:tcPr>
            <w:tcW w:w="2250" w:type="dxa"/>
            <w:vAlign w:val="center"/>
          </w:tcPr>
          <w:p w:rsidR="003663E4" w:rsidRDefault="00FD3F7D">
            <w:pPr>
              <w:spacing w:line="276" w:lineRule="auto"/>
              <w:jc w:val="right"/>
              <w:rPr>
                <w:color w:val="000000"/>
                <w:szCs w:val="21"/>
              </w:rPr>
            </w:pPr>
            <w:r>
              <w:rPr>
                <w:color w:val="000000"/>
                <w:szCs w:val="21"/>
              </w:rPr>
              <w:t>21,986,101.85</w:t>
            </w:r>
          </w:p>
        </w:tc>
      </w:tr>
      <w:tr w:rsidR="003663E4">
        <w:tc>
          <w:tcPr>
            <w:tcW w:w="3420" w:type="dxa"/>
            <w:vAlign w:val="center"/>
          </w:tcPr>
          <w:p w:rsidR="003663E4" w:rsidRDefault="00FD3F7D">
            <w:pPr>
              <w:spacing w:line="276" w:lineRule="auto"/>
              <w:rPr>
                <w:color w:val="000000"/>
                <w:szCs w:val="21"/>
              </w:rPr>
            </w:pPr>
            <w:r>
              <w:rPr>
                <w:color w:val="000000"/>
                <w:szCs w:val="21"/>
              </w:rPr>
              <w:t>其中：卖出回购金融资产支出</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250" w:type="dxa"/>
            <w:vAlign w:val="center"/>
          </w:tcPr>
          <w:p w:rsidR="003663E4" w:rsidRDefault="00FD3F7D">
            <w:pPr>
              <w:spacing w:line="276" w:lineRule="auto"/>
              <w:jc w:val="right"/>
              <w:rPr>
                <w:color w:val="000000"/>
                <w:szCs w:val="21"/>
              </w:rPr>
            </w:pPr>
            <w:r>
              <w:rPr>
                <w:color w:val="000000"/>
                <w:szCs w:val="21"/>
              </w:rPr>
              <w:t>7,364,588.44</w:t>
            </w:r>
          </w:p>
        </w:tc>
        <w:tc>
          <w:tcPr>
            <w:tcW w:w="2250" w:type="dxa"/>
            <w:vAlign w:val="center"/>
          </w:tcPr>
          <w:p w:rsidR="003663E4" w:rsidRDefault="00FD3F7D">
            <w:pPr>
              <w:spacing w:line="276" w:lineRule="auto"/>
              <w:jc w:val="right"/>
              <w:rPr>
                <w:color w:val="000000"/>
                <w:szCs w:val="21"/>
              </w:rPr>
            </w:pPr>
            <w:r>
              <w:rPr>
                <w:color w:val="000000"/>
                <w:szCs w:val="21"/>
              </w:rPr>
              <w:t>21,986,101.85</w:t>
            </w:r>
          </w:p>
        </w:tc>
      </w:tr>
      <w:tr w:rsidR="003663E4">
        <w:tc>
          <w:tcPr>
            <w:tcW w:w="3420" w:type="dxa"/>
            <w:vAlign w:val="center"/>
          </w:tcPr>
          <w:p w:rsidR="003663E4" w:rsidRDefault="00FD3F7D">
            <w:pPr>
              <w:spacing w:line="276" w:lineRule="auto"/>
              <w:rPr>
                <w:rFonts w:eastAsiaTheme="minorEastAsia"/>
                <w:color w:val="000000"/>
                <w:szCs w:val="21"/>
                <w:highlight w:val="red"/>
              </w:rPr>
            </w:pPr>
            <w:r>
              <w:rPr>
                <w:rFonts w:hint="eastAsia"/>
                <w:color w:val="000000"/>
                <w:szCs w:val="21"/>
              </w:rPr>
              <w:t>6</w:t>
            </w:r>
            <w:r>
              <w:rPr>
                <w:color w:val="000000"/>
                <w:szCs w:val="21"/>
              </w:rPr>
              <w:t>．</w:t>
            </w:r>
            <w:r>
              <w:rPr>
                <w:rFonts w:hint="eastAsia"/>
                <w:color w:val="000000"/>
                <w:szCs w:val="21"/>
              </w:rPr>
              <w:t>税金及附加</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250" w:type="dxa"/>
            <w:vAlign w:val="bottom"/>
          </w:tcPr>
          <w:p w:rsidR="003663E4" w:rsidRDefault="00FD3F7D">
            <w:pPr>
              <w:spacing w:line="276" w:lineRule="auto"/>
              <w:jc w:val="right"/>
              <w:rPr>
                <w:color w:val="000000"/>
                <w:szCs w:val="21"/>
              </w:rPr>
            </w:pPr>
            <w:r>
              <w:rPr>
                <w:color w:val="000000"/>
                <w:szCs w:val="21"/>
              </w:rPr>
              <w:t>136,143.99</w:t>
            </w:r>
          </w:p>
        </w:tc>
        <w:tc>
          <w:tcPr>
            <w:tcW w:w="2250" w:type="dxa"/>
            <w:vAlign w:val="bottom"/>
          </w:tcPr>
          <w:p w:rsidR="003663E4" w:rsidRDefault="00FD3F7D">
            <w:pPr>
              <w:spacing w:line="276" w:lineRule="auto"/>
              <w:jc w:val="right"/>
              <w:rPr>
                <w:color w:val="000000"/>
                <w:szCs w:val="21"/>
              </w:rPr>
            </w:pPr>
            <w:r>
              <w:rPr>
                <w:color w:val="000000"/>
                <w:szCs w:val="21"/>
              </w:rPr>
              <w:t>124,621.35</w:t>
            </w:r>
          </w:p>
        </w:tc>
      </w:tr>
      <w:tr w:rsidR="003663E4">
        <w:tc>
          <w:tcPr>
            <w:tcW w:w="3420" w:type="dxa"/>
            <w:vAlign w:val="center"/>
          </w:tcPr>
          <w:p w:rsidR="003663E4" w:rsidRDefault="00FD3F7D">
            <w:pPr>
              <w:spacing w:line="276" w:lineRule="auto"/>
              <w:rPr>
                <w:color w:val="000000"/>
                <w:szCs w:val="21"/>
              </w:rPr>
            </w:pPr>
            <w:r>
              <w:rPr>
                <w:color w:val="000000"/>
                <w:szCs w:val="21"/>
              </w:rPr>
              <w:t>7</w:t>
            </w:r>
            <w:r>
              <w:rPr>
                <w:color w:val="000000"/>
                <w:szCs w:val="21"/>
              </w:rPr>
              <w:t>．其他费用</w:t>
            </w:r>
          </w:p>
        </w:tc>
        <w:tc>
          <w:tcPr>
            <w:tcW w:w="1080" w:type="dxa"/>
            <w:vAlign w:val="center"/>
          </w:tcPr>
          <w:p w:rsidR="003663E4" w:rsidRDefault="00FD3F7D">
            <w:pPr>
              <w:pStyle w:val="af9"/>
              <w:spacing w:line="276" w:lineRule="auto"/>
              <w:jc w:val="center"/>
              <w:rPr>
                <w:rFonts w:ascii="Times New Roman" w:hAnsi="Times New Roman"/>
                <w:color w:val="000000"/>
                <w:sz w:val="21"/>
                <w:szCs w:val="21"/>
              </w:rPr>
            </w:pPr>
            <w:r>
              <w:rPr>
                <w:rFonts w:ascii="Times New Roman" w:hAnsi="Times New Roman"/>
                <w:color w:val="000000"/>
                <w:sz w:val="21"/>
                <w:szCs w:val="21"/>
              </w:rPr>
              <w:t>7.2.4.7.15</w:t>
            </w:r>
          </w:p>
        </w:tc>
        <w:tc>
          <w:tcPr>
            <w:tcW w:w="2250" w:type="dxa"/>
            <w:vAlign w:val="center"/>
          </w:tcPr>
          <w:p w:rsidR="003663E4" w:rsidRDefault="00FD3F7D">
            <w:pPr>
              <w:spacing w:line="276" w:lineRule="auto"/>
              <w:jc w:val="right"/>
              <w:rPr>
                <w:color w:val="000000"/>
                <w:szCs w:val="21"/>
              </w:rPr>
            </w:pPr>
            <w:r>
              <w:rPr>
                <w:color w:val="000000"/>
                <w:szCs w:val="21"/>
              </w:rPr>
              <w:t>238,959.49</w:t>
            </w:r>
          </w:p>
        </w:tc>
        <w:tc>
          <w:tcPr>
            <w:tcW w:w="2250" w:type="dxa"/>
            <w:vAlign w:val="center"/>
          </w:tcPr>
          <w:p w:rsidR="003663E4" w:rsidRDefault="00FD3F7D">
            <w:pPr>
              <w:spacing w:line="276" w:lineRule="auto"/>
              <w:jc w:val="right"/>
              <w:rPr>
                <w:color w:val="000000"/>
                <w:szCs w:val="21"/>
              </w:rPr>
            </w:pPr>
            <w:r>
              <w:rPr>
                <w:color w:val="000000"/>
                <w:szCs w:val="21"/>
              </w:rPr>
              <w:t>357,918.60</w:t>
            </w:r>
          </w:p>
        </w:tc>
      </w:tr>
      <w:tr w:rsidR="003663E4">
        <w:tc>
          <w:tcPr>
            <w:tcW w:w="3420" w:type="dxa"/>
            <w:vAlign w:val="center"/>
          </w:tcPr>
          <w:p w:rsidR="003663E4" w:rsidRDefault="00FD3F7D">
            <w:pPr>
              <w:spacing w:line="276" w:lineRule="auto"/>
              <w:rPr>
                <w:b/>
                <w:color w:val="000000"/>
                <w:szCs w:val="21"/>
              </w:rPr>
            </w:pPr>
            <w:r>
              <w:rPr>
                <w:b/>
                <w:color w:val="000000"/>
                <w:szCs w:val="21"/>
              </w:rPr>
              <w:t>三、利润总额（亏损总额以</w:t>
            </w:r>
            <w:r>
              <w:rPr>
                <w:b/>
                <w:color w:val="000000"/>
                <w:szCs w:val="21"/>
              </w:rPr>
              <w:t>“-”</w:t>
            </w:r>
            <w:r>
              <w:rPr>
                <w:b/>
                <w:color w:val="000000"/>
                <w:szCs w:val="21"/>
              </w:rPr>
              <w:t>号填列）</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250" w:type="dxa"/>
            <w:vAlign w:val="center"/>
          </w:tcPr>
          <w:p w:rsidR="003663E4" w:rsidRDefault="00FD3F7D">
            <w:pPr>
              <w:spacing w:line="276" w:lineRule="auto"/>
              <w:jc w:val="right"/>
              <w:rPr>
                <w:b/>
                <w:color w:val="000000"/>
                <w:szCs w:val="21"/>
              </w:rPr>
            </w:pPr>
            <w:r>
              <w:rPr>
                <w:b/>
                <w:color w:val="000000"/>
                <w:szCs w:val="21"/>
              </w:rPr>
              <w:t>91,175,828.82</w:t>
            </w:r>
          </w:p>
        </w:tc>
        <w:tc>
          <w:tcPr>
            <w:tcW w:w="2250" w:type="dxa"/>
            <w:vAlign w:val="center"/>
          </w:tcPr>
          <w:p w:rsidR="003663E4" w:rsidRDefault="00FD3F7D">
            <w:pPr>
              <w:spacing w:line="276" w:lineRule="auto"/>
              <w:jc w:val="right"/>
              <w:rPr>
                <w:b/>
                <w:color w:val="000000"/>
                <w:szCs w:val="21"/>
              </w:rPr>
            </w:pPr>
            <w:r>
              <w:rPr>
                <w:b/>
                <w:color w:val="000000"/>
                <w:szCs w:val="21"/>
              </w:rPr>
              <w:t>269,410,303.27</w:t>
            </w:r>
          </w:p>
        </w:tc>
      </w:tr>
      <w:tr w:rsidR="003663E4">
        <w:tc>
          <w:tcPr>
            <w:tcW w:w="3420" w:type="dxa"/>
            <w:vAlign w:val="center"/>
          </w:tcPr>
          <w:p w:rsidR="003663E4" w:rsidRDefault="00FD3F7D">
            <w:pPr>
              <w:spacing w:line="276" w:lineRule="auto"/>
              <w:rPr>
                <w:b/>
                <w:color w:val="000000"/>
                <w:szCs w:val="21"/>
              </w:rPr>
            </w:pPr>
            <w:r>
              <w:rPr>
                <w:color w:val="000000"/>
                <w:szCs w:val="21"/>
              </w:rPr>
              <w:t>减：所得税费用</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250" w:type="dxa"/>
            <w:vAlign w:val="center"/>
          </w:tcPr>
          <w:p w:rsidR="003663E4" w:rsidRDefault="00FD3F7D">
            <w:pPr>
              <w:spacing w:line="276" w:lineRule="auto"/>
              <w:jc w:val="right"/>
              <w:rPr>
                <w:color w:val="000000"/>
                <w:szCs w:val="21"/>
              </w:rPr>
            </w:pPr>
            <w:r>
              <w:rPr>
                <w:color w:val="000000"/>
                <w:szCs w:val="21"/>
              </w:rPr>
              <w:t>-</w:t>
            </w:r>
          </w:p>
        </w:tc>
        <w:tc>
          <w:tcPr>
            <w:tcW w:w="2250" w:type="dxa"/>
            <w:vAlign w:val="center"/>
          </w:tcPr>
          <w:p w:rsidR="003663E4" w:rsidRDefault="00FD3F7D">
            <w:pPr>
              <w:spacing w:line="276" w:lineRule="auto"/>
              <w:jc w:val="right"/>
              <w:rPr>
                <w:color w:val="000000"/>
                <w:szCs w:val="21"/>
              </w:rPr>
            </w:pPr>
            <w:r>
              <w:rPr>
                <w:color w:val="000000"/>
                <w:szCs w:val="21"/>
              </w:rPr>
              <w:t>-</w:t>
            </w:r>
          </w:p>
        </w:tc>
      </w:tr>
      <w:tr w:rsidR="003663E4">
        <w:tc>
          <w:tcPr>
            <w:tcW w:w="3420" w:type="dxa"/>
            <w:vAlign w:val="center"/>
          </w:tcPr>
          <w:p w:rsidR="003663E4" w:rsidRDefault="00FD3F7D">
            <w:pPr>
              <w:spacing w:line="276" w:lineRule="auto"/>
              <w:rPr>
                <w:b/>
                <w:color w:val="000000"/>
                <w:szCs w:val="21"/>
              </w:rPr>
            </w:pPr>
            <w:r>
              <w:rPr>
                <w:b/>
                <w:color w:val="000000"/>
                <w:szCs w:val="21"/>
              </w:rPr>
              <w:t>四、净利润（净亏损以</w:t>
            </w:r>
            <w:r>
              <w:rPr>
                <w:b/>
                <w:color w:val="000000"/>
                <w:szCs w:val="21"/>
              </w:rPr>
              <w:t>“-”</w:t>
            </w:r>
            <w:r>
              <w:rPr>
                <w:b/>
                <w:color w:val="000000"/>
                <w:szCs w:val="21"/>
              </w:rPr>
              <w:t>号填列）</w:t>
            </w:r>
          </w:p>
        </w:tc>
        <w:tc>
          <w:tcPr>
            <w:tcW w:w="1080" w:type="dxa"/>
            <w:vAlign w:val="center"/>
          </w:tcPr>
          <w:p w:rsidR="003663E4" w:rsidRDefault="003663E4">
            <w:pPr>
              <w:pStyle w:val="af9"/>
              <w:spacing w:line="276" w:lineRule="auto"/>
              <w:jc w:val="center"/>
              <w:rPr>
                <w:rFonts w:ascii="Times New Roman" w:hAnsi="Times New Roman"/>
                <w:color w:val="000000"/>
                <w:sz w:val="21"/>
                <w:szCs w:val="21"/>
              </w:rPr>
            </w:pPr>
          </w:p>
        </w:tc>
        <w:tc>
          <w:tcPr>
            <w:tcW w:w="2250" w:type="dxa"/>
            <w:vAlign w:val="center"/>
          </w:tcPr>
          <w:p w:rsidR="003663E4" w:rsidRDefault="00FD3F7D">
            <w:pPr>
              <w:spacing w:line="276" w:lineRule="auto"/>
              <w:jc w:val="right"/>
              <w:rPr>
                <w:b/>
                <w:color w:val="000000"/>
                <w:szCs w:val="21"/>
              </w:rPr>
            </w:pPr>
            <w:r>
              <w:rPr>
                <w:b/>
                <w:color w:val="000000"/>
                <w:szCs w:val="21"/>
              </w:rPr>
              <w:t>91,175,828.82</w:t>
            </w:r>
          </w:p>
        </w:tc>
        <w:tc>
          <w:tcPr>
            <w:tcW w:w="2250" w:type="dxa"/>
            <w:vAlign w:val="center"/>
          </w:tcPr>
          <w:p w:rsidR="003663E4" w:rsidRDefault="00FD3F7D">
            <w:pPr>
              <w:spacing w:line="276" w:lineRule="auto"/>
              <w:jc w:val="right"/>
              <w:rPr>
                <w:b/>
                <w:color w:val="000000"/>
                <w:szCs w:val="21"/>
              </w:rPr>
            </w:pPr>
            <w:r>
              <w:rPr>
                <w:b/>
                <w:color w:val="000000"/>
                <w:szCs w:val="21"/>
              </w:rPr>
              <w:t>269,410,303.27</w:t>
            </w:r>
          </w:p>
        </w:tc>
      </w:tr>
    </w:tbl>
    <w:p w:rsidR="003663E4" w:rsidRDefault="00FD3F7D">
      <w:pPr>
        <w:pStyle w:val="3"/>
        <w:spacing w:beforeLines="50" w:before="156" w:after="0" w:line="360" w:lineRule="auto"/>
        <w:rPr>
          <w:color w:val="000000"/>
          <w:sz w:val="21"/>
          <w:szCs w:val="21"/>
        </w:rPr>
      </w:pPr>
      <w:bookmarkStart w:id="177" w:name="_Toc508540290"/>
      <w:bookmarkStart w:id="178" w:name="_Toc409100439"/>
      <w:bookmarkStart w:id="179" w:name="_Toc23339386"/>
      <w:bookmarkStart w:id="180" w:name="_Toc409100076"/>
      <w:bookmarkStart w:id="181" w:name="_Toc225498270"/>
      <w:bookmarkStart w:id="182" w:name="_Toc361324875"/>
      <w:bookmarkStart w:id="183" w:name="_Toc7133"/>
      <w:r>
        <w:rPr>
          <w:color w:val="000000"/>
          <w:kern w:val="0"/>
          <w:sz w:val="21"/>
          <w:szCs w:val="21"/>
        </w:rPr>
        <w:t>7.2.3</w:t>
      </w:r>
      <w:r>
        <w:rPr>
          <w:color w:val="000000"/>
          <w:sz w:val="21"/>
          <w:szCs w:val="21"/>
        </w:rPr>
        <w:t xml:space="preserve"> </w:t>
      </w:r>
      <w:r>
        <w:rPr>
          <w:color w:val="000000"/>
          <w:sz w:val="21"/>
          <w:szCs w:val="21"/>
        </w:rPr>
        <w:t>所有者权益（基金净值）变动表</w:t>
      </w:r>
      <w:bookmarkEnd w:id="177"/>
      <w:bookmarkEnd w:id="178"/>
      <w:bookmarkEnd w:id="179"/>
      <w:bookmarkEnd w:id="180"/>
      <w:bookmarkEnd w:id="181"/>
      <w:bookmarkEnd w:id="182"/>
      <w:bookmarkEnd w:id="183"/>
    </w:p>
    <w:p w:rsidR="003663E4" w:rsidRDefault="00FD3F7D">
      <w:pPr>
        <w:spacing w:line="360" w:lineRule="auto"/>
        <w:rPr>
          <w:color w:val="000000"/>
          <w:kern w:val="0"/>
          <w:szCs w:val="21"/>
        </w:rPr>
      </w:pPr>
      <w:r>
        <w:rPr>
          <w:color w:val="000000"/>
          <w:szCs w:val="21"/>
        </w:rPr>
        <w:t>会计主体：</w:t>
      </w:r>
      <w:r>
        <w:rPr>
          <w:color w:val="000000"/>
          <w:kern w:val="0"/>
          <w:szCs w:val="21"/>
        </w:rPr>
        <w:t>交银施罗德理财</w:t>
      </w:r>
      <w:r>
        <w:rPr>
          <w:color w:val="000000"/>
          <w:kern w:val="0"/>
          <w:szCs w:val="21"/>
        </w:rPr>
        <w:t>60</w:t>
      </w:r>
      <w:r>
        <w:rPr>
          <w:color w:val="000000"/>
          <w:kern w:val="0"/>
          <w:szCs w:val="21"/>
        </w:rPr>
        <w:t>天债券型证券投资基金</w:t>
      </w:r>
    </w:p>
    <w:p w:rsidR="003663E4" w:rsidRDefault="00FD3F7D">
      <w:pPr>
        <w:spacing w:line="360" w:lineRule="auto"/>
        <w:rPr>
          <w:color w:val="000000"/>
          <w:kern w:val="0"/>
          <w:szCs w:val="21"/>
        </w:rPr>
      </w:pPr>
      <w:r>
        <w:t>本报告期</w:t>
      </w:r>
      <w:r>
        <w:rPr>
          <w:color w:val="000000"/>
          <w:szCs w:val="21"/>
        </w:rPr>
        <w:t>：</w:t>
      </w:r>
      <w:r>
        <w:rPr>
          <w:color w:val="000000"/>
          <w:kern w:val="0"/>
          <w:szCs w:val="21"/>
        </w:rPr>
        <w:t>2020</w:t>
      </w:r>
      <w:r>
        <w:rPr>
          <w:color w:val="000000"/>
          <w:kern w:val="0"/>
          <w:szCs w:val="21"/>
        </w:rPr>
        <w:t>年</w:t>
      </w:r>
      <w:r>
        <w:rPr>
          <w:color w:val="000000"/>
          <w:kern w:val="0"/>
          <w:szCs w:val="21"/>
        </w:rPr>
        <w:t>1</w:t>
      </w:r>
      <w:r>
        <w:rPr>
          <w:color w:val="000000"/>
          <w:kern w:val="0"/>
          <w:szCs w:val="21"/>
        </w:rPr>
        <w:t>月</w:t>
      </w:r>
      <w:r>
        <w:rPr>
          <w:color w:val="000000"/>
          <w:kern w:val="0"/>
          <w:szCs w:val="21"/>
        </w:rPr>
        <w:t>1</w:t>
      </w:r>
      <w:r>
        <w:rPr>
          <w:color w:val="000000"/>
          <w:kern w:val="0"/>
          <w:szCs w:val="21"/>
        </w:rPr>
        <w:t>日至</w:t>
      </w:r>
      <w:r>
        <w:rPr>
          <w:color w:val="000000"/>
          <w:kern w:val="0"/>
          <w:szCs w:val="21"/>
        </w:rPr>
        <w:t>2020</w:t>
      </w:r>
      <w:r>
        <w:rPr>
          <w:color w:val="000000"/>
          <w:kern w:val="0"/>
          <w:szCs w:val="21"/>
        </w:rPr>
        <w:t>年</w:t>
      </w:r>
      <w:r>
        <w:rPr>
          <w:color w:val="000000"/>
          <w:kern w:val="0"/>
          <w:szCs w:val="21"/>
        </w:rPr>
        <w:t>7</w:t>
      </w:r>
      <w:r>
        <w:rPr>
          <w:color w:val="000000"/>
          <w:kern w:val="0"/>
          <w:szCs w:val="21"/>
        </w:rPr>
        <w:t>月</w:t>
      </w:r>
      <w:r>
        <w:rPr>
          <w:color w:val="000000"/>
          <w:kern w:val="0"/>
          <w:szCs w:val="21"/>
        </w:rPr>
        <w:t>27</w:t>
      </w:r>
      <w:r>
        <w:rPr>
          <w:color w:val="000000"/>
          <w:kern w:val="0"/>
          <w:szCs w:val="21"/>
        </w:rPr>
        <w:t>日</w:t>
      </w:r>
    </w:p>
    <w:p w:rsidR="003663E4" w:rsidRDefault="00FD3F7D">
      <w:pPr>
        <w:autoSpaceDE w:val="0"/>
        <w:autoSpaceDN w:val="0"/>
        <w:adjustRightInd w:val="0"/>
        <w:spacing w:before="29" w:line="360" w:lineRule="auto"/>
        <w:ind w:left="15"/>
        <w:jc w:val="right"/>
        <w:rPr>
          <w:color w:val="000000"/>
          <w:kern w:val="0"/>
          <w:szCs w:val="21"/>
        </w:rPr>
      </w:pPr>
      <w:r>
        <w:rPr>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3663E4">
        <w:tc>
          <w:tcPr>
            <w:tcW w:w="2410" w:type="dxa"/>
            <w:vMerge w:val="restart"/>
            <w:vAlign w:val="center"/>
          </w:tcPr>
          <w:p w:rsidR="003663E4" w:rsidRDefault="00FD3F7D">
            <w:pPr>
              <w:spacing w:line="276" w:lineRule="auto"/>
              <w:jc w:val="center"/>
              <w:rPr>
                <w:b/>
                <w:color w:val="000000"/>
                <w:szCs w:val="21"/>
              </w:rPr>
            </w:pPr>
            <w:r>
              <w:rPr>
                <w:b/>
                <w:color w:val="000000"/>
                <w:szCs w:val="21"/>
              </w:rPr>
              <w:t>项</w:t>
            </w:r>
            <w:r>
              <w:rPr>
                <w:rFonts w:hint="eastAsia"/>
                <w:b/>
                <w:color w:val="000000"/>
                <w:szCs w:val="21"/>
              </w:rPr>
              <w:t xml:space="preserve"> </w:t>
            </w:r>
            <w:r>
              <w:rPr>
                <w:b/>
                <w:color w:val="000000"/>
                <w:szCs w:val="21"/>
              </w:rPr>
              <w:t>目</w:t>
            </w:r>
          </w:p>
        </w:tc>
        <w:tc>
          <w:tcPr>
            <w:tcW w:w="6590" w:type="dxa"/>
            <w:gridSpan w:val="3"/>
            <w:vAlign w:val="center"/>
          </w:tcPr>
          <w:p w:rsidR="003663E4" w:rsidRDefault="00FD3F7D">
            <w:pPr>
              <w:spacing w:line="276" w:lineRule="auto"/>
              <w:jc w:val="center"/>
              <w:rPr>
                <w:b/>
                <w:color w:val="000000"/>
                <w:szCs w:val="21"/>
              </w:rPr>
            </w:pPr>
            <w:r>
              <w:rPr>
                <w:b/>
                <w:color w:val="000000"/>
                <w:szCs w:val="21"/>
              </w:rPr>
              <w:t>本期</w:t>
            </w:r>
          </w:p>
          <w:p w:rsidR="003663E4" w:rsidRDefault="00FD3F7D">
            <w:pPr>
              <w:pStyle w:val="af9"/>
              <w:spacing w:before="0" w:beforeAutospacing="0" w:after="0" w:afterAutospacing="0" w:line="276" w:lineRule="auto"/>
              <w:jc w:val="center"/>
              <w:rPr>
                <w:rFonts w:ascii="Times New Roman" w:hAnsi="Times New Roman"/>
                <w:b/>
                <w:color w:val="000000"/>
                <w:sz w:val="21"/>
                <w:szCs w:val="21"/>
              </w:rPr>
            </w:pPr>
            <w:r>
              <w:rPr>
                <w:rFonts w:ascii="Times New Roman" w:hAnsi="Times New Roman"/>
                <w:b/>
                <w:color w:val="000000"/>
                <w:sz w:val="21"/>
                <w:szCs w:val="21"/>
              </w:rPr>
              <w:t>2020</w:t>
            </w:r>
            <w:r>
              <w:rPr>
                <w:rFonts w:ascii="Times New Roman" w:hAnsi="Times New Roman"/>
                <w:b/>
                <w:color w:val="000000"/>
                <w:sz w:val="21"/>
                <w:szCs w:val="21"/>
              </w:rPr>
              <w:t>年</w:t>
            </w:r>
            <w:r>
              <w:rPr>
                <w:rFonts w:ascii="Times New Roman" w:hAnsi="Times New Roman"/>
                <w:b/>
                <w:color w:val="000000"/>
                <w:sz w:val="21"/>
                <w:szCs w:val="21"/>
              </w:rPr>
              <w:t>1</w:t>
            </w:r>
            <w:r>
              <w:rPr>
                <w:rFonts w:ascii="Times New Roman" w:hAnsi="Times New Roman"/>
                <w:b/>
                <w:color w:val="000000"/>
                <w:sz w:val="21"/>
                <w:szCs w:val="21"/>
              </w:rPr>
              <w:t>月</w:t>
            </w:r>
            <w:r>
              <w:rPr>
                <w:rFonts w:ascii="Times New Roman" w:hAnsi="Times New Roman"/>
                <w:b/>
                <w:color w:val="000000"/>
                <w:sz w:val="21"/>
                <w:szCs w:val="21"/>
              </w:rPr>
              <w:t>1</w:t>
            </w:r>
            <w:r>
              <w:rPr>
                <w:rFonts w:ascii="Times New Roman" w:hAnsi="Times New Roman"/>
                <w:b/>
                <w:color w:val="000000"/>
                <w:sz w:val="21"/>
                <w:szCs w:val="21"/>
              </w:rPr>
              <w:t>日至</w:t>
            </w:r>
            <w:r>
              <w:rPr>
                <w:rFonts w:ascii="Times New Roman" w:hAnsi="Times New Roman"/>
                <w:b/>
                <w:color w:val="000000"/>
                <w:sz w:val="21"/>
                <w:szCs w:val="21"/>
              </w:rPr>
              <w:t>2020</w:t>
            </w:r>
            <w:r>
              <w:rPr>
                <w:rFonts w:ascii="Times New Roman" w:hAnsi="Times New Roman"/>
                <w:b/>
                <w:color w:val="000000"/>
                <w:sz w:val="21"/>
                <w:szCs w:val="21"/>
              </w:rPr>
              <w:t>年</w:t>
            </w:r>
            <w:r>
              <w:rPr>
                <w:rFonts w:ascii="Times New Roman" w:hAnsi="Times New Roman"/>
                <w:b/>
                <w:color w:val="000000"/>
                <w:sz w:val="21"/>
                <w:szCs w:val="21"/>
              </w:rPr>
              <w:t>7</w:t>
            </w:r>
            <w:r>
              <w:rPr>
                <w:rFonts w:ascii="Times New Roman" w:hAnsi="Times New Roman"/>
                <w:b/>
                <w:color w:val="000000"/>
                <w:sz w:val="21"/>
                <w:szCs w:val="21"/>
              </w:rPr>
              <w:t>月</w:t>
            </w:r>
            <w:r>
              <w:rPr>
                <w:rFonts w:ascii="Times New Roman" w:hAnsi="Times New Roman"/>
                <w:b/>
                <w:color w:val="000000"/>
                <w:sz w:val="21"/>
                <w:szCs w:val="21"/>
              </w:rPr>
              <w:t>27</w:t>
            </w:r>
            <w:r>
              <w:rPr>
                <w:rFonts w:ascii="Times New Roman" w:hAnsi="Times New Roman"/>
                <w:b/>
                <w:color w:val="000000"/>
                <w:sz w:val="21"/>
                <w:szCs w:val="21"/>
              </w:rPr>
              <w:t>日</w:t>
            </w:r>
          </w:p>
        </w:tc>
      </w:tr>
      <w:tr w:rsidR="003663E4">
        <w:tc>
          <w:tcPr>
            <w:tcW w:w="2410" w:type="dxa"/>
            <w:vMerge/>
            <w:vAlign w:val="center"/>
          </w:tcPr>
          <w:p w:rsidR="003663E4" w:rsidRDefault="003663E4">
            <w:pPr>
              <w:widowControl/>
              <w:spacing w:line="276" w:lineRule="auto"/>
              <w:jc w:val="left"/>
              <w:rPr>
                <w:b/>
                <w:color w:val="000000"/>
                <w:szCs w:val="21"/>
              </w:rPr>
            </w:pPr>
          </w:p>
        </w:tc>
        <w:tc>
          <w:tcPr>
            <w:tcW w:w="2196" w:type="dxa"/>
            <w:vAlign w:val="center"/>
          </w:tcPr>
          <w:p w:rsidR="003663E4" w:rsidRDefault="00FD3F7D">
            <w:pPr>
              <w:spacing w:line="276" w:lineRule="auto"/>
              <w:jc w:val="center"/>
              <w:rPr>
                <w:b/>
                <w:color w:val="000000"/>
                <w:szCs w:val="21"/>
              </w:rPr>
            </w:pPr>
            <w:r>
              <w:rPr>
                <w:b/>
                <w:color w:val="000000"/>
                <w:szCs w:val="21"/>
              </w:rPr>
              <w:t>实收基金</w:t>
            </w:r>
          </w:p>
        </w:tc>
        <w:tc>
          <w:tcPr>
            <w:tcW w:w="2197" w:type="dxa"/>
            <w:vAlign w:val="center"/>
          </w:tcPr>
          <w:p w:rsidR="003663E4" w:rsidRDefault="00FD3F7D">
            <w:pPr>
              <w:spacing w:line="276" w:lineRule="auto"/>
              <w:jc w:val="center"/>
              <w:rPr>
                <w:b/>
                <w:color w:val="000000"/>
                <w:szCs w:val="21"/>
              </w:rPr>
            </w:pPr>
            <w:r>
              <w:rPr>
                <w:b/>
                <w:color w:val="000000"/>
                <w:szCs w:val="21"/>
              </w:rPr>
              <w:t>未分配利润</w:t>
            </w:r>
          </w:p>
        </w:tc>
        <w:tc>
          <w:tcPr>
            <w:tcW w:w="2197" w:type="dxa"/>
            <w:vAlign w:val="center"/>
          </w:tcPr>
          <w:p w:rsidR="003663E4" w:rsidRDefault="00FD3F7D">
            <w:pPr>
              <w:spacing w:line="276" w:lineRule="auto"/>
              <w:jc w:val="center"/>
              <w:rPr>
                <w:color w:val="000000"/>
                <w:szCs w:val="21"/>
              </w:rPr>
            </w:pPr>
            <w:r>
              <w:rPr>
                <w:b/>
                <w:color w:val="000000"/>
                <w:szCs w:val="21"/>
              </w:rPr>
              <w:t>所有者权益合计</w:t>
            </w:r>
          </w:p>
        </w:tc>
      </w:tr>
      <w:tr w:rsidR="003663E4">
        <w:tc>
          <w:tcPr>
            <w:tcW w:w="2410" w:type="dxa"/>
            <w:vAlign w:val="center"/>
          </w:tcPr>
          <w:p w:rsidR="003663E4" w:rsidRDefault="00FD3F7D">
            <w:pPr>
              <w:spacing w:line="276" w:lineRule="auto"/>
              <w:rPr>
                <w:color w:val="000000"/>
                <w:szCs w:val="21"/>
              </w:rPr>
            </w:pPr>
            <w:r>
              <w:rPr>
                <w:color w:val="000000"/>
                <w:szCs w:val="21"/>
              </w:rPr>
              <w:t>一、期初所有者权益（基金净值）</w:t>
            </w:r>
          </w:p>
        </w:tc>
        <w:tc>
          <w:tcPr>
            <w:tcW w:w="2196" w:type="dxa"/>
            <w:vAlign w:val="center"/>
          </w:tcPr>
          <w:p w:rsidR="003663E4" w:rsidRDefault="00FD3F7D">
            <w:pPr>
              <w:spacing w:line="276" w:lineRule="auto"/>
              <w:jc w:val="right"/>
              <w:rPr>
                <w:color w:val="000000"/>
                <w:szCs w:val="21"/>
              </w:rPr>
            </w:pPr>
            <w:r>
              <w:rPr>
                <w:color w:val="000000"/>
                <w:szCs w:val="21"/>
              </w:rPr>
              <w:t>7,095,129,673.72</w:t>
            </w:r>
          </w:p>
        </w:tc>
        <w:tc>
          <w:tcPr>
            <w:tcW w:w="2197" w:type="dxa"/>
            <w:vAlign w:val="center"/>
          </w:tcPr>
          <w:p w:rsidR="003663E4" w:rsidRDefault="00FD3F7D">
            <w:pPr>
              <w:spacing w:line="276" w:lineRule="auto"/>
              <w:jc w:val="right"/>
              <w:rPr>
                <w:color w:val="000000"/>
                <w:szCs w:val="21"/>
              </w:rPr>
            </w:pPr>
            <w:r>
              <w:rPr>
                <w:color w:val="000000"/>
                <w:szCs w:val="21"/>
              </w:rPr>
              <w:t>-</w:t>
            </w:r>
          </w:p>
        </w:tc>
        <w:tc>
          <w:tcPr>
            <w:tcW w:w="2197" w:type="dxa"/>
            <w:vAlign w:val="center"/>
          </w:tcPr>
          <w:p w:rsidR="003663E4" w:rsidRDefault="00FD3F7D">
            <w:pPr>
              <w:spacing w:line="276" w:lineRule="auto"/>
              <w:jc w:val="right"/>
              <w:rPr>
                <w:color w:val="000000"/>
                <w:szCs w:val="21"/>
              </w:rPr>
            </w:pPr>
            <w:r>
              <w:rPr>
                <w:color w:val="000000"/>
                <w:szCs w:val="21"/>
              </w:rPr>
              <w:t>7,095,129,673.72</w:t>
            </w:r>
          </w:p>
        </w:tc>
      </w:tr>
      <w:tr w:rsidR="003663E4">
        <w:tc>
          <w:tcPr>
            <w:tcW w:w="2410" w:type="dxa"/>
            <w:vAlign w:val="center"/>
          </w:tcPr>
          <w:p w:rsidR="003663E4" w:rsidRDefault="00FD3F7D">
            <w:pPr>
              <w:spacing w:line="276" w:lineRule="auto"/>
              <w:rPr>
                <w:color w:val="000000"/>
                <w:szCs w:val="21"/>
              </w:rPr>
            </w:pPr>
            <w:r>
              <w:rPr>
                <w:color w:val="000000"/>
                <w:szCs w:val="21"/>
              </w:rPr>
              <w:t>二、本期经营活动产生的基金净值变动数（本期利润）</w:t>
            </w:r>
          </w:p>
        </w:tc>
        <w:tc>
          <w:tcPr>
            <w:tcW w:w="2196" w:type="dxa"/>
            <w:vAlign w:val="center"/>
          </w:tcPr>
          <w:p w:rsidR="003663E4" w:rsidRDefault="00FD3F7D">
            <w:pPr>
              <w:spacing w:line="276" w:lineRule="auto"/>
              <w:jc w:val="right"/>
              <w:rPr>
                <w:color w:val="000000"/>
                <w:szCs w:val="21"/>
              </w:rPr>
            </w:pPr>
            <w:r>
              <w:rPr>
                <w:color w:val="000000"/>
                <w:szCs w:val="21"/>
              </w:rPr>
              <w:t>-</w:t>
            </w:r>
          </w:p>
        </w:tc>
        <w:tc>
          <w:tcPr>
            <w:tcW w:w="2197" w:type="dxa"/>
            <w:vAlign w:val="center"/>
          </w:tcPr>
          <w:p w:rsidR="003663E4" w:rsidRDefault="00FD3F7D">
            <w:pPr>
              <w:spacing w:line="276" w:lineRule="auto"/>
              <w:jc w:val="right"/>
              <w:rPr>
                <w:color w:val="000000"/>
                <w:szCs w:val="21"/>
              </w:rPr>
            </w:pPr>
            <w:r>
              <w:rPr>
                <w:color w:val="000000"/>
                <w:szCs w:val="21"/>
              </w:rPr>
              <w:t>91,175,828.82</w:t>
            </w:r>
          </w:p>
        </w:tc>
        <w:tc>
          <w:tcPr>
            <w:tcW w:w="2197" w:type="dxa"/>
            <w:vAlign w:val="center"/>
          </w:tcPr>
          <w:p w:rsidR="003663E4" w:rsidRDefault="00FD3F7D">
            <w:pPr>
              <w:spacing w:line="276" w:lineRule="auto"/>
              <w:jc w:val="right"/>
              <w:rPr>
                <w:color w:val="000000"/>
                <w:szCs w:val="21"/>
              </w:rPr>
            </w:pPr>
            <w:r>
              <w:rPr>
                <w:color w:val="000000"/>
                <w:szCs w:val="21"/>
              </w:rPr>
              <w:t>91,175,828.82</w:t>
            </w:r>
          </w:p>
        </w:tc>
      </w:tr>
      <w:tr w:rsidR="003663E4">
        <w:tc>
          <w:tcPr>
            <w:tcW w:w="2410" w:type="dxa"/>
            <w:vAlign w:val="center"/>
          </w:tcPr>
          <w:p w:rsidR="003663E4" w:rsidRDefault="00FD3F7D">
            <w:pPr>
              <w:spacing w:line="276" w:lineRule="auto"/>
              <w:rPr>
                <w:color w:val="000000"/>
                <w:szCs w:val="21"/>
              </w:rPr>
            </w:pPr>
            <w:r>
              <w:rPr>
                <w:color w:val="000000"/>
                <w:szCs w:val="21"/>
              </w:rPr>
              <w:t>三、本期基金份额交易产生的基金净值变动数（净值减少以</w:t>
            </w:r>
            <w:r>
              <w:rPr>
                <w:color w:val="000000"/>
                <w:szCs w:val="21"/>
              </w:rPr>
              <w:t>“-”</w:t>
            </w:r>
            <w:r>
              <w:rPr>
                <w:color w:val="000000"/>
                <w:szCs w:val="21"/>
              </w:rPr>
              <w:t>号填列）</w:t>
            </w:r>
          </w:p>
        </w:tc>
        <w:tc>
          <w:tcPr>
            <w:tcW w:w="2196" w:type="dxa"/>
            <w:vAlign w:val="center"/>
          </w:tcPr>
          <w:p w:rsidR="003663E4" w:rsidRDefault="00FD3F7D">
            <w:pPr>
              <w:spacing w:line="276" w:lineRule="auto"/>
              <w:jc w:val="right"/>
              <w:rPr>
                <w:color w:val="000000"/>
                <w:szCs w:val="21"/>
              </w:rPr>
            </w:pPr>
            <w:r>
              <w:rPr>
                <w:color w:val="000000"/>
                <w:szCs w:val="21"/>
              </w:rPr>
              <w:t>-6,325,070,672.96</w:t>
            </w:r>
          </w:p>
        </w:tc>
        <w:tc>
          <w:tcPr>
            <w:tcW w:w="2197" w:type="dxa"/>
            <w:vAlign w:val="center"/>
          </w:tcPr>
          <w:p w:rsidR="003663E4" w:rsidRDefault="00FD3F7D">
            <w:pPr>
              <w:spacing w:line="276" w:lineRule="auto"/>
              <w:jc w:val="right"/>
              <w:rPr>
                <w:color w:val="000000"/>
                <w:szCs w:val="21"/>
              </w:rPr>
            </w:pPr>
            <w:r>
              <w:rPr>
                <w:color w:val="000000"/>
                <w:szCs w:val="21"/>
              </w:rPr>
              <w:t>-</w:t>
            </w:r>
          </w:p>
        </w:tc>
        <w:tc>
          <w:tcPr>
            <w:tcW w:w="2197" w:type="dxa"/>
            <w:vAlign w:val="center"/>
          </w:tcPr>
          <w:p w:rsidR="003663E4" w:rsidRDefault="00FD3F7D">
            <w:pPr>
              <w:spacing w:line="276" w:lineRule="auto"/>
              <w:jc w:val="right"/>
              <w:rPr>
                <w:color w:val="000000"/>
                <w:szCs w:val="21"/>
              </w:rPr>
            </w:pPr>
            <w:r>
              <w:rPr>
                <w:color w:val="000000"/>
                <w:szCs w:val="21"/>
              </w:rPr>
              <w:t>-6,325,070,672.96</w:t>
            </w:r>
          </w:p>
        </w:tc>
      </w:tr>
      <w:tr w:rsidR="003663E4">
        <w:tc>
          <w:tcPr>
            <w:tcW w:w="2410" w:type="dxa"/>
            <w:vAlign w:val="center"/>
          </w:tcPr>
          <w:p w:rsidR="003663E4" w:rsidRDefault="00FD3F7D">
            <w:pPr>
              <w:spacing w:line="276" w:lineRule="auto"/>
              <w:rPr>
                <w:color w:val="000000"/>
                <w:szCs w:val="21"/>
              </w:rPr>
            </w:pPr>
            <w:r>
              <w:rPr>
                <w:color w:val="000000"/>
                <w:szCs w:val="21"/>
              </w:rPr>
              <w:t>其中：</w:t>
            </w:r>
            <w:r>
              <w:rPr>
                <w:color w:val="000000"/>
                <w:szCs w:val="21"/>
              </w:rPr>
              <w:t>1.</w:t>
            </w:r>
            <w:r>
              <w:rPr>
                <w:color w:val="000000"/>
                <w:szCs w:val="21"/>
              </w:rPr>
              <w:t>基金申购款</w:t>
            </w:r>
          </w:p>
        </w:tc>
        <w:tc>
          <w:tcPr>
            <w:tcW w:w="2196" w:type="dxa"/>
            <w:vAlign w:val="center"/>
          </w:tcPr>
          <w:p w:rsidR="003663E4" w:rsidRDefault="00FD3F7D">
            <w:pPr>
              <w:spacing w:line="276" w:lineRule="auto"/>
              <w:jc w:val="right"/>
              <w:rPr>
                <w:color w:val="000000"/>
                <w:szCs w:val="21"/>
              </w:rPr>
            </w:pPr>
            <w:r>
              <w:rPr>
                <w:color w:val="000000"/>
                <w:szCs w:val="21"/>
              </w:rPr>
              <w:t>113,767,120.08</w:t>
            </w:r>
          </w:p>
        </w:tc>
        <w:tc>
          <w:tcPr>
            <w:tcW w:w="2197" w:type="dxa"/>
            <w:vAlign w:val="center"/>
          </w:tcPr>
          <w:p w:rsidR="003663E4" w:rsidRDefault="00FD3F7D">
            <w:pPr>
              <w:spacing w:line="276" w:lineRule="auto"/>
              <w:jc w:val="right"/>
              <w:rPr>
                <w:color w:val="000000"/>
                <w:szCs w:val="21"/>
              </w:rPr>
            </w:pPr>
            <w:r>
              <w:rPr>
                <w:color w:val="000000"/>
                <w:szCs w:val="21"/>
              </w:rPr>
              <w:t>-</w:t>
            </w:r>
          </w:p>
        </w:tc>
        <w:tc>
          <w:tcPr>
            <w:tcW w:w="2197" w:type="dxa"/>
            <w:vAlign w:val="center"/>
          </w:tcPr>
          <w:p w:rsidR="003663E4" w:rsidRDefault="00FD3F7D">
            <w:pPr>
              <w:spacing w:line="276" w:lineRule="auto"/>
              <w:jc w:val="right"/>
              <w:rPr>
                <w:color w:val="000000"/>
                <w:szCs w:val="21"/>
              </w:rPr>
            </w:pPr>
            <w:r>
              <w:rPr>
                <w:color w:val="000000"/>
                <w:szCs w:val="21"/>
              </w:rPr>
              <w:t>113,767,120.08</w:t>
            </w:r>
          </w:p>
        </w:tc>
      </w:tr>
      <w:tr w:rsidR="003663E4">
        <w:tc>
          <w:tcPr>
            <w:tcW w:w="2410" w:type="dxa"/>
            <w:vAlign w:val="center"/>
          </w:tcPr>
          <w:p w:rsidR="003663E4" w:rsidRDefault="00FD3F7D">
            <w:pPr>
              <w:spacing w:line="276" w:lineRule="auto"/>
              <w:ind w:firstLineChars="300" w:firstLine="630"/>
              <w:rPr>
                <w:color w:val="000000"/>
                <w:szCs w:val="21"/>
              </w:rPr>
            </w:pPr>
            <w:r>
              <w:rPr>
                <w:color w:val="000000"/>
                <w:szCs w:val="21"/>
              </w:rPr>
              <w:t>2.</w:t>
            </w:r>
            <w:r>
              <w:rPr>
                <w:color w:val="000000"/>
                <w:szCs w:val="21"/>
              </w:rPr>
              <w:t>基金赎回款</w:t>
            </w:r>
          </w:p>
        </w:tc>
        <w:tc>
          <w:tcPr>
            <w:tcW w:w="2196" w:type="dxa"/>
            <w:vAlign w:val="center"/>
          </w:tcPr>
          <w:p w:rsidR="003663E4" w:rsidRDefault="00FD3F7D">
            <w:pPr>
              <w:spacing w:line="276" w:lineRule="auto"/>
              <w:jc w:val="right"/>
              <w:rPr>
                <w:color w:val="000000"/>
                <w:szCs w:val="21"/>
              </w:rPr>
            </w:pPr>
            <w:r>
              <w:rPr>
                <w:color w:val="000000"/>
                <w:szCs w:val="21"/>
              </w:rPr>
              <w:t>-6,438,837,793.04</w:t>
            </w:r>
          </w:p>
        </w:tc>
        <w:tc>
          <w:tcPr>
            <w:tcW w:w="2197" w:type="dxa"/>
            <w:vAlign w:val="center"/>
          </w:tcPr>
          <w:p w:rsidR="003663E4" w:rsidRDefault="00FD3F7D">
            <w:pPr>
              <w:spacing w:line="276" w:lineRule="auto"/>
              <w:jc w:val="right"/>
              <w:rPr>
                <w:color w:val="000000"/>
                <w:szCs w:val="21"/>
              </w:rPr>
            </w:pPr>
            <w:r>
              <w:rPr>
                <w:color w:val="000000"/>
                <w:szCs w:val="21"/>
              </w:rPr>
              <w:t>-</w:t>
            </w:r>
          </w:p>
        </w:tc>
        <w:tc>
          <w:tcPr>
            <w:tcW w:w="2197" w:type="dxa"/>
            <w:vAlign w:val="center"/>
          </w:tcPr>
          <w:p w:rsidR="003663E4" w:rsidRDefault="00FD3F7D">
            <w:pPr>
              <w:spacing w:line="276" w:lineRule="auto"/>
              <w:jc w:val="right"/>
              <w:rPr>
                <w:color w:val="000000"/>
                <w:szCs w:val="21"/>
              </w:rPr>
            </w:pPr>
            <w:r>
              <w:rPr>
                <w:color w:val="000000"/>
                <w:szCs w:val="21"/>
              </w:rPr>
              <w:t>-6,438,837,793.04</w:t>
            </w:r>
          </w:p>
        </w:tc>
      </w:tr>
      <w:tr w:rsidR="003663E4">
        <w:tc>
          <w:tcPr>
            <w:tcW w:w="2410" w:type="dxa"/>
            <w:vAlign w:val="center"/>
          </w:tcPr>
          <w:p w:rsidR="003663E4" w:rsidRDefault="00FD3F7D">
            <w:pPr>
              <w:spacing w:line="276" w:lineRule="auto"/>
              <w:rPr>
                <w:color w:val="000000"/>
                <w:szCs w:val="21"/>
              </w:rPr>
            </w:pPr>
            <w:r>
              <w:rPr>
                <w:color w:val="000000"/>
                <w:szCs w:val="21"/>
              </w:rPr>
              <w:t>四、本期向基金份额持有人分配利润产生的基金净值变动（净值减少以</w:t>
            </w:r>
            <w:r>
              <w:rPr>
                <w:color w:val="000000"/>
                <w:szCs w:val="21"/>
              </w:rPr>
              <w:t>“-”</w:t>
            </w:r>
            <w:r>
              <w:rPr>
                <w:color w:val="000000"/>
                <w:szCs w:val="21"/>
              </w:rPr>
              <w:t>号填列）</w:t>
            </w:r>
          </w:p>
        </w:tc>
        <w:tc>
          <w:tcPr>
            <w:tcW w:w="2196" w:type="dxa"/>
            <w:vAlign w:val="center"/>
          </w:tcPr>
          <w:p w:rsidR="003663E4" w:rsidRDefault="00FD3F7D">
            <w:pPr>
              <w:spacing w:line="276" w:lineRule="auto"/>
              <w:jc w:val="right"/>
              <w:rPr>
                <w:color w:val="000000"/>
                <w:szCs w:val="21"/>
              </w:rPr>
            </w:pPr>
            <w:r>
              <w:rPr>
                <w:color w:val="000000"/>
                <w:szCs w:val="21"/>
              </w:rPr>
              <w:t>-</w:t>
            </w:r>
          </w:p>
        </w:tc>
        <w:tc>
          <w:tcPr>
            <w:tcW w:w="2197" w:type="dxa"/>
            <w:vAlign w:val="center"/>
          </w:tcPr>
          <w:p w:rsidR="003663E4" w:rsidRDefault="00FD3F7D">
            <w:pPr>
              <w:spacing w:line="276" w:lineRule="auto"/>
              <w:jc w:val="right"/>
              <w:rPr>
                <w:color w:val="000000"/>
                <w:szCs w:val="21"/>
              </w:rPr>
            </w:pPr>
            <w:r>
              <w:rPr>
                <w:color w:val="000000"/>
                <w:szCs w:val="21"/>
              </w:rPr>
              <w:t>-91,175,828.82</w:t>
            </w:r>
          </w:p>
        </w:tc>
        <w:tc>
          <w:tcPr>
            <w:tcW w:w="2197" w:type="dxa"/>
            <w:vAlign w:val="center"/>
          </w:tcPr>
          <w:p w:rsidR="003663E4" w:rsidRDefault="00FD3F7D">
            <w:pPr>
              <w:spacing w:line="276" w:lineRule="auto"/>
              <w:jc w:val="right"/>
              <w:rPr>
                <w:color w:val="000000"/>
                <w:szCs w:val="21"/>
              </w:rPr>
            </w:pPr>
            <w:r>
              <w:rPr>
                <w:color w:val="000000"/>
                <w:szCs w:val="21"/>
              </w:rPr>
              <w:t>-91,175,828.82</w:t>
            </w:r>
          </w:p>
        </w:tc>
      </w:tr>
      <w:tr w:rsidR="003663E4">
        <w:tc>
          <w:tcPr>
            <w:tcW w:w="2410" w:type="dxa"/>
            <w:vAlign w:val="center"/>
          </w:tcPr>
          <w:p w:rsidR="003663E4" w:rsidRDefault="00FD3F7D">
            <w:pPr>
              <w:spacing w:line="276" w:lineRule="auto"/>
              <w:rPr>
                <w:color w:val="000000"/>
                <w:szCs w:val="21"/>
              </w:rPr>
            </w:pPr>
            <w:r>
              <w:rPr>
                <w:color w:val="000000"/>
                <w:szCs w:val="21"/>
              </w:rPr>
              <w:t>五、期末所有者权益（基金净值）</w:t>
            </w:r>
          </w:p>
        </w:tc>
        <w:tc>
          <w:tcPr>
            <w:tcW w:w="2196" w:type="dxa"/>
            <w:vAlign w:val="center"/>
          </w:tcPr>
          <w:p w:rsidR="003663E4" w:rsidRDefault="00FD3F7D">
            <w:pPr>
              <w:spacing w:line="276" w:lineRule="auto"/>
              <w:jc w:val="right"/>
              <w:rPr>
                <w:color w:val="000000"/>
                <w:szCs w:val="21"/>
              </w:rPr>
            </w:pPr>
            <w:r>
              <w:rPr>
                <w:color w:val="000000"/>
                <w:szCs w:val="21"/>
              </w:rPr>
              <w:t>770,059,000.76</w:t>
            </w:r>
          </w:p>
        </w:tc>
        <w:tc>
          <w:tcPr>
            <w:tcW w:w="2197" w:type="dxa"/>
            <w:vAlign w:val="center"/>
          </w:tcPr>
          <w:p w:rsidR="003663E4" w:rsidRDefault="00FD3F7D">
            <w:pPr>
              <w:spacing w:line="276" w:lineRule="auto"/>
              <w:jc w:val="right"/>
              <w:rPr>
                <w:color w:val="000000"/>
                <w:szCs w:val="21"/>
              </w:rPr>
            </w:pPr>
            <w:r>
              <w:rPr>
                <w:color w:val="000000"/>
                <w:szCs w:val="21"/>
              </w:rPr>
              <w:t>-</w:t>
            </w:r>
          </w:p>
        </w:tc>
        <w:tc>
          <w:tcPr>
            <w:tcW w:w="2197" w:type="dxa"/>
            <w:vAlign w:val="center"/>
          </w:tcPr>
          <w:p w:rsidR="003663E4" w:rsidRDefault="00FD3F7D">
            <w:pPr>
              <w:spacing w:line="276" w:lineRule="auto"/>
              <w:jc w:val="right"/>
              <w:rPr>
                <w:color w:val="000000"/>
                <w:szCs w:val="21"/>
              </w:rPr>
            </w:pPr>
            <w:r>
              <w:rPr>
                <w:color w:val="000000"/>
                <w:szCs w:val="21"/>
              </w:rPr>
              <w:t>770,059,000.76</w:t>
            </w:r>
          </w:p>
        </w:tc>
      </w:tr>
      <w:tr w:rsidR="003663E4">
        <w:tc>
          <w:tcPr>
            <w:tcW w:w="2410" w:type="dxa"/>
            <w:vMerge w:val="restart"/>
            <w:vAlign w:val="center"/>
          </w:tcPr>
          <w:p w:rsidR="003663E4" w:rsidRDefault="00FD3F7D">
            <w:pPr>
              <w:spacing w:line="276" w:lineRule="auto"/>
              <w:jc w:val="center"/>
              <w:rPr>
                <w:color w:val="000000"/>
                <w:szCs w:val="21"/>
              </w:rPr>
            </w:pPr>
            <w:r>
              <w:rPr>
                <w:b/>
                <w:color w:val="000000"/>
                <w:szCs w:val="21"/>
              </w:rPr>
              <w:t>项目</w:t>
            </w:r>
          </w:p>
        </w:tc>
        <w:tc>
          <w:tcPr>
            <w:tcW w:w="6590" w:type="dxa"/>
            <w:gridSpan w:val="3"/>
            <w:vAlign w:val="center"/>
          </w:tcPr>
          <w:p w:rsidR="003663E4" w:rsidRDefault="00FD3F7D">
            <w:pPr>
              <w:spacing w:line="276" w:lineRule="auto"/>
              <w:jc w:val="center"/>
              <w:rPr>
                <w:b/>
                <w:color w:val="000000"/>
                <w:szCs w:val="21"/>
              </w:rPr>
            </w:pPr>
            <w:r>
              <w:rPr>
                <w:b/>
                <w:color w:val="000000"/>
                <w:szCs w:val="21"/>
              </w:rPr>
              <w:t>上年度可比期间</w:t>
            </w:r>
          </w:p>
          <w:p w:rsidR="003663E4" w:rsidRDefault="00FD3F7D">
            <w:pPr>
              <w:pStyle w:val="af9"/>
              <w:spacing w:before="0" w:beforeAutospacing="0" w:after="0" w:afterAutospacing="0" w:line="276" w:lineRule="auto"/>
              <w:jc w:val="center"/>
              <w:rPr>
                <w:rFonts w:ascii="Times New Roman" w:hAnsi="Times New Roman"/>
                <w:color w:val="000000"/>
                <w:sz w:val="21"/>
                <w:szCs w:val="21"/>
              </w:rPr>
            </w:pPr>
            <w:r>
              <w:rPr>
                <w:rFonts w:ascii="Times New Roman" w:hAnsi="Times New Roman"/>
                <w:b/>
                <w:color w:val="000000"/>
                <w:sz w:val="21"/>
                <w:szCs w:val="21"/>
              </w:rPr>
              <w:t>2019</w:t>
            </w:r>
            <w:r>
              <w:rPr>
                <w:rFonts w:ascii="Times New Roman" w:hAnsi="Times New Roman"/>
                <w:b/>
                <w:color w:val="000000"/>
                <w:sz w:val="21"/>
                <w:szCs w:val="21"/>
              </w:rPr>
              <w:t>年</w:t>
            </w:r>
            <w:r>
              <w:rPr>
                <w:rFonts w:ascii="Times New Roman" w:hAnsi="Times New Roman"/>
                <w:b/>
                <w:color w:val="000000"/>
                <w:sz w:val="21"/>
                <w:szCs w:val="21"/>
              </w:rPr>
              <w:t>1</w:t>
            </w:r>
            <w:r>
              <w:rPr>
                <w:rFonts w:ascii="Times New Roman" w:hAnsi="Times New Roman"/>
                <w:b/>
                <w:color w:val="000000"/>
                <w:sz w:val="21"/>
                <w:szCs w:val="21"/>
              </w:rPr>
              <w:t>月</w:t>
            </w:r>
            <w:r>
              <w:rPr>
                <w:rFonts w:ascii="Times New Roman" w:hAnsi="Times New Roman"/>
                <w:b/>
                <w:color w:val="000000"/>
                <w:sz w:val="21"/>
                <w:szCs w:val="21"/>
              </w:rPr>
              <w:t>1</w:t>
            </w:r>
            <w:r>
              <w:rPr>
                <w:rFonts w:ascii="Times New Roman" w:hAnsi="Times New Roman"/>
                <w:b/>
                <w:color w:val="000000"/>
                <w:sz w:val="21"/>
                <w:szCs w:val="21"/>
              </w:rPr>
              <w:t>日至</w:t>
            </w:r>
            <w:r>
              <w:rPr>
                <w:rFonts w:ascii="Times New Roman" w:hAnsi="Times New Roman"/>
                <w:b/>
                <w:color w:val="000000"/>
                <w:sz w:val="21"/>
                <w:szCs w:val="21"/>
              </w:rPr>
              <w:t>2019</w:t>
            </w:r>
            <w:r>
              <w:rPr>
                <w:rFonts w:ascii="Times New Roman" w:hAnsi="Times New Roman"/>
                <w:b/>
                <w:color w:val="000000"/>
                <w:sz w:val="21"/>
                <w:szCs w:val="21"/>
              </w:rPr>
              <w:t>年</w:t>
            </w:r>
            <w:r>
              <w:rPr>
                <w:rFonts w:ascii="Times New Roman" w:hAnsi="Times New Roman"/>
                <w:b/>
                <w:color w:val="000000"/>
                <w:sz w:val="21"/>
                <w:szCs w:val="21"/>
              </w:rPr>
              <w:t>12</w:t>
            </w:r>
            <w:r>
              <w:rPr>
                <w:rFonts w:ascii="Times New Roman" w:hAnsi="Times New Roman"/>
                <w:b/>
                <w:color w:val="000000"/>
                <w:sz w:val="21"/>
                <w:szCs w:val="21"/>
              </w:rPr>
              <w:t>月</w:t>
            </w:r>
            <w:r>
              <w:rPr>
                <w:rFonts w:ascii="Times New Roman" w:hAnsi="Times New Roman"/>
                <w:b/>
                <w:color w:val="000000"/>
                <w:sz w:val="21"/>
                <w:szCs w:val="21"/>
              </w:rPr>
              <w:t>31</w:t>
            </w:r>
            <w:r>
              <w:rPr>
                <w:rFonts w:ascii="Times New Roman" w:hAnsi="Times New Roman"/>
                <w:b/>
                <w:color w:val="000000"/>
                <w:sz w:val="21"/>
                <w:szCs w:val="21"/>
              </w:rPr>
              <w:t>日</w:t>
            </w:r>
          </w:p>
        </w:tc>
      </w:tr>
      <w:tr w:rsidR="003663E4">
        <w:tc>
          <w:tcPr>
            <w:tcW w:w="2410" w:type="dxa"/>
            <w:vMerge/>
            <w:vAlign w:val="center"/>
          </w:tcPr>
          <w:p w:rsidR="003663E4" w:rsidRDefault="003663E4">
            <w:pPr>
              <w:widowControl/>
              <w:spacing w:line="276" w:lineRule="auto"/>
              <w:jc w:val="left"/>
              <w:rPr>
                <w:color w:val="000000"/>
                <w:szCs w:val="21"/>
              </w:rPr>
            </w:pPr>
          </w:p>
        </w:tc>
        <w:tc>
          <w:tcPr>
            <w:tcW w:w="2196" w:type="dxa"/>
            <w:vAlign w:val="center"/>
          </w:tcPr>
          <w:p w:rsidR="003663E4" w:rsidRDefault="00FD3F7D">
            <w:pPr>
              <w:spacing w:line="276" w:lineRule="auto"/>
              <w:jc w:val="center"/>
              <w:rPr>
                <w:color w:val="000000"/>
                <w:szCs w:val="21"/>
              </w:rPr>
            </w:pPr>
            <w:r>
              <w:rPr>
                <w:b/>
                <w:color w:val="000000"/>
                <w:szCs w:val="21"/>
              </w:rPr>
              <w:t>实收基金</w:t>
            </w:r>
          </w:p>
        </w:tc>
        <w:tc>
          <w:tcPr>
            <w:tcW w:w="2197" w:type="dxa"/>
          </w:tcPr>
          <w:p w:rsidR="003663E4" w:rsidRDefault="00FD3F7D">
            <w:pPr>
              <w:spacing w:line="276" w:lineRule="auto"/>
              <w:jc w:val="center"/>
              <w:rPr>
                <w:color w:val="000000"/>
                <w:szCs w:val="21"/>
              </w:rPr>
            </w:pPr>
            <w:r>
              <w:rPr>
                <w:b/>
                <w:color w:val="000000"/>
                <w:szCs w:val="21"/>
              </w:rPr>
              <w:t>未分配利润</w:t>
            </w:r>
          </w:p>
        </w:tc>
        <w:tc>
          <w:tcPr>
            <w:tcW w:w="2197" w:type="dxa"/>
            <w:vAlign w:val="center"/>
          </w:tcPr>
          <w:p w:rsidR="003663E4" w:rsidRDefault="00FD3F7D">
            <w:pPr>
              <w:spacing w:line="276" w:lineRule="auto"/>
              <w:jc w:val="center"/>
              <w:rPr>
                <w:b/>
                <w:color w:val="000000"/>
                <w:szCs w:val="21"/>
              </w:rPr>
            </w:pPr>
            <w:r>
              <w:rPr>
                <w:b/>
                <w:color w:val="000000"/>
                <w:szCs w:val="21"/>
              </w:rPr>
              <w:t>所有者权益合计</w:t>
            </w:r>
          </w:p>
        </w:tc>
      </w:tr>
      <w:tr w:rsidR="003663E4">
        <w:tc>
          <w:tcPr>
            <w:tcW w:w="2410" w:type="dxa"/>
            <w:vAlign w:val="center"/>
          </w:tcPr>
          <w:p w:rsidR="003663E4" w:rsidRDefault="00FD3F7D">
            <w:pPr>
              <w:spacing w:line="276" w:lineRule="auto"/>
              <w:rPr>
                <w:color w:val="000000"/>
                <w:szCs w:val="21"/>
              </w:rPr>
            </w:pPr>
            <w:r>
              <w:rPr>
                <w:color w:val="000000"/>
                <w:szCs w:val="21"/>
              </w:rPr>
              <w:t>一、期初所有者权益（基金净值）</w:t>
            </w:r>
          </w:p>
        </w:tc>
        <w:tc>
          <w:tcPr>
            <w:tcW w:w="2196" w:type="dxa"/>
            <w:vAlign w:val="center"/>
          </w:tcPr>
          <w:p w:rsidR="003663E4" w:rsidRDefault="00FD3F7D">
            <w:pPr>
              <w:spacing w:line="276" w:lineRule="auto"/>
              <w:jc w:val="right"/>
              <w:rPr>
                <w:color w:val="000000"/>
                <w:szCs w:val="21"/>
              </w:rPr>
            </w:pPr>
            <w:r>
              <w:rPr>
                <w:color w:val="000000"/>
                <w:szCs w:val="21"/>
              </w:rPr>
              <w:t>11,768,816,309.72</w:t>
            </w:r>
          </w:p>
        </w:tc>
        <w:tc>
          <w:tcPr>
            <w:tcW w:w="2197" w:type="dxa"/>
            <w:vAlign w:val="center"/>
          </w:tcPr>
          <w:p w:rsidR="003663E4" w:rsidRDefault="00FD3F7D">
            <w:pPr>
              <w:spacing w:line="276" w:lineRule="auto"/>
              <w:jc w:val="right"/>
              <w:rPr>
                <w:color w:val="000000"/>
                <w:szCs w:val="21"/>
              </w:rPr>
            </w:pPr>
            <w:r>
              <w:rPr>
                <w:color w:val="000000"/>
                <w:szCs w:val="21"/>
              </w:rPr>
              <w:t>-</w:t>
            </w:r>
          </w:p>
        </w:tc>
        <w:tc>
          <w:tcPr>
            <w:tcW w:w="2197" w:type="dxa"/>
            <w:vAlign w:val="center"/>
          </w:tcPr>
          <w:p w:rsidR="003663E4" w:rsidRDefault="00FD3F7D">
            <w:pPr>
              <w:spacing w:line="276" w:lineRule="auto"/>
              <w:jc w:val="right"/>
              <w:rPr>
                <w:color w:val="000000"/>
                <w:szCs w:val="21"/>
              </w:rPr>
            </w:pPr>
            <w:r>
              <w:rPr>
                <w:color w:val="000000"/>
                <w:szCs w:val="21"/>
              </w:rPr>
              <w:t>11,768,816,309.72</w:t>
            </w:r>
          </w:p>
        </w:tc>
      </w:tr>
      <w:tr w:rsidR="003663E4">
        <w:tc>
          <w:tcPr>
            <w:tcW w:w="2410" w:type="dxa"/>
            <w:vAlign w:val="center"/>
          </w:tcPr>
          <w:p w:rsidR="003663E4" w:rsidRDefault="00FD3F7D">
            <w:pPr>
              <w:spacing w:line="276" w:lineRule="auto"/>
              <w:rPr>
                <w:color w:val="000000"/>
                <w:szCs w:val="21"/>
              </w:rPr>
            </w:pPr>
            <w:r>
              <w:rPr>
                <w:color w:val="000000"/>
                <w:szCs w:val="21"/>
              </w:rPr>
              <w:t>二、本期经营活动产生的基金净值变动数（本期利润）</w:t>
            </w:r>
          </w:p>
        </w:tc>
        <w:tc>
          <w:tcPr>
            <w:tcW w:w="2196" w:type="dxa"/>
            <w:vAlign w:val="center"/>
          </w:tcPr>
          <w:p w:rsidR="003663E4" w:rsidRDefault="00FD3F7D">
            <w:pPr>
              <w:spacing w:line="276" w:lineRule="auto"/>
              <w:jc w:val="right"/>
              <w:rPr>
                <w:color w:val="000000"/>
                <w:szCs w:val="21"/>
              </w:rPr>
            </w:pPr>
            <w:r>
              <w:rPr>
                <w:color w:val="000000"/>
                <w:szCs w:val="21"/>
              </w:rPr>
              <w:t>-</w:t>
            </w:r>
          </w:p>
        </w:tc>
        <w:tc>
          <w:tcPr>
            <w:tcW w:w="2197" w:type="dxa"/>
            <w:vAlign w:val="center"/>
          </w:tcPr>
          <w:p w:rsidR="003663E4" w:rsidRDefault="00FD3F7D">
            <w:pPr>
              <w:spacing w:line="276" w:lineRule="auto"/>
              <w:jc w:val="right"/>
              <w:rPr>
                <w:color w:val="000000"/>
                <w:szCs w:val="21"/>
              </w:rPr>
            </w:pPr>
            <w:r>
              <w:rPr>
                <w:color w:val="000000"/>
                <w:szCs w:val="21"/>
              </w:rPr>
              <w:t>269,410,303.27</w:t>
            </w:r>
          </w:p>
        </w:tc>
        <w:tc>
          <w:tcPr>
            <w:tcW w:w="2197" w:type="dxa"/>
            <w:vAlign w:val="center"/>
          </w:tcPr>
          <w:p w:rsidR="003663E4" w:rsidRDefault="00FD3F7D">
            <w:pPr>
              <w:spacing w:line="276" w:lineRule="auto"/>
              <w:jc w:val="right"/>
              <w:rPr>
                <w:color w:val="000000"/>
                <w:szCs w:val="21"/>
              </w:rPr>
            </w:pPr>
            <w:r>
              <w:rPr>
                <w:color w:val="000000"/>
                <w:szCs w:val="21"/>
              </w:rPr>
              <w:t>269,410,303.27</w:t>
            </w:r>
          </w:p>
        </w:tc>
      </w:tr>
      <w:tr w:rsidR="003663E4">
        <w:tc>
          <w:tcPr>
            <w:tcW w:w="2410" w:type="dxa"/>
            <w:vAlign w:val="center"/>
          </w:tcPr>
          <w:p w:rsidR="003663E4" w:rsidRDefault="00FD3F7D">
            <w:pPr>
              <w:spacing w:line="276" w:lineRule="auto"/>
              <w:rPr>
                <w:color w:val="000000"/>
                <w:szCs w:val="21"/>
              </w:rPr>
            </w:pPr>
            <w:r>
              <w:rPr>
                <w:color w:val="000000"/>
                <w:szCs w:val="21"/>
              </w:rPr>
              <w:t>三、本期基金份额交易产生的基金净值变动数（净值减少以</w:t>
            </w:r>
            <w:r>
              <w:rPr>
                <w:color w:val="000000"/>
                <w:szCs w:val="21"/>
              </w:rPr>
              <w:t>“-”</w:t>
            </w:r>
            <w:r>
              <w:rPr>
                <w:color w:val="000000"/>
                <w:szCs w:val="21"/>
              </w:rPr>
              <w:t>号填列）</w:t>
            </w:r>
          </w:p>
        </w:tc>
        <w:tc>
          <w:tcPr>
            <w:tcW w:w="2196" w:type="dxa"/>
            <w:vAlign w:val="center"/>
          </w:tcPr>
          <w:p w:rsidR="003663E4" w:rsidRDefault="00FD3F7D">
            <w:pPr>
              <w:spacing w:line="276" w:lineRule="auto"/>
              <w:jc w:val="right"/>
              <w:rPr>
                <w:color w:val="000000"/>
                <w:szCs w:val="21"/>
              </w:rPr>
            </w:pPr>
            <w:r>
              <w:rPr>
                <w:color w:val="000000"/>
                <w:szCs w:val="21"/>
              </w:rPr>
              <w:t>-4,673,686,636.00</w:t>
            </w:r>
          </w:p>
        </w:tc>
        <w:tc>
          <w:tcPr>
            <w:tcW w:w="2197" w:type="dxa"/>
            <w:vAlign w:val="center"/>
          </w:tcPr>
          <w:p w:rsidR="003663E4" w:rsidRDefault="00FD3F7D">
            <w:pPr>
              <w:spacing w:line="276" w:lineRule="auto"/>
              <w:jc w:val="right"/>
              <w:rPr>
                <w:color w:val="000000"/>
                <w:szCs w:val="21"/>
              </w:rPr>
            </w:pPr>
            <w:r>
              <w:rPr>
                <w:color w:val="000000"/>
                <w:szCs w:val="21"/>
              </w:rPr>
              <w:t>-</w:t>
            </w:r>
          </w:p>
        </w:tc>
        <w:tc>
          <w:tcPr>
            <w:tcW w:w="2197" w:type="dxa"/>
            <w:vAlign w:val="center"/>
          </w:tcPr>
          <w:p w:rsidR="003663E4" w:rsidRDefault="00FD3F7D">
            <w:pPr>
              <w:spacing w:line="276" w:lineRule="auto"/>
              <w:jc w:val="right"/>
              <w:rPr>
                <w:color w:val="000000"/>
                <w:szCs w:val="21"/>
              </w:rPr>
            </w:pPr>
            <w:r>
              <w:rPr>
                <w:color w:val="000000"/>
                <w:szCs w:val="21"/>
              </w:rPr>
              <w:t>-4,673,686,636.00</w:t>
            </w:r>
          </w:p>
        </w:tc>
      </w:tr>
      <w:tr w:rsidR="003663E4">
        <w:tc>
          <w:tcPr>
            <w:tcW w:w="2410" w:type="dxa"/>
            <w:vAlign w:val="center"/>
          </w:tcPr>
          <w:p w:rsidR="003663E4" w:rsidRDefault="00FD3F7D">
            <w:pPr>
              <w:spacing w:line="276" w:lineRule="auto"/>
              <w:rPr>
                <w:color w:val="000000"/>
                <w:szCs w:val="21"/>
              </w:rPr>
            </w:pPr>
            <w:r>
              <w:rPr>
                <w:color w:val="000000"/>
                <w:szCs w:val="21"/>
              </w:rPr>
              <w:t>其中：</w:t>
            </w:r>
            <w:r>
              <w:rPr>
                <w:color w:val="000000"/>
                <w:szCs w:val="21"/>
              </w:rPr>
              <w:t>1.</w:t>
            </w:r>
            <w:r>
              <w:rPr>
                <w:color w:val="000000"/>
                <w:szCs w:val="21"/>
              </w:rPr>
              <w:t>基金申购款</w:t>
            </w:r>
          </w:p>
        </w:tc>
        <w:tc>
          <w:tcPr>
            <w:tcW w:w="2196" w:type="dxa"/>
            <w:vAlign w:val="center"/>
          </w:tcPr>
          <w:p w:rsidR="003663E4" w:rsidRDefault="00FD3F7D">
            <w:pPr>
              <w:spacing w:line="276" w:lineRule="auto"/>
              <w:jc w:val="right"/>
              <w:rPr>
                <w:color w:val="000000"/>
                <w:szCs w:val="21"/>
              </w:rPr>
            </w:pPr>
            <w:r>
              <w:rPr>
                <w:color w:val="000000"/>
                <w:szCs w:val="21"/>
              </w:rPr>
              <w:t>267,129,197.14</w:t>
            </w:r>
          </w:p>
        </w:tc>
        <w:tc>
          <w:tcPr>
            <w:tcW w:w="2197" w:type="dxa"/>
            <w:vAlign w:val="center"/>
          </w:tcPr>
          <w:p w:rsidR="003663E4" w:rsidRDefault="00FD3F7D">
            <w:pPr>
              <w:spacing w:line="276" w:lineRule="auto"/>
              <w:jc w:val="right"/>
              <w:rPr>
                <w:color w:val="000000"/>
                <w:szCs w:val="21"/>
              </w:rPr>
            </w:pPr>
            <w:r>
              <w:rPr>
                <w:color w:val="000000"/>
                <w:szCs w:val="21"/>
              </w:rPr>
              <w:t>-</w:t>
            </w:r>
          </w:p>
        </w:tc>
        <w:tc>
          <w:tcPr>
            <w:tcW w:w="2197" w:type="dxa"/>
            <w:vAlign w:val="center"/>
          </w:tcPr>
          <w:p w:rsidR="003663E4" w:rsidRDefault="00FD3F7D">
            <w:pPr>
              <w:spacing w:line="276" w:lineRule="auto"/>
              <w:jc w:val="right"/>
              <w:rPr>
                <w:color w:val="000000"/>
                <w:szCs w:val="21"/>
              </w:rPr>
            </w:pPr>
            <w:r>
              <w:rPr>
                <w:color w:val="000000"/>
                <w:szCs w:val="21"/>
              </w:rPr>
              <w:t>267,129,197.14</w:t>
            </w:r>
          </w:p>
        </w:tc>
      </w:tr>
      <w:tr w:rsidR="003663E4">
        <w:tc>
          <w:tcPr>
            <w:tcW w:w="2410" w:type="dxa"/>
            <w:vAlign w:val="center"/>
          </w:tcPr>
          <w:p w:rsidR="003663E4" w:rsidRDefault="00FD3F7D">
            <w:pPr>
              <w:spacing w:line="276" w:lineRule="auto"/>
              <w:ind w:firstLineChars="300" w:firstLine="630"/>
              <w:rPr>
                <w:color w:val="000000"/>
                <w:szCs w:val="21"/>
              </w:rPr>
            </w:pPr>
            <w:r>
              <w:rPr>
                <w:color w:val="000000"/>
                <w:szCs w:val="21"/>
              </w:rPr>
              <w:t>2.</w:t>
            </w:r>
            <w:r>
              <w:rPr>
                <w:color w:val="000000"/>
                <w:szCs w:val="21"/>
              </w:rPr>
              <w:t>基金赎回款</w:t>
            </w:r>
          </w:p>
        </w:tc>
        <w:tc>
          <w:tcPr>
            <w:tcW w:w="2196" w:type="dxa"/>
            <w:vAlign w:val="center"/>
          </w:tcPr>
          <w:p w:rsidR="003663E4" w:rsidRDefault="00FD3F7D">
            <w:pPr>
              <w:spacing w:line="276" w:lineRule="auto"/>
              <w:jc w:val="right"/>
              <w:rPr>
                <w:color w:val="000000"/>
                <w:szCs w:val="21"/>
              </w:rPr>
            </w:pPr>
            <w:r>
              <w:rPr>
                <w:color w:val="000000"/>
                <w:szCs w:val="21"/>
              </w:rPr>
              <w:t>-4,940,815,833.14</w:t>
            </w:r>
          </w:p>
        </w:tc>
        <w:tc>
          <w:tcPr>
            <w:tcW w:w="2197" w:type="dxa"/>
            <w:vAlign w:val="center"/>
          </w:tcPr>
          <w:p w:rsidR="003663E4" w:rsidRDefault="00FD3F7D">
            <w:pPr>
              <w:spacing w:line="276" w:lineRule="auto"/>
              <w:jc w:val="right"/>
              <w:rPr>
                <w:color w:val="000000"/>
                <w:szCs w:val="21"/>
              </w:rPr>
            </w:pPr>
            <w:r>
              <w:rPr>
                <w:color w:val="000000"/>
                <w:szCs w:val="21"/>
              </w:rPr>
              <w:t>-</w:t>
            </w:r>
          </w:p>
        </w:tc>
        <w:tc>
          <w:tcPr>
            <w:tcW w:w="2197" w:type="dxa"/>
            <w:vAlign w:val="center"/>
          </w:tcPr>
          <w:p w:rsidR="003663E4" w:rsidRDefault="00FD3F7D">
            <w:pPr>
              <w:spacing w:line="276" w:lineRule="auto"/>
              <w:jc w:val="right"/>
              <w:rPr>
                <w:color w:val="000000"/>
                <w:szCs w:val="21"/>
              </w:rPr>
            </w:pPr>
            <w:r>
              <w:rPr>
                <w:color w:val="000000"/>
                <w:szCs w:val="21"/>
              </w:rPr>
              <w:t>-4,940,815,833.14</w:t>
            </w:r>
          </w:p>
        </w:tc>
      </w:tr>
      <w:tr w:rsidR="003663E4">
        <w:tc>
          <w:tcPr>
            <w:tcW w:w="2410" w:type="dxa"/>
            <w:vAlign w:val="center"/>
          </w:tcPr>
          <w:p w:rsidR="003663E4" w:rsidRDefault="00FD3F7D">
            <w:pPr>
              <w:spacing w:line="276" w:lineRule="auto"/>
              <w:rPr>
                <w:color w:val="000000"/>
                <w:szCs w:val="21"/>
              </w:rPr>
            </w:pPr>
            <w:r>
              <w:rPr>
                <w:color w:val="000000"/>
                <w:szCs w:val="21"/>
              </w:rPr>
              <w:t>四、本期向基金份额持有人分配利润产生的基金净值变动（净值减少以</w:t>
            </w:r>
            <w:r>
              <w:rPr>
                <w:color w:val="000000"/>
                <w:szCs w:val="21"/>
              </w:rPr>
              <w:t>“-”</w:t>
            </w:r>
            <w:r>
              <w:rPr>
                <w:color w:val="000000"/>
                <w:szCs w:val="21"/>
              </w:rPr>
              <w:t>号填列）</w:t>
            </w:r>
          </w:p>
        </w:tc>
        <w:tc>
          <w:tcPr>
            <w:tcW w:w="2196" w:type="dxa"/>
            <w:vAlign w:val="center"/>
          </w:tcPr>
          <w:p w:rsidR="003663E4" w:rsidRDefault="00FD3F7D">
            <w:pPr>
              <w:spacing w:line="276" w:lineRule="auto"/>
              <w:jc w:val="right"/>
              <w:rPr>
                <w:color w:val="000000"/>
                <w:szCs w:val="21"/>
              </w:rPr>
            </w:pPr>
            <w:r>
              <w:rPr>
                <w:color w:val="000000"/>
                <w:szCs w:val="21"/>
              </w:rPr>
              <w:t>-</w:t>
            </w:r>
          </w:p>
        </w:tc>
        <w:tc>
          <w:tcPr>
            <w:tcW w:w="2197" w:type="dxa"/>
            <w:vAlign w:val="center"/>
          </w:tcPr>
          <w:p w:rsidR="003663E4" w:rsidRDefault="00FD3F7D">
            <w:pPr>
              <w:spacing w:line="276" w:lineRule="auto"/>
              <w:jc w:val="right"/>
              <w:rPr>
                <w:color w:val="000000"/>
                <w:szCs w:val="21"/>
              </w:rPr>
            </w:pPr>
            <w:r>
              <w:rPr>
                <w:color w:val="000000"/>
                <w:szCs w:val="21"/>
              </w:rPr>
              <w:t>-269,410,303.27</w:t>
            </w:r>
          </w:p>
        </w:tc>
        <w:tc>
          <w:tcPr>
            <w:tcW w:w="2197" w:type="dxa"/>
            <w:vAlign w:val="center"/>
          </w:tcPr>
          <w:p w:rsidR="003663E4" w:rsidRDefault="00FD3F7D">
            <w:pPr>
              <w:spacing w:line="276" w:lineRule="auto"/>
              <w:jc w:val="right"/>
              <w:rPr>
                <w:color w:val="000000"/>
                <w:szCs w:val="21"/>
              </w:rPr>
            </w:pPr>
            <w:r>
              <w:rPr>
                <w:color w:val="000000"/>
                <w:szCs w:val="21"/>
              </w:rPr>
              <w:t>-269,410,303.27</w:t>
            </w:r>
          </w:p>
        </w:tc>
      </w:tr>
      <w:tr w:rsidR="003663E4">
        <w:tc>
          <w:tcPr>
            <w:tcW w:w="2410" w:type="dxa"/>
            <w:vAlign w:val="center"/>
          </w:tcPr>
          <w:p w:rsidR="003663E4" w:rsidRDefault="00FD3F7D">
            <w:pPr>
              <w:spacing w:line="276" w:lineRule="auto"/>
              <w:rPr>
                <w:color w:val="000000"/>
                <w:szCs w:val="21"/>
              </w:rPr>
            </w:pPr>
            <w:r>
              <w:rPr>
                <w:color w:val="000000"/>
                <w:szCs w:val="21"/>
              </w:rPr>
              <w:t>五、期末所有者权益（基金净值）</w:t>
            </w:r>
          </w:p>
        </w:tc>
        <w:tc>
          <w:tcPr>
            <w:tcW w:w="2196" w:type="dxa"/>
            <w:vAlign w:val="center"/>
          </w:tcPr>
          <w:p w:rsidR="003663E4" w:rsidRDefault="00FD3F7D">
            <w:pPr>
              <w:spacing w:line="276" w:lineRule="auto"/>
              <w:jc w:val="right"/>
              <w:rPr>
                <w:color w:val="000000"/>
                <w:szCs w:val="21"/>
              </w:rPr>
            </w:pPr>
            <w:r>
              <w:rPr>
                <w:color w:val="000000"/>
                <w:szCs w:val="21"/>
              </w:rPr>
              <w:t>7,095,129,673.72</w:t>
            </w:r>
          </w:p>
        </w:tc>
        <w:tc>
          <w:tcPr>
            <w:tcW w:w="2197" w:type="dxa"/>
            <w:vAlign w:val="center"/>
          </w:tcPr>
          <w:p w:rsidR="003663E4" w:rsidRDefault="00FD3F7D">
            <w:pPr>
              <w:spacing w:line="276" w:lineRule="auto"/>
              <w:jc w:val="right"/>
              <w:rPr>
                <w:color w:val="000000"/>
                <w:szCs w:val="21"/>
              </w:rPr>
            </w:pPr>
            <w:r>
              <w:rPr>
                <w:color w:val="000000"/>
                <w:szCs w:val="21"/>
              </w:rPr>
              <w:t>-</w:t>
            </w:r>
          </w:p>
        </w:tc>
        <w:tc>
          <w:tcPr>
            <w:tcW w:w="2197" w:type="dxa"/>
            <w:vAlign w:val="center"/>
          </w:tcPr>
          <w:p w:rsidR="003663E4" w:rsidRDefault="00FD3F7D">
            <w:pPr>
              <w:spacing w:line="276" w:lineRule="auto"/>
              <w:jc w:val="right"/>
              <w:rPr>
                <w:color w:val="000000"/>
                <w:szCs w:val="21"/>
              </w:rPr>
            </w:pPr>
            <w:r>
              <w:rPr>
                <w:color w:val="000000"/>
                <w:szCs w:val="21"/>
              </w:rPr>
              <w:t>7,095,129,673.72</w:t>
            </w:r>
          </w:p>
        </w:tc>
      </w:tr>
    </w:tbl>
    <w:p w:rsidR="003663E4" w:rsidRDefault="00FD3F7D">
      <w:pPr>
        <w:spacing w:beforeLines="50" w:before="156" w:line="360" w:lineRule="auto"/>
        <w:rPr>
          <w:color w:val="000000"/>
          <w:szCs w:val="21"/>
        </w:rPr>
      </w:pPr>
      <w:r>
        <w:rPr>
          <w:color w:val="000000"/>
          <w:szCs w:val="21"/>
        </w:rPr>
        <w:t>报表附注为财务报表的组成部分。</w:t>
      </w:r>
    </w:p>
    <w:p w:rsidR="003663E4" w:rsidRDefault="00FD3F7D">
      <w:pPr>
        <w:spacing w:line="360" w:lineRule="auto"/>
        <w:rPr>
          <w:color w:val="000000"/>
          <w:szCs w:val="21"/>
        </w:rPr>
      </w:pPr>
      <w:r>
        <w:rPr>
          <w:color w:val="000000"/>
          <w:szCs w:val="21"/>
        </w:rPr>
        <w:t>本报告</w:t>
      </w:r>
      <w:r>
        <w:rPr>
          <w:color w:val="000000"/>
          <w:szCs w:val="21"/>
        </w:rPr>
        <w:t>7.2.1</w:t>
      </w:r>
      <w:r>
        <w:rPr>
          <w:color w:val="000000"/>
          <w:szCs w:val="21"/>
        </w:rPr>
        <w:t>至</w:t>
      </w:r>
      <w:r>
        <w:rPr>
          <w:color w:val="000000"/>
          <w:szCs w:val="21"/>
        </w:rPr>
        <w:t>7.2.4</w:t>
      </w:r>
      <w:r>
        <w:rPr>
          <w:color w:val="000000"/>
          <w:szCs w:val="21"/>
        </w:rPr>
        <w:t>，财务报表由下列负责人签署：</w:t>
      </w:r>
    </w:p>
    <w:p w:rsidR="003663E4" w:rsidRDefault="00FD3F7D">
      <w:pPr>
        <w:spacing w:line="360" w:lineRule="auto"/>
        <w:rPr>
          <w:color w:val="000000"/>
          <w:szCs w:val="21"/>
        </w:rPr>
      </w:pPr>
      <w:r>
        <w:rPr>
          <w:color w:val="000000"/>
          <w:szCs w:val="21"/>
        </w:rPr>
        <w:t>基金管理人负责人：谢卫，主管会计工作负责人：夏华龙，会计机构负责人：单江</w:t>
      </w:r>
    </w:p>
    <w:p w:rsidR="003663E4" w:rsidRDefault="00FD3F7D">
      <w:pPr>
        <w:pStyle w:val="3"/>
        <w:spacing w:beforeLines="50" w:before="156" w:after="0" w:line="360" w:lineRule="auto"/>
        <w:rPr>
          <w:color w:val="000000"/>
          <w:kern w:val="0"/>
          <w:sz w:val="21"/>
          <w:szCs w:val="21"/>
        </w:rPr>
      </w:pPr>
      <w:bookmarkStart w:id="184" w:name="_Toc225498271"/>
      <w:bookmarkStart w:id="185" w:name="_Toc409100077"/>
      <w:bookmarkStart w:id="186" w:name="_Toc23339387"/>
      <w:bookmarkStart w:id="187" w:name="_Toc508540291"/>
      <w:bookmarkStart w:id="188" w:name="_Toc361324876"/>
      <w:bookmarkStart w:id="189" w:name="_Toc409100440"/>
      <w:bookmarkStart w:id="190" w:name="_Toc11989"/>
      <w:r>
        <w:rPr>
          <w:color w:val="000000"/>
          <w:kern w:val="0"/>
          <w:sz w:val="21"/>
          <w:szCs w:val="21"/>
        </w:rPr>
        <w:t>7.2.4</w:t>
      </w:r>
      <w:r>
        <w:rPr>
          <w:rFonts w:hint="eastAsia"/>
          <w:color w:val="000000"/>
          <w:kern w:val="0"/>
          <w:sz w:val="21"/>
          <w:szCs w:val="21"/>
        </w:rPr>
        <w:t xml:space="preserve"> </w:t>
      </w:r>
      <w:r>
        <w:rPr>
          <w:color w:val="000000"/>
          <w:kern w:val="0"/>
          <w:sz w:val="21"/>
          <w:szCs w:val="21"/>
        </w:rPr>
        <w:t>报表附注</w:t>
      </w:r>
      <w:bookmarkEnd w:id="184"/>
      <w:bookmarkEnd w:id="185"/>
      <w:bookmarkEnd w:id="186"/>
      <w:bookmarkEnd w:id="187"/>
      <w:bookmarkEnd w:id="188"/>
      <w:bookmarkEnd w:id="189"/>
      <w:bookmarkEnd w:id="190"/>
    </w:p>
    <w:p w:rsidR="003663E4" w:rsidRDefault="00FD3F7D">
      <w:pPr>
        <w:autoSpaceDE w:val="0"/>
        <w:autoSpaceDN w:val="0"/>
        <w:adjustRightInd w:val="0"/>
        <w:spacing w:line="360" w:lineRule="auto"/>
        <w:jc w:val="left"/>
        <w:rPr>
          <w:b/>
          <w:color w:val="000000"/>
          <w:kern w:val="0"/>
          <w:szCs w:val="21"/>
        </w:rPr>
      </w:pPr>
      <w:r>
        <w:rPr>
          <w:b/>
          <w:bCs/>
          <w:color w:val="000000"/>
          <w:kern w:val="0"/>
          <w:szCs w:val="21"/>
        </w:rPr>
        <w:t xml:space="preserve">7.2.4.1 </w:t>
      </w:r>
      <w:r>
        <w:rPr>
          <w:b/>
          <w:color w:val="000000"/>
          <w:kern w:val="0"/>
          <w:szCs w:val="21"/>
        </w:rPr>
        <w:t>基金基本情况</w:t>
      </w:r>
    </w:p>
    <w:p w:rsidR="003663E4" w:rsidRDefault="00FD3F7D">
      <w:pPr>
        <w:spacing w:line="360" w:lineRule="auto"/>
        <w:ind w:firstLineChars="200" w:firstLine="420"/>
        <w:rPr>
          <w:color w:val="000000"/>
          <w:szCs w:val="21"/>
        </w:rPr>
      </w:pPr>
      <w:r>
        <w:rPr>
          <w:color w:val="000000"/>
          <w:szCs w:val="21"/>
        </w:rPr>
        <w:t>交银施罗德理财</w:t>
      </w:r>
      <w:r>
        <w:rPr>
          <w:color w:val="000000"/>
          <w:szCs w:val="21"/>
        </w:rPr>
        <w:t>60</w:t>
      </w:r>
      <w:r>
        <w:rPr>
          <w:color w:val="000000"/>
          <w:szCs w:val="21"/>
        </w:rPr>
        <w:t>天债券型证券投资基金</w:t>
      </w:r>
      <w:r>
        <w:rPr>
          <w:color w:val="000000"/>
          <w:szCs w:val="21"/>
        </w:rPr>
        <w:t>(</w:t>
      </w:r>
      <w:r>
        <w:rPr>
          <w:color w:val="000000"/>
          <w:szCs w:val="21"/>
        </w:rPr>
        <w:t>以下简称</w:t>
      </w:r>
      <w:r>
        <w:rPr>
          <w:color w:val="000000"/>
          <w:szCs w:val="21"/>
        </w:rPr>
        <w:t>“</w:t>
      </w:r>
      <w:r>
        <w:rPr>
          <w:color w:val="000000"/>
          <w:szCs w:val="21"/>
        </w:rPr>
        <w:t>本基金</w:t>
      </w:r>
      <w:r>
        <w:rPr>
          <w:color w:val="000000"/>
          <w:szCs w:val="21"/>
        </w:rPr>
        <w:t>”)</w:t>
      </w:r>
      <w:r>
        <w:rPr>
          <w:color w:val="000000"/>
          <w:szCs w:val="21"/>
        </w:rPr>
        <w:t>经中国证券监督管理委员会</w:t>
      </w:r>
      <w:r>
        <w:rPr>
          <w:color w:val="000000"/>
          <w:szCs w:val="21"/>
        </w:rPr>
        <w:t>(</w:t>
      </w:r>
      <w:r>
        <w:rPr>
          <w:color w:val="000000"/>
          <w:szCs w:val="21"/>
        </w:rPr>
        <w:t>以下简称</w:t>
      </w:r>
      <w:r>
        <w:rPr>
          <w:color w:val="000000"/>
          <w:szCs w:val="21"/>
        </w:rPr>
        <w:t>“</w:t>
      </w:r>
      <w:r>
        <w:rPr>
          <w:color w:val="000000"/>
          <w:szCs w:val="21"/>
        </w:rPr>
        <w:t>中国证监会</w:t>
      </w:r>
      <w:r>
        <w:rPr>
          <w:color w:val="000000"/>
          <w:szCs w:val="21"/>
        </w:rPr>
        <w:t>”)</w:t>
      </w:r>
      <w:r>
        <w:rPr>
          <w:color w:val="000000"/>
          <w:szCs w:val="21"/>
        </w:rPr>
        <w:t>证监许可</w:t>
      </w:r>
      <w:r>
        <w:rPr>
          <w:color w:val="000000"/>
          <w:szCs w:val="21"/>
        </w:rPr>
        <w:t>[2012]1768</w:t>
      </w:r>
      <w:r>
        <w:rPr>
          <w:color w:val="000000"/>
          <w:szCs w:val="21"/>
        </w:rPr>
        <w:t>号《关于核准交银施罗德理财</w:t>
      </w:r>
      <w:r>
        <w:rPr>
          <w:color w:val="000000"/>
          <w:szCs w:val="21"/>
        </w:rPr>
        <w:t>60</w:t>
      </w:r>
      <w:r>
        <w:rPr>
          <w:color w:val="000000"/>
          <w:szCs w:val="21"/>
        </w:rPr>
        <w:t>天债券型证券投资基金募集的批复》核准，由交银施罗德基金管理有限公司依照《中华人民共和国证券投资基金法》和《交银施罗德理财</w:t>
      </w:r>
      <w:r>
        <w:rPr>
          <w:color w:val="000000"/>
          <w:szCs w:val="21"/>
        </w:rPr>
        <w:t>60</w:t>
      </w:r>
      <w:r>
        <w:rPr>
          <w:color w:val="000000"/>
          <w:szCs w:val="21"/>
        </w:rPr>
        <w:t>天债券型证券投资基金基金合同》负责公开募集。本基金为契约型开放式证券投资基金，存续期限不定。首</w:t>
      </w:r>
      <w:r>
        <w:rPr>
          <w:color w:val="000000"/>
          <w:szCs w:val="21"/>
        </w:rPr>
        <w:t>次设立募集不包括认购资金利息共募集人民币</w:t>
      </w:r>
      <w:r>
        <w:rPr>
          <w:color w:val="000000"/>
          <w:szCs w:val="21"/>
        </w:rPr>
        <w:t>777,735,040.55</w:t>
      </w:r>
      <w:r>
        <w:rPr>
          <w:color w:val="000000"/>
          <w:szCs w:val="21"/>
        </w:rPr>
        <w:t>元，业经普华永道中天会计师事务所有限公司普华永道中天验字</w:t>
      </w:r>
      <w:r>
        <w:rPr>
          <w:color w:val="000000"/>
          <w:szCs w:val="21"/>
        </w:rPr>
        <w:t>(2013)</w:t>
      </w:r>
      <w:r>
        <w:rPr>
          <w:color w:val="000000"/>
          <w:szCs w:val="21"/>
        </w:rPr>
        <w:t>第</w:t>
      </w:r>
      <w:r>
        <w:rPr>
          <w:color w:val="000000"/>
          <w:szCs w:val="21"/>
        </w:rPr>
        <w:t>131</w:t>
      </w:r>
      <w:r>
        <w:rPr>
          <w:color w:val="000000"/>
          <w:szCs w:val="21"/>
        </w:rPr>
        <w:t>号验资报告予以验证。经向中国证监会备案，《交银施罗德理财</w:t>
      </w:r>
      <w:r>
        <w:rPr>
          <w:color w:val="000000"/>
          <w:szCs w:val="21"/>
        </w:rPr>
        <w:t>60</w:t>
      </w:r>
      <w:r>
        <w:rPr>
          <w:color w:val="000000"/>
          <w:szCs w:val="21"/>
        </w:rPr>
        <w:t>天债券型证券投资基金基金合同》于</w:t>
      </w:r>
      <w:r>
        <w:rPr>
          <w:color w:val="000000"/>
          <w:szCs w:val="21"/>
        </w:rPr>
        <w:t>2013</w:t>
      </w:r>
      <w:r>
        <w:rPr>
          <w:color w:val="000000"/>
          <w:szCs w:val="21"/>
        </w:rPr>
        <w:t>年</w:t>
      </w:r>
      <w:r>
        <w:rPr>
          <w:color w:val="000000"/>
          <w:szCs w:val="21"/>
        </w:rPr>
        <w:t>3</w:t>
      </w:r>
      <w:r>
        <w:rPr>
          <w:color w:val="000000"/>
          <w:szCs w:val="21"/>
        </w:rPr>
        <w:t>月</w:t>
      </w:r>
      <w:r>
        <w:rPr>
          <w:color w:val="000000"/>
          <w:szCs w:val="21"/>
        </w:rPr>
        <w:t>13</w:t>
      </w:r>
      <w:r>
        <w:rPr>
          <w:color w:val="000000"/>
          <w:szCs w:val="21"/>
        </w:rPr>
        <w:t>日正式生效，基金合同生效日的基金份额总额为</w:t>
      </w:r>
      <w:r>
        <w:rPr>
          <w:color w:val="000000"/>
          <w:szCs w:val="21"/>
        </w:rPr>
        <w:t>777,917,201.14</w:t>
      </w:r>
      <w:r>
        <w:rPr>
          <w:color w:val="000000"/>
          <w:szCs w:val="21"/>
        </w:rPr>
        <w:t>份基金份额，其中认购资金利息折合</w:t>
      </w:r>
      <w:r>
        <w:rPr>
          <w:color w:val="000000"/>
          <w:szCs w:val="21"/>
        </w:rPr>
        <w:t>182,160.59</w:t>
      </w:r>
      <w:r>
        <w:rPr>
          <w:color w:val="000000"/>
          <w:szCs w:val="21"/>
        </w:rPr>
        <w:t>份基金份额。本基金的基金管理人为交银施罗德基金管理有限公司，基金托管人为中国建设银行股份有限公司。</w:t>
      </w:r>
    </w:p>
    <w:p w:rsidR="003663E4" w:rsidRDefault="00FD3F7D">
      <w:pPr>
        <w:spacing w:line="360" w:lineRule="auto"/>
        <w:ind w:firstLineChars="200" w:firstLine="420"/>
        <w:rPr>
          <w:color w:val="000000"/>
          <w:szCs w:val="21"/>
        </w:rPr>
      </w:pPr>
      <w:r>
        <w:rPr>
          <w:color w:val="000000"/>
          <w:szCs w:val="21"/>
        </w:rPr>
        <w:t>根据《交银施罗德理财</w:t>
      </w:r>
      <w:r>
        <w:rPr>
          <w:color w:val="000000"/>
          <w:szCs w:val="21"/>
        </w:rPr>
        <w:t>60</w:t>
      </w:r>
      <w:r>
        <w:rPr>
          <w:color w:val="000000"/>
          <w:szCs w:val="21"/>
        </w:rPr>
        <w:t>天债券型证券</w:t>
      </w:r>
      <w:r>
        <w:rPr>
          <w:color w:val="000000"/>
          <w:szCs w:val="21"/>
        </w:rPr>
        <w:t>投资基金基金合同》和《交银施罗德理财</w:t>
      </w:r>
      <w:r>
        <w:rPr>
          <w:color w:val="000000"/>
          <w:szCs w:val="21"/>
        </w:rPr>
        <w:t>60</w:t>
      </w:r>
      <w:r>
        <w:rPr>
          <w:color w:val="000000"/>
          <w:szCs w:val="21"/>
        </w:rPr>
        <w:t>天债券型证券投资基金招募说明书》，本基金根据投资人持有本基金的份额数量，对投资人持有的基金份额按照不同的费率计提销售服务费用，因此形成</w:t>
      </w:r>
      <w:r>
        <w:rPr>
          <w:color w:val="000000"/>
          <w:szCs w:val="21"/>
        </w:rPr>
        <w:t>A</w:t>
      </w:r>
      <w:r>
        <w:rPr>
          <w:color w:val="000000"/>
          <w:szCs w:val="21"/>
        </w:rPr>
        <w:t>类和</w:t>
      </w:r>
      <w:r>
        <w:rPr>
          <w:color w:val="000000"/>
          <w:szCs w:val="21"/>
        </w:rPr>
        <w:t>B</w:t>
      </w:r>
      <w:r>
        <w:rPr>
          <w:color w:val="000000"/>
          <w:szCs w:val="21"/>
        </w:rPr>
        <w:t>类两类基金份额。两类基金份额分别公布每万份基金净收益和七日年化收益率。</w:t>
      </w:r>
    </w:p>
    <w:p w:rsidR="003663E4" w:rsidRDefault="00FD3F7D">
      <w:pPr>
        <w:spacing w:line="360" w:lineRule="auto"/>
        <w:ind w:firstLineChars="200" w:firstLine="420"/>
        <w:rPr>
          <w:color w:val="000000"/>
          <w:szCs w:val="21"/>
        </w:rPr>
      </w:pPr>
      <w:r>
        <w:rPr>
          <w:color w:val="000000"/>
          <w:szCs w:val="21"/>
        </w:rPr>
        <w:t>根据《中华人民共和国证券投资基金法》和《交银施罗德理财</w:t>
      </w:r>
      <w:r>
        <w:rPr>
          <w:color w:val="000000"/>
          <w:szCs w:val="21"/>
        </w:rPr>
        <w:t>60</w:t>
      </w:r>
      <w:r>
        <w:rPr>
          <w:color w:val="000000"/>
          <w:szCs w:val="21"/>
        </w:rPr>
        <w:t>天债券型证券投资基金基金合同》的有关规定，本基金的投资范围为具有良好流动性的金融工具，包括现金，通知存款，一年以内</w:t>
      </w:r>
      <w:r>
        <w:rPr>
          <w:color w:val="000000"/>
          <w:szCs w:val="21"/>
        </w:rPr>
        <w:t>(</w:t>
      </w:r>
      <w:r>
        <w:rPr>
          <w:color w:val="000000"/>
          <w:szCs w:val="21"/>
        </w:rPr>
        <w:t>含一年</w:t>
      </w:r>
      <w:r>
        <w:rPr>
          <w:color w:val="000000"/>
          <w:szCs w:val="21"/>
        </w:rPr>
        <w:t>)</w:t>
      </w:r>
      <w:r>
        <w:rPr>
          <w:color w:val="000000"/>
          <w:szCs w:val="21"/>
        </w:rPr>
        <w:t>的银行定期存款和大额存单，剩余期限</w:t>
      </w:r>
      <w:r>
        <w:rPr>
          <w:color w:val="000000"/>
          <w:szCs w:val="21"/>
        </w:rPr>
        <w:t>(</w:t>
      </w:r>
      <w:r>
        <w:rPr>
          <w:color w:val="000000"/>
          <w:szCs w:val="21"/>
        </w:rPr>
        <w:t>或回售期限</w:t>
      </w:r>
      <w:r>
        <w:rPr>
          <w:color w:val="000000"/>
          <w:szCs w:val="21"/>
        </w:rPr>
        <w:t>)</w:t>
      </w:r>
      <w:r>
        <w:rPr>
          <w:color w:val="000000"/>
          <w:szCs w:val="21"/>
        </w:rPr>
        <w:t>在</w:t>
      </w:r>
      <w:r>
        <w:rPr>
          <w:color w:val="000000"/>
          <w:szCs w:val="21"/>
        </w:rPr>
        <w:t>397</w:t>
      </w:r>
      <w:r>
        <w:rPr>
          <w:color w:val="000000"/>
          <w:szCs w:val="21"/>
        </w:rPr>
        <w:t>天以内</w:t>
      </w:r>
      <w:r>
        <w:rPr>
          <w:color w:val="000000"/>
          <w:szCs w:val="21"/>
        </w:rPr>
        <w:t>(</w:t>
      </w:r>
      <w:r>
        <w:rPr>
          <w:color w:val="000000"/>
          <w:szCs w:val="21"/>
        </w:rPr>
        <w:t>含</w:t>
      </w:r>
      <w:r>
        <w:rPr>
          <w:color w:val="000000"/>
          <w:szCs w:val="21"/>
        </w:rPr>
        <w:t>397</w:t>
      </w:r>
      <w:r>
        <w:rPr>
          <w:color w:val="000000"/>
          <w:szCs w:val="21"/>
        </w:rPr>
        <w:t>天</w:t>
      </w:r>
      <w:r>
        <w:rPr>
          <w:color w:val="000000"/>
          <w:szCs w:val="21"/>
        </w:rPr>
        <w:t>)</w:t>
      </w:r>
      <w:r>
        <w:rPr>
          <w:color w:val="000000"/>
          <w:szCs w:val="21"/>
        </w:rPr>
        <w:t>的债券、资产支持证券和中期票据，期限在一年以内</w:t>
      </w:r>
      <w:r>
        <w:rPr>
          <w:color w:val="000000"/>
          <w:szCs w:val="21"/>
        </w:rPr>
        <w:t>(</w:t>
      </w:r>
      <w:r>
        <w:rPr>
          <w:color w:val="000000"/>
          <w:szCs w:val="21"/>
        </w:rPr>
        <w:t>含一年</w:t>
      </w:r>
      <w:r>
        <w:rPr>
          <w:color w:val="000000"/>
          <w:szCs w:val="21"/>
        </w:rPr>
        <w:t>)</w:t>
      </w:r>
      <w:r>
        <w:rPr>
          <w:color w:val="000000"/>
          <w:szCs w:val="21"/>
        </w:rPr>
        <w:t>的债券回购，期限在一年以内</w:t>
      </w:r>
      <w:r>
        <w:rPr>
          <w:color w:val="000000"/>
          <w:szCs w:val="21"/>
        </w:rPr>
        <w:t>(</w:t>
      </w:r>
      <w:r>
        <w:rPr>
          <w:color w:val="000000"/>
          <w:szCs w:val="21"/>
        </w:rPr>
        <w:t>含一年</w:t>
      </w:r>
      <w:r>
        <w:rPr>
          <w:color w:val="000000"/>
          <w:szCs w:val="21"/>
        </w:rPr>
        <w:t>)</w:t>
      </w:r>
      <w:r>
        <w:rPr>
          <w:color w:val="000000"/>
          <w:szCs w:val="21"/>
        </w:rPr>
        <w:t>的中央银行票据和短期融资券，以及法律法规或中国证监会允许本基金投资的其他固定收益类金融工具及相关衍生工具</w:t>
      </w:r>
      <w:r>
        <w:rPr>
          <w:color w:val="000000"/>
          <w:szCs w:val="21"/>
        </w:rPr>
        <w:t>(</w:t>
      </w:r>
      <w:r>
        <w:rPr>
          <w:color w:val="000000"/>
          <w:szCs w:val="21"/>
        </w:rPr>
        <w:t>但须符合中国证监会相关规定</w:t>
      </w:r>
      <w:r>
        <w:rPr>
          <w:color w:val="000000"/>
          <w:szCs w:val="21"/>
        </w:rPr>
        <w:t>)</w:t>
      </w:r>
      <w:r>
        <w:rPr>
          <w:color w:val="000000"/>
          <w:szCs w:val="21"/>
        </w:rPr>
        <w:t>。本基金的业绩比较基准为：人民币七天通知存款税后利率。</w:t>
      </w:r>
    </w:p>
    <w:p w:rsidR="003663E4" w:rsidRDefault="00FD3F7D">
      <w:pPr>
        <w:spacing w:line="360" w:lineRule="auto"/>
        <w:ind w:firstLineChars="200" w:firstLine="420"/>
        <w:rPr>
          <w:color w:val="000000"/>
          <w:szCs w:val="21"/>
        </w:rPr>
      </w:pPr>
      <w:r>
        <w:rPr>
          <w:color w:val="000000"/>
          <w:szCs w:val="21"/>
        </w:rPr>
        <w:t>本财务报表由本基金的基金管理人交银施罗德基金管理有限公司于</w:t>
      </w:r>
      <w:r>
        <w:rPr>
          <w:color w:val="000000"/>
          <w:szCs w:val="21"/>
        </w:rPr>
        <w:t>2021</w:t>
      </w:r>
      <w:r>
        <w:rPr>
          <w:color w:val="000000"/>
          <w:szCs w:val="21"/>
        </w:rPr>
        <w:t>年</w:t>
      </w:r>
      <w:r>
        <w:rPr>
          <w:color w:val="000000"/>
          <w:szCs w:val="21"/>
        </w:rPr>
        <w:t>3</w:t>
      </w:r>
      <w:r>
        <w:rPr>
          <w:color w:val="000000"/>
          <w:szCs w:val="21"/>
        </w:rPr>
        <w:t>月</w:t>
      </w:r>
      <w:r>
        <w:rPr>
          <w:rFonts w:hint="eastAsia"/>
          <w:color w:val="000000"/>
          <w:szCs w:val="21"/>
        </w:rPr>
        <w:t>26</w:t>
      </w:r>
      <w:r>
        <w:rPr>
          <w:color w:val="000000"/>
          <w:szCs w:val="21"/>
        </w:rPr>
        <w:t>日批准报出。</w:t>
      </w:r>
    </w:p>
    <w:p w:rsidR="003663E4" w:rsidRDefault="00FD3F7D">
      <w:pPr>
        <w:autoSpaceDE w:val="0"/>
        <w:autoSpaceDN w:val="0"/>
        <w:adjustRightInd w:val="0"/>
        <w:spacing w:beforeLines="50" w:before="156" w:line="360" w:lineRule="auto"/>
        <w:jc w:val="left"/>
        <w:rPr>
          <w:b/>
          <w:color w:val="000000"/>
          <w:kern w:val="0"/>
          <w:szCs w:val="21"/>
        </w:rPr>
      </w:pPr>
      <w:r>
        <w:rPr>
          <w:b/>
          <w:bCs/>
          <w:color w:val="000000"/>
          <w:kern w:val="0"/>
          <w:szCs w:val="21"/>
        </w:rPr>
        <w:t xml:space="preserve">7.2.4.2 </w:t>
      </w:r>
      <w:r>
        <w:rPr>
          <w:b/>
          <w:color w:val="000000"/>
          <w:kern w:val="0"/>
          <w:szCs w:val="21"/>
        </w:rPr>
        <w:t>会计报表的编制基础</w:t>
      </w:r>
    </w:p>
    <w:p w:rsidR="003663E4" w:rsidRDefault="00FD3F7D">
      <w:pPr>
        <w:spacing w:line="360" w:lineRule="auto"/>
        <w:ind w:firstLineChars="200" w:firstLine="420"/>
        <w:rPr>
          <w:color w:val="000000"/>
          <w:szCs w:val="21"/>
        </w:rPr>
      </w:pPr>
      <w:r>
        <w:rPr>
          <w:color w:val="000000"/>
          <w:szCs w:val="21"/>
        </w:rPr>
        <w:t>本基金的财务报表按照财政部于</w:t>
      </w:r>
      <w:r>
        <w:rPr>
          <w:color w:val="000000"/>
          <w:szCs w:val="21"/>
        </w:rPr>
        <w:t>2006</w:t>
      </w:r>
      <w:r>
        <w:rPr>
          <w:color w:val="000000"/>
          <w:szCs w:val="21"/>
        </w:rPr>
        <w:t>年</w:t>
      </w:r>
      <w:r>
        <w:rPr>
          <w:color w:val="000000"/>
          <w:szCs w:val="21"/>
        </w:rPr>
        <w:t>2</w:t>
      </w:r>
      <w:r>
        <w:rPr>
          <w:color w:val="000000"/>
          <w:szCs w:val="21"/>
        </w:rPr>
        <w:t>月</w:t>
      </w:r>
      <w:r>
        <w:rPr>
          <w:color w:val="000000"/>
          <w:szCs w:val="21"/>
        </w:rPr>
        <w:t>15</w:t>
      </w:r>
      <w:r>
        <w:rPr>
          <w:color w:val="000000"/>
          <w:szCs w:val="21"/>
        </w:rPr>
        <w:t>日及以后期间颁布的《企业会计准则－基本准则》、各项具体会计准则及相关规定</w:t>
      </w:r>
      <w:r>
        <w:rPr>
          <w:color w:val="000000"/>
          <w:szCs w:val="21"/>
        </w:rPr>
        <w:t>(</w:t>
      </w:r>
      <w:r>
        <w:rPr>
          <w:color w:val="000000"/>
          <w:szCs w:val="21"/>
        </w:rPr>
        <w:t>以下合称</w:t>
      </w:r>
      <w:r>
        <w:rPr>
          <w:color w:val="000000"/>
          <w:szCs w:val="21"/>
        </w:rPr>
        <w:t>“</w:t>
      </w:r>
      <w:r>
        <w:rPr>
          <w:color w:val="000000"/>
          <w:szCs w:val="21"/>
        </w:rPr>
        <w:t>企业会计准则</w:t>
      </w:r>
      <w:r>
        <w:rPr>
          <w:color w:val="000000"/>
          <w:szCs w:val="21"/>
        </w:rPr>
        <w:t>”)</w:t>
      </w:r>
      <w:r>
        <w:rPr>
          <w:color w:val="000000"/>
          <w:szCs w:val="21"/>
        </w:rPr>
        <w:t>、中国证监会颁布的《证券投资基金信息披露</w:t>
      </w:r>
      <w:r>
        <w:rPr>
          <w:color w:val="000000"/>
          <w:szCs w:val="21"/>
        </w:rPr>
        <w:t>XBRL</w:t>
      </w:r>
      <w:r>
        <w:rPr>
          <w:color w:val="000000"/>
          <w:szCs w:val="21"/>
        </w:rPr>
        <w:t>模板第</w:t>
      </w:r>
      <w:r>
        <w:rPr>
          <w:color w:val="000000"/>
          <w:szCs w:val="21"/>
        </w:rPr>
        <w:t>3</w:t>
      </w:r>
      <w:r>
        <w:rPr>
          <w:color w:val="000000"/>
          <w:szCs w:val="21"/>
        </w:rPr>
        <w:t>号</w:t>
      </w:r>
      <w:r>
        <w:rPr>
          <w:color w:val="000000"/>
          <w:szCs w:val="21"/>
        </w:rPr>
        <w:t>&lt;</w:t>
      </w:r>
      <w:r>
        <w:rPr>
          <w:color w:val="000000"/>
          <w:szCs w:val="21"/>
        </w:rPr>
        <w:t>年度报告和中期报告</w:t>
      </w:r>
      <w:r>
        <w:rPr>
          <w:color w:val="000000"/>
          <w:szCs w:val="21"/>
        </w:rPr>
        <w:t>&gt;</w:t>
      </w:r>
      <w:r>
        <w:rPr>
          <w:color w:val="000000"/>
          <w:szCs w:val="21"/>
        </w:rPr>
        <w:t>》、中国证券投资基金业协会</w:t>
      </w:r>
      <w:r>
        <w:rPr>
          <w:color w:val="000000"/>
          <w:szCs w:val="21"/>
        </w:rPr>
        <w:t>(</w:t>
      </w:r>
      <w:r>
        <w:rPr>
          <w:color w:val="000000"/>
          <w:szCs w:val="21"/>
        </w:rPr>
        <w:t>以下简称</w:t>
      </w:r>
      <w:r>
        <w:rPr>
          <w:color w:val="000000"/>
          <w:szCs w:val="21"/>
        </w:rPr>
        <w:t>“</w:t>
      </w:r>
      <w:r>
        <w:rPr>
          <w:color w:val="000000"/>
          <w:szCs w:val="21"/>
        </w:rPr>
        <w:t>中国基金业协会</w:t>
      </w:r>
      <w:r>
        <w:rPr>
          <w:color w:val="000000"/>
          <w:szCs w:val="21"/>
        </w:rPr>
        <w:t>”)</w:t>
      </w:r>
      <w:r>
        <w:rPr>
          <w:color w:val="000000"/>
          <w:szCs w:val="21"/>
        </w:rPr>
        <w:t>颁布的《证券投资基金会计核算业务指引》、《交银施罗德理财</w:t>
      </w:r>
      <w:r>
        <w:rPr>
          <w:color w:val="000000"/>
          <w:szCs w:val="21"/>
        </w:rPr>
        <w:t>60</w:t>
      </w:r>
      <w:r>
        <w:rPr>
          <w:color w:val="000000"/>
          <w:szCs w:val="21"/>
        </w:rPr>
        <w:t>天债券型证券投资基金基金合同》和在财务报表附注</w:t>
      </w:r>
      <w:r>
        <w:rPr>
          <w:color w:val="000000"/>
          <w:szCs w:val="21"/>
        </w:rPr>
        <w:t>7.2.4.4</w:t>
      </w:r>
      <w:r>
        <w:rPr>
          <w:color w:val="000000"/>
          <w:szCs w:val="21"/>
        </w:rPr>
        <w:t>所列示的中国证监会、中国基金业协会发布的有关规定及允许的基金行业实务操作编制。</w:t>
      </w:r>
    </w:p>
    <w:p w:rsidR="003663E4" w:rsidRDefault="00FD3F7D">
      <w:pPr>
        <w:spacing w:line="360" w:lineRule="auto"/>
        <w:ind w:firstLineChars="200" w:firstLine="420"/>
        <w:rPr>
          <w:color w:val="000000"/>
          <w:szCs w:val="21"/>
        </w:rPr>
      </w:pPr>
      <w:r>
        <w:rPr>
          <w:rFonts w:hint="eastAsia"/>
          <w:color w:val="000000"/>
          <w:szCs w:val="21"/>
        </w:rPr>
        <w:t>经中国证监会批准，本基金的基金管理人交银施罗德基金管理有限公司将本基金于基金合同失效日</w:t>
      </w:r>
      <w:r>
        <w:rPr>
          <w:rFonts w:hint="eastAsia"/>
          <w:color w:val="000000"/>
          <w:szCs w:val="21"/>
        </w:rPr>
        <w:t>2020</w:t>
      </w:r>
      <w:r>
        <w:rPr>
          <w:rFonts w:hint="eastAsia"/>
          <w:color w:val="000000"/>
          <w:szCs w:val="21"/>
        </w:rPr>
        <w:t>年</w:t>
      </w:r>
      <w:r>
        <w:rPr>
          <w:rFonts w:hint="eastAsia"/>
          <w:color w:val="000000"/>
          <w:szCs w:val="21"/>
        </w:rPr>
        <w:t>7</w:t>
      </w:r>
      <w:r>
        <w:rPr>
          <w:rFonts w:hint="eastAsia"/>
          <w:color w:val="000000"/>
          <w:szCs w:val="21"/>
        </w:rPr>
        <w:t>月</w:t>
      </w:r>
      <w:r>
        <w:rPr>
          <w:rFonts w:hint="eastAsia"/>
          <w:color w:val="000000"/>
          <w:szCs w:val="21"/>
        </w:rPr>
        <w:t>28</w:t>
      </w:r>
      <w:r>
        <w:rPr>
          <w:rFonts w:hint="eastAsia"/>
          <w:color w:val="000000"/>
          <w:szCs w:val="21"/>
        </w:rPr>
        <w:t>日转型为交银施罗德裕惠纯债债券型证券投资基金，存续期限为不定期，因此本基金财务报表仍以持续经营假设为编制基础。</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7.2.4.3 </w:t>
      </w:r>
      <w:r>
        <w:rPr>
          <w:b/>
          <w:bCs/>
          <w:color w:val="000000"/>
          <w:kern w:val="0"/>
          <w:szCs w:val="21"/>
        </w:rPr>
        <w:t>遵循企业会计准则及其他有关规定的声明</w:t>
      </w:r>
    </w:p>
    <w:p w:rsidR="003663E4" w:rsidRDefault="00FD3F7D">
      <w:pPr>
        <w:spacing w:line="360" w:lineRule="auto"/>
        <w:ind w:firstLineChars="200" w:firstLine="420"/>
        <w:rPr>
          <w:color w:val="000000"/>
          <w:szCs w:val="21"/>
        </w:rPr>
      </w:pPr>
      <w:r>
        <w:rPr>
          <w:color w:val="000000"/>
          <w:szCs w:val="21"/>
        </w:rPr>
        <w:t>本基金</w:t>
      </w: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r>
        <w:rPr>
          <w:color w:val="000000"/>
          <w:szCs w:val="21"/>
        </w:rPr>
        <w:t>(</w:t>
      </w:r>
      <w:r>
        <w:rPr>
          <w:color w:val="000000"/>
          <w:szCs w:val="21"/>
        </w:rPr>
        <w:t>基金合同失效前日</w:t>
      </w:r>
      <w:r>
        <w:rPr>
          <w:color w:val="000000"/>
          <w:szCs w:val="21"/>
        </w:rPr>
        <w:t>)</w:t>
      </w:r>
      <w:r>
        <w:rPr>
          <w:color w:val="000000"/>
          <w:szCs w:val="21"/>
        </w:rPr>
        <w:t>止期间的财务报表符合企业会计准则的要求，真实、完整地反映了本基金</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r>
        <w:rPr>
          <w:color w:val="000000"/>
          <w:szCs w:val="21"/>
        </w:rPr>
        <w:t>(</w:t>
      </w:r>
      <w:r>
        <w:rPr>
          <w:color w:val="000000"/>
          <w:szCs w:val="21"/>
        </w:rPr>
        <w:t>基金合同失效前日</w:t>
      </w:r>
      <w:r>
        <w:rPr>
          <w:color w:val="000000"/>
          <w:szCs w:val="21"/>
        </w:rPr>
        <w:t>)</w:t>
      </w:r>
      <w:r>
        <w:rPr>
          <w:color w:val="000000"/>
          <w:szCs w:val="21"/>
        </w:rPr>
        <w:t>的财务状况以及</w:t>
      </w: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r>
        <w:rPr>
          <w:color w:val="000000"/>
          <w:szCs w:val="21"/>
        </w:rPr>
        <w:t>(</w:t>
      </w:r>
      <w:r>
        <w:rPr>
          <w:color w:val="000000"/>
          <w:szCs w:val="21"/>
        </w:rPr>
        <w:t>基金合同失效前日</w:t>
      </w:r>
      <w:r>
        <w:rPr>
          <w:color w:val="000000"/>
          <w:szCs w:val="21"/>
        </w:rPr>
        <w:t>)</w:t>
      </w:r>
      <w:r>
        <w:rPr>
          <w:color w:val="000000"/>
          <w:szCs w:val="21"/>
        </w:rPr>
        <w:t>止期间的经营成果和基金净值变动情况等有关信息。</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7.2.4.4 </w:t>
      </w:r>
      <w:r>
        <w:rPr>
          <w:rFonts w:ascii="宋体" w:hAnsi="宋体"/>
          <w:b/>
          <w:bCs/>
          <w:color w:val="000000"/>
          <w:szCs w:val="21"/>
        </w:rPr>
        <w:t>重要会计政策和会计估计</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7.2.4.4.1 </w:t>
      </w:r>
      <w:r>
        <w:rPr>
          <w:b/>
          <w:bCs/>
          <w:color w:val="000000"/>
          <w:kern w:val="0"/>
          <w:szCs w:val="21"/>
        </w:rPr>
        <w:t>会计年度</w:t>
      </w:r>
    </w:p>
    <w:p w:rsidR="003663E4" w:rsidRDefault="00FD3F7D">
      <w:pPr>
        <w:spacing w:line="360" w:lineRule="auto"/>
        <w:ind w:firstLineChars="200" w:firstLine="420"/>
        <w:rPr>
          <w:color w:val="000000"/>
          <w:szCs w:val="21"/>
        </w:rPr>
      </w:pPr>
      <w:r>
        <w:rPr>
          <w:color w:val="000000"/>
          <w:szCs w:val="21"/>
        </w:rPr>
        <w:t>本基金会计年度为公历</w:t>
      </w:r>
      <w:r>
        <w:rPr>
          <w:color w:val="000000"/>
          <w:szCs w:val="21"/>
        </w:rPr>
        <w:t>1</w:t>
      </w:r>
      <w:r>
        <w:rPr>
          <w:color w:val="000000"/>
          <w:szCs w:val="21"/>
        </w:rPr>
        <w:t>月</w:t>
      </w:r>
      <w:r>
        <w:rPr>
          <w:color w:val="000000"/>
          <w:szCs w:val="21"/>
        </w:rPr>
        <w:t>1</w:t>
      </w:r>
      <w:r>
        <w:rPr>
          <w:color w:val="000000"/>
          <w:szCs w:val="21"/>
        </w:rPr>
        <w:t>日起至</w:t>
      </w:r>
      <w:r>
        <w:rPr>
          <w:color w:val="000000"/>
          <w:szCs w:val="21"/>
        </w:rPr>
        <w:t>12</w:t>
      </w:r>
      <w:r>
        <w:rPr>
          <w:color w:val="000000"/>
          <w:szCs w:val="21"/>
        </w:rPr>
        <w:t>月</w:t>
      </w:r>
      <w:r>
        <w:rPr>
          <w:color w:val="000000"/>
          <w:szCs w:val="21"/>
        </w:rPr>
        <w:t>31</w:t>
      </w:r>
      <w:r>
        <w:rPr>
          <w:color w:val="000000"/>
          <w:szCs w:val="21"/>
        </w:rPr>
        <w:t>日止。本财务报表的实际编制期间为</w:t>
      </w: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r>
        <w:rPr>
          <w:color w:val="000000"/>
          <w:szCs w:val="21"/>
        </w:rPr>
        <w:t>(</w:t>
      </w:r>
      <w:r>
        <w:rPr>
          <w:color w:val="000000"/>
          <w:szCs w:val="21"/>
        </w:rPr>
        <w:t>基金合同失效前日</w:t>
      </w:r>
      <w:r>
        <w:rPr>
          <w:color w:val="000000"/>
          <w:szCs w:val="21"/>
        </w:rPr>
        <w:t>)</w:t>
      </w:r>
      <w:r>
        <w:rPr>
          <w:color w:val="000000"/>
          <w:szCs w:val="21"/>
        </w:rPr>
        <w:t>。</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7.2.4.4.2 </w:t>
      </w:r>
      <w:r>
        <w:rPr>
          <w:b/>
          <w:bCs/>
          <w:color w:val="000000"/>
          <w:kern w:val="0"/>
          <w:szCs w:val="21"/>
        </w:rPr>
        <w:t>记账本位币</w:t>
      </w:r>
    </w:p>
    <w:p w:rsidR="003663E4" w:rsidRDefault="00FD3F7D">
      <w:pPr>
        <w:spacing w:line="360" w:lineRule="auto"/>
        <w:ind w:firstLineChars="200" w:firstLine="420"/>
        <w:rPr>
          <w:color w:val="000000"/>
          <w:szCs w:val="21"/>
        </w:rPr>
      </w:pPr>
      <w:r>
        <w:rPr>
          <w:color w:val="000000"/>
          <w:szCs w:val="21"/>
        </w:rPr>
        <w:t>本基金的记账本位币为人民币。</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7.2.4.4.3 </w:t>
      </w:r>
      <w:r>
        <w:rPr>
          <w:b/>
          <w:bCs/>
          <w:color w:val="000000"/>
          <w:kern w:val="0"/>
          <w:szCs w:val="21"/>
        </w:rPr>
        <w:t>金融资产和金融负债的分类</w:t>
      </w:r>
    </w:p>
    <w:p w:rsidR="003663E4" w:rsidRDefault="00FD3F7D">
      <w:pPr>
        <w:spacing w:line="360" w:lineRule="auto"/>
        <w:ind w:firstLineChars="200" w:firstLine="420"/>
        <w:rPr>
          <w:color w:val="000000"/>
          <w:szCs w:val="21"/>
        </w:rPr>
      </w:pPr>
      <w:r>
        <w:rPr>
          <w:color w:val="000000"/>
          <w:szCs w:val="21"/>
        </w:rPr>
        <w:t xml:space="preserve">(1) </w:t>
      </w:r>
      <w:r>
        <w:rPr>
          <w:color w:val="000000"/>
          <w:szCs w:val="21"/>
        </w:rPr>
        <w:t>金融资产的分类</w:t>
      </w:r>
    </w:p>
    <w:p w:rsidR="003663E4" w:rsidRDefault="00FD3F7D">
      <w:pPr>
        <w:spacing w:line="360" w:lineRule="auto"/>
        <w:ind w:firstLineChars="200" w:firstLine="420"/>
        <w:rPr>
          <w:color w:val="000000"/>
          <w:szCs w:val="21"/>
        </w:rPr>
      </w:pPr>
      <w:r>
        <w:rPr>
          <w:color w:val="000000"/>
          <w:szCs w:val="21"/>
        </w:rPr>
        <w:t>金融资产于初始确认时分类为：以公允价值计量且其变动计入当期损益的金融资产、应收款项、可供出售金融资产及持有至到期投资。金融</w:t>
      </w:r>
      <w:r>
        <w:rPr>
          <w:color w:val="000000"/>
          <w:szCs w:val="21"/>
        </w:rPr>
        <w:t>资产的分类取决于本基金对金融资产的持有意图和持有能力。本基金现无金融资产分类为可供出售金融资产及持有至到期投资。</w:t>
      </w:r>
    </w:p>
    <w:p w:rsidR="003663E4" w:rsidRDefault="00FD3F7D">
      <w:pPr>
        <w:spacing w:line="360" w:lineRule="auto"/>
        <w:ind w:firstLineChars="200" w:firstLine="420"/>
        <w:rPr>
          <w:color w:val="000000"/>
          <w:szCs w:val="21"/>
        </w:rPr>
      </w:pPr>
      <w:r>
        <w:rPr>
          <w:color w:val="000000"/>
          <w:szCs w:val="21"/>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3663E4" w:rsidRDefault="00FD3F7D">
      <w:pPr>
        <w:spacing w:line="360" w:lineRule="auto"/>
        <w:ind w:firstLineChars="200" w:firstLine="420"/>
        <w:rPr>
          <w:color w:val="000000"/>
          <w:szCs w:val="21"/>
        </w:rPr>
      </w:pPr>
      <w:r>
        <w:rPr>
          <w:color w:val="000000"/>
          <w:szCs w:val="21"/>
        </w:rPr>
        <w:t>本基金持有的其他金融资产分类为应收款项，包括银行存款、买入返售金融资产和其他各类应收款项等。应收款项是指在活跃市场中没有报价、回收金额固定或可确定的非衍生金融资产。</w:t>
      </w:r>
    </w:p>
    <w:p w:rsidR="003663E4" w:rsidRDefault="00FD3F7D">
      <w:pPr>
        <w:spacing w:line="360" w:lineRule="auto"/>
        <w:ind w:firstLineChars="200" w:firstLine="420"/>
        <w:rPr>
          <w:color w:val="000000"/>
          <w:szCs w:val="21"/>
        </w:rPr>
      </w:pPr>
      <w:r>
        <w:rPr>
          <w:color w:val="000000"/>
          <w:szCs w:val="21"/>
        </w:rPr>
        <w:t xml:space="preserve">(2) </w:t>
      </w:r>
      <w:r>
        <w:rPr>
          <w:color w:val="000000"/>
          <w:szCs w:val="21"/>
        </w:rPr>
        <w:t>金融负债的分类</w:t>
      </w:r>
    </w:p>
    <w:p w:rsidR="003663E4" w:rsidRDefault="00FD3F7D">
      <w:pPr>
        <w:spacing w:line="360" w:lineRule="auto"/>
        <w:ind w:firstLineChars="200" w:firstLine="420"/>
        <w:rPr>
          <w:color w:val="000000"/>
          <w:szCs w:val="21"/>
        </w:rPr>
      </w:pPr>
      <w:r>
        <w:rPr>
          <w:color w:val="000000"/>
          <w:szCs w:val="21"/>
        </w:rPr>
        <w:t>金融负债于初始确认时分类为</w:t>
      </w:r>
      <w:r>
        <w:rPr>
          <w:color w:val="000000"/>
          <w:szCs w:val="21"/>
        </w:rPr>
        <w:t>：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7.2.4.4.4 </w:t>
      </w:r>
      <w:r>
        <w:rPr>
          <w:b/>
          <w:bCs/>
          <w:color w:val="000000"/>
          <w:kern w:val="0"/>
          <w:szCs w:val="21"/>
        </w:rPr>
        <w:t>金融资产和金融负债的初始确认、后续计量和终止确认</w:t>
      </w:r>
    </w:p>
    <w:p w:rsidR="003663E4" w:rsidRDefault="00FD3F7D">
      <w:pPr>
        <w:spacing w:line="360" w:lineRule="auto"/>
        <w:ind w:firstLineChars="200" w:firstLine="420"/>
        <w:rPr>
          <w:color w:val="000000"/>
          <w:szCs w:val="21"/>
        </w:rPr>
      </w:pPr>
      <w:r>
        <w:rPr>
          <w:color w:val="000000"/>
          <w:szCs w:val="21"/>
        </w:rPr>
        <w:t>金融资产或金融负债于本基金成为金融工具合同的一方时，按公允价值在资产负债表内确认。对于取得债券投资或资产支持证券投资支付的价款中包含的债券或资产支持证券起息日或上次除息日至购买日止的利息，单独确认为应收项目。应收款项和其他金融负债的相关</w:t>
      </w:r>
      <w:r>
        <w:rPr>
          <w:color w:val="000000"/>
          <w:szCs w:val="21"/>
        </w:rPr>
        <w:t>交易费用计入初始确认金额。</w:t>
      </w:r>
    </w:p>
    <w:p w:rsidR="003663E4" w:rsidRDefault="00FD3F7D">
      <w:pPr>
        <w:spacing w:line="360" w:lineRule="auto"/>
        <w:ind w:firstLineChars="200" w:firstLine="420"/>
        <w:rPr>
          <w:color w:val="000000"/>
          <w:szCs w:val="21"/>
        </w:rPr>
      </w:pPr>
      <w:r>
        <w:rPr>
          <w:color w:val="000000"/>
          <w:szCs w:val="21"/>
        </w:rPr>
        <w:t>债券投资和资产支持证券投资按票面利率或商定利率每日计提应收利息，按实际利率法在其剩余期限内摊销其买入时的溢价或折价；同时于每一计价日计算影子价格，以避免债券投资和资产支持证券投资的账面价值与公允价值的差异导致基金资产净值发生重大偏离。对于应收款项和其他金融负债采用实际利率法，以摊余成本进行后续计量。</w:t>
      </w:r>
    </w:p>
    <w:p w:rsidR="003663E4" w:rsidRDefault="00FD3F7D">
      <w:pPr>
        <w:spacing w:line="360" w:lineRule="auto"/>
        <w:ind w:firstLineChars="200" w:firstLine="420"/>
        <w:rPr>
          <w:color w:val="000000"/>
          <w:szCs w:val="21"/>
        </w:rPr>
      </w:pPr>
      <w:r>
        <w:rPr>
          <w:color w:val="000000"/>
          <w:szCs w:val="21"/>
        </w:rPr>
        <w:t>金融资产满足下列条件之一的，予以终止确认：</w:t>
      </w:r>
      <w:r>
        <w:rPr>
          <w:color w:val="000000"/>
          <w:szCs w:val="21"/>
        </w:rPr>
        <w:t xml:space="preserve">(1) </w:t>
      </w:r>
      <w:r>
        <w:rPr>
          <w:color w:val="000000"/>
          <w:szCs w:val="21"/>
        </w:rPr>
        <w:t>收取该金融资产现金流量的合同权利终止；</w:t>
      </w:r>
      <w:r>
        <w:rPr>
          <w:color w:val="000000"/>
          <w:szCs w:val="21"/>
        </w:rPr>
        <w:t xml:space="preserve">(2) </w:t>
      </w:r>
      <w:r>
        <w:rPr>
          <w:color w:val="000000"/>
          <w:szCs w:val="21"/>
        </w:rPr>
        <w:t>该金融资产已转移，且本基金将金融资产所有权上几乎所有的风险和报酬转移给转入方；或者</w:t>
      </w:r>
      <w:r>
        <w:rPr>
          <w:color w:val="000000"/>
          <w:szCs w:val="21"/>
        </w:rPr>
        <w:t>(3</w:t>
      </w:r>
      <w:r>
        <w:rPr>
          <w:color w:val="000000"/>
          <w:szCs w:val="21"/>
        </w:rPr>
        <w:t xml:space="preserve">) </w:t>
      </w:r>
      <w:r>
        <w:rPr>
          <w:color w:val="000000"/>
          <w:szCs w:val="21"/>
        </w:rPr>
        <w:t>该金融资产已转移，虽然本基金既没有转移也没有保留金融资产所有权上几乎所有的风险和报酬，但是放弃了对该金融资产控制。</w:t>
      </w:r>
    </w:p>
    <w:p w:rsidR="003663E4" w:rsidRDefault="00FD3F7D">
      <w:pPr>
        <w:spacing w:line="360" w:lineRule="auto"/>
        <w:ind w:firstLineChars="200" w:firstLine="420"/>
        <w:rPr>
          <w:color w:val="000000"/>
          <w:szCs w:val="21"/>
        </w:rPr>
      </w:pPr>
      <w:r>
        <w:rPr>
          <w:color w:val="000000"/>
          <w:szCs w:val="21"/>
        </w:rPr>
        <w:t>金融资产终止确认时，其账面价值与收到的对价的差额，计入当期损益。</w:t>
      </w:r>
    </w:p>
    <w:p w:rsidR="003663E4" w:rsidRDefault="00FD3F7D">
      <w:pPr>
        <w:spacing w:line="360" w:lineRule="auto"/>
        <w:ind w:firstLineChars="200" w:firstLine="420"/>
        <w:rPr>
          <w:color w:val="000000"/>
          <w:szCs w:val="21"/>
        </w:rPr>
      </w:pPr>
      <w:r>
        <w:rPr>
          <w:color w:val="000000"/>
          <w:szCs w:val="21"/>
        </w:rPr>
        <w:t>当金融负债的现时义务全部或部分已经解除时，终止确认该金融负债或义务已解除的部分。终止确认部分的账面价值与支付的对价之间的差额，计入当期损益。</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7.2.4.4.5 </w:t>
      </w:r>
      <w:r>
        <w:rPr>
          <w:b/>
          <w:bCs/>
          <w:color w:val="000000"/>
          <w:kern w:val="0"/>
          <w:szCs w:val="21"/>
        </w:rPr>
        <w:t>金融资产和金融负债的估值原则</w:t>
      </w:r>
    </w:p>
    <w:p w:rsidR="003663E4" w:rsidRDefault="00FD3F7D">
      <w:pPr>
        <w:spacing w:line="360" w:lineRule="auto"/>
        <w:ind w:firstLineChars="200" w:firstLine="420"/>
        <w:rPr>
          <w:color w:val="000000"/>
          <w:szCs w:val="21"/>
        </w:rPr>
      </w:pPr>
      <w:r>
        <w:rPr>
          <w:color w:val="000000"/>
          <w:szCs w:val="21"/>
        </w:rPr>
        <w:t>为了避免投资组合的账面价值与公允价值的差异导致基金资产净值发生重大偏离，从而对基金持有人的利益产生稀释或不公平的结果，基金管理人于每一</w:t>
      </w:r>
      <w:r>
        <w:rPr>
          <w:color w:val="000000"/>
          <w:szCs w:val="21"/>
        </w:rPr>
        <w:t>计价日采用投资组合的公允价值计算影子价格。当影子价格确定的基金资产净值与摊余成本法计算的基金资产净值的偏离度绝对值达到或超过</w:t>
      </w:r>
      <w:r>
        <w:rPr>
          <w:color w:val="000000"/>
          <w:szCs w:val="21"/>
        </w:rPr>
        <w:t>0.25%</w:t>
      </w:r>
      <w:r>
        <w:rPr>
          <w:color w:val="000000"/>
          <w:szCs w:val="21"/>
        </w:rPr>
        <w:t>时，基金管理人应根据相关法律法规采取相应措施，使基金资产净值更能公允地反映基金投资组合价值。</w:t>
      </w:r>
    </w:p>
    <w:p w:rsidR="003663E4" w:rsidRDefault="00FD3F7D">
      <w:pPr>
        <w:spacing w:line="360" w:lineRule="auto"/>
        <w:ind w:firstLineChars="200" w:firstLine="420"/>
        <w:rPr>
          <w:color w:val="000000"/>
          <w:szCs w:val="21"/>
        </w:rPr>
      </w:pPr>
      <w:r>
        <w:rPr>
          <w:color w:val="000000"/>
          <w:szCs w:val="21"/>
        </w:rPr>
        <w:t>计算影子价格时按如下原则确定债券投资和资产支持证券投资的公允价值：</w:t>
      </w:r>
    </w:p>
    <w:p w:rsidR="003663E4" w:rsidRDefault="00FD3F7D">
      <w:pPr>
        <w:spacing w:line="360" w:lineRule="auto"/>
        <w:ind w:firstLineChars="200" w:firstLine="420"/>
        <w:rPr>
          <w:color w:val="000000"/>
          <w:szCs w:val="21"/>
        </w:rPr>
      </w:pPr>
      <w:r>
        <w:rPr>
          <w:color w:val="000000"/>
          <w:szCs w:val="21"/>
        </w:rPr>
        <w:t xml:space="preserve">(1) </w:t>
      </w:r>
      <w:r>
        <w:rPr>
          <w:color w:val="000000"/>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w:t>
      </w:r>
      <w:r>
        <w:rPr>
          <w:color w:val="000000"/>
          <w:szCs w:val="21"/>
        </w:rPr>
        <w:t>虑因大量持有相关资产或负债所产生的溢价或折价。</w:t>
      </w:r>
    </w:p>
    <w:p w:rsidR="003663E4" w:rsidRDefault="00FD3F7D">
      <w:pPr>
        <w:spacing w:line="360" w:lineRule="auto"/>
        <w:ind w:firstLineChars="200" w:firstLine="420"/>
        <w:rPr>
          <w:color w:val="000000"/>
          <w:szCs w:val="21"/>
        </w:rPr>
      </w:pPr>
      <w:r>
        <w:rPr>
          <w:color w:val="000000"/>
          <w:szCs w:val="21"/>
        </w:rPr>
        <w:t xml:space="preserve">(2) </w:t>
      </w:r>
      <w:r>
        <w:rPr>
          <w:color w:val="000000"/>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3663E4" w:rsidRDefault="00FD3F7D">
      <w:pPr>
        <w:spacing w:line="360" w:lineRule="auto"/>
        <w:ind w:firstLineChars="200" w:firstLine="420"/>
        <w:rPr>
          <w:color w:val="000000"/>
          <w:szCs w:val="21"/>
        </w:rPr>
      </w:pPr>
      <w:r>
        <w:rPr>
          <w:color w:val="000000"/>
          <w:szCs w:val="21"/>
        </w:rPr>
        <w:t xml:space="preserve">(3) </w:t>
      </w:r>
      <w:r>
        <w:rPr>
          <w:color w:val="000000"/>
          <w:szCs w:val="21"/>
        </w:rPr>
        <w:t>如经济环境发生重大变化或证券发行人发生影响金融工具价格的重大事件，应对估值进行调整并确定公允价值。</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7.2.4.4.6 </w:t>
      </w:r>
      <w:r>
        <w:rPr>
          <w:b/>
          <w:bCs/>
          <w:color w:val="000000"/>
          <w:kern w:val="0"/>
          <w:szCs w:val="21"/>
        </w:rPr>
        <w:t>金融资产和金融负债的抵销</w:t>
      </w:r>
    </w:p>
    <w:p w:rsidR="003663E4" w:rsidRDefault="00FD3F7D">
      <w:pPr>
        <w:spacing w:line="360" w:lineRule="auto"/>
        <w:ind w:firstLineChars="200" w:firstLine="420"/>
        <w:rPr>
          <w:color w:val="000000"/>
          <w:szCs w:val="21"/>
        </w:rPr>
      </w:pPr>
      <w:r>
        <w:rPr>
          <w:color w:val="000000"/>
          <w:szCs w:val="21"/>
        </w:rPr>
        <w:t>本基金持有的资产和承担的负债基本为金融资产和金融负债。当本基金</w:t>
      </w:r>
      <w:r>
        <w:rPr>
          <w:color w:val="000000"/>
          <w:szCs w:val="21"/>
        </w:rPr>
        <w:t>1)</w:t>
      </w:r>
      <w:r>
        <w:rPr>
          <w:color w:val="000000"/>
          <w:szCs w:val="21"/>
        </w:rPr>
        <w:t xml:space="preserve"> </w:t>
      </w:r>
      <w:r>
        <w:rPr>
          <w:color w:val="000000"/>
          <w:szCs w:val="21"/>
        </w:rPr>
        <w:t>具有抵销已确认金额的法定权利且该种法定权利现在是可执行的；且</w:t>
      </w:r>
      <w:r>
        <w:rPr>
          <w:color w:val="000000"/>
          <w:szCs w:val="21"/>
        </w:rPr>
        <w:t xml:space="preserve">2) </w:t>
      </w:r>
      <w:r>
        <w:rPr>
          <w:color w:val="000000"/>
          <w:szCs w:val="21"/>
        </w:rPr>
        <w:t>交易双方准备按净额结算时，金融资产与金融负债按抵销后的净额在资产负债表中列示。</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7.2.4.4.7 </w:t>
      </w:r>
      <w:r>
        <w:rPr>
          <w:b/>
          <w:bCs/>
          <w:color w:val="000000"/>
          <w:kern w:val="0"/>
          <w:szCs w:val="21"/>
        </w:rPr>
        <w:t>实收基金</w:t>
      </w:r>
    </w:p>
    <w:p w:rsidR="003663E4" w:rsidRDefault="00FD3F7D">
      <w:pPr>
        <w:spacing w:line="360" w:lineRule="auto"/>
        <w:ind w:firstLineChars="200" w:firstLine="420"/>
        <w:rPr>
          <w:color w:val="000000"/>
          <w:szCs w:val="21"/>
        </w:rPr>
      </w:pPr>
      <w:r>
        <w:rPr>
          <w:color w:val="000000"/>
          <w:szCs w:val="21"/>
        </w:rPr>
        <w:t>实收基金为对外发行基金份额所募集的总金额。每份基金份额面值为人民币</w:t>
      </w:r>
      <w:r>
        <w:rPr>
          <w:color w:val="000000"/>
          <w:szCs w:val="21"/>
        </w:rPr>
        <w:t>1.00</w:t>
      </w:r>
      <w:r>
        <w:rPr>
          <w:color w:val="000000"/>
          <w:szCs w:val="21"/>
        </w:rPr>
        <w:t>元。由于申购、赎回及分红再投资等引起的实收基金的变动分别于上述各交易确认日认列。上述申购和赎回分别包括因类别调整而引起的</w:t>
      </w:r>
      <w:r>
        <w:rPr>
          <w:color w:val="000000"/>
          <w:szCs w:val="21"/>
        </w:rPr>
        <w:t xml:space="preserve"> A</w:t>
      </w:r>
      <w:r>
        <w:rPr>
          <w:color w:val="000000"/>
          <w:szCs w:val="21"/>
        </w:rPr>
        <w:t>、</w:t>
      </w:r>
      <w:r>
        <w:rPr>
          <w:color w:val="000000"/>
          <w:szCs w:val="21"/>
        </w:rPr>
        <w:t>B</w:t>
      </w:r>
      <w:r>
        <w:rPr>
          <w:color w:val="000000"/>
          <w:szCs w:val="21"/>
        </w:rPr>
        <w:t>类基金份额之间的转换所产生的实收基金变动。</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7.2.4.4.8 </w:t>
      </w:r>
      <w:r>
        <w:rPr>
          <w:b/>
          <w:bCs/>
          <w:color w:val="000000"/>
          <w:kern w:val="0"/>
          <w:szCs w:val="21"/>
        </w:rPr>
        <w:t>收入</w:t>
      </w:r>
      <w:r>
        <w:rPr>
          <w:b/>
          <w:bCs/>
          <w:color w:val="000000"/>
          <w:kern w:val="0"/>
          <w:szCs w:val="21"/>
        </w:rPr>
        <w:t>/(</w:t>
      </w:r>
      <w:r>
        <w:rPr>
          <w:b/>
          <w:bCs/>
          <w:color w:val="000000"/>
          <w:kern w:val="0"/>
          <w:szCs w:val="21"/>
        </w:rPr>
        <w:t>损失</w:t>
      </w:r>
      <w:r>
        <w:rPr>
          <w:b/>
          <w:bCs/>
          <w:color w:val="000000"/>
          <w:kern w:val="0"/>
          <w:szCs w:val="21"/>
        </w:rPr>
        <w:t>)</w:t>
      </w:r>
      <w:r>
        <w:rPr>
          <w:b/>
          <w:bCs/>
          <w:color w:val="000000"/>
          <w:kern w:val="0"/>
          <w:szCs w:val="21"/>
        </w:rPr>
        <w:t>的确认和计量</w:t>
      </w:r>
    </w:p>
    <w:p w:rsidR="003663E4" w:rsidRDefault="00FD3F7D">
      <w:pPr>
        <w:spacing w:line="360" w:lineRule="auto"/>
        <w:ind w:firstLineChars="200" w:firstLine="420"/>
        <w:rPr>
          <w:color w:val="000000"/>
          <w:szCs w:val="21"/>
        </w:rPr>
      </w:pPr>
      <w:r>
        <w:rPr>
          <w:color w:val="000000"/>
          <w:szCs w:val="21"/>
        </w:rPr>
        <w:t>债券投资和资产支持证券投资在持有期间按实</w:t>
      </w:r>
      <w:r>
        <w:rPr>
          <w:color w:val="000000"/>
          <w:szCs w:val="21"/>
        </w:rPr>
        <w:t>际利率计算确定的金额扣除在适用情况下由债券发行企业代扣代缴的个人所得税及由基金管理人缴纳的增值税后的净额确认为利息收入。</w:t>
      </w:r>
    </w:p>
    <w:p w:rsidR="003663E4" w:rsidRDefault="00FD3F7D">
      <w:pPr>
        <w:spacing w:line="360" w:lineRule="auto"/>
        <w:ind w:firstLineChars="200" w:firstLine="420"/>
        <w:rPr>
          <w:color w:val="000000"/>
          <w:szCs w:val="21"/>
        </w:rPr>
      </w:pPr>
      <w:r>
        <w:rPr>
          <w:color w:val="000000"/>
          <w:szCs w:val="21"/>
        </w:rPr>
        <w:t>债券投资或资产支持证券投资处置时其处置价格扣除相关交易费用后的净额与账面价值之间的差额确认为投资收益。</w:t>
      </w:r>
    </w:p>
    <w:p w:rsidR="003663E4" w:rsidRDefault="00FD3F7D">
      <w:pPr>
        <w:spacing w:line="360" w:lineRule="auto"/>
        <w:ind w:firstLineChars="200" w:firstLine="420"/>
        <w:rPr>
          <w:color w:val="000000"/>
          <w:szCs w:val="21"/>
        </w:rPr>
      </w:pPr>
      <w:r>
        <w:rPr>
          <w:color w:val="000000"/>
          <w:szCs w:val="21"/>
        </w:rPr>
        <w:t>应收款项在持有期间确认的利息收入按实际利率法计算，实际利率法与直线法差异较小的则按直线法计算。</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7.2.4.4.9 </w:t>
      </w:r>
      <w:r>
        <w:rPr>
          <w:b/>
          <w:bCs/>
          <w:color w:val="000000"/>
          <w:kern w:val="0"/>
          <w:szCs w:val="21"/>
        </w:rPr>
        <w:t>费用的确认和计量</w:t>
      </w:r>
    </w:p>
    <w:p w:rsidR="003663E4" w:rsidRDefault="00FD3F7D">
      <w:pPr>
        <w:spacing w:line="360" w:lineRule="auto"/>
        <w:ind w:firstLineChars="200" w:firstLine="420"/>
        <w:rPr>
          <w:color w:val="000000"/>
          <w:szCs w:val="21"/>
        </w:rPr>
      </w:pPr>
      <w:r>
        <w:rPr>
          <w:color w:val="000000"/>
          <w:szCs w:val="21"/>
        </w:rPr>
        <w:t>本基金的管理人报酬、托管费和销售服务费在费用涵盖期间按基金合同约定的费率和计算方法逐日确认。</w:t>
      </w:r>
    </w:p>
    <w:p w:rsidR="003663E4" w:rsidRDefault="00FD3F7D">
      <w:pPr>
        <w:spacing w:line="360" w:lineRule="auto"/>
        <w:ind w:firstLineChars="200" w:firstLine="420"/>
        <w:rPr>
          <w:color w:val="000000"/>
          <w:szCs w:val="21"/>
        </w:rPr>
      </w:pPr>
      <w:r>
        <w:rPr>
          <w:color w:val="000000"/>
          <w:szCs w:val="21"/>
        </w:rPr>
        <w:t>其他金融负债在持有期间确认的利息支出按实际利率法计算，实际利率法与直线法差异较小的则按直线法计算。</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7.2.4.4.10 </w:t>
      </w:r>
      <w:r>
        <w:rPr>
          <w:b/>
          <w:bCs/>
          <w:color w:val="000000"/>
          <w:kern w:val="0"/>
          <w:szCs w:val="21"/>
        </w:rPr>
        <w:t>基金的收益分配政策</w:t>
      </w:r>
    </w:p>
    <w:p w:rsidR="003663E4" w:rsidRDefault="00FD3F7D">
      <w:pPr>
        <w:spacing w:line="360" w:lineRule="auto"/>
        <w:ind w:firstLineChars="200" w:firstLine="420"/>
        <w:rPr>
          <w:color w:val="000000"/>
          <w:szCs w:val="21"/>
        </w:rPr>
      </w:pPr>
      <w:r>
        <w:rPr>
          <w:color w:val="000000"/>
          <w:szCs w:val="21"/>
        </w:rPr>
        <w:t>本基金同一类别的每一基金份额享有同等分配权。申购的基金份额享有确认当日的分红权益，而赎回的基金份额不享有确认当日的分红权益。本基金以份额面值</w:t>
      </w:r>
      <w:r>
        <w:rPr>
          <w:color w:val="000000"/>
          <w:szCs w:val="21"/>
        </w:rPr>
        <w:t>1.00</w:t>
      </w:r>
      <w:r>
        <w:rPr>
          <w:color w:val="000000"/>
          <w:szCs w:val="21"/>
        </w:rPr>
        <w:t>元固定份额净值交易方式，每日计算当日收益并全部分配结转至应付收益科目，并在运作期期末集中支付。</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7.2.4.4.11 </w:t>
      </w:r>
      <w:r>
        <w:rPr>
          <w:b/>
          <w:bCs/>
          <w:color w:val="000000"/>
          <w:kern w:val="0"/>
          <w:szCs w:val="21"/>
        </w:rPr>
        <w:t>分部报告</w:t>
      </w:r>
    </w:p>
    <w:p w:rsidR="003663E4" w:rsidRDefault="00FD3F7D">
      <w:pPr>
        <w:spacing w:line="360" w:lineRule="auto"/>
        <w:ind w:firstLineChars="200" w:firstLine="420"/>
        <w:rPr>
          <w:color w:val="000000"/>
          <w:szCs w:val="21"/>
        </w:rPr>
      </w:pPr>
      <w:r>
        <w:rPr>
          <w:color w:val="000000"/>
          <w:szCs w:val="21"/>
        </w:rPr>
        <w:t>本基金以内部组织结构、管理要求、内部报告制度为依据确定经营分部，以经营分部为基础确定报告分部并</w:t>
      </w:r>
      <w:r>
        <w:rPr>
          <w:color w:val="000000"/>
          <w:szCs w:val="21"/>
        </w:rPr>
        <w:t>披露分部信息。</w:t>
      </w:r>
    </w:p>
    <w:p w:rsidR="003663E4" w:rsidRDefault="00FD3F7D">
      <w:pPr>
        <w:spacing w:line="360" w:lineRule="auto"/>
        <w:ind w:firstLineChars="200" w:firstLine="420"/>
        <w:rPr>
          <w:color w:val="000000"/>
          <w:szCs w:val="21"/>
        </w:rPr>
      </w:pPr>
      <w:r>
        <w:rPr>
          <w:color w:val="000000"/>
          <w:szCs w:val="21"/>
        </w:rPr>
        <w:t>经营分部是指本基金内同时满足下列条件的组成部分：</w:t>
      </w:r>
      <w:r>
        <w:rPr>
          <w:color w:val="000000"/>
          <w:szCs w:val="21"/>
        </w:rPr>
        <w:t xml:space="preserve">(1) </w:t>
      </w:r>
      <w:r>
        <w:rPr>
          <w:color w:val="000000"/>
          <w:szCs w:val="21"/>
        </w:rPr>
        <w:t>该组成部分能够在日常活动中产生收入、发生费用；</w:t>
      </w:r>
      <w:r>
        <w:rPr>
          <w:color w:val="000000"/>
          <w:szCs w:val="21"/>
        </w:rPr>
        <w:t xml:space="preserve">(2) </w:t>
      </w:r>
      <w:r>
        <w:rPr>
          <w:color w:val="000000"/>
          <w:szCs w:val="21"/>
        </w:rPr>
        <w:t>本基金的基金管理人能够定期评价该组成部分的经营成果，以决定向其配置资源、评价其业绩；</w:t>
      </w:r>
      <w:r>
        <w:rPr>
          <w:color w:val="000000"/>
          <w:szCs w:val="21"/>
        </w:rPr>
        <w:t xml:space="preserve">(3) </w:t>
      </w:r>
      <w:r>
        <w:rPr>
          <w:color w:val="000000"/>
          <w:szCs w:val="21"/>
        </w:rPr>
        <w:t>本基金能够取得该组成部分的财务状况、经营成果和现金流量等有关会计信息。如果两个或多个经营分部具有相似的经济特征，并且满足一定条件的，则合并为一个经营分部。</w:t>
      </w:r>
    </w:p>
    <w:p w:rsidR="003663E4" w:rsidRDefault="00FD3F7D">
      <w:pPr>
        <w:spacing w:line="360" w:lineRule="auto"/>
        <w:ind w:firstLineChars="200" w:firstLine="420"/>
        <w:rPr>
          <w:color w:val="000000"/>
          <w:szCs w:val="21"/>
        </w:rPr>
      </w:pPr>
      <w:r>
        <w:rPr>
          <w:color w:val="000000"/>
          <w:szCs w:val="21"/>
        </w:rPr>
        <w:t>本基金目前以一个单一的经营分部运作，不需要披露分部信息。</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7.2.4.4.12 </w:t>
      </w:r>
      <w:r>
        <w:rPr>
          <w:b/>
          <w:bCs/>
          <w:color w:val="000000"/>
          <w:kern w:val="0"/>
          <w:szCs w:val="21"/>
        </w:rPr>
        <w:t>其他重要的会计政策和会计估计</w:t>
      </w:r>
    </w:p>
    <w:p w:rsidR="003663E4" w:rsidRDefault="00FD3F7D">
      <w:pPr>
        <w:spacing w:line="360" w:lineRule="auto"/>
        <w:ind w:firstLineChars="200" w:firstLine="420"/>
        <w:rPr>
          <w:color w:val="000000"/>
          <w:szCs w:val="21"/>
        </w:rPr>
      </w:pPr>
      <w:r>
        <w:rPr>
          <w:color w:val="000000"/>
          <w:szCs w:val="21"/>
        </w:rPr>
        <w:t>根据本基金的估值原则和中国证</w:t>
      </w:r>
      <w:r>
        <w:rPr>
          <w:color w:val="000000"/>
          <w:szCs w:val="21"/>
        </w:rPr>
        <w:t>监会允许的基金行业估值实务操作，本基金计算影子价格过程中确定债券投资和资产支持证券投资的公允价值时采用的估值方法及其关键假设如下：</w:t>
      </w:r>
    </w:p>
    <w:p w:rsidR="003663E4" w:rsidRDefault="00FD3F7D">
      <w:pPr>
        <w:spacing w:line="360" w:lineRule="auto"/>
        <w:ind w:firstLineChars="200" w:firstLine="420"/>
        <w:rPr>
          <w:color w:val="000000"/>
          <w:szCs w:val="21"/>
        </w:rPr>
      </w:pPr>
      <w:r>
        <w:rPr>
          <w:color w:val="000000"/>
          <w:szCs w:val="21"/>
        </w:rPr>
        <w:t>对于在证券交易所上市或挂牌转让的固定收益品种</w:t>
      </w:r>
      <w:r>
        <w:rPr>
          <w:color w:val="000000"/>
          <w:szCs w:val="21"/>
        </w:rPr>
        <w:t>(</w:t>
      </w:r>
      <w:r>
        <w:rPr>
          <w:color w:val="000000"/>
          <w:szCs w:val="21"/>
        </w:rPr>
        <w:t>可交换债券和私募债券除外</w:t>
      </w:r>
      <w:r>
        <w:rPr>
          <w:color w:val="000000"/>
          <w:szCs w:val="21"/>
        </w:rPr>
        <w:t>)</w:t>
      </w:r>
      <w:r>
        <w:rPr>
          <w:color w:val="000000"/>
          <w:szCs w:val="21"/>
        </w:rPr>
        <w:t>及在银行间同业市场交易的固定收益品种，根据中国证监会公告</w:t>
      </w:r>
      <w:r>
        <w:rPr>
          <w:color w:val="000000"/>
          <w:szCs w:val="21"/>
        </w:rPr>
        <w:t>[2017]13</w:t>
      </w:r>
      <w:r>
        <w:rPr>
          <w:color w:val="000000"/>
          <w:szCs w:val="21"/>
        </w:rPr>
        <w:t>号《中国证监会关于证券投资基金估值业务的指导意见》及《中国证券投资基金业协会估值核算工作小组关于</w:t>
      </w:r>
      <w:r>
        <w:rPr>
          <w:color w:val="000000"/>
          <w:szCs w:val="21"/>
        </w:rPr>
        <w:t>2015</w:t>
      </w:r>
      <w:r>
        <w:rPr>
          <w:color w:val="000000"/>
          <w:szCs w:val="21"/>
        </w:rPr>
        <w:t>年</w:t>
      </w:r>
      <w:r>
        <w:rPr>
          <w:color w:val="000000"/>
          <w:szCs w:val="21"/>
        </w:rPr>
        <w:t>1</w:t>
      </w:r>
      <w:r>
        <w:rPr>
          <w:color w:val="000000"/>
          <w:szCs w:val="21"/>
        </w:rPr>
        <w:t>季度固定收益品种的估值处理标准》采用估值技术确定公允价值。本基金持有的证券交易所上市或挂牌转让的固定收益品种</w:t>
      </w:r>
      <w:r>
        <w:rPr>
          <w:color w:val="000000"/>
          <w:szCs w:val="21"/>
        </w:rPr>
        <w:t>(</w:t>
      </w:r>
      <w:r>
        <w:rPr>
          <w:color w:val="000000"/>
          <w:szCs w:val="21"/>
        </w:rPr>
        <w:t>可交换债券和私募债</w:t>
      </w:r>
      <w:r>
        <w:rPr>
          <w:color w:val="000000"/>
          <w:szCs w:val="21"/>
        </w:rPr>
        <w:t>券除外</w:t>
      </w:r>
      <w:r>
        <w:rPr>
          <w:color w:val="000000"/>
          <w:szCs w:val="21"/>
        </w:rPr>
        <w:t>)</w:t>
      </w:r>
      <w:r>
        <w:rPr>
          <w:color w:val="000000"/>
          <w:szCs w:val="21"/>
        </w:rPr>
        <w:t>，按照中证指数有限公司所独立提供的估值结果确定公允价值。本基金持有的银行间同业市场固定收益品种按照中债金融估值中心有限公司所独立提供的估值结果确定公允价值。</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7.2.4.5 </w:t>
      </w:r>
      <w:r>
        <w:rPr>
          <w:b/>
          <w:bCs/>
          <w:color w:val="000000"/>
          <w:kern w:val="0"/>
          <w:szCs w:val="21"/>
        </w:rPr>
        <w:t>会计政策和会计估计变更以及差错更正的说明</w:t>
      </w:r>
    </w:p>
    <w:p w:rsidR="003663E4" w:rsidRDefault="00FD3F7D">
      <w:pPr>
        <w:autoSpaceDE w:val="0"/>
        <w:autoSpaceDN w:val="0"/>
        <w:adjustRightInd w:val="0"/>
        <w:spacing w:line="360" w:lineRule="auto"/>
        <w:jc w:val="left"/>
        <w:rPr>
          <w:b/>
          <w:color w:val="000000"/>
          <w:kern w:val="0"/>
          <w:szCs w:val="21"/>
        </w:rPr>
      </w:pPr>
      <w:r>
        <w:rPr>
          <w:b/>
          <w:bCs/>
          <w:color w:val="000000"/>
          <w:kern w:val="0"/>
          <w:szCs w:val="21"/>
        </w:rPr>
        <w:t xml:space="preserve">7.2.4.5.1 </w:t>
      </w:r>
      <w:r>
        <w:rPr>
          <w:b/>
          <w:color w:val="000000"/>
          <w:kern w:val="0"/>
          <w:szCs w:val="21"/>
        </w:rPr>
        <w:t>会计政策变更的说明</w:t>
      </w:r>
    </w:p>
    <w:p w:rsidR="003663E4" w:rsidRDefault="00FD3F7D">
      <w:pPr>
        <w:spacing w:line="360" w:lineRule="auto"/>
        <w:ind w:firstLineChars="200" w:firstLine="420"/>
        <w:rPr>
          <w:color w:val="000000"/>
          <w:szCs w:val="21"/>
        </w:rPr>
      </w:pPr>
      <w:r>
        <w:rPr>
          <w:color w:val="000000"/>
          <w:szCs w:val="21"/>
        </w:rPr>
        <w:t>本基金本报告期未发生会计政策变更。</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7.2.4.5.2 </w:t>
      </w:r>
      <w:r>
        <w:rPr>
          <w:b/>
          <w:bCs/>
          <w:color w:val="000000"/>
          <w:kern w:val="0"/>
          <w:szCs w:val="21"/>
        </w:rPr>
        <w:t>会计估计变更的说明</w:t>
      </w:r>
    </w:p>
    <w:p w:rsidR="003663E4" w:rsidRDefault="00FD3F7D">
      <w:pPr>
        <w:spacing w:line="360" w:lineRule="auto"/>
        <w:ind w:firstLineChars="200" w:firstLine="420"/>
        <w:rPr>
          <w:color w:val="000000"/>
          <w:szCs w:val="21"/>
        </w:rPr>
      </w:pPr>
      <w:r>
        <w:rPr>
          <w:color w:val="000000"/>
          <w:szCs w:val="21"/>
        </w:rPr>
        <w:t>本基金本报告期未发生会计估计变更。</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7.2.4.5.3 </w:t>
      </w:r>
      <w:r>
        <w:rPr>
          <w:b/>
          <w:bCs/>
          <w:color w:val="000000"/>
          <w:kern w:val="0"/>
          <w:szCs w:val="21"/>
        </w:rPr>
        <w:t>差错更正的说明</w:t>
      </w:r>
    </w:p>
    <w:p w:rsidR="003663E4" w:rsidRDefault="00FD3F7D">
      <w:pPr>
        <w:spacing w:line="360" w:lineRule="auto"/>
        <w:ind w:firstLineChars="200" w:firstLine="420"/>
        <w:rPr>
          <w:color w:val="000000"/>
          <w:szCs w:val="21"/>
        </w:rPr>
      </w:pPr>
      <w:r>
        <w:rPr>
          <w:color w:val="000000"/>
          <w:szCs w:val="21"/>
        </w:rPr>
        <w:t>本基金在本报告期间无须说明的会计差错更正。</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7.2.4.6</w:t>
      </w:r>
      <w:r>
        <w:rPr>
          <w:rFonts w:hint="eastAsia"/>
          <w:b/>
          <w:bCs/>
          <w:color w:val="000000"/>
          <w:kern w:val="0"/>
          <w:szCs w:val="21"/>
        </w:rPr>
        <w:t xml:space="preserve"> </w:t>
      </w:r>
      <w:r>
        <w:rPr>
          <w:b/>
          <w:bCs/>
          <w:color w:val="000000"/>
          <w:kern w:val="0"/>
          <w:szCs w:val="21"/>
        </w:rPr>
        <w:t>税项</w:t>
      </w:r>
    </w:p>
    <w:p w:rsidR="003663E4" w:rsidRDefault="00FD3F7D">
      <w:pPr>
        <w:spacing w:line="360" w:lineRule="auto"/>
        <w:ind w:firstLineChars="200" w:firstLine="420"/>
        <w:rPr>
          <w:color w:val="000000"/>
          <w:szCs w:val="21"/>
        </w:rPr>
      </w:pPr>
      <w:r>
        <w:rPr>
          <w:color w:val="000000"/>
          <w:szCs w:val="21"/>
        </w:rPr>
        <w:t>根据财政部、国家税务总局财税</w:t>
      </w:r>
      <w:r>
        <w:rPr>
          <w:color w:val="000000"/>
          <w:szCs w:val="21"/>
        </w:rPr>
        <w:t>[2002]128</w:t>
      </w:r>
      <w:r>
        <w:rPr>
          <w:color w:val="000000"/>
          <w:szCs w:val="21"/>
        </w:rPr>
        <w:t>号《关于开放式证券投资基金有关税收问题的通知》、财税</w:t>
      </w:r>
      <w:r>
        <w:rPr>
          <w:color w:val="000000"/>
          <w:szCs w:val="21"/>
        </w:rPr>
        <w:t>[2008]1</w:t>
      </w:r>
      <w:r>
        <w:rPr>
          <w:color w:val="000000"/>
          <w:szCs w:val="21"/>
        </w:rPr>
        <w:t>号《关于企业所得税若干优惠政策的通知》、财税</w:t>
      </w:r>
      <w:r>
        <w:rPr>
          <w:color w:val="000000"/>
          <w:szCs w:val="21"/>
        </w:rPr>
        <w:t>[2016]36</w:t>
      </w:r>
      <w:r>
        <w:rPr>
          <w:color w:val="000000"/>
          <w:szCs w:val="21"/>
        </w:rPr>
        <w:t>号《关于全面推开营业税改征增值税试点的通知》、财税</w:t>
      </w:r>
      <w:r>
        <w:rPr>
          <w:color w:val="000000"/>
          <w:szCs w:val="21"/>
        </w:rPr>
        <w:t>[2016]46</w:t>
      </w:r>
      <w:r>
        <w:rPr>
          <w:color w:val="000000"/>
          <w:szCs w:val="21"/>
        </w:rPr>
        <w:t>号《关于进一步明确全面推开营改增试点金融业有关政策的通知》、财税</w:t>
      </w:r>
      <w:r>
        <w:rPr>
          <w:color w:val="000000"/>
          <w:szCs w:val="21"/>
        </w:rPr>
        <w:t>[2016]70</w:t>
      </w:r>
      <w:r>
        <w:rPr>
          <w:color w:val="000000"/>
          <w:szCs w:val="21"/>
        </w:rPr>
        <w:t>号《关于金融机构同业往来等增值税政策的补充通知》、财税</w:t>
      </w:r>
      <w:r>
        <w:rPr>
          <w:color w:val="000000"/>
          <w:szCs w:val="21"/>
        </w:rPr>
        <w:t>[2016]140</w:t>
      </w:r>
      <w:r>
        <w:rPr>
          <w:color w:val="000000"/>
          <w:szCs w:val="21"/>
        </w:rPr>
        <w:t>号《关于明确金融</w:t>
      </w:r>
      <w:r>
        <w:rPr>
          <w:color w:val="000000"/>
          <w:szCs w:val="21"/>
        </w:rPr>
        <w:t xml:space="preserve"> </w:t>
      </w:r>
      <w:r>
        <w:rPr>
          <w:color w:val="000000"/>
          <w:szCs w:val="21"/>
        </w:rPr>
        <w:t>房地产开发</w:t>
      </w:r>
      <w:r>
        <w:rPr>
          <w:color w:val="000000"/>
          <w:szCs w:val="21"/>
        </w:rPr>
        <w:t xml:space="preserve"> </w:t>
      </w:r>
      <w:r>
        <w:rPr>
          <w:color w:val="000000"/>
          <w:szCs w:val="21"/>
        </w:rPr>
        <w:t>教育辅助服务等增值税政策的通知》、财税</w:t>
      </w:r>
      <w:r>
        <w:rPr>
          <w:color w:val="000000"/>
          <w:szCs w:val="21"/>
        </w:rPr>
        <w:t>[2017]2</w:t>
      </w:r>
      <w:r>
        <w:rPr>
          <w:color w:val="000000"/>
          <w:szCs w:val="21"/>
        </w:rPr>
        <w:t>号《关于资管产品增值税政策有关问题的补充</w:t>
      </w:r>
      <w:r>
        <w:rPr>
          <w:color w:val="000000"/>
          <w:szCs w:val="21"/>
        </w:rPr>
        <w:t>通知》、财税</w:t>
      </w:r>
      <w:r>
        <w:rPr>
          <w:color w:val="000000"/>
          <w:szCs w:val="21"/>
        </w:rPr>
        <w:t>[2017]56</w:t>
      </w:r>
      <w:r>
        <w:rPr>
          <w:color w:val="000000"/>
          <w:szCs w:val="21"/>
        </w:rPr>
        <w:t>号《关于资管产品增值税有关问题的通知》、财税</w:t>
      </w:r>
      <w:r>
        <w:rPr>
          <w:color w:val="000000"/>
          <w:szCs w:val="21"/>
        </w:rPr>
        <w:t>[2017]90</w:t>
      </w:r>
      <w:r>
        <w:rPr>
          <w:color w:val="000000"/>
          <w:szCs w:val="21"/>
        </w:rPr>
        <w:t>号《关于租入固定资产进项税额抵扣等增值税政策的通知》及其他相关财税法规和实务操作，主要税项列示如下：</w:t>
      </w:r>
    </w:p>
    <w:p w:rsidR="003663E4" w:rsidRDefault="00FD3F7D">
      <w:pPr>
        <w:spacing w:line="360" w:lineRule="auto"/>
        <w:ind w:firstLineChars="200" w:firstLine="420"/>
        <w:rPr>
          <w:color w:val="000000"/>
          <w:szCs w:val="21"/>
        </w:rPr>
      </w:pPr>
      <w:r>
        <w:rPr>
          <w:color w:val="000000"/>
          <w:szCs w:val="21"/>
        </w:rPr>
        <w:t xml:space="preserve">(1) </w:t>
      </w:r>
      <w:r>
        <w:rPr>
          <w:color w:val="000000"/>
          <w:szCs w:val="21"/>
        </w:rPr>
        <w:t>资管产品运营过程中发生的增值税应税行为，以资管产品管理人为增值税纳税人。资管产品管理人运营资管产品过程中发生的增值税应税行为，暂适用简易计税方法，按照</w:t>
      </w:r>
      <w:r>
        <w:rPr>
          <w:color w:val="000000"/>
          <w:szCs w:val="21"/>
        </w:rPr>
        <w:t>3%</w:t>
      </w:r>
      <w:r>
        <w:rPr>
          <w:color w:val="000000"/>
          <w:szCs w:val="21"/>
        </w:rPr>
        <w:t>的征收率缴纳增值税。</w:t>
      </w:r>
    </w:p>
    <w:p w:rsidR="003663E4" w:rsidRDefault="00FD3F7D">
      <w:pPr>
        <w:spacing w:line="360" w:lineRule="auto"/>
        <w:ind w:firstLineChars="200" w:firstLine="420"/>
        <w:rPr>
          <w:color w:val="000000"/>
          <w:szCs w:val="21"/>
        </w:rPr>
      </w:pPr>
      <w:r>
        <w:rPr>
          <w:color w:val="000000"/>
          <w:szCs w:val="21"/>
        </w:rPr>
        <w:t>对证券投资基金管理人运用基金买卖债券的转让收入免征增值税，对国债、地方政府债以及金融同业往来利息收入亦免征增值税。资管产品管理人运营资管产</w:t>
      </w:r>
      <w:r>
        <w:rPr>
          <w:color w:val="000000"/>
          <w:szCs w:val="21"/>
        </w:rPr>
        <w:t>品提供的贷款服务，以产生的利息及利息性质的收入为销售额。</w:t>
      </w:r>
    </w:p>
    <w:p w:rsidR="003663E4" w:rsidRDefault="00FD3F7D">
      <w:pPr>
        <w:spacing w:line="360" w:lineRule="auto"/>
        <w:ind w:firstLineChars="200" w:firstLine="420"/>
        <w:rPr>
          <w:color w:val="000000"/>
          <w:szCs w:val="21"/>
        </w:rPr>
      </w:pPr>
      <w:r>
        <w:rPr>
          <w:color w:val="000000"/>
          <w:szCs w:val="21"/>
        </w:rPr>
        <w:t xml:space="preserve">(2) </w:t>
      </w:r>
      <w:r>
        <w:rPr>
          <w:color w:val="000000"/>
          <w:szCs w:val="21"/>
        </w:rPr>
        <w:t>对基金从证券市场中取得的收入，包括买卖债券的差价收入，债券的利息收入及其他收入，暂不征收企业所得税。</w:t>
      </w:r>
    </w:p>
    <w:p w:rsidR="003663E4" w:rsidRDefault="00FD3F7D">
      <w:pPr>
        <w:spacing w:line="360" w:lineRule="auto"/>
        <w:ind w:firstLineChars="200" w:firstLine="420"/>
        <w:rPr>
          <w:color w:val="000000"/>
          <w:szCs w:val="21"/>
        </w:rPr>
      </w:pPr>
      <w:r>
        <w:rPr>
          <w:color w:val="000000"/>
          <w:szCs w:val="21"/>
        </w:rPr>
        <w:t xml:space="preserve">(3) </w:t>
      </w:r>
      <w:r>
        <w:rPr>
          <w:color w:val="000000"/>
          <w:szCs w:val="21"/>
        </w:rPr>
        <w:t>对基金取得的企业债券利息收入，应由发行债券的企业在向基金支付利息时代扣代缴</w:t>
      </w:r>
      <w:r>
        <w:rPr>
          <w:color w:val="000000"/>
          <w:szCs w:val="21"/>
        </w:rPr>
        <w:t>20%</w:t>
      </w:r>
      <w:r>
        <w:rPr>
          <w:color w:val="000000"/>
          <w:szCs w:val="21"/>
        </w:rPr>
        <w:t>的个人所得税。</w:t>
      </w:r>
    </w:p>
    <w:p w:rsidR="003663E4" w:rsidRDefault="00FD3F7D">
      <w:pPr>
        <w:spacing w:line="360" w:lineRule="auto"/>
        <w:ind w:firstLineChars="200" w:firstLine="420"/>
        <w:rPr>
          <w:color w:val="000000"/>
          <w:szCs w:val="21"/>
        </w:rPr>
      </w:pPr>
      <w:r>
        <w:rPr>
          <w:color w:val="000000"/>
          <w:szCs w:val="21"/>
        </w:rPr>
        <w:t xml:space="preserve">(4) </w:t>
      </w:r>
      <w:r>
        <w:rPr>
          <w:color w:val="000000"/>
          <w:szCs w:val="21"/>
        </w:rPr>
        <w:t>本基金的城市维护建设税、教育费附加和地方教育附加等税费按照实际缴纳增值税额的适用比例计算缴纳。</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7.2.4.7 </w:t>
      </w:r>
      <w:r>
        <w:rPr>
          <w:b/>
          <w:bCs/>
          <w:color w:val="000000"/>
          <w:kern w:val="0"/>
          <w:szCs w:val="21"/>
        </w:rPr>
        <w:t>重要财务报表项目的说明</w:t>
      </w:r>
    </w:p>
    <w:p w:rsidR="003663E4" w:rsidRDefault="00FD3F7D">
      <w:pPr>
        <w:spacing w:line="360" w:lineRule="auto"/>
        <w:rPr>
          <w:b/>
          <w:color w:val="000000"/>
          <w:szCs w:val="21"/>
        </w:rPr>
      </w:pPr>
      <w:r>
        <w:rPr>
          <w:b/>
          <w:bCs/>
          <w:color w:val="000000"/>
          <w:kern w:val="0"/>
          <w:szCs w:val="21"/>
        </w:rPr>
        <w:t xml:space="preserve">7.2.4.7.1 </w:t>
      </w:r>
      <w:r>
        <w:rPr>
          <w:b/>
          <w:color w:val="000000"/>
          <w:szCs w:val="21"/>
        </w:rPr>
        <w:t>银行存款</w:t>
      </w:r>
    </w:p>
    <w:p w:rsidR="003663E4" w:rsidRDefault="00FD3F7D">
      <w:pPr>
        <w:autoSpaceDE w:val="0"/>
        <w:autoSpaceDN w:val="0"/>
        <w:adjustRightInd w:val="0"/>
        <w:spacing w:line="360" w:lineRule="auto"/>
        <w:ind w:left="15"/>
        <w:jc w:val="right"/>
        <w:rPr>
          <w:b/>
          <w:color w:val="000000"/>
          <w:kern w:val="0"/>
          <w:szCs w:val="21"/>
        </w:rPr>
      </w:pPr>
      <w:r>
        <w:rPr>
          <w:rFonts w:hint="eastAsia"/>
          <w:bCs/>
          <w:color w:val="000000"/>
          <w:szCs w:val="21"/>
        </w:rPr>
        <w:t>单位：人民币元</w:t>
      </w:r>
    </w:p>
    <w:tbl>
      <w:tblPr>
        <w:tblW w:w="89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3"/>
        <w:gridCol w:w="3157"/>
        <w:gridCol w:w="3158"/>
      </w:tblGrid>
      <w:tr w:rsidR="003663E4">
        <w:trPr>
          <w:trHeight w:val="345"/>
        </w:trPr>
        <w:tc>
          <w:tcPr>
            <w:tcW w:w="2633" w:type="dxa"/>
            <w:tcMar>
              <w:top w:w="15" w:type="dxa"/>
              <w:left w:w="15" w:type="dxa"/>
              <w:bottom w:w="0" w:type="dxa"/>
              <w:right w:w="15" w:type="dxa"/>
            </w:tcMar>
            <w:vAlign w:val="center"/>
          </w:tcPr>
          <w:p w:rsidR="003663E4" w:rsidRDefault="00FD3F7D">
            <w:pPr>
              <w:spacing w:line="276" w:lineRule="auto"/>
              <w:jc w:val="center"/>
              <w:rPr>
                <w:color w:val="000000"/>
                <w:szCs w:val="21"/>
              </w:rPr>
            </w:pPr>
            <w:r>
              <w:rPr>
                <w:rFonts w:hint="eastAsia"/>
                <w:color w:val="000000"/>
                <w:kern w:val="0"/>
                <w:szCs w:val="21"/>
              </w:rPr>
              <w:t>项目</w:t>
            </w:r>
          </w:p>
        </w:tc>
        <w:tc>
          <w:tcPr>
            <w:tcW w:w="3157" w:type="dxa"/>
            <w:tcMar>
              <w:top w:w="15" w:type="dxa"/>
              <w:left w:w="15" w:type="dxa"/>
              <w:bottom w:w="0" w:type="dxa"/>
              <w:right w:w="15" w:type="dxa"/>
            </w:tcMar>
          </w:tcPr>
          <w:p w:rsidR="003663E4" w:rsidRDefault="00FD3F7D">
            <w:pPr>
              <w:spacing w:line="276" w:lineRule="auto"/>
              <w:jc w:val="center"/>
              <w:rPr>
                <w:color w:val="000000"/>
                <w:kern w:val="0"/>
                <w:szCs w:val="21"/>
              </w:rPr>
            </w:pPr>
            <w:r>
              <w:rPr>
                <w:rFonts w:hint="eastAsia"/>
                <w:color w:val="000000"/>
                <w:kern w:val="0"/>
                <w:szCs w:val="21"/>
              </w:rPr>
              <w:t>本期末</w:t>
            </w:r>
          </w:p>
          <w:p w:rsidR="003663E4" w:rsidRDefault="00FD3F7D">
            <w:pPr>
              <w:spacing w:line="276" w:lineRule="auto"/>
              <w:jc w:val="center"/>
              <w:rPr>
                <w:color w:val="00000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p>
        </w:tc>
        <w:tc>
          <w:tcPr>
            <w:tcW w:w="3158" w:type="dxa"/>
            <w:tcMar>
              <w:top w:w="15" w:type="dxa"/>
              <w:left w:w="15" w:type="dxa"/>
              <w:bottom w:w="0" w:type="dxa"/>
              <w:right w:w="15" w:type="dxa"/>
            </w:tcMar>
          </w:tcPr>
          <w:p w:rsidR="003663E4" w:rsidRDefault="00FD3F7D">
            <w:pPr>
              <w:spacing w:line="276" w:lineRule="auto"/>
              <w:jc w:val="center"/>
              <w:rPr>
                <w:color w:val="000000"/>
                <w:kern w:val="0"/>
                <w:szCs w:val="21"/>
              </w:rPr>
            </w:pPr>
            <w:r>
              <w:rPr>
                <w:rFonts w:hint="eastAsia"/>
                <w:color w:val="000000"/>
                <w:kern w:val="0"/>
                <w:szCs w:val="21"/>
              </w:rPr>
              <w:t>上年度末</w:t>
            </w:r>
          </w:p>
          <w:p w:rsidR="003663E4" w:rsidRDefault="00FD3F7D">
            <w:pPr>
              <w:spacing w:line="276" w:lineRule="auto"/>
              <w:jc w:val="center"/>
              <w:rPr>
                <w:color w:val="000000"/>
                <w:kern w:val="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663E4">
        <w:trPr>
          <w:trHeight w:val="315"/>
        </w:trPr>
        <w:tc>
          <w:tcPr>
            <w:tcW w:w="2633" w:type="dxa"/>
            <w:tcMar>
              <w:top w:w="15" w:type="dxa"/>
              <w:left w:w="15" w:type="dxa"/>
              <w:bottom w:w="0" w:type="dxa"/>
              <w:right w:w="15" w:type="dxa"/>
            </w:tcMar>
            <w:vAlign w:val="center"/>
          </w:tcPr>
          <w:p w:rsidR="003663E4" w:rsidRDefault="00FD3F7D">
            <w:pPr>
              <w:spacing w:line="276" w:lineRule="auto"/>
              <w:rPr>
                <w:color w:val="000000"/>
                <w:kern w:val="0"/>
                <w:szCs w:val="21"/>
              </w:rPr>
            </w:pPr>
            <w:r>
              <w:rPr>
                <w:rFonts w:hint="eastAsia"/>
                <w:color w:val="000000"/>
                <w:kern w:val="0"/>
                <w:szCs w:val="21"/>
              </w:rPr>
              <w:t>活期存款</w:t>
            </w:r>
          </w:p>
        </w:tc>
        <w:tc>
          <w:tcPr>
            <w:tcW w:w="3157" w:type="dxa"/>
            <w:tcMar>
              <w:top w:w="15" w:type="dxa"/>
              <w:left w:w="15" w:type="dxa"/>
              <w:bottom w:w="0" w:type="dxa"/>
              <w:right w:w="15" w:type="dxa"/>
            </w:tcMar>
            <w:vAlign w:val="center"/>
          </w:tcPr>
          <w:p w:rsidR="003663E4" w:rsidRDefault="00FD3F7D">
            <w:pPr>
              <w:spacing w:line="276" w:lineRule="auto"/>
              <w:jc w:val="right"/>
              <w:rPr>
                <w:color w:val="000000"/>
                <w:kern w:val="0"/>
                <w:szCs w:val="21"/>
              </w:rPr>
            </w:pPr>
            <w:r>
              <w:rPr>
                <w:color w:val="000000"/>
                <w:kern w:val="0"/>
                <w:szCs w:val="21"/>
              </w:rPr>
              <w:t>2,715,773.95</w:t>
            </w:r>
          </w:p>
        </w:tc>
        <w:tc>
          <w:tcPr>
            <w:tcW w:w="3158" w:type="dxa"/>
            <w:tcMar>
              <w:top w:w="15" w:type="dxa"/>
              <w:left w:w="15" w:type="dxa"/>
              <w:bottom w:w="0" w:type="dxa"/>
              <w:right w:w="15" w:type="dxa"/>
            </w:tcMar>
            <w:vAlign w:val="center"/>
          </w:tcPr>
          <w:p w:rsidR="003663E4" w:rsidRDefault="00FD3F7D">
            <w:pPr>
              <w:spacing w:line="276" w:lineRule="auto"/>
              <w:jc w:val="right"/>
              <w:rPr>
                <w:color w:val="000000"/>
                <w:kern w:val="0"/>
                <w:szCs w:val="21"/>
              </w:rPr>
            </w:pPr>
            <w:r>
              <w:rPr>
                <w:color w:val="000000"/>
                <w:kern w:val="0"/>
                <w:szCs w:val="21"/>
              </w:rPr>
              <w:t>1,376,445.57</w:t>
            </w:r>
          </w:p>
        </w:tc>
      </w:tr>
      <w:tr w:rsidR="003663E4">
        <w:trPr>
          <w:trHeight w:val="315"/>
        </w:trPr>
        <w:tc>
          <w:tcPr>
            <w:tcW w:w="2633" w:type="dxa"/>
            <w:tcMar>
              <w:top w:w="15" w:type="dxa"/>
              <w:left w:w="15" w:type="dxa"/>
              <w:bottom w:w="0" w:type="dxa"/>
              <w:right w:w="15" w:type="dxa"/>
            </w:tcMar>
            <w:vAlign w:val="center"/>
          </w:tcPr>
          <w:p w:rsidR="003663E4" w:rsidRDefault="00FD3F7D">
            <w:pPr>
              <w:spacing w:line="276" w:lineRule="auto"/>
              <w:rPr>
                <w:color w:val="000000"/>
                <w:kern w:val="0"/>
                <w:szCs w:val="21"/>
              </w:rPr>
            </w:pPr>
            <w:r>
              <w:rPr>
                <w:rFonts w:hint="eastAsia"/>
                <w:color w:val="000000"/>
                <w:kern w:val="0"/>
                <w:szCs w:val="21"/>
              </w:rPr>
              <w:t>定期存款</w:t>
            </w:r>
          </w:p>
        </w:tc>
        <w:tc>
          <w:tcPr>
            <w:tcW w:w="3157" w:type="dxa"/>
            <w:tcMar>
              <w:top w:w="15" w:type="dxa"/>
              <w:left w:w="15" w:type="dxa"/>
              <w:bottom w:w="0" w:type="dxa"/>
              <w:right w:w="15" w:type="dxa"/>
            </w:tcMar>
            <w:vAlign w:val="center"/>
          </w:tcPr>
          <w:p w:rsidR="003663E4" w:rsidRDefault="00FD3F7D">
            <w:pPr>
              <w:spacing w:line="276" w:lineRule="auto"/>
              <w:jc w:val="right"/>
              <w:rPr>
                <w:color w:val="000000"/>
                <w:kern w:val="0"/>
                <w:szCs w:val="21"/>
              </w:rPr>
            </w:pPr>
            <w:r>
              <w:rPr>
                <w:color w:val="000000"/>
                <w:kern w:val="0"/>
                <w:szCs w:val="21"/>
              </w:rPr>
              <w:t>-</w:t>
            </w:r>
          </w:p>
        </w:tc>
        <w:tc>
          <w:tcPr>
            <w:tcW w:w="3158" w:type="dxa"/>
            <w:tcMar>
              <w:top w:w="15" w:type="dxa"/>
              <w:left w:w="15" w:type="dxa"/>
              <w:bottom w:w="0" w:type="dxa"/>
              <w:right w:w="15" w:type="dxa"/>
            </w:tcMar>
            <w:vAlign w:val="center"/>
          </w:tcPr>
          <w:p w:rsidR="003663E4" w:rsidRDefault="00FD3F7D">
            <w:pPr>
              <w:spacing w:line="276" w:lineRule="auto"/>
              <w:jc w:val="right"/>
              <w:rPr>
                <w:color w:val="000000"/>
                <w:kern w:val="0"/>
                <w:szCs w:val="21"/>
              </w:rPr>
            </w:pPr>
            <w:r>
              <w:rPr>
                <w:color w:val="000000"/>
                <w:kern w:val="0"/>
                <w:szCs w:val="21"/>
              </w:rPr>
              <w:t>-</w:t>
            </w:r>
          </w:p>
        </w:tc>
      </w:tr>
      <w:tr w:rsidR="003663E4">
        <w:trPr>
          <w:trHeight w:val="315"/>
        </w:trPr>
        <w:tc>
          <w:tcPr>
            <w:tcW w:w="2633" w:type="dxa"/>
            <w:tcMar>
              <w:top w:w="15" w:type="dxa"/>
              <w:left w:w="15" w:type="dxa"/>
              <w:bottom w:w="0" w:type="dxa"/>
              <w:right w:w="15" w:type="dxa"/>
            </w:tcMar>
          </w:tcPr>
          <w:p w:rsidR="003663E4" w:rsidRDefault="00FD3F7D">
            <w:pPr>
              <w:rPr>
                <w:rFonts w:ascii="宋体" w:hAnsi="宋体"/>
                <w:color w:val="000000" w:themeColor="text1"/>
                <w:kern w:val="0"/>
                <w:szCs w:val="21"/>
              </w:rPr>
            </w:pPr>
            <w:r>
              <w:rPr>
                <w:rFonts w:ascii="宋体" w:hAnsi="宋体" w:hint="eastAsia"/>
                <w:color w:val="000000" w:themeColor="text1"/>
                <w:kern w:val="0"/>
                <w:szCs w:val="21"/>
              </w:rPr>
              <w:t>其中：存款期限</w:t>
            </w:r>
            <w:r>
              <w:rPr>
                <w:rFonts w:ascii="宋体" w:hAnsi="宋体" w:hint="eastAsia"/>
                <w:color w:val="000000" w:themeColor="text1"/>
                <w:kern w:val="0"/>
                <w:szCs w:val="21"/>
              </w:rPr>
              <w:t>1</w:t>
            </w:r>
            <w:r>
              <w:rPr>
                <w:rFonts w:ascii="宋体" w:hAnsi="宋体" w:hint="eastAsia"/>
                <w:color w:val="000000" w:themeColor="text1"/>
                <w:kern w:val="0"/>
                <w:szCs w:val="21"/>
              </w:rPr>
              <w:t>个月以内</w:t>
            </w:r>
          </w:p>
        </w:tc>
        <w:tc>
          <w:tcPr>
            <w:tcW w:w="3157" w:type="dxa"/>
            <w:tcMar>
              <w:top w:w="15" w:type="dxa"/>
              <w:left w:w="15" w:type="dxa"/>
              <w:bottom w:w="0" w:type="dxa"/>
              <w:right w:w="15" w:type="dxa"/>
            </w:tcMar>
            <w:vAlign w:val="bottom"/>
          </w:tcPr>
          <w:p w:rsidR="003663E4" w:rsidRDefault="00FD3F7D">
            <w:pPr>
              <w:spacing w:line="276" w:lineRule="auto"/>
              <w:jc w:val="right"/>
              <w:rPr>
                <w:color w:val="000000"/>
                <w:kern w:val="0"/>
                <w:szCs w:val="21"/>
              </w:rPr>
            </w:pPr>
            <w:r>
              <w:rPr>
                <w:color w:val="000000"/>
                <w:kern w:val="0"/>
                <w:szCs w:val="21"/>
              </w:rPr>
              <w:t>-</w:t>
            </w:r>
          </w:p>
        </w:tc>
        <w:tc>
          <w:tcPr>
            <w:tcW w:w="3158" w:type="dxa"/>
            <w:tcMar>
              <w:top w:w="15" w:type="dxa"/>
              <w:left w:w="15" w:type="dxa"/>
              <w:bottom w:w="0" w:type="dxa"/>
              <w:right w:w="15" w:type="dxa"/>
            </w:tcMar>
            <w:vAlign w:val="center"/>
          </w:tcPr>
          <w:p w:rsidR="003663E4" w:rsidRDefault="00FD3F7D">
            <w:pPr>
              <w:spacing w:line="276" w:lineRule="auto"/>
              <w:jc w:val="right"/>
              <w:rPr>
                <w:color w:val="000000"/>
                <w:kern w:val="0"/>
                <w:szCs w:val="21"/>
              </w:rPr>
            </w:pPr>
            <w:r>
              <w:rPr>
                <w:color w:val="000000"/>
                <w:kern w:val="0"/>
                <w:szCs w:val="21"/>
              </w:rPr>
              <w:t>-</w:t>
            </w:r>
          </w:p>
        </w:tc>
      </w:tr>
      <w:tr w:rsidR="003663E4">
        <w:trPr>
          <w:trHeight w:val="315"/>
        </w:trPr>
        <w:tc>
          <w:tcPr>
            <w:tcW w:w="2633" w:type="dxa"/>
            <w:tcMar>
              <w:top w:w="15" w:type="dxa"/>
              <w:left w:w="15" w:type="dxa"/>
              <w:bottom w:w="0" w:type="dxa"/>
              <w:right w:w="15" w:type="dxa"/>
            </w:tcMar>
          </w:tcPr>
          <w:p w:rsidR="003663E4" w:rsidRDefault="00FD3F7D">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w:t>
            </w:r>
            <w:r>
              <w:rPr>
                <w:rFonts w:ascii="宋体" w:hAnsi="宋体" w:hint="eastAsia"/>
                <w:color w:val="000000" w:themeColor="text1"/>
                <w:kern w:val="0"/>
                <w:szCs w:val="21"/>
              </w:rPr>
              <w:t>1-3</w:t>
            </w:r>
            <w:r>
              <w:rPr>
                <w:rFonts w:ascii="宋体" w:hAnsi="宋体" w:hint="eastAsia"/>
                <w:color w:val="000000" w:themeColor="text1"/>
                <w:kern w:val="0"/>
                <w:szCs w:val="21"/>
              </w:rPr>
              <w:t>个月</w:t>
            </w:r>
          </w:p>
        </w:tc>
        <w:tc>
          <w:tcPr>
            <w:tcW w:w="3157" w:type="dxa"/>
            <w:tcMar>
              <w:top w:w="15" w:type="dxa"/>
              <w:left w:w="15" w:type="dxa"/>
              <w:bottom w:w="0" w:type="dxa"/>
              <w:right w:w="15" w:type="dxa"/>
            </w:tcMar>
            <w:vAlign w:val="bottom"/>
          </w:tcPr>
          <w:p w:rsidR="003663E4" w:rsidRDefault="00FD3F7D">
            <w:pPr>
              <w:spacing w:line="276" w:lineRule="auto"/>
              <w:jc w:val="right"/>
              <w:rPr>
                <w:color w:val="000000"/>
                <w:kern w:val="0"/>
                <w:szCs w:val="21"/>
              </w:rPr>
            </w:pPr>
            <w:r>
              <w:rPr>
                <w:color w:val="000000"/>
                <w:kern w:val="0"/>
                <w:szCs w:val="21"/>
              </w:rPr>
              <w:t>-</w:t>
            </w:r>
          </w:p>
        </w:tc>
        <w:tc>
          <w:tcPr>
            <w:tcW w:w="3158" w:type="dxa"/>
            <w:tcMar>
              <w:top w:w="15" w:type="dxa"/>
              <w:left w:w="15" w:type="dxa"/>
              <w:bottom w:w="0" w:type="dxa"/>
              <w:right w:w="15" w:type="dxa"/>
            </w:tcMar>
            <w:vAlign w:val="bottom"/>
          </w:tcPr>
          <w:p w:rsidR="003663E4" w:rsidRDefault="00FD3F7D">
            <w:pPr>
              <w:spacing w:line="276" w:lineRule="auto"/>
              <w:jc w:val="right"/>
              <w:rPr>
                <w:color w:val="000000"/>
                <w:kern w:val="0"/>
                <w:szCs w:val="21"/>
              </w:rPr>
            </w:pPr>
            <w:r>
              <w:rPr>
                <w:color w:val="000000"/>
                <w:kern w:val="0"/>
                <w:szCs w:val="21"/>
              </w:rPr>
              <w:t>-</w:t>
            </w:r>
          </w:p>
        </w:tc>
      </w:tr>
      <w:tr w:rsidR="003663E4">
        <w:trPr>
          <w:trHeight w:val="315"/>
        </w:trPr>
        <w:tc>
          <w:tcPr>
            <w:tcW w:w="2633" w:type="dxa"/>
            <w:tcMar>
              <w:top w:w="15" w:type="dxa"/>
              <w:left w:w="15" w:type="dxa"/>
              <w:bottom w:w="0" w:type="dxa"/>
              <w:right w:w="15" w:type="dxa"/>
            </w:tcMar>
          </w:tcPr>
          <w:p w:rsidR="003663E4" w:rsidRDefault="00FD3F7D">
            <w:pPr>
              <w:ind w:firstLineChars="300" w:firstLine="630"/>
              <w:rPr>
                <w:rFonts w:ascii="宋体" w:hAnsi="宋体"/>
                <w:color w:val="000000" w:themeColor="text1"/>
                <w:kern w:val="0"/>
                <w:szCs w:val="21"/>
              </w:rPr>
            </w:pPr>
            <w:r>
              <w:rPr>
                <w:rFonts w:ascii="宋体" w:hAnsi="宋体" w:hint="eastAsia"/>
                <w:color w:val="000000" w:themeColor="text1"/>
                <w:kern w:val="0"/>
                <w:szCs w:val="21"/>
              </w:rPr>
              <w:t>存款期限</w:t>
            </w:r>
            <w:r>
              <w:rPr>
                <w:rFonts w:ascii="宋体" w:hAnsi="宋体" w:hint="eastAsia"/>
                <w:color w:val="000000" w:themeColor="text1"/>
                <w:kern w:val="0"/>
                <w:szCs w:val="21"/>
              </w:rPr>
              <w:t>3</w:t>
            </w:r>
            <w:r>
              <w:rPr>
                <w:rFonts w:ascii="宋体" w:hAnsi="宋体" w:hint="eastAsia"/>
                <w:color w:val="000000" w:themeColor="text1"/>
                <w:kern w:val="0"/>
                <w:szCs w:val="21"/>
              </w:rPr>
              <w:t>个月以上</w:t>
            </w:r>
          </w:p>
        </w:tc>
        <w:tc>
          <w:tcPr>
            <w:tcW w:w="3157" w:type="dxa"/>
            <w:tcMar>
              <w:top w:w="15" w:type="dxa"/>
              <w:left w:w="15" w:type="dxa"/>
              <w:bottom w:w="0" w:type="dxa"/>
              <w:right w:w="15" w:type="dxa"/>
            </w:tcMar>
            <w:vAlign w:val="bottom"/>
          </w:tcPr>
          <w:p w:rsidR="003663E4" w:rsidRDefault="00FD3F7D">
            <w:pPr>
              <w:spacing w:line="276" w:lineRule="auto"/>
              <w:jc w:val="right"/>
              <w:rPr>
                <w:color w:val="000000"/>
                <w:kern w:val="0"/>
                <w:szCs w:val="21"/>
              </w:rPr>
            </w:pPr>
            <w:r>
              <w:rPr>
                <w:color w:val="000000"/>
                <w:kern w:val="0"/>
                <w:szCs w:val="21"/>
              </w:rPr>
              <w:t>-</w:t>
            </w:r>
          </w:p>
        </w:tc>
        <w:tc>
          <w:tcPr>
            <w:tcW w:w="3158" w:type="dxa"/>
            <w:tcMar>
              <w:top w:w="15" w:type="dxa"/>
              <w:left w:w="15" w:type="dxa"/>
              <w:bottom w:w="0" w:type="dxa"/>
              <w:right w:w="15" w:type="dxa"/>
            </w:tcMar>
            <w:vAlign w:val="bottom"/>
          </w:tcPr>
          <w:p w:rsidR="003663E4" w:rsidRDefault="00FD3F7D">
            <w:pPr>
              <w:spacing w:line="276" w:lineRule="auto"/>
              <w:jc w:val="right"/>
              <w:rPr>
                <w:color w:val="000000"/>
                <w:kern w:val="0"/>
                <w:szCs w:val="21"/>
              </w:rPr>
            </w:pPr>
            <w:r>
              <w:rPr>
                <w:color w:val="000000"/>
                <w:kern w:val="0"/>
                <w:szCs w:val="21"/>
              </w:rPr>
              <w:t>-</w:t>
            </w:r>
          </w:p>
        </w:tc>
      </w:tr>
      <w:tr w:rsidR="003663E4">
        <w:trPr>
          <w:trHeight w:val="315"/>
        </w:trPr>
        <w:tc>
          <w:tcPr>
            <w:tcW w:w="2633" w:type="dxa"/>
            <w:tcMar>
              <w:top w:w="15" w:type="dxa"/>
              <w:left w:w="15" w:type="dxa"/>
              <w:bottom w:w="0" w:type="dxa"/>
              <w:right w:w="15" w:type="dxa"/>
            </w:tcMar>
            <w:vAlign w:val="center"/>
          </w:tcPr>
          <w:p w:rsidR="003663E4" w:rsidRDefault="00FD3F7D">
            <w:pPr>
              <w:spacing w:line="276" w:lineRule="auto"/>
              <w:rPr>
                <w:color w:val="000000"/>
                <w:kern w:val="0"/>
                <w:szCs w:val="21"/>
              </w:rPr>
            </w:pPr>
            <w:r>
              <w:rPr>
                <w:rFonts w:hint="eastAsia"/>
                <w:color w:val="000000"/>
                <w:kern w:val="0"/>
                <w:szCs w:val="21"/>
              </w:rPr>
              <w:t>其他存款</w:t>
            </w:r>
          </w:p>
        </w:tc>
        <w:tc>
          <w:tcPr>
            <w:tcW w:w="3157" w:type="dxa"/>
            <w:tcMar>
              <w:top w:w="15" w:type="dxa"/>
              <w:left w:w="15" w:type="dxa"/>
              <w:bottom w:w="0" w:type="dxa"/>
              <w:right w:w="15" w:type="dxa"/>
            </w:tcMar>
            <w:vAlign w:val="center"/>
          </w:tcPr>
          <w:p w:rsidR="003663E4" w:rsidRDefault="00FD3F7D">
            <w:pPr>
              <w:spacing w:line="276" w:lineRule="auto"/>
              <w:jc w:val="right"/>
              <w:rPr>
                <w:color w:val="000000"/>
                <w:kern w:val="0"/>
                <w:szCs w:val="21"/>
              </w:rPr>
            </w:pPr>
            <w:r>
              <w:rPr>
                <w:color w:val="000000"/>
                <w:kern w:val="0"/>
                <w:szCs w:val="21"/>
              </w:rPr>
              <w:t>-</w:t>
            </w:r>
          </w:p>
        </w:tc>
        <w:tc>
          <w:tcPr>
            <w:tcW w:w="3158" w:type="dxa"/>
            <w:tcMar>
              <w:top w:w="15" w:type="dxa"/>
              <w:left w:w="15" w:type="dxa"/>
              <w:bottom w:w="0" w:type="dxa"/>
              <w:right w:w="15" w:type="dxa"/>
            </w:tcMar>
            <w:vAlign w:val="center"/>
          </w:tcPr>
          <w:p w:rsidR="003663E4" w:rsidRDefault="00FD3F7D">
            <w:pPr>
              <w:spacing w:line="276" w:lineRule="auto"/>
              <w:jc w:val="right"/>
              <w:rPr>
                <w:color w:val="000000"/>
                <w:kern w:val="0"/>
                <w:szCs w:val="21"/>
              </w:rPr>
            </w:pPr>
            <w:r>
              <w:rPr>
                <w:color w:val="000000"/>
                <w:kern w:val="0"/>
                <w:szCs w:val="21"/>
              </w:rPr>
              <w:t>1,750,000,000.00</w:t>
            </w:r>
          </w:p>
        </w:tc>
      </w:tr>
      <w:tr w:rsidR="003663E4">
        <w:trPr>
          <w:trHeight w:val="315"/>
        </w:trPr>
        <w:tc>
          <w:tcPr>
            <w:tcW w:w="2633" w:type="dxa"/>
            <w:tcMar>
              <w:top w:w="15" w:type="dxa"/>
              <w:left w:w="15" w:type="dxa"/>
              <w:bottom w:w="0" w:type="dxa"/>
              <w:right w:w="15" w:type="dxa"/>
            </w:tcMar>
            <w:vAlign w:val="center"/>
          </w:tcPr>
          <w:p w:rsidR="003663E4" w:rsidRDefault="00FD3F7D">
            <w:pPr>
              <w:spacing w:line="276" w:lineRule="auto"/>
              <w:rPr>
                <w:color w:val="000000"/>
                <w:kern w:val="0"/>
                <w:szCs w:val="21"/>
              </w:rPr>
            </w:pPr>
            <w:r>
              <w:rPr>
                <w:rFonts w:hint="eastAsia"/>
                <w:color w:val="000000"/>
                <w:kern w:val="0"/>
                <w:szCs w:val="21"/>
              </w:rPr>
              <w:t>合计</w:t>
            </w:r>
          </w:p>
        </w:tc>
        <w:tc>
          <w:tcPr>
            <w:tcW w:w="3157" w:type="dxa"/>
            <w:tcMar>
              <w:top w:w="15" w:type="dxa"/>
              <w:left w:w="15" w:type="dxa"/>
              <w:bottom w:w="0" w:type="dxa"/>
              <w:right w:w="15" w:type="dxa"/>
            </w:tcMar>
            <w:vAlign w:val="center"/>
          </w:tcPr>
          <w:p w:rsidR="003663E4" w:rsidRDefault="00FD3F7D">
            <w:pPr>
              <w:spacing w:line="276" w:lineRule="auto"/>
              <w:jc w:val="right"/>
              <w:rPr>
                <w:color w:val="000000"/>
                <w:kern w:val="0"/>
                <w:szCs w:val="21"/>
              </w:rPr>
            </w:pPr>
            <w:r>
              <w:rPr>
                <w:color w:val="000000"/>
                <w:kern w:val="0"/>
                <w:szCs w:val="21"/>
              </w:rPr>
              <w:t>2,715,773.95</w:t>
            </w:r>
          </w:p>
        </w:tc>
        <w:tc>
          <w:tcPr>
            <w:tcW w:w="3158" w:type="dxa"/>
            <w:tcMar>
              <w:top w:w="15" w:type="dxa"/>
              <w:left w:w="15" w:type="dxa"/>
              <w:bottom w:w="0" w:type="dxa"/>
              <w:right w:w="15" w:type="dxa"/>
            </w:tcMar>
            <w:vAlign w:val="center"/>
          </w:tcPr>
          <w:p w:rsidR="003663E4" w:rsidRDefault="00FD3F7D">
            <w:pPr>
              <w:spacing w:line="276" w:lineRule="auto"/>
              <w:jc w:val="right"/>
              <w:rPr>
                <w:color w:val="000000"/>
                <w:kern w:val="0"/>
                <w:szCs w:val="21"/>
              </w:rPr>
            </w:pPr>
            <w:r>
              <w:rPr>
                <w:color w:val="000000"/>
                <w:kern w:val="0"/>
                <w:szCs w:val="21"/>
              </w:rPr>
              <w:t>1,751,376,445.57</w:t>
            </w:r>
          </w:p>
        </w:tc>
      </w:tr>
    </w:tbl>
    <w:p w:rsidR="003663E4" w:rsidRDefault="00FD3F7D">
      <w:pPr>
        <w:autoSpaceDE w:val="0"/>
        <w:autoSpaceDN w:val="0"/>
        <w:adjustRightInd w:val="0"/>
        <w:spacing w:beforeLines="50" w:before="156" w:line="360" w:lineRule="auto"/>
        <w:jc w:val="left"/>
        <w:rPr>
          <w:bCs/>
          <w:color w:val="000000"/>
          <w:kern w:val="0"/>
          <w:szCs w:val="21"/>
        </w:rPr>
      </w:pPr>
      <w:r>
        <w:rPr>
          <w:rFonts w:hint="eastAsia"/>
          <w:bCs/>
          <w:color w:val="000000"/>
          <w:kern w:val="0"/>
          <w:szCs w:val="21"/>
        </w:rPr>
        <w:t>注：本基金持有的其他存款，均为有存款期限，但根据协议可提前支取且没有利息损失的银行存款。</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7.2.4.7.2</w:t>
      </w:r>
      <w:r>
        <w:rPr>
          <w:rFonts w:hint="eastAsia"/>
          <w:b/>
          <w:bCs/>
          <w:color w:val="000000"/>
          <w:kern w:val="0"/>
          <w:szCs w:val="21"/>
        </w:rPr>
        <w:t xml:space="preserve"> </w:t>
      </w:r>
      <w:r>
        <w:rPr>
          <w:b/>
          <w:bCs/>
          <w:color w:val="000000"/>
          <w:kern w:val="0"/>
          <w:szCs w:val="21"/>
        </w:rPr>
        <w:t>交易性金融资产</w:t>
      </w:r>
    </w:p>
    <w:p w:rsidR="003663E4" w:rsidRDefault="00FD3F7D">
      <w:pPr>
        <w:autoSpaceDE w:val="0"/>
        <w:autoSpaceDN w:val="0"/>
        <w:adjustRightInd w:val="0"/>
        <w:spacing w:line="360" w:lineRule="auto"/>
        <w:ind w:left="15"/>
        <w:jc w:val="right"/>
        <w:rPr>
          <w:rFonts w:eastAsiaTheme="minorEastAsia"/>
          <w:color w:val="000000"/>
          <w:kern w:val="0"/>
          <w:szCs w:val="21"/>
        </w:rPr>
      </w:pPr>
      <w:r>
        <w:rPr>
          <w:rFonts w:eastAsiaTheme="minorEastAsia"/>
          <w:color w:val="000000"/>
          <w:szCs w:val="21"/>
        </w:rPr>
        <w:t>单位：人民币元</w:t>
      </w:r>
    </w:p>
    <w:tbl>
      <w:tblPr>
        <w:tblW w:w="901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1"/>
        <w:gridCol w:w="1556"/>
        <w:gridCol w:w="1374"/>
        <w:gridCol w:w="1546"/>
        <w:gridCol w:w="1546"/>
        <w:gridCol w:w="1738"/>
      </w:tblGrid>
      <w:tr w:rsidR="003663E4">
        <w:trPr>
          <w:trHeight w:val="716"/>
          <w:jc w:val="center"/>
        </w:trPr>
        <w:tc>
          <w:tcPr>
            <w:tcW w:w="2807" w:type="dxa"/>
            <w:gridSpan w:val="2"/>
            <w:vMerge w:val="restart"/>
            <w:vAlign w:val="center"/>
          </w:tcPr>
          <w:p w:rsidR="003663E4" w:rsidRDefault="00FD3F7D">
            <w:pPr>
              <w:widowControl/>
              <w:jc w:val="center"/>
              <w:rPr>
                <w:kern w:val="0"/>
                <w:szCs w:val="21"/>
              </w:rPr>
            </w:pPr>
            <w:r>
              <w:rPr>
                <w:rFonts w:hint="eastAsia"/>
                <w:kern w:val="0"/>
                <w:szCs w:val="21"/>
              </w:rPr>
              <w:t>项目</w:t>
            </w:r>
          </w:p>
        </w:tc>
        <w:tc>
          <w:tcPr>
            <w:tcW w:w="6204" w:type="dxa"/>
            <w:gridSpan w:val="4"/>
            <w:vAlign w:val="center"/>
          </w:tcPr>
          <w:p w:rsidR="003663E4" w:rsidRDefault="00FD3F7D">
            <w:pPr>
              <w:widowControl/>
              <w:jc w:val="center"/>
              <w:rPr>
                <w:kern w:val="0"/>
                <w:szCs w:val="21"/>
              </w:rPr>
            </w:pPr>
            <w:r>
              <w:rPr>
                <w:rFonts w:hint="eastAsia"/>
                <w:kern w:val="0"/>
                <w:szCs w:val="21"/>
              </w:rPr>
              <w:t>本期末</w:t>
            </w:r>
          </w:p>
          <w:p w:rsidR="003663E4" w:rsidRDefault="00FD3F7D">
            <w:pPr>
              <w:tabs>
                <w:tab w:val="left" w:pos="426"/>
              </w:tabs>
              <w:spacing w:line="360" w:lineRule="auto"/>
              <w:ind w:firstLineChars="200" w:firstLine="420"/>
              <w:jc w:val="center"/>
              <w:rPr>
                <w:rFonts w:eastAsiaTheme="minorEastAsia"/>
                <w:color w:val="000000"/>
                <w:szCs w:val="21"/>
              </w:rPr>
            </w:pPr>
            <w:r>
              <w:rPr>
                <w:rFonts w:eastAsiaTheme="minorEastAsia"/>
                <w:color w:val="000000"/>
                <w:szCs w:val="21"/>
              </w:rPr>
              <w:t>2020</w:t>
            </w:r>
            <w:r>
              <w:rPr>
                <w:rFonts w:eastAsiaTheme="minorEastAsia"/>
                <w:color w:val="000000"/>
                <w:szCs w:val="21"/>
              </w:rPr>
              <w:t>年</w:t>
            </w:r>
            <w:r>
              <w:rPr>
                <w:rFonts w:eastAsiaTheme="minorEastAsia"/>
                <w:color w:val="000000"/>
                <w:szCs w:val="21"/>
              </w:rPr>
              <w:t>7</w:t>
            </w:r>
            <w:r>
              <w:rPr>
                <w:rFonts w:eastAsiaTheme="minorEastAsia"/>
                <w:color w:val="000000"/>
                <w:szCs w:val="21"/>
              </w:rPr>
              <w:t>月</w:t>
            </w:r>
            <w:r>
              <w:rPr>
                <w:rFonts w:eastAsiaTheme="minorEastAsia"/>
                <w:color w:val="000000"/>
                <w:szCs w:val="21"/>
              </w:rPr>
              <w:t>27</w:t>
            </w:r>
            <w:r>
              <w:rPr>
                <w:rFonts w:eastAsiaTheme="minorEastAsia"/>
                <w:color w:val="000000"/>
                <w:szCs w:val="21"/>
              </w:rPr>
              <w:t>日</w:t>
            </w:r>
          </w:p>
        </w:tc>
      </w:tr>
      <w:tr w:rsidR="003663E4">
        <w:trPr>
          <w:jc w:val="center"/>
        </w:trPr>
        <w:tc>
          <w:tcPr>
            <w:tcW w:w="2807" w:type="dxa"/>
            <w:gridSpan w:val="2"/>
            <w:vMerge/>
            <w:vAlign w:val="center"/>
          </w:tcPr>
          <w:p w:rsidR="003663E4" w:rsidRDefault="003663E4">
            <w:pPr>
              <w:widowControl/>
              <w:jc w:val="left"/>
              <w:rPr>
                <w:kern w:val="0"/>
                <w:szCs w:val="21"/>
              </w:rPr>
            </w:pPr>
          </w:p>
        </w:tc>
        <w:tc>
          <w:tcPr>
            <w:tcW w:w="1374" w:type="dxa"/>
            <w:vAlign w:val="center"/>
          </w:tcPr>
          <w:p w:rsidR="003663E4" w:rsidRDefault="00FD3F7D">
            <w:pPr>
              <w:widowControl/>
              <w:jc w:val="center"/>
              <w:rPr>
                <w:kern w:val="0"/>
                <w:szCs w:val="21"/>
              </w:rPr>
            </w:pPr>
            <w:r>
              <w:rPr>
                <w:rFonts w:hint="eastAsia"/>
                <w:kern w:val="0"/>
                <w:szCs w:val="21"/>
              </w:rPr>
              <w:t>摊余成本</w:t>
            </w:r>
          </w:p>
        </w:tc>
        <w:tc>
          <w:tcPr>
            <w:tcW w:w="1546" w:type="dxa"/>
            <w:vAlign w:val="center"/>
          </w:tcPr>
          <w:p w:rsidR="003663E4" w:rsidRDefault="00FD3F7D">
            <w:pPr>
              <w:widowControl/>
              <w:jc w:val="center"/>
              <w:rPr>
                <w:kern w:val="0"/>
                <w:szCs w:val="21"/>
              </w:rPr>
            </w:pPr>
            <w:r>
              <w:rPr>
                <w:rFonts w:hint="eastAsia"/>
                <w:kern w:val="0"/>
                <w:szCs w:val="21"/>
              </w:rPr>
              <w:t>影子定价</w:t>
            </w:r>
          </w:p>
        </w:tc>
        <w:tc>
          <w:tcPr>
            <w:tcW w:w="1546" w:type="dxa"/>
            <w:vAlign w:val="center"/>
          </w:tcPr>
          <w:p w:rsidR="003663E4" w:rsidRDefault="00FD3F7D">
            <w:pPr>
              <w:widowControl/>
              <w:jc w:val="center"/>
              <w:rPr>
                <w:kern w:val="0"/>
                <w:szCs w:val="21"/>
              </w:rPr>
            </w:pPr>
            <w:r>
              <w:rPr>
                <w:rFonts w:hint="eastAsia"/>
                <w:kern w:val="0"/>
                <w:szCs w:val="21"/>
              </w:rPr>
              <w:t>偏离金额</w:t>
            </w:r>
          </w:p>
        </w:tc>
        <w:tc>
          <w:tcPr>
            <w:tcW w:w="1738" w:type="dxa"/>
            <w:vAlign w:val="center"/>
          </w:tcPr>
          <w:p w:rsidR="003663E4" w:rsidRDefault="00FD3F7D">
            <w:pPr>
              <w:widowControl/>
              <w:jc w:val="center"/>
              <w:rPr>
                <w:kern w:val="0"/>
                <w:szCs w:val="21"/>
              </w:rPr>
            </w:pPr>
            <w:r>
              <w:rPr>
                <w:rFonts w:hint="eastAsia"/>
                <w:kern w:val="0"/>
                <w:szCs w:val="21"/>
              </w:rPr>
              <w:t>偏离度（</w:t>
            </w:r>
            <w:r>
              <w:rPr>
                <w:kern w:val="0"/>
                <w:szCs w:val="21"/>
              </w:rPr>
              <w:t>%</w:t>
            </w:r>
            <w:r>
              <w:rPr>
                <w:rFonts w:hint="eastAsia"/>
                <w:kern w:val="0"/>
                <w:szCs w:val="21"/>
              </w:rPr>
              <w:t>）</w:t>
            </w:r>
          </w:p>
        </w:tc>
      </w:tr>
      <w:tr w:rsidR="003663E4">
        <w:trPr>
          <w:jc w:val="center"/>
        </w:trPr>
        <w:tc>
          <w:tcPr>
            <w:tcW w:w="1251" w:type="dxa"/>
            <w:vMerge w:val="restart"/>
            <w:vAlign w:val="center"/>
          </w:tcPr>
          <w:p w:rsidR="003663E4" w:rsidRDefault="00FD3F7D">
            <w:pPr>
              <w:widowControl/>
              <w:jc w:val="center"/>
              <w:rPr>
                <w:kern w:val="0"/>
                <w:szCs w:val="21"/>
              </w:rPr>
            </w:pPr>
            <w:r>
              <w:rPr>
                <w:rFonts w:hint="eastAsia"/>
                <w:kern w:val="0"/>
                <w:szCs w:val="21"/>
              </w:rPr>
              <w:t>债券</w:t>
            </w:r>
          </w:p>
        </w:tc>
        <w:tc>
          <w:tcPr>
            <w:tcW w:w="1556" w:type="dxa"/>
            <w:vAlign w:val="center"/>
          </w:tcPr>
          <w:p w:rsidR="003663E4" w:rsidRDefault="00FD3F7D">
            <w:pPr>
              <w:widowControl/>
              <w:jc w:val="center"/>
              <w:rPr>
                <w:kern w:val="0"/>
                <w:szCs w:val="21"/>
              </w:rPr>
            </w:pPr>
            <w:r>
              <w:rPr>
                <w:rFonts w:hint="eastAsia"/>
                <w:kern w:val="0"/>
                <w:szCs w:val="21"/>
              </w:rPr>
              <w:t>交易所市场</w:t>
            </w:r>
          </w:p>
        </w:tc>
        <w:tc>
          <w:tcPr>
            <w:tcW w:w="1374" w:type="dxa"/>
            <w:vAlign w:val="center"/>
          </w:tcPr>
          <w:p w:rsidR="003663E4" w:rsidRDefault="00FD3F7D">
            <w:pPr>
              <w:jc w:val="right"/>
              <w:rPr>
                <w:bCs/>
                <w:szCs w:val="21"/>
              </w:rPr>
            </w:pPr>
            <w:r>
              <w:rPr>
                <w:rFonts w:eastAsiaTheme="minorEastAsia"/>
                <w:color w:val="000000"/>
                <w:kern w:val="0"/>
                <w:szCs w:val="21"/>
              </w:rPr>
              <w:t>-</w:t>
            </w:r>
          </w:p>
        </w:tc>
        <w:tc>
          <w:tcPr>
            <w:tcW w:w="1546" w:type="dxa"/>
            <w:vAlign w:val="center"/>
          </w:tcPr>
          <w:p w:rsidR="003663E4" w:rsidRDefault="00FD3F7D">
            <w:pPr>
              <w:jc w:val="right"/>
              <w:rPr>
                <w:bCs/>
                <w:szCs w:val="21"/>
              </w:rPr>
            </w:pPr>
            <w:r>
              <w:rPr>
                <w:rFonts w:eastAsiaTheme="minorEastAsia"/>
                <w:color w:val="000000"/>
                <w:kern w:val="0"/>
                <w:szCs w:val="21"/>
              </w:rPr>
              <w:t>-</w:t>
            </w:r>
          </w:p>
        </w:tc>
        <w:tc>
          <w:tcPr>
            <w:tcW w:w="1546" w:type="dxa"/>
            <w:vAlign w:val="center"/>
          </w:tcPr>
          <w:p w:rsidR="003663E4" w:rsidRDefault="00FD3F7D">
            <w:pPr>
              <w:jc w:val="right"/>
              <w:rPr>
                <w:bCs/>
                <w:szCs w:val="21"/>
              </w:rPr>
            </w:pPr>
            <w:r>
              <w:rPr>
                <w:rFonts w:eastAsiaTheme="minorEastAsia"/>
                <w:color w:val="000000"/>
                <w:kern w:val="0"/>
                <w:szCs w:val="21"/>
              </w:rPr>
              <w:t>-</w:t>
            </w:r>
          </w:p>
        </w:tc>
        <w:tc>
          <w:tcPr>
            <w:tcW w:w="1738" w:type="dxa"/>
            <w:vAlign w:val="center"/>
          </w:tcPr>
          <w:p w:rsidR="003663E4" w:rsidRDefault="00FD3F7D">
            <w:pPr>
              <w:jc w:val="right"/>
              <w:rPr>
                <w:bCs/>
                <w:szCs w:val="21"/>
              </w:rPr>
            </w:pPr>
            <w:r>
              <w:rPr>
                <w:rFonts w:eastAsiaTheme="minorEastAsia"/>
                <w:color w:val="000000"/>
                <w:kern w:val="0"/>
                <w:szCs w:val="21"/>
              </w:rPr>
              <w:t>-</w:t>
            </w:r>
          </w:p>
        </w:tc>
      </w:tr>
      <w:tr w:rsidR="003663E4">
        <w:trPr>
          <w:jc w:val="center"/>
        </w:trPr>
        <w:tc>
          <w:tcPr>
            <w:tcW w:w="1251" w:type="dxa"/>
            <w:vMerge/>
            <w:vAlign w:val="center"/>
          </w:tcPr>
          <w:p w:rsidR="003663E4" w:rsidRDefault="003663E4">
            <w:pPr>
              <w:widowControl/>
              <w:jc w:val="left"/>
              <w:rPr>
                <w:kern w:val="0"/>
                <w:szCs w:val="21"/>
              </w:rPr>
            </w:pPr>
          </w:p>
        </w:tc>
        <w:tc>
          <w:tcPr>
            <w:tcW w:w="1556" w:type="dxa"/>
            <w:vAlign w:val="center"/>
          </w:tcPr>
          <w:p w:rsidR="003663E4" w:rsidRDefault="00FD3F7D">
            <w:pPr>
              <w:widowControl/>
              <w:jc w:val="center"/>
              <w:rPr>
                <w:kern w:val="0"/>
                <w:szCs w:val="21"/>
              </w:rPr>
            </w:pPr>
            <w:r>
              <w:rPr>
                <w:rFonts w:hint="eastAsia"/>
                <w:kern w:val="0"/>
                <w:szCs w:val="21"/>
              </w:rPr>
              <w:t>银行间市场</w:t>
            </w:r>
          </w:p>
        </w:tc>
        <w:tc>
          <w:tcPr>
            <w:tcW w:w="1374" w:type="dxa"/>
            <w:vAlign w:val="center"/>
          </w:tcPr>
          <w:p w:rsidR="003663E4" w:rsidRDefault="00FD3F7D">
            <w:pPr>
              <w:jc w:val="right"/>
              <w:rPr>
                <w:bCs/>
                <w:szCs w:val="21"/>
              </w:rPr>
            </w:pPr>
            <w:r>
              <w:rPr>
                <w:rFonts w:eastAsiaTheme="minorEastAsia"/>
                <w:color w:val="000000"/>
                <w:kern w:val="0"/>
                <w:szCs w:val="21"/>
              </w:rPr>
              <w:t>729,966,052.15</w:t>
            </w:r>
          </w:p>
        </w:tc>
        <w:tc>
          <w:tcPr>
            <w:tcW w:w="1546" w:type="dxa"/>
            <w:vAlign w:val="center"/>
          </w:tcPr>
          <w:p w:rsidR="003663E4" w:rsidRDefault="00FD3F7D">
            <w:pPr>
              <w:jc w:val="right"/>
              <w:rPr>
                <w:bCs/>
                <w:szCs w:val="21"/>
              </w:rPr>
            </w:pPr>
            <w:r>
              <w:rPr>
                <w:rFonts w:eastAsiaTheme="minorEastAsia"/>
                <w:color w:val="000000"/>
                <w:kern w:val="0"/>
                <w:szCs w:val="21"/>
              </w:rPr>
              <w:t>730,002,000.00</w:t>
            </w:r>
          </w:p>
        </w:tc>
        <w:tc>
          <w:tcPr>
            <w:tcW w:w="1546" w:type="dxa"/>
            <w:vAlign w:val="center"/>
          </w:tcPr>
          <w:p w:rsidR="003663E4" w:rsidRDefault="00FD3F7D">
            <w:pPr>
              <w:jc w:val="right"/>
              <w:rPr>
                <w:bCs/>
                <w:szCs w:val="21"/>
              </w:rPr>
            </w:pPr>
            <w:r>
              <w:rPr>
                <w:rFonts w:eastAsiaTheme="minorEastAsia"/>
                <w:color w:val="000000"/>
                <w:kern w:val="0"/>
                <w:szCs w:val="21"/>
              </w:rPr>
              <w:t>35,947.85</w:t>
            </w:r>
          </w:p>
        </w:tc>
        <w:tc>
          <w:tcPr>
            <w:tcW w:w="1738" w:type="dxa"/>
            <w:vAlign w:val="center"/>
          </w:tcPr>
          <w:p w:rsidR="003663E4" w:rsidRDefault="00FD3F7D">
            <w:pPr>
              <w:jc w:val="right"/>
              <w:rPr>
                <w:bCs/>
                <w:szCs w:val="21"/>
              </w:rPr>
            </w:pPr>
            <w:r>
              <w:rPr>
                <w:rFonts w:eastAsiaTheme="minorEastAsia"/>
                <w:color w:val="000000"/>
                <w:kern w:val="0"/>
                <w:szCs w:val="21"/>
              </w:rPr>
              <w:t>0.0047</w:t>
            </w:r>
          </w:p>
        </w:tc>
      </w:tr>
      <w:tr w:rsidR="003663E4">
        <w:trPr>
          <w:jc w:val="center"/>
        </w:trPr>
        <w:tc>
          <w:tcPr>
            <w:tcW w:w="1251" w:type="dxa"/>
            <w:vMerge/>
            <w:vAlign w:val="center"/>
          </w:tcPr>
          <w:p w:rsidR="003663E4" w:rsidRDefault="003663E4">
            <w:pPr>
              <w:widowControl/>
              <w:jc w:val="left"/>
              <w:rPr>
                <w:kern w:val="0"/>
                <w:szCs w:val="21"/>
              </w:rPr>
            </w:pPr>
          </w:p>
        </w:tc>
        <w:tc>
          <w:tcPr>
            <w:tcW w:w="1556" w:type="dxa"/>
            <w:vAlign w:val="center"/>
          </w:tcPr>
          <w:p w:rsidR="003663E4" w:rsidRDefault="00FD3F7D">
            <w:pPr>
              <w:widowControl/>
              <w:jc w:val="center"/>
              <w:rPr>
                <w:kern w:val="0"/>
                <w:szCs w:val="21"/>
              </w:rPr>
            </w:pPr>
            <w:r>
              <w:rPr>
                <w:rFonts w:hint="eastAsia"/>
                <w:kern w:val="0"/>
                <w:szCs w:val="21"/>
              </w:rPr>
              <w:t>合计</w:t>
            </w:r>
          </w:p>
        </w:tc>
        <w:tc>
          <w:tcPr>
            <w:tcW w:w="1374" w:type="dxa"/>
            <w:vAlign w:val="center"/>
          </w:tcPr>
          <w:p w:rsidR="003663E4" w:rsidRDefault="00FD3F7D">
            <w:pPr>
              <w:widowControl/>
              <w:jc w:val="center"/>
              <w:rPr>
                <w:kern w:val="0"/>
                <w:szCs w:val="21"/>
              </w:rPr>
            </w:pPr>
            <w:r>
              <w:rPr>
                <w:rFonts w:eastAsiaTheme="minorEastAsia"/>
                <w:color w:val="000000"/>
                <w:kern w:val="0"/>
                <w:szCs w:val="21"/>
              </w:rPr>
              <w:t>729,966,052.15</w:t>
            </w:r>
          </w:p>
        </w:tc>
        <w:tc>
          <w:tcPr>
            <w:tcW w:w="1546" w:type="dxa"/>
            <w:vAlign w:val="center"/>
          </w:tcPr>
          <w:p w:rsidR="003663E4" w:rsidRDefault="00FD3F7D">
            <w:pPr>
              <w:widowControl/>
              <w:jc w:val="center"/>
              <w:rPr>
                <w:kern w:val="0"/>
                <w:szCs w:val="21"/>
              </w:rPr>
            </w:pPr>
            <w:r>
              <w:rPr>
                <w:rFonts w:eastAsiaTheme="minorEastAsia"/>
                <w:color w:val="000000"/>
                <w:kern w:val="0"/>
                <w:szCs w:val="21"/>
              </w:rPr>
              <w:t>730,002,000.00</w:t>
            </w:r>
          </w:p>
        </w:tc>
        <w:tc>
          <w:tcPr>
            <w:tcW w:w="1546" w:type="dxa"/>
            <w:vAlign w:val="center"/>
          </w:tcPr>
          <w:p w:rsidR="003663E4" w:rsidRDefault="00FD3F7D">
            <w:pPr>
              <w:widowControl/>
              <w:jc w:val="center"/>
              <w:rPr>
                <w:kern w:val="0"/>
                <w:szCs w:val="21"/>
              </w:rPr>
            </w:pPr>
            <w:r>
              <w:rPr>
                <w:rFonts w:eastAsiaTheme="minorEastAsia"/>
                <w:color w:val="000000"/>
                <w:kern w:val="0"/>
                <w:szCs w:val="21"/>
              </w:rPr>
              <w:t>35,947.85</w:t>
            </w:r>
          </w:p>
        </w:tc>
        <w:tc>
          <w:tcPr>
            <w:tcW w:w="1738" w:type="dxa"/>
            <w:vAlign w:val="center"/>
          </w:tcPr>
          <w:p w:rsidR="003663E4" w:rsidRDefault="00FD3F7D">
            <w:pPr>
              <w:widowControl/>
              <w:jc w:val="right"/>
              <w:rPr>
                <w:kern w:val="0"/>
                <w:szCs w:val="21"/>
              </w:rPr>
            </w:pPr>
            <w:r>
              <w:rPr>
                <w:rFonts w:eastAsiaTheme="minorEastAsia"/>
                <w:color w:val="000000"/>
                <w:kern w:val="0"/>
                <w:szCs w:val="21"/>
              </w:rPr>
              <w:t>0.0047</w:t>
            </w:r>
          </w:p>
        </w:tc>
      </w:tr>
      <w:tr w:rsidR="003663E4">
        <w:trPr>
          <w:jc w:val="center"/>
        </w:trPr>
        <w:tc>
          <w:tcPr>
            <w:tcW w:w="2807" w:type="dxa"/>
            <w:gridSpan w:val="2"/>
          </w:tcPr>
          <w:p w:rsidR="003663E4" w:rsidRDefault="00FD3F7D">
            <w:pPr>
              <w:widowControl/>
              <w:jc w:val="center"/>
              <w:rPr>
                <w:rFonts w:ascii="宋体" w:hAnsi="宋体"/>
                <w:kern w:val="0"/>
                <w:szCs w:val="21"/>
              </w:rPr>
            </w:pPr>
            <w:r>
              <w:rPr>
                <w:rFonts w:ascii="宋体" w:hAnsi="宋体" w:hint="eastAsia"/>
                <w:kern w:val="0"/>
                <w:szCs w:val="21"/>
              </w:rPr>
              <w:t>资产支持证券</w:t>
            </w:r>
          </w:p>
        </w:tc>
        <w:tc>
          <w:tcPr>
            <w:tcW w:w="1374" w:type="dxa"/>
          </w:tcPr>
          <w:p w:rsidR="003663E4" w:rsidRDefault="00FD3F7D">
            <w:pPr>
              <w:widowControl/>
              <w:jc w:val="right"/>
              <w:rPr>
                <w:kern w:val="0"/>
                <w:szCs w:val="21"/>
              </w:rPr>
            </w:pPr>
            <w:r>
              <w:rPr>
                <w:rFonts w:eastAsiaTheme="minorEastAsia"/>
                <w:color w:val="000000"/>
                <w:kern w:val="0"/>
                <w:szCs w:val="21"/>
              </w:rPr>
              <w:t>-</w:t>
            </w:r>
          </w:p>
        </w:tc>
        <w:tc>
          <w:tcPr>
            <w:tcW w:w="1546" w:type="dxa"/>
          </w:tcPr>
          <w:p w:rsidR="003663E4" w:rsidRDefault="00FD3F7D">
            <w:pPr>
              <w:jc w:val="right"/>
              <w:rPr>
                <w:kern w:val="0"/>
                <w:szCs w:val="21"/>
              </w:rPr>
            </w:pPr>
            <w:r>
              <w:rPr>
                <w:rFonts w:eastAsiaTheme="minorEastAsia"/>
                <w:color w:val="000000"/>
                <w:kern w:val="0"/>
                <w:szCs w:val="21"/>
              </w:rPr>
              <w:t>-</w:t>
            </w:r>
          </w:p>
        </w:tc>
        <w:tc>
          <w:tcPr>
            <w:tcW w:w="1546" w:type="dxa"/>
          </w:tcPr>
          <w:p w:rsidR="003663E4" w:rsidRDefault="00FD3F7D">
            <w:pPr>
              <w:jc w:val="right"/>
              <w:rPr>
                <w:kern w:val="0"/>
                <w:szCs w:val="21"/>
              </w:rPr>
            </w:pPr>
            <w:r>
              <w:rPr>
                <w:rFonts w:eastAsiaTheme="minorEastAsia"/>
                <w:color w:val="000000"/>
                <w:kern w:val="0"/>
                <w:szCs w:val="21"/>
              </w:rPr>
              <w:t>-</w:t>
            </w:r>
          </w:p>
        </w:tc>
        <w:tc>
          <w:tcPr>
            <w:tcW w:w="1738" w:type="dxa"/>
          </w:tcPr>
          <w:p w:rsidR="003663E4" w:rsidRDefault="00FD3F7D">
            <w:pPr>
              <w:jc w:val="right"/>
              <w:rPr>
                <w:kern w:val="0"/>
                <w:szCs w:val="21"/>
              </w:rPr>
            </w:pPr>
            <w:r>
              <w:rPr>
                <w:rFonts w:eastAsiaTheme="minorEastAsia"/>
                <w:color w:val="000000"/>
                <w:kern w:val="0"/>
                <w:szCs w:val="21"/>
              </w:rPr>
              <w:t>-</w:t>
            </w:r>
          </w:p>
        </w:tc>
      </w:tr>
      <w:tr w:rsidR="003663E4">
        <w:trPr>
          <w:jc w:val="center"/>
        </w:trPr>
        <w:tc>
          <w:tcPr>
            <w:tcW w:w="2807" w:type="dxa"/>
            <w:gridSpan w:val="2"/>
          </w:tcPr>
          <w:p w:rsidR="003663E4" w:rsidRDefault="00FD3F7D">
            <w:pPr>
              <w:widowControl/>
              <w:jc w:val="center"/>
              <w:rPr>
                <w:rFonts w:ascii="宋体" w:hAnsi="宋体"/>
                <w:kern w:val="0"/>
                <w:szCs w:val="21"/>
              </w:rPr>
            </w:pPr>
            <w:r>
              <w:rPr>
                <w:rFonts w:ascii="宋体" w:hAnsi="宋体" w:hint="eastAsia"/>
                <w:kern w:val="0"/>
                <w:szCs w:val="21"/>
              </w:rPr>
              <w:t>合计</w:t>
            </w:r>
          </w:p>
        </w:tc>
        <w:tc>
          <w:tcPr>
            <w:tcW w:w="1374" w:type="dxa"/>
          </w:tcPr>
          <w:p w:rsidR="003663E4" w:rsidRDefault="00FD3F7D">
            <w:pPr>
              <w:widowControl/>
              <w:jc w:val="right"/>
              <w:rPr>
                <w:kern w:val="0"/>
                <w:szCs w:val="21"/>
              </w:rPr>
            </w:pPr>
            <w:r>
              <w:rPr>
                <w:rFonts w:eastAsiaTheme="minorEastAsia"/>
                <w:color w:val="000000"/>
                <w:kern w:val="0"/>
                <w:szCs w:val="21"/>
              </w:rPr>
              <w:t>729,966,052.15</w:t>
            </w:r>
          </w:p>
        </w:tc>
        <w:tc>
          <w:tcPr>
            <w:tcW w:w="1546" w:type="dxa"/>
          </w:tcPr>
          <w:p w:rsidR="003663E4" w:rsidRDefault="00FD3F7D">
            <w:pPr>
              <w:widowControl/>
              <w:jc w:val="right"/>
              <w:rPr>
                <w:kern w:val="0"/>
                <w:szCs w:val="21"/>
              </w:rPr>
            </w:pPr>
            <w:r>
              <w:rPr>
                <w:rFonts w:eastAsiaTheme="minorEastAsia"/>
                <w:color w:val="000000"/>
                <w:kern w:val="0"/>
                <w:szCs w:val="21"/>
              </w:rPr>
              <w:t>730,002,000.00</w:t>
            </w:r>
          </w:p>
        </w:tc>
        <w:tc>
          <w:tcPr>
            <w:tcW w:w="1546" w:type="dxa"/>
          </w:tcPr>
          <w:p w:rsidR="003663E4" w:rsidRDefault="00FD3F7D">
            <w:pPr>
              <w:widowControl/>
              <w:jc w:val="right"/>
              <w:rPr>
                <w:kern w:val="0"/>
                <w:szCs w:val="21"/>
              </w:rPr>
            </w:pPr>
            <w:r>
              <w:rPr>
                <w:rFonts w:eastAsiaTheme="minorEastAsia"/>
                <w:color w:val="000000"/>
                <w:kern w:val="0"/>
                <w:szCs w:val="21"/>
              </w:rPr>
              <w:t>35,947.85</w:t>
            </w:r>
          </w:p>
        </w:tc>
        <w:tc>
          <w:tcPr>
            <w:tcW w:w="1738" w:type="dxa"/>
            <w:vAlign w:val="center"/>
          </w:tcPr>
          <w:p w:rsidR="003663E4" w:rsidRDefault="00FD3F7D">
            <w:pPr>
              <w:jc w:val="right"/>
              <w:rPr>
                <w:bCs/>
                <w:szCs w:val="21"/>
              </w:rPr>
            </w:pPr>
            <w:r>
              <w:rPr>
                <w:rFonts w:eastAsiaTheme="minorEastAsia"/>
                <w:color w:val="000000"/>
                <w:kern w:val="0"/>
                <w:szCs w:val="21"/>
              </w:rPr>
              <w:t>0.0047</w:t>
            </w:r>
          </w:p>
        </w:tc>
      </w:tr>
      <w:tr w:rsidR="003663E4">
        <w:trPr>
          <w:trHeight w:val="716"/>
          <w:jc w:val="center"/>
        </w:trPr>
        <w:tc>
          <w:tcPr>
            <w:tcW w:w="2807" w:type="dxa"/>
            <w:gridSpan w:val="2"/>
            <w:vMerge w:val="restart"/>
            <w:vAlign w:val="center"/>
          </w:tcPr>
          <w:p w:rsidR="003663E4" w:rsidRDefault="00FD3F7D">
            <w:pPr>
              <w:widowControl/>
              <w:jc w:val="center"/>
              <w:rPr>
                <w:kern w:val="0"/>
                <w:szCs w:val="21"/>
              </w:rPr>
            </w:pPr>
            <w:r>
              <w:rPr>
                <w:rFonts w:hint="eastAsia"/>
                <w:kern w:val="0"/>
                <w:szCs w:val="21"/>
              </w:rPr>
              <w:t>项目</w:t>
            </w:r>
          </w:p>
        </w:tc>
        <w:tc>
          <w:tcPr>
            <w:tcW w:w="6204" w:type="dxa"/>
            <w:gridSpan w:val="4"/>
            <w:vAlign w:val="center"/>
          </w:tcPr>
          <w:p w:rsidR="003663E4" w:rsidRDefault="00FD3F7D">
            <w:pPr>
              <w:spacing w:line="276" w:lineRule="auto"/>
              <w:jc w:val="center"/>
              <w:rPr>
                <w:color w:val="000000"/>
                <w:kern w:val="0"/>
                <w:szCs w:val="21"/>
              </w:rPr>
            </w:pPr>
            <w:r>
              <w:rPr>
                <w:color w:val="000000"/>
                <w:kern w:val="0"/>
                <w:szCs w:val="21"/>
              </w:rPr>
              <w:t>上年度末</w:t>
            </w:r>
          </w:p>
          <w:p w:rsidR="003663E4" w:rsidRDefault="00FD3F7D">
            <w:pPr>
              <w:tabs>
                <w:tab w:val="left" w:pos="426"/>
              </w:tabs>
              <w:spacing w:line="360" w:lineRule="auto"/>
              <w:ind w:firstLineChars="200" w:firstLine="420"/>
              <w:jc w:val="center"/>
              <w:rPr>
                <w:rFonts w:eastAsiaTheme="minorEastAsia"/>
                <w:color w:val="000000"/>
                <w:szCs w:val="21"/>
              </w:rPr>
            </w:pPr>
            <w:r>
              <w:rPr>
                <w:color w:val="000000"/>
                <w:kern w:val="0"/>
                <w:szCs w:val="21"/>
              </w:rPr>
              <w:t>2019</w:t>
            </w:r>
            <w:r>
              <w:rPr>
                <w:color w:val="000000"/>
                <w:kern w:val="0"/>
                <w:szCs w:val="21"/>
              </w:rPr>
              <w:t>年</w:t>
            </w:r>
            <w:r>
              <w:rPr>
                <w:color w:val="000000"/>
                <w:kern w:val="0"/>
                <w:szCs w:val="21"/>
              </w:rPr>
              <w:t>12</w:t>
            </w:r>
            <w:r>
              <w:rPr>
                <w:color w:val="000000"/>
                <w:kern w:val="0"/>
                <w:szCs w:val="21"/>
              </w:rPr>
              <w:t>月</w:t>
            </w:r>
            <w:r>
              <w:rPr>
                <w:color w:val="000000"/>
                <w:kern w:val="0"/>
                <w:szCs w:val="21"/>
              </w:rPr>
              <w:t>31</w:t>
            </w:r>
            <w:r>
              <w:rPr>
                <w:color w:val="000000"/>
                <w:kern w:val="0"/>
                <w:szCs w:val="21"/>
              </w:rPr>
              <w:t>日</w:t>
            </w:r>
          </w:p>
        </w:tc>
      </w:tr>
      <w:tr w:rsidR="003663E4">
        <w:trPr>
          <w:jc w:val="center"/>
        </w:trPr>
        <w:tc>
          <w:tcPr>
            <w:tcW w:w="2807" w:type="dxa"/>
            <w:gridSpan w:val="2"/>
            <w:vMerge/>
            <w:vAlign w:val="center"/>
          </w:tcPr>
          <w:p w:rsidR="003663E4" w:rsidRDefault="003663E4">
            <w:pPr>
              <w:widowControl/>
              <w:jc w:val="left"/>
              <w:rPr>
                <w:kern w:val="0"/>
                <w:szCs w:val="21"/>
              </w:rPr>
            </w:pPr>
          </w:p>
        </w:tc>
        <w:tc>
          <w:tcPr>
            <w:tcW w:w="1374" w:type="dxa"/>
            <w:vAlign w:val="center"/>
          </w:tcPr>
          <w:p w:rsidR="003663E4" w:rsidRDefault="00FD3F7D">
            <w:pPr>
              <w:widowControl/>
              <w:jc w:val="center"/>
              <w:rPr>
                <w:kern w:val="0"/>
                <w:szCs w:val="21"/>
              </w:rPr>
            </w:pPr>
            <w:r>
              <w:rPr>
                <w:rFonts w:hint="eastAsia"/>
                <w:kern w:val="0"/>
                <w:szCs w:val="21"/>
              </w:rPr>
              <w:t>摊余成本</w:t>
            </w:r>
          </w:p>
        </w:tc>
        <w:tc>
          <w:tcPr>
            <w:tcW w:w="1546" w:type="dxa"/>
            <w:vAlign w:val="center"/>
          </w:tcPr>
          <w:p w:rsidR="003663E4" w:rsidRDefault="00FD3F7D">
            <w:pPr>
              <w:widowControl/>
              <w:jc w:val="center"/>
              <w:rPr>
                <w:kern w:val="0"/>
                <w:szCs w:val="21"/>
              </w:rPr>
            </w:pPr>
            <w:r>
              <w:rPr>
                <w:rFonts w:hint="eastAsia"/>
                <w:kern w:val="0"/>
                <w:szCs w:val="21"/>
              </w:rPr>
              <w:t>影子定价</w:t>
            </w:r>
          </w:p>
        </w:tc>
        <w:tc>
          <w:tcPr>
            <w:tcW w:w="1546" w:type="dxa"/>
            <w:vAlign w:val="center"/>
          </w:tcPr>
          <w:p w:rsidR="003663E4" w:rsidRDefault="00FD3F7D">
            <w:pPr>
              <w:widowControl/>
              <w:jc w:val="center"/>
              <w:rPr>
                <w:kern w:val="0"/>
                <w:szCs w:val="21"/>
              </w:rPr>
            </w:pPr>
            <w:r>
              <w:rPr>
                <w:rFonts w:hint="eastAsia"/>
                <w:kern w:val="0"/>
                <w:szCs w:val="21"/>
              </w:rPr>
              <w:t>偏离金额</w:t>
            </w:r>
          </w:p>
        </w:tc>
        <w:tc>
          <w:tcPr>
            <w:tcW w:w="1738" w:type="dxa"/>
            <w:vAlign w:val="center"/>
          </w:tcPr>
          <w:p w:rsidR="003663E4" w:rsidRDefault="00FD3F7D">
            <w:pPr>
              <w:widowControl/>
              <w:jc w:val="center"/>
              <w:rPr>
                <w:kern w:val="0"/>
                <w:szCs w:val="21"/>
              </w:rPr>
            </w:pPr>
            <w:r>
              <w:rPr>
                <w:rFonts w:hint="eastAsia"/>
                <w:kern w:val="0"/>
                <w:szCs w:val="21"/>
              </w:rPr>
              <w:t>偏离度（</w:t>
            </w:r>
            <w:r>
              <w:rPr>
                <w:kern w:val="0"/>
                <w:szCs w:val="21"/>
              </w:rPr>
              <w:t>%</w:t>
            </w:r>
            <w:r>
              <w:rPr>
                <w:rFonts w:hint="eastAsia"/>
                <w:kern w:val="0"/>
                <w:szCs w:val="21"/>
              </w:rPr>
              <w:t>）</w:t>
            </w:r>
          </w:p>
        </w:tc>
      </w:tr>
      <w:tr w:rsidR="003663E4">
        <w:trPr>
          <w:jc w:val="center"/>
        </w:trPr>
        <w:tc>
          <w:tcPr>
            <w:tcW w:w="1251" w:type="dxa"/>
            <w:vMerge w:val="restart"/>
            <w:vAlign w:val="center"/>
          </w:tcPr>
          <w:p w:rsidR="003663E4" w:rsidRDefault="00FD3F7D">
            <w:pPr>
              <w:widowControl/>
              <w:jc w:val="center"/>
              <w:rPr>
                <w:kern w:val="0"/>
                <w:szCs w:val="21"/>
              </w:rPr>
            </w:pPr>
            <w:r>
              <w:rPr>
                <w:rFonts w:hint="eastAsia"/>
                <w:kern w:val="0"/>
                <w:szCs w:val="21"/>
              </w:rPr>
              <w:t>债券</w:t>
            </w:r>
          </w:p>
        </w:tc>
        <w:tc>
          <w:tcPr>
            <w:tcW w:w="1556" w:type="dxa"/>
            <w:vAlign w:val="center"/>
          </w:tcPr>
          <w:p w:rsidR="003663E4" w:rsidRDefault="00FD3F7D">
            <w:pPr>
              <w:widowControl/>
              <w:jc w:val="center"/>
              <w:rPr>
                <w:kern w:val="0"/>
                <w:szCs w:val="21"/>
              </w:rPr>
            </w:pPr>
            <w:r>
              <w:rPr>
                <w:rFonts w:hint="eastAsia"/>
                <w:kern w:val="0"/>
                <w:szCs w:val="21"/>
              </w:rPr>
              <w:t>交易所市场</w:t>
            </w:r>
          </w:p>
        </w:tc>
        <w:tc>
          <w:tcPr>
            <w:tcW w:w="1374" w:type="dxa"/>
            <w:vAlign w:val="center"/>
          </w:tcPr>
          <w:p w:rsidR="003663E4" w:rsidRDefault="00FD3F7D">
            <w:pPr>
              <w:jc w:val="right"/>
              <w:rPr>
                <w:bCs/>
                <w:szCs w:val="21"/>
              </w:rPr>
            </w:pPr>
            <w:r>
              <w:rPr>
                <w:rFonts w:eastAsiaTheme="minorEastAsia"/>
                <w:color w:val="000000"/>
                <w:kern w:val="0"/>
                <w:szCs w:val="21"/>
              </w:rPr>
              <w:t>-</w:t>
            </w:r>
          </w:p>
        </w:tc>
        <w:tc>
          <w:tcPr>
            <w:tcW w:w="1546" w:type="dxa"/>
            <w:vAlign w:val="center"/>
          </w:tcPr>
          <w:p w:rsidR="003663E4" w:rsidRDefault="00FD3F7D">
            <w:pPr>
              <w:jc w:val="right"/>
              <w:rPr>
                <w:bCs/>
                <w:szCs w:val="21"/>
              </w:rPr>
            </w:pPr>
            <w:r>
              <w:rPr>
                <w:rFonts w:eastAsiaTheme="minorEastAsia"/>
                <w:color w:val="000000"/>
                <w:kern w:val="0"/>
                <w:szCs w:val="21"/>
              </w:rPr>
              <w:t>-</w:t>
            </w:r>
          </w:p>
        </w:tc>
        <w:tc>
          <w:tcPr>
            <w:tcW w:w="1546" w:type="dxa"/>
            <w:vAlign w:val="center"/>
          </w:tcPr>
          <w:p w:rsidR="003663E4" w:rsidRDefault="00FD3F7D">
            <w:pPr>
              <w:jc w:val="right"/>
              <w:rPr>
                <w:bCs/>
                <w:szCs w:val="21"/>
              </w:rPr>
            </w:pPr>
            <w:r>
              <w:rPr>
                <w:rFonts w:eastAsiaTheme="minorEastAsia"/>
                <w:color w:val="000000"/>
                <w:kern w:val="0"/>
                <w:szCs w:val="21"/>
              </w:rPr>
              <w:t>-</w:t>
            </w:r>
          </w:p>
        </w:tc>
        <w:tc>
          <w:tcPr>
            <w:tcW w:w="1738" w:type="dxa"/>
            <w:vAlign w:val="center"/>
          </w:tcPr>
          <w:p w:rsidR="003663E4" w:rsidRDefault="00FD3F7D">
            <w:pPr>
              <w:jc w:val="right"/>
              <w:rPr>
                <w:bCs/>
                <w:szCs w:val="21"/>
              </w:rPr>
            </w:pPr>
            <w:r>
              <w:rPr>
                <w:rFonts w:eastAsiaTheme="minorEastAsia"/>
                <w:color w:val="000000"/>
                <w:kern w:val="0"/>
                <w:szCs w:val="21"/>
              </w:rPr>
              <w:t>-</w:t>
            </w:r>
          </w:p>
        </w:tc>
      </w:tr>
      <w:tr w:rsidR="003663E4">
        <w:trPr>
          <w:jc w:val="center"/>
        </w:trPr>
        <w:tc>
          <w:tcPr>
            <w:tcW w:w="1251" w:type="dxa"/>
            <w:vMerge/>
            <w:vAlign w:val="center"/>
          </w:tcPr>
          <w:p w:rsidR="003663E4" w:rsidRDefault="003663E4">
            <w:pPr>
              <w:widowControl/>
              <w:jc w:val="left"/>
              <w:rPr>
                <w:kern w:val="0"/>
                <w:szCs w:val="21"/>
              </w:rPr>
            </w:pPr>
          </w:p>
        </w:tc>
        <w:tc>
          <w:tcPr>
            <w:tcW w:w="1556" w:type="dxa"/>
            <w:vAlign w:val="center"/>
          </w:tcPr>
          <w:p w:rsidR="003663E4" w:rsidRDefault="00FD3F7D">
            <w:pPr>
              <w:widowControl/>
              <w:jc w:val="center"/>
              <w:rPr>
                <w:kern w:val="0"/>
                <w:szCs w:val="21"/>
              </w:rPr>
            </w:pPr>
            <w:r>
              <w:rPr>
                <w:rFonts w:hint="eastAsia"/>
                <w:kern w:val="0"/>
                <w:szCs w:val="21"/>
              </w:rPr>
              <w:t>银行间市场</w:t>
            </w:r>
          </w:p>
        </w:tc>
        <w:tc>
          <w:tcPr>
            <w:tcW w:w="1374" w:type="dxa"/>
            <w:vAlign w:val="center"/>
          </w:tcPr>
          <w:p w:rsidR="003663E4" w:rsidRDefault="00FD3F7D">
            <w:pPr>
              <w:jc w:val="right"/>
              <w:rPr>
                <w:bCs/>
                <w:szCs w:val="21"/>
              </w:rPr>
            </w:pPr>
            <w:r>
              <w:rPr>
                <w:rFonts w:eastAsiaTheme="minorEastAsia"/>
                <w:color w:val="000000"/>
                <w:kern w:val="0"/>
                <w:szCs w:val="21"/>
              </w:rPr>
              <w:t>6,076,077,745.20</w:t>
            </w:r>
          </w:p>
        </w:tc>
        <w:tc>
          <w:tcPr>
            <w:tcW w:w="1546" w:type="dxa"/>
            <w:vAlign w:val="center"/>
          </w:tcPr>
          <w:p w:rsidR="003663E4" w:rsidRDefault="00FD3F7D">
            <w:pPr>
              <w:jc w:val="right"/>
              <w:rPr>
                <w:bCs/>
                <w:szCs w:val="21"/>
              </w:rPr>
            </w:pPr>
            <w:r>
              <w:rPr>
                <w:rFonts w:eastAsiaTheme="minorEastAsia"/>
                <w:color w:val="000000"/>
                <w:kern w:val="0"/>
                <w:szCs w:val="21"/>
              </w:rPr>
              <w:t>6,080,324,000.00</w:t>
            </w:r>
          </w:p>
        </w:tc>
        <w:tc>
          <w:tcPr>
            <w:tcW w:w="1546" w:type="dxa"/>
            <w:vAlign w:val="center"/>
          </w:tcPr>
          <w:p w:rsidR="003663E4" w:rsidRDefault="00FD3F7D">
            <w:pPr>
              <w:jc w:val="right"/>
              <w:rPr>
                <w:bCs/>
                <w:szCs w:val="21"/>
              </w:rPr>
            </w:pPr>
            <w:r>
              <w:rPr>
                <w:rFonts w:eastAsiaTheme="minorEastAsia"/>
                <w:color w:val="000000"/>
                <w:kern w:val="0"/>
                <w:szCs w:val="21"/>
              </w:rPr>
              <w:t>4,246,254.80</w:t>
            </w:r>
          </w:p>
        </w:tc>
        <w:tc>
          <w:tcPr>
            <w:tcW w:w="1738" w:type="dxa"/>
            <w:vAlign w:val="center"/>
          </w:tcPr>
          <w:p w:rsidR="003663E4" w:rsidRDefault="00FD3F7D">
            <w:pPr>
              <w:jc w:val="right"/>
              <w:rPr>
                <w:bCs/>
                <w:szCs w:val="21"/>
              </w:rPr>
            </w:pPr>
            <w:r>
              <w:rPr>
                <w:rFonts w:eastAsiaTheme="minorEastAsia"/>
                <w:color w:val="000000"/>
                <w:kern w:val="0"/>
                <w:szCs w:val="21"/>
              </w:rPr>
              <w:t>0.0598</w:t>
            </w:r>
          </w:p>
        </w:tc>
      </w:tr>
      <w:tr w:rsidR="003663E4">
        <w:trPr>
          <w:jc w:val="center"/>
        </w:trPr>
        <w:tc>
          <w:tcPr>
            <w:tcW w:w="1251" w:type="dxa"/>
            <w:vMerge/>
            <w:vAlign w:val="center"/>
          </w:tcPr>
          <w:p w:rsidR="003663E4" w:rsidRDefault="003663E4">
            <w:pPr>
              <w:widowControl/>
              <w:jc w:val="left"/>
              <w:rPr>
                <w:kern w:val="0"/>
                <w:szCs w:val="21"/>
              </w:rPr>
            </w:pPr>
          </w:p>
        </w:tc>
        <w:tc>
          <w:tcPr>
            <w:tcW w:w="1556" w:type="dxa"/>
            <w:vAlign w:val="center"/>
          </w:tcPr>
          <w:p w:rsidR="003663E4" w:rsidRDefault="00FD3F7D">
            <w:pPr>
              <w:widowControl/>
              <w:jc w:val="center"/>
              <w:rPr>
                <w:kern w:val="0"/>
                <w:szCs w:val="21"/>
              </w:rPr>
            </w:pPr>
            <w:r>
              <w:rPr>
                <w:rFonts w:hint="eastAsia"/>
                <w:kern w:val="0"/>
                <w:szCs w:val="21"/>
              </w:rPr>
              <w:t>合计</w:t>
            </w:r>
          </w:p>
        </w:tc>
        <w:tc>
          <w:tcPr>
            <w:tcW w:w="1374" w:type="dxa"/>
            <w:vAlign w:val="center"/>
          </w:tcPr>
          <w:p w:rsidR="003663E4" w:rsidRDefault="00FD3F7D">
            <w:pPr>
              <w:widowControl/>
              <w:jc w:val="center"/>
              <w:rPr>
                <w:kern w:val="0"/>
                <w:szCs w:val="21"/>
              </w:rPr>
            </w:pPr>
            <w:r>
              <w:rPr>
                <w:rFonts w:eastAsiaTheme="minorEastAsia"/>
                <w:color w:val="000000"/>
                <w:kern w:val="0"/>
                <w:szCs w:val="21"/>
              </w:rPr>
              <w:t>6,076,077,745.20</w:t>
            </w:r>
          </w:p>
        </w:tc>
        <w:tc>
          <w:tcPr>
            <w:tcW w:w="1546" w:type="dxa"/>
            <w:vAlign w:val="center"/>
          </w:tcPr>
          <w:p w:rsidR="003663E4" w:rsidRDefault="00FD3F7D">
            <w:pPr>
              <w:widowControl/>
              <w:jc w:val="center"/>
              <w:rPr>
                <w:kern w:val="0"/>
                <w:szCs w:val="21"/>
              </w:rPr>
            </w:pPr>
            <w:r>
              <w:rPr>
                <w:rFonts w:eastAsiaTheme="minorEastAsia"/>
                <w:color w:val="000000"/>
                <w:kern w:val="0"/>
                <w:szCs w:val="21"/>
              </w:rPr>
              <w:t>6,080,324,000.00</w:t>
            </w:r>
          </w:p>
        </w:tc>
        <w:tc>
          <w:tcPr>
            <w:tcW w:w="1546" w:type="dxa"/>
            <w:vAlign w:val="center"/>
          </w:tcPr>
          <w:p w:rsidR="003663E4" w:rsidRDefault="00FD3F7D">
            <w:pPr>
              <w:widowControl/>
              <w:jc w:val="center"/>
              <w:rPr>
                <w:kern w:val="0"/>
                <w:szCs w:val="21"/>
              </w:rPr>
            </w:pPr>
            <w:r>
              <w:rPr>
                <w:rFonts w:eastAsiaTheme="minorEastAsia"/>
                <w:color w:val="000000"/>
                <w:kern w:val="0"/>
                <w:szCs w:val="21"/>
              </w:rPr>
              <w:t>4,246,254.80</w:t>
            </w:r>
          </w:p>
        </w:tc>
        <w:tc>
          <w:tcPr>
            <w:tcW w:w="1738" w:type="dxa"/>
            <w:vAlign w:val="center"/>
          </w:tcPr>
          <w:p w:rsidR="003663E4" w:rsidRDefault="00FD3F7D">
            <w:pPr>
              <w:widowControl/>
              <w:jc w:val="right"/>
              <w:rPr>
                <w:kern w:val="0"/>
                <w:szCs w:val="21"/>
              </w:rPr>
            </w:pPr>
            <w:r>
              <w:rPr>
                <w:rFonts w:eastAsiaTheme="minorEastAsia"/>
                <w:color w:val="000000"/>
                <w:kern w:val="0"/>
                <w:szCs w:val="21"/>
              </w:rPr>
              <w:t>0.0598</w:t>
            </w:r>
          </w:p>
        </w:tc>
      </w:tr>
      <w:tr w:rsidR="003663E4">
        <w:trPr>
          <w:jc w:val="center"/>
        </w:trPr>
        <w:tc>
          <w:tcPr>
            <w:tcW w:w="2807" w:type="dxa"/>
            <w:gridSpan w:val="2"/>
          </w:tcPr>
          <w:p w:rsidR="003663E4" w:rsidRDefault="00FD3F7D">
            <w:pPr>
              <w:widowControl/>
              <w:jc w:val="center"/>
              <w:rPr>
                <w:rFonts w:ascii="宋体" w:hAnsi="宋体"/>
                <w:kern w:val="0"/>
                <w:szCs w:val="21"/>
              </w:rPr>
            </w:pPr>
            <w:r>
              <w:rPr>
                <w:rFonts w:ascii="宋体" w:hAnsi="宋体" w:hint="eastAsia"/>
                <w:kern w:val="0"/>
                <w:szCs w:val="21"/>
              </w:rPr>
              <w:t>资产支持证券</w:t>
            </w:r>
          </w:p>
        </w:tc>
        <w:tc>
          <w:tcPr>
            <w:tcW w:w="1374" w:type="dxa"/>
          </w:tcPr>
          <w:p w:rsidR="003663E4" w:rsidRDefault="00FD3F7D">
            <w:pPr>
              <w:widowControl/>
              <w:jc w:val="right"/>
              <w:rPr>
                <w:kern w:val="0"/>
                <w:szCs w:val="21"/>
              </w:rPr>
            </w:pPr>
            <w:r>
              <w:rPr>
                <w:rFonts w:eastAsiaTheme="minorEastAsia"/>
                <w:color w:val="000000"/>
                <w:kern w:val="0"/>
                <w:szCs w:val="21"/>
              </w:rPr>
              <w:t>-</w:t>
            </w:r>
          </w:p>
        </w:tc>
        <w:tc>
          <w:tcPr>
            <w:tcW w:w="1546" w:type="dxa"/>
          </w:tcPr>
          <w:p w:rsidR="003663E4" w:rsidRDefault="00FD3F7D">
            <w:pPr>
              <w:jc w:val="right"/>
              <w:rPr>
                <w:kern w:val="0"/>
                <w:szCs w:val="21"/>
              </w:rPr>
            </w:pPr>
            <w:r>
              <w:rPr>
                <w:rFonts w:eastAsiaTheme="minorEastAsia"/>
                <w:color w:val="000000"/>
                <w:kern w:val="0"/>
                <w:szCs w:val="21"/>
              </w:rPr>
              <w:t>-</w:t>
            </w:r>
          </w:p>
        </w:tc>
        <w:tc>
          <w:tcPr>
            <w:tcW w:w="1546" w:type="dxa"/>
          </w:tcPr>
          <w:p w:rsidR="003663E4" w:rsidRDefault="00FD3F7D">
            <w:pPr>
              <w:jc w:val="right"/>
              <w:rPr>
                <w:kern w:val="0"/>
                <w:szCs w:val="21"/>
              </w:rPr>
            </w:pPr>
            <w:r>
              <w:rPr>
                <w:rFonts w:eastAsiaTheme="minorEastAsia"/>
                <w:color w:val="000000"/>
                <w:kern w:val="0"/>
                <w:szCs w:val="21"/>
              </w:rPr>
              <w:t>-</w:t>
            </w:r>
          </w:p>
        </w:tc>
        <w:tc>
          <w:tcPr>
            <w:tcW w:w="1738" w:type="dxa"/>
          </w:tcPr>
          <w:p w:rsidR="003663E4" w:rsidRDefault="00FD3F7D">
            <w:pPr>
              <w:jc w:val="right"/>
              <w:rPr>
                <w:kern w:val="0"/>
                <w:szCs w:val="21"/>
              </w:rPr>
            </w:pPr>
            <w:r>
              <w:rPr>
                <w:rFonts w:eastAsiaTheme="minorEastAsia"/>
                <w:color w:val="000000"/>
                <w:kern w:val="0"/>
                <w:szCs w:val="21"/>
              </w:rPr>
              <w:t>-</w:t>
            </w:r>
          </w:p>
        </w:tc>
      </w:tr>
      <w:tr w:rsidR="003663E4">
        <w:trPr>
          <w:jc w:val="center"/>
        </w:trPr>
        <w:tc>
          <w:tcPr>
            <w:tcW w:w="2807" w:type="dxa"/>
            <w:gridSpan w:val="2"/>
          </w:tcPr>
          <w:p w:rsidR="003663E4" w:rsidRDefault="00FD3F7D">
            <w:pPr>
              <w:widowControl/>
              <w:jc w:val="center"/>
              <w:rPr>
                <w:rFonts w:ascii="宋体" w:hAnsi="宋体"/>
                <w:kern w:val="0"/>
                <w:szCs w:val="21"/>
              </w:rPr>
            </w:pPr>
            <w:r>
              <w:rPr>
                <w:rFonts w:ascii="宋体" w:hAnsi="宋体" w:hint="eastAsia"/>
                <w:kern w:val="0"/>
                <w:szCs w:val="21"/>
              </w:rPr>
              <w:t>合计</w:t>
            </w:r>
          </w:p>
        </w:tc>
        <w:tc>
          <w:tcPr>
            <w:tcW w:w="1374" w:type="dxa"/>
          </w:tcPr>
          <w:p w:rsidR="003663E4" w:rsidRDefault="00FD3F7D">
            <w:pPr>
              <w:widowControl/>
              <w:jc w:val="right"/>
              <w:rPr>
                <w:kern w:val="0"/>
                <w:szCs w:val="21"/>
              </w:rPr>
            </w:pPr>
            <w:r>
              <w:rPr>
                <w:rFonts w:eastAsiaTheme="minorEastAsia"/>
                <w:color w:val="000000"/>
                <w:kern w:val="0"/>
                <w:szCs w:val="21"/>
              </w:rPr>
              <w:t>6,076,077,745.20</w:t>
            </w:r>
          </w:p>
        </w:tc>
        <w:tc>
          <w:tcPr>
            <w:tcW w:w="1546" w:type="dxa"/>
          </w:tcPr>
          <w:p w:rsidR="003663E4" w:rsidRDefault="00FD3F7D">
            <w:pPr>
              <w:widowControl/>
              <w:jc w:val="right"/>
              <w:rPr>
                <w:kern w:val="0"/>
                <w:szCs w:val="21"/>
              </w:rPr>
            </w:pPr>
            <w:r>
              <w:rPr>
                <w:rFonts w:eastAsiaTheme="minorEastAsia"/>
                <w:color w:val="000000"/>
                <w:kern w:val="0"/>
                <w:szCs w:val="21"/>
              </w:rPr>
              <w:t>6,080,324,000.00</w:t>
            </w:r>
          </w:p>
        </w:tc>
        <w:tc>
          <w:tcPr>
            <w:tcW w:w="1546" w:type="dxa"/>
          </w:tcPr>
          <w:p w:rsidR="003663E4" w:rsidRDefault="00FD3F7D">
            <w:pPr>
              <w:widowControl/>
              <w:jc w:val="right"/>
              <w:rPr>
                <w:kern w:val="0"/>
                <w:szCs w:val="21"/>
              </w:rPr>
            </w:pPr>
            <w:r>
              <w:rPr>
                <w:rFonts w:eastAsiaTheme="minorEastAsia"/>
                <w:color w:val="000000"/>
                <w:kern w:val="0"/>
                <w:szCs w:val="21"/>
              </w:rPr>
              <w:t>4,246,254.80</w:t>
            </w:r>
          </w:p>
        </w:tc>
        <w:tc>
          <w:tcPr>
            <w:tcW w:w="1738" w:type="dxa"/>
          </w:tcPr>
          <w:p w:rsidR="003663E4" w:rsidRDefault="00FD3F7D">
            <w:pPr>
              <w:widowControl/>
              <w:jc w:val="right"/>
              <w:rPr>
                <w:kern w:val="0"/>
                <w:szCs w:val="21"/>
              </w:rPr>
            </w:pPr>
            <w:r>
              <w:rPr>
                <w:rFonts w:eastAsiaTheme="minorEastAsia"/>
                <w:color w:val="000000"/>
                <w:kern w:val="0"/>
                <w:szCs w:val="21"/>
              </w:rPr>
              <w:t>0.0598</w:t>
            </w:r>
          </w:p>
        </w:tc>
      </w:tr>
    </w:tbl>
    <w:p w:rsidR="003663E4" w:rsidRDefault="00FD3F7D">
      <w:pPr>
        <w:spacing w:line="360" w:lineRule="auto"/>
        <w:rPr>
          <w:color w:val="000000"/>
          <w:szCs w:val="21"/>
        </w:rPr>
      </w:pPr>
      <w:r>
        <w:rPr>
          <w:color w:val="000000"/>
          <w:szCs w:val="21"/>
        </w:rPr>
        <w:t>注：</w:t>
      </w:r>
      <w:r>
        <w:rPr>
          <w:color w:val="000000"/>
          <w:szCs w:val="21"/>
        </w:rPr>
        <w:t>1</w:t>
      </w:r>
      <w:r>
        <w:rPr>
          <w:color w:val="000000"/>
          <w:szCs w:val="21"/>
        </w:rPr>
        <w:t>、偏离金额＝影子定价－摊余成本；</w:t>
      </w:r>
    </w:p>
    <w:p w:rsidR="003663E4" w:rsidRDefault="00FD3F7D">
      <w:pPr>
        <w:spacing w:line="360" w:lineRule="auto"/>
        <w:rPr>
          <w:color w:val="000000"/>
          <w:szCs w:val="21"/>
        </w:rPr>
      </w:pPr>
      <w:r>
        <w:rPr>
          <w:rFonts w:eastAsiaTheme="minorEastAsia"/>
          <w:color w:val="000000"/>
          <w:szCs w:val="21"/>
        </w:rPr>
        <w:tab/>
      </w:r>
      <w:r>
        <w:rPr>
          <w:color w:val="000000"/>
          <w:szCs w:val="21"/>
        </w:rPr>
        <w:t>2</w:t>
      </w:r>
      <w:r>
        <w:rPr>
          <w:color w:val="000000"/>
          <w:szCs w:val="21"/>
        </w:rPr>
        <w:t>、偏离度＝偏离金额</w:t>
      </w:r>
      <w:r>
        <w:rPr>
          <w:color w:val="000000"/>
          <w:szCs w:val="21"/>
        </w:rPr>
        <w:t>/</w:t>
      </w:r>
      <w:r>
        <w:rPr>
          <w:color w:val="000000"/>
          <w:szCs w:val="21"/>
        </w:rPr>
        <w:t>摊余成本法确定的基金资产净值。</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7.2.4.7.3 </w:t>
      </w:r>
      <w:r>
        <w:rPr>
          <w:b/>
          <w:bCs/>
          <w:color w:val="000000"/>
          <w:kern w:val="0"/>
          <w:szCs w:val="21"/>
        </w:rPr>
        <w:t>衍生金融资产</w:t>
      </w:r>
      <w:r>
        <w:rPr>
          <w:b/>
          <w:bCs/>
          <w:color w:val="000000"/>
          <w:kern w:val="0"/>
          <w:szCs w:val="21"/>
        </w:rPr>
        <w:t>/</w:t>
      </w:r>
      <w:r>
        <w:rPr>
          <w:b/>
          <w:bCs/>
          <w:color w:val="000000"/>
          <w:kern w:val="0"/>
          <w:szCs w:val="21"/>
        </w:rPr>
        <w:t>负债</w:t>
      </w:r>
    </w:p>
    <w:p w:rsidR="003663E4" w:rsidRDefault="00FD3F7D">
      <w:pPr>
        <w:spacing w:line="360" w:lineRule="auto"/>
        <w:ind w:firstLineChars="200" w:firstLine="420"/>
        <w:rPr>
          <w:color w:val="000000"/>
          <w:szCs w:val="21"/>
        </w:rPr>
      </w:pPr>
      <w:r>
        <w:rPr>
          <w:color w:val="000000"/>
          <w:szCs w:val="21"/>
        </w:rPr>
        <w:t>本基金本报告期末及上年度末未持有衍生金融工具。</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7.2.4.7.4 </w:t>
      </w:r>
      <w:r>
        <w:rPr>
          <w:b/>
          <w:bCs/>
          <w:color w:val="000000"/>
          <w:kern w:val="0"/>
          <w:szCs w:val="21"/>
        </w:rPr>
        <w:t>买入返售金融资产</w:t>
      </w:r>
    </w:p>
    <w:p w:rsidR="003663E4" w:rsidRDefault="00FD3F7D">
      <w:pPr>
        <w:autoSpaceDE w:val="0"/>
        <w:autoSpaceDN w:val="0"/>
        <w:adjustRightInd w:val="0"/>
        <w:spacing w:beforeLines="50" w:before="156" w:line="360" w:lineRule="auto"/>
        <w:jc w:val="left"/>
        <w:rPr>
          <w:b/>
          <w:bCs/>
          <w:color w:val="000000"/>
          <w:kern w:val="0"/>
          <w:szCs w:val="21"/>
        </w:rPr>
      </w:pPr>
      <w:r>
        <w:rPr>
          <w:rFonts w:hint="eastAsia"/>
          <w:b/>
          <w:bCs/>
          <w:color w:val="000000"/>
          <w:kern w:val="0"/>
          <w:szCs w:val="21"/>
        </w:rPr>
        <w:t>7.</w:t>
      </w:r>
      <w:r>
        <w:rPr>
          <w:b/>
          <w:bCs/>
          <w:color w:val="000000"/>
          <w:kern w:val="0"/>
          <w:szCs w:val="21"/>
        </w:rPr>
        <w:t>2.</w:t>
      </w:r>
      <w:r>
        <w:rPr>
          <w:rFonts w:hint="eastAsia"/>
          <w:b/>
          <w:bCs/>
          <w:color w:val="000000"/>
          <w:kern w:val="0"/>
          <w:szCs w:val="21"/>
        </w:rPr>
        <w:t xml:space="preserve">4.7.4.1 </w:t>
      </w:r>
      <w:r>
        <w:rPr>
          <w:rFonts w:hint="eastAsia"/>
          <w:b/>
          <w:bCs/>
          <w:color w:val="000000"/>
          <w:kern w:val="0"/>
          <w:szCs w:val="21"/>
        </w:rPr>
        <w:t>各项买入返售金融资产期末余额</w:t>
      </w:r>
    </w:p>
    <w:p w:rsidR="003663E4" w:rsidRDefault="00FD3F7D">
      <w:pPr>
        <w:autoSpaceDE w:val="0"/>
        <w:autoSpaceDN w:val="0"/>
        <w:adjustRightInd w:val="0"/>
        <w:spacing w:before="29" w:line="360" w:lineRule="auto"/>
        <w:ind w:left="15"/>
        <w:jc w:val="right"/>
        <w:rPr>
          <w:color w:val="000000"/>
          <w:szCs w:val="21"/>
        </w:rPr>
      </w:pPr>
      <w:r>
        <w:rPr>
          <w:rFonts w:hint="eastAsia"/>
          <w:color w:val="000000"/>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2"/>
        <w:gridCol w:w="3261"/>
        <w:gridCol w:w="3372"/>
      </w:tblGrid>
      <w:tr w:rsidR="003663E4">
        <w:trPr>
          <w:trHeight w:val="330"/>
        </w:trPr>
        <w:tc>
          <w:tcPr>
            <w:tcW w:w="2382" w:type="dxa"/>
            <w:vMerge w:val="restart"/>
            <w:vAlign w:val="center"/>
          </w:tcPr>
          <w:p w:rsidR="003663E4" w:rsidRDefault="00FD3F7D">
            <w:pPr>
              <w:spacing w:line="276" w:lineRule="auto"/>
              <w:jc w:val="center"/>
              <w:rPr>
                <w:color w:val="000000"/>
                <w:szCs w:val="21"/>
              </w:rPr>
            </w:pPr>
            <w:r>
              <w:rPr>
                <w:rFonts w:hint="eastAsia"/>
                <w:color w:val="000000"/>
                <w:szCs w:val="21"/>
              </w:rPr>
              <w:t>项目</w:t>
            </w:r>
          </w:p>
        </w:tc>
        <w:tc>
          <w:tcPr>
            <w:tcW w:w="6633" w:type="dxa"/>
            <w:gridSpan w:val="2"/>
            <w:vAlign w:val="center"/>
          </w:tcPr>
          <w:p w:rsidR="003663E4" w:rsidRDefault="00FD3F7D">
            <w:pPr>
              <w:spacing w:line="276" w:lineRule="auto"/>
              <w:jc w:val="center"/>
              <w:rPr>
                <w:color w:val="000000"/>
                <w:kern w:val="0"/>
                <w:szCs w:val="21"/>
              </w:rPr>
            </w:pPr>
            <w:r>
              <w:rPr>
                <w:rFonts w:hint="eastAsia"/>
                <w:color w:val="000000"/>
                <w:kern w:val="0"/>
                <w:szCs w:val="21"/>
              </w:rPr>
              <w:t>本期末</w:t>
            </w:r>
          </w:p>
          <w:p w:rsidR="003663E4" w:rsidRDefault="00FD3F7D">
            <w:pPr>
              <w:spacing w:line="276" w:lineRule="auto"/>
              <w:jc w:val="center"/>
              <w:rPr>
                <w:color w:val="00000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p>
        </w:tc>
      </w:tr>
      <w:tr w:rsidR="003663E4">
        <w:trPr>
          <w:trHeight w:val="330"/>
        </w:trPr>
        <w:tc>
          <w:tcPr>
            <w:tcW w:w="2382" w:type="dxa"/>
            <w:vMerge/>
            <w:vAlign w:val="center"/>
          </w:tcPr>
          <w:p w:rsidR="003663E4" w:rsidRDefault="003663E4">
            <w:pPr>
              <w:widowControl/>
              <w:jc w:val="left"/>
              <w:rPr>
                <w:color w:val="000000"/>
                <w:szCs w:val="21"/>
              </w:rPr>
            </w:pPr>
          </w:p>
        </w:tc>
        <w:tc>
          <w:tcPr>
            <w:tcW w:w="3261" w:type="dxa"/>
            <w:vAlign w:val="center"/>
          </w:tcPr>
          <w:p w:rsidR="003663E4" w:rsidRDefault="00FD3F7D">
            <w:pPr>
              <w:spacing w:line="276" w:lineRule="auto"/>
              <w:jc w:val="center"/>
              <w:rPr>
                <w:color w:val="000000"/>
                <w:szCs w:val="21"/>
              </w:rPr>
            </w:pPr>
            <w:r>
              <w:rPr>
                <w:rFonts w:hint="eastAsia"/>
                <w:color w:val="000000"/>
                <w:szCs w:val="21"/>
              </w:rPr>
              <w:t>账面余额</w:t>
            </w:r>
          </w:p>
        </w:tc>
        <w:tc>
          <w:tcPr>
            <w:tcW w:w="3372" w:type="dxa"/>
            <w:vAlign w:val="center"/>
          </w:tcPr>
          <w:p w:rsidR="003663E4" w:rsidRDefault="00FD3F7D">
            <w:pPr>
              <w:spacing w:line="276" w:lineRule="auto"/>
              <w:jc w:val="center"/>
              <w:rPr>
                <w:color w:val="000000"/>
                <w:szCs w:val="21"/>
              </w:rPr>
            </w:pPr>
            <w:r>
              <w:rPr>
                <w:rFonts w:hint="eastAsia"/>
                <w:color w:val="000000"/>
                <w:szCs w:val="21"/>
              </w:rPr>
              <w:t>其中：买断式逆回购</w:t>
            </w:r>
          </w:p>
        </w:tc>
      </w:tr>
      <w:tr w:rsidR="003663E4">
        <w:trPr>
          <w:trHeight w:val="330"/>
        </w:trPr>
        <w:tc>
          <w:tcPr>
            <w:tcW w:w="2382" w:type="dxa"/>
            <w:vAlign w:val="bottom"/>
          </w:tcPr>
          <w:p w:rsidR="003663E4" w:rsidRDefault="00FD3F7D">
            <w:pPr>
              <w:rPr>
                <w:rFonts w:ascii="宋体" w:hAnsi="宋体"/>
                <w:szCs w:val="21"/>
              </w:rPr>
            </w:pPr>
            <w:r>
              <w:rPr>
                <w:rFonts w:ascii="宋体" w:hAnsi="宋体" w:hint="eastAsia"/>
                <w:szCs w:val="21"/>
              </w:rPr>
              <w:t>交易所市场</w:t>
            </w:r>
          </w:p>
        </w:tc>
        <w:tc>
          <w:tcPr>
            <w:tcW w:w="3261" w:type="dxa"/>
          </w:tcPr>
          <w:p w:rsidR="003663E4" w:rsidRDefault="00FD3F7D">
            <w:pPr>
              <w:jc w:val="right"/>
              <w:rPr>
                <w:rFonts w:eastAsiaTheme="minorEastAsia"/>
                <w:szCs w:val="21"/>
              </w:rPr>
            </w:pPr>
            <w:r>
              <w:rPr>
                <w:rFonts w:eastAsiaTheme="minorEastAsia"/>
                <w:szCs w:val="21"/>
              </w:rPr>
              <w:t>35,000,000.00</w:t>
            </w:r>
          </w:p>
        </w:tc>
        <w:tc>
          <w:tcPr>
            <w:tcW w:w="3372" w:type="dxa"/>
          </w:tcPr>
          <w:p w:rsidR="003663E4" w:rsidRDefault="00FD3F7D">
            <w:pPr>
              <w:jc w:val="right"/>
              <w:rPr>
                <w:rFonts w:eastAsiaTheme="minorEastAsia"/>
                <w:szCs w:val="21"/>
              </w:rPr>
            </w:pPr>
            <w:r>
              <w:rPr>
                <w:rFonts w:eastAsiaTheme="minorEastAsia"/>
                <w:szCs w:val="21"/>
              </w:rPr>
              <w:t>-</w:t>
            </w:r>
          </w:p>
        </w:tc>
      </w:tr>
      <w:tr w:rsidR="003663E4">
        <w:trPr>
          <w:trHeight w:val="330"/>
        </w:trPr>
        <w:tc>
          <w:tcPr>
            <w:tcW w:w="2382" w:type="dxa"/>
            <w:vAlign w:val="bottom"/>
          </w:tcPr>
          <w:p w:rsidR="003663E4" w:rsidRDefault="00FD3F7D">
            <w:pPr>
              <w:rPr>
                <w:rFonts w:ascii="宋体" w:hAnsi="宋体"/>
                <w:szCs w:val="21"/>
              </w:rPr>
            </w:pPr>
            <w:r>
              <w:rPr>
                <w:rFonts w:ascii="宋体" w:hAnsi="宋体" w:hint="eastAsia"/>
                <w:szCs w:val="21"/>
              </w:rPr>
              <w:t>银行间市场</w:t>
            </w:r>
          </w:p>
        </w:tc>
        <w:tc>
          <w:tcPr>
            <w:tcW w:w="3261" w:type="dxa"/>
          </w:tcPr>
          <w:p w:rsidR="003663E4" w:rsidRDefault="00FD3F7D">
            <w:pPr>
              <w:jc w:val="right"/>
              <w:rPr>
                <w:rFonts w:eastAsiaTheme="minorEastAsia"/>
                <w:szCs w:val="21"/>
              </w:rPr>
            </w:pPr>
            <w:r>
              <w:rPr>
                <w:rFonts w:eastAsiaTheme="minorEastAsia"/>
                <w:szCs w:val="21"/>
              </w:rPr>
              <w:t>-</w:t>
            </w:r>
          </w:p>
        </w:tc>
        <w:tc>
          <w:tcPr>
            <w:tcW w:w="3372" w:type="dxa"/>
          </w:tcPr>
          <w:p w:rsidR="003663E4" w:rsidRDefault="00FD3F7D">
            <w:pPr>
              <w:jc w:val="right"/>
              <w:rPr>
                <w:rFonts w:eastAsiaTheme="minorEastAsia"/>
                <w:szCs w:val="21"/>
              </w:rPr>
            </w:pPr>
            <w:r>
              <w:rPr>
                <w:rFonts w:eastAsiaTheme="minorEastAsia"/>
                <w:szCs w:val="21"/>
              </w:rPr>
              <w:t>-</w:t>
            </w:r>
          </w:p>
        </w:tc>
      </w:tr>
      <w:tr w:rsidR="003663E4">
        <w:trPr>
          <w:trHeight w:val="257"/>
        </w:trPr>
        <w:tc>
          <w:tcPr>
            <w:tcW w:w="2382" w:type="dxa"/>
            <w:vAlign w:val="center"/>
          </w:tcPr>
          <w:p w:rsidR="003663E4" w:rsidRDefault="00FD3F7D">
            <w:pPr>
              <w:spacing w:line="276" w:lineRule="auto"/>
              <w:jc w:val="left"/>
              <w:rPr>
                <w:color w:val="000000"/>
                <w:szCs w:val="21"/>
              </w:rPr>
            </w:pPr>
            <w:r>
              <w:rPr>
                <w:rFonts w:hint="eastAsia"/>
                <w:color w:val="000000"/>
                <w:szCs w:val="21"/>
              </w:rPr>
              <w:t>合计</w:t>
            </w:r>
          </w:p>
        </w:tc>
        <w:tc>
          <w:tcPr>
            <w:tcW w:w="3261" w:type="dxa"/>
            <w:vAlign w:val="center"/>
          </w:tcPr>
          <w:p w:rsidR="003663E4" w:rsidRDefault="00FD3F7D">
            <w:pPr>
              <w:spacing w:line="276" w:lineRule="auto"/>
              <w:jc w:val="right"/>
              <w:rPr>
                <w:color w:val="000000"/>
                <w:szCs w:val="21"/>
              </w:rPr>
            </w:pPr>
            <w:r>
              <w:rPr>
                <w:color w:val="000000"/>
                <w:szCs w:val="21"/>
              </w:rPr>
              <w:t>35,000,000.00</w:t>
            </w:r>
          </w:p>
        </w:tc>
        <w:tc>
          <w:tcPr>
            <w:tcW w:w="3372" w:type="dxa"/>
            <w:vAlign w:val="center"/>
          </w:tcPr>
          <w:p w:rsidR="003663E4" w:rsidRDefault="00FD3F7D">
            <w:pPr>
              <w:spacing w:line="276" w:lineRule="auto"/>
              <w:jc w:val="right"/>
              <w:rPr>
                <w:color w:val="000000"/>
                <w:szCs w:val="21"/>
              </w:rPr>
            </w:pPr>
            <w:r>
              <w:rPr>
                <w:color w:val="000000"/>
                <w:szCs w:val="21"/>
              </w:rPr>
              <w:t>-</w:t>
            </w:r>
          </w:p>
        </w:tc>
      </w:tr>
      <w:tr w:rsidR="003663E4">
        <w:trPr>
          <w:trHeight w:val="330"/>
        </w:trPr>
        <w:tc>
          <w:tcPr>
            <w:tcW w:w="2382" w:type="dxa"/>
            <w:vMerge w:val="restart"/>
            <w:vAlign w:val="center"/>
          </w:tcPr>
          <w:p w:rsidR="003663E4" w:rsidRDefault="00FD3F7D">
            <w:pPr>
              <w:spacing w:line="276" w:lineRule="auto"/>
              <w:jc w:val="center"/>
              <w:rPr>
                <w:color w:val="000000"/>
                <w:szCs w:val="21"/>
              </w:rPr>
            </w:pPr>
            <w:r>
              <w:rPr>
                <w:rFonts w:hint="eastAsia"/>
                <w:color w:val="000000"/>
                <w:szCs w:val="21"/>
              </w:rPr>
              <w:t>项目</w:t>
            </w:r>
          </w:p>
        </w:tc>
        <w:tc>
          <w:tcPr>
            <w:tcW w:w="6633" w:type="dxa"/>
            <w:gridSpan w:val="2"/>
            <w:vAlign w:val="center"/>
          </w:tcPr>
          <w:p w:rsidR="003663E4" w:rsidRDefault="00FD3F7D">
            <w:pPr>
              <w:spacing w:line="276" w:lineRule="auto"/>
              <w:jc w:val="center"/>
              <w:rPr>
                <w:color w:val="000000"/>
                <w:kern w:val="0"/>
                <w:szCs w:val="21"/>
              </w:rPr>
            </w:pPr>
            <w:r>
              <w:rPr>
                <w:rFonts w:hint="eastAsia"/>
                <w:color w:val="000000"/>
                <w:kern w:val="0"/>
                <w:szCs w:val="21"/>
              </w:rPr>
              <w:t>上年度末</w:t>
            </w:r>
          </w:p>
          <w:p w:rsidR="003663E4" w:rsidRDefault="00FD3F7D">
            <w:pPr>
              <w:spacing w:line="276" w:lineRule="auto"/>
              <w:jc w:val="center"/>
              <w:rPr>
                <w:color w:val="000000"/>
                <w:szCs w:val="21"/>
              </w:rPr>
            </w:pPr>
            <w:r>
              <w:rPr>
                <w:color w:val="000000"/>
                <w:kern w:val="0"/>
                <w:szCs w:val="21"/>
              </w:rPr>
              <w:t>2019</w:t>
            </w:r>
            <w:r>
              <w:rPr>
                <w:color w:val="000000"/>
                <w:kern w:val="0"/>
                <w:szCs w:val="21"/>
              </w:rPr>
              <w:t>年</w:t>
            </w:r>
            <w:r>
              <w:rPr>
                <w:color w:val="000000"/>
                <w:kern w:val="0"/>
                <w:szCs w:val="21"/>
              </w:rPr>
              <w:t>12</w:t>
            </w:r>
            <w:r>
              <w:rPr>
                <w:color w:val="000000"/>
                <w:kern w:val="0"/>
                <w:szCs w:val="21"/>
              </w:rPr>
              <w:t>月</w:t>
            </w:r>
            <w:r>
              <w:rPr>
                <w:color w:val="000000"/>
                <w:kern w:val="0"/>
                <w:szCs w:val="21"/>
              </w:rPr>
              <w:t>31</w:t>
            </w:r>
            <w:r>
              <w:rPr>
                <w:color w:val="000000"/>
                <w:kern w:val="0"/>
                <w:szCs w:val="21"/>
              </w:rPr>
              <w:t>日</w:t>
            </w:r>
          </w:p>
        </w:tc>
      </w:tr>
      <w:tr w:rsidR="003663E4">
        <w:trPr>
          <w:trHeight w:val="330"/>
        </w:trPr>
        <w:tc>
          <w:tcPr>
            <w:tcW w:w="2382" w:type="dxa"/>
            <w:vMerge/>
            <w:vAlign w:val="center"/>
          </w:tcPr>
          <w:p w:rsidR="003663E4" w:rsidRDefault="003663E4">
            <w:pPr>
              <w:widowControl/>
              <w:jc w:val="left"/>
              <w:rPr>
                <w:color w:val="000000"/>
                <w:szCs w:val="21"/>
              </w:rPr>
            </w:pPr>
          </w:p>
        </w:tc>
        <w:tc>
          <w:tcPr>
            <w:tcW w:w="3261" w:type="dxa"/>
            <w:vAlign w:val="center"/>
          </w:tcPr>
          <w:p w:rsidR="003663E4" w:rsidRDefault="00FD3F7D">
            <w:pPr>
              <w:spacing w:line="276" w:lineRule="auto"/>
              <w:jc w:val="center"/>
              <w:rPr>
                <w:color w:val="000000"/>
                <w:szCs w:val="21"/>
              </w:rPr>
            </w:pPr>
            <w:r>
              <w:rPr>
                <w:rFonts w:hint="eastAsia"/>
                <w:color w:val="000000"/>
                <w:szCs w:val="21"/>
              </w:rPr>
              <w:t>账面余额</w:t>
            </w:r>
          </w:p>
        </w:tc>
        <w:tc>
          <w:tcPr>
            <w:tcW w:w="3372" w:type="dxa"/>
            <w:vAlign w:val="center"/>
          </w:tcPr>
          <w:p w:rsidR="003663E4" w:rsidRDefault="00FD3F7D">
            <w:pPr>
              <w:spacing w:line="276" w:lineRule="auto"/>
              <w:jc w:val="center"/>
              <w:rPr>
                <w:color w:val="000000"/>
                <w:szCs w:val="21"/>
              </w:rPr>
            </w:pPr>
            <w:r>
              <w:rPr>
                <w:rFonts w:hint="eastAsia"/>
                <w:color w:val="000000"/>
                <w:szCs w:val="21"/>
              </w:rPr>
              <w:t>其中：买断式逆回购</w:t>
            </w:r>
          </w:p>
        </w:tc>
      </w:tr>
      <w:tr w:rsidR="003663E4">
        <w:trPr>
          <w:trHeight w:val="330"/>
        </w:trPr>
        <w:tc>
          <w:tcPr>
            <w:tcW w:w="2382" w:type="dxa"/>
            <w:vAlign w:val="bottom"/>
          </w:tcPr>
          <w:p w:rsidR="003663E4" w:rsidRDefault="00FD3F7D">
            <w:pPr>
              <w:rPr>
                <w:rFonts w:ascii="宋体" w:hAnsi="宋体"/>
                <w:szCs w:val="21"/>
              </w:rPr>
            </w:pPr>
            <w:r>
              <w:rPr>
                <w:rFonts w:ascii="宋体" w:hAnsi="宋体" w:hint="eastAsia"/>
                <w:szCs w:val="21"/>
              </w:rPr>
              <w:t>交易所市场</w:t>
            </w:r>
          </w:p>
        </w:tc>
        <w:tc>
          <w:tcPr>
            <w:tcW w:w="3261" w:type="dxa"/>
          </w:tcPr>
          <w:p w:rsidR="003663E4" w:rsidRDefault="00FD3F7D">
            <w:pPr>
              <w:jc w:val="right"/>
              <w:rPr>
                <w:rFonts w:eastAsiaTheme="minorEastAsia"/>
                <w:szCs w:val="21"/>
              </w:rPr>
            </w:pPr>
            <w:r>
              <w:rPr>
                <w:rFonts w:eastAsiaTheme="minorEastAsia"/>
                <w:szCs w:val="21"/>
              </w:rPr>
              <w:t>-</w:t>
            </w:r>
          </w:p>
        </w:tc>
        <w:tc>
          <w:tcPr>
            <w:tcW w:w="3372" w:type="dxa"/>
          </w:tcPr>
          <w:p w:rsidR="003663E4" w:rsidRDefault="00FD3F7D">
            <w:pPr>
              <w:jc w:val="right"/>
              <w:rPr>
                <w:rFonts w:eastAsiaTheme="minorEastAsia"/>
                <w:szCs w:val="21"/>
              </w:rPr>
            </w:pPr>
            <w:r>
              <w:rPr>
                <w:rFonts w:eastAsiaTheme="minorEastAsia"/>
                <w:szCs w:val="21"/>
              </w:rPr>
              <w:t>-</w:t>
            </w:r>
          </w:p>
        </w:tc>
      </w:tr>
      <w:tr w:rsidR="003663E4">
        <w:trPr>
          <w:trHeight w:val="330"/>
        </w:trPr>
        <w:tc>
          <w:tcPr>
            <w:tcW w:w="2382" w:type="dxa"/>
            <w:vAlign w:val="bottom"/>
          </w:tcPr>
          <w:p w:rsidR="003663E4" w:rsidRDefault="00FD3F7D">
            <w:pPr>
              <w:rPr>
                <w:rFonts w:ascii="宋体" w:hAnsi="宋体"/>
                <w:szCs w:val="21"/>
              </w:rPr>
            </w:pPr>
            <w:r>
              <w:rPr>
                <w:rFonts w:ascii="宋体" w:hAnsi="宋体" w:hint="eastAsia"/>
                <w:szCs w:val="21"/>
              </w:rPr>
              <w:t>银行间市场</w:t>
            </w:r>
          </w:p>
        </w:tc>
        <w:tc>
          <w:tcPr>
            <w:tcW w:w="3261" w:type="dxa"/>
          </w:tcPr>
          <w:p w:rsidR="003663E4" w:rsidRDefault="00FD3F7D">
            <w:pPr>
              <w:jc w:val="right"/>
              <w:rPr>
                <w:rFonts w:eastAsiaTheme="minorEastAsia"/>
                <w:szCs w:val="21"/>
              </w:rPr>
            </w:pPr>
            <w:r>
              <w:rPr>
                <w:rFonts w:eastAsiaTheme="minorEastAsia"/>
                <w:szCs w:val="21"/>
              </w:rPr>
              <w:t>-</w:t>
            </w:r>
          </w:p>
        </w:tc>
        <w:tc>
          <w:tcPr>
            <w:tcW w:w="3372" w:type="dxa"/>
          </w:tcPr>
          <w:p w:rsidR="003663E4" w:rsidRDefault="00FD3F7D">
            <w:pPr>
              <w:jc w:val="right"/>
              <w:rPr>
                <w:rFonts w:eastAsiaTheme="minorEastAsia"/>
                <w:szCs w:val="21"/>
              </w:rPr>
            </w:pPr>
            <w:r>
              <w:rPr>
                <w:rFonts w:eastAsiaTheme="minorEastAsia"/>
                <w:szCs w:val="21"/>
              </w:rPr>
              <w:t>-</w:t>
            </w:r>
          </w:p>
        </w:tc>
      </w:tr>
      <w:tr w:rsidR="003663E4">
        <w:trPr>
          <w:trHeight w:val="257"/>
        </w:trPr>
        <w:tc>
          <w:tcPr>
            <w:tcW w:w="2382" w:type="dxa"/>
            <w:vAlign w:val="center"/>
          </w:tcPr>
          <w:p w:rsidR="003663E4" w:rsidRDefault="00FD3F7D">
            <w:pPr>
              <w:spacing w:line="276" w:lineRule="auto"/>
              <w:jc w:val="left"/>
              <w:rPr>
                <w:color w:val="000000"/>
                <w:szCs w:val="21"/>
              </w:rPr>
            </w:pPr>
            <w:r>
              <w:rPr>
                <w:rFonts w:hint="eastAsia"/>
                <w:color w:val="000000"/>
                <w:szCs w:val="21"/>
              </w:rPr>
              <w:t>合计</w:t>
            </w:r>
          </w:p>
        </w:tc>
        <w:tc>
          <w:tcPr>
            <w:tcW w:w="3261" w:type="dxa"/>
            <w:vAlign w:val="center"/>
          </w:tcPr>
          <w:p w:rsidR="003663E4" w:rsidRDefault="00FD3F7D">
            <w:pPr>
              <w:spacing w:line="276" w:lineRule="auto"/>
              <w:jc w:val="right"/>
              <w:rPr>
                <w:color w:val="000000"/>
                <w:szCs w:val="21"/>
              </w:rPr>
            </w:pPr>
            <w:r>
              <w:rPr>
                <w:color w:val="000000"/>
                <w:szCs w:val="21"/>
              </w:rPr>
              <w:t>-</w:t>
            </w:r>
          </w:p>
        </w:tc>
        <w:tc>
          <w:tcPr>
            <w:tcW w:w="3372" w:type="dxa"/>
            <w:vAlign w:val="center"/>
          </w:tcPr>
          <w:p w:rsidR="003663E4" w:rsidRDefault="00FD3F7D">
            <w:pPr>
              <w:spacing w:line="276" w:lineRule="auto"/>
              <w:jc w:val="right"/>
              <w:rPr>
                <w:color w:val="000000"/>
                <w:szCs w:val="21"/>
              </w:rPr>
            </w:pPr>
            <w:r>
              <w:rPr>
                <w:color w:val="000000"/>
                <w:szCs w:val="21"/>
              </w:rPr>
              <w:t>-</w:t>
            </w:r>
          </w:p>
        </w:tc>
      </w:tr>
    </w:tbl>
    <w:p w:rsidR="003663E4" w:rsidRDefault="00FD3F7D">
      <w:pPr>
        <w:spacing w:beforeLines="50" w:before="156" w:line="360" w:lineRule="auto"/>
        <w:rPr>
          <w:b/>
          <w:bCs/>
          <w:color w:val="000000"/>
          <w:kern w:val="0"/>
          <w:szCs w:val="21"/>
        </w:rPr>
      </w:pPr>
      <w:r>
        <w:rPr>
          <w:rFonts w:hint="eastAsia"/>
          <w:b/>
          <w:bCs/>
          <w:color w:val="000000"/>
          <w:kern w:val="0"/>
          <w:szCs w:val="21"/>
        </w:rPr>
        <w:t>7.</w:t>
      </w:r>
      <w:r>
        <w:rPr>
          <w:b/>
          <w:bCs/>
          <w:color w:val="000000"/>
          <w:kern w:val="0"/>
          <w:szCs w:val="21"/>
        </w:rPr>
        <w:t>2.</w:t>
      </w:r>
      <w:r>
        <w:rPr>
          <w:rFonts w:hint="eastAsia"/>
          <w:b/>
          <w:bCs/>
          <w:color w:val="000000"/>
          <w:kern w:val="0"/>
          <w:szCs w:val="21"/>
        </w:rPr>
        <w:t xml:space="preserve">4.7.4.2 </w:t>
      </w:r>
      <w:r>
        <w:rPr>
          <w:rFonts w:hint="eastAsia"/>
          <w:b/>
          <w:bCs/>
          <w:color w:val="000000"/>
          <w:kern w:val="0"/>
          <w:szCs w:val="21"/>
        </w:rPr>
        <w:t>期末买断式逆回购交易中取得的债券</w:t>
      </w:r>
    </w:p>
    <w:p w:rsidR="003663E4" w:rsidRDefault="00FD3F7D">
      <w:pPr>
        <w:spacing w:beforeLines="50" w:before="156" w:line="360" w:lineRule="auto"/>
        <w:rPr>
          <w:bCs/>
          <w:color w:val="000000"/>
          <w:kern w:val="0"/>
          <w:szCs w:val="21"/>
        </w:rPr>
      </w:pPr>
      <w:r>
        <w:rPr>
          <w:rFonts w:hint="eastAsia"/>
          <w:bCs/>
          <w:color w:val="000000"/>
          <w:kern w:val="0"/>
          <w:szCs w:val="21"/>
        </w:rPr>
        <w:t>本基金本报告期末及上年度末未持有从买断式逆回购交易中取得的债券。</w:t>
      </w:r>
    </w:p>
    <w:p w:rsidR="003663E4" w:rsidRDefault="00FD3F7D">
      <w:pPr>
        <w:spacing w:beforeLines="50" w:before="156" w:line="360" w:lineRule="auto"/>
        <w:rPr>
          <w:b/>
          <w:color w:val="000000"/>
          <w:szCs w:val="21"/>
        </w:rPr>
      </w:pPr>
      <w:r>
        <w:rPr>
          <w:b/>
          <w:bCs/>
          <w:color w:val="000000"/>
          <w:kern w:val="0"/>
          <w:szCs w:val="21"/>
        </w:rPr>
        <w:t xml:space="preserve">7.2.4.7.5 </w:t>
      </w:r>
      <w:r>
        <w:rPr>
          <w:b/>
          <w:color w:val="000000"/>
          <w:szCs w:val="21"/>
        </w:rPr>
        <w:t>应收利息</w:t>
      </w:r>
    </w:p>
    <w:p w:rsidR="003663E4" w:rsidRDefault="00FD3F7D">
      <w:pPr>
        <w:spacing w:line="360" w:lineRule="auto"/>
        <w:jc w:val="right"/>
        <w:rPr>
          <w:color w:val="000000"/>
          <w:szCs w:val="21"/>
        </w:rPr>
      </w:pPr>
      <w:r>
        <w:rPr>
          <w:rFonts w:hint="eastAsia"/>
          <w:color w:val="000000"/>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3258"/>
        <w:gridCol w:w="3406"/>
      </w:tblGrid>
      <w:tr w:rsidR="003663E4">
        <w:trPr>
          <w:trHeight w:val="330"/>
        </w:trPr>
        <w:tc>
          <w:tcPr>
            <w:tcW w:w="2351" w:type="dxa"/>
            <w:vAlign w:val="center"/>
          </w:tcPr>
          <w:p w:rsidR="003663E4" w:rsidRDefault="00FD3F7D">
            <w:pPr>
              <w:spacing w:line="276" w:lineRule="auto"/>
              <w:jc w:val="center"/>
              <w:rPr>
                <w:color w:val="000000"/>
                <w:szCs w:val="21"/>
              </w:rPr>
            </w:pPr>
            <w:r>
              <w:rPr>
                <w:rFonts w:hint="eastAsia"/>
                <w:color w:val="000000"/>
                <w:szCs w:val="21"/>
              </w:rPr>
              <w:t>项目</w:t>
            </w:r>
          </w:p>
        </w:tc>
        <w:tc>
          <w:tcPr>
            <w:tcW w:w="3258" w:type="dxa"/>
            <w:vAlign w:val="center"/>
          </w:tcPr>
          <w:p w:rsidR="003663E4" w:rsidRDefault="00FD3F7D">
            <w:pPr>
              <w:spacing w:line="276" w:lineRule="auto"/>
              <w:jc w:val="center"/>
              <w:rPr>
                <w:color w:val="000000"/>
                <w:kern w:val="0"/>
                <w:szCs w:val="21"/>
              </w:rPr>
            </w:pPr>
            <w:r>
              <w:rPr>
                <w:rFonts w:hint="eastAsia"/>
                <w:color w:val="000000"/>
                <w:kern w:val="0"/>
                <w:szCs w:val="21"/>
              </w:rPr>
              <w:t>本期末</w:t>
            </w:r>
          </w:p>
          <w:p w:rsidR="003663E4" w:rsidRDefault="00FD3F7D">
            <w:pPr>
              <w:spacing w:line="276" w:lineRule="auto"/>
              <w:jc w:val="center"/>
              <w:rPr>
                <w:color w:val="00000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p>
        </w:tc>
        <w:tc>
          <w:tcPr>
            <w:tcW w:w="3406" w:type="dxa"/>
            <w:vAlign w:val="center"/>
          </w:tcPr>
          <w:p w:rsidR="003663E4" w:rsidRDefault="00FD3F7D">
            <w:pPr>
              <w:spacing w:line="276" w:lineRule="auto"/>
              <w:jc w:val="center"/>
              <w:rPr>
                <w:color w:val="000000"/>
                <w:kern w:val="0"/>
                <w:szCs w:val="21"/>
              </w:rPr>
            </w:pPr>
            <w:r>
              <w:rPr>
                <w:rFonts w:hint="eastAsia"/>
                <w:color w:val="000000"/>
                <w:kern w:val="0"/>
                <w:szCs w:val="21"/>
              </w:rPr>
              <w:t>上年度末</w:t>
            </w:r>
          </w:p>
          <w:p w:rsidR="003663E4" w:rsidRDefault="00FD3F7D">
            <w:pPr>
              <w:spacing w:line="276" w:lineRule="auto"/>
              <w:jc w:val="center"/>
              <w:rPr>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663E4">
        <w:trPr>
          <w:trHeight w:val="257"/>
        </w:trPr>
        <w:tc>
          <w:tcPr>
            <w:tcW w:w="2351" w:type="dxa"/>
            <w:vAlign w:val="center"/>
          </w:tcPr>
          <w:p w:rsidR="003663E4" w:rsidRDefault="00FD3F7D">
            <w:pPr>
              <w:spacing w:line="276" w:lineRule="auto"/>
              <w:rPr>
                <w:color w:val="000000"/>
                <w:szCs w:val="21"/>
              </w:rPr>
            </w:pPr>
            <w:r>
              <w:rPr>
                <w:rFonts w:hint="eastAsia"/>
                <w:color w:val="000000"/>
                <w:szCs w:val="21"/>
              </w:rPr>
              <w:t>应收活期存款利息</w:t>
            </w:r>
          </w:p>
        </w:tc>
        <w:tc>
          <w:tcPr>
            <w:tcW w:w="3258" w:type="dxa"/>
            <w:vAlign w:val="center"/>
          </w:tcPr>
          <w:p w:rsidR="003663E4" w:rsidRDefault="00FD3F7D">
            <w:pPr>
              <w:spacing w:line="276" w:lineRule="auto"/>
              <w:jc w:val="right"/>
              <w:rPr>
                <w:color w:val="000000"/>
                <w:szCs w:val="21"/>
              </w:rPr>
            </w:pPr>
            <w:r>
              <w:rPr>
                <w:color w:val="000000"/>
                <w:szCs w:val="21"/>
              </w:rPr>
              <w:t>33,838.35</w:t>
            </w:r>
          </w:p>
        </w:tc>
        <w:tc>
          <w:tcPr>
            <w:tcW w:w="3406" w:type="dxa"/>
            <w:vAlign w:val="center"/>
          </w:tcPr>
          <w:p w:rsidR="003663E4" w:rsidRDefault="00FD3F7D">
            <w:pPr>
              <w:spacing w:line="276" w:lineRule="auto"/>
              <w:jc w:val="right"/>
              <w:rPr>
                <w:color w:val="000000"/>
                <w:szCs w:val="21"/>
              </w:rPr>
            </w:pPr>
            <w:r>
              <w:rPr>
                <w:color w:val="000000"/>
                <w:szCs w:val="21"/>
              </w:rPr>
              <w:t>8,792.72</w:t>
            </w:r>
          </w:p>
        </w:tc>
      </w:tr>
      <w:tr w:rsidR="003663E4">
        <w:trPr>
          <w:trHeight w:val="223"/>
        </w:trPr>
        <w:tc>
          <w:tcPr>
            <w:tcW w:w="2351" w:type="dxa"/>
            <w:vAlign w:val="center"/>
          </w:tcPr>
          <w:p w:rsidR="003663E4" w:rsidRDefault="00FD3F7D">
            <w:pPr>
              <w:spacing w:line="276" w:lineRule="auto"/>
              <w:rPr>
                <w:color w:val="000000"/>
                <w:szCs w:val="21"/>
              </w:rPr>
            </w:pPr>
            <w:r>
              <w:rPr>
                <w:rFonts w:hint="eastAsia"/>
                <w:color w:val="000000"/>
                <w:szCs w:val="21"/>
              </w:rPr>
              <w:t>应收定期存款利息</w:t>
            </w:r>
          </w:p>
        </w:tc>
        <w:tc>
          <w:tcPr>
            <w:tcW w:w="3258" w:type="dxa"/>
            <w:vAlign w:val="center"/>
          </w:tcPr>
          <w:p w:rsidR="003663E4" w:rsidRDefault="00FD3F7D">
            <w:pPr>
              <w:spacing w:line="276" w:lineRule="auto"/>
              <w:jc w:val="right"/>
              <w:rPr>
                <w:color w:val="000000"/>
                <w:szCs w:val="21"/>
              </w:rPr>
            </w:pPr>
            <w:r>
              <w:rPr>
                <w:color w:val="000000"/>
                <w:szCs w:val="21"/>
              </w:rPr>
              <w:t>-</w:t>
            </w:r>
          </w:p>
        </w:tc>
        <w:tc>
          <w:tcPr>
            <w:tcW w:w="3406" w:type="dxa"/>
            <w:vAlign w:val="center"/>
          </w:tcPr>
          <w:p w:rsidR="003663E4" w:rsidRDefault="00FD3F7D">
            <w:pPr>
              <w:spacing w:line="276" w:lineRule="auto"/>
              <w:jc w:val="right"/>
              <w:rPr>
                <w:color w:val="000000"/>
                <w:szCs w:val="21"/>
              </w:rPr>
            </w:pPr>
            <w:r>
              <w:rPr>
                <w:color w:val="000000"/>
                <w:szCs w:val="21"/>
              </w:rPr>
              <w:t>-</w:t>
            </w:r>
          </w:p>
        </w:tc>
      </w:tr>
      <w:tr w:rsidR="003663E4">
        <w:trPr>
          <w:trHeight w:val="223"/>
        </w:trPr>
        <w:tc>
          <w:tcPr>
            <w:tcW w:w="2351" w:type="dxa"/>
            <w:vAlign w:val="center"/>
          </w:tcPr>
          <w:p w:rsidR="003663E4" w:rsidRDefault="00FD3F7D">
            <w:pPr>
              <w:spacing w:line="276" w:lineRule="auto"/>
              <w:rPr>
                <w:color w:val="000000"/>
                <w:szCs w:val="21"/>
              </w:rPr>
            </w:pPr>
            <w:r>
              <w:rPr>
                <w:rFonts w:hint="eastAsia"/>
                <w:color w:val="000000"/>
                <w:szCs w:val="21"/>
              </w:rPr>
              <w:t>应收其他存款利息</w:t>
            </w:r>
          </w:p>
        </w:tc>
        <w:tc>
          <w:tcPr>
            <w:tcW w:w="3258" w:type="dxa"/>
            <w:vAlign w:val="center"/>
          </w:tcPr>
          <w:p w:rsidR="003663E4" w:rsidRDefault="00FD3F7D">
            <w:pPr>
              <w:spacing w:line="276" w:lineRule="auto"/>
              <w:jc w:val="right"/>
              <w:rPr>
                <w:color w:val="000000"/>
                <w:szCs w:val="21"/>
              </w:rPr>
            </w:pPr>
            <w:r>
              <w:rPr>
                <w:color w:val="000000"/>
                <w:szCs w:val="21"/>
              </w:rPr>
              <w:t>-</w:t>
            </w:r>
          </w:p>
        </w:tc>
        <w:tc>
          <w:tcPr>
            <w:tcW w:w="3406" w:type="dxa"/>
            <w:vAlign w:val="center"/>
          </w:tcPr>
          <w:p w:rsidR="003663E4" w:rsidRDefault="00FD3F7D">
            <w:pPr>
              <w:spacing w:line="276" w:lineRule="auto"/>
              <w:jc w:val="right"/>
              <w:rPr>
                <w:color w:val="000000"/>
                <w:szCs w:val="21"/>
              </w:rPr>
            </w:pPr>
            <w:r>
              <w:rPr>
                <w:color w:val="000000"/>
                <w:szCs w:val="21"/>
              </w:rPr>
              <w:t>7,957,221.56</w:t>
            </w:r>
          </w:p>
        </w:tc>
      </w:tr>
      <w:tr w:rsidR="003663E4">
        <w:trPr>
          <w:trHeight w:val="223"/>
        </w:trPr>
        <w:tc>
          <w:tcPr>
            <w:tcW w:w="2351" w:type="dxa"/>
            <w:vAlign w:val="center"/>
          </w:tcPr>
          <w:p w:rsidR="003663E4" w:rsidRDefault="00FD3F7D">
            <w:pPr>
              <w:spacing w:line="276" w:lineRule="auto"/>
              <w:rPr>
                <w:color w:val="000000"/>
                <w:szCs w:val="21"/>
              </w:rPr>
            </w:pPr>
            <w:r>
              <w:rPr>
                <w:rFonts w:hint="eastAsia"/>
                <w:color w:val="000000"/>
                <w:szCs w:val="21"/>
              </w:rPr>
              <w:t>应收结算备付金利息</w:t>
            </w:r>
          </w:p>
        </w:tc>
        <w:tc>
          <w:tcPr>
            <w:tcW w:w="3258" w:type="dxa"/>
            <w:vAlign w:val="center"/>
          </w:tcPr>
          <w:p w:rsidR="003663E4" w:rsidRDefault="00FD3F7D">
            <w:pPr>
              <w:spacing w:line="276" w:lineRule="auto"/>
              <w:jc w:val="right"/>
              <w:rPr>
                <w:color w:val="000000"/>
                <w:szCs w:val="21"/>
              </w:rPr>
            </w:pPr>
            <w:r>
              <w:rPr>
                <w:color w:val="000000"/>
                <w:szCs w:val="21"/>
              </w:rPr>
              <w:t>-</w:t>
            </w:r>
          </w:p>
        </w:tc>
        <w:tc>
          <w:tcPr>
            <w:tcW w:w="3406" w:type="dxa"/>
            <w:vAlign w:val="center"/>
          </w:tcPr>
          <w:p w:rsidR="003663E4" w:rsidRDefault="00FD3F7D">
            <w:pPr>
              <w:spacing w:line="276" w:lineRule="auto"/>
              <w:jc w:val="right"/>
              <w:rPr>
                <w:color w:val="000000"/>
                <w:szCs w:val="21"/>
              </w:rPr>
            </w:pPr>
            <w:r>
              <w:rPr>
                <w:color w:val="000000"/>
                <w:szCs w:val="21"/>
              </w:rPr>
              <w:t>-</w:t>
            </w:r>
          </w:p>
        </w:tc>
      </w:tr>
      <w:tr w:rsidR="003663E4">
        <w:trPr>
          <w:trHeight w:val="269"/>
        </w:trPr>
        <w:tc>
          <w:tcPr>
            <w:tcW w:w="2351" w:type="dxa"/>
            <w:vAlign w:val="center"/>
          </w:tcPr>
          <w:p w:rsidR="003663E4" w:rsidRDefault="00FD3F7D">
            <w:pPr>
              <w:spacing w:line="276" w:lineRule="auto"/>
              <w:rPr>
                <w:color w:val="000000"/>
                <w:szCs w:val="21"/>
              </w:rPr>
            </w:pPr>
            <w:r>
              <w:rPr>
                <w:rFonts w:hint="eastAsia"/>
                <w:color w:val="000000"/>
                <w:szCs w:val="21"/>
              </w:rPr>
              <w:t>应收债券利息</w:t>
            </w:r>
          </w:p>
        </w:tc>
        <w:tc>
          <w:tcPr>
            <w:tcW w:w="3258" w:type="dxa"/>
            <w:vAlign w:val="center"/>
          </w:tcPr>
          <w:p w:rsidR="003663E4" w:rsidRDefault="00FD3F7D">
            <w:pPr>
              <w:spacing w:line="276" w:lineRule="auto"/>
              <w:jc w:val="right"/>
              <w:rPr>
                <w:color w:val="000000"/>
                <w:szCs w:val="21"/>
              </w:rPr>
            </w:pPr>
            <w:r>
              <w:rPr>
                <w:color w:val="000000"/>
                <w:szCs w:val="21"/>
              </w:rPr>
              <w:t>5,596,632.12</w:t>
            </w:r>
          </w:p>
        </w:tc>
        <w:tc>
          <w:tcPr>
            <w:tcW w:w="3406" w:type="dxa"/>
            <w:vAlign w:val="center"/>
          </w:tcPr>
          <w:p w:rsidR="003663E4" w:rsidRDefault="00FD3F7D">
            <w:pPr>
              <w:spacing w:line="276" w:lineRule="auto"/>
              <w:jc w:val="right"/>
              <w:rPr>
                <w:color w:val="000000"/>
                <w:szCs w:val="21"/>
              </w:rPr>
            </w:pPr>
            <w:r>
              <w:rPr>
                <w:color w:val="000000"/>
                <w:szCs w:val="21"/>
              </w:rPr>
              <w:t>15,135,948.64</w:t>
            </w:r>
          </w:p>
        </w:tc>
      </w:tr>
      <w:tr w:rsidR="003663E4">
        <w:trPr>
          <w:trHeight w:val="269"/>
        </w:trPr>
        <w:tc>
          <w:tcPr>
            <w:tcW w:w="2351" w:type="dxa"/>
            <w:vAlign w:val="center"/>
          </w:tcPr>
          <w:p w:rsidR="003663E4" w:rsidRDefault="00FD3F7D">
            <w:pPr>
              <w:spacing w:line="276" w:lineRule="auto"/>
              <w:rPr>
                <w:color w:val="000000"/>
                <w:szCs w:val="21"/>
              </w:rPr>
            </w:pPr>
            <w:r>
              <w:rPr>
                <w:rFonts w:eastAsiaTheme="minorEastAsia" w:hint="eastAsia"/>
                <w:szCs w:val="21"/>
              </w:rPr>
              <w:t>应收资产支持证券利息</w:t>
            </w:r>
          </w:p>
        </w:tc>
        <w:tc>
          <w:tcPr>
            <w:tcW w:w="3258" w:type="dxa"/>
          </w:tcPr>
          <w:p w:rsidR="003663E4" w:rsidRDefault="00FD3F7D">
            <w:pPr>
              <w:spacing w:line="360" w:lineRule="auto"/>
              <w:jc w:val="right"/>
              <w:rPr>
                <w:rFonts w:eastAsiaTheme="minorEastAsia"/>
                <w:szCs w:val="21"/>
              </w:rPr>
            </w:pPr>
            <w:r>
              <w:rPr>
                <w:rFonts w:eastAsiaTheme="minorEastAsia"/>
                <w:szCs w:val="21"/>
              </w:rPr>
              <w:t>-</w:t>
            </w:r>
          </w:p>
        </w:tc>
        <w:tc>
          <w:tcPr>
            <w:tcW w:w="3406" w:type="dxa"/>
          </w:tcPr>
          <w:p w:rsidR="003663E4" w:rsidRDefault="00FD3F7D">
            <w:pPr>
              <w:spacing w:line="360" w:lineRule="auto"/>
              <w:jc w:val="right"/>
              <w:rPr>
                <w:rFonts w:eastAsiaTheme="minorEastAsia"/>
                <w:szCs w:val="21"/>
              </w:rPr>
            </w:pPr>
            <w:r>
              <w:rPr>
                <w:rFonts w:eastAsiaTheme="minorEastAsia"/>
                <w:szCs w:val="21"/>
              </w:rPr>
              <w:t>-</w:t>
            </w:r>
          </w:p>
        </w:tc>
      </w:tr>
      <w:tr w:rsidR="003663E4">
        <w:trPr>
          <w:trHeight w:val="287"/>
        </w:trPr>
        <w:tc>
          <w:tcPr>
            <w:tcW w:w="2351" w:type="dxa"/>
            <w:vAlign w:val="center"/>
          </w:tcPr>
          <w:p w:rsidR="003663E4" w:rsidRDefault="00FD3F7D">
            <w:pPr>
              <w:spacing w:line="276" w:lineRule="auto"/>
              <w:rPr>
                <w:color w:val="000000"/>
                <w:szCs w:val="21"/>
              </w:rPr>
            </w:pPr>
            <w:r>
              <w:rPr>
                <w:rFonts w:hint="eastAsia"/>
                <w:color w:val="000000"/>
                <w:szCs w:val="21"/>
              </w:rPr>
              <w:t>应收买入返售证券利息</w:t>
            </w:r>
          </w:p>
        </w:tc>
        <w:tc>
          <w:tcPr>
            <w:tcW w:w="3258" w:type="dxa"/>
            <w:vAlign w:val="center"/>
          </w:tcPr>
          <w:p w:rsidR="003663E4" w:rsidRDefault="00FD3F7D">
            <w:pPr>
              <w:spacing w:line="276" w:lineRule="auto"/>
              <w:jc w:val="right"/>
              <w:rPr>
                <w:color w:val="000000"/>
                <w:szCs w:val="21"/>
              </w:rPr>
            </w:pPr>
            <w:r>
              <w:rPr>
                <w:color w:val="000000"/>
                <w:szCs w:val="21"/>
              </w:rPr>
              <w:t>-</w:t>
            </w:r>
          </w:p>
        </w:tc>
        <w:tc>
          <w:tcPr>
            <w:tcW w:w="3406" w:type="dxa"/>
            <w:vAlign w:val="center"/>
          </w:tcPr>
          <w:p w:rsidR="003663E4" w:rsidRDefault="00FD3F7D">
            <w:pPr>
              <w:spacing w:line="276" w:lineRule="auto"/>
              <w:jc w:val="right"/>
              <w:rPr>
                <w:color w:val="000000"/>
                <w:szCs w:val="21"/>
              </w:rPr>
            </w:pPr>
            <w:r>
              <w:rPr>
                <w:color w:val="000000"/>
                <w:szCs w:val="21"/>
              </w:rPr>
              <w:t>-</w:t>
            </w:r>
          </w:p>
        </w:tc>
      </w:tr>
      <w:tr w:rsidR="003663E4">
        <w:trPr>
          <w:trHeight w:val="305"/>
        </w:trPr>
        <w:tc>
          <w:tcPr>
            <w:tcW w:w="2351" w:type="dxa"/>
            <w:vAlign w:val="center"/>
          </w:tcPr>
          <w:p w:rsidR="003663E4" w:rsidRDefault="00FD3F7D">
            <w:pPr>
              <w:spacing w:line="276" w:lineRule="auto"/>
              <w:rPr>
                <w:color w:val="000000"/>
                <w:szCs w:val="21"/>
              </w:rPr>
            </w:pPr>
            <w:r>
              <w:rPr>
                <w:rFonts w:hint="eastAsia"/>
                <w:color w:val="000000"/>
                <w:szCs w:val="21"/>
              </w:rPr>
              <w:t>应收申购款利息</w:t>
            </w:r>
          </w:p>
        </w:tc>
        <w:tc>
          <w:tcPr>
            <w:tcW w:w="3258" w:type="dxa"/>
            <w:vAlign w:val="center"/>
          </w:tcPr>
          <w:p w:rsidR="003663E4" w:rsidRDefault="00FD3F7D">
            <w:pPr>
              <w:spacing w:line="276" w:lineRule="auto"/>
              <w:jc w:val="right"/>
              <w:rPr>
                <w:color w:val="000000"/>
                <w:szCs w:val="21"/>
              </w:rPr>
            </w:pPr>
            <w:r>
              <w:rPr>
                <w:color w:val="000000"/>
                <w:szCs w:val="21"/>
              </w:rPr>
              <w:t>-</w:t>
            </w:r>
          </w:p>
        </w:tc>
        <w:tc>
          <w:tcPr>
            <w:tcW w:w="3406" w:type="dxa"/>
            <w:vAlign w:val="center"/>
          </w:tcPr>
          <w:p w:rsidR="003663E4" w:rsidRDefault="00FD3F7D">
            <w:pPr>
              <w:spacing w:line="276" w:lineRule="auto"/>
              <w:jc w:val="right"/>
              <w:rPr>
                <w:color w:val="000000"/>
                <w:szCs w:val="21"/>
              </w:rPr>
            </w:pPr>
            <w:r>
              <w:rPr>
                <w:color w:val="000000"/>
                <w:szCs w:val="21"/>
              </w:rPr>
              <w:t>-</w:t>
            </w:r>
          </w:p>
        </w:tc>
      </w:tr>
      <w:tr w:rsidR="003663E4">
        <w:trPr>
          <w:trHeight w:val="305"/>
        </w:trPr>
        <w:tc>
          <w:tcPr>
            <w:tcW w:w="2351" w:type="dxa"/>
            <w:vAlign w:val="center"/>
          </w:tcPr>
          <w:p w:rsidR="003663E4" w:rsidRDefault="00FD3F7D">
            <w:pPr>
              <w:spacing w:line="360" w:lineRule="auto"/>
              <w:rPr>
                <w:rFonts w:eastAsiaTheme="minorEastAsia"/>
                <w:szCs w:val="21"/>
              </w:rPr>
            </w:pPr>
            <w:r>
              <w:rPr>
                <w:rFonts w:eastAsiaTheme="minorEastAsia"/>
                <w:szCs w:val="21"/>
              </w:rPr>
              <w:t>应收黄金合约拆借孳息</w:t>
            </w:r>
          </w:p>
        </w:tc>
        <w:tc>
          <w:tcPr>
            <w:tcW w:w="3258" w:type="dxa"/>
            <w:vAlign w:val="center"/>
          </w:tcPr>
          <w:p w:rsidR="003663E4" w:rsidRDefault="00FD3F7D">
            <w:pPr>
              <w:spacing w:line="360" w:lineRule="auto"/>
              <w:jc w:val="right"/>
              <w:rPr>
                <w:rFonts w:eastAsiaTheme="minorEastAsia"/>
                <w:szCs w:val="21"/>
              </w:rPr>
            </w:pPr>
            <w:r>
              <w:rPr>
                <w:rFonts w:eastAsiaTheme="minorEastAsia"/>
                <w:szCs w:val="21"/>
              </w:rPr>
              <w:t>-</w:t>
            </w:r>
          </w:p>
        </w:tc>
        <w:tc>
          <w:tcPr>
            <w:tcW w:w="3406" w:type="dxa"/>
            <w:vAlign w:val="center"/>
          </w:tcPr>
          <w:p w:rsidR="003663E4" w:rsidRDefault="00FD3F7D">
            <w:pPr>
              <w:spacing w:line="360" w:lineRule="auto"/>
              <w:jc w:val="right"/>
              <w:rPr>
                <w:rFonts w:eastAsiaTheme="minorEastAsia"/>
                <w:szCs w:val="21"/>
              </w:rPr>
            </w:pPr>
            <w:r>
              <w:rPr>
                <w:rFonts w:eastAsiaTheme="minorEastAsia"/>
                <w:szCs w:val="21"/>
              </w:rPr>
              <w:t>-</w:t>
            </w:r>
          </w:p>
        </w:tc>
      </w:tr>
      <w:tr w:rsidR="003663E4">
        <w:trPr>
          <w:trHeight w:val="305"/>
        </w:trPr>
        <w:tc>
          <w:tcPr>
            <w:tcW w:w="2351" w:type="dxa"/>
            <w:vAlign w:val="center"/>
          </w:tcPr>
          <w:p w:rsidR="003663E4" w:rsidRDefault="00FD3F7D">
            <w:pPr>
              <w:spacing w:line="276" w:lineRule="auto"/>
              <w:rPr>
                <w:color w:val="000000"/>
                <w:szCs w:val="21"/>
              </w:rPr>
            </w:pPr>
            <w:r>
              <w:rPr>
                <w:rFonts w:hint="eastAsia"/>
                <w:color w:val="000000"/>
                <w:szCs w:val="21"/>
              </w:rPr>
              <w:t>其他</w:t>
            </w:r>
          </w:p>
        </w:tc>
        <w:tc>
          <w:tcPr>
            <w:tcW w:w="3258" w:type="dxa"/>
            <w:vAlign w:val="center"/>
          </w:tcPr>
          <w:p w:rsidR="003663E4" w:rsidRDefault="00FD3F7D">
            <w:pPr>
              <w:spacing w:line="276" w:lineRule="auto"/>
              <w:jc w:val="right"/>
              <w:rPr>
                <w:color w:val="000000"/>
                <w:szCs w:val="21"/>
              </w:rPr>
            </w:pPr>
            <w:r>
              <w:rPr>
                <w:color w:val="000000"/>
                <w:szCs w:val="21"/>
              </w:rPr>
              <w:t>-</w:t>
            </w:r>
          </w:p>
        </w:tc>
        <w:tc>
          <w:tcPr>
            <w:tcW w:w="3406" w:type="dxa"/>
            <w:vAlign w:val="center"/>
          </w:tcPr>
          <w:p w:rsidR="003663E4" w:rsidRDefault="00FD3F7D">
            <w:pPr>
              <w:spacing w:line="276" w:lineRule="auto"/>
              <w:jc w:val="right"/>
              <w:rPr>
                <w:color w:val="000000"/>
                <w:szCs w:val="21"/>
              </w:rPr>
            </w:pPr>
            <w:r>
              <w:rPr>
                <w:color w:val="000000"/>
                <w:szCs w:val="21"/>
              </w:rPr>
              <w:t>-</w:t>
            </w:r>
          </w:p>
        </w:tc>
      </w:tr>
      <w:tr w:rsidR="003663E4">
        <w:trPr>
          <w:trHeight w:val="330"/>
        </w:trPr>
        <w:tc>
          <w:tcPr>
            <w:tcW w:w="2351" w:type="dxa"/>
            <w:vAlign w:val="center"/>
          </w:tcPr>
          <w:p w:rsidR="003663E4" w:rsidRDefault="00FD3F7D">
            <w:pPr>
              <w:spacing w:line="276" w:lineRule="auto"/>
              <w:jc w:val="center"/>
              <w:rPr>
                <w:color w:val="000000"/>
                <w:szCs w:val="21"/>
              </w:rPr>
            </w:pPr>
            <w:r>
              <w:rPr>
                <w:rFonts w:hint="eastAsia"/>
                <w:color w:val="000000"/>
                <w:szCs w:val="21"/>
              </w:rPr>
              <w:t>合计</w:t>
            </w:r>
          </w:p>
        </w:tc>
        <w:tc>
          <w:tcPr>
            <w:tcW w:w="3258" w:type="dxa"/>
            <w:vAlign w:val="center"/>
          </w:tcPr>
          <w:p w:rsidR="003663E4" w:rsidRDefault="00FD3F7D">
            <w:pPr>
              <w:spacing w:line="276" w:lineRule="auto"/>
              <w:jc w:val="right"/>
              <w:rPr>
                <w:color w:val="000000"/>
                <w:szCs w:val="21"/>
              </w:rPr>
            </w:pPr>
            <w:r>
              <w:rPr>
                <w:color w:val="000000"/>
                <w:szCs w:val="21"/>
              </w:rPr>
              <w:t>5,630,470.47</w:t>
            </w:r>
          </w:p>
        </w:tc>
        <w:tc>
          <w:tcPr>
            <w:tcW w:w="3406" w:type="dxa"/>
            <w:vAlign w:val="center"/>
          </w:tcPr>
          <w:p w:rsidR="003663E4" w:rsidRDefault="00FD3F7D">
            <w:pPr>
              <w:spacing w:line="276" w:lineRule="auto"/>
              <w:jc w:val="right"/>
              <w:rPr>
                <w:color w:val="000000"/>
                <w:szCs w:val="21"/>
              </w:rPr>
            </w:pPr>
            <w:r>
              <w:rPr>
                <w:color w:val="000000"/>
                <w:szCs w:val="21"/>
              </w:rPr>
              <w:t>23,101,962.92</w:t>
            </w:r>
          </w:p>
        </w:tc>
      </w:tr>
    </w:tbl>
    <w:p w:rsidR="003663E4" w:rsidRDefault="00FD3F7D">
      <w:pPr>
        <w:spacing w:beforeLines="50" w:before="156" w:line="360" w:lineRule="auto"/>
        <w:rPr>
          <w:b/>
          <w:color w:val="000000"/>
          <w:szCs w:val="21"/>
        </w:rPr>
      </w:pPr>
      <w:r>
        <w:rPr>
          <w:b/>
          <w:bCs/>
          <w:color w:val="000000"/>
          <w:kern w:val="0"/>
          <w:szCs w:val="21"/>
        </w:rPr>
        <w:t xml:space="preserve">7.2.4.7.6 </w:t>
      </w:r>
      <w:r>
        <w:rPr>
          <w:b/>
          <w:color w:val="000000"/>
          <w:szCs w:val="21"/>
        </w:rPr>
        <w:t>其他资产</w:t>
      </w:r>
    </w:p>
    <w:p w:rsidR="003663E4" w:rsidRDefault="00FD3F7D">
      <w:pPr>
        <w:spacing w:line="360" w:lineRule="auto"/>
        <w:ind w:firstLineChars="200" w:firstLine="420"/>
        <w:rPr>
          <w:color w:val="000000"/>
          <w:szCs w:val="21"/>
        </w:rPr>
      </w:pPr>
      <w:r>
        <w:rPr>
          <w:color w:val="000000"/>
          <w:szCs w:val="21"/>
        </w:rPr>
        <w:t>本基金本报告期末及上年度末未持有其他资产。</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7.2.4.7.7 </w:t>
      </w:r>
      <w:r>
        <w:rPr>
          <w:b/>
          <w:bCs/>
          <w:color w:val="000000"/>
          <w:kern w:val="0"/>
          <w:szCs w:val="21"/>
        </w:rPr>
        <w:t>应付交易费用</w:t>
      </w:r>
    </w:p>
    <w:p w:rsidR="003663E4" w:rsidRDefault="00FD3F7D">
      <w:pPr>
        <w:autoSpaceDE w:val="0"/>
        <w:autoSpaceDN w:val="0"/>
        <w:adjustRightInd w:val="0"/>
        <w:spacing w:before="29" w:line="360" w:lineRule="auto"/>
        <w:ind w:left="15"/>
        <w:jc w:val="right"/>
        <w:rPr>
          <w:color w:val="000000"/>
          <w:kern w:val="0"/>
          <w:szCs w:val="21"/>
        </w:rPr>
      </w:pPr>
      <w:r>
        <w:rPr>
          <w:color w:val="000000"/>
          <w:szCs w:val="21"/>
        </w:rPr>
        <w:t>单位：人民币元</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3663E4">
        <w:trPr>
          <w:trHeight w:val="285"/>
        </w:trPr>
        <w:tc>
          <w:tcPr>
            <w:tcW w:w="2765" w:type="dxa"/>
            <w:vAlign w:val="center"/>
          </w:tcPr>
          <w:p w:rsidR="003663E4" w:rsidRDefault="00FD3F7D">
            <w:pPr>
              <w:spacing w:line="276" w:lineRule="auto"/>
              <w:jc w:val="center"/>
              <w:rPr>
                <w:color w:val="000000"/>
                <w:szCs w:val="21"/>
              </w:rPr>
            </w:pPr>
            <w:r>
              <w:rPr>
                <w:color w:val="000000"/>
                <w:szCs w:val="21"/>
              </w:rPr>
              <w:t>项目</w:t>
            </w:r>
          </w:p>
        </w:tc>
        <w:tc>
          <w:tcPr>
            <w:tcW w:w="3150" w:type="dxa"/>
            <w:vAlign w:val="center"/>
          </w:tcPr>
          <w:p w:rsidR="003663E4" w:rsidRDefault="00FD3F7D">
            <w:pPr>
              <w:spacing w:line="276" w:lineRule="auto"/>
              <w:jc w:val="center"/>
              <w:rPr>
                <w:color w:val="000000"/>
                <w:szCs w:val="21"/>
              </w:rPr>
            </w:pPr>
            <w:r>
              <w:rPr>
                <w:color w:val="000000"/>
                <w:szCs w:val="21"/>
              </w:rPr>
              <w:t>本期末</w:t>
            </w:r>
          </w:p>
          <w:p w:rsidR="003663E4" w:rsidRDefault="00FD3F7D">
            <w:pPr>
              <w:spacing w:line="276" w:lineRule="auto"/>
              <w:jc w:val="center"/>
              <w:rPr>
                <w:color w:val="00000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p>
        </w:tc>
        <w:tc>
          <w:tcPr>
            <w:tcW w:w="3150" w:type="dxa"/>
            <w:vAlign w:val="center"/>
          </w:tcPr>
          <w:p w:rsidR="003663E4" w:rsidRDefault="00FD3F7D">
            <w:pPr>
              <w:spacing w:line="276" w:lineRule="auto"/>
              <w:jc w:val="center"/>
              <w:rPr>
                <w:color w:val="000000"/>
                <w:szCs w:val="21"/>
              </w:rPr>
            </w:pPr>
            <w:r>
              <w:rPr>
                <w:color w:val="000000"/>
                <w:szCs w:val="21"/>
              </w:rPr>
              <w:t>上年度末</w:t>
            </w:r>
          </w:p>
          <w:p w:rsidR="003663E4" w:rsidRDefault="00FD3F7D">
            <w:pPr>
              <w:spacing w:line="276" w:lineRule="auto"/>
              <w:jc w:val="center"/>
              <w:rPr>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663E4">
        <w:trPr>
          <w:trHeight w:val="211"/>
        </w:trPr>
        <w:tc>
          <w:tcPr>
            <w:tcW w:w="2765" w:type="dxa"/>
            <w:vAlign w:val="center"/>
          </w:tcPr>
          <w:p w:rsidR="003663E4" w:rsidRDefault="00FD3F7D">
            <w:pPr>
              <w:spacing w:line="276" w:lineRule="auto"/>
              <w:rPr>
                <w:color w:val="000000"/>
                <w:szCs w:val="21"/>
              </w:rPr>
            </w:pPr>
            <w:r>
              <w:rPr>
                <w:color w:val="000000"/>
                <w:szCs w:val="21"/>
              </w:rPr>
              <w:t>交易所市场应付交易费用</w:t>
            </w:r>
          </w:p>
        </w:tc>
        <w:tc>
          <w:tcPr>
            <w:tcW w:w="3150" w:type="dxa"/>
            <w:vAlign w:val="center"/>
          </w:tcPr>
          <w:p w:rsidR="003663E4" w:rsidRDefault="00FD3F7D">
            <w:pPr>
              <w:spacing w:line="276" w:lineRule="auto"/>
              <w:jc w:val="right"/>
              <w:rPr>
                <w:color w:val="000000"/>
                <w:szCs w:val="21"/>
              </w:rPr>
            </w:pPr>
            <w:r>
              <w:rPr>
                <w:color w:val="000000"/>
                <w:szCs w:val="21"/>
              </w:rPr>
              <w:t>-</w:t>
            </w:r>
          </w:p>
        </w:tc>
        <w:tc>
          <w:tcPr>
            <w:tcW w:w="3150" w:type="dxa"/>
            <w:vAlign w:val="center"/>
          </w:tcPr>
          <w:p w:rsidR="003663E4" w:rsidRDefault="00FD3F7D">
            <w:pPr>
              <w:spacing w:line="276" w:lineRule="auto"/>
              <w:jc w:val="right"/>
              <w:rPr>
                <w:color w:val="000000"/>
                <w:szCs w:val="21"/>
              </w:rPr>
            </w:pPr>
            <w:r>
              <w:rPr>
                <w:color w:val="000000"/>
                <w:szCs w:val="21"/>
              </w:rPr>
              <w:t>-</w:t>
            </w:r>
          </w:p>
        </w:tc>
      </w:tr>
      <w:tr w:rsidR="003663E4">
        <w:trPr>
          <w:trHeight w:val="296"/>
        </w:trPr>
        <w:tc>
          <w:tcPr>
            <w:tcW w:w="2765" w:type="dxa"/>
            <w:vAlign w:val="center"/>
          </w:tcPr>
          <w:p w:rsidR="003663E4" w:rsidRDefault="00FD3F7D">
            <w:pPr>
              <w:spacing w:line="276" w:lineRule="auto"/>
              <w:rPr>
                <w:color w:val="000000"/>
                <w:szCs w:val="21"/>
              </w:rPr>
            </w:pPr>
            <w:r>
              <w:rPr>
                <w:color w:val="000000"/>
                <w:szCs w:val="21"/>
              </w:rPr>
              <w:t>银行间市场应付交易费用</w:t>
            </w:r>
          </w:p>
        </w:tc>
        <w:tc>
          <w:tcPr>
            <w:tcW w:w="3150" w:type="dxa"/>
            <w:vAlign w:val="center"/>
          </w:tcPr>
          <w:p w:rsidR="003663E4" w:rsidRDefault="00FD3F7D">
            <w:pPr>
              <w:spacing w:line="276" w:lineRule="auto"/>
              <w:jc w:val="right"/>
              <w:rPr>
                <w:color w:val="000000"/>
                <w:szCs w:val="21"/>
              </w:rPr>
            </w:pPr>
            <w:r>
              <w:rPr>
                <w:color w:val="000000"/>
                <w:szCs w:val="21"/>
              </w:rPr>
              <w:t>35,911.43</w:t>
            </w:r>
          </w:p>
        </w:tc>
        <w:tc>
          <w:tcPr>
            <w:tcW w:w="3150" w:type="dxa"/>
            <w:vAlign w:val="center"/>
          </w:tcPr>
          <w:p w:rsidR="003663E4" w:rsidRDefault="00FD3F7D">
            <w:pPr>
              <w:spacing w:line="276" w:lineRule="auto"/>
              <w:jc w:val="right"/>
              <w:rPr>
                <w:color w:val="000000"/>
                <w:szCs w:val="21"/>
              </w:rPr>
            </w:pPr>
            <w:r>
              <w:rPr>
                <w:color w:val="000000"/>
                <w:szCs w:val="21"/>
              </w:rPr>
              <w:t>73,515.26</w:t>
            </w:r>
          </w:p>
        </w:tc>
      </w:tr>
      <w:tr w:rsidR="003663E4">
        <w:trPr>
          <w:trHeight w:val="285"/>
        </w:trPr>
        <w:tc>
          <w:tcPr>
            <w:tcW w:w="2765" w:type="dxa"/>
            <w:vAlign w:val="center"/>
          </w:tcPr>
          <w:p w:rsidR="003663E4" w:rsidRDefault="00FD3F7D">
            <w:pPr>
              <w:spacing w:line="276" w:lineRule="auto"/>
              <w:jc w:val="center"/>
              <w:rPr>
                <w:color w:val="000000"/>
                <w:szCs w:val="21"/>
              </w:rPr>
            </w:pPr>
            <w:r>
              <w:rPr>
                <w:color w:val="000000"/>
                <w:szCs w:val="21"/>
              </w:rPr>
              <w:t>合计</w:t>
            </w:r>
          </w:p>
        </w:tc>
        <w:tc>
          <w:tcPr>
            <w:tcW w:w="3150" w:type="dxa"/>
            <w:vAlign w:val="center"/>
          </w:tcPr>
          <w:p w:rsidR="003663E4" w:rsidRDefault="00FD3F7D">
            <w:pPr>
              <w:spacing w:line="276" w:lineRule="auto"/>
              <w:jc w:val="right"/>
              <w:rPr>
                <w:color w:val="000000"/>
                <w:szCs w:val="21"/>
              </w:rPr>
            </w:pPr>
            <w:r>
              <w:rPr>
                <w:color w:val="000000"/>
                <w:szCs w:val="21"/>
              </w:rPr>
              <w:t>35,911.43</w:t>
            </w:r>
          </w:p>
        </w:tc>
        <w:tc>
          <w:tcPr>
            <w:tcW w:w="3150" w:type="dxa"/>
            <w:vAlign w:val="center"/>
          </w:tcPr>
          <w:p w:rsidR="003663E4" w:rsidRDefault="00FD3F7D">
            <w:pPr>
              <w:spacing w:line="276" w:lineRule="auto"/>
              <w:jc w:val="right"/>
              <w:rPr>
                <w:color w:val="000000"/>
                <w:szCs w:val="21"/>
              </w:rPr>
            </w:pPr>
            <w:r>
              <w:rPr>
                <w:color w:val="000000"/>
                <w:szCs w:val="21"/>
              </w:rPr>
              <w:t>73,515.26</w:t>
            </w:r>
          </w:p>
        </w:tc>
      </w:tr>
    </w:tbl>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7.2.4.7.8 </w:t>
      </w:r>
      <w:r>
        <w:rPr>
          <w:b/>
          <w:bCs/>
          <w:color w:val="000000"/>
          <w:kern w:val="0"/>
          <w:szCs w:val="21"/>
        </w:rPr>
        <w:t>其他负债</w:t>
      </w:r>
    </w:p>
    <w:p w:rsidR="003663E4" w:rsidRDefault="00FD3F7D">
      <w:pPr>
        <w:spacing w:line="360" w:lineRule="auto"/>
        <w:jc w:val="right"/>
        <w:rPr>
          <w:color w:val="000000"/>
          <w:szCs w:val="21"/>
        </w:rPr>
      </w:pPr>
      <w:r>
        <w:rPr>
          <w:color w:val="000000"/>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3663E4">
        <w:trPr>
          <w:trHeight w:val="330"/>
        </w:trPr>
        <w:tc>
          <w:tcPr>
            <w:tcW w:w="2715" w:type="dxa"/>
            <w:vAlign w:val="center"/>
          </w:tcPr>
          <w:p w:rsidR="003663E4" w:rsidRDefault="00FD3F7D">
            <w:pPr>
              <w:spacing w:line="276" w:lineRule="auto"/>
              <w:jc w:val="center"/>
              <w:rPr>
                <w:color w:val="000000"/>
                <w:szCs w:val="21"/>
              </w:rPr>
            </w:pPr>
            <w:r>
              <w:rPr>
                <w:color w:val="000000"/>
                <w:szCs w:val="21"/>
              </w:rPr>
              <w:t>项目</w:t>
            </w:r>
          </w:p>
        </w:tc>
        <w:tc>
          <w:tcPr>
            <w:tcW w:w="3150" w:type="dxa"/>
            <w:vAlign w:val="center"/>
          </w:tcPr>
          <w:p w:rsidR="003663E4" w:rsidRDefault="00FD3F7D">
            <w:pPr>
              <w:spacing w:line="276" w:lineRule="auto"/>
              <w:jc w:val="center"/>
              <w:rPr>
                <w:color w:val="000000"/>
                <w:kern w:val="0"/>
                <w:szCs w:val="21"/>
              </w:rPr>
            </w:pPr>
            <w:r>
              <w:rPr>
                <w:color w:val="000000"/>
                <w:kern w:val="0"/>
                <w:szCs w:val="21"/>
              </w:rPr>
              <w:t>本期末</w:t>
            </w:r>
          </w:p>
          <w:p w:rsidR="003663E4" w:rsidRDefault="00FD3F7D">
            <w:pPr>
              <w:spacing w:line="276" w:lineRule="auto"/>
              <w:jc w:val="center"/>
              <w:rPr>
                <w:color w:val="00000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p>
        </w:tc>
        <w:tc>
          <w:tcPr>
            <w:tcW w:w="3150" w:type="dxa"/>
            <w:vAlign w:val="center"/>
          </w:tcPr>
          <w:p w:rsidR="003663E4" w:rsidRDefault="00FD3F7D">
            <w:pPr>
              <w:spacing w:line="276" w:lineRule="auto"/>
              <w:jc w:val="center"/>
              <w:rPr>
                <w:color w:val="000000"/>
                <w:kern w:val="0"/>
                <w:szCs w:val="21"/>
              </w:rPr>
            </w:pPr>
            <w:r>
              <w:rPr>
                <w:color w:val="000000"/>
                <w:kern w:val="0"/>
                <w:szCs w:val="21"/>
              </w:rPr>
              <w:t>上年度末</w:t>
            </w:r>
          </w:p>
          <w:p w:rsidR="003663E4" w:rsidRDefault="00FD3F7D">
            <w:pPr>
              <w:spacing w:line="276" w:lineRule="auto"/>
              <w:jc w:val="center"/>
              <w:rPr>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663E4">
        <w:trPr>
          <w:trHeight w:val="325"/>
        </w:trPr>
        <w:tc>
          <w:tcPr>
            <w:tcW w:w="2715" w:type="dxa"/>
            <w:vAlign w:val="center"/>
          </w:tcPr>
          <w:p w:rsidR="003663E4" w:rsidRDefault="00FD3F7D">
            <w:pPr>
              <w:spacing w:line="276" w:lineRule="auto"/>
              <w:rPr>
                <w:color w:val="000000"/>
                <w:szCs w:val="21"/>
              </w:rPr>
            </w:pPr>
            <w:r>
              <w:rPr>
                <w:color w:val="000000"/>
                <w:szCs w:val="21"/>
              </w:rPr>
              <w:t>应付券商交易单元保证金</w:t>
            </w:r>
          </w:p>
        </w:tc>
        <w:tc>
          <w:tcPr>
            <w:tcW w:w="3150" w:type="dxa"/>
            <w:vAlign w:val="center"/>
          </w:tcPr>
          <w:p w:rsidR="003663E4" w:rsidRDefault="00FD3F7D">
            <w:pPr>
              <w:spacing w:line="276" w:lineRule="auto"/>
              <w:jc w:val="right"/>
              <w:rPr>
                <w:color w:val="000000"/>
                <w:szCs w:val="21"/>
              </w:rPr>
            </w:pPr>
            <w:r>
              <w:rPr>
                <w:color w:val="000000"/>
                <w:szCs w:val="21"/>
              </w:rPr>
              <w:t>-</w:t>
            </w:r>
          </w:p>
        </w:tc>
        <w:tc>
          <w:tcPr>
            <w:tcW w:w="3150" w:type="dxa"/>
            <w:vAlign w:val="center"/>
          </w:tcPr>
          <w:p w:rsidR="003663E4" w:rsidRDefault="00FD3F7D">
            <w:pPr>
              <w:spacing w:line="276" w:lineRule="auto"/>
              <w:jc w:val="right"/>
              <w:rPr>
                <w:color w:val="000000"/>
                <w:szCs w:val="21"/>
              </w:rPr>
            </w:pPr>
            <w:r>
              <w:rPr>
                <w:color w:val="000000"/>
                <w:szCs w:val="21"/>
              </w:rPr>
              <w:t>-</w:t>
            </w:r>
          </w:p>
        </w:tc>
      </w:tr>
      <w:tr w:rsidR="003663E4">
        <w:trPr>
          <w:trHeight w:val="325"/>
        </w:trPr>
        <w:tc>
          <w:tcPr>
            <w:tcW w:w="2715" w:type="dxa"/>
            <w:vAlign w:val="center"/>
          </w:tcPr>
          <w:p w:rsidR="003663E4" w:rsidRDefault="00FD3F7D">
            <w:pPr>
              <w:spacing w:line="276" w:lineRule="auto"/>
              <w:rPr>
                <w:color w:val="000000"/>
                <w:szCs w:val="21"/>
              </w:rPr>
            </w:pPr>
            <w:r>
              <w:rPr>
                <w:color w:val="000000"/>
                <w:szCs w:val="21"/>
              </w:rPr>
              <w:t>应付赎回费</w:t>
            </w:r>
          </w:p>
        </w:tc>
        <w:tc>
          <w:tcPr>
            <w:tcW w:w="3150" w:type="dxa"/>
            <w:vAlign w:val="center"/>
          </w:tcPr>
          <w:p w:rsidR="003663E4" w:rsidRDefault="00FD3F7D">
            <w:pPr>
              <w:spacing w:line="276" w:lineRule="auto"/>
              <w:jc w:val="right"/>
              <w:rPr>
                <w:color w:val="000000"/>
                <w:szCs w:val="21"/>
              </w:rPr>
            </w:pPr>
            <w:r>
              <w:rPr>
                <w:color w:val="000000"/>
                <w:szCs w:val="21"/>
              </w:rPr>
              <w:t>-</w:t>
            </w:r>
          </w:p>
        </w:tc>
        <w:tc>
          <w:tcPr>
            <w:tcW w:w="3150" w:type="dxa"/>
            <w:vAlign w:val="center"/>
          </w:tcPr>
          <w:p w:rsidR="003663E4" w:rsidRDefault="00FD3F7D">
            <w:pPr>
              <w:spacing w:line="276" w:lineRule="auto"/>
              <w:jc w:val="right"/>
              <w:rPr>
                <w:color w:val="000000"/>
                <w:szCs w:val="21"/>
              </w:rPr>
            </w:pPr>
            <w:r>
              <w:rPr>
                <w:color w:val="000000"/>
                <w:szCs w:val="21"/>
              </w:rPr>
              <w:t>-</w:t>
            </w:r>
          </w:p>
        </w:tc>
      </w:tr>
      <w:tr w:rsidR="003663E4">
        <w:tc>
          <w:tcPr>
            <w:tcW w:w="2715" w:type="dxa"/>
            <w:vAlign w:val="center"/>
          </w:tcPr>
          <w:p w:rsidR="003663E4" w:rsidRDefault="00FD3F7D">
            <w:pPr>
              <w:jc w:val="left"/>
            </w:pPr>
            <w:r>
              <w:rPr>
                <w:color w:val="000000"/>
                <w:szCs w:val="21"/>
              </w:rPr>
              <w:t>预提信息披露费</w:t>
            </w:r>
          </w:p>
        </w:tc>
        <w:tc>
          <w:tcPr>
            <w:tcW w:w="3150" w:type="dxa"/>
            <w:vAlign w:val="center"/>
          </w:tcPr>
          <w:p w:rsidR="003663E4" w:rsidRDefault="00FD3F7D">
            <w:pPr>
              <w:jc w:val="right"/>
            </w:pPr>
            <w:r>
              <w:rPr>
                <w:color w:val="000000"/>
                <w:szCs w:val="21"/>
              </w:rPr>
              <w:t>68,524.83</w:t>
            </w:r>
          </w:p>
        </w:tc>
        <w:tc>
          <w:tcPr>
            <w:tcW w:w="3150" w:type="dxa"/>
            <w:vAlign w:val="center"/>
          </w:tcPr>
          <w:p w:rsidR="003663E4" w:rsidRDefault="00FD3F7D">
            <w:pPr>
              <w:jc w:val="right"/>
            </w:pPr>
            <w:r>
              <w:rPr>
                <w:color w:val="000000"/>
                <w:szCs w:val="21"/>
              </w:rPr>
              <w:t>120,000.00</w:t>
            </w:r>
          </w:p>
        </w:tc>
      </w:tr>
      <w:tr w:rsidR="003663E4">
        <w:tc>
          <w:tcPr>
            <w:tcW w:w="2715" w:type="dxa"/>
            <w:vAlign w:val="center"/>
          </w:tcPr>
          <w:p w:rsidR="003663E4" w:rsidRDefault="00FD3F7D">
            <w:pPr>
              <w:jc w:val="left"/>
            </w:pPr>
            <w:r>
              <w:rPr>
                <w:color w:val="000000"/>
                <w:szCs w:val="21"/>
              </w:rPr>
              <w:t>预提审计费</w:t>
            </w:r>
          </w:p>
        </w:tc>
        <w:tc>
          <w:tcPr>
            <w:tcW w:w="3150" w:type="dxa"/>
            <w:vAlign w:val="center"/>
          </w:tcPr>
          <w:p w:rsidR="003663E4" w:rsidRDefault="00FD3F7D">
            <w:pPr>
              <w:jc w:val="right"/>
            </w:pPr>
            <w:r>
              <w:rPr>
                <w:color w:val="000000"/>
                <w:szCs w:val="21"/>
              </w:rPr>
              <w:t>68,524.83</w:t>
            </w:r>
          </w:p>
        </w:tc>
        <w:tc>
          <w:tcPr>
            <w:tcW w:w="3150" w:type="dxa"/>
            <w:vAlign w:val="center"/>
          </w:tcPr>
          <w:p w:rsidR="003663E4" w:rsidRDefault="00FD3F7D">
            <w:pPr>
              <w:jc w:val="right"/>
            </w:pPr>
            <w:r>
              <w:rPr>
                <w:color w:val="000000"/>
                <w:szCs w:val="21"/>
              </w:rPr>
              <w:t>130,000.00</w:t>
            </w:r>
          </w:p>
        </w:tc>
      </w:tr>
      <w:tr w:rsidR="003663E4">
        <w:tc>
          <w:tcPr>
            <w:tcW w:w="2715" w:type="dxa"/>
            <w:vAlign w:val="center"/>
          </w:tcPr>
          <w:p w:rsidR="003663E4" w:rsidRDefault="00FD3F7D">
            <w:pPr>
              <w:jc w:val="left"/>
            </w:pPr>
            <w:r>
              <w:rPr>
                <w:color w:val="000000"/>
                <w:szCs w:val="21"/>
              </w:rPr>
              <w:t>预提账户维护费</w:t>
            </w:r>
          </w:p>
        </w:tc>
        <w:tc>
          <w:tcPr>
            <w:tcW w:w="3150" w:type="dxa"/>
            <w:vAlign w:val="center"/>
          </w:tcPr>
          <w:p w:rsidR="003663E4" w:rsidRDefault="00FD3F7D">
            <w:pPr>
              <w:jc w:val="right"/>
            </w:pPr>
            <w:r>
              <w:rPr>
                <w:color w:val="000000"/>
                <w:szCs w:val="21"/>
              </w:rPr>
              <w:t>2,729.16</w:t>
            </w:r>
          </w:p>
        </w:tc>
        <w:tc>
          <w:tcPr>
            <w:tcW w:w="3150" w:type="dxa"/>
            <w:vAlign w:val="center"/>
          </w:tcPr>
          <w:p w:rsidR="003663E4" w:rsidRDefault="00FD3F7D">
            <w:pPr>
              <w:jc w:val="right"/>
            </w:pPr>
            <w:r>
              <w:rPr>
                <w:color w:val="000000"/>
                <w:szCs w:val="21"/>
              </w:rPr>
              <w:t>9,300.00</w:t>
            </w:r>
          </w:p>
        </w:tc>
      </w:tr>
      <w:tr w:rsidR="003663E4">
        <w:trPr>
          <w:trHeight w:val="325"/>
        </w:trPr>
        <w:tc>
          <w:tcPr>
            <w:tcW w:w="2715" w:type="dxa"/>
            <w:vAlign w:val="center"/>
          </w:tcPr>
          <w:p w:rsidR="003663E4" w:rsidRDefault="00FD3F7D">
            <w:pPr>
              <w:spacing w:line="276" w:lineRule="auto"/>
              <w:rPr>
                <w:color w:val="000000"/>
                <w:szCs w:val="21"/>
              </w:rPr>
            </w:pPr>
            <w:r>
              <w:rPr>
                <w:color w:val="000000"/>
                <w:szCs w:val="21"/>
              </w:rPr>
              <w:t>合计</w:t>
            </w:r>
          </w:p>
        </w:tc>
        <w:tc>
          <w:tcPr>
            <w:tcW w:w="3150" w:type="dxa"/>
            <w:vAlign w:val="center"/>
          </w:tcPr>
          <w:p w:rsidR="003663E4" w:rsidRDefault="00FD3F7D">
            <w:pPr>
              <w:spacing w:line="276" w:lineRule="auto"/>
              <w:jc w:val="right"/>
              <w:rPr>
                <w:color w:val="000000"/>
                <w:szCs w:val="21"/>
              </w:rPr>
            </w:pPr>
            <w:r>
              <w:rPr>
                <w:color w:val="000000"/>
                <w:szCs w:val="21"/>
              </w:rPr>
              <w:t>139,778.82</w:t>
            </w:r>
          </w:p>
        </w:tc>
        <w:tc>
          <w:tcPr>
            <w:tcW w:w="3150" w:type="dxa"/>
            <w:vAlign w:val="center"/>
          </w:tcPr>
          <w:p w:rsidR="003663E4" w:rsidRDefault="00FD3F7D">
            <w:pPr>
              <w:spacing w:line="276" w:lineRule="auto"/>
              <w:jc w:val="right"/>
              <w:rPr>
                <w:color w:val="000000"/>
                <w:szCs w:val="21"/>
              </w:rPr>
            </w:pPr>
            <w:r>
              <w:rPr>
                <w:color w:val="000000"/>
                <w:szCs w:val="21"/>
              </w:rPr>
              <w:t>259,300.00</w:t>
            </w:r>
          </w:p>
        </w:tc>
      </w:tr>
    </w:tbl>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7.2.4.7.9 </w:t>
      </w:r>
      <w:r>
        <w:rPr>
          <w:b/>
          <w:bCs/>
          <w:color w:val="000000"/>
          <w:kern w:val="0"/>
          <w:szCs w:val="21"/>
        </w:rPr>
        <w:t>实收基金</w:t>
      </w:r>
    </w:p>
    <w:p w:rsidR="003663E4" w:rsidRDefault="00FD3F7D">
      <w:pPr>
        <w:adjustRightInd w:val="0"/>
        <w:snapToGrid w:val="0"/>
        <w:spacing w:line="360" w:lineRule="auto"/>
        <w:rPr>
          <w:b/>
          <w:color w:val="000000"/>
          <w:szCs w:val="21"/>
        </w:rPr>
      </w:pPr>
      <w:r>
        <w:rPr>
          <w:color w:val="000000"/>
          <w:szCs w:val="21"/>
        </w:rPr>
        <w:t>交银理财</w:t>
      </w:r>
      <w:r>
        <w:rPr>
          <w:color w:val="000000"/>
          <w:szCs w:val="21"/>
        </w:rPr>
        <w:t>60</w:t>
      </w:r>
      <w:r>
        <w:rPr>
          <w:color w:val="000000"/>
          <w:szCs w:val="21"/>
        </w:rPr>
        <w:t>天债券</w:t>
      </w:r>
      <w:r>
        <w:rPr>
          <w:color w:val="000000"/>
          <w:szCs w:val="21"/>
        </w:rPr>
        <w:t>A</w:t>
      </w:r>
    </w:p>
    <w:p w:rsidR="003663E4" w:rsidRDefault="00FD3F7D">
      <w:pPr>
        <w:adjustRightInd w:val="0"/>
        <w:snapToGrid w:val="0"/>
        <w:spacing w:line="360" w:lineRule="auto"/>
        <w:jc w:val="right"/>
        <w:rPr>
          <w:color w:val="000000"/>
          <w:szCs w:val="21"/>
        </w:rPr>
      </w:pPr>
      <w:r>
        <w:rPr>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3663E4">
        <w:tc>
          <w:tcPr>
            <w:tcW w:w="3120" w:type="dxa"/>
            <w:vMerge w:val="restart"/>
            <w:vAlign w:val="center"/>
          </w:tcPr>
          <w:p w:rsidR="003663E4" w:rsidRDefault="00FD3F7D">
            <w:pPr>
              <w:widowControl/>
              <w:autoSpaceDE w:val="0"/>
              <w:autoSpaceDN w:val="0"/>
              <w:spacing w:line="360" w:lineRule="auto"/>
              <w:ind w:right="-15"/>
              <w:jc w:val="center"/>
              <w:textAlignment w:val="bottom"/>
              <w:rPr>
                <w:color w:val="000000"/>
                <w:szCs w:val="21"/>
              </w:rPr>
            </w:pPr>
            <w:r>
              <w:rPr>
                <w:color w:val="000000"/>
                <w:szCs w:val="21"/>
              </w:rPr>
              <w:t>项目</w:t>
            </w:r>
          </w:p>
        </w:tc>
        <w:tc>
          <w:tcPr>
            <w:tcW w:w="6240" w:type="dxa"/>
            <w:gridSpan w:val="2"/>
            <w:vAlign w:val="center"/>
          </w:tcPr>
          <w:p w:rsidR="003663E4" w:rsidRDefault="00FD3F7D">
            <w:pPr>
              <w:spacing w:line="360" w:lineRule="auto"/>
              <w:jc w:val="center"/>
              <w:rPr>
                <w:color w:val="000000"/>
                <w:szCs w:val="21"/>
              </w:rPr>
            </w:pPr>
            <w:r>
              <w:rPr>
                <w:color w:val="000000"/>
                <w:szCs w:val="21"/>
              </w:rPr>
              <w:t>本期</w:t>
            </w:r>
          </w:p>
          <w:p w:rsidR="003663E4" w:rsidRDefault="00FD3F7D">
            <w:pPr>
              <w:widowControl/>
              <w:autoSpaceDE w:val="0"/>
              <w:autoSpaceDN w:val="0"/>
              <w:spacing w:line="360"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p>
        </w:tc>
      </w:tr>
      <w:tr w:rsidR="003663E4">
        <w:tc>
          <w:tcPr>
            <w:tcW w:w="3120" w:type="dxa"/>
            <w:vMerge/>
            <w:vAlign w:val="center"/>
          </w:tcPr>
          <w:p w:rsidR="003663E4" w:rsidRDefault="003663E4">
            <w:pPr>
              <w:widowControl/>
              <w:spacing w:line="360" w:lineRule="auto"/>
              <w:jc w:val="left"/>
              <w:rPr>
                <w:color w:val="000000"/>
                <w:szCs w:val="21"/>
              </w:rPr>
            </w:pPr>
          </w:p>
        </w:tc>
        <w:tc>
          <w:tcPr>
            <w:tcW w:w="3120" w:type="dxa"/>
            <w:vAlign w:val="center"/>
          </w:tcPr>
          <w:p w:rsidR="003663E4" w:rsidRDefault="00FD3F7D">
            <w:pPr>
              <w:widowControl/>
              <w:autoSpaceDE w:val="0"/>
              <w:autoSpaceDN w:val="0"/>
              <w:spacing w:line="360" w:lineRule="auto"/>
              <w:ind w:right="-15"/>
              <w:jc w:val="center"/>
              <w:textAlignment w:val="bottom"/>
              <w:rPr>
                <w:color w:val="000000"/>
                <w:szCs w:val="21"/>
              </w:rPr>
            </w:pPr>
            <w:r>
              <w:rPr>
                <w:color w:val="000000"/>
                <w:kern w:val="0"/>
                <w:szCs w:val="21"/>
              </w:rPr>
              <w:t>基金份额</w:t>
            </w:r>
            <w:r>
              <w:rPr>
                <w:rFonts w:eastAsiaTheme="minorEastAsia"/>
                <w:color w:val="000000" w:themeColor="text1"/>
                <w:szCs w:val="21"/>
              </w:rPr>
              <w:t>（份）</w:t>
            </w:r>
          </w:p>
        </w:tc>
        <w:tc>
          <w:tcPr>
            <w:tcW w:w="3120" w:type="dxa"/>
            <w:vAlign w:val="center"/>
          </w:tcPr>
          <w:p w:rsidR="003663E4" w:rsidRDefault="00FD3F7D">
            <w:pPr>
              <w:widowControl/>
              <w:autoSpaceDE w:val="0"/>
              <w:autoSpaceDN w:val="0"/>
              <w:spacing w:line="360" w:lineRule="auto"/>
              <w:ind w:right="-15"/>
              <w:jc w:val="center"/>
              <w:textAlignment w:val="bottom"/>
              <w:rPr>
                <w:color w:val="000000"/>
                <w:szCs w:val="21"/>
              </w:rPr>
            </w:pPr>
            <w:r>
              <w:rPr>
                <w:color w:val="000000"/>
                <w:kern w:val="0"/>
                <w:szCs w:val="21"/>
              </w:rPr>
              <w:t>账面金额</w:t>
            </w:r>
          </w:p>
        </w:tc>
      </w:tr>
      <w:tr w:rsidR="003663E4">
        <w:tc>
          <w:tcPr>
            <w:tcW w:w="3120" w:type="dxa"/>
            <w:vAlign w:val="center"/>
          </w:tcPr>
          <w:p w:rsidR="003663E4" w:rsidRDefault="00FD3F7D">
            <w:pPr>
              <w:spacing w:line="360" w:lineRule="auto"/>
              <w:rPr>
                <w:color w:val="000000"/>
                <w:szCs w:val="21"/>
              </w:rPr>
            </w:pPr>
            <w:r>
              <w:rPr>
                <w:color w:val="000000"/>
                <w:szCs w:val="21"/>
              </w:rPr>
              <w:t>上年度末</w:t>
            </w:r>
          </w:p>
        </w:tc>
        <w:tc>
          <w:tcPr>
            <w:tcW w:w="3120" w:type="dxa"/>
            <w:vAlign w:val="center"/>
          </w:tcPr>
          <w:p w:rsidR="003663E4" w:rsidRDefault="00FD3F7D">
            <w:pPr>
              <w:spacing w:line="360" w:lineRule="auto"/>
              <w:jc w:val="right"/>
              <w:rPr>
                <w:color w:val="000000"/>
                <w:szCs w:val="21"/>
              </w:rPr>
            </w:pPr>
            <w:r>
              <w:rPr>
                <w:color w:val="000000"/>
                <w:szCs w:val="21"/>
              </w:rPr>
              <w:t>5,498,988.29</w:t>
            </w:r>
          </w:p>
        </w:tc>
        <w:tc>
          <w:tcPr>
            <w:tcW w:w="3120" w:type="dxa"/>
            <w:vAlign w:val="center"/>
          </w:tcPr>
          <w:p w:rsidR="003663E4" w:rsidRDefault="00FD3F7D">
            <w:pPr>
              <w:spacing w:line="360" w:lineRule="auto"/>
              <w:jc w:val="right"/>
              <w:rPr>
                <w:color w:val="000000"/>
                <w:szCs w:val="21"/>
              </w:rPr>
            </w:pPr>
            <w:r>
              <w:rPr>
                <w:color w:val="000000"/>
                <w:szCs w:val="21"/>
              </w:rPr>
              <w:t>5,498,988.29</w:t>
            </w:r>
          </w:p>
        </w:tc>
      </w:tr>
      <w:tr w:rsidR="003663E4">
        <w:tc>
          <w:tcPr>
            <w:tcW w:w="3120" w:type="dxa"/>
            <w:vAlign w:val="center"/>
          </w:tcPr>
          <w:p w:rsidR="003663E4" w:rsidRDefault="00FD3F7D">
            <w:pPr>
              <w:spacing w:line="360" w:lineRule="auto"/>
              <w:rPr>
                <w:color w:val="000000"/>
                <w:szCs w:val="21"/>
              </w:rPr>
            </w:pPr>
            <w:r>
              <w:rPr>
                <w:color w:val="000000"/>
                <w:szCs w:val="21"/>
              </w:rPr>
              <w:t>本期申购</w:t>
            </w:r>
          </w:p>
        </w:tc>
        <w:tc>
          <w:tcPr>
            <w:tcW w:w="3120" w:type="dxa"/>
            <w:vAlign w:val="center"/>
          </w:tcPr>
          <w:p w:rsidR="003663E4" w:rsidRDefault="00FD3F7D">
            <w:pPr>
              <w:spacing w:line="360" w:lineRule="auto"/>
              <w:jc w:val="right"/>
              <w:rPr>
                <w:color w:val="000000"/>
                <w:szCs w:val="21"/>
              </w:rPr>
            </w:pPr>
            <w:r>
              <w:rPr>
                <w:color w:val="000000"/>
                <w:szCs w:val="21"/>
              </w:rPr>
              <w:t>113,156.57</w:t>
            </w:r>
          </w:p>
        </w:tc>
        <w:tc>
          <w:tcPr>
            <w:tcW w:w="3120" w:type="dxa"/>
            <w:vAlign w:val="center"/>
          </w:tcPr>
          <w:p w:rsidR="003663E4" w:rsidRDefault="00FD3F7D">
            <w:pPr>
              <w:spacing w:line="360" w:lineRule="auto"/>
              <w:jc w:val="right"/>
              <w:rPr>
                <w:color w:val="000000"/>
                <w:szCs w:val="21"/>
              </w:rPr>
            </w:pPr>
            <w:r>
              <w:rPr>
                <w:color w:val="000000"/>
                <w:szCs w:val="21"/>
              </w:rPr>
              <w:t>113,156.57</w:t>
            </w:r>
          </w:p>
        </w:tc>
      </w:tr>
      <w:tr w:rsidR="003663E4">
        <w:tc>
          <w:tcPr>
            <w:tcW w:w="3120" w:type="dxa"/>
            <w:vAlign w:val="center"/>
          </w:tcPr>
          <w:p w:rsidR="003663E4" w:rsidRDefault="00FD3F7D">
            <w:pPr>
              <w:spacing w:line="360" w:lineRule="auto"/>
              <w:rPr>
                <w:color w:val="000000"/>
                <w:szCs w:val="21"/>
              </w:rPr>
            </w:pPr>
            <w:r>
              <w:rPr>
                <w:color w:val="000000"/>
                <w:szCs w:val="21"/>
              </w:rPr>
              <w:t>本期赎回（以</w:t>
            </w:r>
            <w:r>
              <w:rPr>
                <w:color w:val="000000"/>
                <w:szCs w:val="21"/>
              </w:rPr>
              <w:t>“-”</w:t>
            </w:r>
            <w:r>
              <w:rPr>
                <w:color w:val="000000"/>
                <w:szCs w:val="21"/>
              </w:rPr>
              <w:t>号填列）</w:t>
            </w:r>
          </w:p>
        </w:tc>
        <w:tc>
          <w:tcPr>
            <w:tcW w:w="3120" w:type="dxa"/>
            <w:vAlign w:val="center"/>
          </w:tcPr>
          <w:p w:rsidR="003663E4" w:rsidRDefault="00FD3F7D">
            <w:pPr>
              <w:spacing w:line="360" w:lineRule="auto"/>
              <w:jc w:val="right"/>
              <w:rPr>
                <w:color w:val="000000"/>
                <w:szCs w:val="21"/>
              </w:rPr>
            </w:pPr>
            <w:r>
              <w:rPr>
                <w:color w:val="000000"/>
                <w:szCs w:val="21"/>
              </w:rPr>
              <w:t>-2,265,656.92</w:t>
            </w:r>
          </w:p>
        </w:tc>
        <w:tc>
          <w:tcPr>
            <w:tcW w:w="3120" w:type="dxa"/>
            <w:vAlign w:val="center"/>
          </w:tcPr>
          <w:p w:rsidR="003663E4" w:rsidRDefault="00FD3F7D">
            <w:pPr>
              <w:spacing w:line="360" w:lineRule="auto"/>
              <w:jc w:val="right"/>
              <w:rPr>
                <w:color w:val="000000"/>
                <w:szCs w:val="21"/>
              </w:rPr>
            </w:pPr>
            <w:r>
              <w:rPr>
                <w:color w:val="000000"/>
                <w:szCs w:val="21"/>
              </w:rPr>
              <w:t>-2,265,656.92</w:t>
            </w:r>
          </w:p>
        </w:tc>
      </w:tr>
      <w:tr w:rsidR="003663E4">
        <w:tc>
          <w:tcPr>
            <w:tcW w:w="3120" w:type="dxa"/>
            <w:vAlign w:val="center"/>
          </w:tcPr>
          <w:p w:rsidR="003663E4" w:rsidRDefault="00FD3F7D">
            <w:pPr>
              <w:spacing w:line="360" w:lineRule="auto"/>
              <w:rPr>
                <w:color w:val="000000"/>
                <w:szCs w:val="21"/>
              </w:rPr>
            </w:pPr>
            <w:r>
              <w:rPr>
                <w:color w:val="000000"/>
                <w:szCs w:val="21"/>
              </w:rPr>
              <w:t>本期末</w:t>
            </w:r>
          </w:p>
        </w:tc>
        <w:tc>
          <w:tcPr>
            <w:tcW w:w="3120" w:type="dxa"/>
            <w:vAlign w:val="center"/>
          </w:tcPr>
          <w:p w:rsidR="003663E4" w:rsidRDefault="00FD3F7D">
            <w:pPr>
              <w:spacing w:line="360" w:lineRule="auto"/>
              <w:jc w:val="right"/>
              <w:rPr>
                <w:color w:val="000000"/>
                <w:szCs w:val="21"/>
              </w:rPr>
            </w:pPr>
            <w:r>
              <w:rPr>
                <w:color w:val="000000"/>
                <w:szCs w:val="21"/>
              </w:rPr>
              <w:t>3,346,487.94</w:t>
            </w:r>
          </w:p>
        </w:tc>
        <w:tc>
          <w:tcPr>
            <w:tcW w:w="3120" w:type="dxa"/>
            <w:vAlign w:val="center"/>
          </w:tcPr>
          <w:p w:rsidR="003663E4" w:rsidRDefault="00FD3F7D">
            <w:pPr>
              <w:spacing w:line="360" w:lineRule="auto"/>
              <w:jc w:val="right"/>
              <w:rPr>
                <w:color w:val="000000"/>
                <w:szCs w:val="21"/>
              </w:rPr>
            </w:pPr>
            <w:r>
              <w:rPr>
                <w:color w:val="000000"/>
                <w:szCs w:val="21"/>
              </w:rPr>
              <w:t>3,346,487.94</w:t>
            </w:r>
          </w:p>
        </w:tc>
      </w:tr>
    </w:tbl>
    <w:p w:rsidR="003663E4" w:rsidRDefault="00FD3F7D">
      <w:pPr>
        <w:adjustRightInd w:val="0"/>
        <w:snapToGrid w:val="0"/>
        <w:spacing w:line="360" w:lineRule="auto"/>
        <w:rPr>
          <w:b/>
          <w:color w:val="000000"/>
          <w:szCs w:val="21"/>
        </w:rPr>
      </w:pPr>
      <w:r>
        <w:rPr>
          <w:color w:val="000000"/>
          <w:szCs w:val="21"/>
        </w:rPr>
        <w:t>交银理财</w:t>
      </w:r>
      <w:r>
        <w:rPr>
          <w:color w:val="000000"/>
          <w:szCs w:val="21"/>
        </w:rPr>
        <w:t>60</w:t>
      </w:r>
      <w:r>
        <w:rPr>
          <w:color w:val="000000"/>
          <w:szCs w:val="21"/>
        </w:rPr>
        <w:t>天债券</w:t>
      </w:r>
      <w:r>
        <w:rPr>
          <w:color w:val="000000"/>
          <w:szCs w:val="21"/>
        </w:rPr>
        <w:t>B</w:t>
      </w:r>
    </w:p>
    <w:p w:rsidR="003663E4" w:rsidRDefault="00FD3F7D">
      <w:pPr>
        <w:adjustRightInd w:val="0"/>
        <w:snapToGrid w:val="0"/>
        <w:spacing w:line="360" w:lineRule="auto"/>
        <w:jc w:val="right"/>
        <w:rPr>
          <w:color w:val="000000"/>
          <w:szCs w:val="21"/>
        </w:rPr>
      </w:pPr>
      <w:r>
        <w:rPr>
          <w:color w:val="000000"/>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3663E4">
        <w:tc>
          <w:tcPr>
            <w:tcW w:w="3120" w:type="dxa"/>
            <w:vMerge w:val="restart"/>
            <w:vAlign w:val="center"/>
          </w:tcPr>
          <w:p w:rsidR="003663E4" w:rsidRDefault="00FD3F7D">
            <w:pPr>
              <w:widowControl/>
              <w:autoSpaceDE w:val="0"/>
              <w:autoSpaceDN w:val="0"/>
              <w:spacing w:line="360" w:lineRule="auto"/>
              <w:ind w:right="-15"/>
              <w:jc w:val="center"/>
              <w:textAlignment w:val="bottom"/>
              <w:rPr>
                <w:color w:val="000000"/>
                <w:szCs w:val="21"/>
              </w:rPr>
            </w:pPr>
            <w:r>
              <w:rPr>
                <w:color w:val="000000"/>
                <w:szCs w:val="21"/>
              </w:rPr>
              <w:t>项目</w:t>
            </w:r>
          </w:p>
        </w:tc>
        <w:tc>
          <w:tcPr>
            <w:tcW w:w="6240" w:type="dxa"/>
            <w:gridSpan w:val="2"/>
            <w:vAlign w:val="center"/>
          </w:tcPr>
          <w:p w:rsidR="003663E4" w:rsidRDefault="00FD3F7D">
            <w:pPr>
              <w:widowControl/>
              <w:autoSpaceDE w:val="0"/>
              <w:autoSpaceDN w:val="0"/>
              <w:spacing w:line="360" w:lineRule="auto"/>
              <w:ind w:right="-15"/>
              <w:jc w:val="center"/>
              <w:textAlignment w:val="bottom"/>
              <w:rPr>
                <w:color w:val="000000"/>
                <w:szCs w:val="21"/>
              </w:rPr>
            </w:pPr>
            <w:r>
              <w:rPr>
                <w:color w:val="000000"/>
                <w:szCs w:val="21"/>
              </w:rPr>
              <w:t>本期</w:t>
            </w:r>
          </w:p>
          <w:p w:rsidR="003663E4" w:rsidRDefault="00FD3F7D">
            <w:pPr>
              <w:widowControl/>
              <w:autoSpaceDE w:val="0"/>
              <w:autoSpaceDN w:val="0"/>
              <w:spacing w:line="360"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p>
        </w:tc>
      </w:tr>
      <w:tr w:rsidR="003663E4">
        <w:tc>
          <w:tcPr>
            <w:tcW w:w="3120" w:type="dxa"/>
            <w:vMerge/>
            <w:vAlign w:val="center"/>
          </w:tcPr>
          <w:p w:rsidR="003663E4" w:rsidRDefault="003663E4">
            <w:pPr>
              <w:widowControl/>
              <w:spacing w:line="360" w:lineRule="auto"/>
              <w:jc w:val="left"/>
              <w:rPr>
                <w:color w:val="000000"/>
                <w:szCs w:val="21"/>
              </w:rPr>
            </w:pPr>
          </w:p>
        </w:tc>
        <w:tc>
          <w:tcPr>
            <w:tcW w:w="3120" w:type="dxa"/>
            <w:vAlign w:val="center"/>
          </w:tcPr>
          <w:p w:rsidR="003663E4" w:rsidRDefault="00FD3F7D">
            <w:pPr>
              <w:widowControl/>
              <w:autoSpaceDE w:val="0"/>
              <w:autoSpaceDN w:val="0"/>
              <w:spacing w:line="360" w:lineRule="auto"/>
              <w:ind w:right="-15"/>
              <w:jc w:val="center"/>
              <w:textAlignment w:val="bottom"/>
              <w:rPr>
                <w:color w:val="000000"/>
                <w:szCs w:val="21"/>
              </w:rPr>
            </w:pPr>
            <w:r>
              <w:rPr>
                <w:color w:val="000000"/>
                <w:kern w:val="0"/>
                <w:szCs w:val="21"/>
              </w:rPr>
              <w:t>基金份额</w:t>
            </w:r>
            <w:r>
              <w:rPr>
                <w:rFonts w:eastAsiaTheme="minorEastAsia"/>
                <w:color w:val="000000" w:themeColor="text1"/>
                <w:szCs w:val="21"/>
              </w:rPr>
              <w:t>（份）</w:t>
            </w:r>
          </w:p>
        </w:tc>
        <w:tc>
          <w:tcPr>
            <w:tcW w:w="3120" w:type="dxa"/>
            <w:vAlign w:val="center"/>
          </w:tcPr>
          <w:p w:rsidR="003663E4" w:rsidRDefault="00FD3F7D">
            <w:pPr>
              <w:widowControl/>
              <w:autoSpaceDE w:val="0"/>
              <w:autoSpaceDN w:val="0"/>
              <w:spacing w:line="360" w:lineRule="auto"/>
              <w:ind w:right="-15"/>
              <w:jc w:val="center"/>
              <w:textAlignment w:val="bottom"/>
              <w:rPr>
                <w:color w:val="000000"/>
                <w:szCs w:val="21"/>
              </w:rPr>
            </w:pPr>
            <w:r>
              <w:rPr>
                <w:color w:val="000000"/>
                <w:kern w:val="0"/>
                <w:szCs w:val="21"/>
              </w:rPr>
              <w:t>账面金额</w:t>
            </w:r>
          </w:p>
        </w:tc>
      </w:tr>
      <w:tr w:rsidR="003663E4">
        <w:tc>
          <w:tcPr>
            <w:tcW w:w="3120" w:type="dxa"/>
            <w:vAlign w:val="center"/>
          </w:tcPr>
          <w:p w:rsidR="003663E4" w:rsidRDefault="00FD3F7D">
            <w:pPr>
              <w:spacing w:line="360" w:lineRule="auto"/>
              <w:rPr>
                <w:color w:val="000000"/>
                <w:szCs w:val="21"/>
              </w:rPr>
            </w:pPr>
            <w:r>
              <w:rPr>
                <w:color w:val="000000"/>
                <w:szCs w:val="21"/>
              </w:rPr>
              <w:t>上年度末</w:t>
            </w:r>
          </w:p>
        </w:tc>
        <w:tc>
          <w:tcPr>
            <w:tcW w:w="3120" w:type="dxa"/>
            <w:vAlign w:val="center"/>
          </w:tcPr>
          <w:p w:rsidR="003663E4" w:rsidRDefault="00FD3F7D">
            <w:pPr>
              <w:spacing w:line="360" w:lineRule="auto"/>
              <w:jc w:val="right"/>
              <w:rPr>
                <w:color w:val="000000"/>
                <w:szCs w:val="21"/>
              </w:rPr>
            </w:pPr>
            <w:r>
              <w:rPr>
                <w:color w:val="000000"/>
                <w:szCs w:val="21"/>
              </w:rPr>
              <w:t>7,089,630,685.43</w:t>
            </w:r>
          </w:p>
        </w:tc>
        <w:tc>
          <w:tcPr>
            <w:tcW w:w="3120" w:type="dxa"/>
            <w:vAlign w:val="center"/>
          </w:tcPr>
          <w:p w:rsidR="003663E4" w:rsidRDefault="00FD3F7D">
            <w:pPr>
              <w:spacing w:line="360" w:lineRule="auto"/>
              <w:jc w:val="right"/>
              <w:rPr>
                <w:color w:val="000000"/>
                <w:szCs w:val="21"/>
              </w:rPr>
            </w:pPr>
            <w:r>
              <w:rPr>
                <w:color w:val="000000"/>
                <w:szCs w:val="21"/>
              </w:rPr>
              <w:t>7,089,630,685.43</w:t>
            </w:r>
          </w:p>
        </w:tc>
      </w:tr>
      <w:tr w:rsidR="003663E4">
        <w:tc>
          <w:tcPr>
            <w:tcW w:w="3120" w:type="dxa"/>
            <w:vAlign w:val="center"/>
          </w:tcPr>
          <w:p w:rsidR="003663E4" w:rsidRDefault="00FD3F7D">
            <w:pPr>
              <w:spacing w:line="360" w:lineRule="auto"/>
              <w:rPr>
                <w:color w:val="000000"/>
                <w:szCs w:val="21"/>
              </w:rPr>
            </w:pPr>
            <w:r>
              <w:rPr>
                <w:color w:val="000000"/>
                <w:szCs w:val="21"/>
              </w:rPr>
              <w:t>本期申购</w:t>
            </w:r>
          </w:p>
        </w:tc>
        <w:tc>
          <w:tcPr>
            <w:tcW w:w="3120" w:type="dxa"/>
            <w:vAlign w:val="center"/>
          </w:tcPr>
          <w:p w:rsidR="003663E4" w:rsidRDefault="00FD3F7D">
            <w:pPr>
              <w:spacing w:line="360" w:lineRule="auto"/>
              <w:jc w:val="right"/>
              <w:rPr>
                <w:color w:val="000000"/>
                <w:szCs w:val="21"/>
              </w:rPr>
            </w:pPr>
            <w:r>
              <w:rPr>
                <w:color w:val="000000"/>
                <w:szCs w:val="21"/>
              </w:rPr>
              <w:t>113,653,963.51</w:t>
            </w:r>
          </w:p>
        </w:tc>
        <w:tc>
          <w:tcPr>
            <w:tcW w:w="3120" w:type="dxa"/>
            <w:vAlign w:val="center"/>
          </w:tcPr>
          <w:p w:rsidR="003663E4" w:rsidRDefault="00FD3F7D">
            <w:pPr>
              <w:spacing w:line="360" w:lineRule="auto"/>
              <w:jc w:val="right"/>
              <w:rPr>
                <w:color w:val="000000"/>
                <w:szCs w:val="21"/>
              </w:rPr>
            </w:pPr>
            <w:r>
              <w:rPr>
                <w:color w:val="000000"/>
                <w:szCs w:val="21"/>
              </w:rPr>
              <w:t>113,653,963.51</w:t>
            </w:r>
          </w:p>
        </w:tc>
      </w:tr>
      <w:tr w:rsidR="003663E4">
        <w:tc>
          <w:tcPr>
            <w:tcW w:w="3120" w:type="dxa"/>
            <w:vAlign w:val="center"/>
          </w:tcPr>
          <w:p w:rsidR="003663E4" w:rsidRDefault="00FD3F7D">
            <w:pPr>
              <w:spacing w:line="360" w:lineRule="auto"/>
              <w:rPr>
                <w:color w:val="000000"/>
                <w:szCs w:val="21"/>
              </w:rPr>
            </w:pPr>
            <w:r>
              <w:rPr>
                <w:color w:val="000000"/>
                <w:szCs w:val="21"/>
              </w:rPr>
              <w:t>本期赎回（以</w:t>
            </w:r>
            <w:r>
              <w:rPr>
                <w:color w:val="000000"/>
                <w:szCs w:val="21"/>
              </w:rPr>
              <w:t>“-”</w:t>
            </w:r>
            <w:r>
              <w:rPr>
                <w:color w:val="000000"/>
                <w:szCs w:val="21"/>
              </w:rPr>
              <w:t>号填列）</w:t>
            </w:r>
          </w:p>
        </w:tc>
        <w:tc>
          <w:tcPr>
            <w:tcW w:w="3120" w:type="dxa"/>
            <w:vAlign w:val="center"/>
          </w:tcPr>
          <w:p w:rsidR="003663E4" w:rsidRDefault="00FD3F7D">
            <w:pPr>
              <w:spacing w:line="360" w:lineRule="auto"/>
              <w:jc w:val="right"/>
              <w:rPr>
                <w:color w:val="000000"/>
                <w:szCs w:val="21"/>
              </w:rPr>
            </w:pPr>
            <w:r>
              <w:rPr>
                <w:color w:val="000000"/>
                <w:szCs w:val="21"/>
              </w:rPr>
              <w:t>-6,436,572,136.12</w:t>
            </w:r>
          </w:p>
        </w:tc>
        <w:tc>
          <w:tcPr>
            <w:tcW w:w="3120" w:type="dxa"/>
            <w:vAlign w:val="center"/>
          </w:tcPr>
          <w:p w:rsidR="003663E4" w:rsidRDefault="00FD3F7D">
            <w:pPr>
              <w:spacing w:line="360" w:lineRule="auto"/>
              <w:jc w:val="right"/>
              <w:rPr>
                <w:color w:val="000000"/>
                <w:szCs w:val="21"/>
              </w:rPr>
            </w:pPr>
            <w:r>
              <w:rPr>
                <w:color w:val="000000"/>
                <w:szCs w:val="21"/>
              </w:rPr>
              <w:t>-6,436,572,136.12</w:t>
            </w:r>
          </w:p>
        </w:tc>
      </w:tr>
      <w:tr w:rsidR="003663E4">
        <w:tc>
          <w:tcPr>
            <w:tcW w:w="3120" w:type="dxa"/>
            <w:vAlign w:val="center"/>
          </w:tcPr>
          <w:p w:rsidR="003663E4" w:rsidRDefault="00FD3F7D">
            <w:pPr>
              <w:spacing w:line="360" w:lineRule="auto"/>
              <w:rPr>
                <w:color w:val="000000"/>
                <w:szCs w:val="21"/>
              </w:rPr>
            </w:pPr>
            <w:r>
              <w:rPr>
                <w:color w:val="000000"/>
                <w:szCs w:val="21"/>
              </w:rPr>
              <w:t>本期末</w:t>
            </w:r>
          </w:p>
        </w:tc>
        <w:tc>
          <w:tcPr>
            <w:tcW w:w="3120" w:type="dxa"/>
            <w:vAlign w:val="center"/>
          </w:tcPr>
          <w:p w:rsidR="003663E4" w:rsidRDefault="00FD3F7D">
            <w:pPr>
              <w:spacing w:line="360" w:lineRule="auto"/>
              <w:jc w:val="right"/>
              <w:rPr>
                <w:color w:val="000000"/>
                <w:szCs w:val="21"/>
              </w:rPr>
            </w:pPr>
            <w:r>
              <w:rPr>
                <w:color w:val="000000"/>
                <w:szCs w:val="21"/>
              </w:rPr>
              <w:t>766,712,512.82</w:t>
            </w:r>
          </w:p>
        </w:tc>
        <w:tc>
          <w:tcPr>
            <w:tcW w:w="3120" w:type="dxa"/>
            <w:vAlign w:val="center"/>
          </w:tcPr>
          <w:p w:rsidR="003663E4" w:rsidRDefault="00FD3F7D">
            <w:pPr>
              <w:spacing w:line="360" w:lineRule="auto"/>
              <w:jc w:val="right"/>
              <w:rPr>
                <w:color w:val="000000"/>
                <w:szCs w:val="21"/>
              </w:rPr>
            </w:pPr>
            <w:r>
              <w:rPr>
                <w:color w:val="000000"/>
                <w:szCs w:val="21"/>
              </w:rPr>
              <w:t>766,712,512.82</w:t>
            </w:r>
          </w:p>
        </w:tc>
      </w:tr>
    </w:tbl>
    <w:p w:rsidR="003663E4" w:rsidRDefault="00FD3F7D">
      <w:pPr>
        <w:adjustRightInd w:val="0"/>
        <w:snapToGrid w:val="0"/>
        <w:spacing w:line="360" w:lineRule="auto"/>
        <w:ind w:firstLineChars="200" w:firstLine="420"/>
        <w:jc w:val="left"/>
        <w:rPr>
          <w:color w:val="000000"/>
          <w:szCs w:val="21"/>
        </w:rPr>
      </w:pPr>
      <w:r>
        <w:rPr>
          <w:color w:val="000000"/>
          <w:szCs w:val="21"/>
        </w:rPr>
        <w:t>注：</w:t>
      </w:r>
      <w:r>
        <w:rPr>
          <w:color w:val="000000"/>
          <w:szCs w:val="21"/>
        </w:rPr>
        <w:t>1</w:t>
      </w:r>
      <w:r>
        <w:rPr>
          <w:color w:val="000000"/>
          <w:szCs w:val="21"/>
        </w:rPr>
        <w:t>、如果本报告期间发生转换入、红利再投业务，则总申购份额中包含该业务。</w:t>
      </w:r>
    </w:p>
    <w:p w:rsidR="003663E4" w:rsidRDefault="00FD3F7D">
      <w:pPr>
        <w:adjustRightInd w:val="0"/>
        <w:snapToGrid w:val="0"/>
        <w:spacing w:line="360" w:lineRule="auto"/>
        <w:ind w:firstLineChars="200" w:firstLine="420"/>
        <w:jc w:val="left"/>
        <w:rPr>
          <w:color w:val="000000"/>
          <w:szCs w:val="21"/>
        </w:rPr>
      </w:pPr>
      <w:r>
        <w:rPr>
          <w:color w:val="000000"/>
          <w:szCs w:val="21"/>
        </w:rPr>
        <w:t>2</w:t>
      </w:r>
      <w:r>
        <w:rPr>
          <w:color w:val="000000"/>
          <w:szCs w:val="21"/>
        </w:rPr>
        <w:t>、如果本报告期间发生转换出业务，则总赎回份额中包含该业务。</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7.2.4.7.10 </w:t>
      </w:r>
      <w:r>
        <w:rPr>
          <w:b/>
          <w:bCs/>
          <w:color w:val="000000"/>
          <w:kern w:val="0"/>
          <w:szCs w:val="21"/>
        </w:rPr>
        <w:t>未分配利润</w:t>
      </w:r>
    </w:p>
    <w:p w:rsidR="003663E4" w:rsidRDefault="00FD3F7D">
      <w:pPr>
        <w:spacing w:line="360" w:lineRule="auto"/>
        <w:rPr>
          <w:color w:val="000000"/>
          <w:szCs w:val="21"/>
        </w:rPr>
      </w:pPr>
      <w:r>
        <w:rPr>
          <w:color w:val="000000"/>
          <w:szCs w:val="21"/>
        </w:rPr>
        <w:t>交银理财</w:t>
      </w:r>
      <w:r>
        <w:rPr>
          <w:color w:val="000000"/>
          <w:szCs w:val="21"/>
        </w:rPr>
        <w:t>60</w:t>
      </w:r>
      <w:r>
        <w:rPr>
          <w:color w:val="000000"/>
          <w:szCs w:val="21"/>
        </w:rPr>
        <w:t>天债券</w:t>
      </w:r>
      <w:r>
        <w:rPr>
          <w:color w:val="000000"/>
          <w:szCs w:val="21"/>
        </w:rPr>
        <w:t>A</w:t>
      </w:r>
    </w:p>
    <w:p w:rsidR="003663E4" w:rsidRDefault="00FD3F7D">
      <w:pPr>
        <w:adjustRightInd w:val="0"/>
        <w:snapToGrid w:val="0"/>
        <w:spacing w:line="360" w:lineRule="auto"/>
        <w:jc w:val="right"/>
        <w:rPr>
          <w:color w:val="000000"/>
          <w:szCs w:val="21"/>
        </w:rPr>
      </w:pPr>
      <w:r>
        <w:rPr>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6"/>
        <w:gridCol w:w="2236"/>
        <w:gridCol w:w="2236"/>
        <w:gridCol w:w="2237"/>
      </w:tblGrid>
      <w:tr w:rsidR="003663E4">
        <w:tc>
          <w:tcPr>
            <w:tcW w:w="2706" w:type="dxa"/>
          </w:tcPr>
          <w:p w:rsidR="003663E4" w:rsidRDefault="00FD3F7D">
            <w:pPr>
              <w:spacing w:line="360" w:lineRule="auto"/>
              <w:jc w:val="center"/>
              <w:rPr>
                <w:color w:val="000000"/>
                <w:szCs w:val="21"/>
              </w:rPr>
            </w:pPr>
            <w:r>
              <w:rPr>
                <w:color w:val="000000"/>
                <w:szCs w:val="21"/>
              </w:rPr>
              <w:t>项目</w:t>
            </w:r>
          </w:p>
        </w:tc>
        <w:tc>
          <w:tcPr>
            <w:tcW w:w="2236" w:type="dxa"/>
            <w:vAlign w:val="center"/>
          </w:tcPr>
          <w:p w:rsidR="003663E4" w:rsidRDefault="00FD3F7D">
            <w:pPr>
              <w:spacing w:line="360" w:lineRule="auto"/>
              <w:jc w:val="center"/>
              <w:rPr>
                <w:color w:val="000000"/>
                <w:szCs w:val="21"/>
              </w:rPr>
            </w:pPr>
            <w:r>
              <w:rPr>
                <w:color w:val="000000"/>
                <w:szCs w:val="21"/>
              </w:rPr>
              <w:t>已实现部分</w:t>
            </w:r>
          </w:p>
        </w:tc>
        <w:tc>
          <w:tcPr>
            <w:tcW w:w="2236" w:type="dxa"/>
            <w:vAlign w:val="center"/>
          </w:tcPr>
          <w:p w:rsidR="003663E4" w:rsidRDefault="00FD3F7D">
            <w:pPr>
              <w:spacing w:line="360" w:lineRule="auto"/>
              <w:jc w:val="center"/>
              <w:rPr>
                <w:color w:val="000000"/>
                <w:szCs w:val="21"/>
              </w:rPr>
            </w:pPr>
            <w:r>
              <w:rPr>
                <w:color w:val="000000"/>
                <w:szCs w:val="21"/>
              </w:rPr>
              <w:t>未实现部分</w:t>
            </w:r>
          </w:p>
        </w:tc>
        <w:tc>
          <w:tcPr>
            <w:tcW w:w="2237" w:type="dxa"/>
            <w:vAlign w:val="center"/>
          </w:tcPr>
          <w:p w:rsidR="003663E4" w:rsidRDefault="00FD3F7D">
            <w:pPr>
              <w:spacing w:line="360" w:lineRule="auto"/>
              <w:jc w:val="center"/>
              <w:rPr>
                <w:color w:val="000000"/>
                <w:szCs w:val="21"/>
              </w:rPr>
            </w:pPr>
            <w:r>
              <w:rPr>
                <w:color w:val="000000"/>
                <w:szCs w:val="21"/>
              </w:rPr>
              <w:t>未分配利润合计</w:t>
            </w:r>
          </w:p>
        </w:tc>
      </w:tr>
      <w:tr w:rsidR="003663E4">
        <w:tc>
          <w:tcPr>
            <w:tcW w:w="2706" w:type="dxa"/>
            <w:vAlign w:val="center"/>
          </w:tcPr>
          <w:p w:rsidR="003663E4" w:rsidRDefault="00FD3F7D">
            <w:pPr>
              <w:spacing w:line="360" w:lineRule="auto"/>
              <w:rPr>
                <w:color w:val="000000"/>
                <w:szCs w:val="21"/>
              </w:rPr>
            </w:pPr>
            <w:r>
              <w:rPr>
                <w:rFonts w:ascii="宋体" w:hAnsi="宋体" w:hint="eastAsia"/>
                <w:sz w:val="24"/>
              </w:rPr>
              <w:t>上年度末</w:t>
            </w:r>
          </w:p>
        </w:tc>
        <w:tc>
          <w:tcPr>
            <w:tcW w:w="2236" w:type="dxa"/>
            <w:vAlign w:val="center"/>
          </w:tcPr>
          <w:p w:rsidR="003663E4" w:rsidRDefault="00FD3F7D">
            <w:pPr>
              <w:spacing w:line="360" w:lineRule="auto"/>
              <w:jc w:val="right"/>
              <w:rPr>
                <w:color w:val="000000"/>
                <w:szCs w:val="21"/>
              </w:rPr>
            </w:pPr>
            <w:r>
              <w:rPr>
                <w:color w:val="000000"/>
                <w:szCs w:val="21"/>
              </w:rPr>
              <w:t>-</w:t>
            </w:r>
          </w:p>
        </w:tc>
        <w:tc>
          <w:tcPr>
            <w:tcW w:w="2236" w:type="dxa"/>
            <w:vAlign w:val="center"/>
          </w:tcPr>
          <w:p w:rsidR="003663E4" w:rsidRDefault="00FD3F7D">
            <w:pPr>
              <w:spacing w:line="360" w:lineRule="auto"/>
              <w:jc w:val="right"/>
              <w:rPr>
                <w:color w:val="000000"/>
                <w:szCs w:val="21"/>
              </w:rPr>
            </w:pPr>
            <w:r>
              <w:rPr>
                <w:color w:val="000000"/>
                <w:szCs w:val="21"/>
              </w:rPr>
              <w:t>-</w:t>
            </w:r>
          </w:p>
        </w:tc>
        <w:tc>
          <w:tcPr>
            <w:tcW w:w="2237" w:type="dxa"/>
            <w:vAlign w:val="center"/>
          </w:tcPr>
          <w:p w:rsidR="003663E4" w:rsidRDefault="00FD3F7D">
            <w:pPr>
              <w:spacing w:line="360" w:lineRule="auto"/>
              <w:jc w:val="right"/>
              <w:rPr>
                <w:color w:val="000000"/>
                <w:szCs w:val="21"/>
              </w:rPr>
            </w:pPr>
            <w:r>
              <w:rPr>
                <w:color w:val="000000"/>
                <w:szCs w:val="21"/>
              </w:rPr>
              <w:t>-</w:t>
            </w:r>
          </w:p>
        </w:tc>
      </w:tr>
      <w:tr w:rsidR="003663E4">
        <w:tc>
          <w:tcPr>
            <w:tcW w:w="2706" w:type="dxa"/>
            <w:vAlign w:val="center"/>
          </w:tcPr>
          <w:p w:rsidR="003663E4" w:rsidRDefault="00FD3F7D">
            <w:pPr>
              <w:spacing w:line="360" w:lineRule="auto"/>
              <w:rPr>
                <w:color w:val="000000"/>
                <w:szCs w:val="21"/>
              </w:rPr>
            </w:pPr>
            <w:r>
              <w:rPr>
                <w:color w:val="000000"/>
                <w:szCs w:val="21"/>
              </w:rPr>
              <w:t>本期利润</w:t>
            </w:r>
          </w:p>
        </w:tc>
        <w:tc>
          <w:tcPr>
            <w:tcW w:w="2236" w:type="dxa"/>
            <w:vAlign w:val="center"/>
          </w:tcPr>
          <w:p w:rsidR="003663E4" w:rsidRDefault="00FD3F7D">
            <w:pPr>
              <w:spacing w:line="360" w:lineRule="auto"/>
              <w:jc w:val="right"/>
              <w:rPr>
                <w:color w:val="000000"/>
                <w:szCs w:val="21"/>
              </w:rPr>
            </w:pPr>
            <w:r>
              <w:rPr>
                <w:color w:val="000000"/>
                <w:szCs w:val="21"/>
              </w:rPr>
              <w:t>59,131.25</w:t>
            </w:r>
          </w:p>
        </w:tc>
        <w:tc>
          <w:tcPr>
            <w:tcW w:w="2236" w:type="dxa"/>
            <w:vAlign w:val="center"/>
          </w:tcPr>
          <w:p w:rsidR="003663E4" w:rsidRDefault="00FD3F7D">
            <w:pPr>
              <w:spacing w:line="360" w:lineRule="auto"/>
              <w:jc w:val="right"/>
              <w:rPr>
                <w:color w:val="000000"/>
                <w:szCs w:val="21"/>
              </w:rPr>
            </w:pPr>
            <w:r>
              <w:rPr>
                <w:color w:val="000000"/>
                <w:szCs w:val="21"/>
              </w:rPr>
              <w:t>-</w:t>
            </w:r>
          </w:p>
        </w:tc>
        <w:tc>
          <w:tcPr>
            <w:tcW w:w="2237" w:type="dxa"/>
            <w:vAlign w:val="center"/>
          </w:tcPr>
          <w:p w:rsidR="003663E4" w:rsidRDefault="00FD3F7D">
            <w:pPr>
              <w:spacing w:line="360" w:lineRule="auto"/>
              <w:jc w:val="right"/>
              <w:rPr>
                <w:color w:val="000000"/>
                <w:szCs w:val="21"/>
              </w:rPr>
            </w:pPr>
            <w:r>
              <w:rPr>
                <w:color w:val="000000"/>
                <w:szCs w:val="21"/>
              </w:rPr>
              <w:t>59,131.25</w:t>
            </w:r>
          </w:p>
        </w:tc>
      </w:tr>
      <w:tr w:rsidR="003663E4">
        <w:tc>
          <w:tcPr>
            <w:tcW w:w="2706" w:type="dxa"/>
            <w:vAlign w:val="center"/>
          </w:tcPr>
          <w:p w:rsidR="003663E4" w:rsidRDefault="00FD3F7D">
            <w:pPr>
              <w:spacing w:line="360" w:lineRule="auto"/>
              <w:rPr>
                <w:color w:val="000000"/>
                <w:szCs w:val="21"/>
              </w:rPr>
            </w:pPr>
            <w:r>
              <w:rPr>
                <w:color w:val="000000"/>
                <w:szCs w:val="21"/>
              </w:rPr>
              <w:t>本期基金份额交易产生的变动数</w:t>
            </w:r>
          </w:p>
        </w:tc>
        <w:tc>
          <w:tcPr>
            <w:tcW w:w="2236" w:type="dxa"/>
            <w:vAlign w:val="center"/>
          </w:tcPr>
          <w:p w:rsidR="003663E4" w:rsidRDefault="00FD3F7D">
            <w:pPr>
              <w:spacing w:line="360" w:lineRule="auto"/>
              <w:jc w:val="right"/>
              <w:rPr>
                <w:color w:val="000000"/>
                <w:szCs w:val="21"/>
              </w:rPr>
            </w:pPr>
            <w:r>
              <w:rPr>
                <w:color w:val="000000"/>
                <w:szCs w:val="21"/>
              </w:rPr>
              <w:t>-</w:t>
            </w:r>
          </w:p>
        </w:tc>
        <w:tc>
          <w:tcPr>
            <w:tcW w:w="2236" w:type="dxa"/>
            <w:vAlign w:val="center"/>
          </w:tcPr>
          <w:p w:rsidR="003663E4" w:rsidRDefault="00FD3F7D">
            <w:pPr>
              <w:spacing w:line="360" w:lineRule="auto"/>
              <w:jc w:val="right"/>
              <w:rPr>
                <w:color w:val="000000"/>
                <w:szCs w:val="21"/>
              </w:rPr>
            </w:pPr>
            <w:r>
              <w:rPr>
                <w:color w:val="000000"/>
                <w:szCs w:val="21"/>
              </w:rPr>
              <w:t>-</w:t>
            </w:r>
          </w:p>
        </w:tc>
        <w:tc>
          <w:tcPr>
            <w:tcW w:w="2237" w:type="dxa"/>
            <w:vAlign w:val="center"/>
          </w:tcPr>
          <w:p w:rsidR="003663E4" w:rsidRDefault="00FD3F7D">
            <w:pPr>
              <w:spacing w:line="360" w:lineRule="auto"/>
              <w:jc w:val="right"/>
              <w:rPr>
                <w:color w:val="000000"/>
                <w:szCs w:val="21"/>
              </w:rPr>
            </w:pPr>
            <w:r>
              <w:rPr>
                <w:color w:val="000000"/>
                <w:szCs w:val="21"/>
              </w:rPr>
              <w:t>-</w:t>
            </w:r>
          </w:p>
        </w:tc>
      </w:tr>
      <w:tr w:rsidR="003663E4">
        <w:tc>
          <w:tcPr>
            <w:tcW w:w="2706" w:type="dxa"/>
            <w:vAlign w:val="center"/>
          </w:tcPr>
          <w:p w:rsidR="003663E4" w:rsidRDefault="00FD3F7D">
            <w:pPr>
              <w:spacing w:line="360" w:lineRule="auto"/>
              <w:rPr>
                <w:color w:val="000000"/>
                <w:szCs w:val="21"/>
              </w:rPr>
            </w:pPr>
            <w:r>
              <w:rPr>
                <w:color w:val="000000"/>
                <w:szCs w:val="21"/>
              </w:rPr>
              <w:t>其中：基金申购款</w:t>
            </w:r>
          </w:p>
        </w:tc>
        <w:tc>
          <w:tcPr>
            <w:tcW w:w="2236" w:type="dxa"/>
            <w:vAlign w:val="center"/>
          </w:tcPr>
          <w:p w:rsidR="003663E4" w:rsidRDefault="00FD3F7D">
            <w:pPr>
              <w:spacing w:line="360" w:lineRule="auto"/>
              <w:jc w:val="right"/>
              <w:rPr>
                <w:color w:val="000000"/>
                <w:szCs w:val="21"/>
              </w:rPr>
            </w:pPr>
            <w:r>
              <w:rPr>
                <w:color w:val="000000"/>
                <w:szCs w:val="21"/>
              </w:rPr>
              <w:t>-</w:t>
            </w:r>
          </w:p>
        </w:tc>
        <w:tc>
          <w:tcPr>
            <w:tcW w:w="2236" w:type="dxa"/>
            <w:vAlign w:val="center"/>
          </w:tcPr>
          <w:p w:rsidR="003663E4" w:rsidRDefault="00FD3F7D">
            <w:pPr>
              <w:spacing w:line="360" w:lineRule="auto"/>
              <w:jc w:val="right"/>
              <w:rPr>
                <w:color w:val="000000"/>
                <w:szCs w:val="21"/>
              </w:rPr>
            </w:pPr>
            <w:r>
              <w:rPr>
                <w:color w:val="000000"/>
                <w:szCs w:val="21"/>
              </w:rPr>
              <w:t>-</w:t>
            </w:r>
          </w:p>
        </w:tc>
        <w:tc>
          <w:tcPr>
            <w:tcW w:w="2237" w:type="dxa"/>
            <w:vAlign w:val="center"/>
          </w:tcPr>
          <w:p w:rsidR="003663E4" w:rsidRDefault="00FD3F7D">
            <w:pPr>
              <w:spacing w:line="360" w:lineRule="auto"/>
              <w:jc w:val="right"/>
              <w:rPr>
                <w:color w:val="000000"/>
                <w:szCs w:val="21"/>
              </w:rPr>
            </w:pPr>
            <w:r>
              <w:rPr>
                <w:color w:val="000000"/>
                <w:szCs w:val="21"/>
              </w:rPr>
              <w:t>-</w:t>
            </w:r>
          </w:p>
        </w:tc>
      </w:tr>
      <w:tr w:rsidR="003663E4">
        <w:tc>
          <w:tcPr>
            <w:tcW w:w="2706" w:type="dxa"/>
            <w:vAlign w:val="center"/>
          </w:tcPr>
          <w:p w:rsidR="003663E4" w:rsidRDefault="00FD3F7D">
            <w:pPr>
              <w:spacing w:line="360" w:lineRule="auto"/>
              <w:ind w:firstLineChars="300" w:firstLine="630"/>
              <w:rPr>
                <w:color w:val="000000"/>
                <w:szCs w:val="21"/>
              </w:rPr>
            </w:pPr>
            <w:r>
              <w:rPr>
                <w:color w:val="000000"/>
                <w:szCs w:val="21"/>
              </w:rPr>
              <w:t>基金赎回款</w:t>
            </w:r>
          </w:p>
        </w:tc>
        <w:tc>
          <w:tcPr>
            <w:tcW w:w="2236" w:type="dxa"/>
            <w:vAlign w:val="center"/>
          </w:tcPr>
          <w:p w:rsidR="003663E4" w:rsidRDefault="00FD3F7D">
            <w:pPr>
              <w:spacing w:line="360" w:lineRule="auto"/>
              <w:jc w:val="right"/>
              <w:rPr>
                <w:color w:val="000000"/>
                <w:szCs w:val="21"/>
              </w:rPr>
            </w:pPr>
            <w:r>
              <w:rPr>
                <w:color w:val="000000"/>
                <w:szCs w:val="21"/>
              </w:rPr>
              <w:t>-</w:t>
            </w:r>
          </w:p>
        </w:tc>
        <w:tc>
          <w:tcPr>
            <w:tcW w:w="2236" w:type="dxa"/>
            <w:vAlign w:val="center"/>
          </w:tcPr>
          <w:p w:rsidR="003663E4" w:rsidRDefault="00FD3F7D">
            <w:pPr>
              <w:spacing w:line="360" w:lineRule="auto"/>
              <w:jc w:val="right"/>
              <w:rPr>
                <w:color w:val="000000"/>
                <w:szCs w:val="21"/>
              </w:rPr>
            </w:pPr>
            <w:r>
              <w:rPr>
                <w:color w:val="000000"/>
                <w:szCs w:val="21"/>
              </w:rPr>
              <w:t>-</w:t>
            </w:r>
          </w:p>
        </w:tc>
        <w:tc>
          <w:tcPr>
            <w:tcW w:w="2237" w:type="dxa"/>
            <w:vAlign w:val="center"/>
          </w:tcPr>
          <w:p w:rsidR="003663E4" w:rsidRDefault="00FD3F7D">
            <w:pPr>
              <w:spacing w:line="360" w:lineRule="auto"/>
              <w:jc w:val="right"/>
              <w:rPr>
                <w:color w:val="000000"/>
                <w:szCs w:val="21"/>
              </w:rPr>
            </w:pPr>
            <w:r>
              <w:rPr>
                <w:color w:val="000000"/>
                <w:szCs w:val="21"/>
              </w:rPr>
              <w:t>-</w:t>
            </w:r>
          </w:p>
        </w:tc>
      </w:tr>
      <w:tr w:rsidR="003663E4">
        <w:tc>
          <w:tcPr>
            <w:tcW w:w="2706" w:type="dxa"/>
            <w:vAlign w:val="center"/>
          </w:tcPr>
          <w:p w:rsidR="003663E4" w:rsidRDefault="00FD3F7D">
            <w:pPr>
              <w:spacing w:line="360" w:lineRule="auto"/>
              <w:rPr>
                <w:color w:val="000000"/>
                <w:szCs w:val="21"/>
              </w:rPr>
            </w:pPr>
            <w:r>
              <w:rPr>
                <w:color w:val="000000"/>
                <w:szCs w:val="21"/>
              </w:rPr>
              <w:t>本期已分配利润</w:t>
            </w:r>
          </w:p>
        </w:tc>
        <w:tc>
          <w:tcPr>
            <w:tcW w:w="2236" w:type="dxa"/>
            <w:vAlign w:val="center"/>
          </w:tcPr>
          <w:p w:rsidR="003663E4" w:rsidRDefault="00FD3F7D">
            <w:pPr>
              <w:spacing w:line="360" w:lineRule="auto"/>
              <w:jc w:val="right"/>
              <w:rPr>
                <w:color w:val="000000"/>
                <w:szCs w:val="21"/>
              </w:rPr>
            </w:pPr>
            <w:r>
              <w:rPr>
                <w:color w:val="000000"/>
                <w:szCs w:val="21"/>
              </w:rPr>
              <w:t>-59,131.25</w:t>
            </w:r>
          </w:p>
        </w:tc>
        <w:tc>
          <w:tcPr>
            <w:tcW w:w="2236" w:type="dxa"/>
            <w:vAlign w:val="center"/>
          </w:tcPr>
          <w:p w:rsidR="003663E4" w:rsidRDefault="00FD3F7D">
            <w:pPr>
              <w:spacing w:line="360" w:lineRule="auto"/>
              <w:jc w:val="right"/>
              <w:rPr>
                <w:color w:val="000000"/>
                <w:szCs w:val="21"/>
              </w:rPr>
            </w:pPr>
            <w:r>
              <w:rPr>
                <w:color w:val="000000"/>
                <w:szCs w:val="21"/>
              </w:rPr>
              <w:t>-</w:t>
            </w:r>
          </w:p>
        </w:tc>
        <w:tc>
          <w:tcPr>
            <w:tcW w:w="2237" w:type="dxa"/>
            <w:vAlign w:val="center"/>
          </w:tcPr>
          <w:p w:rsidR="003663E4" w:rsidRDefault="00FD3F7D">
            <w:pPr>
              <w:spacing w:line="360" w:lineRule="auto"/>
              <w:jc w:val="right"/>
              <w:rPr>
                <w:color w:val="000000"/>
                <w:szCs w:val="21"/>
              </w:rPr>
            </w:pPr>
            <w:r>
              <w:rPr>
                <w:color w:val="000000"/>
                <w:szCs w:val="21"/>
              </w:rPr>
              <w:t>-59,131.25</w:t>
            </w:r>
          </w:p>
        </w:tc>
      </w:tr>
      <w:tr w:rsidR="003663E4">
        <w:tc>
          <w:tcPr>
            <w:tcW w:w="2706" w:type="dxa"/>
            <w:vAlign w:val="center"/>
          </w:tcPr>
          <w:p w:rsidR="003663E4" w:rsidRDefault="00FD3F7D">
            <w:pPr>
              <w:spacing w:line="360" w:lineRule="auto"/>
              <w:rPr>
                <w:color w:val="000000"/>
                <w:szCs w:val="21"/>
              </w:rPr>
            </w:pPr>
            <w:r>
              <w:rPr>
                <w:color w:val="000000"/>
                <w:szCs w:val="21"/>
              </w:rPr>
              <w:t>本期末</w:t>
            </w:r>
          </w:p>
        </w:tc>
        <w:tc>
          <w:tcPr>
            <w:tcW w:w="2236" w:type="dxa"/>
            <w:vAlign w:val="center"/>
          </w:tcPr>
          <w:p w:rsidR="003663E4" w:rsidRDefault="00FD3F7D">
            <w:pPr>
              <w:spacing w:line="360" w:lineRule="auto"/>
              <w:jc w:val="right"/>
              <w:rPr>
                <w:color w:val="000000"/>
                <w:szCs w:val="21"/>
              </w:rPr>
            </w:pPr>
            <w:r>
              <w:rPr>
                <w:color w:val="000000"/>
                <w:szCs w:val="21"/>
              </w:rPr>
              <w:t>-</w:t>
            </w:r>
          </w:p>
        </w:tc>
        <w:tc>
          <w:tcPr>
            <w:tcW w:w="2236" w:type="dxa"/>
            <w:vAlign w:val="center"/>
          </w:tcPr>
          <w:p w:rsidR="003663E4" w:rsidRDefault="00FD3F7D">
            <w:pPr>
              <w:spacing w:line="360" w:lineRule="auto"/>
              <w:jc w:val="right"/>
              <w:rPr>
                <w:color w:val="000000"/>
                <w:szCs w:val="21"/>
              </w:rPr>
            </w:pPr>
            <w:r>
              <w:rPr>
                <w:color w:val="000000"/>
                <w:szCs w:val="21"/>
              </w:rPr>
              <w:t>-</w:t>
            </w:r>
          </w:p>
        </w:tc>
        <w:tc>
          <w:tcPr>
            <w:tcW w:w="2237" w:type="dxa"/>
            <w:vAlign w:val="center"/>
          </w:tcPr>
          <w:p w:rsidR="003663E4" w:rsidRDefault="00FD3F7D">
            <w:pPr>
              <w:spacing w:line="360" w:lineRule="auto"/>
              <w:jc w:val="right"/>
              <w:rPr>
                <w:color w:val="000000"/>
                <w:szCs w:val="21"/>
              </w:rPr>
            </w:pPr>
            <w:r>
              <w:rPr>
                <w:color w:val="000000"/>
                <w:szCs w:val="21"/>
              </w:rPr>
              <w:t>-</w:t>
            </w:r>
          </w:p>
        </w:tc>
      </w:tr>
    </w:tbl>
    <w:p w:rsidR="003663E4" w:rsidRDefault="00FD3F7D">
      <w:pPr>
        <w:adjustRightInd w:val="0"/>
        <w:snapToGrid w:val="0"/>
        <w:spacing w:beforeLines="100" w:before="312" w:line="360" w:lineRule="auto"/>
        <w:rPr>
          <w:color w:val="000000"/>
          <w:szCs w:val="21"/>
        </w:rPr>
      </w:pPr>
      <w:r>
        <w:rPr>
          <w:color w:val="000000"/>
          <w:szCs w:val="21"/>
        </w:rPr>
        <w:t>交银理财</w:t>
      </w:r>
      <w:r>
        <w:rPr>
          <w:color w:val="000000"/>
          <w:szCs w:val="21"/>
        </w:rPr>
        <w:t>60</w:t>
      </w:r>
      <w:r>
        <w:rPr>
          <w:color w:val="000000"/>
          <w:szCs w:val="21"/>
        </w:rPr>
        <w:t>天债券</w:t>
      </w:r>
      <w:r>
        <w:rPr>
          <w:color w:val="000000"/>
          <w:szCs w:val="21"/>
        </w:rPr>
        <w:t>B</w:t>
      </w:r>
    </w:p>
    <w:p w:rsidR="003663E4" w:rsidRDefault="00FD3F7D">
      <w:pPr>
        <w:adjustRightInd w:val="0"/>
        <w:snapToGrid w:val="0"/>
        <w:spacing w:line="360" w:lineRule="auto"/>
        <w:jc w:val="right"/>
        <w:rPr>
          <w:color w:val="000000"/>
          <w:szCs w:val="21"/>
        </w:rPr>
      </w:pPr>
      <w:r>
        <w:rPr>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6"/>
        <w:gridCol w:w="2236"/>
        <w:gridCol w:w="2236"/>
        <w:gridCol w:w="2237"/>
      </w:tblGrid>
      <w:tr w:rsidR="003663E4">
        <w:tc>
          <w:tcPr>
            <w:tcW w:w="2706" w:type="dxa"/>
          </w:tcPr>
          <w:p w:rsidR="003663E4" w:rsidRDefault="00FD3F7D">
            <w:pPr>
              <w:spacing w:line="360" w:lineRule="auto"/>
              <w:jc w:val="center"/>
              <w:rPr>
                <w:color w:val="000000"/>
                <w:szCs w:val="21"/>
              </w:rPr>
            </w:pPr>
            <w:r>
              <w:rPr>
                <w:color w:val="000000"/>
                <w:szCs w:val="21"/>
              </w:rPr>
              <w:t>项目</w:t>
            </w:r>
          </w:p>
        </w:tc>
        <w:tc>
          <w:tcPr>
            <w:tcW w:w="2236" w:type="dxa"/>
            <w:vAlign w:val="center"/>
          </w:tcPr>
          <w:p w:rsidR="003663E4" w:rsidRDefault="00FD3F7D">
            <w:pPr>
              <w:spacing w:line="360" w:lineRule="auto"/>
              <w:jc w:val="center"/>
              <w:rPr>
                <w:color w:val="000000"/>
                <w:szCs w:val="21"/>
              </w:rPr>
            </w:pPr>
            <w:r>
              <w:rPr>
                <w:color w:val="000000"/>
                <w:szCs w:val="21"/>
              </w:rPr>
              <w:t>已实现部分</w:t>
            </w:r>
          </w:p>
        </w:tc>
        <w:tc>
          <w:tcPr>
            <w:tcW w:w="2236" w:type="dxa"/>
            <w:vAlign w:val="center"/>
          </w:tcPr>
          <w:p w:rsidR="003663E4" w:rsidRDefault="00FD3F7D">
            <w:pPr>
              <w:spacing w:line="360" w:lineRule="auto"/>
              <w:jc w:val="center"/>
              <w:rPr>
                <w:color w:val="000000"/>
                <w:szCs w:val="21"/>
              </w:rPr>
            </w:pPr>
            <w:r>
              <w:rPr>
                <w:color w:val="000000"/>
                <w:szCs w:val="21"/>
              </w:rPr>
              <w:t>未实现部分</w:t>
            </w:r>
          </w:p>
        </w:tc>
        <w:tc>
          <w:tcPr>
            <w:tcW w:w="2237" w:type="dxa"/>
            <w:vAlign w:val="center"/>
          </w:tcPr>
          <w:p w:rsidR="003663E4" w:rsidRDefault="00FD3F7D">
            <w:pPr>
              <w:spacing w:line="360" w:lineRule="auto"/>
              <w:jc w:val="center"/>
              <w:rPr>
                <w:color w:val="000000"/>
                <w:szCs w:val="21"/>
              </w:rPr>
            </w:pPr>
            <w:r>
              <w:rPr>
                <w:color w:val="000000"/>
                <w:szCs w:val="21"/>
              </w:rPr>
              <w:t>未分配利润合计</w:t>
            </w:r>
          </w:p>
        </w:tc>
      </w:tr>
      <w:tr w:rsidR="003663E4">
        <w:tc>
          <w:tcPr>
            <w:tcW w:w="2706" w:type="dxa"/>
            <w:vAlign w:val="center"/>
          </w:tcPr>
          <w:p w:rsidR="003663E4" w:rsidRDefault="00FD3F7D">
            <w:pPr>
              <w:spacing w:line="360" w:lineRule="auto"/>
              <w:rPr>
                <w:color w:val="000000"/>
                <w:szCs w:val="21"/>
              </w:rPr>
            </w:pPr>
            <w:r>
              <w:rPr>
                <w:rFonts w:ascii="宋体" w:hAnsi="宋体" w:hint="eastAsia"/>
                <w:sz w:val="24"/>
              </w:rPr>
              <w:t>上年度末</w:t>
            </w:r>
          </w:p>
        </w:tc>
        <w:tc>
          <w:tcPr>
            <w:tcW w:w="2236" w:type="dxa"/>
            <w:vAlign w:val="center"/>
          </w:tcPr>
          <w:p w:rsidR="003663E4" w:rsidRDefault="00FD3F7D">
            <w:pPr>
              <w:spacing w:line="360" w:lineRule="auto"/>
              <w:jc w:val="right"/>
              <w:rPr>
                <w:color w:val="000000"/>
                <w:szCs w:val="21"/>
              </w:rPr>
            </w:pPr>
            <w:r>
              <w:rPr>
                <w:color w:val="000000"/>
                <w:szCs w:val="21"/>
              </w:rPr>
              <w:t>-</w:t>
            </w:r>
          </w:p>
        </w:tc>
        <w:tc>
          <w:tcPr>
            <w:tcW w:w="2236" w:type="dxa"/>
            <w:vAlign w:val="center"/>
          </w:tcPr>
          <w:p w:rsidR="003663E4" w:rsidRDefault="00FD3F7D">
            <w:pPr>
              <w:spacing w:line="360" w:lineRule="auto"/>
              <w:jc w:val="right"/>
              <w:rPr>
                <w:color w:val="000000"/>
                <w:szCs w:val="21"/>
              </w:rPr>
            </w:pPr>
            <w:r>
              <w:rPr>
                <w:color w:val="000000"/>
                <w:szCs w:val="21"/>
              </w:rPr>
              <w:t>-</w:t>
            </w:r>
          </w:p>
        </w:tc>
        <w:tc>
          <w:tcPr>
            <w:tcW w:w="2237" w:type="dxa"/>
            <w:vAlign w:val="center"/>
          </w:tcPr>
          <w:p w:rsidR="003663E4" w:rsidRDefault="00FD3F7D">
            <w:pPr>
              <w:spacing w:line="360" w:lineRule="auto"/>
              <w:jc w:val="right"/>
              <w:rPr>
                <w:color w:val="000000"/>
                <w:szCs w:val="21"/>
              </w:rPr>
            </w:pPr>
            <w:r>
              <w:rPr>
                <w:color w:val="000000"/>
                <w:szCs w:val="21"/>
              </w:rPr>
              <w:t>-</w:t>
            </w:r>
          </w:p>
        </w:tc>
      </w:tr>
      <w:tr w:rsidR="003663E4">
        <w:tc>
          <w:tcPr>
            <w:tcW w:w="2706" w:type="dxa"/>
            <w:vAlign w:val="center"/>
          </w:tcPr>
          <w:p w:rsidR="003663E4" w:rsidRDefault="00FD3F7D">
            <w:pPr>
              <w:spacing w:line="360" w:lineRule="auto"/>
              <w:rPr>
                <w:color w:val="000000"/>
                <w:szCs w:val="21"/>
              </w:rPr>
            </w:pPr>
            <w:r>
              <w:rPr>
                <w:color w:val="000000"/>
                <w:szCs w:val="21"/>
              </w:rPr>
              <w:t>本期利润</w:t>
            </w:r>
          </w:p>
        </w:tc>
        <w:tc>
          <w:tcPr>
            <w:tcW w:w="2236" w:type="dxa"/>
            <w:vAlign w:val="center"/>
          </w:tcPr>
          <w:p w:rsidR="003663E4" w:rsidRDefault="00FD3F7D">
            <w:pPr>
              <w:spacing w:line="360" w:lineRule="auto"/>
              <w:jc w:val="right"/>
              <w:rPr>
                <w:color w:val="000000"/>
                <w:szCs w:val="21"/>
              </w:rPr>
            </w:pPr>
            <w:r>
              <w:rPr>
                <w:color w:val="000000"/>
                <w:szCs w:val="21"/>
              </w:rPr>
              <w:t>91,116,697.57</w:t>
            </w:r>
          </w:p>
        </w:tc>
        <w:tc>
          <w:tcPr>
            <w:tcW w:w="2236" w:type="dxa"/>
            <w:vAlign w:val="center"/>
          </w:tcPr>
          <w:p w:rsidR="003663E4" w:rsidRDefault="00FD3F7D">
            <w:pPr>
              <w:spacing w:line="360" w:lineRule="auto"/>
              <w:jc w:val="right"/>
              <w:rPr>
                <w:color w:val="000000"/>
                <w:szCs w:val="21"/>
              </w:rPr>
            </w:pPr>
            <w:r>
              <w:rPr>
                <w:color w:val="000000"/>
                <w:szCs w:val="21"/>
              </w:rPr>
              <w:t>-</w:t>
            </w:r>
          </w:p>
        </w:tc>
        <w:tc>
          <w:tcPr>
            <w:tcW w:w="2237" w:type="dxa"/>
            <w:vAlign w:val="center"/>
          </w:tcPr>
          <w:p w:rsidR="003663E4" w:rsidRDefault="00FD3F7D">
            <w:pPr>
              <w:spacing w:line="360" w:lineRule="auto"/>
              <w:jc w:val="right"/>
              <w:rPr>
                <w:color w:val="000000"/>
                <w:szCs w:val="21"/>
              </w:rPr>
            </w:pPr>
            <w:r>
              <w:rPr>
                <w:color w:val="000000"/>
                <w:szCs w:val="21"/>
              </w:rPr>
              <w:t>91,116,697.57</w:t>
            </w:r>
          </w:p>
        </w:tc>
      </w:tr>
      <w:tr w:rsidR="003663E4">
        <w:tc>
          <w:tcPr>
            <w:tcW w:w="2706" w:type="dxa"/>
            <w:vAlign w:val="center"/>
          </w:tcPr>
          <w:p w:rsidR="003663E4" w:rsidRDefault="00FD3F7D">
            <w:pPr>
              <w:spacing w:line="360" w:lineRule="auto"/>
              <w:rPr>
                <w:color w:val="000000"/>
                <w:szCs w:val="21"/>
              </w:rPr>
            </w:pPr>
            <w:r>
              <w:rPr>
                <w:color w:val="000000"/>
                <w:szCs w:val="21"/>
              </w:rPr>
              <w:t>本期基金份额交易产生的变动数</w:t>
            </w:r>
          </w:p>
        </w:tc>
        <w:tc>
          <w:tcPr>
            <w:tcW w:w="2236" w:type="dxa"/>
            <w:vAlign w:val="center"/>
          </w:tcPr>
          <w:p w:rsidR="003663E4" w:rsidRDefault="00FD3F7D">
            <w:pPr>
              <w:spacing w:line="360" w:lineRule="auto"/>
              <w:jc w:val="right"/>
              <w:rPr>
                <w:color w:val="000000"/>
                <w:szCs w:val="21"/>
              </w:rPr>
            </w:pPr>
            <w:r>
              <w:rPr>
                <w:color w:val="000000"/>
                <w:szCs w:val="21"/>
              </w:rPr>
              <w:t>-</w:t>
            </w:r>
          </w:p>
        </w:tc>
        <w:tc>
          <w:tcPr>
            <w:tcW w:w="2236" w:type="dxa"/>
            <w:vAlign w:val="center"/>
          </w:tcPr>
          <w:p w:rsidR="003663E4" w:rsidRDefault="00FD3F7D">
            <w:pPr>
              <w:spacing w:line="360" w:lineRule="auto"/>
              <w:jc w:val="right"/>
              <w:rPr>
                <w:color w:val="000000"/>
                <w:szCs w:val="21"/>
              </w:rPr>
            </w:pPr>
            <w:r>
              <w:rPr>
                <w:color w:val="000000"/>
                <w:szCs w:val="21"/>
              </w:rPr>
              <w:t>-</w:t>
            </w:r>
          </w:p>
        </w:tc>
        <w:tc>
          <w:tcPr>
            <w:tcW w:w="2237" w:type="dxa"/>
            <w:vAlign w:val="center"/>
          </w:tcPr>
          <w:p w:rsidR="003663E4" w:rsidRDefault="00FD3F7D">
            <w:pPr>
              <w:spacing w:line="360" w:lineRule="auto"/>
              <w:jc w:val="right"/>
              <w:rPr>
                <w:color w:val="000000"/>
                <w:szCs w:val="21"/>
              </w:rPr>
            </w:pPr>
            <w:r>
              <w:rPr>
                <w:color w:val="000000"/>
                <w:szCs w:val="21"/>
              </w:rPr>
              <w:t>-</w:t>
            </w:r>
          </w:p>
        </w:tc>
      </w:tr>
      <w:tr w:rsidR="003663E4">
        <w:tc>
          <w:tcPr>
            <w:tcW w:w="2706" w:type="dxa"/>
            <w:vAlign w:val="center"/>
          </w:tcPr>
          <w:p w:rsidR="003663E4" w:rsidRDefault="00FD3F7D">
            <w:pPr>
              <w:spacing w:line="360" w:lineRule="auto"/>
              <w:rPr>
                <w:color w:val="000000"/>
                <w:szCs w:val="21"/>
              </w:rPr>
            </w:pPr>
            <w:r>
              <w:rPr>
                <w:color w:val="000000"/>
                <w:szCs w:val="21"/>
              </w:rPr>
              <w:t>其中：基金申购款</w:t>
            </w:r>
          </w:p>
        </w:tc>
        <w:tc>
          <w:tcPr>
            <w:tcW w:w="2236" w:type="dxa"/>
            <w:vAlign w:val="center"/>
          </w:tcPr>
          <w:p w:rsidR="003663E4" w:rsidRDefault="00FD3F7D">
            <w:pPr>
              <w:spacing w:line="360" w:lineRule="auto"/>
              <w:jc w:val="right"/>
              <w:rPr>
                <w:color w:val="000000"/>
                <w:szCs w:val="21"/>
              </w:rPr>
            </w:pPr>
            <w:r>
              <w:rPr>
                <w:color w:val="000000"/>
                <w:szCs w:val="21"/>
              </w:rPr>
              <w:t>-</w:t>
            </w:r>
          </w:p>
        </w:tc>
        <w:tc>
          <w:tcPr>
            <w:tcW w:w="2236" w:type="dxa"/>
            <w:vAlign w:val="center"/>
          </w:tcPr>
          <w:p w:rsidR="003663E4" w:rsidRDefault="00FD3F7D">
            <w:pPr>
              <w:spacing w:line="360" w:lineRule="auto"/>
              <w:jc w:val="right"/>
              <w:rPr>
                <w:color w:val="000000"/>
                <w:szCs w:val="21"/>
              </w:rPr>
            </w:pPr>
            <w:r>
              <w:rPr>
                <w:color w:val="000000"/>
                <w:szCs w:val="21"/>
              </w:rPr>
              <w:t>-</w:t>
            </w:r>
          </w:p>
        </w:tc>
        <w:tc>
          <w:tcPr>
            <w:tcW w:w="2237" w:type="dxa"/>
            <w:vAlign w:val="center"/>
          </w:tcPr>
          <w:p w:rsidR="003663E4" w:rsidRDefault="00FD3F7D">
            <w:pPr>
              <w:spacing w:line="360" w:lineRule="auto"/>
              <w:jc w:val="right"/>
              <w:rPr>
                <w:color w:val="000000"/>
                <w:szCs w:val="21"/>
              </w:rPr>
            </w:pPr>
            <w:r>
              <w:rPr>
                <w:color w:val="000000"/>
                <w:szCs w:val="21"/>
              </w:rPr>
              <w:t>-</w:t>
            </w:r>
          </w:p>
        </w:tc>
      </w:tr>
      <w:tr w:rsidR="003663E4">
        <w:tc>
          <w:tcPr>
            <w:tcW w:w="2706" w:type="dxa"/>
            <w:vAlign w:val="center"/>
          </w:tcPr>
          <w:p w:rsidR="003663E4" w:rsidRDefault="00FD3F7D">
            <w:pPr>
              <w:spacing w:line="360" w:lineRule="auto"/>
              <w:ind w:firstLineChars="300" w:firstLine="630"/>
              <w:rPr>
                <w:color w:val="000000"/>
                <w:szCs w:val="21"/>
              </w:rPr>
            </w:pPr>
            <w:r>
              <w:rPr>
                <w:color w:val="000000"/>
                <w:szCs w:val="21"/>
              </w:rPr>
              <w:t>基金赎回款</w:t>
            </w:r>
          </w:p>
        </w:tc>
        <w:tc>
          <w:tcPr>
            <w:tcW w:w="2236" w:type="dxa"/>
            <w:vAlign w:val="center"/>
          </w:tcPr>
          <w:p w:rsidR="003663E4" w:rsidRDefault="00FD3F7D">
            <w:pPr>
              <w:spacing w:line="360" w:lineRule="auto"/>
              <w:jc w:val="right"/>
              <w:rPr>
                <w:color w:val="000000"/>
                <w:szCs w:val="21"/>
              </w:rPr>
            </w:pPr>
            <w:r>
              <w:rPr>
                <w:color w:val="000000"/>
                <w:szCs w:val="21"/>
              </w:rPr>
              <w:t>-</w:t>
            </w:r>
          </w:p>
        </w:tc>
        <w:tc>
          <w:tcPr>
            <w:tcW w:w="2236" w:type="dxa"/>
            <w:vAlign w:val="center"/>
          </w:tcPr>
          <w:p w:rsidR="003663E4" w:rsidRDefault="00FD3F7D">
            <w:pPr>
              <w:spacing w:line="360" w:lineRule="auto"/>
              <w:jc w:val="right"/>
              <w:rPr>
                <w:color w:val="000000"/>
                <w:szCs w:val="21"/>
              </w:rPr>
            </w:pPr>
            <w:r>
              <w:rPr>
                <w:color w:val="000000"/>
                <w:szCs w:val="21"/>
              </w:rPr>
              <w:t>-</w:t>
            </w:r>
          </w:p>
        </w:tc>
        <w:tc>
          <w:tcPr>
            <w:tcW w:w="2237" w:type="dxa"/>
            <w:vAlign w:val="center"/>
          </w:tcPr>
          <w:p w:rsidR="003663E4" w:rsidRDefault="00FD3F7D">
            <w:pPr>
              <w:spacing w:line="360" w:lineRule="auto"/>
              <w:jc w:val="right"/>
              <w:rPr>
                <w:color w:val="000000"/>
                <w:szCs w:val="21"/>
              </w:rPr>
            </w:pPr>
            <w:r>
              <w:rPr>
                <w:color w:val="000000"/>
                <w:szCs w:val="21"/>
              </w:rPr>
              <w:t>-</w:t>
            </w:r>
          </w:p>
        </w:tc>
      </w:tr>
      <w:tr w:rsidR="003663E4">
        <w:tc>
          <w:tcPr>
            <w:tcW w:w="2706" w:type="dxa"/>
            <w:vAlign w:val="center"/>
          </w:tcPr>
          <w:p w:rsidR="003663E4" w:rsidRDefault="00FD3F7D">
            <w:pPr>
              <w:spacing w:line="360" w:lineRule="auto"/>
              <w:rPr>
                <w:color w:val="000000"/>
                <w:szCs w:val="21"/>
              </w:rPr>
            </w:pPr>
            <w:r>
              <w:rPr>
                <w:color w:val="000000"/>
                <w:szCs w:val="21"/>
              </w:rPr>
              <w:t>本期已分配利润</w:t>
            </w:r>
          </w:p>
        </w:tc>
        <w:tc>
          <w:tcPr>
            <w:tcW w:w="2236" w:type="dxa"/>
            <w:vAlign w:val="center"/>
          </w:tcPr>
          <w:p w:rsidR="003663E4" w:rsidRDefault="00FD3F7D">
            <w:pPr>
              <w:spacing w:line="360" w:lineRule="auto"/>
              <w:jc w:val="right"/>
              <w:rPr>
                <w:color w:val="000000"/>
                <w:szCs w:val="21"/>
              </w:rPr>
            </w:pPr>
            <w:r>
              <w:rPr>
                <w:color w:val="000000"/>
                <w:szCs w:val="21"/>
              </w:rPr>
              <w:t>-91,116,697.57</w:t>
            </w:r>
          </w:p>
        </w:tc>
        <w:tc>
          <w:tcPr>
            <w:tcW w:w="2236" w:type="dxa"/>
            <w:vAlign w:val="center"/>
          </w:tcPr>
          <w:p w:rsidR="003663E4" w:rsidRDefault="00FD3F7D">
            <w:pPr>
              <w:spacing w:line="360" w:lineRule="auto"/>
              <w:jc w:val="right"/>
              <w:rPr>
                <w:color w:val="000000"/>
                <w:szCs w:val="21"/>
              </w:rPr>
            </w:pPr>
            <w:r>
              <w:rPr>
                <w:color w:val="000000"/>
                <w:szCs w:val="21"/>
              </w:rPr>
              <w:t>-</w:t>
            </w:r>
          </w:p>
        </w:tc>
        <w:tc>
          <w:tcPr>
            <w:tcW w:w="2237" w:type="dxa"/>
            <w:vAlign w:val="center"/>
          </w:tcPr>
          <w:p w:rsidR="003663E4" w:rsidRDefault="00FD3F7D">
            <w:pPr>
              <w:spacing w:line="360" w:lineRule="auto"/>
              <w:jc w:val="right"/>
              <w:rPr>
                <w:color w:val="000000"/>
                <w:szCs w:val="21"/>
              </w:rPr>
            </w:pPr>
            <w:r>
              <w:rPr>
                <w:color w:val="000000"/>
                <w:szCs w:val="21"/>
              </w:rPr>
              <w:t>-91,116,697.57</w:t>
            </w:r>
          </w:p>
        </w:tc>
      </w:tr>
      <w:tr w:rsidR="003663E4">
        <w:tc>
          <w:tcPr>
            <w:tcW w:w="2706" w:type="dxa"/>
            <w:vAlign w:val="center"/>
          </w:tcPr>
          <w:p w:rsidR="003663E4" w:rsidRDefault="00FD3F7D">
            <w:pPr>
              <w:spacing w:line="360" w:lineRule="auto"/>
              <w:rPr>
                <w:color w:val="000000"/>
                <w:szCs w:val="21"/>
              </w:rPr>
            </w:pPr>
            <w:r>
              <w:rPr>
                <w:color w:val="000000"/>
                <w:szCs w:val="21"/>
              </w:rPr>
              <w:t>本期末</w:t>
            </w:r>
          </w:p>
        </w:tc>
        <w:tc>
          <w:tcPr>
            <w:tcW w:w="2236" w:type="dxa"/>
            <w:vAlign w:val="center"/>
          </w:tcPr>
          <w:p w:rsidR="003663E4" w:rsidRDefault="00FD3F7D">
            <w:pPr>
              <w:spacing w:line="360" w:lineRule="auto"/>
              <w:jc w:val="right"/>
              <w:rPr>
                <w:color w:val="000000"/>
                <w:szCs w:val="21"/>
              </w:rPr>
            </w:pPr>
            <w:r>
              <w:rPr>
                <w:color w:val="000000"/>
                <w:szCs w:val="21"/>
              </w:rPr>
              <w:t>-</w:t>
            </w:r>
          </w:p>
        </w:tc>
        <w:tc>
          <w:tcPr>
            <w:tcW w:w="2236" w:type="dxa"/>
            <w:vAlign w:val="center"/>
          </w:tcPr>
          <w:p w:rsidR="003663E4" w:rsidRDefault="00FD3F7D">
            <w:pPr>
              <w:spacing w:line="360" w:lineRule="auto"/>
              <w:jc w:val="right"/>
              <w:rPr>
                <w:color w:val="000000"/>
                <w:szCs w:val="21"/>
              </w:rPr>
            </w:pPr>
            <w:r>
              <w:rPr>
                <w:color w:val="000000"/>
                <w:szCs w:val="21"/>
              </w:rPr>
              <w:t>-</w:t>
            </w:r>
          </w:p>
        </w:tc>
        <w:tc>
          <w:tcPr>
            <w:tcW w:w="2237" w:type="dxa"/>
            <w:vAlign w:val="center"/>
          </w:tcPr>
          <w:p w:rsidR="003663E4" w:rsidRDefault="00FD3F7D">
            <w:pPr>
              <w:spacing w:line="360" w:lineRule="auto"/>
              <w:jc w:val="right"/>
              <w:rPr>
                <w:color w:val="000000"/>
                <w:szCs w:val="21"/>
              </w:rPr>
            </w:pPr>
            <w:r>
              <w:rPr>
                <w:color w:val="000000"/>
                <w:szCs w:val="21"/>
              </w:rPr>
              <w:t>-</w:t>
            </w:r>
          </w:p>
        </w:tc>
      </w:tr>
    </w:tbl>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7.2.4.7.11 </w:t>
      </w:r>
      <w:r>
        <w:rPr>
          <w:b/>
          <w:bCs/>
          <w:color w:val="000000"/>
          <w:kern w:val="0"/>
          <w:szCs w:val="21"/>
        </w:rPr>
        <w:t>存款利息收入</w:t>
      </w:r>
    </w:p>
    <w:p w:rsidR="003663E4" w:rsidRDefault="00FD3F7D">
      <w:pPr>
        <w:spacing w:line="360" w:lineRule="auto"/>
        <w:jc w:val="right"/>
        <w:rPr>
          <w:color w:val="000000"/>
          <w:szCs w:val="21"/>
        </w:rPr>
      </w:pPr>
      <w:r>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3663E4">
        <w:tc>
          <w:tcPr>
            <w:tcW w:w="2912" w:type="dxa"/>
            <w:vAlign w:val="center"/>
          </w:tcPr>
          <w:p w:rsidR="003663E4" w:rsidRDefault="00FD3F7D">
            <w:pPr>
              <w:spacing w:line="276" w:lineRule="auto"/>
              <w:jc w:val="center"/>
              <w:rPr>
                <w:color w:val="000000"/>
                <w:szCs w:val="21"/>
              </w:rPr>
            </w:pPr>
            <w:r>
              <w:rPr>
                <w:color w:val="000000"/>
                <w:szCs w:val="21"/>
              </w:rPr>
              <w:t>项目</w:t>
            </w:r>
          </w:p>
        </w:tc>
        <w:tc>
          <w:tcPr>
            <w:tcW w:w="3208" w:type="dxa"/>
            <w:vAlign w:val="center"/>
          </w:tcPr>
          <w:p w:rsidR="003663E4" w:rsidRDefault="00FD3F7D">
            <w:pPr>
              <w:spacing w:line="276" w:lineRule="auto"/>
              <w:jc w:val="center"/>
              <w:rPr>
                <w:color w:val="000000"/>
                <w:szCs w:val="21"/>
              </w:rPr>
            </w:pPr>
            <w:r>
              <w:rPr>
                <w:color w:val="000000"/>
                <w:szCs w:val="21"/>
              </w:rPr>
              <w:t>本期</w:t>
            </w:r>
          </w:p>
          <w:p w:rsidR="003663E4" w:rsidRDefault="00FD3F7D">
            <w:pPr>
              <w:spacing w:line="276" w:lineRule="auto"/>
              <w:jc w:val="center"/>
              <w:rPr>
                <w:b/>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p>
        </w:tc>
        <w:tc>
          <w:tcPr>
            <w:tcW w:w="2880" w:type="dxa"/>
            <w:vAlign w:val="center"/>
          </w:tcPr>
          <w:p w:rsidR="003663E4" w:rsidRDefault="00FD3F7D">
            <w:pPr>
              <w:spacing w:line="276" w:lineRule="auto"/>
              <w:jc w:val="center"/>
              <w:rPr>
                <w:color w:val="000000"/>
                <w:szCs w:val="21"/>
              </w:rPr>
            </w:pPr>
            <w:r>
              <w:rPr>
                <w:color w:val="000000"/>
                <w:szCs w:val="21"/>
              </w:rPr>
              <w:t>上年度可比期间</w:t>
            </w:r>
          </w:p>
          <w:p w:rsidR="003663E4" w:rsidRDefault="00FD3F7D">
            <w:pPr>
              <w:spacing w:line="276" w:lineRule="auto"/>
              <w:jc w:val="center"/>
              <w:rPr>
                <w:b/>
                <w:color w:val="000000"/>
                <w:szCs w:val="21"/>
              </w:rP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663E4">
        <w:tc>
          <w:tcPr>
            <w:tcW w:w="2912" w:type="dxa"/>
            <w:vAlign w:val="center"/>
          </w:tcPr>
          <w:p w:rsidR="003663E4" w:rsidRDefault="00FD3F7D">
            <w:pPr>
              <w:spacing w:line="276" w:lineRule="auto"/>
              <w:rPr>
                <w:color w:val="000000"/>
                <w:szCs w:val="21"/>
              </w:rPr>
            </w:pPr>
            <w:r>
              <w:rPr>
                <w:color w:val="000000"/>
                <w:szCs w:val="21"/>
              </w:rPr>
              <w:t>活期存款利息收入</w:t>
            </w:r>
          </w:p>
        </w:tc>
        <w:tc>
          <w:tcPr>
            <w:tcW w:w="3208" w:type="dxa"/>
            <w:vAlign w:val="center"/>
          </w:tcPr>
          <w:p w:rsidR="003663E4" w:rsidRDefault="00FD3F7D">
            <w:pPr>
              <w:spacing w:line="276" w:lineRule="auto"/>
              <w:jc w:val="right"/>
              <w:rPr>
                <w:color w:val="000000"/>
                <w:szCs w:val="21"/>
              </w:rPr>
            </w:pPr>
            <w:r>
              <w:rPr>
                <w:color w:val="000000"/>
                <w:szCs w:val="21"/>
              </w:rPr>
              <w:t>51,831.07</w:t>
            </w:r>
          </w:p>
        </w:tc>
        <w:tc>
          <w:tcPr>
            <w:tcW w:w="2880" w:type="dxa"/>
            <w:vAlign w:val="center"/>
          </w:tcPr>
          <w:p w:rsidR="003663E4" w:rsidRDefault="00FD3F7D">
            <w:pPr>
              <w:spacing w:line="276" w:lineRule="auto"/>
              <w:jc w:val="right"/>
              <w:rPr>
                <w:color w:val="000000"/>
                <w:szCs w:val="21"/>
              </w:rPr>
            </w:pPr>
            <w:r>
              <w:rPr>
                <w:color w:val="000000"/>
                <w:szCs w:val="21"/>
              </w:rPr>
              <w:t>26,215.54</w:t>
            </w:r>
          </w:p>
        </w:tc>
      </w:tr>
      <w:tr w:rsidR="003663E4">
        <w:tc>
          <w:tcPr>
            <w:tcW w:w="2912" w:type="dxa"/>
            <w:vAlign w:val="center"/>
          </w:tcPr>
          <w:p w:rsidR="003663E4" w:rsidRDefault="00FD3F7D">
            <w:pPr>
              <w:spacing w:line="276" w:lineRule="auto"/>
              <w:rPr>
                <w:color w:val="000000"/>
                <w:szCs w:val="21"/>
              </w:rPr>
            </w:pPr>
            <w:r>
              <w:rPr>
                <w:color w:val="000000"/>
                <w:szCs w:val="21"/>
              </w:rPr>
              <w:t>定期存款利息收入</w:t>
            </w:r>
          </w:p>
        </w:tc>
        <w:tc>
          <w:tcPr>
            <w:tcW w:w="3208" w:type="dxa"/>
            <w:vAlign w:val="center"/>
          </w:tcPr>
          <w:p w:rsidR="003663E4" w:rsidRDefault="00FD3F7D">
            <w:pPr>
              <w:spacing w:line="276" w:lineRule="auto"/>
              <w:jc w:val="right"/>
              <w:rPr>
                <w:color w:val="000000"/>
                <w:szCs w:val="21"/>
              </w:rPr>
            </w:pPr>
            <w:r>
              <w:rPr>
                <w:color w:val="000000"/>
                <w:szCs w:val="21"/>
              </w:rPr>
              <w:t>-</w:t>
            </w:r>
          </w:p>
        </w:tc>
        <w:tc>
          <w:tcPr>
            <w:tcW w:w="2880" w:type="dxa"/>
            <w:vAlign w:val="center"/>
          </w:tcPr>
          <w:p w:rsidR="003663E4" w:rsidRDefault="00FD3F7D">
            <w:pPr>
              <w:spacing w:line="276" w:lineRule="auto"/>
              <w:jc w:val="right"/>
              <w:rPr>
                <w:color w:val="000000"/>
                <w:szCs w:val="21"/>
              </w:rPr>
            </w:pPr>
            <w:r>
              <w:rPr>
                <w:color w:val="000000"/>
                <w:szCs w:val="21"/>
              </w:rPr>
              <w:t>-</w:t>
            </w:r>
          </w:p>
        </w:tc>
      </w:tr>
      <w:tr w:rsidR="003663E4">
        <w:tc>
          <w:tcPr>
            <w:tcW w:w="2912" w:type="dxa"/>
            <w:vAlign w:val="center"/>
          </w:tcPr>
          <w:p w:rsidR="003663E4" w:rsidRDefault="00FD3F7D">
            <w:pPr>
              <w:spacing w:line="276" w:lineRule="auto"/>
              <w:rPr>
                <w:color w:val="000000"/>
                <w:szCs w:val="21"/>
              </w:rPr>
            </w:pPr>
            <w:r>
              <w:rPr>
                <w:color w:val="000000"/>
                <w:szCs w:val="21"/>
              </w:rPr>
              <w:t>其他存款利息收入</w:t>
            </w:r>
          </w:p>
        </w:tc>
        <w:tc>
          <w:tcPr>
            <w:tcW w:w="3208" w:type="dxa"/>
            <w:vAlign w:val="center"/>
          </w:tcPr>
          <w:p w:rsidR="003663E4" w:rsidRDefault="00FD3F7D">
            <w:pPr>
              <w:spacing w:line="276" w:lineRule="auto"/>
              <w:jc w:val="right"/>
              <w:rPr>
                <w:color w:val="000000"/>
                <w:szCs w:val="21"/>
              </w:rPr>
            </w:pPr>
            <w:r>
              <w:rPr>
                <w:color w:val="000000"/>
                <w:szCs w:val="21"/>
              </w:rPr>
              <w:t>13,004,792.35</w:t>
            </w:r>
          </w:p>
        </w:tc>
        <w:tc>
          <w:tcPr>
            <w:tcW w:w="2880" w:type="dxa"/>
            <w:vAlign w:val="center"/>
          </w:tcPr>
          <w:p w:rsidR="003663E4" w:rsidRDefault="00FD3F7D">
            <w:pPr>
              <w:spacing w:line="276" w:lineRule="auto"/>
              <w:jc w:val="right"/>
              <w:rPr>
                <w:color w:val="000000"/>
                <w:szCs w:val="21"/>
              </w:rPr>
            </w:pPr>
            <w:r>
              <w:rPr>
                <w:color w:val="000000"/>
                <w:szCs w:val="21"/>
              </w:rPr>
              <w:t>62,728,040.88</w:t>
            </w:r>
          </w:p>
        </w:tc>
      </w:tr>
      <w:tr w:rsidR="003663E4">
        <w:tc>
          <w:tcPr>
            <w:tcW w:w="2912" w:type="dxa"/>
            <w:vAlign w:val="center"/>
          </w:tcPr>
          <w:p w:rsidR="003663E4" w:rsidRDefault="00FD3F7D">
            <w:pPr>
              <w:spacing w:line="276" w:lineRule="auto"/>
              <w:rPr>
                <w:color w:val="000000"/>
                <w:szCs w:val="21"/>
              </w:rPr>
            </w:pPr>
            <w:r>
              <w:rPr>
                <w:color w:val="000000"/>
                <w:szCs w:val="21"/>
              </w:rPr>
              <w:t>结算备付金利息收入</w:t>
            </w:r>
          </w:p>
        </w:tc>
        <w:tc>
          <w:tcPr>
            <w:tcW w:w="3208" w:type="dxa"/>
            <w:vAlign w:val="center"/>
          </w:tcPr>
          <w:p w:rsidR="003663E4" w:rsidRDefault="00FD3F7D">
            <w:pPr>
              <w:spacing w:line="276" w:lineRule="auto"/>
              <w:jc w:val="right"/>
              <w:rPr>
                <w:color w:val="000000"/>
                <w:szCs w:val="21"/>
              </w:rPr>
            </w:pPr>
            <w:r>
              <w:rPr>
                <w:color w:val="000000"/>
                <w:szCs w:val="21"/>
              </w:rPr>
              <w:t>-</w:t>
            </w:r>
          </w:p>
        </w:tc>
        <w:tc>
          <w:tcPr>
            <w:tcW w:w="2880" w:type="dxa"/>
            <w:vAlign w:val="center"/>
          </w:tcPr>
          <w:p w:rsidR="003663E4" w:rsidRDefault="00FD3F7D">
            <w:pPr>
              <w:spacing w:line="276" w:lineRule="auto"/>
              <w:jc w:val="right"/>
              <w:rPr>
                <w:color w:val="000000"/>
                <w:szCs w:val="21"/>
              </w:rPr>
            </w:pPr>
            <w:r>
              <w:rPr>
                <w:color w:val="000000"/>
                <w:szCs w:val="21"/>
              </w:rPr>
              <w:t>-</w:t>
            </w:r>
          </w:p>
        </w:tc>
      </w:tr>
      <w:tr w:rsidR="003663E4">
        <w:tc>
          <w:tcPr>
            <w:tcW w:w="2912" w:type="dxa"/>
            <w:vAlign w:val="center"/>
          </w:tcPr>
          <w:p w:rsidR="003663E4" w:rsidRDefault="00FD3F7D">
            <w:pPr>
              <w:spacing w:line="276" w:lineRule="auto"/>
              <w:rPr>
                <w:color w:val="000000"/>
                <w:szCs w:val="21"/>
              </w:rPr>
            </w:pPr>
            <w:r>
              <w:rPr>
                <w:color w:val="000000"/>
                <w:szCs w:val="21"/>
              </w:rPr>
              <w:t>其他</w:t>
            </w:r>
          </w:p>
        </w:tc>
        <w:tc>
          <w:tcPr>
            <w:tcW w:w="3208" w:type="dxa"/>
            <w:vAlign w:val="center"/>
          </w:tcPr>
          <w:p w:rsidR="003663E4" w:rsidRDefault="00FD3F7D">
            <w:pPr>
              <w:spacing w:line="276" w:lineRule="auto"/>
              <w:jc w:val="right"/>
              <w:rPr>
                <w:color w:val="000000"/>
                <w:szCs w:val="21"/>
              </w:rPr>
            </w:pPr>
            <w:r>
              <w:rPr>
                <w:color w:val="000000"/>
                <w:szCs w:val="21"/>
              </w:rPr>
              <w:t>-</w:t>
            </w:r>
          </w:p>
        </w:tc>
        <w:tc>
          <w:tcPr>
            <w:tcW w:w="2880" w:type="dxa"/>
            <w:vAlign w:val="center"/>
          </w:tcPr>
          <w:p w:rsidR="003663E4" w:rsidRDefault="00FD3F7D">
            <w:pPr>
              <w:spacing w:line="276" w:lineRule="auto"/>
              <w:jc w:val="right"/>
              <w:rPr>
                <w:color w:val="000000"/>
                <w:szCs w:val="21"/>
              </w:rPr>
            </w:pPr>
            <w:r>
              <w:rPr>
                <w:color w:val="000000"/>
                <w:szCs w:val="21"/>
              </w:rPr>
              <w:t>-</w:t>
            </w:r>
          </w:p>
        </w:tc>
      </w:tr>
      <w:tr w:rsidR="003663E4">
        <w:tc>
          <w:tcPr>
            <w:tcW w:w="2912" w:type="dxa"/>
            <w:vAlign w:val="center"/>
          </w:tcPr>
          <w:p w:rsidR="003663E4" w:rsidRDefault="00FD3F7D">
            <w:pPr>
              <w:spacing w:line="276" w:lineRule="auto"/>
              <w:rPr>
                <w:color w:val="000000"/>
                <w:szCs w:val="21"/>
              </w:rPr>
            </w:pPr>
            <w:r>
              <w:rPr>
                <w:color w:val="000000"/>
                <w:szCs w:val="21"/>
              </w:rPr>
              <w:t>合计</w:t>
            </w:r>
          </w:p>
        </w:tc>
        <w:tc>
          <w:tcPr>
            <w:tcW w:w="3208" w:type="dxa"/>
            <w:vAlign w:val="center"/>
          </w:tcPr>
          <w:p w:rsidR="003663E4" w:rsidRDefault="00FD3F7D">
            <w:pPr>
              <w:spacing w:line="276" w:lineRule="auto"/>
              <w:jc w:val="right"/>
              <w:rPr>
                <w:color w:val="000000"/>
                <w:szCs w:val="21"/>
              </w:rPr>
            </w:pPr>
            <w:r>
              <w:rPr>
                <w:color w:val="000000"/>
                <w:szCs w:val="21"/>
              </w:rPr>
              <w:t>13,056,623.42</w:t>
            </w:r>
          </w:p>
        </w:tc>
        <w:tc>
          <w:tcPr>
            <w:tcW w:w="2880" w:type="dxa"/>
            <w:vAlign w:val="center"/>
          </w:tcPr>
          <w:p w:rsidR="003663E4" w:rsidRDefault="00FD3F7D">
            <w:pPr>
              <w:spacing w:line="276" w:lineRule="auto"/>
              <w:jc w:val="right"/>
              <w:rPr>
                <w:color w:val="000000"/>
                <w:szCs w:val="21"/>
              </w:rPr>
            </w:pPr>
            <w:r>
              <w:rPr>
                <w:color w:val="000000"/>
                <w:szCs w:val="21"/>
              </w:rPr>
              <w:t>62,754,256.42</w:t>
            </w:r>
          </w:p>
        </w:tc>
      </w:tr>
    </w:tbl>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7.2.4.7.12</w:t>
      </w:r>
      <w:r>
        <w:rPr>
          <w:rFonts w:hint="eastAsia"/>
          <w:b/>
          <w:bCs/>
          <w:color w:val="000000"/>
          <w:kern w:val="0"/>
          <w:szCs w:val="21"/>
        </w:rPr>
        <w:t xml:space="preserve"> </w:t>
      </w:r>
      <w:r>
        <w:rPr>
          <w:b/>
          <w:bCs/>
          <w:color w:val="000000"/>
          <w:kern w:val="0"/>
          <w:szCs w:val="21"/>
        </w:rPr>
        <w:t>债券投资收益</w:t>
      </w:r>
    </w:p>
    <w:p w:rsidR="003663E4" w:rsidRDefault="00FD3F7D">
      <w:pPr>
        <w:widowControl/>
        <w:tabs>
          <w:tab w:val="left" w:pos="1680"/>
        </w:tabs>
        <w:wordWrap w:val="0"/>
        <w:autoSpaceDE w:val="0"/>
        <w:autoSpaceDN w:val="0"/>
        <w:ind w:left="440"/>
        <w:jc w:val="right"/>
        <w:textAlignment w:val="bottom"/>
        <w:rPr>
          <w:color w:val="000000"/>
          <w:kern w:val="0"/>
          <w:szCs w:val="21"/>
        </w:rPr>
      </w:pPr>
      <w:r>
        <w:rPr>
          <w:color w:val="000000"/>
          <w:szCs w:val="21"/>
        </w:rPr>
        <w:t xml:space="preserve">         </w:t>
      </w:r>
      <w:r>
        <w:rPr>
          <w:color w:val="000000"/>
          <w:szCs w:val="21"/>
        </w:rPr>
        <w:t>单位：人民币元</w:t>
      </w:r>
    </w:p>
    <w:tbl>
      <w:tblPr>
        <w:tblW w:w="936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tblCellMar>
        <w:tblLook w:val="04A0" w:firstRow="1" w:lastRow="0" w:firstColumn="1" w:lastColumn="0" w:noHBand="0" w:noVBand="1"/>
      </w:tblPr>
      <w:tblGrid>
        <w:gridCol w:w="4129"/>
        <w:gridCol w:w="2616"/>
        <w:gridCol w:w="2616"/>
      </w:tblGrid>
      <w:tr w:rsidR="003663E4">
        <w:trPr>
          <w:trHeight w:val="315"/>
        </w:trPr>
        <w:tc>
          <w:tcPr>
            <w:tcW w:w="4129" w:type="dxa"/>
            <w:vAlign w:val="center"/>
          </w:tcPr>
          <w:p w:rsidR="003663E4" w:rsidRDefault="00FD3F7D">
            <w:pPr>
              <w:autoSpaceDE w:val="0"/>
              <w:autoSpaceDN w:val="0"/>
              <w:spacing w:line="276" w:lineRule="auto"/>
              <w:ind w:left="440"/>
              <w:jc w:val="center"/>
              <w:textAlignment w:val="bottom"/>
              <w:rPr>
                <w:color w:val="000000"/>
                <w:kern w:val="0"/>
                <w:szCs w:val="21"/>
              </w:rPr>
            </w:pPr>
            <w:r>
              <w:rPr>
                <w:color w:val="000000"/>
                <w:kern w:val="0"/>
                <w:szCs w:val="21"/>
              </w:rPr>
              <w:t>项目</w:t>
            </w:r>
          </w:p>
        </w:tc>
        <w:tc>
          <w:tcPr>
            <w:tcW w:w="2616" w:type="dxa"/>
            <w:vAlign w:val="center"/>
          </w:tcPr>
          <w:p w:rsidR="003663E4" w:rsidRDefault="00FD3F7D">
            <w:pPr>
              <w:spacing w:line="276" w:lineRule="auto"/>
              <w:jc w:val="center"/>
              <w:rPr>
                <w:color w:val="000000"/>
                <w:szCs w:val="21"/>
              </w:rPr>
            </w:pPr>
            <w:r>
              <w:rPr>
                <w:color w:val="000000"/>
                <w:szCs w:val="21"/>
              </w:rPr>
              <w:t>本期</w:t>
            </w:r>
          </w:p>
          <w:p w:rsidR="003663E4" w:rsidRDefault="00FD3F7D">
            <w:pPr>
              <w:widowControl/>
              <w:autoSpaceDE w:val="0"/>
              <w:autoSpaceDN w:val="0"/>
              <w:spacing w:line="276"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p>
        </w:tc>
        <w:tc>
          <w:tcPr>
            <w:tcW w:w="2616" w:type="dxa"/>
            <w:vAlign w:val="center"/>
          </w:tcPr>
          <w:p w:rsidR="003663E4" w:rsidRDefault="00FD3F7D">
            <w:pPr>
              <w:spacing w:line="276" w:lineRule="auto"/>
              <w:jc w:val="center"/>
              <w:rPr>
                <w:color w:val="000000"/>
                <w:szCs w:val="21"/>
              </w:rPr>
            </w:pPr>
            <w:r>
              <w:rPr>
                <w:color w:val="000000"/>
                <w:szCs w:val="21"/>
              </w:rPr>
              <w:t>上年度可比期间</w:t>
            </w:r>
          </w:p>
          <w:p w:rsidR="003663E4" w:rsidRDefault="00FD3F7D">
            <w:pPr>
              <w:widowControl/>
              <w:autoSpaceDE w:val="0"/>
              <w:autoSpaceDN w:val="0"/>
              <w:spacing w:line="276" w:lineRule="auto"/>
              <w:ind w:right="-15"/>
              <w:jc w:val="center"/>
              <w:textAlignment w:val="bottom"/>
              <w:rPr>
                <w:color w:val="000000"/>
                <w:kern w:val="0"/>
                <w:szCs w:val="21"/>
              </w:rP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663E4">
        <w:trPr>
          <w:trHeight w:val="315"/>
        </w:trPr>
        <w:tc>
          <w:tcPr>
            <w:tcW w:w="4129" w:type="dxa"/>
            <w:vAlign w:val="center"/>
          </w:tcPr>
          <w:p w:rsidR="003663E4" w:rsidRDefault="00FD3F7D">
            <w:pPr>
              <w:widowControl/>
              <w:autoSpaceDE w:val="0"/>
              <w:autoSpaceDN w:val="0"/>
              <w:spacing w:line="276" w:lineRule="auto"/>
              <w:ind w:leftChars="50" w:left="105"/>
              <w:textAlignment w:val="bottom"/>
              <w:rPr>
                <w:color w:val="000000"/>
                <w:kern w:val="0"/>
                <w:szCs w:val="21"/>
              </w:rPr>
            </w:pPr>
            <w:r>
              <w:rPr>
                <w:color w:val="000000"/>
                <w:kern w:val="0"/>
                <w:szCs w:val="21"/>
              </w:rPr>
              <w:t>卖出债券</w:t>
            </w:r>
            <w:r>
              <w:rPr>
                <w:color w:val="000000" w:themeColor="text1"/>
                <w:kern w:val="0"/>
                <w:szCs w:val="21"/>
              </w:rPr>
              <w:t>（、债转股及债券到期兑付）</w:t>
            </w:r>
            <w:r>
              <w:rPr>
                <w:color w:val="000000"/>
                <w:kern w:val="0"/>
                <w:szCs w:val="21"/>
              </w:rPr>
              <w:t>成交总额</w:t>
            </w:r>
          </w:p>
        </w:tc>
        <w:tc>
          <w:tcPr>
            <w:tcW w:w="2616" w:type="dxa"/>
            <w:vAlign w:val="center"/>
          </w:tcPr>
          <w:p w:rsidR="003663E4" w:rsidRDefault="00FD3F7D">
            <w:pPr>
              <w:spacing w:line="276" w:lineRule="auto"/>
              <w:ind w:left="440"/>
              <w:jc w:val="right"/>
              <w:rPr>
                <w:color w:val="000000"/>
                <w:szCs w:val="21"/>
              </w:rPr>
            </w:pPr>
            <w:r>
              <w:rPr>
                <w:color w:val="000000"/>
                <w:szCs w:val="21"/>
              </w:rPr>
              <w:t>12,197,600,482.19</w:t>
            </w:r>
          </w:p>
        </w:tc>
        <w:tc>
          <w:tcPr>
            <w:tcW w:w="2616" w:type="dxa"/>
            <w:vAlign w:val="center"/>
          </w:tcPr>
          <w:p w:rsidR="003663E4" w:rsidRDefault="00FD3F7D">
            <w:pPr>
              <w:spacing w:line="276" w:lineRule="auto"/>
              <w:ind w:left="440"/>
              <w:jc w:val="right"/>
              <w:rPr>
                <w:color w:val="000000"/>
                <w:szCs w:val="21"/>
              </w:rPr>
            </w:pPr>
            <w:r>
              <w:rPr>
                <w:color w:val="000000"/>
                <w:szCs w:val="21"/>
              </w:rPr>
              <w:t>19,464,781,560.00</w:t>
            </w:r>
          </w:p>
        </w:tc>
      </w:tr>
      <w:tr w:rsidR="003663E4">
        <w:trPr>
          <w:trHeight w:val="315"/>
        </w:trPr>
        <w:tc>
          <w:tcPr>
            <w:tcW w:w="4129" w:type="dxa"/>
            <w:vAlign w:val="center"/>
          </w:tcPr>
          <w:p w:rsidR="003663E4" w:rsidRDefault="00FD3F7D">
            <w:pPr>
              <w:widowControl/>
              <w:autoSpaceDE w:val="0"/>
              <w:autoSpaceDN w:val="0"/>
              <w:spacing w:line="276" w:lineRule="auto"/>
              <w:ind w:leftChars="50" w:left="105"/>
              <w:textAlignment w:val="bottom"/>
              <w:rPr>
                <w:color w:val="000000"/>
                <w:kern w:val="0"/>
                <w:szCs w:val="21"/>
              </w:rPr>
            </w:pPr>
            <w:r>
              <w:rPr>
                <w:color w:val="000000"/>
                <w:szCs w:val="21"/>
              </w:rPr>
              <w:t>减：</w:t>
            </w:r>
            <w:r>
              <w:rPr>
                <w:color w:val="000000"/>
                <w:kern w:val="0"/>
                <w:szCs w:val="21"/>
              </w:rPr>
              <w:t>卖出债券</w:t>
            </w:r>
            <w:r>
              <w:rPr>
                <w:color w:val="000000" w:themeColor="text1"/>
                <w:kern w:val="0"/>
                <w:szCs w:val="21"/>
              </w:rPr>
              <w:t>（、债转股及债券到期兑付）</w:t>
            </w:r>
            <w:r>
              <w:rPr>
                <w:color w:val="000000"/>
                <w:kern w:val="0"/>
                <w:szCs w:val="21"/>
              </w:rPr>
              <w:t>成本总额</w:t>
            </w:r>
          </w:p>
        </w:tc>
        <w:tc>
          <w:tcPr>
            <w:tcW w:w="2616" w:type="dxa"/>
            <w:vAlign w:val="center"/>
          </w:tcPr>
          <w:p w:rsidR="003663E4" w:rsidRDefault="00FD3F7D">
            <w:pPr>
              <w:spacing w:line="276" w:lineRule="auto"/>
              <w:ind w:left="440"/>
              <w:jc w:val="right"/>
              <w:rPr>
                <w:color w:val="000000"/>
                <w:szCs w:val="21"/>
              </w:rPr>
            </w:pPr>
            <w:r>
              <w:rPr>
                <w:color w:val="000000"/>
                <w:szCs w:val="21"/>
              </w:rPr>
              <w:t>12,108,147,385.02</w:t>
            </w:r>
          </w:p>
        </w:tc>
        <w:tc>
          <w:tcPr>
            <w:tcW w:w="2616" w:type="dxa"/>
            <w:vAlign w:val="center"/>
          </w:tcPr>
          <w:p w:rsidR="003663E4" w:rsidRDefault="00FD3F7D">
            <w:pPr>
              <w:spacing w:line="276" w:lineRule="auto"/>
              <w:ind w:left="440"/>
              <w:jc w:val="right"/>
              <w:rPr>
                <w:color w:val="000000"/>
                <w:szCs w:val="21"/>
              </w:rPr>
            </w:pPr>
            <w:r>
              <w:rPr>
                <w:color w:val="000000"/>
                <w:szCs w:val="21"/>
              </w:rPr>
              <w:t>19,379,850,627.50</w:t>
            </w:r>
          </w:p>
        </w:tc>
      </w:tr>
      <w:tr w:rsidR="003663E4">
        <w:trPr>
          <w:trHeight w:val="315"/>
        </w:trPr>
        <w:tc>
          <w:tcPr>
            <w:tcW w:w="4129" w:type="dxa"/>
            <w:vAlign w:val="center"/>
          </w:tcPr>
          <w:p w:rsidR="003663E4" w:rsidRDefault="00FD3F7D">
            <w:pPr>
              <w:widowControl/>
              <w:autoSpaceDE w:val="0"/>
              <w:autoSpaceDN w:val="0"/>
              <w:spacing w:line="276" w:lineRule="auto"/>
              <w:ind w:firstLineChars="50" w:firstLine="105"/>
              <w:textAlignment w:val="bottom"/>
              <w:rPr>
                <w:color w:val="000000"/>
                <w:kern w:val="0"/>
                <w:szCs w:val="21"/>
              </w:rPr>
            </w:pPr>
            <w:r>
              <w:rPr>
                <w:color w:val="000000"/>
                <w:szCs w:val="21"/>
              </w:rPr>
              <w:t>减：</w:t>
            </w:r>
            <w:r>
              <w:rPr>
                <w:color w:val="000000"/>
                <w:kern w:val="0"/>
                <w:szCs w:val="21"/>
              </w:rPr>
              <w:t>应收利息总额</w:t>
            </w:r>
          </w:p>
        </w:tc>
        <w:tc>
          <w:tcPr>
            <w:tcW w:w="2616" w:type="dxa"/>
            <w:vAlign w:val="center"/>
          </w:tcPr>
          <w:p w:rsidR="003663E4" w:rsidRDefault="00FD3F7D">
            <w:pPr>
              <w:spacing w:line="276" w:lineRule="auto"/>
              <w:ind w:left="440"/>
              <w:jc w:val="right"/>
              <w:rPr>
                <w:color w:val="000000"/>
                <w:szCs w:val="21"/>
              </w:rPr>
            </w:pPr>
            <w:r>
              <w:rPr>
                <w:color w:val="000000"/>
                <w:szCs w:val="21"/>
              </w:rPr>
              <w:t>81,048,999.16</w:t>
            </w:r>
          </w:p>
        </w:tc>
        <w:tc>
          <w:tcPr>
            <w:tcW w:w="2616" w:type="dxa"/>
            <w:vAlign w:val="center"/>
          </w:tcPr>
          <w:p w:rsidR="003663E4" w:rsidRDefault="00FD3F7D">
            <w:pPr>
              <w:spacing w:line="276" w:lineRule="auto"/>
              <w:ind w:left="440"/>
              <w:jc w:val="right"/>
              <w:rPr>
                <w:color w:val="000000"/>
                <w:szCs w:val="21"/>
              </w:rPr>
            </w:pPr>
            <w:r>
              <w:rPr>
                <w:color w:val="000000"/>
                <w:szCs w:val="21"/>
              </w:rPr>
              <w:t>84,206,206.74</w:t>
            </w:r>
          </w:p>
        </w:tc>
      </w:tr>
      <w:tr w:rsidR="003663E4">
        <w:trPr>
          <w:trHeight w:val="315"/>
        </w:trPr>
        <w:tc>
          <w:tcPr>
            <w:tcW w:w="4129" w:type="dxa"/>
            <w:vAlign w:val="center"/>
          </w:tcPr>
          <w:p w:rsidR="003663E4" w:rsidRDefault="00FD3F7D">
            <w:pPr>
              <w:widowControl/>
              <w:autoSpaceDE w:val="0"/>
              <w:autoSpaceDN w:val="0"/>
              <w:spacing w:line="276" w:lineRule="auto"/>
              <w:ind w:leftChars="50" w:left="105"/>
              <w:textAlignment w:val="bottom"/>
              <w:rPr>
                <w:color w:val="000000"/>
                <w:kern w:val="0"/>
                <w:szCs w:val="21"/>
              </w:rPr>
            </w:pPr>
            <w:r>
              <w:rPr>
                <w:color w:val="000000"/>
                <w:kern w:val="0"/>
                <w:szCs w:val="21"/>
              </w:rPr>
              <w:t>买卖债券差价收入</w:t>
            </w:r>
          </w:p>
        </w:tc>
        <w:tc>
          <w:tcPr>
            <w:tcW w:w="2616" w:type="dxa"/>
            <w:vAlign w:val="center"/>
          </w:tcPr>
          <w:p w:rsidR="003663E4" w:rsidRDefault="00FD3F7D">
            <w:pPr>
              <w:spacing w:line="276" w:lineRule="auto"/>
              <w:ind w:left="440"/>
              <w:jc w:val="right"/>
              <w:rPr>
                <w:color w:val="000000"/>
                <w:szCs w:val="21"/>
              </w:rPr>
            </w:pPr>
            <w:r>
              <w:rPr>
                <w:color w:val="000000"/>
                <w:szCs w:val="21"/>
              </w:rPr>
              <w:t>8,404,098.01</w:t>
            </w:r>
          </w:p>
        </w:tc>
        <w:tc>
          <w:tcPr>
            <w:tcW w:w="2616" w:type="dxa"/>
            <w:vAlign w:val="center"/>
          </w:tcPr>
          <w:p w:rsidR="003663E4" w:rsidRDefault="00FD3F7D">
            <w:pPr>
              <w:spacing w:line="276" w:lineRule="auto"/>
              <w:ind w:left="440"/>
              <w:jc w:val="right"/>
              <w:rPr>
                <w:color w:val="000000"/>
                <w:szCs w:val="21"/>
              </w:rPr>
            </w:pPr>
            <w:r>
              <w:rPr>
                <w:color w:val="000000"/>
                <w:szCs w:val="21"/>
              </w:rPr>
              <w:t>724,725.76</w:t>
            </w:r>
          </w:p>
        </w:tc>
      </w:tr>
    </w:tbl>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7.2.4.7.13 </w:t>
      </w:r>
      <w:r>
        <w:rPr>
          <w:b/>
          <w:bCs/>
          <w:color w:val="000000"/>
          <w:kern w:val="0"/>
          <w:szCs w:val="21"/>
        </w:rPr>
        <w:t>资产支持证券投资收益</w:t>
      </w:r>
    </w:p>
    <w:p w:rsidR="003663E4" w:rsidRDefault="00FD3F7D">
      <w:pPr>
        <w:autoSpaceDE w:val="0"/>
        <w:autoSpaceDN w:val="0"/>
        <w:adjustRightInd w:val="0"/>
        <w:spacing w:before="29" w:line="360" w:lineRule="auto"/>
        <w:ind w:left="15"/>
        <w:jc w:val="right"/>
        <w:rPr>
          <w:color w:val="000000"/>
          <w:kern w:val="0"/>
          <w:szCs w:val="21"/>
        </w:rPr>
      </w:pPr>
      <w:r>
        <w:rPr>
          <w:color w:val="000000"/>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3240"/>
        <w:gridCol w:w="3240"/>
      </w:tblGrid>
      <w:tr w:rsidR="003663E4">
        <w:trPr>
          <w:trHeight w:val="315"/>
        </w:trPr>
        <w:tc>
          <w:tcPr>
            <w:tcW w:w="2700" w:type="dxa"/>
            <w:vAlign w:val="center"/>
          </w:tcPr>
          <w:p w:rsidR="003663E4" w:rsidRDefault="00FD3F7D">
            <w:pPr>
              <w:autoSpaceDE w:val="0"/>
              <w:autoSpaceDN w:val="0"/>
              <w:spacing w:line="276" w:lineRule="auto"/>
              <w:jc w:val="center"/>
              <w:textAlignment w:val="bottom"/>
              <w:rPr>
                <w:color w:val="000000"/>
                <w:kern w:val="0"/>
                <w:szCs w:val="21"/>
              </w:rPr>
            </w:pPr>
            <w:r>
              <w:rPr>
                <w:color w:val="000000"/>
                <w:kern w:val="0"/>
                <w:szCs w:val="21"/>
              </w:rPr>
              <w:t>项目</w:t>
            </w:r>
          </w:p>
        </w:tc>
        <w:tc>
          <w:tcPr>
            <w:tcW w:w="3240" w:type="dxa"/>
            <w:vAlign w:val="center"/>
          </w:tcPr>
          <w:p w:rsidR="003663E4" w:rsidRDefault="00FD3F7D">
            <w:pPr>
              <w:spacing w:line="276" w:lineRule="auto"/>
              <w:jc w:val="center"/>
              <w:rPr>
                <w:color w:val="000000"/>
                <w:szCs w:val="21"/>
              </w:rPr>
            </w:pPr>
            <w:r>
              <w:rPr>
                <w:color w:val="000000"/>
                <w:szCs w:val="21"/>
              </w:rPr>
              <w:t>本期</w:t>
            </w:r>
          </w:p>
          <w:p w:rsidR="003663E4" w:rsidRDefault="00FD3F7D">
            <w:pPr>
              <w:widowControl/>
              <w:autoSpaceDE w:val="0"/>
              <w:autoSpaceDN w:val="0"/>
              <w:spacing w:line="276"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p>
        </w:tc>
        <w:tc>
          <w:tcPr>
            <w:tcW w:w="3240" w:type="dxa"/>
            <w:vAlign w:val="center"/>
          </w:tcPr>
          <w:p w:rsidR="003663E4" w:rsidRDefault="00FD3F7D">
            <w:pPr>
              <w:spacing w:line="276" w:lineRule="auto"/>
              <w:jc w:val="center"/>
              <w:rPr>
                <w:color w:val="000000"/>
                <w:szCs w:val="21"/>
              </w:rPr>
            </w:pPr>
            <w:r>
              <w:rPr>
                <w:color w:val="000000"/>
                <w:szCs w:val="21"/>
              </w:rPr>
              <w:t>上年度可比期间</w:t>
            </w:r>
          </w:p>
          <w:p w:rsidR="003663E4" w:rsidRDefault="00FD3F7D">
            <w:pPr>
              <w:widowControl/>
              <w:autoSpaceDE w:val="0"/>
              <w:autoSpaceDN w:val="0"/>
              <w:spacing w:line="276" w:lineRule="auto"/>
              <w:ind w:right="-15"/>
              <w:jc w:val="center"/>
              <w:textAlignment w:val="bottom"/>
              <w:rPr>
                <w:color w:val="000000"/>
                <w:kern w:val="0"/>
                <w:szCs w:val="21"/>
              </w:rP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663E4">
        <w:trPr>
          <w:trHeight w:val="315"/>
        </w:trPr>
        <w:tc>
          <w:tcPr>
            <w:tcW w:w="2700" w:type="dxa"/>
            <w:vAlign w:val="center"/>
          </w:tcPr>
          <w:p w:rsidR="003663E4" w:rsidRDefault="00FD3F7D">
            <w:pPr>
              <w:widowControl/>
              <w:autoSpaceDE w:val="0"/>
              <w:autoSpaceDN w:val="0"/>
              <w:spacing w:line="276" w:lineRule="auto"/>
              <w:textAlignment w:val="bottom"/>
              <w:rPr>
                <w:color w:val="000000"/>
                <w:kern w:val="0"/>
                <w:szCs w:val="21"/>
              </w:rPr>
            </w:pPr>
            <w:r>
              <w:rPr>
                <w:color w:val="000000"/>
                <w:kern w:val="0"/>
                <w:szCs w:val="21"/>
              </w:rPr>
              <w:t>卖出资产支持证券成交总额</w:t>
            </w:r>
          </w:p>
        </w:tc>
        <w:tc>
          <w:tcPr>
            <w:tcW w:w="3240" w:type="dxa"/>
            <w:vAlign w:val="center"/>
          </w:tcPr>
          <w:p w:rsidR="003663E4" w:rsidRDefault="00FD3F7D">
            <w:pPr>
              <w:spacing w:line="276" w:lineRule="auto"/>
              <w:jc w:val="right"/>
              <w:rPr>
                <w:color w:val="000000"/>
                <w:szCs w:val="21"/>
              </w:rPr>
            </w:pPr>
            <w:r>
              <w:rPr>
                <w:color w:val="000000"/>
                <w:szCs w:val="21"/>
              </w:rPr>
              <w:t>-</w:t>
            </w:r>
          </w:p>
        </w:tc>
        <w:tc>
          <w:tcPr>
            <w:tcW w:w="3240" w:type="dxa"/>
            <w:vAlign w:val="center"/>
          </w:tcPr>
          <w:p w:rsidR="003663E4" w:rsidRDefault="00FD3F7D">
            <w:pPr>
              <w:spacing w:line="276" w:lineRule="auto"/>
              <w:jc w:val="right"/>
              <w:rPr>
                <w:color w:val="000000"/>
                <w:szCs w:val="21"/>
              </w:rPr>
            </w:pPr>
            <w:r>
              <w:rPr>
                <w:color w:val="000000"/>
                <w:szCs w:val="21"/>
              </w:rPr>
              <w:t>133,522,186.03</w:t>
            </w:r>
          </w:p>
        </w:tc>
      </w:tr>
      <w:tr w:rsidR="003663E4">
        <w:trPr>
          <w:trHeight w:val="315"/>
        </w:trPr>
        <w:tc>
          <w:tcPr>
            <w:tcW w:w="2700" w:type="dxa"/>
            <w:vAlign w:val="center"/>
          </w:tcPr>
          <w:p w:rsidR="003663E4" w:rsidRDefault="00FD3F7D">
            <w:pPr>
              <w:widowControl/>
              <w:autoSpaceDE w:val="0"/>
              <w:autoSpaceDN w:val="0"/>
              <w:spacing w:line="276" w:lineRule="auto"/>
              <w:ind w:left="21" w:hangingChars="10" w:hanging="21"/>
              <w:textAlignment w:val="bottom"/>
              <w:rPr>
                <w:color w:val="000000"/>
                <w:kern w:val="0"/>
                <w:szCs w:val="21"/>
              </w:rPr>
            </w:pPr>
            <w:r>
              <w:rPr>
                <w:color w:val="000000"/>
                <w:kern w:val="0"/>
                <w:szCs w:val="21"/>
              </w:rPr>
              <w:t>减：卖出资产支持证券成本总额</w:t>
            </w:r>
          </w:p>
        </w:tc>
        <w:tc>
          <w:tcPr>
            <w:tcW w:w="3240" w:type="dxa"/>
            <w:vAlign w:val="center"/>
          </w:tcPr>
          <w:p w:rsidR="003663E4" w:rsidRDefault="00FD3F7D">
            <w:pPr>
              <w:spacing w:line="276" w:lineRule="auto"/>
              <w:jc w:val="right"/>
              <w:rPr>
                <w:color w:val="000000"/>
                <w:szCs w:val="21"/>
              </w:rPr>
            </w:pPr>
            <w:r>
              <w:rPr>
                <w:color w:val="000000"/>
                <w:szCs w:val="21"/>
              </w:rPr>
              <w:t>-</w:t>
            </w:r>
          </w:p>
        </w:tc>
        <w:tc>
          <w:tcPr>
            <w:tcW w:w="3240" w:type="dxa"/>
            <w:vAlign w:val="center"/>
          </w:tcPr>
          <w:p w:rsidR="003663E4" w:rsidRDefault="00FD3F7D">
            <w:pPr>
              <w:spacing w:line="276" w:lineRule="auto"/>
              <w:jc w:val="right"/>
              <w:rPr>
                <w:color w:val="000000"/>
                <w:szCs w:val="21"/>
              </w:rPr>
            </w:pPr>
            <w:r>
              <w:rPr>
                <w:color w:val="000000"/>
                <w:szCs w:val="21"/>
              </w:rPr>
              <w:t>131,955,000.00</w:t>
            </w:r>
          </w:p>
        </w:tc>
      </w:tr>
      <w:tr w:rsidR="003663E4">
        <w:trPr>
          <w:trHeight w:val="315"/>
        </w:trPr>
        <w:tc>
          <w:tcPr>
            <w:tcW w:w="2700" w:type="dxa"/>
            <w:vAlign w:val="center"/>
          </w:tcPr>
          <w:p w:rsidR="003663E4" w:rsidRDefault="00FD3F7D">
            <w:pPr>
              <w:widowControl/>
              <w:autoSpaceDE w:val="0"/>
              <w:autoSpaceDN w:val="0"/>
              <w:spacing w:line="276" w:lineRule="auto"/>
              <w:textAlignment w:val="bottom"/>
              <w:rPr>
                <w:color w:val="000000"/>
                <w:kern w:val="0"/>
                <w:szCs w:val="21"/>
              </w:rPr>
            </w:pPr>
            <w:r>
              <w:rPr>
                <w:color w:val="000000"/>
                <w:kern w:val="0"/>
                <w:szCs w:val="21"/>
              </w:rPr>
              <w:t>减：应收利息总额</w:t>
            </w:r>
          </w:p>
        </w:tc>
        <w:tc>
          <w:tcPr>
            <w:tcW w:w="3240" w:type="dxa"/>
            <w:vAlign w:val="center"/>
          </w:tcPr>
          <w:p w:rsidR="003663E4" w:rsidRDefault="00FD3F7D">
            <w:pPr>
              <w:spacing w:line="276" w:lineRule="auto"/>
              <w:jc w:val="right"/>
              <w:rPr>
                <w:color w:val="000000"/>
                <w:szCs w:val="21"/>
              </w:rPr>
            </w:pPr>
            <w:r>
              <w:rPr>
                <w:color w:val="000000"/>
                <w:szCs w:val="21"/>
              </w:rPr>
              <w:t>-</w:t>
            </w:r>
          </w:p>
        </w:tc>
        <w:tc>
          <w:tcPr>
            <w:tcW w:w="3240" w:type="dxa"/>
            <w:vAlign w:val="center"/>
          </w:tcPr>
          <w:p w:rsidR="003663E4" w:rsidRDefault="00FD3F7D">
            <w:pPr>
              <w:spacing w:line="276" w:lineRule="auto"/>
              <w:jc w:val="right"/>
              <w:rPr>
                <w:color w:val="000000"/>
                <w:szCs w:val="21"/>
              </w:rPr>
            </w:pPr>
            <w:r>
              <w:rPr>
                <w:color w:val="000000"/>
                <w:szCs w:val="21"/>
              </w:rPr>
              <w:t>1,567,186.03</w:t>
            </w:r>
          </w:p>
        </w:tc>
      </w:tr>
      <w:tr w:rsidR="003663E4">
        <w:trPr>
          <w:trHeight w:val="315"/>
        </w:trPr>
        <w:tc>
          <w:tcPr>
            <w:tcW w:w="2700" w:type="dxa"/>
            <w:vAlign w:val="center"/>
          </w:tcPr>
          <w:p w:rsidR="003663E4" w:rsidRDefault="00FD3F7D">
            <w:pPr>
              <w:widowControl/>
              <w:autoSpaceDE w:val="0"/>
              <w:autoSpaceDN w:val="0"/>
              <w:spacing w:line="276" w:lineRule="auto"/>
              <w:textAlignment w:val="bottom"/>
              <w:rPr>
                <w:color w:val="000000"/>
                <w:kern w:val="0"/>
                <w:szCs w:val="21"/>
              </w:rPr>
            </w:pPr>
            <w:r>
              <w:rPr>
                <w:color w:val="000000"/>
                <w:kern w:val="0"/>
                <w:szCs w:val="21"/>
              </w:rPr>
              <w:t>资产支持证券投资收益</w:t>
            </w:r>
          </w:p>
        </w:tc>
        <w:tc>
          <w:tcPr>
            <w:tcW w:w="3240" w:type="dxa"/>
            <w:vAlign w:val="center"/>
          </w:tcPr>
          <w:p w:rsidR="003663E4" w:rsidRDefault="00FD3F7D">
            <w:pPr>
              <w:spacing w:line="276" w:lineRule="auto"/>
              <w:jc w:val="right"/>
              <w:rPr>
                <w:color w:val="000000"/>
                <w:szCs w:val="21"/>
              </w:rPr>
            </w:pPr>
            <w:r>
              <w:rPr>
                <w:color w:val="000000"/>
                <w:szCs w:val="21"/>
              </w:rPr>
              <w:t>-</w:t>
            </w:r>
          </w:p>
        </w:tc>
        <w:tc>
          <w:tcPr>
            <w:tcW w:w="3240" w:type="dxa"/>
            <w:vAlign w:val="center"/>
          </w:tcPr>
          <w:p w:rsidR="003663E4" w:rsidRDefault="00FD3F7D">
            <w:pPr>
              <w:spacing w:line="276" w:lineRule="auto"/>
              <w:jc w:val="right"/>
              <w:rPr>
                <w:color w:val="000000"/>
                <w:szCs w:val="21"/>
              </w:rPr>
            </w:pPr>
            <w:r>
              <w:rPr>
                <w:color w:val="000000"/>
                <w:szCs w:val="21"/>
              </w:rPr>
              <w:t>-</w:t>
            </w:r>
          </w:p>
        </w:tc>
      </w:tr>
    </w:tbl>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7.2.4.7.14 </w:t>
      </w:r>
      <w:r>
        <w:rPr>
          <w:b/>
          <w:bCs/>
          <w:color w:val="000000"/>
          <w:kern w:val="0"/>
          <w:szCs w:val="21"/>
        </w:rPr>
        <w:t>其他收入</w:t>
      </w:r>
    </w:p>
    <w:p w:rsidR="003663E4" w:rsidRDefault="00FD3F7D">
      <w:pPr>
        <w:tabs>
          <w:tab w:val="left" w:pos="7200"/>
          <w:tab w:val="left" w:pos="8280"/>
        </w:tabs>
        <w:spacing w:line="360" w:lineRule="auto"/>
        <w:ind w:rightChars="-52" w:right="-109"/>
        <w:jc w:val="right"/>
        <w:rPr>
          <w:color w:val="000000"/>
          <w:szCs w:val="21"/>
        </w:rPr>
      </w:pPr>
      <w:r>
        <w:rPr>
          <w:color w:val="000000"/>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3663E4">
        <w:trPr>
          <w:trHeight w:val="255"/>
        </w:trPr>
        <w:tc>
          <w:tcPr>
            <w:tcW w:w="1984" w:type="dxa"/>
            <w:vAlign w:val="center"/>
          </w:tcPr>
          <w:p w:rsidR="003663E4" w:rsidRDefault="00FD3F7D">
            <w:pPr>
              <w:spacing w:line="276" w:lineRule="auto"/>
              <w:jc w:val="center"/>
              <w:rPr>
                <w:color w:val="000000"/>
                <w:szCs w:val="21"/>
              </w:rPr>
            </w:pPr>
            <w:r>
              <w:rPr>
                <w:color w:val="000000"/>
                <w:szCs w:val="21"/>
              </w:rPr>
              <w:t>项目</w:t>
            </w:r>
          </w:p>
        </w:tc>
        <w:tc>
          <w:tcPr>
            <w:tcW w:w="3598" w:type="dxa"/>
            <w:vAlign w:val="center"/>
          </w:tcPr>
          <w:p w:rsidR="003663E4" w:rsidRDefault="00FD3F7D">
            <w:pPr>
              <w:spacing w:line="276" w:lineRule="auto"/>
              <w:jc w:val="center"/>
              <w:rPr>
                <w:color w:val="000000"/>
                <w:szCs w:val="21"/>
              </w:rPr>
            </w:pPr>
            <w:r>
              <w:rPr>
                <w:color w:val="000000"/>
                <w:szCs w:val="21"/>
              </w:rPr>
              <w:t>本期</w:t>
            </w:r>
          </w:p>
          <w:p w:rsidR="003663E4" w:rsidRDefault="00FD3F7D">
            <w:pPr>
              <w:widowControl/>
              <w:autoSpaceDE w:val="0"/>
              <w:autoSpaceDN w:val="0"/>
              <w:spacing w:line="276"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p>
        </w:tc>
        <w:tc>
          <w:tcPr>
            <w:tcW w:w="3598" w:type="dxa"/>
            <w:vAlign w:val="center"/>
          </w:tcPr>
          <w:p w:rsidR="003663E4" w:rsidRDefault="00FD3F7D">
            <w:pPr>
              <w:spacing w:line="276" w:lineRule="auto"/>
              <w:jc w:val="center"/>
              <w:rPr>
                <w:color w:val="000000"/>
                <w:szCs w:val="21"/>
              </w:rPr>
            </w:pPr>
            <w:r>
              <w:rPr>
                <w:color w:val="000000"/>
                <w:szCs w:val="21"/>
              </w:rPr>
              <w:t>上年度可比期间</w:t>
            </w:r>
          </w:p>
          <w:p w:rsidR="003663E4" w:rsidRDefault="00FD3F7D">
            <w:pPr>
              <w:widowControl/>
              <w:autoSpaceDE w:val="0"/>
              <w:autoSpaceDN w:val="0"/>
              <w:spacing w:line="276" w:lineRule="auto"/>
              <w:ind w:right="-15"/>
              <w:jc w:val="center"/>
              <w:textAlignment w:val="bottom"/>
              <w:rPr>
                <w:color w:val="000000"/>
                <w:kern w:val="0"/>
                <w:szCs w:val="21"/>
              </w:rP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663E4">
        <w:trPr>
          <w:trHeight w:val="255"/>
        </w:trPr>
        <w:tc>
          <w:tcPr>
            <w:tcW w:w="1984" w:type="dxa"/>
            <w:vAlign w:val="center"/>
          </w:tcPr>
          <w:p w:rsidR="003663E4" w:rsidRDefault="00FD3F7D">
            <w:pPr>
              <w:spacing w:line="276" w:lineRule="auto"/>
              <w:rPr>
                <w:color w:val="000000"/>
                <w:szCs w:val="21"/>
              </w:rPr>
            </w:pPr>
            <w:r>
              <w:rPr>
                <w:color w:val="000000"/>
                <w:szCs w:val="21"/>
              </w:rPr>
              <w:t>基金赎回费收入</w:t>
            </w:r>
          </w:p>
        </w:tc>
        <w:tc>
          <w:tcPr>
            <w:tcW w:w="3598" w:type="dxa"/>
            <w:vAlign w:val="center"/>
          </w:tcPr>
          <w:p w:rsidR="003663E4" w:rsidRDefault="00FD3F7D">
            <w:pPr>
              <w:spacing w:line="276" w:lineRule="auto"/>
              <w:jc w:val="right"/>
              <w:rPr>
                <w:color w:val="000000"/>
                <w:szCs w:val="21"/>
              </w:rPr>
            </w:pPr>
            <w:r>
              <w:rPr>
                <w:color w:val="000000"/>
                <w:szCs w:val="21"/>
              </w:rPr>
              <w:t>-</w:t>
            </w:r>
          </w:p>
        </w:tc>
        <w:tc>
          <w:tcPr>
            <w:tcW w:w="3598" w:type="dxa"/>
            <w:vAlign w:val="center"/>
          </w:tcPr>
          <w:p w:rsidR="003663E4" w:rsidRDefault="00FD3F7D">
            <w:pPr>
              <w:spacing w:line="276" w:lineRule="auto"/>
              <w:jc w:val="right"/>
              <w:rPr>
                <w:color w:val="000000"/>
                <w:szCs w:val="21"/>
              </w:rPr>
            </w:pPr>
            <w:r>
              <w:rPr>
                <w:color w:val="000000"/>
                <w:szCs w:val="21"/>
              </w:rPr>
              <w:t>-</w:t>
            </w:r>
          </w:p>
        </w:tc>
      </w:tr>
      <w:tr w:rsidR="003663E4">
        <w:tc>
          <w:tcPr>
            <w:tcW w:w="1984" w:type="dxa"/>
            <w:vAlign w:val="center"/>
          </w:tcPr>
          <w:p w:rsidR="003663E4" w:rsidRDefault="00FD3F7D">
            <w:pPr>
              <w:jc w:val="left"/>
            </w:pPr>
            <w:r>
              <w:rPr>
                <w:color w:val="000000"/>
                <w:szCs w:val="21"/>
              </w:rPr>
              <w:t>基金转换费收入</w:t>
            </w:r>
          </w:p>
        </w:tc>
        <w:tc>
          <w:tcPr>
            <w:tcW w:w="3598" w:type="dxa"/>
            <w:vAlign w:val="center"/>
          </w:tcPr>
          <w:p w:rsidR="003663E4" w:rsidRDefault="00FD3F7D">
            <w:pPr>
              <w:jc w:val="right"/>
            </w:pPr>
            <w:r>
              <w:rPr>
                <w:color w:val="000000"/>
                <w:szCs w:val="21"/>
              </w:rPr>
              <w:t>-</w:t>
            </w:r>
          </w:p>
        </w:tc>
        <w:tc>
          <w:tcPr>
            <w:tcW w:w="3598" w:type="dxa"/>
            <w:vAlign w:val="center"/>
          </w:tcPr>
          <w:p w:rsidR="003663E4" w:rsidRDefault="00FD3F7D">
            <w:pPr>
              <w:jc w:val="right"/>
            </w:pPr>
            <w:r>
              <w:rPr>
                <w:color w:val="000000"/>
                <w:szCs w:val="21"/>
              </w:rPr>
              <w:t>50,229.44</w:t>
            </w:r>
          </w:p>
        </w:tc>
      </w:tr>
      <w:tr w:rsidR="003663E4">
        <w:trPr>
          <w:trHeight w:val="255"/>
        </w:trPr>
        <w:tc>
          <w:tcPr>
            <w:tcW w:w="1984" w:type="dxa"/>
            <w:vAlign w:val="center"/>
          </w:tcPr>
          <w:p w:rsidR="003663E4" w:rsidRDefault="00FD3F7D">
            <w:pPr>
              <w:spacing w:line="276" w:lineRule="auto"/>
              <w:rPr>
                <w:color w:val="000000"/>
                <w:szCs w:val="21"/>
              </w:rPr>
            </w:pPr>
            <w:r>
              <w:rPr>
                <w:color w:val="000000"/>
                <w:szCs w:val="21"/>
              </w:rPr>
              <w:t>合计</w:t>
            </w:r>
          </w:p>
        </w:tc>
        <w:tc>
          <w:tcPr>
            <w:tcW w:w="3598" w:type="dxa"/>
            <w:vAlign w:val="center"/>
          </w:tcPr>
          <w:p w:rsidR="003663E4" w:rsidRDefault="00FD3F7D">
            <w:pPr>
              <w:spacing w:line="276" w:lineRule="auto"/>
              <w:jc w:val="right"/>
              <w:rPr>
                <w:color w:val="000000"/>
                <w:szCs w:val="21"/>
              </w:rPr>
            </w:pPr>
            <w:r>
              <w:rPr>
                <w:color w:val="000000"/>
                <w:szCs w:val="21"/>
              </w:rPr>
              <w:t>-</w:t>
            </w:r>
          </w:p>
        </w:tc>
        <w:tc>
          <w:tcPr>
            <w:tcW w:w="3598" w:type="dxa"/>
            <w:vAlign w:val="center"/>
          </w:tcPr>
          <w:p w:rsidR="003663E4" w:rsidRDefault="00FD3F7D">
            <w:pPr>
              <w:spacing w:line="276" w:lineRule="auto"/>
              <w:jc w:val="right"/>
              <w:rPr>
                <w:color w:val="000000"/>
                <w:szCs w:val="21"/>
              </w:rPr>
            </w:pPr>
            <w:r>
              <w:rPr>
                <w:color w:val="000000"/>
                <w:szCs w:val="21"/>
              </w:rPr>
              <w:t>50,229.44</w:t>
            </w:r>
          </w:p>
        </w:tc>
      </w:tr>
    </w:tbl>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7.2.4.7.15 </w:t>
      </w:r>
      <w:r>
        <w:rPr>
          <w:b/>
          <w:bCs/>
          <w:color w:val="000000"/>
          <w:kern w:val="0"/>
          <w:szCs w:val="21"/>
        </w:rPr>
        <w:t>其他费用</w:t>
      </w:r>
    </w:p>
    <w:p w:rsidR="003663E4" w:rsidRDefault="00FD3F7D">
      <w:pPr>
        <w:tabs>
          <w:tab w:val="left" w:pos="7200"/>
          <w:tab w:val="left" w:pos="8280"/>
          <w:tab w:val="left" w:pos="9000"/>
        </w:tabs>
        <w:spacing w:line="360" w:lineRule="auto"/>
        <w:ind w:rightChars="-52" w:right="-109"/>
        <w:jc w:val="right"/>
        <w:rPr>
          <w:bCs/>
          <w:color w:val="000000"/>
          <w:szCs w:val="21"/>
        </w:rPr>
      </w:pPr>
      <w:r>
        <w:rPr>
          <w:color w:val="000000"/>
          <w:szCs w:val="21"/>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3663E4">
        <w:tc>
          <w:tcPr>
            <w:tcW w:w="2855" w:type="dxa"/>
            <w:vAlign w:val="center"/>
          </w:tcPr>
          <w:p w:rsidR="003663E4" w:rsidRDefault="00FD3F7D">
            <w:pPr>
              <w:spacing w:line="276" w:lineRule="auto"/>
              <w:jc w:val="center"/>
              <w:rPr>
                <w:color w:val="000000"/>
                <w:szCs w:val="21"/>
              </w:rPr>
            </w:pPr>
            <w:r>
              <w:rPr>
                <w:color w:val="000000"/>
                <w:szCs w:val="21"/>
              </w:rPr>
              <w:t>项目</w:t>
            </w:r>
          </w:p>
        </w:tc>
        <w:tc>
          <w:tcPr>
            <w:tcW w:w="2893" w:type="dxa"/>
            <w:vAlign w:val="center"/>
          </w:tcPr>
          <w:p w:rsidR="003663E4" w:rsidRDefault="00FD3F7D">
            <w:pPr>
              <w:spacing w:line="276" w:lineRule="auto"/>
              <w:jc w:val="center"/>
              <w:rPr>
                <w:color w:val="000000"/>
                <w:szCs w:val="21"/>
              </w:rPr>
            </w:pPr>
            <w:r>
              <w:rPr>
                <w:color w:val="000000"/>
                <w:szCs w:val="21"/>
              </w:rPr>
              <w:t>本期</w:t>
            </w:r>
          </w:p>
          <w:p w:rsidR="003663E4" w:rsidRDefault="00FD3F7D">
            <w:pPr>
              <w:widowControl/>
              <w:autoSpaceDE w:val="0"/>
              <w:autoSpaceDN w:val="0"/>
              <w:spacing w:line="276"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p>
        </w:tc>
        <w:tc>
          <w:tcPr>
            <w:tcW w:w="3367" w:type="dxa"/>
            <w:vAlign w:val="center"/>
          </w:tcPr>
          <w:p w:rsidR="003663E4" w:rsidRDefault="00FD3F7D">
            <w:pPr>
              <w:spacing w:line="276" w:lineRule="auto"/>
              <w:jc w:val="center"/>
              <w:rPr>
                <w:color w:val="000000"/>
                <w:szCs w:val="21"/>
              </w:rPr>
            </w:pPr>
            <w:r>
              <w:rPr>
                <w:color w:val="000000"/>
                <w:szCs w:val="21"/>
              </w:rPr>
              <w:t>上年度可比期间</w:t>
            </w:r>
          </w:p>
          <w:p w:rsidR="003663E4" w:rsidRDefault="00FD3F7D">
            <w:pPr>
              <w:widowControl/>
              <w:autoSpaceDE w:val="0"/>
              <w:autoSpaceDN w:val="0"/>
              <w:spacing w:line="276" w:lineRule="auto"/>
              <w:ind w:right="-15"/>
              <w:jc w:val="center"/>
              <w:textAlignment w:val="bottom"/>
              <w:rPr>
                <w:color w:val="000000"/>
                <w:kern w:val="0"/>
                <w:szCs w:val="21"/>
              </w:rP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663E4">
        <w:tc>
          <w:tcPr>
            <w:tcW w:w="2855" w:type="dxa"/>
            <w:vAlign w:val="center"/>
          </w:tcPr>
          <w:p w:rsidR="003663E4" w:rsidRDefault="00FD3F7D">
            <w:pPr>
              <w:spacing w:line="276" w:lineRule="auto"/>
              <w:rPr>
                <w:color w:val="000000"/>
                <w:szCs w:val="21"/>
              </w:rPr>
            </w:pPr>
            <w:r>
              <w:rPr>
                <w:color w:val="000000"/>
                <w:szCs w:val="21"/>
              </w:rPr>
              <w:t>审计费用</w:t>
            </w:r>
          </w:p>
        </w:tc>
        <w:tc>
          <w:tcPr>
            <w:tcW w:w="2893" w:type="dxa"/>
            <w:vAlign w:val="center"/>
          </w:tcPr>
          <w:p w:rsidR="003663E4" w:rsidRDefault="00FD3F7D">
            <w:pPr>
              <w:spacing w:line="276" w:lineRule="auto"/>
              <w:jc w:val="right"/>
              <w:rPr>
                <w:color w:val="000000"/>
                <w:szCs w:val="21"/>
              </w:rPr>
            </w:pPr>
            <w:r>
              <w:rPr>
                <w:color w:val="000000"/>
                <w:szCs w:val="21"/>
              </w:rPr>
              <w:t>68,524.83</w:t>
            </w:r>
          </w:p>
        </w:tc>
        <w:tc>
          <w:tcPr>
            <w:tcW w:w="3367" w:type="dxa"/>
            <w:vAlign w:val="center"/>
          </w:tcPr>
          <w:p w:rsidR="003663E4" w:rsidRDefault="00FD3F7D">
            <w:pPr>
              <w:spacing w:line="276" w:lineRule="auto"/>
              <w:jc w:val="right"/>
              <w:rPr>
                <w:color w:val="000000"/>
                <w:szCs w:val="21"/>
              </w:rPr>
            </w:pPr>
            <w:r>
              <w:rPr>
                <w:color w:val="000000"/>
                <w:szCs w:val="21"/>
              </w:rPr>
              <w:t>130,000.00</w:t>
            </w:r>
          </w:p>
        </w:tc>
      </w:tr>
      <w:tr w:rsidR="003663E4">
        <w:tc>
          <w:tcPr>
            <w:tcW w:w="2855" w:type="dxa"/>
            <w:vAlign w:val="center"/>
          </w:tcPr>
          <w:p w:rsidR="003663E4" w:rsidRDefault="00FD3F7D">
            <w:pPr>
              <w:spacing w:line="276" w:lineRule="auto"/>
              <w:rPr>
                <w:color w:val="000000"/>
                <w:szCs w:val="21"/>
              </w:rPr>
            </w:pPr>
            <w:r>
              <w:rPr>
                <w:color w:val="000000"/>
                <w:szCs w:val="21"/>
              </w:rPr>
              <w:t>信息披露费</w:t>
            </w:r>
          </w:p>
        </w:tc>
        <w:tc>
          <w:tcPr>
            <w:tcW w:w="2893" w:type="dxa"/>
            <w:vAlign w:val="center"/>
          </w:tcPr>
          <w:p w:rsidR="003663E4" w:rsidRDefault="00FD3F7D">
            <w:pPr>
              <w:spacing w:line="276" w:lineRule="auto"/>
              <w:jc w:val="right"/>
              <w:rPr>
                <w:color w:val="000000"/>
                <w:szCs w:val="21"/>
              </w:rPr>
            </w:pPr>
            <w:r>
              <w:rPr>
                <w:color w:val="000000"/>
                <w:szCs w:val="21"/>
              </w:rPr>
              <w:t>68,524.83</w:t>
            </w:r>
          </w:p>
        </w:tc>
        <w:tc>
          <w:tcPr>
            <w:tcW w:w="3367" w:type="dxa"/>
            <w:vAlign w:val="center"/>
          </w:tcPr>
          <w:p w:rsidR="003663E4" w:rsidRDefault="00FD3F7D">
            <w:pPr>
              <w:spacing w:line="276" w:lineRule="auto"/>
              <w:jc w:val="right"/>
              <w:rPr>
                <w:color w:val="000000"/>
                <w:szCs w:val="21"/>
              </w:rPr>
            </w:pPr>
            <w:r>
              <w:rPr>
                <w:color w:val="000000"/>
                <w:szCs w:val="21"/>
              </w:rPr>
              <w:t>120,000.00</w:t>
            </w:r>
          </w:p>
        </w:tc>
      </w:tr>
      <w:tr w:rsidR="003663E4">
        <w:tc>
          <w:tcPr>
            <w:tcW w:w="2855" w:type="dxa"/>
            <w:vAlign w:val="center"/>
          </w:tcPr>
          <w:p w:rsidR="003663E4" w:rsidRDefault="00FD3F7D">
            <w:pPr>
              <w:jc w:val="left"/>
            </w:pPr>
            <w:r>
              <w:rPr>
                <w:color w:val="000000"/>
                <w:szCs w:val="21"/>
              </w:rPr>
              <w:t>银行费用</w:t>
            </w:r>
          </w:p>
        </w:tc>
        <w:tc>
          <w:tcPr>
            <w:tcW w:w="2893" w:type="dxa"/>
            <w:vAlign w:val="center"/>
          </w:tcPr>
          <w:p w:rsidR="003663E4" w:rsidRDefault="00FD3F7D">
            <w:pPr>
              <w:jc w:val="right"/>
            </w:pPr>
            <w:r>
              <w:rPr>
                <w:color w:val="000000"/>
                <w:szCs w:val="21"/>
              </w:rPr>
              <w:t>30,580.67</w:t>
            </w:r>
          </w:p>
        </w:tc>
        <w:tc>
          <w:tcPr>
            <w:tcW w:w="3367" w:type="dxa"/>
            <w:vAlign w:val="center"/>
          </w:tcPr>
          <w:p w:rsidR="003663E4" w:rsidRDefault="00FD3F7D">
            <w:pPr>
              <w:jc w:val="right"/>
            </w:pPr>
            <w:r>
              <w:rPr>
                <w:color w:val="000000"/>
                <w:szCs w:val="21"/>
              </w:rPr>
              <w:t>70,718.60</w:t>
            </w:r>
          </w:p>
        </w:tc>
      </w:tr>
      <w:tr w:rsidR="003663E4">
        <w:tc>
          <w:tcPr>
            <w:tcW w:w="2855" w:type="dxa"/>
            <w:vAlign w:val="center"/>
          </w:tcPr>
          <w:p w:rsidR="003663E4" w:rsidRDefault="00FD3F7D">
            <w:pPr>
              <w:jc w:val="left"/>
            </w:pPr>
            <w:r>
              <w:rPr>
                <w:color w:val="000000"/>
                <w:szCs w:val="21"/>
              </w:rPr>
              <w:t>债券账户费用</w:t>
            </w:r>
          </w:p>
        </w:tc>
        <w:tc>
          <w:tcPr>
            <w:tcW w:w="2893" w:type="dxa"/>
            <w:vAlign w:val="center"/>
          </w:tcPr>
          <w:p w:rsidR="003663E4" w:rsidRDefault="00FD3F7D">
            <w:pPr>
              <w:jc w:val="right"/>
            </w:pPr>
            <w:r>
              <w:rPr>
                <w:color w:val="000000"/>
                <w:szCs w:val="21"/>
              </w:rPr>
              <w:t>21,329.16</w:t>
            </w:r>
          </w:p>
        </w:tc>
        <w:tc>
          <w:tcPr>
            <w:tcW w:w="3367" w:type="dxa"/>
            <w:vAlign w:val="center"/>
          </w:tcPr>
          <w:p w:rsidR="003663E4" w:rsidRDefault="00FD3F7D">
            <w:pPr>
              <w:jc w:val="right"/>
            </w:pPr>
            <w:r>
              <w:rPr>
                <w:color w:val="000000"/>
                <w:szCs w:val="21"/>
              </w:rPr>
              <w:t>37,200.00</w:t>
            </w:r>
          </w:p>
        </w:tc>
      </w:tr>
      <w:tr w:rsidR="003663E4">
        <w:tc>
          <w:tcPr>
            <w:tcW w:w="2855" w:type="dxa"/>
            <w:vAlign w:val="center"/>
          </w:tcPr>
          <w:p w:rsidR="003663E4" w:rsidRDefault="00FD3F7D">
            <w:pPr>
              <w:jc w:val="left"/>
            </w:pPr>
            <w:r>
              <w:rPr>
                <w:color w:val="000000"/>
                <w:szCs w:val="21"/>
              </w:rPr>
              <w:t>律师费</w:t>
            </w:r>
          </w:p>
        </w:tc>
        <w:tc>
          <w:tcPr>
            <w:tcW w:w="2893" w:type="dxa"/>
            <w:vAlign w:val="center"/>
          </w:tcPr>
          <w:p w:rsidR="003663E4" w:rsidRDefault="00FD3F7D">
            <w:pPr>
              <w:jc w:val="right"/>
            </w:pPr>
            <w:r>
              <w:rPr>
                <w:color w:val="000000"/>
                <w:szCs w:val="21"/>
              </w:rPr>
              <w:t>40,000.00</w:t>
            </w:r>
          </w:p>
        </w:tc>
        <w:tc>
          <w:tcPr>
            <w:tcW w:w="3367" w:type="dxa"/>
            <w:vAlign w:val="center"/>
          </w:tcPr>
          <w:p w:rsidR="003663E4" w:rsidRDefault="00FD3F7D">
            <w:pPr>
              <w:jc w:val="right"/>
            </w:pPr>
            <w:r>
              <w:rPr>
                <w:color w:val="000000"/>
                <w:szCs w:val="21"/>
              </w:rPr>
              <w:t>-</w:t>
            </w:r>
          </w:p>
        </w:tc>
      </w:tr>
      <w:tr w:rsidR="003663E4">
        <w:tc>
          <w:tcPr>
            <w:tcW w:w="2855" w:type="dxa"/>
            <w:vAlign w:val="center"/>
          </w:tcPr>
          <w:p w:rsidR="003663E4" w:rsidRDefault="00FD3F7D">
            <w:pPr>
              <w:jc w:val="left"/>
            </w:pPr>
            <w:r>
              <w:rPr>
                <w:color w:val="000000"/>
                <w:szCs w:val="21"/>
              </w:rPr>
              <w:t>公证费</w:t>
            </w:r>
          </w:p>
        </w:tc>
        <w:tc>
          <w:tcPr>
            <w:tcW w:w="2893" w:type="dxa"/>
            <w:vAlign w:val="center"/>
          </w:tcPr>
          <w:p w:rsidR="003663E4" w:rsidRDefault="00FD3F7D">
            <w:pPr>
              <w:jc w:val="right"/>
            </w:pPr>
            <w:r>
              <w:rPr>
                <w:color w:val="000000"/>
                <w:szCs w:val="21"/>
              </w:rPr>
              <w:t>10,000.00</w:t>
            </w:r>
          </w:p>
        </w:tc>
        <w:tc>
          <w:tcPr>
            <w:tcW w:w="3367" w:type="dxa"/>
            <w:vAlign w:val="center"/>
          </w:tcPr>
          <w:p w:rsidR="003663E4" w:rsidRDefault="00FD3F7D">
            <w:pPr>
              <w:jc w:val="right"/>
            </w:pPr>
            <w:r>
              <w:rPr>
                <w:color w:val="000000"/>
                <w:szCs w:val="21"/>
              </w:rPr>
              <w:t>-</w:t>
            </w:r>
          </w:p>
        </w:tc>
      </w:tr>
      <w:tr w:rsidR="003663E4">
        <w:tc>
          <w:tcPr>
            <w:tcW w:w="2855" w:type="dxa"/>
            <w:vAlign w:val="center"/>
          </w:tcPr>
          <w:p w:rsidR="003663E4" w:rsidRDefault="00FD3F7D">
            <w:pPr>
              <w:spacing w:line="276" w:lineRule="auto"/>
              <w:rPr>
                <w:color w:val="000000"/>
                <w:szCs w:val="21"/>
              </w:rPr>
            </w:pPr>
            <w:r>
              <w:rPr>
                <w:color w:val="000000"/>
                <w:szCs w:val="21"/>
              </w:rPr>
              <w:t>合计</w:t>
            </w:r>
          </w:p>
        </w:tc>
        <w:tc>
          <w:tcPr>
            <w:tcW w:w="2893" w:type="dxa"/>
            <w:vAlign w:val="center"/>
          </w:tcPr>
          <w:p w:rsidR="003663E4" w:rsidRDefault="00FD3F7D">
            <w:pPr>
              <w:spacing w:line="276" w:lineRule="auto"/>
              <w:jc w:val="right"/>
              <w:rPr>
                <w:color w:val="000000"/>
                <w:szCs w:val="21"/>
              </w:rPr>
            </w:pPr>
            <w:r>
              <w:rPr>
                <w:color w:val="000000"/>
                <w:szCs w:val="21"/>
              </w:rPr>
              <w:t>238,959.49</w:t>
            </w:r>
          </w:p>
        </w:tc>
        <w:tc>
          <w:tcPr>
            <w:tcW w:w="3367" w:type="dxa"/>
            <w:vAlign w:val="center"/>
          </w:tcPr>
          <w:p w:rsidR="003663E4" w:rsidRDefault="00FD3F7D">
            <w:pPr>
              <w:spacing w:line="276" w:lineRule="auto"/>
              <w:jc w:val="right"/>
              <w:rPr>
                <w:color w:val="000000"/>
                <w:szCs w:val="21"/>
              </w:rPr>
            </w:pPr>
            <w:r>
              <w:rPr>
                <w:color w:val="000000"/>
                <w:szCs w:val="21"/>
              </w:rPr>
              <w:t>357,918.60</w:t>
            </w:r>
          </w:p>
        </w:tc>
      </w:tr>
    </w:tbl>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7.2.4.8 </w:t>
      </w:r>
      <w:r>
        <w:rPr>
          <w:b/>
          <w:bCs/>
          <w:color w:val="000000"/>
          <w:kern w:val="0"/>
          <w:szCs w:val="21"/>
        </w:rPr>
        <w:t>或有事项、资产负债表日后事项的说明</w:t>
      </w:r>
    </w:p>
    <w:p w:rsidR="003663E4" w:rsidRDefault="00FD3F7D">
      <w:pPr>
        <w:autoSpaceDE w:val="0"/>
        <w:autoSpaceDN w:val="0"/>
        <w:adjustRightInd w:val="0"/>
        <w:spacing w:line="360" w:lineRule="auto"/>
        <w:jc w:val="left"/>
        <w:rPr>
          <w:b/>
          <w:color w:val="000000"/>
          <w:kern w:val="0"/>
          <w:szCs w:val="21"/>
        </w:rPr>
      </w:pPr>
      <w:r>
        <w:rPr>
          <w:b/>
          <w:bCs/>
          <w:color w:val="000000"/>
          <w:kern w:val="0"/>
          <w:szCs w:val="21"/>
        </w:rPr>
        <w:t>7.2.4.8.1</w:t>
      </w:r>
      <w:r>
        <w:rPr>
          <w:b/>
          <w:color w:val="000000"/>
          <w:kern w:val="0"/>
          <w:szCs w:val="21"/>
        </w:rPr>
        <w:t xml:space="preserve"> </w:t>
      </w:r>
      <w:r>
        <w:rPr>
          <w:b/>
          <w:color w:val="000000"/>
          <w:kern w:val="0"/>
          <w:szCs w:val="21"/>
        </w:rPr>
        <w:t>或有事项</w:t>
      </w:r>
    </w:p>
    <w:p w:rsidR="003663E4" w:rsidRDefault="00FD3F7D">
      <w:pPr>
        <w:spacing w:line="360" w:lineRule="auto"/>
        <w:ind w:firstLineChars="200" w:firstLine="420"/>
        <w:rPr>
          <w:color w:val="000000"/>
          <w:szCs w:val="21"/>
        </w:rPr>
      </w:pPr>
      <w:r>
        <w:rPr>
          <w:color w:val="000000"/>
          <w:szCs w:val="21"/>
        </w:rPr>
        <w:t>无。</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7.2.4.8.2 </w:t>
      </w:r>
      <w:r>
        <w:rPr>
          <w:b/>
          <w:bCs/>
          <w:color w:val="000000"/>
          <w:kern w:val="0"/>
          <w:szCs w:val="21"/>
        </w:rPr>
        <w:t>资产负债表日后事项</w:t>
      </w:r>
    </w:p>
    <w:p w:rsidR="003663E4" w:rsidRDefault="00FD3F7D">
      <w:pPr>
        <w:autoSpaceDE w:val="0"/>
        <w:autoSpaceDN w:val="0"/>
        <w:adjustRightInd w:val="0"/>
        <w:spacing w:beforeLines="50" w:before="156" w:line="360" w:lineRule="auto"/>
        <w:ind w:firstLineChars="200" w:firstLine="420"/>
        <w:jc w:val="left"/>
        <w:rPr>
          <w:color w:val="000000"/>
          <w:kern w:val="0"/>
          <w:szCs w:val="21"/>
        </w:rPr>
      </w:pPr>
      <w:r>
        <w:rPr>
          <w:rFonts w:hint="eastAsia"/>
          <w:color w:val="000000"/>
          <w:kern w:val="0"/>
          <w:szCs w:val="21"/>
        </w:rPr>
        <w:t>根据</w:t>
      </w:r>
      <w:r>
        <w:rPr>
          <w:color w:val="000000"/>
          <w:kern w:val="0"/>
          <w:szCs w:val="21"/>
        </w:rPr>
        <w:t>2020</w:t>
      </w:r>
      <w:r>
        <w:rPr>
          <w:rFonts w:hint="eastAsia"/>
          <w:color w:val="000000"/>
          <w:kern w:val="0"/>
          <w:szCs w:val="21"/>
        </w:rPr>
        <w:t>年</w:t>
      </w:r>
      <w:r>
        <w:rPr>
          <w:color w:val="000000"/>
          <w:kern w:val="0"/>
          <w:szCs w:val="21"/>
        </w:rPr>
        <w:t>5</w:t>
      </w:r>
      <w:r>
        <w:rPr>
          <w:rFonts w:hint="eastAsia"/>
          <w:color w:val="000000"/>
          <w:kern w:val="0"/>
          <w:szCs w:val="21"/>
        </w:rPr>
        <w:t>月</w:t>
      </w:r>
      <w:r>
        <w:rPr>
          <w:color w:val="000000"/>
          <w:kern w:val="0"/>
          <w:szCs w:val="21"/>
        </w:rPr>
        <w:t>22</w:t>
      </w:r>
      <w:r>
        <w:rPr>
          <w:rFonts w:hint="eastAsia"/>
          <w:color w:val="000000"/>
          <w:kern w:val="0"/>
          <w:szCs w:val="21"/>
        </w:rPr>
        <w:t>日至</w:t>
      </w:r>
      <w:r>
        <w:rPr>
          <w:color w:val="000000"/>
          <w:kern w:val="0"/>
          <w:szCs w:val="21"/>
        </w:rPr>
        <w:t>2020</w:t>
      </w:r>
      <w:r>
        <w:rPr>
          <w:rFonts w:hint="eastAsia"/>
          <w:color w:val="000000"/>
          <w:kern w:val="0"/>
          <w:szCs w:val="21"/>
        </w:rPr>
        <w:t>年</w:t>
      </w:r>
      <w:r>
        <w:rPr>
          <w:color w:val="000000"/>
          <w:kern w:val="0"/>
          <w:szCs w:val="21"/>
        </w:rPr>
        <w:t>6</w:t>
      </w:r>
      <w:r>
        <w:rPr>
          <w:rFonts w:hint="eastAsia"/>
          <w:color w:val="000000"/>
          <w:kern w:val="0"/>
          <w:szCs w:val="21"/>
        </w:rPr>
        <w:t>月</w:t>
      </w:r>
      <w:r>
        <w:rPr>
          <w:color w:val="000000"/>
          <w:kern w:val="0"/>
          <w:szCs w:val="21"/>
        </w:rPr>
        <w:t>22</w:t>
      </w:r>
      <w:r>
        <w:rPr>
          <w:rFonts w:hint="eastAsia"/>
          <w:color w:val="000000"/>
          <w:kern w:val="0"/>
          <w:szCs w:val="21"/>
        </w:rPr>
        <w:t>日本基金基金份额持有人大会审议通过的《关于交银施罗德理财</w:t>
      </w:r>
      <w:r>
        <w:rPr>
          <w:color w:val="000000"/>
          <w:kern w:val="0"/>
          <w:szCs w:val="21"/>
        </w:rPr>
        <w:t>60</w:t>
      </w:r>
      <w:r>
        <w:rPr>
          <w:rFonts w:hint="eastAsia"/>
          <w:color w:val="000000"/>
          <w:kern w:val="0"/>
          <w:szCs w:val="21"/>
        </w:rPr>
        <w:t>天债券型证券投资基金转型及修改基金合同有关事项的议案》，及基金管理人于</w:t>
      </w:r>
      <w:r>
        <w:rPr>
          <w:color w:val="000000"/>
          <w:kern w:val="0"/>
          <w:szCs w:val="21"/>
        </w:rPr>
        <w:t>2020</w:t>
      </w:r>
      <w:r>
        <w:rPr>
          <w:rFonts w:hint="eastAsia"/>
          <w:color w:val="000000"/>
          <w:kern w:val="0"/>
          <w:szCs w:val="21"/>
        </w:rPr>
        <w:t>年</w:t>
      </w:r>
      <w:r>
        <w:rPr>
          <w:color w:val="000000"/>
          <w:kern w:val="0"/>
          <w:szCs w:val="21"/>
        </w:rPr>
        <w:t>6</w:t>
      </w:r>
      <w:r>
        <w:rPr>
          <w:rFonts w:hint="eastAsia"/>
          <w:color w:val="000000"/>
          <w:kern w:val="0"/>
          <w:szCs w:val="21"/>
        </w:rPr>
        <w:t>月</w:t>
      </w:r>
      <w:r>
        <w:rPr>
          <w:color w:val="000000"/>
          <w:kern w:val="0"/>
          <w:szCs w:val="21"/>
        </w:rPr>
        <w:t>24</w:t>
      </w:r>
      <w:r>
        <w:rPr>
          <w:rFonts w:hint="eastAsia"/>
          <w:color w:val="000000"/>
          <w:kern w:val="0"/>
          <w:szCs w:val="21"/>
        </w:rPr>
        <w:t>日发布的《交银施罗德基金管理有限公司关于交银施罗德理财</w:t>
      </w:r>
      <w:r>
        <w:rPr>
          <w:color w:val="000000"/>
          <w:kern w:val="0"/>
          <w:szCs w:val="21"/>
        </w:rPr>
        <w:t>60</w:t>
      </w:r>
      <w:r>
        <w:rPr>
          <w:rFonts w:hint="eastAsia"/>
          <w:color w:val="000000"/>
          <w:kern w:val="0"/>
          <w:szCs w:val="21"/>
        </w:rPr>
        <w:t>天债券型证券投资基金基金份额持有人大会表决结果暨决议生效的公告》的有关规定，自</w:t>
      </w:r>
      <w:r>
        <w:rPr>
          <w:color w:val="000000"/>
          <w:kern w:val="0"/>
          <w:szCs w:val="21"/>
        </w:rPr>
        <w:t>2020</w:t>
      </w:r>
      <w:r>
        <w:rPr>
          <w:rFonts w:hint="eastAsia"/>
          <w:color w:val="000000"/>
          <w:kern w:val="0"/>
          <w:szCs w:val="21"/>
        </w:rPr>
        <w:t>年</w:t>
      </w:r>
      <w:r>
        <w:rPr>
          <w:color w:val="000000"/>
          <w:kern w:val="0"/>
          <w:szCs w:val="21"/>
        </w:rPr>
        <w:t>7</w:t>
      </w:r>
      <w:r>
        <w:rPr>
          <w:rFonts w:hint="eastAsia"/>
          <w:color w:val="000000"/>
          <w:kern w:val="0"/>
          <w:szCs w:val="21"/>
        </w:rPr>
        <w:t>月</w:t>
      </w:r>
      <w:r>
        <w:rPr>
          <w:color w:val="000000"/>
          <w:kern w:val="0"/>
          <w:szCs w:val="21"/>
        </w:rPr>
        <w:t>28</w:t>
      </w:r>
      <w:r>
        <w:rPr>
          <w:rFonts w:hint="eastAsia"/>
          <w:color w:val="000000"/>
          <w:kern w:val="0"/>
          <w:szCs w:val="21"/>
        </w:rPr>
        <w:t>日起，原交银施罗德理财</w:t>
      </w:r>
      <w:r>
        <w:rPr>
          <w:color w:val="000000"/>
          <w:kern w:val="0"/>
          <w:szCs w:val="21"/>
        </w:rPr>
        <w:t>60</w:t>
      </w:r>
      <w:r>
        <w:rPr>
          <w:rFonts w:hint="eastAsia"/>
          <w:color w:val="000000"/>
          <w:kern w:val="0"/>
          <w:szCs w:val="21"/>
        </w:rPr>
        <w:t>天债券型证券投资基金转型为交银施罗德裕惠纯债债券型证券投资基金，《交银施罗德裕惠纯债债券型证券投资基金基金合同》自该日起生效，原《交银施罗德理财</w:t>
      </w:r>
      <w:r>
        <w:rPr>
          <w:color w:val="000000"/>
          <w:kern w:val="0"/>
          <w:szCs w:val="21"/>
        </w:rPr>
        <w:t>60</w:t>
      </w:r>
      <w:r>
        <w:rPr>
          <w:rFonts w:hint="eastAsia"/>
          <w:color w:val="000000"/>
          <w:kern w:val="0"/>
          <w:szCs w:val="21"/>
        </w:rPr>
        <w:t>天债券型证券投资基金基金合同》自同一日起失效，交银施罗德理财</w:t>
      </w:r>
      <w:r>
        <w:rPr>
          <w:color w:val="000000"/>
          <w:kern w:val="0"/>
          <w:szCs w:val="21"/>
        </w:rPr>
        <w:t>60</w:t>
      </w:r>
      <w:r>
        <w:rPr>
          <w:rFonts w:hint="eastAsia"/>
          <w:color w:val="000000"/>
          <w:kern w:val="0"/>
          <w:szCs w:val="21"/>
        </w:rPr>
        <w:t>天债券型证券投资基金正式变更为交银施罗德裕惠纯债债券型证券投资基金。</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7.2.4.9 </w:t>
      </w:r>
      <w:r>
        <w:rPr>
          <w:b/>
          <w:bCs/>
          <w:color w:val="000000"/>
          <w:kern w:val="0"/>
          <w:szCs w:val="21"/>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3663E4">
        <w:tc>
          <w:tcPr>
            <w:tcW w:w="5220" w:type="dxa"/>
          </w:tcPr>
          <w:p w:rsidR="003663E4" w:rsidRDefault="00FD3F7D">
            <w:pPr>
              <w:spacing w:line="276" w:lineRule="auto"/>
              <w:jc w:val="center"/>
              <w:rPr>
                <w:color w:val="000000"/>
                <w:szCs w:val="21"/>
              </w:rPr>
            </w:pPr>
            <w:r>
              <w:rPr>
                <w:color w:val="000000"/>
                <w:szCs w:val="21"/>
              </w:rPr>
              <w:t>关联方名称</w:t>
            </w:r>
          </w:p>
        </w:tc>
        <w:tc>
          <w:tcPr>
            <w:tcW w:w="3780" w:type="dxa"/>
          </w:tcPr>
          <w:p w:rsidR="003663E4" w:rsidRDefault="00FD3F7D">
            <w:pPr>
              <w:spacing w:line="276" w:lineRule="auto"/>
              <w:jc w:val="center"/>
              <w:rPr>
                <w:color w:val="000000"/>
                <w:szCs w:val="21"/>
              </w:rPr>
            </w:pPr>
            <w:r>
              <w:rPr>
                <w:color w:val="000000"/>
                <w:szCs w:val="21"/>
              </w:rPr>
              <w:t>与本基金的关系</w:t>
            </w:r>
          </w:p>
        </w:tc>
      </w:tr>
      <w:tr w:rsidR="003663E4">
        <w:tc>
          <w:tcPr>
            <w:tcW w:w="5220" w:type="dxa"/>
            <w:vAlign w:val="center"/>
          </w:tcPr>
          <w:p w:rsidR="003663E4" w:rsidRDefault="00FD3F7D">
            <w:pPr>
              <w:jc w:val="left"/>
            </w:pPr>
            <w:r>
              <w:rPr>
                <w:color w:val="000000"/>
                <w:szCs w:val="21"/>
              </w:rPr>
              <w:t>交银施罗德基金管理有限公司</w:t>
            </w:r>
            <w:r>
              <w:rPr>
                <w:color w:val="000000"/>
                <w:szCs w:val="21"/>
              </w:rPr>
              <w:t>(“</w:t>
            </w:r>
            <w:r>
              <w:rPr>
                <w:color w:val="000000"/>
                <w:szCs w:val="21"/>
              </w:rPr>
              <w:t>交银施罗德基金公司</w:t>
            </w:r>
            <w:r>
              <w:rPr>
                <w:color w:val="000000"/>
                <w:szCs w:val="21"/>
              </w:rPr>
              <w:t>”)</w:t>
            </w:r>
          </w:p>
        </w:tc>
        <w:tc>
          <w:tcPr>
            <w:tcW w:w="3780" w:type="dxa"/>
            <w:vAlign w:val="center"/>
          </w:tcPr>
          <w:p w:rsidR="003663E4" w:rsidRDefault="00FD3F7D">
            <w:pPr>
              <w:jc w:val="center"/>
            </w:pPr>
            <w:r>
              <w:rPr>
                <w:color w:val="000000"/>
                <w:szCs w:val="21"/>
              </w:rPr>
              <w:t>基金管理人、基金销售机构</w:t>
            </w:r>
          </w:p>
        </w:tc>
      </w:tr>
      <w:tr w:rsidR="003663E4">
        <w:tc>
          <w:tcPr>
            <w:tcW w:w="5220" w:type="dxa"/>
            <w:vAlign w:val="center"/>
          </w:tcPr>
          <w:p w:rsidR="003663E4" w:rsidRDefault="00FD3F7D">
            <w:pPr>
              <w:jc w:val="left"/>
            </w:pPr>
            <w:r>
              <w:rPr>
                <w:color w:val="000000"/>
                <w:szCs w:val="21"/>
              </w:rPr>
              <w:t>中国建设银行股份有限公司</w:t>
            </w:r>
            <w:r>
              <w:rPr>
                <w:color w:val="000000"/>
                <w:szCs w:val="21"/>
              </w:rPr>
              <w:t>(“</w:t>
            </w:r>
            <w:r>
              <w:rPr>
                <w:color w:val="000000"/>
                <w:szCs w:val="21"/>
              </w:rPr>
              <w:t>中国建设银行</w:t>
            </w:r>
            <w:r>
              <w:rPr>
                <w:color w:val="000000"/>
                <w:szCs w:val="21"/>
              </w:rPr>
              <w:t>”)</w:t>
            </w:r>
          </w:p>
        </w:tc>
        <w:tc>
          <w:tcPr>
            <w:tcW w:w="3780" w:type="dxa"/>
            <w:vAlign w:val="center"/>
          </w:tcPr>
          <w:p w:rsidR="003663E4" w:rsidRDefault="00FD3F7D">
            <w:pPr>
              <w:jc w:val="center"/>
            </w:pPr>
            <w:r>
              <w:rPr>
                <w:color w:val="000000"/>
                <w:szCs w:val="21"/>
              </w:rPr>
              <w:t>基金托管人、基金销售机构</w:t>
            </w:r>
          </w:p>
        </w:tc>
      </w:tr>
      <w:tr w:rsidR="003663E4">
        <w:tc>
          <w:tcPr>
            <w:tcW w:w="5220" w:type="dxa"/>
            <w:vAlign w:val="center"/>
          </w:tcPr>
          <w:p w:rsidR="003663E4" w:rsidRDefault="00FD3F7D">
            <w:pPr>
              <w:jc w:val="left"/>
            </w:pPr>
            <w:r>
              <w:rPr>
                <w:color w:val="000000"/>
                <w:szCs w:val="21"/>
              </w:rPr>
              <w:t>交通银行股份有限公司</w:t>
            </w:r>
            <w:r>
              <w:rPr>
                <w:color w:val="000000"/>
                <w:szCs w:val="21"/>
              </w:rPr>
              <w:t>(“</w:t>
            </w:r>
            <w:r>
              <w:rPr>
                <w:color w:val="000000"/>
                <w:szCs w:val="21"/>
              </w:rPr>
              <w:t>交通银行</w:t>
            </w:r>
            <w:r>
              <w:rPr>
                <w:color w:val="000000"/>
                <w:szCs w:val="21"/>
              </w:rPr>
              <w:t>”)</w:t>
            </w:r>
          </w:p>
        </w:tc>
        <w:tc>
          <w:tcPr>
            <w:tcW w:w="3780" w:type="dxa"/>
            <w:vAlign w:val="center"/>
          </w:tcPr>
          <w:p w:rsidR="003663E4" w:rsidRDefault="00FD3F7D">
            <w:pPr>
              <w:jc w:val="center"/>
            </w:pPr>
            <w:r>
              <w:rPr>
                <w:color w:val="000000"/>
                <w:szCs w:val="21"/>
              </w:rPr>
              <w:t>基金管理人的股东、基金销售机构</w:t>
            </w:r>
          </w:p>
        </w:tc>
      </w:tr>
      <w:tr w:rsidR="003663E4">
        <w:tc>
          <w:tcPr>
            <w:tcW w:w="5220" w:type="dxa"/>
            <w:vAlign w:val="center"/>
          </w:tcPr>
          <w:p w:rsidR="003663E4" w:rsidRDefault="00FD3F7D">
            <w:pPr>
              <w:jc w:val="left"/>
            </w:pPr>
            <w:r>
              <w:rPr>
                <w:color w:val="000000"/>
                <w:szCs w:val="21"/>
              </w:rPr>
              <w:t>施罗德投资管理有限公司</w:t>
            </w:r>
          </w:p>
        </w:tc>
        <w:tc>
          <w:tcPr>
            <w:tcW w:w="3780" w:type="dxa"/>
            <w:vAlign w:val="center"/>
          </w:tcPr>
          <w:p w:rsidR="003663E4" w:rsidRDefault="00FD3F7D">
            <w:pPr>
              <w:jc w:val="center"/>
            </w:pPr>
            <w:r>
              <w:rPr>
                <w:color w:val="000000"/>
                <w:szCs w:val="21"/>
              </w:rPr>
              <w:t>基金管理人的股东</w:t>
            </w:r>
          </w:p>
        </w:tc>
      </w:tr>
      <w:tr w:rsidR="003663E4">
        <w:tc>
          <w:tcPr>
            <w:tcW w:w="5220" w:type="dxa"/>
            <w:vAlign w:val="center"/>
          </w:tcPr>
          <w:p w:rsidR="003663E4" w:rsidRDefault="00FD3F7D">
            <w:pPr>
              <w:jc w:val="left"/>
            </w:pPr>
            <w:r>
              <w:rPr>
                <w:color w:val="000000"/>
                <w:szCs w:val="21"/>
              </w:rPr>
              <w:t>中国国际海运集装箱</w:t>
            </w:r>
            <w:r>
              <w:rPr>
                <w:color w:val="000000"/>
                <w:szCs w:val="21"/>
              </w:rPr>
              <w:t>(</w:t>
            </w:r>
            <w:r>
              <w:rPr>
                <w:color w:val="000000"/>
                <w:szCs w:val="21"/>
              </w:rPr>
              <w:t>集团</w:t>
            </w:r>
            <w:r>
              <w:rPr>
                <w:color w:val="000000"/>
                <w:szCs w:val="21"/>
              </w:rPr>
              <w:t>)</w:t>
            </w:r>
            <w:r>
              <w:rPr>
                <w:color w:val="000000"/>
                <w:szCs w:val="21"/>
              </w:rPr>
              <w:t>股份有限公司</w:t>
            </w:r>
          </w:p>
        </w:tc>
        <w:tc>
          <w:tcPr>
            <w:tcW w:w="3780" w:type="dxa"/>
            <w:vAlign w:val="center"/>
          </w:tcPr>
          <w:p w:rsidR="003663E4" w:rsidRDefault="00FD3F7D">
            <w:pPr>
              <w:jc w:val="center"/>
            </w:pPr>
            <w:r>
              <w:rPr>
                <w:color w:val="000000"/>
                <w:szCs w:val="21"/>
              </w:rPr>
              <w:t>基金管理人的股东</w:t>
            </w:r>
          </w:p>
        </w:tc>
      </w:tr>
      <w:tr w:rsidR="003663E4">
        <w:tc>
          <w:tcPr>
            <w:tcW w:w="5220" w:type="dxa"/>
            <w:vAlign w:val="center"/>
          </w:tcPr>
          <w:p w:rsidR="003663E4" w:rsidRDefault="00FD3F7D">
            <w:pPr>
              <w:jc w:val="left"/>
            </w:pPr>
            <w:r>
              <w:rPr>
                <w:color w:val="000000"/>
                <w:szCs w:val="21"/>
              </w:rPr>
              <w:t>交银施罗德资产管理有限公司</w:t>
            </w:r>
          </w:p>
        </w:tc>
        <w:tc>
          <w:tcPr>
            <w:tcW w:w="3780" w:type="dxa"/>
            <w:vAlign w:val="center"/>
          </w:tcPr>
          <w:p w:rsidR="003663E4" w:rsidRDefault="00FD3F7D">
            <w:pPr>
              <w:jc w:val="center"/>
            </w:pPr>
            <w:r>
              <w:rPr>
                <w:color w:val="000000"/>
                <w:szCs w:val="21"/>
              </w:rPr>
              <w:t>基金管理人的子公司</w:t>
            </w:r>
          </w:p>
        </w:tc>
      </w:tr>
      <w:tr w:rsidR="003663E4">
        <w:tc>
          <w:tcPr>
            <w:tcW w:w="5220" w:type="dxa"/>
            <w:vAlign w:val="center"/>
          </w:tcPr>
          <w:p w:rsidR="003663E4" w:rsidRDefault="00FD3F7D">
            <w:pPr>
              <w:jc w:val="left"/>
            </w:pPr>
            <w:r>
              <w:rPr>
                <w:color w:val="000000"/>
                <w:szCs w:val="21"/>
              </w:rPr>
              <w:t>上海直源投资管理有限公司</w:t>
            </w:r>
          </w:p>
        </w:tc>
        <w:tc>
          <w:tcPr>
            <w:tcW w:w="3780" w:type="dxa"/>
            <w:vAlign w:val="center"/>
          </w:tcPr>
          <w:p w:rsidR="003663E4" w:rsidRDefault="00FD3F7D">
            <w:pPr>
              <w:jc w:val="center"/>
            </w:pPr>
            <w:r>
              <w:rPr>
                <w:color w:val="000000"/>
                <w:szCs w:val="21"/>
              </w:rPr>
              <w:t>受基金管理人控制的公司</w:t>
            </w:r>
          </w:p>
        </w:tc>
      </w:tr>
    </w:tbl>
    <w:p w:rsidR="003663E4" w:rsidRDefault="00FD3F7D">
      <w:pPr>
        <w:spacing w:line="360" w:lineRule="auto"/>
        <w:ind w:firstLineChars="200" w:firstLine="420"/>
        <w:rPr>
          <w:color w:val="000000"/>
          <w:szCs w:val="21"/>
        </w:rPr>
      </w:pPr>
      <w:r>
        <w:rPr>
          <w:color w:val="000000"/>
          <w:szCs w:val="21"/>
        </w:rPr>
        <w:t>注：下述关联交易均在正常业务范围内按一般商业条款订立。</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7.2.4.10 </w:t>
      </w:r>
      <w:r>
        <w:rPr>
          <w:b/>
          <w:bCs/>
          <w:color w:val="000000"/>
          <w:kern w:val="0"/>
          <w:szCs w:val="21"/>
        </w:rPr>
        <w:t>本报告期及上年度可比期间的关联方交易</w:t>
      </w:r>
    </w:p>
    <w:p w:rsidR="003663E4" w:rsidRDefault="00FD3F7D">
      <w:pPr>
        <w:autoSpaceDE w:val="0"/>
        <w:autoSpaceDN w:val="0"/>
        <w:adjustRightInd w:val="0"/>
        <w:spacing w:line="360" w:lineRule="auto"/>
        <w:jc w:val="left"/>
        <w:rPr>
          <w:b/>
          <w:bCs/>
          <w:color w:val="000000"/>
          <w:kern w:val="0"/>
          <w:szCs w:val="21"/>
        </w:rPr>
      </w:pPr>
      <w:r>
        <w:rPr>
          <w:b/>
          <w:bCs/>
          <w:color w:val="000000"/>
          <w:kern w:val="0"/>
          <w:szCs w:val="21"/>
        </w:rPr>
        <w:t xml:space="preserve">7.2.4.10.1 </w:t>
      </w:r>
      <w:r>
        <w:rPr>
          <w:b/>
          <w:bCs/>
          <w:color w:val="000000"/>
          <w:kern w:val="0"/>
          <w:szCs w:val="21"/>
        </w:rPr>
        <w:t>通过关联方交易单元进行的交易</w:t>
      </w:r>
    </w:p>
    <w:p w:rsidR="003663E4" w:rsidRDefault="00FD3F7D">
      <w:pPr>
        <w:spacing w:line="360" w:lineRule="auto"/>
        <w:ind w:firstLineChars="200" w:firstLine="420"/>
        <w:rPr>
          <w:color w:val="000000"/>
          <w:szCs w:val="21"/>
        </w:rPr>
      </w:pPr>
      <w:r>
        <w:rPr>
          <w:color w:val="000000"/>
          <w:szCs w:val="21"/>
        </w:rPr>
        <w:t>本基金本报告期内及上年度可比期间无通过关联方交易单元进行的交易。</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7.2.4.10.2 </w:t>
      </w:r>
      <w:r>
        <w:rPr>
          <w:b/>
          <w:bCs/>
          <w:color w:val="000000"/>
          <w:kern w:val="0"/>
          <w:szCs w:val="21"/>
        </w:rPr>
        <w:t>关联方报酬</w:t>
      </w:r>
    </w:p>
    <w:p w:rsidR="003663E4" w:rsidRDefault="00FD3F7D">
      <w:pPr>
        <w:autoSpaceDE w:val="0"/>
        <w:autoSpaceDN w:val="0"/>
        <w:adjustRightInd w:val="0"/>
        <w:spacing w:line="360" w:lineRule="auto"/>
        <w:jc w:val="left"/>
        <w:rPr>
          <w:b/>
          <w:color w:val="000000"/>
          <w:kern w:val="0"/>
          <w:szCs w:val="21"/>
        </w:rPr>
      </w:pPr>
      <w:r>
        <w:rPr>
          <w:b/>
          <w:bCs/>
          <w:color w:val="000000"/>
          <w:kern w:val="0"/>
          <w:szCs w:val="21"/>
        </w:rPr>
        <w:t xml:space="preserve">7.2.4.10.2.1 </w:t>
      </w:r>
      <w:r>
        <w:rPr>
          <w:b/>
          <w:color w:val="000000"/>
          <w:kern w:val="0"/>
          <w:szCs w:val="21"/>
        </w:rPr>
        <w:t>基金管理费</w:t>
      </w:r>
    </w:p>
    <w:p w:rsidR="003663E4" w:rsidRDefault="00FD3F7D">
      <w:pPr>
        <w:autoSpaceDE w:val="0"/>
        <w:autoSpaceDN w:val="0"/>
        <w:adjustRightInd w:val="0"/>
        <w:spacing w:before="29" w:line="360" w:lineRule="auto"/>
        <w:ind w:left="15" w:right="210"/>
        <w:jc w:val="right"/>
        <w:rPr>
          <w:color w:val="000000"/>
          <w:kern w:val="0"/>
          <w:szCs w:val="21"/>
        </w:rPr>
      </w:pPr>
      <w:r>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3663E4">
        <w:tc>
          <w:tcPr>
            <w:tcW w:w="3686" w:type="dxa"/>
            <w:vAlign w:val="center"/>
          </w:tcPr>
          <w:p w:rsidR="003663E4" w:rsidRDefault="00FD3F7D">
            <w:pPr>
              <w:spacing w:line="276" w:lineRule="auto"/>
              <w:jc w:val="center"/>
              <w:rPr>
                <w:color w:val="000000"/>
                <w:szCs w:val="21"/>
              </w:rPr>
            </w:pPr>
            <w:r>
              <w:rPr>
                <w:color w:val="000000"/>
                <w:szCs w:val="21"/>
              </w:rPr>
              <w:t>项目</w:t>
            </w:r>
          </w:p>
        </w:tc>
        <w:tc>
          <w:tcPr>
            <w:tcW w:w="2657" w:type="dxa"/>
            <w:vAlign w:val="center"/>
          </w:tcPr>
          <w:p w:rsidR="003663E4" w:rsidRDefault="00FD3F7D">
            <w:pPr>
              <w:spacing w:line="276" w:lineRule="auto"/>
              <w:jc w:val="center"/>
              <w:rPr>
                <w:color w:val="000000"/>
                <w:szCs w:val="21"/>
              </w:rPr>
            </w:pPr>
            <w:r>
              <w:rPr>
                <w:color w:val="000000"/>
                <w:szCs w:val="21"/>
              </w:rPr>
              <w:t>本期</w:t>
            </w:r>
          </w:p>
          <w:p w:rsidR="003663E4" w:rsidRDefault="00FD3F7D">
            <w:pPr>
              <w:widowControl/>
              <w:autoSpaceDE w:val="0"/>
              <w:autoSpaceDN w:val="0"/>
              <w:spacing w:line="276"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p>
        </w:tc>
        <w:tc>
          <w:tcPr>
            <w:tcW w:w="2657" w:type="dxa"/>
            <w:vAlign w:val="center"/>
          </w:tcPr>
          <w:p w:rsidR="003663E4" w:rsidRDefault="00FD3F7D">
            <w:pPr>
              <w:spacing w:line="276" w:lineRule="auto"/>
              <w:jc w:val="center"/>
              <w:rPr>
                <w:color w:val="000000"/>
                <w:szCs w:val="21"/>
              </w:rPr>
            </w:pPr>
            <w:r>
              <w:rPr>
                <w:color w:val="000000"/>
                <w:szCs w:val="21"/>
              </w:rPr>
              <w:t>上年度可比期间</w:t>
            </w:r>
          </w:p>
          <w:p w:rsidR="003663E4" w:rsidRDefault="00FD3F7D">
            <w:pPr>
              <w:widowControl/>
              <w:autoSpaceDE w:val="0"/>
              <w:autoSpaceDN w:val="0"/>
              <w:spacing w:line="276" w:lineRule="auto"/>
              <w:ind w:right="-15"/>
              <w:jc w:val="center"/>
              <w:textAlignment w:val="bottom"/>
              <w:rPr>
                <w:color w:val="000000"/>
                <w:kern w:val="0"/>
                <w:szCs w:val="21"/>
              </w:rP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663E4">
        <w:tc>
          <w:tcPr>
            <w:tcW w:w="3686" w:type="dxa"/>
            <w:vAlign w:val="center"/>
          </w:tcPr>
          <w:p w:rsidR="003663E4" w:rsidRDefault="00FD3F7D">
            <w:pPr>
              <w:spacing w:line="276" w:lineRule="auto"/>
              <w:rPr>
                <w:color w:val="000000"/>
                <w:szCs w:val="21"/>
              </w:rPr>
            </w:pPr>
            <w:r>
              <w:rPr>
                <w:color w:val="000000"/>
                <w:szCs w:val="21"/>
              </w:rPr>
              <w:t>当期发生的基金应支付的管理费</w:t>
            </w:r>
          </w:p>
        </w:tc>
        <w:tc>
          <w:tcPr>
            <w:tcW w:w="2657" w:type="dxa"/>
            <w:vAlign w:val="center"/>
          </w:tcPr>
          <w:p w:rsidR="003663E4" w:rsidRDefault="00FD3F7D">
            <w:pPr>
              <w:spacing w:line="276" w:lineRule="auto"/>
              <w:jc w:val="right"/>
              <w:rPr>
                <w:color w:val="000000"/>
                <w:szCs w:val="21"/>
              </w:rPr>
            </w:pPr>
            <w:r>
              <w:rPr>
                <w:color w:val="000000"/>
                <w:szCs w:val="21"/>
              </w:rPr>
              <w:t>7,552,985.97</w:t>
            </w:r>
          </w:p>
        </w:tc>
        <w:tc>
          <w:tcPr>
            <w:tcW w:w="2657" w:type="dxa"/>
            <w:vAlign w:val="center"/>
          </w:tcPr>
          <w:p w:rsidR="003663E4" w:rsidRDefault="00FD3F7D">
            <w:pPr>
              <w:spacing w:line="276" w:lineRule="auto"/>
              <w:jc w:val="right"/>
              <w:rPr>
                <w:color w:val="000000"/>
                <w:szCs w:val="21"/>
              </w:rPr>
            </w:pPr>
            <w:r>
              <w:rPr>
                <w:color w:val="000000"/>
                <w:szCs w:val="21"/>
              </w:rPr>
              <w:t>17,349,540.50</w:t>
            </w:r>
          </w:p>
        </w:tc>
      </w:tr>
      <w:tr w:rsidR="003663E4">
        <w:tc>
          <w:tcPr>
            <w:tcW w:w="3686" w:type="dxa"/>
            <w:vAlign w:val="center"/>
          </w:tcPr>
          <w:p w:rsidR="003663E4" w:rsidRDefault="00FD3F7D">
            <w:pPr>
              <w:spacing w:line="276" w:lineRule="auto"/>
              <w:rPr>
                <w:color w:val="000000"/>
                <w:szCs w:val="21"/>
              </w:rPr>
            </w:pPr>
            <w:r>
              <w:rPr>
                <w:color w:val="000000"/>
                <w:szCs w:val="21"/>
              </w:rPr>
              <w:t>其中：支付销售机构的客户维护费</w:t>
            </w:r>
          </w:p>
        </w:tc>
        <w:tc>
          <w:tcPr>
            <w:tcW w:w="2657" w:type="dxa"/>
            <w:vAlign w:val="center"/>
          </w:tcPr>
          <w:p w:rsidR="003663E4" w:rsidRDefault="00FD3F7D">
            <w:pPr>
              <w:spacing w:line="276" w:lineRule="auto"/>
              <w:jc w:val="right"/>
              <w:rPr>
                <w:color w:val="000000"/>
                <w:szCs w:val="21"/>
              </w:rPr>
            </w:pPr>
            <w:r>
              <w:rPr>
                <w:color w:val="000000"/>
                <w:szCs w:val="21"/>
              </w:rPr>
              <w:t>1,060.66</w:t>
            </w:r>
          </w:p>
        </w:tc>
        <w:tc>
          <w:tcPr>
            <w:tcW w:w="2657" w:type="dxa"/>
            <w:vAlign w:val="center"/>
          </w:tcPr>
          <w:p w:rsidR="003663E4" w:rsidRDefault="00FD3F7D">
            <w:pPr>
              <w:spacing w:line="276" w:lineRule="auto"/>
              <w:jc w:val="right"/>
              <w:rPr>
                <w:color w:val="000000"/>
                <w:szCs w:val="21"/>
              </w:rPr>
            </w:pPr>
            <w:r>
              <w:rPr>
                <w:color w:val="000000"/>
                <w:szCs w:val="21"/>
              </w:rPr>
              <w:t>5,002.07</w:t>
            </w:r>
          </w:p>
        </w:tc>
      </w:tr>
    </w:tbl>
    <w:p w:rsidR="003663E4" w:rsidRDefault="00FD3F7D">
      <w:pPr>
        <w:spacing w:line="360" w:lineRule="auto"/>
        <w:ind w:firstLineChars="200" w:firstLine="420"/>
        <w:rPr>
          <w:color w:val="000000"/>
          <w:szCs w:val="21"/>
        </w:rPr>
      </w:pPr>
      <w:r>
        <w:rPr>
          <w:color w:val="000000"/>
          <w:szCs w:val="21"/>
        </w:rPr>
        <w:t>注：支付基金管理人的管理人报酬按前一日基金资产净值</w:t>
      </w:r>
      <w:r>
        <w:rPr>
          <w:color w:val="000000"/>
          <w:szCs w:val="21"/>
        </w:rPr>
        <w:t>0.20%</w:t>
      </w:r>
      <w:r>
        <w:rPr>
          <w:color w:val="000000"/>
          <w:szCs w:val="21"/>
        </w:rPr>
        <w:t>的年费率计提，逐日累计至每月月底，按月支付。其计算公式为：</w:t>
      </w:r>
    </w:p>
    <w:p w:rsidR="003663E4" w:rsidRDefault="00FD3F7D">
      <w:pPr>
        <w:spacing w:line="360" w:lineRule="auto"/>
        <w:ind w:firstLineChars="200" w:firstLine="420"/>
        <w:rPr>
          <w:color w:val="000000"/>
          <w:szCs w:val="21"/>
        </w:rPr>
      </w:pPr>
      <w:r>
        <w:rPr>
          <w:color w:val="000000"/>
          <w:szCs w:val="21"/>
        </w:rPr>
        <w:t>日管理人报酬＝前一日基金资产净值</w:t>
      </w:r>
      <w:r>
        <w:rPr>
          <w:color w:val="000000"/>
          <w:szCs w:val="21"/>
        </w:rPr>
        <w:t>×0.20%÷</w:t>
      </w:r>
      <w:r>
        <w:rPr>
          <w:color w:val="000000"/>
          <w:szCs w:val="21"/>
        </w:rPr>
        <w:t>当年天数。</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7.2.4.10.2.2 </w:t>
      </w:r>
      <w:r>
        <w:rPr>
          <w:b/>
          <w:bCs/>
          <w:color w:val="000000"/>
          <w:kern w:val="0"/>
          <w:szCs w:val="21"/>
        </w:rPr>
        <w:t>基金托管费</w:t>
      </w:r>
    </w:p>
    <w:p w:rsidR="003663E4" w:rsidRDefault="00FD3F7D">
      <w:pPr>
        <w:autoSpaceDE w:val="0"/>
        <w:autoSpaceDN w:val="0"/>
        <w:adjustRightInd w:val="0"/>
        <w:spacing w:before="29" w:line="360" w:lineRule="auto"/>
        <w:ind w:left="15" w:right="210"/>
        <w:jc w:val="right"/>
        <w:rPr>
          <w:color w:val="000000"/>
          <w:kern w:val="0"/>
          <w:szCs w:val="21"/>
        </w:rPr>
      </w:pPr>
      <w:r>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3663E4">
        <w:tc>
          <w:tcPr>
            <w:tcW w:w="3686" w:type="dxa"/>
            <w:vAlign w:val="center"/>
          </w:tcPr>
          <w:p w:rsidR="003663E4" w:rsidRDefault="00FD3F7D">
            <w:pPr>
              <w:spacing w:line="276" w:lineRule="auto"/>
              <w:jc w:val="center"/>
              <w:rPr>
                <w:color w:val="000000"/>
                <w:szCs w:val="21"/>
              </w:rPr>
            </w:pPr>
            <w:r>
              <w:rPr>
                <w:color w:val="000000"/>
                <w:szCs w:val="21"/>
              </w:rPr>
              <w:t>项目</w:t>
            </w:r>
          </w:p>
        </w:tc>
        <w:tc>
          <w:tcPr>
            <w:tcW w:w="2657" w:type="dxa"/>
            <w:vAlign w:val="center"/>
          </w:tcPr>
          <w:p w:rsidR="003663E4" w:rsidRDefault="00FD3F7D">
            <w:pPr>
              <w:spacing w:line="276" w:lineRule="auto"/>
              <w:jc w:val="center"/>
              <w:rPr>
                <w:color w:val="000000"/>
                <w:szCs w:val="21"/>
              </w:rPr>
            </w:pPr>
            <w:r>
              <w:rPr>
                <w:color w:val="000000"/>
                <w:szCs w:val="21"/>
              </w:rPr>
              <w:t>本期</w:t>
            </w:r>
          </w:p>
          <w:p w:rsidR="003663E4" w:rsidRDefault="00FD3F7D">
            <w:pPr>
              <w:widowControl/>
              <w:autoSpaceDE w:val="0"/>
              <w:autoSpaceDN w:val="0"/>
              <w:spacing w:line="276"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p>
        </w:tc>
        <w:tc>
          <w:tcPr>
            <w:tcW w:w="2657" w:type="dxa"/>
            <w:vAlign w:val="center"/>
          </w:tcPr>
          <w:p w:rsidR="003663E4" w:rsidRDefault="00FD3F7D">
            <w:pPr>
              <w:spacing w:line="276" w:lineRule="auto"/>
              <w:jc w:val="center"/>
              <w:rPr>
                <w:color w:val="000000"/>
                <w:szCs w:val="21"/>
              </w:rPr>
            </w:pPr>
            <w:r>
              <w:rPr>
                <w:color w:val="000000"/>
                <w:szCs w:val="21"/>
              </w:rPr>
              <w:t>上年度可比期间</w:t>
            </w:r>
          </w:p>
          <w:p w:rsidR="003663E4" w:rsidRDefault="00FD3F7D">
            <w:pPr>
              <w:widowControl/>
              <w:autoSpaceDE w:val="0"/>
              <w:autoSpaceDN w:val="0"/>
              <w:spacing w:line="276" w:lineRule="auto"/>
              <w:ind w:right="-15"/>
              <w:jc w:val="center"/>
              <w:textAlignment w:val="bottom"/>
              <w:rPr>
                <w:color w:val="000000"/>
                <w:kern w:val="0"/>
                <w:szCs w:val="21"/>
              </w:rP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663E4">
        <w:tc>
          <w:tcPr>
            <w:tcW w:w="3686" w:type="dxa"/>
            <w:vAlign w:val="center"/>
          </w:tcPr>
          <w:p w:rsidR="003663E4" w:rsidRDefault="00FD3F7D">
            <w:pPr>
              <w:spacing w:line="276" w:lineRule="auto"/>
              <w:rPr>
                <w:color w:val="000000"/>
                <w:szCs w:val="21"/>
              </w:rPr>
            </w:pPr>
            <w:r>
              <w:rPr>
                <w:color w:val="000000"/>
                <w:szCs w:val="21"/>
              </w:rPr>
              <w:t>当期发生的基金应支付的托管费</w:t>
            </w:r>
          </w:p>
        </w:tc>
        <w:tc>
          <w:tcPr>
            <w:tcW w:w="2657" w:type="dxa"/>
            <w:vAlign w:val="center"/>
          </w:tcPr>
          <w:p w:rsidR="003663E4" w:rsidRDefault="00FD3F7D">
            <w:pPr>
              <w:spacing w:line="276" w:lineRule="auto"/>
              <w:jc w:val="right"/>
              <w:rPr>
                <w:color w:val="000000"/>
                <w:kern w:val="0"/>
                <w:szCs w:val="21"/>
              </w:rPr>
            </w:pPr>
            <w:r>
              <w:rPr>
                <w:color w:val="000000"/>
                <w:szCs w:val="21"/>
              </w:rPr>
              <w:t>3,021,194.46</w:t>
            </w:r>
          </w:p>
        </w:tc>
        <w:tc>
          <w:tcPr>
            <w:tcW w:w="2657" w:type="dxa"/>
            <w:vAlign w:val="center"/>
          </w:tcPr>
          <w:p w:rsidR="003663E4" w:rsidRDefault="00FD3F7D">
            <w:pPr>
              <w:spacing w:line="276" w:lineRule="auto"/>
              <w:jc w:val="right"/>
              <w:rPr>
                <w:color w:val="000000"/>
                <w:szCs w:val="21"/>
              </w:rPr>
            </w:pPr>
            <w:r>
              <w:rPr>
                <w:color w:val="000000"/>
                <w:szCs w:val="21"/>
              </w:rPr>
              <w:t>6,939,816.32</w:t>
            </w:r>
          </w:p>
        </w:tc>
      </w:tr>
    </w:tbl>
    <w:p w:rsidR="003663E4" w:rsidRDefault="00FD3F7D">
      <w:pPr>
        <w:spacing w:line="360" w:lineRule="auto"/>
        <w:ind w:firstLineChars="200" w:firstLine="420"/>
        <w:rPr>
          <w:color w:val="000000" w:themeColor="text1"/>
          <w:kern w:val="0"/>
          <w:szCs w:val="21"/>
        </w:rPr>
      </w:pPr>
      <w:r>
        <w:rPr>
          <w:color w:val="000000"/>
          <w:szCs w:val="21"/>
        </w:rPr>
        <w:t>注：支付基金托管人的托管费按前一日基金资产净值</w:t>
      </w:r>
      <w:r>
        <w:rPr>
          <w:color w:val="000000"/>
          <w:szCs w:val="21"/>
        </w:rPr>
        <w:t>0.08%</w:t>
      </w:r>
      <w:r>
        <w:rPr>
          <w:color w:val="000000"/>
          <w:szCs w:val="21"/>
        </w:rPr>
        <w:t>的年费率计提，逐日累计至每月月底，按月支付。其计算公式为：</w:t>
      </w:r>
    </w:p>
    <w:p w:rsidR="003663E4" w:rsidRDefault="00FD3F7D">
      <w:pPr>
        <w:spacing w:line="360" w:lineRule="auto"/>
        <w:ind w:firstLineChars="200" w:firstLine="420"/>
        <w:rPr>
          <w:color w:val="000000" w:themeColor="text1"/>
          <w:kern w:val="0"/>
          <w:szCs w:val="21"/>
        </w:rPr>
      </w:pPr>
      <w:r>
        <w:rPr>
          <w:color w:val="000000"/>
          <w:szCs w:val="21"/>
        </w:rPr>
        <w:t>日托管费＝前一日基金资产净值</w:t>
      </w:r>
      <w:r>
        <w:rPr>
          <w:color w:val="000000"/>
          <w:szCs w:val="21"/>
        </w:rPr>
        <w:t>×0.08%÷</w:t>
      </w:r>
      <w:r>
        <w:rPr>
          <w:color w:val="000000"/>
          <w:szCs w:val="21"/>
        </w:rPr>
        <w:t>当年天数。</w:t>
      </w:r>
    </w:p>
    <w:p w:rsidR="003663E4" w:rsidRDefault="00FD3F7D">
      <w:pPr>
        <w:autoSpaceDE w:val="0"/>
        <w:autoSpaceDN w:val="0"/>
        <w:adjustRightInd w:val="0"/>
        <w:spacing w:beforeLines="50" w:before="156" w:line="360" w:lineRule="auto"/>
        <w:jc w:val="left"/>
        <w:rPr>
          <w:b/>
          <w:bCs/>
          <w:color w:val="000000" w:themeColor="text1"/>
          <w:kern w:val="0"/>
          <w:szCs w:val="21"/>
        </w:rPr>
      </w:pPr>
      <w:r>
        <w:rPr>
          <w:b/>
          <w:bCs/>
          <w:color w:val="000000" w:themeColor="text1"/>
          <w:kern w:val="0"/>
          <w:szCs w:val="21"/>
        </w:rPr>
        <w:t xml:space="preserve">7.2.4.10.2.3 </w:t>
      </w:r>
      <w:r>
        <w:rPr>
          <w:b/>
          <w:bCs/>
          <w:color w:val="000000" w:themeColor="text1"/>
          <w:kern w:val="0"/>
          <w:szCs w:val="21"/>
        </w:rPr>
        <w:t>销售服务费</w:t>
      </w:r>
    </w:p>
    <w:p w:rsidR="003663E4" w:rsidRDefault="00FD3F7D">
      <w:pPr>
        <w:wordWrap w:val="0"/>
        <w:autoSpaceDE w:val="0"/>
        <w:autoSpaceDN w:val="0"/>
        <w:adjustRightInd w:val="0"/>
        <w:spacing w:before="29" w:line="360" w:lineRule="auto"/>
        <w:jc w:val="right"/>
        <w:rPr>
          <w:color w:val="000000" w:themeColor="text1"/>
          <w:szCs w:val="21"/>
        </w:rPr>
      </w:pPr>
      <w:r>
        <w:rPr>
          <w:color w:val="000000" w:themeColor="text1"/>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0"/>
        <w:gridCol w:w="2534"/>
        <w:gridCol w:w="2694"/>
        <w:gridCol w:w="1948"/>
      </w:tblGrid>
      <w:tr w:rsidR="003663E4">
        <w:tc>
          <w:tcPr>
            <w:tcW w:w="211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tabs>
                <w:tab w:val="left" w:pos="426"/>
              </w:tabs>
              <w:spacing w:line="360" w:lineRule="auto"/>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szCs w:val="21"/>
              </w:rPr>
              <w:t>获得销售服务费的各关联方名称</w:t>
            </w:r>
          </w:p>
        </w:tc>
        <w:tc>
          <w:tcPr>
            <w:tcW w:w="717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widowControl/>
              <w:autoSpaceDE w:val="0"/>
              <w:autoSpaceDN w:val="0"/>
              <w:ind w:leftChars="-51" w:left="-107" w:rightChars="-51" w:right="-107"/>
              <w:jc w:val="center"/>
              <w:textAlignment w:val="bottom"/>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本期</w:t>
            </w:r>
          </w:p>
          <w:p w:rsidR="003663E4" w:rsidRDefault="00FD3F7D">
            <w:pPr>
              <w:widowControl/>
              <w:autoSpaceDE w:val="0"/>
              <w:autoSpaceDN w:val="0"/>
              <w:ind w:leftChars="-51" w:left="-107" w:rightChars="-51" w:right="-107"/>
              <w:jc w:val="center"/>
              <w:textAlignment w:val="bottom"/>
              <w:rPr>
                <w:rFonts w:asciiTheme="minorEastAsia" w:eastAsiaTheme="minorEastAsia" w:hAnsiTheme="minorEastAsia"/>
                <w:color w:val="000000"/>
                <w:szCs w:val="21"/>
              </w:rPr>
            </w:pPr>
            <w:r>
              <w:rPr>
                <w:rFonts w:asciiTheme="minorEastAsia" w:eastAsiaTheme="minorEastAsia" w:hAnsiTheme="minorEastAsia"/>
                <w:color w:val="000000"/>
                <w:szCs w:val="21"/>
              </w:rPr>
              <w:t>2020</w:t>
            </w:r>
            <w:r>
              <w:rPr>
                <w:rFonts w:asciiTheme="minorEastAsia" w:eastAsiaTheme="minorEastAsia" w:hAnsiTheme="minorEastAsia"/>
                <w:color w:val="000000"/>
                <w:szCs w:val="21"/>
              </w:rPr>
              <w:t>年</w:t>
            </w:r>
            <w:r>
              <w:rPr>
                <w:rFonts w:asciiTheme="minorEastAsia" w:eastAsiaTheme="minorEastAsia" w:hAnsiTheme="minorEastAsia"/>
                <w:color w:val="000000"/>
                <w:szCs w:val="21"/>
              </w:rPr>
              <w:t>1</w:t>
            </w:r>
            <w:r>
              <w:rPr>
                <w:rFonts w:asciiTheme="minorEastAsia" w:eastAsiaTheme="minorEastAsia" w:hAnsiTheme="minorEastAsia"/>
                <w:color w:val="000000"/>
                <w:szCs w:val="21"/>
              </w:rPr>
              <w:t>月</w:t>
            </w:r>
            <w:r>
              <w:rPr>
                <w:rFonts w:asciiTheme="minorEastAsia" w:eastAsiaTheme="minorEastAsia" w:hAnsiTheme="minorEastAsia"/>
                <w:color w:val="000000"/>
                <w:szCs w:val="21"/>
              </w:rPr>
              <w:t>1</w:t>
            </w:r>
            <w:r>
              <w:rPr>
                <w:rFonts w:asciiTheme="minorEastAsia" w:eastAsiaTheme="minorEastAsia" w:hAnsiTheme="minorEastAsia"/>
                <w:color w:val="000000"/>
                <w:szCs w:val="21"/>
              </w:rPr>
              <w:t>日</w:t>
            </w:r>
            <w:r>
              <w:rPr>
                <w:rFonts w:asciiTheme="minorEastAsia" w:eastAsiaTheme="minorEastAsia" w:hAnsiTheme="minorEastAsia" w:hint="eastAsia"/>
                <w:color w:val="000000"/>
                <w:szCs w:val="21"/>
              </w:rPr>
              <w:t>至</w:t>
            </w:r>
            <w:r>
              <w:rPr>
                <w:rFonts w:asciiTheme="minorEastAsia" w:eastAsiaTheme="minorEastAsia" w:hAnsiTheme="minorEastAsia"/>
                <w:color w:val="000000"/>
                <w:szCs w:val="21"/>
              </w:rPr>
              <w:t>2020</w:t>
            </w:r>
            <w:r>
              <w:rPr>
                <w:rFonts w:asciiTheme="minorEastAsia" w:eastAsiaTheme="minorEastAsia" w:hAnsiTheme="minorEastAsia"/>
                <w:color w:val="000000"/>
                <w:szCs w:val="21"/>
              </w:rPr>
              <w:t>年</w:t>
            </w:r>
            <w:r>
              <w:rPr>
                <w:rFonts w:asciiTheme="minorEastAsia" w:eastAsiaTheme="minorEastAsia" w:hAnsiTheme="minorEastAsia"/>
                <w:color w:val="000000"/>
                <w:szCs w:val="21"/>
              </w:rPr>
              <w:t>7</w:t>
            </w:r>
            <w:r>
              <w:rPr>
                <w:rFonts w:asciiTheme="minorEastAsia" w:eastAsiaTheme="minorEastAsia" w:hAnsiTheme="minorEastAsia"/>
                <w:color w:val="000000"/>
                <w:szCs w:val="21"/>
              </w:rPr>
              <w:t>月</w:t>
            </w:r>
            <w:r>
              <w:rPr>
                <w:rFonts w:asciiTheme="minorEastAsia" w:eastAsiaTheme="minorEastAsia" w:hAnsiTheme="minorEastAsia"/>
                <w:color w:val="000000"/>
                <w:szCs w:val="21"/>
              </w:rPr>
              <w:t>27</w:t>
            </w:r>
            <w:r>
              <w:rPr>
                <w:rFonts w:asciiTheme="minorEastAsia" w:eastAsiaTheme="minorEastAsia" w:hAnsiTheme="minorEastAsia"/>
                <w:color w:val="000000"/>
                <w:szCs w:val="21"/>
              </w:rPr>
              <w:t>日</w:t>
            </w:r>
          </w:p>
        </w:tc>
      </w:tr>
      <w:tr w:rsidR="003663E4">
        <w:tc>
          <w:tcPr>
            <w:tcW w:w="2110" w:type="dxa"/>
            <w:vMerge/>
            <w:tcBorders>
              <w:top w:val="single" w:sz="4" w:space="0" w:color="auto"/>
              <w:left w:val="single" w:sz="4" w:space="0" w:color="auto"/>
              <w:bottom w:val="single" w:sz="4" w:space="0" w:color="auto"/>
              <w:right w:val="single" w:sz="4" w:space="0" w:color="auto"/>
              <w:tl2br w:val="nil"/>
              <w:tr2bl w:val="nil"/>
            </w:tcBorders>
          </w:tcPr>
          <w:p w:rsidR="003663E4" w:rsidRDefault="003663E4">
            <w:pPr>
              <w:tabs>
                <w:tab w:val="left" w:pos="426"/>
              </w:tabs>
              <w:spacing w:line="360" w:lineRule="auto"/>
              <w:jc w:val="left"/>
              <w:rPr>
                <w:rFonts w:asciiTheme="minorEastAsia" w:eastAsiaTheme="minorEastAsia" w:hAnsiTheme="minorEastAsia"/>
                <w:color w:val="000000"/>
                <w:kern w:val="0"/>
                <w:szCs w:val="21"/>
              </w:rPr>
            </w:pPr>
          </w:p>
        </w:tc>
        <w:tc>
          <w:tcPr>
            <w:tcW w:w="717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widowControl/>
              <w:autoSpaceDE w:val="0"/>
              <w:autoSpaceDN w:val="0"/>
              <w:ind w:leftChars="-51" w:left="-107" w:rightChars="-51" w:right="-107"/>
              <w:jc w:val="center"/>
              <w:textAlignment w:val="bottom"/>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当期发生的基金应支付的销售服务费</w:t>
            </w:r>
          </w:p>
        </w:tc>
      </w:tr>
      <w:tr w:rsidR="003663E4">
        <w:tc>
          <w:tcPr>
            <w:tcW w:w="2110" w:type="dxa"/>
            <w:vMerge/>
            <w:tcBorders>
              <w:top w:val="single" w:sz="4" w:space="0" w:color="auto"/>
              <w:left w:val="single" w:sz="4" w:space="0" w:color="auto"/>
              <w:bottom w:val="single" w:sz="4" w:space="0" w:color="auto"/>
              <w:right w:val="single" w:sz="4" w:space="0" w:color="auto"/>
              <w:tl2br w:val="nil"/>
              <w:tr2bl w:val="nil"/>
            </w:tcBorders>
          </w:tcPr>
          <w:p w:rsidR="003663E4" w:rsidRDefault="003663E4">
            <w:pPr>
              <w:tabs>
                <w:tab w:val="left" w:pos="426"/>
              </w:tabs>
              <w:spacing w:line="360" w:lineRule="auto"/>
              <w:jc w:val="left"/>
              <w:rPr>
                <w:rFonts w:asciiTheme="minorEastAsia" w:eastAsiaTheme="minorEastAsia" w:hAnsiTheme="minorEastAsia"/>
                <w:color w:val="000000"/>
                <w:kern w:val="0"/>
                <w:szCs w:val="21"/>
              </w:rPr>
            </w:pPr>
          </w:p>
        </w:tc>
        <w:tc>
          <w:tcPr>
            <w:tcW w:w="2534" w:type="dxa"/>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widowControl/>
              <w:ind w:leftChars="-51" w:left="-107" w:rightChars="-51" w:right="-10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交银理财</w:t>
            </w:r>
            <w:r>
              <w:rPr>
                <w:rFonts w:asciiTheme="minorEastAsia" w:eastAsiaTheme="minorEastAsia" w:hAnsiTheme="minorEastAsia"/>
                <w:color w:val="000000"/>
                <w:szCs w:val="21"/>
              </w:rPr>
              <w:t>60</w:t>
            </w:r>
            <w:r>
              <w:rPr>
                <w:rFonts w:asciiTheme="minorEastAsia" w:eastAsiaTheme="minorEastAsia" w:hAnsiTheme="minorEastAsia"/>
                <w:color w:val="000000"/>
                <w:szCs w:val="21"/>
              </w:rPr>
              <w:t>天债券</w:t>
            </w:r>
            <w:r>
              <w:rPr>
                <w:rFonts w:asciiTheme="minorEastAsia" w:eastAsiaTheme="minorEastAsia" w:hAnsiTheme="minorEastAsia"/>
                <w:color w:val="000000"/>
                <w:szCs w:val="21"/>
              </w:rPr>
              <w:t>A</w:t>
            </w:r>
          </w:p>
        </w:tc>
        <w:tc>
          <w:tcPr>
            <w:tcW w:w="2694" w:type="dxa"/>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widowControl/>
              <w:ind w:leftChars="-51" w:left="-107" w:rightChars="-51" w:right="-107"/>
              <w:jc w:val="center"/>
              <w:rPr>
                <w:rFonts w:asciiTheme="minorEastAsia" w:eastAsiaTheme="minorEastAsia" w:hAnsiTheme="minorEastAsia"/>
                <w:color w:val="000000"/>
                <w:szCs w:val="21"/>
              </w:rPr>
            </w:pPr>
            <w:r>
              <w:rPr>
                <w:rFonts w:asciiTheme="minorEastAsia" w:eastAsiaTheme="minorEastAsia" w:hAnsiTheme="minorEastAsia"/>
                <w:color w:val="000000"/>
                <w:szCs w:val="21"/>
              </w:rPr>
              <w:t>交银理财</w:t>
            </w:r>
            <w:r>
              <w:rPr>
                <w:rFonts w:asciiTheme="minorEastAsia" w:eastAsiaTheme="minorEastAsia" w:hAnsiTheme="minorEastAsia"/>
                <w:color w:val="000000"/>
                <w:szCs w:val="21"/>
              </w:rPr>
              <w:t>60</w:t>
            </w:r>
            <w:r>
              <w:rPr>
                <w:rFonts w:asciiTheme="minorEastAsia" w:eastAsiaTheme="minorEastAsia" w:hAnsiTheme="minorEastAsia"/>
                <w:color w:val="000000"/>
                <w:szCs w:val="21"/>
              </w:rPr>
              <w:t>天债券</w:t>
            </w:r>
            <w:r>
              <w:rPr>
                <w:rFonts w:asciiTheme="minorEastAsia" w:eastAsiaTheme="minorEastAsia" w:hAnsiTheme="minorEastAsia"/>
                <w:color w:val="000000"/>
                <w:szCs w:val="21"/>
              </w:rPr>
              <w:t>B</w:t>
            </w:r>
          </w:p>
        </w:tc>
        <w:tc>
          <w:tcPr>
            <w:tcW w:w="1948" w:type="dxa"/>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widowControl/>
              <w:ind w:leftChars="-51" w:left="-107" w:rightChars="-51" w:right="-107"/>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合计</w:t>
            </w:r>
          </w:p>
        </w:tc>
      </w:tr>
      <w:tr w:rsidR="003663E4">
        <w:tc>
          <w:tcPr>
            <w:tcW w:w="2110" w:type="dxa"/>
            <w:vAlign w:val="center"/>
          </w:tcPr>
          <w:p w:rsidR="003663E4" w:rsidRDefault="00FD3F7D">
            <w:pPr>
              <w:jc w:val="left"/>
              <w:rPr>
                <w:rFonts w:asciiTheme="minorEastAsia" w:eastAsiaTheme="minorEastAsia" w:hAnsiTheme="minorEastAsia"/>
                <w:szCs w:val="21"/>
              </w:rPr>
            </w:pPr>
            <w:r>
              <w:rPr>
                <w:rFonts w:asciiTheme="minorEastAsia" w:eastAsiaTheme="minorEastAsia" w:hAnsiTheme="minorEastAsia"/>
                <w:color w:val="000000"/>
                <w:szCs w:val="21"/>
              </w:rPr>
              <w:t>交通银行</w:t>
            </w:r>
          </w:p>
        </w:tc>
        <w:tc>
          <w:tcPr>
            <w:tcW w:w="2534" w:type="dxa"/>
            <w:vAlign w:val="center"/>
          </w:tcPr>
          <w:p w:rsidR="003663E4" w:rsidRDefault="00FD3F7D">
            <w:pPr>
              <w:jc w:val="right"/>
              <w:rPr>
                <w:rFonts w:asciiTheme="minorEastAsia" w:eastAsiaTheme="minorEastAsia" w:hAnsiTheme="minorEastAsia"/>
                <w:szCs w:val="21"/>
              </w:rPr>
            </w:pPr>
            <w:r>
              <w:rPr>
                <w:rFonts w:asciiTheme="minorEastAsia" w:eastAsiaTheme="minorEastAsia" w:hAnsiTheme="minorEastAsia"/>
                <w:color w:val="000000"/>
                <w:szCs w:val="21"/>
              </w:rPr>
              <w:t>3,974.10</w:t>
            </w:r>
          </w:p>
        </w:tc>
        <w:tc>
          <w:tcPr>
            <w:tcW w:w="2694" w:type="dxa"/>
            <w:vAlign w:val="center"/>
          </w:tcPr>
          <w:p w:rsidR="003663E4" w:rsidRDefault="00FD3F7D">
            <w:pPr>
              <w:jc w:val="right"/>
              <w:rPr>
                <w:rFonts w:asciiTheme="minorEastAsia" w:eastAsiaTheme="minorEastAsia" w:hAnsiTheme="minorEastAsia"/>
                <w:szCs w:val="21"/>
              </w:rPr>
            </w:pPr>
            <w:r>
              <w:rPr>
                <w:rFonts w:asciiTheme="minorEastAsia" w:eastAsiaTheme="minorEastAsia" w:hAnsiTheme="minorEastAsia"/>
                <w:color w:val="000000"/>
                <w:szCs w:val="21"/>
              </w:rPr>
              <w:t>-</w:t>
            </w:r>
          </w:p>
        </w:tc>
        <w:tc>
          <w:tcPr>
            <w:tcW w:w="1948" w:type="dxa"/>
            <w:vAlign w:val="center"/>
          </w:tcPr>
          <w:p w:rsidR="003663E4" w:rsidRDefault="00FD3F7D">
            <w:pPr>
              <w:jc w:val="right"/>
              <w:rPr>
                <w:rFonts w:asciiTheme="minorEastAsia" w:eastAsiaTheme="minorEastAsia" w:hAnsiTheme="minorEastAsia"/>
                <w:szCs w:val="21"/>
              </w:rPr>
            </w:pPr>
            <w:r>
              <w:rPr>
                <w:rFonts w:asciiTheme="minorEastAsia" w:eastAsiaTheme="minorEastAsia" w:hAnsiTheme="minorEastAsia"/>
                <w:color w:val="000000"/>
                <w:szCs w:val="21"/>
              </w:rPr>
              <w:t>3,974.10</w:t>
            </w:r>
          </w:p>
        </w:tc>
      </w:tr>
      <w:tr w:rsidR="003663E4">
        <w:tc>
          <w:tcPr>
            <w:tcW w:w="2110" w:type="dxa"/>
            <w:vAlign w:val="center"/>
          </w:tcPr>
          <w:p w:rsidR="003663E4" w:rsidRDefault="00FD3F7D">
            <w:pPr>
              <w:jc w:val="left"/>
              <w:rPr>
                <w:rFonts w:asciiTheme="minorEastAsia" w:eastAsiaTheme="minorEastAsia" w:hAnsiTheme="minorEastAsia"/>
                <w:szCs w:val="21"/>
              </w:rPr>
            </w:pPr>
            <w:r>
              <w:rPr>
                <w:rFonts w:asciiTheme="minorEastAsia" w:eastAsiaTheme="minorEastAsia" w:hAnsiTheme="minorEastAsia"/>
                <w:color w:val="000000"/>
                <w:szCs w:val="21"/>
              </w:rPr>
              <w:t>中国建设银行</w:t>
            </w:r>
          </w:p>
        </w:tc>
        <w:tc>
          <w:tcPr>
            <w:tcW w:w="2534" w:type="dxa"/>
            <w:vAlign w:val="center"/>
          </w:tcPr>
          <w:p w:rsidR="003663E4" w:rsidRDefault="00FD3F7D">
            <w:pPr>
              <w:jc w:val="right"/>
              <w:rPr>
                <w:rFonts w:asciiTheme="minorEastAsia" w:eastAsiaTheme="minorEastAsia" w:hAnsiTheme="minorEastAsia"/>
                <w:szCs w:val="21"/>
              </w:rPr>
            </w:pPr>
            <w:r>
              <w:rPr>
                <w:rFonts w:asciiTheme="minorEastAsia" w:eastAsiaTheme="minorEastAsia" w:hAnsiTheme="minorEastAsia"/>
                <w:color w:val="000000"/>
                <w:szCs w:val="21"/>
              </w:rPr>
              <w:t>1,033.27</w:t>
            </w:r>
          </w:p>
        </w:tc>
        <w:tc>
          <w:tcPr>
            <w:tcW w:w="2694" w:type="dxa"/>
            <w:vAlign w:val="center"/>
          </w:tcPr>
          <w:p w:rsidR="003663E4" w:rsidRDefault="00FD3F7D">
            <w:pPr>
              <w:jc w:val="right"/>
              <w:rPr>
                <w:rFonts w:asciiTheme="minorEastAsia" w:eastAsiaTheme="minorEastAsia" w:hAnsiTheme="minorEastAsia"/>
                <w:szCs w:val="21"/>
              </w:rPr>
            </w:pPr>
            <w:r>
              <w:rPr>
                <w:rFonts w:asciiTheme="minorEastAsia" w:eastAsiaTheme="minorEastAsia" w:hAnsiTheme="minorEastAsia"/>
                <w:color w:val="000000"/>
                <w:szCs w:val="21"/>
              </w:rPr>
              <w:t>-</w:t>
            </w:r>
          </w:p>
        </w:tc>
        <w:tc>
          <w:tcPr>
            <w:tcW w:w="1948" w:type="dxa"/>
            <w:vAlign w:val="center"/>
          </w:tcPr>
          <w:p w:rsidR="003663E4" w:rsidRDefault="00FD3F7D">
            <w:pPr>
              <w:jc w:val="right"/>
              <w:rPr>
                <w:rFonts w:asciiTheme="minorEastAsia" w:eastAsiaTheme="minorEastAsia" w:hAnsiTheme="minorEastAsia"/>
                <w:szCs w:val="21"/>
              </w:rPr>
            </w:pPr>
            <w:r>
              <w:rPr>
                <w:rFonts w:asciiTheme="minorEastAsia" w:eastAsiaTheme="minorEastAsia" w:hAnsiTheme="minorEastAsia"/>
                <w:color w:val="000000"/>
                <w:szCs w:val="21"/>
              </w:rPr>
              <w:t>1,033.27</w:t>
            </w:r>
          </w:p>
        </w:tc>
      </w:tr>
      <w:tr w:rsidR="003663E4">
        <w:tc>
          <w:tcPr>
            <w:tcW w:w="2110" w:type="dxa"/>
            <w:vAlign w:val="center"/>
          </w:tcPr>
          <w:p w:rsidR="003663E4" w:rsidRDefault="00FD3F7D">
            <w:pPr>
              <w:jc w:val="left"/>
              <w:rPr>
                <w:rFonts w:asciiTheme="minorEastAsia" w:eastAsiaTheme="minorEastAsia" w:hAnsiTheme="minorEastAsia"/>
                <w:szCs w:val="21"/>
              </w:rPr>
            </w:pPr>
            <w:r>
              <w:rPr>
                <w:rFonts w:asciiTheme="minorEastAsia" w:eastAsiaTheme="minorEastAsia" w:hAnsiTheme="minorEastAsia"/>
                <w:color w:val="000000"/>
                <w:szCs w:val="21"/>
              </w:rPr>
              <w:t>交银施罗德基金公司</w:t>
            </w:r>
          </w:p>
        </w:tc>
        <w:tc>
          <w:tcPr>
            <w:tcW w:w="2534" w:type="dxa"/>
            <w:vAlign w:val="center"/>
          </w:tcPr>
          <w:p w:rsidR="003663E4" w:rsidRDefault="00FD3F7D">
            <w:pPr>
              <w:jc w:val="right"/>
              <w:rPr>
                <w:rFonts w:asciiTheme="minorEastAsia" w:eastAsiaTheme="minorEastAsia" w:hAnsiTheme="minorEastAsia"/>
                <w:szCs w:val="21"/>
              </w:rPr>
            </w:pPr>
            <w:r>
              <w:rPr>
                <w:rFonts w:asciiTheme="minorEastAsia" w:eastAsiaTheme="minorEastAsia" w:hAnsiTheme="minorEastAsia"/>
                <w:color w:val="000000"/>
                <w:szCs w:val="21"/>
              </w:rPr>
              <w:t>2,367.83</w:t>
            </w:r>
          </w:p>
        </w:tc>
        <w:tc>
          <w:tcPr>
            <w:tcW w:w="2694" w:type="dxa"/>
            <w:vAlign w:val="center"/>
          </w:tcPr>
          <w:p w:rsidR="003663E4" w:rsidRDefault="00FD3F7D">
            <w:pPr>
              <w:jc w:val="right"/>
              <w:rPr>
                <w:rFonts w:asciiTheme="minorEastAsia" w:eastAsiaTheme="minorEastAsia" w:hAnsiTheme="minorEastAsia"/>
                <w:szCs w:val="21"/>
              </w:rPr>
            </w:pPr>
            <w:r>
              <w:rPr>
                <w:rFonts w:asciiTheme="minorEastAsia" w:eastAsiaTheme="minorEastAsia" w:hAnsiTheme="minorEastAsia"/>
                <w:color w:val="000000"/>
                <w:szCs w:val="21"/>
              </w:rPr>
              <w:t>377,376.33</w:t>
            </w:r>
          </w:p>
        </w:tc>
        <w:tc>
          <w:tcPr>
            <w:tcW w:w="1948" w:type="dxa"/>
            <w:vAlign w:val="center"/>
          </w:tcPr>
          <w:p w:rsidR="003663E4" w:rsidRDefault="00FD3F7D">
            <w:pPr>
              <w:jc w:val="right"/>
              <w:rPr>
                <w:rFonts w:asciiTheme="minorEastAsia" w:eastAsiaTheme="minorEastAsia" w:hAnsiTheme="minorEastAsia"/>
                <w:szCs w:val="21"/>
              </w:rPr>
            </w:pPr>
            <w:r>
              <w:rPr>
                <w:rFonts w:asciiTheme="minorEastAsia" w:eastAsiaTheme="minorEastAsia" w:hAnsiTheme="minorEastAsia"/>
                <w:color w:val="000000"/>
                <w:szCs w:val="21"/>
              </w:rPr>
              <w:t>379,744.16</w:t>
            </w:r>
          </w:p>
        </w:tc>
      </w:tr>
      <w:tr w:rsidR="003663E4">
        <w:tc>
          <w:tcPr>
            <w:tcW w:w="2110" w:type="dxa"/>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tabs>
                <w:tab w:val="left" w:pos="426"/>
              </w:tabs>
              <w:spacing w:line="360" w:lineRule="auto"/>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szCs w:val="21"/>
              </w:rPr>
              <w:t>合计</w:t>
            </w:r>
          </w:p>
        </w:tc>
        <w:tc>
          <w:tcPr>
            <w:tcW w:w="2534" w:type="dxa"/>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tabs>
                <w:tab w:val="left" w:pos="426"/>
              </w:tabs>
              <w:spacing w:line="360" w:lineRule="auto"/>
              <w:jc w:val="right"/>
              <w:rPr>
                <w:rFonts w:asciiTheme="minorEastAsia" w:eastAsiaTheme="minorEastAsia" w:hAnsiTheme="minorEastAsia"/>
                <w:color w:val="000000"/>
                <w:kern w:val="0"/>
                <w:szCs w:val="21"/>
              </w:rPr>
            </w:pPr>
            <w:r>
              <w:rPr>
                <w:rFonts w:asciiTheme="minorEastAsia" w:eastAsiaTheme="minorEastAsia" w:hAnsiTheme="minorEastAsia"/>
                <w:color w:val="000000"/>
                <w:szCs w:val="21"/>
              </w:rPr>
              <w:t>7,375.20</w:t>
            </w:r>
          </w:p>
        </w:tc>
        <w:tc>
          <w:tcPr>
            <w:tcW w:w="2694" w:type="dxa"/>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jc w:val="right"/>
              <w:rPr>
                <w:rFonts w:asciiTheme="minorEastAsia" w:eastAsiaTheme="minorEastAsia" w:hAnsiTheme="minorEastAsia"/>
                <w:color w:val="000000"/>
                <w:szCs w:val="21"/>
              </w:rPr>
            </w:pPr>
            <w:r>
              <w:rPr>
                <w:rFonts w:asciiTheme="minorEastAsia" w:eastAsiaTheme="minorEastAsia" w:hAnsiTheme="minorEastAsia"/>
                <w:color w:val="000000"/>
                <w:szCs w:val="21"/>
              </w:rPr>
              <w:t>377,376.33</w:t>
            </w:r>
          </w:p>
        </w:tc>
        <w:tc>
          <w:tcPr>
            <w:tcW w:w="1948" w:type="dxa"/>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jc w:val="right"/>
              <w:rPr>
                <w:rFonts w:asciiTheme="minorEastAsia" w:eastAsiaTheme="minorEastAsia" w:hAnsiTheme="minorEastAsia"/>
                <w:color w:val="000000"/>
                <w:szCs w:val="21"/>
              </w:rPr>
            </w:pPr>
            <w:r>
              <w:rPr>
                <w:rFonts w:asciiTheme="minorEastAsia" w:eastAsiaTheme="minorEastAsia" w:hAnsiTheme="minorEastAsia"/>
                <w:color w:val="000000"/>
                <w:szCs w:val="21"/>
              </w:rPr>
              <w:t>384,751.53</w:t>
            </w:r>
          </w:p>
        </w:tc>
      </w:tr>
      <w:tr w:rsidR="003663E4">
        <w:tc>
          <w:tcPr>
            <w:tcW w:w="211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tabs>
                <w:tab w:val="left" w:pos="426"/>
              </w:tabs>
              <w:spacing w:line="360" w:lineRule="auto"/>
              <w:jc w:val="center"/>
              <w:rPr>
                <w:rFonts w:asciiTheme="minorEastAsia" w:eastAsiaTheme="minorEastAsia" w:hAnsiTheme="minorEastAsia"/>
                <w:color w:val="000000"/>
                <w:kern w:val="0"/>
                <w:szCs w:val="21"/>
              </w:rPr>
            </w:pPr>
            <w:r>
              <w:rPr>
                <w:rFonts w:asciiTheme="minorEastAsia" w:eastAsiaTheme="minorEastAsia" w:hAnsiTheme="minorEastAsia" w:hint="eastAsia"/>
                <w:color w:val="000000"/>
                <w:szCs w:val="21"/>
              </w:rPr>
              <w:t>获得销售服务费的各关联方名称</w:t>
            </w:r>
          </w:p>
        </w:tc>
        <w:tc>
          <w:tcPr>
            <w:tcW w:w="717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widowControl/>
              <w:autoSpaceDE w:val="0"/>
              <w:autoSpaceDN w:val="0"/>
              <w:ind w:leftChars="-51" w:left="-107" w:rightChars="-51" w:right="-107"/>
              <w:jc w:val="center"/>
              <w:textAlignment w:val="bottom"/>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上年度可比期间</w:t>
            </w:r>
          </w:p>
          <w:p w:rsidR="003663E4" w:rsidRDefault="00FD3F7D">
            <w:pPr>
              <w:widowControl/>
              <w:autoSpaceDE w:val="0"/>
              <w:autoSpaceDN w:val="0"/>
              <w:ind w:leftChars="-51" w:left="-107" w:rightChars="-51" w:right="-107"/>
              <w:jc w:val="center"/>
              <w:textAlignment w:val="bottom"/>
              <w:rPr>
                <w:rFonts w:asciiTheme="minorEastAsia" w:eastAsiaTheme="minorEastAsia" w:hAnsiTheme="minorEastAsia"/>
                <w:color w:val="000000"/>
                <w:szCs w:val="21"/>
              </w:rPr>
            </w:pPr>
            <w:r>
              <w:rPr>
                <w:rFonts w:asciiTheme="minorEastAsia" w:eastAsiaTheme="minorEastAsia" w:hAnsiTheme="minorEastAsia"/>
                <w:color w:val="000000"/>
                <w:szCs w:val="21"/>
              </w:rPr>
              <w:t>2019</w:t>
            </w:r>
            <w:r>
              <w:rPr>
                <w:rFonts w:asciiTheme="minorEastAsia" w:eastAsiaTheme="minorEastAsia" w:hAnsiTheme="minorEastAsia"/>
                <w:color w:val="000000"/>
                <w:szCs w:val="21"/>
              </w:rPr>
              <w:t>年</w:t>
            </w:r>
            <w:r>
              <w:rPr>
                <w:rFonts w:asciiTheme="minorEastAsia" w:eastAsiaTheme="minorEastAsia" w:hAnsiTheme="minorEastAsia"/>
                <w:color w:val="000000"/>
                <w:szCs w:val="21"/>
              </w:rPr>
              <w:t>1</w:t>
            </w:r>
            <w:r>
              <w:rPr>
                <w:rFonts w:asciiTheme="minorEastAsia" w:eastAsiaTheme="minorEastAsia" w:hAnsiTheme="minorEastAsia"/>
                <w:color w:val="000000"/>
                <w:szCs w:val="21"/>
              </w:rPr>
              <w:t>月</w:t>
            </w:r>
            <w:r>
              <w:rPr>
                <w:rFonts w:asciiTheme="minorEastAsia" w:eastAsiaTheme="minorEastAsia" w:hAnsiTheme="minorEastAsia"/>
                <w:color w:val="000000"/>
                <w:szCs w:val="21"/>
              </w:rPr>
              <w:t>1</w:t>
            </w:r>
            <w:r>
              <w:rPr>
                <w:rFonts w:asciiTheme="minorEastAsia" w:eastAsiaTheme="minorEastAsia" w:hAnsiTheme="minorEastAsia"/>
                <w:color w:val="000000"/>
                <w:szCs w:val="21"/>
              </w:rPr>
              <w:t>日</w:t>
            </w:r>
            <w:r>
              <w:rPr>
                <w:rFonts w:asciiTheme="minorEastAsia" w:eastAsiaTheme="minorEastAsia" w:hAnsiTheme="minorEastAsia" w:hint="eastAsia"/>
                <w:color w:val="000000"/>
                <w:szCs w:val="21"/>
              </w:rPr>
              <w:t>至</w:t>
            </w:r>
            <w:r>
              <w:rPr>
                <w:rFonts w:asciiTheme="minorEastAsia" w:eastAsiaTheme="minorEastAsia" w:hAnsiTheme="minorEastAsia"/>
                <w:color w:val="000000"/>
                <w:szCs w:val="21"/>
              </w:rPr>
              <w:t>2019</w:t>
            </w:r>
            <w:r>
              <w:rPr>
                <w:rFonts w:asciiTheme="minorEastAsia" w:eastAsiaTheme="minorEastAsia" w:hAnsiTheme="minorEastAsia"/>
                <w:color w:val="000000"/>
                <w:szCs w:val="21"/>
              </w:rPr>
              <w:t>年</w:t>
            </w:r>
            <w:r>
              <w:rPr>
                <w:rFonts w:asciiTheme="minorEastAsia" w:eastAsiaTheme="minorEastAsia" w:hAnsiTheme="minorEastAsia"/>
                <w:color w:val="000000"/>
                <w:szCs w:val="21"/>
              </w:rPr>
              <w:t>12</w:t>
            </w:r>
            <w:r>
              <w:rPr>
                <w:rFonts w:asciiTheme="minorEastAsia" w:eastAsiaTheme="minorEastAsia" w:hAnsiTheme="minorEastAsia"/>
                <w:color w:val="000000"/>
                <w:szCs w:val="21"/>
              </w:rPr>
              <w:t>月</w:t>
            </w:r>
            <w:r>
              <w:rPr>
                <w:rFonts w:asciiTheme="minorEastAsia" w:eastAsiaTheme="minorEastAsia" w:hAnsiTheme="minorEastAsia"/>
                <w:color w:val="000000"/>
                <w:szCs w:val="21"/>
              </w:rPr>
              <w:t>31</w:t>
            </w:r>
            <w:r>
              <w:rPr>
                <w:rFonts w:asciiTheme="minorEastAsia" w:eastAsiaTheme="minorEastAsia" w:hAnsiTheme="minorEastAsia"/>
                <w:color w:val="000000"/>
                <w:szCs w:val="21"/>
              </w:rPr>
              <w:t>日</w:t>
            </w:r>
          </w:p>
        </w:tc>
      </w:tr>
      <w:tr w:rsidR="003663E4">
        <w:tc>
          <w:tcPr>
            <w:tcW w:w="2110" w:type="dxa"/>
            <w:vMerge/>
            <w:tcBorders>
              <w:top w:val="single" w:sz="4" w:space="0" w:color="auto"/>
              <w:left w:val="single" w:sz="4" w:space="0" w:color="auto"/>
              <w:bottom w:val="single" w:sz="4" w:space="0" w:color="auto"/>
              <w:right w:val="single" w:sz="4" w:space="0" w:color="auto"/>
              <w:tl2br w:val="nil"/>
              <w:tr2bl w:val="nil"/>
            </w:tcBorders>
          </w:tcPr>
          <w:p w:rsidR="003663E4" w:rsidRDefault="003663E4">
            <w:pPr>
              <w:tabs>
                <w:tab w:val="left" w:pos="426"/>
              </w:tabs>
              <w:spacing w:line="360" w:lineRule="auto"/>
              <w:jc w:val="left"/>
              <w:rPr>
                <w:rFonts w:asciiTheme="minorEastAsia" w:eastAsiaTheme="minorEastAsia" w:hAnsiTheme="minorEastAsia"/>
                <w:color w:val="000000"/>
                <w:kern w:val="0"/>
                <w:szCs w:val="21"/>
              </w:rPr>
            </w:pPr>
          </w:p>
        </w:tc>
        <w:tc>
          <w:tcPr>
            <w:tcW w:w="7176"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widowControl/>
              <w:autoSpaceDE w:val="0"/>
              <w:autoSpaceDN w:val="0"/>
              <w:ind w:leftChars="-51" w:left="-107" w:rightChars="-51" w:right="-107"/>
              <w:jc w:val="center"/>
              <w:textAlignment w:val="bottom"/>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当期发生的基金应支付的销售服务费</w:t>
            </w:r>
          </w:p>
        </w:tc>
      </w:tr>
      <w:tr w:rsidR="003663E4">
        <w:tc>
          <w:tcPr>
            <w:tcW w:w="2110" w:type="dxa"/>
            <w:vMerge/>
            <w:tcBorders>
              <w:top w:val="single" w:sz="4" w:space="0" w:color="auto"/>
              <w:left w:val="single" w:sz="4" w:space="0" w:color="auto"/>
              <w:bottom w:val="single" w:sz="4" w:space="0" w:color="auto"/>
              <w:right w:val="single" w:sz="4" w:space="0" w:color="auto"/>
              <w:tl2br w:val="nil"/>
              <w:tr2bl w:val="nil"/>
            </w:tcBorders>
          </w:tcPr>
          <w:p w:rsidR="003663E4" w:rsidRDefault="003663E4">
            <w:pPr>
              <w:tabs>
                <w:tab w:val="left" w:pos="426"/>
              </w:tabs>
              <w:spacing w:line="360" w:lineRule="auto"/>
              <w:jc w:val="left"/>
              <w:rPr>
                <w:rFonts w:asciiTheme="minorEastAsia" w:eastAsiaTheme="minorEastAsia" w:hAnsiTheme="minorEastAsia"/>
                <w:color w:val="000000"/>
                <w:kern w:val="0"/>
                <w:szCs w:val="21"/>
              </w:rPr>
            </w:pPr>
          </w:p>
        </w:tc>
        <w:tc>
          <w:tcPr>
            <w:tcW w:w="2534" w:type="dxa"/>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widowControl/>
              <w:autoSpaceDE w:val="0"/>
              <w:autoSpaceDN w:val="0"/>
              <w:ind w:leftChars="-51" w:left="-107" w:rightChars="-51" w:right="-107"/>
              <w:jc w:val="center"/>
              <w:textAlignment w:val="bottom"/>
              <w:rPr>
                <w:rFonts w:asciiTheme="minorEastAsia" w:eastAsiaTheme="minorEastAsia" w:hAnsiTheme="minorEastAsia"/>
                <w:color w:val="000000"/>
                <w:szCs w:val="21"/>
              </w:rPr>
            </w:pPr>
            <w:r>
              <w:rPr>
                <w:rFonts w:asciiTheme="minorEastAsia" w:eastAsiaTheme="minorEastAsia" w:hAnsiTheme="minorEastAsia"/>
                <w:color w:val="000000"/>
                <w:szCs w:val="21"/>
              </w:rPr>
              <w:t>交银理财</w:t>
            </w:r>
            <w:r>
              <w:rPr>
                <w:rFonts w:asciiTheme="minorEastAsia" w:eastAsiaTheme="minorEastAsia" w:hAnsiTheme="minorEastAsia"/>
                <w:color w:val="000000"/>
                <w:szCs w:val="21"/>
              </w:rPr>
              <w:t>60</w:t>
            </w:r>
            <w:r>
              <w:rPr>
                <w:rFonts w:asciiTheme="minorEastAsia" w:eastAsiaTheme="minorEastAsia" w:hAnsiTheme="minorEastAsia"/>
                <w:color w:val="000000"/>
                <w:szCs w:val="21"/>
              </w:rPr>
              <w:t>天债券</w:t>
            </w:r>
            <w:r>
              <w:rPr>
                <w:rFonts w:asciiTheme="minorEastAsia" w:eastAsiaTheme="minorEastAsia" w:hAnsiTheme="minorEastAsia"/>
                <w:color w:val="000000"/>
                <w:szCs w:val="21"/>
              </w:rPr>
              <w:t>A</w:t>
            </w:r>
          </w:p>
        </w:tc>
        <w:tc>
          <w:tcPr>
            <w:tcW w:w="2694" w:type="dxa"/>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widowControl/>
              <w:autoSpaceDE w:val="0"/>
              <w:autoSpaceDN w:val="0"/>
              <w:ind w:leftChars="-51" w:left="-107" w:rightChars="-51" w:right="-107"/>
              <w:jc w:val="center"/>
              <w:textAlignment w:val="bottom"/>
              <w:rPr>
                <w:rFonts w:asciiTheme="minorEastAsia" w:eastAsiaTheme="minorEastAsia" w:hAnsiTheme="minorEastAsia"/>
                <w:color w:val="000000"/>
                <w:szCs w:val="21"/>
              </w:rPr>
            </w:pPr>
            <w:r>
              <w:rPr>
                <w:rFonts w:asciiTheme="minorEastAsia" w:eastAsiaTheme="minorEastAsia" w:hAnsiTheme="minorEastAsia"/>
                <w:color w:val="000000"/>
                <w:szCs w:val="21"/>
              </w:rPr>
              <w:t>交银理财</w:t>
            </w:r>
            <w:r>
              <w:rPr>
                <w:rFonts w:asciiTheme="minorEastAsia" w:eastAsiaTheme="minorEastAsia" w:hAnsiTheme="minorEastAsia"/>
                <w:color w:val="000000"/>
                <w:szCs w:val="21"/>
              </w:rPr>
              <w:t>60</w:t>
            </w:r>
            <w:r>
              <w:rPr>
                <w:rFonts w:asciiTheme="minorEastAsia" w:eastAsiaTheme="minorEastAsia" w:hAnsiTheme="minorEastAsia"/>
                <w:color w:val="000000"/>
                <w:szCs w:val="21"/>
              </w:rPr>
              <w:t>天债券</w:t>
            </w:r>
            <w:r>
              <w:rPr>
                <w:rFonts w:asciiTheme="minorEastAsia" w:eastAsiaTheme="minorEastAsia" w:hAnsiTheme="minorEastAsia"/>
                <w:color w:val="000000"/>
                <w:szCs w:val="21"/>
              </w:rPr>
              <w:t>B</w:t>
            </w:r>
          </w:p>
        </w:tc>
        <w:tc>
          <w:tcPr>
            <w:tcW w:w="1948" w:type="dxa"/>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widowControl/>
              <w:autoSpaceDE w:val="0"/>
              <w:autoSpaceDN w:val="0"/>
              <w:ind w:leftChars="-51" w:left="-107" w:rightChars="-51" w:right="-107"/>
              <w:jc w:val="center"/>
              <w:textAlignment w:val="bottom"/>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合计</w:t>
            </w:r>
          </w:p>
        </w:tc>
      </w:tr>
      <w:tr w:rsidR="003663E4">
        <w:tc>
          <w:tcPr>
            <w:tcW w:w="2110" w:type="dxa"/>
            <w:vAlign w:val="center"/>
          </w:tcPr>
          <w:p w:rsidR="003663E4" w:rsidRDefault="00FD3F7D">
            <w:pPr>
              <w:jc w:val="left"/>
              <w:rPr>
                <w:rFonts w:asciiTheme="minorEastAsia" w:eastAsiaTheme="minorEastAsia" w:hAnsiTheme="minorEastAsia"/>
                <w:szCs w:val="21"/>
              </w:rPr>
            </w:pPr>
            <w:r>
              <w:rPr>
                <w:rFonts w:asciiTheme="minorEastAsia" w:eastAsiaTheme="minorEastAsia" w:hAnsiTheme="minorEastAsia"/>
                <w:color w:val="000000"/>
                <w:szCs w:val="21"/>
              </w:rPr>
              <w:t>交通银行</w:t>
            </w:r>
          </w:p>
        </w:tc>
        <w:tc>
          <w:tcPr>
            <w:tcW w:w="2534" w:type="dxa"/>
            <w:vAlign w:val="center"/>
          </w:tcPr>
          <w:p w:rsidR="003663E4" w:rsidRDefault="00FD3F7D">
            <w:pPr>
              <w:jc w:val="right"/>
              <w:rPr>
                <w:rFonts w:asciiTheme="minorEastAsia" w:eastAsiaTheme="minorEastAsia" w:hAnsiTheme="minorEastAsia"/>
                <w:szCs w:val="21"/>
              </w:rPr>
            </w:pPr>
            <w:r>
              <w:rPr>
                <w:rFonts w:asciiTheme="minorEastAsia" w:eastAsiaTheme="minorEastAsia" w:hAnsiTheme="minorEastAsia"/>
                <w:color w:val="000000"/>
                <w:szCs w:val="21"/>
              </w:rPr>
              <w:t>7,538.94</w:t>
            </w:r>
          </w:p>
        </w:tc>
        <w:tc>
          <w:tcPr>
            <w:tcW w:w="2694" w:type="dxa"/>
            <w:vAlign w:val="center"/>
          </w:tcPr>
          <w:p w:rsidR="003663E4" w:rsidRDefault="00FD3F7D">
            <w:pPr>
              <w:jc w:val="right"/>
              <w:rPr>
                <w:rFonts w:asciiTheme="minorEastAsia" w:eastAsiaTheme="minorEastAsia" w:hAnsiTheme="minorEastAsia"/>
                <w:szCs w:val="21"/>
              </w:rPr>
            </w:pPr>
            <w:r>
              <w:rPr>
                <w:rFonts w:asciiTheme="minorEastAsia" w:eastAsiaTheme="minorEastAsia" w:hAnsiTheme="minorEastAsia"/>
                <w:color w:val="000000"/>
                <w:szCs w:val="21"/>
              </w:rPr>
              <w:t>-</w:t>
            </w:r>
          </w:p>
        </w:tc>
        <w:tc>
          <w:tcPr>
            <w:tcW w:w="1948" w:type="dxa"/>
            <w:vAlign w:val="center"/>
          </w:tcPr>
          <w:p w:rsidR="003663E4" w:rsidRDefault="00FD3F7D">
            <w:pPr>
              <w:jc w:val="right"/>
              <w:rPr>
                <w:rFonts w:asciiTheme="minorEastAsia" w:eastAsiaTheme="minorEastAsia" w:hAnsiTheme="minorEastAsia"/>
                <w:szCs w:val="21"/>
              </w:rPr>
            </w:pPr>
            <w:r>
              <w:rPr>
                <w:rFonts w:asciiTheme="minorEastAsia" w:eastAsiaTheme="minorEastAsia" w:hAnsiTheme="minorEastAsia"/>
                <w:color w:val="000000"/>
                <w:szCs w:val="21"/>
              </w:rPr>
              <w:t>7,538.94</w:t>
            </w:r>
          </w:p>
        </w:tc>
      </w:tr>
      <w:tr w:rsidR="003663E4">
        <w:tc>
          <w:tcPr>
            <w:tcW w:w="2110" w:type="dxa"/>
            <w:vAlign w:val="center"/>
          </w:tcPr>
          <w:p w:rsidR="003663E4" w:rsidRDefault="00FD3F7D">
            <w:pPr>
              <w:jc w:val="left"/>
              <w:rPr>
                <w:rFonts w:asciiTheme="minorEastAsia" w:eastAsiaTheme="minorEastAsia" w:hAnsiTheme="minorEastAsia"/>
                <w:szCs w:val="21"/>
              </w:rPr>
            </w:pPr>
            <w:r>
              <w:rPr>
                <w:rFonts w:asciiTheme="minorEastAsia" w:eastAsiaTheme="minorEastAsia" w:hAnsiTheme="minorEastAsia"/>
                <w:color w:val="000000"/>
                <w:szCs w:val="21"/>
              </w:rPr>
              <w:t>中国建设银行</w:t>
            </w:r>
          </w:p>
        </w:tc>
        <w:tc>
          <w:tcPr>
            <w:tcW w:w="2534" w:type="dxa"/>
            <w:vAlign w:val="center"/>
          </w:tcPr>
          <w:p w:rsidR="003663E4" w:rsidRDefault="00FD3F7D">
            <w:pPr>
              <w:jc w:val="right"/>
              <w:rPr>
                <w:rFonts w:asciiTheme="minorEastAsia" w:eastAsiaTheme="minorEastAsia" w:hAnsiTheme="minorEastAsia"/>
                <w:szCs w:val="21"/>
              </w:rPr>
            </w:pPr>
            <w:r>
              <w:rPr>
                <w:rFonts w:asciiTheme="minorEastAsia" w:eastAsiaTheme="minorEastAsia" w:hAnsiTheme="minorEastAsia"/>
                <w:color w:val="000000"/>
                <w:szCs w:val="21"/>
              </w:rPr>
              <w:t>2,502.45</w:t>
            </w:r>
          </w:p>
        </w:tc>
        <w:tc>
          <w:tcPr>
            <w:tcW w:w="2694" w:type="dxa"/>
            <w:vAlign w:val="center"/>
          </w:tcPr>
          <w:p w:rsidR="003663E4" w:rsidRDefault="00FD3F7D">
            <w:pPr>
              <w:jc w:val="right"/>
              <w:rPr>
                <w:rFonts w:asciiTheme="minorEastAsia" w:eastAsiaTheme="minorEastAsia" w:hAnsiTheme="minorEastAsia"/>
                <w:szCs w:val="21"/>
              </w:rPr>
            </w:pPr>
            <w:r>
              <w:rPr>
                <w:rFonts w:asciiTheme="minorEastAsia" w:eastAsiaTheme="minorEastAsia" w:hAnsiTheme="minorEastAsia"/>
                <w:color w:val="000000"/>
                <w:szCs w:val="21"/>
              </w:rPr>
              <w:t>-</w:t>
            </w:r>
          </w:p>
        </w:tc>
        <w:tc>
          <w:tcPr>
            <w:tcW w:w="1948" w:type="dxa"/>
            <w:vAlign w:val="center"/>
          </w:tcPr>
          <w:p w:rsidR="003663E4" w:rsidRDefault="00FD3F7D">
            <w:pPr>
              <w:jc w:val="right"/>
              <w:rPr>
                <w:rFonts w:asciiTheme="minorEastAsia" w:eastAsiaTheme="minorEastAsia" w:hAnsiTheme="minorEastAsia"/>
                <w:szCs w:val="21"/>
              </w:rPr>
            </w:pPr>
            <w:r>
              <w:rPr>
                <w:rFonts w:asciiTheme="minorEastAsia" w:eastAsiaTheme="minorEastAsia" w:hAnsiTheme="minorEastAsia"/>
                <w:color w:val="000000"/>
                <w:szCs w:val="21"/>
              </w:rPr>
              <w:t>2,502.45</w:t>
            </w:r>
          </w:p>
        </w:tc>
      </w:tr>
      <w:tr w:rsidR="003663E4">
        <w:tc>
          <w:tcPr>
            <w:tcW w:w="2110" w:type="dxa"/>
            <w:vAlign w:val="center"/>
          </w:tcPr>
          <w:p w:rsidR="003663E4" w:rsidRDefault="00FD3F7D">
            <w:pPr>
              <w:jc w:val="left"/>
              <w:rPr>
                <w:rFonts w:asciiTheme="minorEastAsia" w:eastAsiaTheme="minorEastAsia" w:hAnsiTheme="minorEastAsia"/>
                <w:szCs w:val="21"/>
              </w:rPr>
            </w:pPr>
            <w:r>
              <w:rPr>
                <w:rFonts w:asciiTheme="minorEastAsia" w:eastAsiaTheme="minorEastAsia" w:hAnsiTheme="minorEastAsia"/>
                <w:color w:val="000000"/>
                <w:szCs w:val="21"/>
              </w:rPr>
              <w:t>交银施罗德基金公司</w:t>
            </w:r>
          </w:p>
        </w:tc>
        <w:tc>
          <w:tcPr>
            <w:tcW w:w="2534" w:type="dxa"/>
            <w:vAlign w:val="center"/>
          </w:tcPr>
          <w:p w:rsidR="003663E4" w:rsidRDefault="00FD3F7D">
            <w:pPr>
              <w:jc w:val="right"/>
              <w:rPr>
                <w:rFonts w:asciiTheme="minorEastAsia" w:eastAsiaTheme="minorEastAsia" w:hAnsiTheme="minorEastAsia"/>
                <w:szCs w:val="21"/>
              </w:rPr>
            </w:pPr>
            <w:r>
              <w:rPr>
                <w:rFonts w:asciiTheme="minorEastAsia" w:eastAsiaTheme="minorEastAsia" w:hAnsiTheme="minorEastAsia"/>
                <w:color w:val="000000"/>
                <w:szCs w:val="21"/>
              </w:rPr>
              <w:t>14,571.59</w:t>
            </w:r>
          </w:p>
        </w:tc>
        <w:tc>
          <w:tcPr>
            <w:tcW w:w="2694" w:type="dxa"/>
            <w:vAlign w:val="center"/>
          </w:tcPr>
          <w:p w:rsidR="003663E4" w:rsidRDefault="00FD3F7D">
            <w:pPr>
              <w:jc w:val="right"/>
              <w:rPr>
                <w:rFonts w:asciiTheme="minorEastAsia" w:eastAsiaTheme="minorEastAsia" w:hAnsiTheme="minorEastAsia"/>
                <w:szCs w:val="21"/>
              </w:rPr>
            </w:pPr>
            <w:r>
              <w:rPr>
                <w:rFonts w:asciiTheme="minorEastAsia" w:eastAsiaTheme="minorEastAsia" w:hAnsiTheme="minorEastAsia"/>
                <w:color w:val="000000"/>
                <w:szCs w:val="21"/>
              </w:rPr>
              <w:t>866,561.60</w:t>
            </w:r>
          </w:p>
        </w:tc>
        <w:tc>
          <w:tcPr>
            <w:tcW w:w="1948" w:type="dxa"/>
            <w:vAlign w:val="center"/>
          </w:tcPr>
          <w:p w:rsidR="003663E4" w:rsidRDefault="00FD3F7D">
            <w:pPr>
              <w:jc w:val="right"/>
              <w:rPr>
                <w:rFonts w:asciiTheme="minorEastAsia" w:eastAsiaTheme="minorEastAsia" w:hAnsiTheme="minorEastAsia"/>
                <w:szCs w:val="21"/>
              </w:rPr>
            </w:pPr>
            <w:r>
              <w:rPr>
                <w:rFonts w:asciiTheme="minorEastAsia" w:eastAsiaTheme="minorEastAsia" w:hAnsiTheme="minorEastAsia"/>
                <w:color w:val="000000"/>
                <w:szCs w:val="21"/>
              </w:rPr>
              <w:t>881,133.19</w:t>
            </w:r>
          </w:p>
        </w:tc>
      </w:tr>
      <w:tr w:rsidR="003663E4">
        <w:tc>
          <w:tcPr>
            <w:tcW w:w="2110" w:type="dxa"/>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widowControl/>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合计</w:t>
            </w:r>
          </w:p>
        </w:tc>
        <w:tc>
          <w:tcPr>
            <w:tcW w:w="2534" w:type="dxa"/>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jc w:val="right"/>
              <w:rPr>
                <w:rFonts w:asciiTheme="minorEastAsia" w:eastAsiaTheme="minorEastAsia" w:hAnsiTheme="minorEastAsia"/>
                <w:color w:val="000000"/>
                <w:szCs w:val="21"/>
              </w:rPr>
            </w:pPr>
            <w:r>
              <w:rPr>
                <w:rFonts w:asciiTheme="minorEastAsia" w:eastAsiaTheme="minorEastAsia" w:hAnsiTheme="minorEastAsia"/>
                <w:color w:val="000000"/>
                <w:szCs w:val="21"/>
              </w:rPr>
              <w:t>24,612.98</w:t>
            </w:r>
          </w:p>
        </w:tc>
        <w:tc>
          <w:tcPr>
            <w:tcW w:w="2694" w:type="dxa"/>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jc w:val="right"/>
              <w:rPr>
                <w:rFonts w:asciiTheme="minorEastAsia" w:eastAsiaTheme="minorEastAsia" w:hAnsiTheme="minorEastAsia"/>
                <w:color w:val="000000"/>
                <w:szCs w:val="21"/>
              </w:rPr>
            </w:pPr>
            <w:r>
              <w:rPr>
                <w:rFonts w:asciiTheme="minorEastAsia" w:eastAsiaTheme="minorEastAsia" w:hAnsiTheme="minorEastAsia"/>
                <w:color w:val="000000"/>
                <w:szCs w:val="21"/>
              </w:rPr>
              <w:t>866,561.60</w:t>
            </w:r>
          </w:p>
        </w:tc>
        <w:tc>
          <w:tcPr>
            <w:tcW w:w="1948" w:type="dxa"/>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jc w:val="right"/>
              <w:rPr>
                <w:rFonts w:asciiTheme="minorEastAsia" w:eastAsiaTheme="minorEastAsia" w:hAnsiTheme="minorEastAsia"/>
                <w:color w:val="000000"/>
                <w:szCs w:val="21"/>
              </w:rPr>
            </w:pPr>
            <w:r>
              <w:rPr>
                <w:rFonts w:asciiTheme="minorEastAsia" w:eastAsiaTheme="minorEastAsia" w:hAnsiTheme="minorEastAsia"/>
                <w:color w:val="000000"/>
                <w:szCs w:val="21"/>
              </w:rPr>
              <w:t>891,174.58</w:t>
            </w:r>
          </w:p>
        </w:tc>
      </w:tr>
    </w:tbl>
    <w:p w:rsidR="003663E4" w:rsidRDefault="00FD3F7D">
      <w:pPr>
        <w:tabs>
          <w:tab w:val="left" w:pos="426"/>
        </w:tabs>
        <w:spacing w:line="360" w:lineRule="auto"/>
        <w:ind w:firstLineChars="200" w:firstLine="42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注：本基金实行销售服务费分类收费方式，分设</w:t>
      </w:r>
      <w:r>
        <w:rPr>
          <w:rFonts w:asciiTheme="minorEastAsia" w:eastAsiaTheme="minorEastAsia" w:hAnsiTheme="minorEastAsia"/>
          <w:color w:val="000000"/>
          <w:kern w:val="0"/>
          <w:szCs w:val="21"/>
        </w:rPr>
        <w:t>A</w:t>
      </w:r>
      <w:r>
        <w:rPr>
          <w:rFonts w:asciiTheme="minorEastAsia" w:eastAsiaTheme="minorEastAsia" w:hAnsiTheme="minorEastAsia"/>
          <w:color w:val="000000"/>
          <w:kern w:val="0"/>
          <w:szCs w:val="21"/>
        </w:rPr>
        <w:t>、</w:t>
      </w:r>
      <w:r>
        <w:rPr>
          <w:rFonts w:asciiTheme="minorEastAsia" w:eastAsiaTheme="minorEastAsia" w:hAnsiTheme="minorEastAsia"/>
          <w:color w:val="000000"/>
          <w:kern w:val="0"/>
          <w:szCs w:val="21"/>
        </w:rPr>
        <w:t>B</w:t>
      </w:r>
      <w:r>
        <w:rPr>
          <w:rFonts w:asciiTheme="minorEastAsia" w:eastAsiaTheme="minorEastAsia" w:hAnsiTheme="minorEastAsia"/>
          <w:color w:val="000000"/>
          <w:kern w:val="0"/>
          <w:szCs w:val="21"/>
        </w:rPr>
        <w:t>两类基金份额：</w:t>
      </w:r>
      <w:r>
        <w:rPr>
          <w:rFonts w:asciiTheme="minorEastAsia" w:eastAsiaTheme="minorEastAsia" w:hAnsiTheme="minorEastAsia"/>
          <w:color w:val="000000"/>
          <w:kern w:val="0"/>
          <w:szCs w:val="21"/>
        </w:rPr>
        <w:t>A</w:t>
      </w:r>
      <w:r>
        <w:rPr>
          <w:rFonts w:asciiTheme="minorEastAsia" w:eastAsiaTheme="minorEastAsia" w:hAnsiTheme="minorEastAsia"/>
          <w:color w:val="000000"/>
          <w:kern w:val="0"/>
          <w:szCs w:val="21"/>
        </w:rPr>
        <w:t>类基金按前一日基金资产净值</w:t>
      </w:r>
      <w:r>
        <w:rPr>
          <w:rFonts w:asciiTheme="minorEastAsia" w:eastAsiaTheme="minorEastAsia" w:hAnsiTheme="minorEastAsia"/>
          <w:color w:val="000000"/>
          <w:kern w:val="0"/>
          <w:szCs w:val="21"/>
        </w:rPr>
        <w:t>0.30%</w:t>
      </w:r>
      <w:r>
        <w:rPr>
          <w:rFonts w:asciiTheme="minorEastAsia" w:eastAsiaTheme="minorEastAsia" w:hAnsiTheme="minorEastAsia"/>
          <w:color w:val="000000"/>
          <w:kern w:val="0"/>
          <w:szCs w:val="21"/>
        </w:rPr>
        <w:t>的年费率逐日计提销售服务费，</w:t>
      </w:r>
      <w:r>
        <w:rPr>
          <w:rFonts w:asciiTheme="minorEastAsia" w:eastAsiaTheme="minorEastAsia" w:hAnsiTheme="minorEastAsia"/>
          <w:color w:val="000000"/>
          <w:kern w:val="0"/>
          <w:szCs w:val="21"/>
        </w:rPr>
        <w:t>B</w:t>
      </w:r>
      <w:r>
        <w:rPr>
          <w:rFonts w:asciiTheme="minorEastAsia" w:eastAsiaTheme="minorEastAsia" w:hAnsiTheme="minorEastAsia"/>
          <w:color w:val="000000"/>
          <w:kern w:val="0"/>
          <w:szCs w:val="21"/>
        </w:rPr>
        <w:t>类基金按前一日基金资产净值</w:t>
      </w:r>
      <w:r>
        <w:rPr>
          <w:rFonts w:asciiTheme="minorEastAsia" w:eastAsiaTheme="minorEastAsia" w:hAnsiTheme="minorEastAsia"/>
          <w:color w:val="000000"/>
          <w:kern w:val="0"/>
          <w:szCs w:val="21"/>
        </w:rPr>
        <w:t>0.01%</w:t>
      </w:r>
      <w:r>
        <w:rPr>
          <w:rFonts w:asciiTheme="minorEastAsia" w:eastAsiaTheme="minorEastAsia" w:hAnsiTheme="minorEastAsia"/>
          <w:color w:val="000000"/>
          <w:kern w:val="0"/>
          <w:szCs w:val="21"/>
        </w:rPr>
        <w:t>的年费率逐日计提，逐日累计至每月月底，按月支付给基金管理人，再由基金管理人计算并支付给各基金销售机构。其计算公式为：</w:t>
      </w:r>
    </w:p>
    <w:p w:rsidR="003663E4" w:rsidRDefault="00FD3F7D">
      <w:pPr>
        <w:tabs>
          <w:tab w:val="left" w:pos="426"/>
        </w:tabs>
        <w:spacing w:line="360" w:lineRule="auto"/>
        <w:ind w:firstLineChars="200" w:firstLine="42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A</w:t>
      </w:r>
      <w:r>
        <w:rPr>
          <w:rFonts w:asciiTheme="minorEastAsia" w:eastAsiaTheme="minorEastAsia" w:hAnsiTheme="minorEastAsia"/>
          <w:color w:val="000000"/>
          <w:kern w:val="0"/>
          <w:szCs w:val="21"/>
        </w:rPr>
        <w:t>类基金日销售服务费＝前一日</w:t>
      </w:r>
      <w:r>
        <w:rPr>
          <w:rFonts w:asciiTheme="minorEastAsia" w:eastAsiaTheme="minorEastAsia" w:hAnsiTheme="minorEastAsia"/>
          <w:color w:val="000000"/>
          <w:kern w:val="0"/>
          <w:szCs w:val="21"/>
        </w:rPr>
        <w:t>A</w:t>
      </w:r>
      <w:r>
        <w:rPr>
          <w:rFonts w:asciiTheme="minorEastAsia" w:eastAsiaTheme="minorEastAsia" w:hAnsiTheme="minorEastAsia"/>
          <w:color w:val="000000"/>
          <w:kern w:val="0"/>
          <w:szCs w:val="21"/>
        </w:rPr>
        <w:t>类基金份额对应的资产净值</w:t>
      </w:r>
      <w:r>
        <w:rPr>
          <w:rFonts w:asciiTheme="minorEastAsia" w:eastAsiaTheme="minorEastAsia" w:hAnsiTheme="minorEastAsia"/>
          <w:color w:val="000000"/>
          <w:kern w:val="0"/>
          <w:szCs w:val="21"/>
        </w:rPr>
        <w:t>×0.30%÷</w:t>
      </w:r>
      <w:r>
        <w:rPr>
          <w:rFonts w:asciiTheme="minorEastAsia" w:eastAsiaTheme="minorEastAsia" w:hAnsiTheme="minorEastAsia"/>
          <w:color w:val="000000"/>
          <w:kern w:val="0"/>
          <w:szCs w:val="21"/>
        </w:rPr>
        <w:t>当年天数；</w:t>
      </w:r>
    </w:p>
    <w:p w:rsidR="003663E4" w:rsidRDefault="00FD3F7D">
      <w:pPr>
        <w:tabs>
          <w:tab w:val="left" w:pos="426"/>
        </w:tabs>
        <w:spacing w:line="360" w:lineRule="auto"/>
        <w:ind w:firstLineChars="200" w:firstLine="420"/>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B</w:t>
      </w:r>
      <w:r>
        <w:rPr>
          <w:rFonts w:asciiTheme="minorEastAsia" w:eastAsiaTheme="minorEastAsia" w:hAnsiTheme="minorEastAsia"/>
          <w:color w:val="000000"/>
          <w:kern w:val="0"/>
          <w:szCs w:val="21"/>
        </w:rPr>
        <w:t>类基金日销售服务费＝前一日</w:t>
      </w:r>
      <w:r>
        <w:rPr>
          <w:rFonts w:asciiTheme="minorEastAsia" w:eastAsiaTheme="minorEastAsia" w:hAnsiTheme="minorEastAsia"/>
          <w:color w:val="000000"/>
          <w:kern w:val="0"/>
          <w:szCs w:val="21"/>
        </w:rPr>
        <w:t>B</w:t>
      </w:r>
      <w:r>
        <w:rPr>
          <w:rFonts w:asciiTheme="minorEastAsia" w:eastAsiaTheme="minorEastAsia" w:hAnsiTheme="minorEastAsia"/>
          <w:color w:val="000000"/>
          <w:kern w:val="0"/>
          <w:szCs w:val="21"/>
        </w:rPr>
        <w:t>类基金份额对应的资产净值</w:t>
      </w:r>
      <w:r>
        <w:rPr>
          <w:rFonts w:asciiTheme="minorEastAsia" w:eastAsiaTheme="minorEastAsia" w:hAnsiTheme="minorEastAsia"/>
          <w:color w:val="000000"/>
          <w:kern w:val="0"/>
          <w:szCs w:val="21"/>
        </w:rPr>
        <w:t>×0.01%÷</w:t>
      </w:r>
      <w:r>
        <w:rPr>
          <w:rFonts w:asciiTheme="minorEastAsia" w:eastAsiaTheme="minorEastAsia" w:hAnsiTheme="minorEastAsia"/>
          <w:color w:val="000000"/>
          <w:kern w:val="0"/>
          <w:szCs w:val="21"/>
        </w:rPr>
        <w:t>当年天数。</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7.2.4.10.3</w:t>
      </w:r>
      <w:r>
        <w:rPr>
          <w:rFonts w:hint="eastAsia"/>
          <w:b/>
          <w:bCs/>
          <w:color w:val="000000"/>
          <w:kern w:val="0"/>
          <w:szCs w:val="21"/>
        </w:rPr>
        <w:t xml:space="preserve"> </w:t>
      </w:r>
      <w:r>
        <w:rPr>
          <w:b/>
          <w:bCs/>
          <w:color w:val="000000"/>
          <w:kern w:val="0"/>
          <w:szCs w:val="21"/>
        </w:rPr>
        <w:t>与关联方进行银行间同业市场的债券</w:t>
      </w:r>
      <w:r>
        <w:rPr>
          <w:b/>
          <w:bCs/>
          <w:color w:val="000000"/>
          <w:kern w:val="0"/>
          <w:szCs w:val="21"/>
        </w:rPr>
        <w:t>(</w:t>
      </w:r>
      <w:r>
        <w:rPr>
          <w:b/>
          <w:bCs/>
          <w:color w:val="000000"/>
          <w:kern w:val="0"/>
          <w:szCs w:val="21"/>
        </w:rPr>
        <w:t>含回购</w:t>
      </w:r>
      <w:r>
        <w:rPr>
          <w:b/>
          <w:bCs/>
          <w:color w:val="000000"/>
          <w:kern w:val="0"/>
          <w:szCs w:val="21"/>
        </w:rPr>
        <w:t>)</w:t>
      </w:r>
      <w:r>
        <w:rPr>
          <w:b/>
          <w:bCs/>
          <w:color w:val="000000"/>
          <w:kern w:val="0"/>
          <w:szCs w:val="21"/>
        </w:rPr>
        <w:t>交易</w:t>
      </w:r>
    </w:p>
    <w:p w:rsidR="003663E4" w:rsidRDefault="00FD3F7D">
      <w:pPr>
        <w:spacing w:line="360" w:lineRule="auto"/>
        <w:ind w:firstLineChars="200" w:firstLine="420"/>
        <w:rPr>
          <w:color w:val="000000"/>
          <w:szCs w:val="21"/>
        </w:rPr>
      </w:pPr>
      <w:r>
        <w:rPr>
          <w:color w:val="000000"/>
          <w:szCs w:val="21"/>
        </w:rPr>
        <w:t>本基金本报告期内及上年度可比期间未发生与关联方进行银行间同业市场的债券</w:t>
      </w:r>
      <w:r>
        <w:rPr>
          <w:color w:val="000000"/>
          <w:szCs w:val="21"/>
        </w:rPr>
        <w:t>(</w:t>
      </w:r>
      <w:r>
        <w:rPr>
          <w:color w:val="000000"/>
          <w:szCs w:val="21"/>
        </w:rPr>
        <w:t>含回购</w:t>
      </w:r>
      <w:r>
        <w:rPr>
          <w:color w:val="000000"/>
          <w:szCs w:val="21"/>
        </w:rPr>
        <w:t>)</w:t>
      </w:r>
      <w:r>
        <w:rPr>
          <w:color w:val="000000"/>
          <w:szCs w:val="21"/>
        </w:rPr>
        <w:t>交易。</w:t>
      </w:r>
    </w:p>
    <w:p w:rsidR="003663E4" w:rsidRDefault="00FD3F7D">
      <w:pPr>
        <w:autoSpaceDE w:val="0"/>
        <w:autoSpaceDN w:val="0"/>
        <w:adjustRightInd w:val="0"/>
        <w:spacing w:beforeLines="50" w:before="156" w:line="360" w:lineRule="auto"/>
        <w:jc w:val="left"/>
        <w:rPr>
          <w:b/>
          <w:bCs/>
          <w:color w:val="000000" w:themeColor="text1"/>
          <w:kern w:val="0"/>
          <w:szCs w:val="21"/>
        </w:rPr>
      </w:pPr>
      <w:r>
        <w:rPr>
          <w:b/>
          <w:bCs/>
          <w:color w:val="000000"/>
          <w:kern w:val="0"/>
          <w:szCs w:val="21"/>
        </w:rPr>
        <w:t xml:space="preserve">7.2.4.10.4 </w:t>
      </w:r>
      <w:r>
        <w:rPr>
          <w:b/>
          <w:bCs/>
          <w:color w:val="000000"/>
          <w:kern w:val="0"/>
          <w:szCs w:val="21"/>
        </w:rPr>
        <w:t>各关联方投资本基金的情况</w:t>
      </w:r>
    </w:p>
    <w:p w:rsidR="003663E4" w:rsidRDefault="00FD3F7D">
      <w:pPr>
        <w:adjustRightInd w:val="0"/>
        <w:snapToGrid w:val="0"/>
        <w:spacing w:line="360" w:lineRule="auto"/>
        <w:rPr>
          <w:b/>
          <w:bCs/>
          <w:color w:val="000000" w:themeColor="text1"/>
          <w:szCs w:val="21"/>
        </w:rPr>
      </w:pPr>
      <w:r>
        <w:rPr>
          <w:b/>
          <w:bCs/>
          <w:color w:val="000000" w:themeColor="text1"/>
          <w:kern w:val="0"/>
          <w:szCs w:val="21"/>
        </w:rPr>
        <w:t>7.2.4.10.4.1</w:t>
      </w:r>
      <w:r>
        <w:rPr>
          <w:rFonts w:hint="eastAsia"/>
          <w:b/>
          <w:bCs/>
          <w:color w:val="000000" w:themeColor="text1"/>
          <w:kern w:val="0"/>
          <w:szCs w:val="21"/>
        </w:rPr>
        <w:t xml:space="preserve"> </w:t>
      </w:r>
      <w:r>
        <w:rPr>
          <w:b/>
          <w:bCs/>
          <w:color w:val="000000" w:themeColor="text1"/>
          <w:szCs w:val="21"/>
        </w:rPr>
        <w:t>报告期内基金管理人运用固有资金投资本基金的情况</w:t>
      </w:r>
    </w:p>
    <w:p w:rsidR="003663E4" w:rsidRDefault="00FD3F7D">
      <w:pPr>
        <w:tabs>
          <w:tab w:val="left" w:pos="426"/>
        </w:tabs>
        <w:spacing w:line="360" w:lineRule="auto"/>
        <w:ind w:firstLineChars="200" w:firstLine="420"/>
        <w:jc w:val="left"/>
        <w:rPr>
          <w:rFonts w:eastAsia="Times New Roman"/>
        </w:rPr>
      </w:pPr>
      <w:r>
        <w:rPr>
          <w:color w:val="000000"/>
          <w:kern w:val="0"/>
        </w:rPr>
        <w:t>本报告期内及上年度可比期间未发生基金管理人运用固有资金投资本基金的情况。</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7.2.4.10.4.2 </w:t>
      </w:r>
      <w:r>
        <w:rPr>
          <w:b/>
          <w:bCs/>
          <w:color w:val="000000"/>
          <w:kern w:val="0"/>
          <w:szCs w:val="21"/>
        </w:rPr>
        <w:t>报告期末除基金管理人之外的其他关联方投资本基金的情况</w:t>
      </w:r>
    </w:p>
    <w:p w:rsidR="003663E4" w:rsidRDefault="00FD3F7D">
      <w:pPr>
        <w:widowControl/>
        <w:spacing w:line="360" w:lineRule="auto"/>
        <w:rPr>
          <w:color w:val="000000"/>
          <w:szCs w:val="21"/>
        </w:rPr>
      </w:pPr>
      <w:r>
        <w:rPr>
          <w:color w:val="000000"/>
          <w:szCs w:val="21"/>
        </w:rPr>
        <w:t>交银理财</w:t>
      </w:r>
      <w:r>
        <w:rPr>
          <w:color w:val="000000"/>
          <w:szCs w:val="21"/>
        </w:rPr>
        <w:t>60</w:t>
      </w:r>
      <w:r>
        <w:rPr>
          <w:color w:val="000000"/>
          <w:szCs w:val="21"/>
        </w:rPr>
        <w:t>天债券</w:t>
      </w:r>
      <w:r>
        <w:rPr>
          <w:color w:val="000000"/>
          <w:szCs w:val="21"/>
        </w:rPr>
        <w:t>A</w:t>
      </w:r>
    </w:p>
    <w:p w:rsidR="003663E4" w:rsidRDefault="00FD3F7D">
      <w:pPr>
        <w:tabs>
          <w:tab w:val="left" w:pos="426"/>
        </w:tabs>
        <w:spacing w:line="360" w:lineRule="auto"/>
        <w:ind w:firstLineChars="200" w:firstLine="420"/>
        <w:jc w:val="left"/>
        <w:rPr>
          <w:color w:val="000000"/>
          <w:kern w:val="0"/>
          <w:szCs w:val="21"/>
        </w:rPr>
      </w:pPr>
      <w:r>
        <w:rPr>
          <w:color w:val="000000"/>
          <w:kern w:val="0"/>
          <w:szCs w:val="21"/>
        </w:rPr>
        <w:t>本报告期末及上年度末除基金管理人之外的其他关联方未持有本基金</w:t>
      </w:r>
      <w:r>
        <w:rPr>
          <w:color w:val="000000"/>
          <w:kern w:val="0"/>
          <w:szCs w:val="21"/>
        </w:rPr>
        <w:t>A</w:t>
      </w:r>
      <w:r>
        <w:rPr>
          <w:color w:val="000000"/>
          <w:kern w:val="0"/>
          <w:szCs w:val="21"/>
        </w:rPr>
        <w:t>类基金份额。</w:t>
      </w:r>
    </w:p>
    <w:p w:rsidR="003663E4" w:rsidRDefault="00FD3F7D">
      <w:pPr>
        <w:widowControl/>
        <w:spacing w:beforeLines="100" w:before="312" w:line="360" w:lineRule="auto"/>
        <w:rPr>
          <w:color w:val="000000"/>
          <w:szCs w:val="21"/>
        </w:rPr>
      </w:pPr>
      <w:r>
        <w:rPr>
          <w:color w:val="000000"/>
          <w:szCs w:val="21"/>
        </w:rPr>
        <w:t>交银理财</w:t>
      </w:r>
      <w:r>
        <w:rPr>
          <w:color w:val="000000"/>
          <w:szCs w:val="21"/>
        </w:rPr>
        <w:t>60</w:t>
      </w:r>
      <w:r>
        <w:rPr>
          <w:color w:val="000000"/>
          <w:szCs w:val="21"/>
        </w:rPr>
        <w:t>天债券</w:t>
      </w:r>
      <w:r>
        <w:rPr>
          <w:color w:val="000000"/>
          <w:szCs w:val="21"/>
        </w:rPr>
        <w:t>B</w:t>
      </w:r>
    </w:p>
    <w:p w:rsidR="003663E4" w:rsidRDefault="00FD3F7D">
      <w:pPr>
        <w:adjustRightInd w:val="0"/>
        <w:snapToGrid w:val="0"/>
        <w:spacing w:line="288" w:lineRule="auto"/>
        <w:jc w:val="right"/>
        <w:rPr>
          <w:color w:val="000000"/>
          <w:szCs w:val="21"/>
        </w:rPr>
      </w:pPr>
      <w:r>
        <w:rPr>
          <w:color w:val="000000"/>
          <w:szCs w:val="21"/>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980"/>
        <w:gridCol w:w="1440"/>
        <w:gridCol w:w="2160"/>
        <w:gridCol w:w="1620"/>
      </w:tblGrid>
      <w:tr w:rsidR="003663E4">
        <w:tc>
          <w:tcPr>
            <w:tcW w:w="1800" w:type="dxa"/>
            <w:vMerge w:val="restart"/>
            <w:vAlign w:val="center"/>
          </w:tcPr>
          <w:p w:rsidR="003663E4" w:rsidRDefault="00FD3F7D">
            <w:pPr>
              <w:spacing w:line="360" w:lineRule="auto"/>
              <w:jc w:val="center"/>
              <w:rPr>
                <w:color w:val="000000"/>
                <w:szCs w:val="21"/>
              </w:rPr>
            </w:pPr>
            <w:r>
              <w:rPr>
                <w:color w:val="000000"/>
                <w:szCs w:val="21"/>
              </w:rPr>
              <w:t>关联方名称</w:t>
            </w:r>
          </w:p>
        </w:tc>
        <w:tc>
          <w:tcPr>
            <w:tcW w:w="3420" w:type="dxa"/>
            <w:gridSpan w:val="2"/>
            <w:vAlign w:val="center"/>
          </w:tcPr>
          <w:p w:rsidR="003663E4" w:rsidRDefault="00FD3F7D">
            <w:pPr>
              <w:spacing w:line="360" w:lineRule="auto"/>
              <w:jc w:val="center"/>
              <w:rPr>
                <w:color w:val="000000"/>
                <w:szCs w:val="21"/>
              </w:rPr>
            </w:pPr>
            <w:r>
              <w:rPr>
                <w:color w:val="000000"/>
                <w:szCs w:val="21"/>
              </w:rPr>
              <w:t>交银理财</w:t>
            </w:r>
            <w:r>
              <w:rPr>
                <w:color w:val="000000"/>
                <w:szCs w:val="21"/>
              </w:rPr>
              <w:t>60</w:t>
            </w:r>
            <w:r>
              <w:rPr>
                <w:color w:val="000000"/>
                <w:szCs w:val="21"/>
              </w:rPr>
              <w:t>天债券</w:t>
            </w:r>
            <w:r>
              <w:rPr>
                <w:color w:val="000000"/>
                <w:szCs w:val="21"/>
              </w:rPr>
              <w:t>B</w:t>
            </w:r>
          </w:p>
          <w:p w:rsidR="003663E4" w:rsidRDefault="00FD3F7D">
            <w:pPr>
              <w:spacing w:line="360" w:lineRule="auto"/>
              <w:jc w:val="center"/>
              <w:rPr>
                <w:color w:val="000000"/>
                <w:szCs w:val="21"/>
              </w:rPr>
            </w:pPr>
            <w:r>
              <w:rPr>
                <w:color w:val="000000"/>
                <w:szCs w:val="21"/>
              </w:rPr>
              <w:t>本期末</w:t>
            </w:r>
            <w:r>
              <w:rPr>
                <w:szCs w:val="21"/>
              </w:rPr>
              <w:t>2020</w:t>
            </w:r>
            <w:r>
              <w:rPr>
                <w:szCs w:val="21"/>
              </w:rPr>
              <w:t>年</w:t>
            </w:r>
            <w:r>
              <w:rPr>
                <w:szCs w:val="21"/>
              </w:rPr>
              <w:t>7</w:t>
            </w:r>
            <w:r>
              <w:rPr>
                <w:szCs w:val="21"/>
              </w:rPr>
              <w:t>月</w:t>
            </w:r>
            <w:r>
              <w:rPr>
                <w:szCs w:val="21"/>
              </w:rPr>
              <w:t>27</w:t>
            </w:r>
            <w:r>
              <w:rPr>
                <w:szCs w:val="21"/>
              </w:rPr>
              <w:t>日</w:t>
            </w:r>
          </w:p>
        </w:tc>
        <w:tc>
          <w:tcPr>
            <w:tcW w:w="3780" w:type="dxa"/>
            <w:gridSpan w:val="2"/>
            <w:vAlign w:val="center"/>
          </w:tcPr>
          <w:p w:rsidR="003663E4" w:rsidRDefault="00FD3F7D">
            <w:pPr>
              <w:spacing w:line="360" w:lineRule="auto"/>
              <w:jc w:val="center"/>
              <w:rPr>
                <w:color w:val="000000"/>
                <w:szCs w:val="21"/>
              </w:rPr>
            </w:pPr>
            <w:r>
              <w:rPr>
                <w:color w:val="000000"/>
                <w:szCs w:val="21"/>
              </w:rPr>
              <w:t>交银理财</w:t>
            </w:r>
            <w:r>
              <w:rPr>
                <w:color w:val="000000"/>
                <w:szCs w:val="21"/>
              </w:rPr>
              <w:t>60</w:t>
            </w:r>
            <w:r>
              <w:rPr>
                <w:color w:val="000000"/>
                <w:szCs w:val="21"/>
              </w:rPr>
              <w:t>天债券</w:t>
            </w:r>
            <w:r>
              <w:rPr>
                <w:color w:val="000000"/>
                <w:szCs w:val="21"/>
              </w:rPr>
              <w:t>B</w:t>
            </w:r>
          </w:p>
          <w:p w:rsidR="003663E4" w:rsidRDefault="00FD3F7D">
            <w:pPr>
              <w:spacing w:line="360" w:lineRule="auto"/>
              <w:jc w:val="center"/>
              <w:rPr>
                <w:color w:val="000000"/>
                <w:szCs w:val="21"/>
              </w:rPr>
            </w:pPr>
            <w:r>
              <w:rPr>
                <w:color w:val="000000"/>
                <w:szCs w:val="21"/>
              </w:rPr>
              <w:t>上年度末</w:t>
            </w:r>
            <w:r>
              <w:rPr>
                <w:szCs w:val="21"/>
              </w:rPr>
              <w:t>2019</w:t>
            </w:r>
            <w:r>
              <w:rPr>
                <w:szCs w:val="21"/>
              </w:rPr>
              <w:t>年</w:t>
            </w:r>
            <w:r>
              <w:rPr>
                <w:szCs w:val="21"/>
              </w:rPr>
              <w:t>12</w:t>
            </w:r>
            <w:r>
              <w:rPr>
                <w:szCs w:val="21"/>
              </w:rPr>
              <w:t>月</w:t>
            </w:r>
            <w:r>
              <w:rPr>
                <w:szCs w:val="21"/>
              </w:rPr>
              <w:t>31</w:t>
            </w:r>
            <w:r>
              <w:rPr>
                <w:szCs w:val="21"/>
              </w:rPr>
              <w:t>日</w:t>
            </w:r>
          </w:p>
        </w:tc>
      </w:tr>
      <w:tr w:rsidR="003663E4">
        <w:tc>
          <w:tcPr>
            <w:tcW w:w="1800" w:type="dxa"/>
            <w:vMerge/>
            <w:vAlign w:val="center"/>
          </w:tcPr>
          <w:p w:rsidR="003663E4" w:rsidRDefault="003663E4">
            <w:pPr>
              <w:widowControl/>
              <w:spacing w:line="360" w:lineRule="auto"/>
              <w:jc w:val="left"/>
              <w:rPr>
                <w:color w:val="000000"/>
                <w:szCs w:val="21"/>
              </w:rPr>
            </w:pPr>
          </w:p>
        </w:tc>
        <w:tc>
          <w:tcPr>
            <w:tcW w:w="1980" w:type="dxa"/>
            <w:vAlign w:val="center"/>
          </w:tcPr>
          <w:p w:rsidR="003663E4" w:rsidRDefault="00FD3F7D">
            <w:pPr>
              <w:spacing w:line="360" w:lineRule="auto"/>
              <w:jc w:val="center"/>
              <w:rPr>
                <w:color w:val="000000"/>
                <w:szCs w:val="21"/>
              </w:rPr>
            </w:pPr>
            <w:r>
              <w:rPr>
                <w:color w:val="000000"/>
                <w:szCs w:val="21"/>
              </w:rPr>
              <w:t>持有的基金份额</w:t>
            </w:r>
          </w:p>
        </w:tc>
        <w:tc>
          <w:tcPr>
            <w:tcW w:w="1440" w:type="dxa"/>
            <w:vAlign w:val="center"/>
          </w:tcPr>
          <w:p w:rsidR="003663E4" w:rsidRDefault="00FD3F7D">
            <w:pPr>
              <w:spacing w:line="360" w:lineRule="auto"/>
              <w:jc w:val="center"/>
              <w:rPr>
                <w:color w:val="000000"/>
                <w:szCs w:val="21"/>
              </w:rPr>
            </w:pPr>
            <w:r>
              <w:rPr>
                <w:color w:val="000000"/>
                <w:szCs w:val="21"/>
              </w:rPr>
              <w:t>持有的基金份额占基金总份额的比例</w:t>
            </w:r>
          </w:p>
        </w:tc>
        <w:tc>
          <w:tcPr>
            <w:tcW w:w="2160" w:type="dxa"/>
            <w:vAlign w:val="center"/>
          </w:tcPr>
          <w:p w:rsidR="003663E4" w:rsidRDefault="00FD3F7D">
            <w:pPr>
              <w:spacing w:line="360" w:lineRule="auto"/>
              <w:jc w:val="center"/>
              <w:rPr>
                <w:color w:val="000000"/>
                <w:szCs w:val="21"/>
              </w:rPr>
            </w:pPr>
            <w:r>
              <w:rPr>
                <w:color w:val="000000"/>
                <w:szCs w:val="21"/>
              </w:rPr>
              <w:t>持有的基金份额</w:t>
            </w:r>
          </w:p>
        </w:tc>
        <w:tc>
          <w:tcPr>
            <w:tcW w:w="1620" w:type="dxa"/>
            <w:vAlign w:val="center"/>
          </w:tcPr>
          <w:p w:rsidR="003663E4" w:rsidRDefault="00FD3F7D">
            <w:pPr>
              <w:spacing w:line="360" w:lineRule="auto"/>
              <w:jc w:val="center"/>
              <w:rPr>
                <w:color w:val="000000"/>
                <w:szCs w:val="21"/>
              </w:rPr>
            </w:pPr>
            <w:r>
              <w:rPr>
                <w:color w:val="000000"/>
                <w:szCs w:val="21"/>
              </w:rPr>
              <w:t>持有的基金份额占基金总份额的比例</w:t>
            </w:r>
          </w:p>
        </w:tc>
      </w:tr>
      <w:tr w:rsidR="003663E4">
        <w:tc>
          <w:tcPr>
            <w:tcW w:w="1800" w:type="dxa"/>
            <w:vAlign w:val="center"/>
          </w:tcPr>
          <w:p w:rsidR="003663E4" w:rsidRDefault="00FD3F7D">
            <w:pPr>
              <w:jc w:val="left"/>
            </w:pPr>
            <w:r>
              <w:rPr>
                <w:color w:val="000000"/>
                <w:szCs w:val="21"/>
              </w:rPr>
              <w:t>上海直源投资管理有限公司</w:t>
            </w:r>
          </w:p>
        </w:tc>
        <w:tc>
          <w:tcPr>
            <w:tcW w:w="1980" w:type="dxa"/>
            <w:vAlign w:val="center"/>
          </w:tcPr>
          <w:p w:rsidR="003663E4" w:rsidRDefault="00FD3F7D">
            <w:pPr>
              <w:jc w:val="right"/>
            </w:pPr>
            <w:r>
              <w:rPr>
                <w:color w:val="000000"/>
                <w:szCs w:val="21"/>
              </w:rPr>
              <w:t>7,676,657.16</w:t>
            </w:r>
          </w:p>
        </w:tc>
        <w:tc>
          <w:tcPr>
            <w:tcW w:w="1440" w:type="dxa"/>
            <w:vAlign w:val="center"/>
          </w:tcPr>
          <w:p w:rsidR="003663E4" w:rsidRDefault="00FD3F7D">
            <w:pPr>
              <w:jc w:val="right"/>
            </w:pPr>
            <w:r>
              <w:rPr>
                <w:color w:val="000000"/>
                <w:szCs w:val="21"/>
              </w:rPr>
              <w:t>1.00%</w:t>
            </w:r>
          </w:p>
        </w:tc>
        <w:tc>
          <w:tcPr>
            <w:tcW w:w="2160" w:type="dxa"/>
            <w:vAlign w:val="center"/>
          </w:tcPr>
          <w:p w:rsidR="003663E4" w:rsidRDefault="00FD3F7D">
            <w:pPr>
              <w:jc w:val="right"/>
            </w:pPr>
            <w:r>
              <w:rPr>
                <w:color w:val="000000"/>
                <w:szCs w:val="21"/>
              </w:rPr>
              <w:t>7,563,937.24</w:t>
            </w:r>
          </w:p>
        </w:tc>
        <w:tc>
          <w:tcPr>
            <w:tcW w:w="1620" w:type="dxa"/>
            <w:vAlign w:val="center"/>
          </w:tcPr>
          <w:p w:rsidR="003663E4" w:rsidRDefault="00FD3F7D">
            <w:pPr>
              <w:jc w:val="right"/>
            </w:pPr>
            <w:r>
              <w:rPr>
                <w:color w:val="000000"/>
                <w:szCs w:val="21"/>
              </w:rPr>
              <w:t>0.11%</w:t>
            </w:r>
          </w:p>
        </w:tc>
      </w:tr>
    </w:tbl>
    <w:p w:rsidR="003663E4" w:rsidRDefault="00FD3F7D">
      <w:pPr>
        <w:tabs>
          <w:tab w:val="left" w:pos="426"/>
        </w:tabs>
        <w:spacing w:line="360" w:lineRule="auto"/>
        <w:ind w:firstLineChars="200" w:firstLine="420"/>
        <w:jc w:val="left"/>
        <w:rPr>
          <w:color w:val="000000" w:themeColor="text1"/>
          <w:kern w:val="0"/>
          <w:szCs w:val="21"/>
        </w:rPr>
      </w:pPr>
      <w:r>
        <w:rPr>
          <w:color w:val="000000"/>
          <w:kern w:val="0"/>
          <w:szCs w:val="21"/>
        </w:rPr>
        <w:t>注：关联方投资本基金的费率按照基金合同和招募说明书规定的确定，符合公允性要求。</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7.2.4.10.5 </w:t>
      </w:r>
      <w:r>
        <w:rPr>
          <w:b/>
          <w:bCs/>
          <w:color w:val="000000"/>
          <w:kern w:val="0"/>
          <w:szCs w:val="21"/>
        </w:rPr>
        <w:t>由关联方保管的银行存款余额及当期产生的利息收入</w:t>
      </w:r>
    </w:p>
    <w:p w:rsidR="003663E4" w:rsidRDefault="00FD3F7D">
      <w:pPr>
        <w:autoSpaceDE w:val="0"/>
        <w:autoSpaceDN w:val="0"/>
        <w:adjustRightInd w:val="0"/>
        <w:spacing w:before="29" w:line="360" w:lineRule="auto"/>
        <w:ind w:left="15" w:right="210"/>
        <w:jc w:val="right"/>
        <w:rPr>
          <w:color w:val="000000"/>
          <w:kern w:val="0"/>
          <w:szCs w:val="21"/>
        </w:rPr>
      </w:pPr>
      <w:r>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683"/>
        <w:gridCol w:w="1683"/>
        <w:gridCol w:w="1683"/>
        <w:gridCol w:w="1683"/>
      </w:tblGrid>
      <w:tr w:rsidR="003663E4">
        <w:tc>
          <w:tcPr>
            <w:tcW w:w="2268" w:type="dxa"/>
            <w:vMerge w:val="restart"/>
            <w:vAlign w:val="center"/>
          </w:tcPr>
          <w:p w:rsidR="003663E4" w:rsidRDefault="00FD3F7D">
            <w:pPr>
              <w:spacing w:line="276" w:lineRule="auto"/>
              <w:jc w:val="center"/>
              <w:rPr>
                <w:color w:val="000000"/>
                <w:szCs w:val="21"/>
              </w:rPr>
            </w:pPr>
            <w:r>
              <w:rPr>
                <w:color w:val="000000"/>
                <w:szCs w:val="21"/>
              </w:rPr>
              <w:t>关联方名称</w:t>
            </w:r>
          </w:p>
        </w:tc>
        <w:tc>
          <w:tcPr>
            <w:tcW w:w="3366" w:type="dxa"/>
            <w:gridSpan w:val="2"/>
          </w:tcPr>
          <w:p w:rsidR="003663E4" w:rsidRDefault="00FD3F7D">
            <w:pPr>
              <w:spacing w:line="276" w:lineRule="auto"/>
              <w:jc w:val="center"/>
              <w:rPr>
                <w:color w:val="000000"/>
                <w:szCs w:val="21"/>
              </w:rPr>
            </w:pPr>
            <w:r>
              <w:rPr>
                <w:color w:val="000000"/>
                <w:szCs w:val="21"/>
              </w:rPr>
              <w:t>本期</w:t>
            </w:r>
          </w:p>
          <w:p w:rsidR="003663E4" w:rsidRDefault="00FD3F7D">
            <w:pPr>
              <w:widowControl/>
              <w:autoSpaceDE w:val="0"/>
              <w:autoSpaceDN w:val="0"/>
              <w:spacing w:line="276" w:lineRule="auto"/>
              <w:ind w:right="-15"/>
              <w:jc w:val="center"/>
              <w:textAlignment w:val="bottom"/>
              <w:rPr>
                <w:color w:val="000000"/>
                <w:szCs w:val="21"/>
              </w:rPr>
            </w:pPr>
            <w:r>
              <w:rPr>
                <w:color w:val="000000"/>
                <w:szCs w:val="21"/>
              </w:rPr>
              <w:t>2020</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p>
        </w:tc>
        <w:tc>
          <w:tcPr>
            <w:tcW w:w="3366" w:type="dxa"/>
            <w:gridSpan w:val="2"/>
          </w:tcPr>
          <w:p w:rsidR="003663E4" w:rsidRDefault="00FD3F7D">
            <w:pPr>
              <w:spacing w:line="276" w:lineRule="auto"/>
              <w:jc w:val="center"/>
              <w:rPr>
                <w:color w:val="000000"/>
                <w:szCs w:val="21"/>
              </w:rPr>
            </w:pPr>
            <w:r>
              <w:rPr>
                <w:color w:val="000000"/>
                <w:szCs w:val="21"/>
              </w:rPr>
              <w:t>上年度可比期间</w:t>
            </w:r>
          </w:p>
          <w:p w:rsidR="003663E4" w:rsidRDefault="00FD3F7D">
            <w:pPr>
              <w:widowControl/>
              <w:autoSpaceDE w:val="0"/>
              <w:autoSpaceDN w:val="0"/>
              <w:spacing w:line="276" w:lineRule="auto"/>
              <w:ind w:right="-15"/>
              <w:jc w:val="center"/>
              <w:textAlignment w:val="bottom"/>
              <w:rPr>
                <w:color w:val="000000"/>
                <w:kern w:val="0"/>
                <w:szCs w:val="21"/>
              </w:rPr>
            </w:pPr>
            <w:r>
              <w:rPr>
                <w:color w:val="000000"/>
                <w:szCs w:val="21"/>
              </w:rPr>
              <w:t>2019</w:t>
            </w:r>
            <w:r>
              <w:rPr>
                <w:color w:val="000000"/>
                <w:szCs w:val="21"/>
              </w:rPr>
              <w:t>年</w:t>
            </w:r>
            <w:r>
              <w:rPr>
                <w:color w:val="000000"/>
                <w:szCs w:val="21"/>
              </w:rPr>
              <w:t>1</w:t>
            </w:r>
            <w:r>
              <w:rPr>
                <w:color w:val="000000"/>
                <w:szCs w:val="21"/>
              </w:rPr>
              <w:t>月</w:t>
            </w:r>
            <w:r>
              <w:rPr>
                <w:color w:val="000000"/>
                <w:szCs w:val="21"/>
              </w:rPr>
              <w:t>1</w:t>
            </w:r>
            <w:r>
              <w:rPr>
                <w:color w:val="000000"/>
                <w:szCs w:val="21"/>
              </w:rPr>
              <w:t>日至</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663E4">
        <w:tc>
          <w:tcPr>
            <w:tcW w:w="2268" w:type="dxa"/>
            <w:vMerge/>
            <w:vAlign w:val="center"/>
          </w:tcPr>
          <w:p w:rsidR="003663E4" w:rsidRDefault="003663E4">
            <w:pPr>
              <w:widowControl/>
              <w:spacing w:line="276" w:lineRule="auto"/>
              <w:jc w:val="left"/>
              <w:rPr>
                <w:color w:val="000000"/>
                <w:szCs w:val="21"/>
              </w:rPr>
            </w:pPr>
          </w:p>
        </w:tc>
        <w:tc>
          <w:tcPr>
            <w:tcW w:w="1683" w:type="dxa"/>
            <w:vAlign w:val="center"/>
          </w:tcPr>
          <w:p w:rsidR="003663E4" w:rsidRDefault="00FD3F7D">
            <w:pPr>
              <w:spacing w:line="276" w:lineRule="auto"/>
              <w:jc w:val="center"/>
              <w:rPr>
                <w:color w:val="000000"/>
                <w:szCs w:val="21"/>
              </w:rPr>
            </w:pPr>
            <w:r>
              <w:rPr>
                <w:color w:val="000000"/>
                <w:szCs w:val="21"/>
              </w:rPr>
              <w:t>期末余额</w:t>
            </w:r>
          </w:p>
        </w:tc>
        <w:tc>
          <w:tcPr>
            <w:tcW w:w="1683" w:type="dxa"/>
            <w:vAlign w:val="center"/>
          </w:tcPr>
          <w:p w:rsidR="003663E4" w:rsidRDefault="00FD3F7D">
            <w:pPr>
              <w:spacing w:line="276" w:lineRule="auto"/>
              <w:jc w:val="center"/>
              <w:rPr>
                <w:color w:val="000000"/>
                <w:szCs w:val="21"/>
              </w:rPr>
            </w:pPr>
            <w:r>
              <w:rPr>
                <w:color w:val="000000"/>
                <w:szCs w:val="21"/>
              </w:rPr>
              <w:t>当期利息收入</w:t>
            </w:r>
          </w:p>
        </w:tc>
        <w:tc>
          <w:tcPr>
            <w:tcW w:w="1683" w:type="dxa"/>
            <w:vAlign w:val="center"/>
          </w:tcPr>
          <w:p w:rsidR="003663E4" w:rsidRDefault="00FD3F7D">
            <w:pPr>
              <w:spacing w:line="276" w:lineRule="auto"/>
              <w:jc w:val="center"/>
              <w:rPr>
                <w:color w:val="000000"/>
                <w:szCs w:val="21"/>
              </w:rPr>
            </w:pPr>
            <w:r>
              <w:rPr>
                <w:color w:val="000000"/>
                <w:szCs w:val="21"/>
              </w:rPr>
              <w:t>期末余额</w:t>
            </w:r>
          </w:p>
        </w:tc>
        <w:tc>
          <w:tcPr>
            <w:tcW w:w="1683" w:type="dxa"/>
            <w:vAlign w:val="center"/>
          </w:tcPr>
          <w:p w:rsidR="003663E4" w:rsidRDefault="00FD3F7D">
            <w:pPr>
              <w:spacing w:line="276" w:lineRule="auto"/>
              <w:jc w:val="center"/>
              <w:rPr>
                <w:color w:val="000000"/>
                <w:szCs w:val="21"/>
              </w:rPr>
            </w:pPr>
            <w:r>
              <w:rPr>
                <w:color w:val="000000"/>
                <w:szCs w:val="21"/>
              </w:rPr>
              <w:t>当期利息收入</w:t>
            </w:r>
          </w:p>
        </w:tc>
      </w:tr>
      <w:tr w:rsidR="003663E4">
        <w:tc>
          <w:tcPr>
            <w:tcW w:w="2268" w:type="dxa"/>
            <w:vAlign w:val="center"/>
          </w:tcPr>
          <w:p w:rsidR="003663E4" w:rsidRDefault="00FD3F7D">
            <w:pPr>
              <w:jc w:val="left"/>
            </w:pPr>
            <w:r>
              <w:rPr>
                <w:color w:val="000000"/>
                <w:szCs w:val="21"/>
              </w:rPr>
              <w:t>中国建设银行股份有限公司</w:t>
            </w:r>
          </w:p>
        </w:tc>
        <w:tc>
          <w:tcPr>
            <w:tcW w:w="1683" w:type="dxa"/>
            <w:vAlign w:val="center"/>
          </w:tcPr>
          <w:p w:rsidR="003663E4" w:rsidRDefault="00FD3F7D">
            <w:pPr>
              <w:jc w:val="right"/>
            </w:pPr>
            <w:r>
              <w:rPr>
                <w:color w:val="000000"/>
                <w:szCs w:val="21"/>
              </w:rPr>
              <w:t>2,715,773.95</w:t>
            </w:r>
          </w:p>
        </w:tc>
        <w:tc>
          <w:tcPr>
            <w:tcW w:w="1683" w:type="dxa"/>
            <w:vAlign w:val="center"/>
          </w:tcPr>
          <w:p w:rsidR="003663E4" w:rsidRDefault="00FD3F7D">
            <w:pPr>
              <w:jc w:val="right"/>
            </w:pPr>
            <w:r>
              <w:rPr>
                <w:color w:val="000000"/>
                <w:szCs w:val="21"/>
              </w:rPr>
              <w:t>51,831.07</w:t>
            </w:r>
          </w:p>
        </w:tc>
        <w:tc>
          <w:tcPr>
            <w:tcW w:w="1683" w:type="dxa"/>
            <w:vAlign w:val="center"/>
          </w:tcPr>
          <w:p w:rsidR="003663E4" w:rsidRDefault="00FD3F7D">
            <w:pPr>
              <w:jc w:val="right"/>
            </w:pPr>
            <w:r>
              <w:rPr>
                <w:color w:val="000000"/>
                <w:szCs w:val="21"/>
              </w:rPr>
              <w:t>1,376,445.57</w:t>
            </w:r>
          </w:p>
        </w:tc>
        <w:tc>
          <w:tcPr>
            <w:tcW w:w="1683" w:type="dxa"/>
            <w:vAlign w:val="center"/>
          </w:tcPr>
          <w:p w:rsidR="003663E4" w:rsidRDefault="00FD3F7D">
            <w:pPr>
              <w:jc w:val="right"/>
            </w:pPr>
            <w:r>
              <w:rPr>
                <w:color w:val="000000"/>
                <w:szCs w:val="21"/>
              </w:rPr>
              <w:t>26,215.54</w:t>
            </w:r>
          </w:p>
        </w:tc>
      </w:tr>
    </w:tbl>
    <w:p w:rsidR="003663E4" w:rsidRDefault="00FD3F7D">
      <w:pPr>
        <w:spacing w:line="360" w:lineRule="auto"/>
        <w:ind w:firstLineChars="200" w:firstLine="420"/>
        <w:rPr>
          <w:color w:val="000000"/>
          <w:szCs w:val="21"/>
        </w:rPr>
      </w:pPr>
      <w:r>
        <w:rPr>
          <w:color w:val="000000"/>
          <w:szCs w:val="21"/>
        </w:rPr>
        <w:t>注：本基金的银行存款由基金托管人保管，按银行同业利率计息。</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7.2.4.10.6 </w:t>
      </w:r>
      <w:r>
        <w:rPr>
          <w:b/>
          <w:bCs/>
          <w:color w:val="000000"/>
          <w:kern w:val="0"/>
          <w:szCs w:val="21"/>
        </w:rPr>
        <w:t>本基金在承销期内参与关联方承销证券的情况</w:t>
      </w:r>
    </w:p>
    <w:p w:rsidR="003663E4" w:rsidRDefault="00FD3F7D">
      <w:pPr>
        <w:spacing w:line="360" w:lineRule="auto"/>
        <w:ind w:firstLineChars="200" w:firstLine="420"/>
        <w:rPr>
          <w:color w:val="000000"/>
          <w:szCs w:val="21"/>
        </w:rPr>
      </w:pPr>
      <w:r>
        <w:rPr>
          <w:color w:val="000000"/>
          <w:szCs w:val="21"/>
        </w:rPr>
        <w:t>本基金本报告期内及上年度可比期间未在承销期内参与关联方承销的证券。</w:t>
      </w:r>
    </w:p>
    <w:p w:rsidR="003663E4" w:rsidRDefault="00FD3F7D">
      <w:pPr>
        <w:adjustRightInd w:val="0"/>
        <w:snapToGrid w:val="0"/>
        <w:spacing w:beforeLines="100" w:before="312" w:line="360" w:lineRule="auto"/>
        <w:rPr>
          <w:b/>
          <w:color w:val="000000"/>
          <w:szCs w:val="21"/>
        </w:rPr>
      </w:pPr>
      <w:r>
        <w:rPr>
          <w:b/>
          <w:bCs/>
          <w:color w:val="000000"/>
          <w:kern w:val="0"/>
          <w:szCs w:val="21"/>
        </w:rPr>
        <w:t>7.2.4.10</w:t>
      </w:r>
      <w:r>
        <w:rPr>
          <w:rFonts w:hint="eastAsia"/>
          <w:b/>
          <w:bCs/>
          <w:color w:val="000000"/>
          <w:kern w:val="0"/>
          <w:szCs w:val="21"/>
        </w:rPr>
        <w:t>.7</w:t>
      </w:r>
      <w:r>
        <w:rPr>
          <w:b/>
          <w:bCs/>
          <w:color w:val="000000"/>
          <w:kern w:val="0"/>
          <w:szCs w:val="21"/>
        </w:rPr>
        <w:t xml:space="preserve"> </w:t>
      </w:r>
      <w:r>
        <w:rPr>
          <w:b/>
          <w:color w:val="000000"/>
          <w:szCs w:val="21"/>
        </w:rPr>
        <w:t>其他关联交易事项的说明</w:t>
      </w:r>
    </w:p>
    <w:p w:rsidR="003663E4" w:rsidRDefault="00FD3F7D">
      <w:pPr>
        <w:widowControl/>
        <w:spacing w:line="360" w:lineRule="auto"/>
        <w:ind w:firstLineChars="200" w:firstLine="420"/>
        <w:rPr>
          <w:color w:val="000000"/>
          <w:kern w:val="0"/>
          <w:szCs w:val="21"/>
        </w:rPr>
      </w:pPr>
      <w:r>
        <w:rPr>
          <w:rFonts w:hint="eastAsia"/>
          <w:color w:val="000000"/>
          <w:kern w:val="0"/>
          <w:szCs w:val="21"/>
        </w:rPr>
        <w:t>本基金本报告期内及上年度可比期间无其他关联交易事项。</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7.2.4.11 </w:t>
      </w:r>
      <w:r>
        <w:rPr>
          <w:b/>
          <w:bCs/>
          <w:color w:val="000000"/>
          <w:kern w:val="0"/>
          <w:szCs w:val="21"/>
        </w:rPr>
        <w:t>利润分配情况</w:t>
      </w:r>
    </w:p>
    <w:p w:rsidR="003663E4" w:rsidRDefault="00FD3F7D">
      <w:pPr>
        <w:spacing w:line="360" w:lineRule="auto"/>
        <w:rPr>
          <w:rFonts w:eastAsiaTheme="minorEastAsia"/>
          <w:szCs w:val="21"/>
        </w:rPr>
      </w:pPr>
      <w:r>
        <w:rPr>
          <w:rFonts w:eastAsiaTheme="minorEastAsia"/>
          <w:szCs w:val="21"/>
        </w:rPr>
        <w:t>交银理财</w:t>
      </w:r>
      <w:r>
        <w:rPr>
          <w:rFonts w:eastAsiaTheme="minorEastAsia"/>
          <w:szCs w:val="21"/>
        </w:rPr>
        <w:t>60</w:t>
      </w:r>
      <w:r>
        <w:rPr>
          <w:rFonts w:eastAsiaTheme="minorEastAsia"/>
          <w:szCs w:val="21"/>
        </w:rPr>
        <w:t>天债券</w:t>
      </w:r>
      <w:r>
        <w:rPr>
          <w:rFonts w:eastAsiaTheme="minorEastAsia"/>
          <w:szCs w:val="21"/>
        </w:rPr>
        <w:t>A</w:t>
      </w:r>
    </w:p>
    <w:p w:rsidR="003663E4" w:rsidRDefault="00FD3F7D">
      <w:pPr>
        <w:autoSpaceDE w:val="0"/>
        <w:autoSpaceDN w:val="0"/>
        <w:adjustRightInd w:val="0"/>
        <w:spacing w:before="29" w:line="360" w:lineRule="auto"/>
        <w:ind w:left="15" w:right="210"/>
        <w:jc w:val="right"/>
        <w:rPr>
          <w:rFonts w:eastAsiaTheme="minorEastAsia"/>
          <w:kern w:val="0"/>
          <w:szCs w:val="21"/>
        </w:rPr>
      </w:pPr>
      <w:r>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2160"/>
        <w:gridCol w:w="2160"/>
        <w:gridCol w:w="1369"/>
        <w:gridCol w:w="1260"/>
      </w:tblGrid>
      <w:tr w:rsidR="003663E4">
        <w:trPr>
          <w:jc w:val="center"/>
        </w:trPr>
        <w:tc>
          <w:tcPr>
            <w:tcW w:w="2065" w:type="dxa"/>
            <w:vAlign w:val="center"/>
          </w:tcPr>
          <w:p w:rsidR="003663E4" w:rsidRDefault="00FD3F7D">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lang w:val="en-AU"/>
              </w:rPr>
              <w:t>已按再投资形式转实收基金</w:t>
            </w:r>
          </w:p>
        </w:tc>
        <w:tc>
          <w:tcPr>
            <w:tcW w:w="2160" w:type="dxa"/>
          </w:tcPr>
          <w:p w:rsidR="003663E4" w:rsidRDefault="00FD3F7D">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rPr>
              <w:t>直接通过应付</w:t>
            </w:r>
          </w:p>
          <w:p w:rsidR="003663E4" w:rsidRDefault="00FD3F7D">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rPr>
              <w:t>赎回款转出金额</w:t>
            </w:r>
          </w:p>
        </w:tc>
        <w:tc>
          <w:tcPr>
            <w:tcW w:w="2160" w:type="dxa"/>
            <w:vAlign w:val="center"/>
          </w:tcPr>
          <w:p w:rsidR="003663E4" w:rsidRDefault="00FD3F7D">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rPr>
              <w:t>应付利润</w:t>
            </w:r>
          </w:p>
          <w:p w:rsidR="003663E4" w:rsidRDefault="00FD3F7D">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rPr>
              <w:t>本年变动</w:t>
            </w:r>
          </w:p>
        </w:tc>
        <w:tc>
          <w:tcPr>
            <w:tcW w:w="1369" w:type="dxa"/>
            <w:vAlign w:val="center"/>
          </w:tcPr>
          <w:p w:rsidR="003663E4" w:rsidRDefault="00FD3F7D">
            <w:pPr>
              <w:spacing w:line="360" w:lineRule="auto"/>
              <w:jc w:val="center"/>
              <w:rPr>
                <w:rFonts w:eastAsiaTheme="minorEastAsia"/>
                <w:szCs w:val="21"/>
                <w:lang w:val="en-AU"/>
              </w:rPr>
            </w:pPr>
            <w:r>
              <w:rPr>
                <w:rFonts w:eastAsiaTheme="minorEastAsia"/>
                <w:szCs w:val="21"/>
                <w:lang w:val="en-AU"/>
              </w:rPr>
              <w:t>本期利润分配合计</w:t>
            </w:r>
          </w:p>
        </w:tc>
        <w:tc>
          <w:tcPr>
            <w:tcW w:w="1260" w:type="dxa"/>
            <w:vAlign w:val="center"/>
          </w:tcPr>
          <w:p w:rsidR="003663E4" w:rsidRDefault="00FD3F7D">
            <w:pPr>
              <w:spacing w:line="360" w:lineRule="auto"/>
              <w:jc w:val="center"/>
              <w:rPr>
                <w:rFonts w:eastAsiaTheme="minorEastAsia"/>
                <w:szCs w:val="21"/>
                <w:lang w:val="en-AU"/>
              </w:rPr>
            </w:pPr>
            <w:r>
              <w:rPr>
                <w:rFonts w:eastAsiaTheme="minorEastAsia"/>
                <w:szCs w:val="21"/>
                <w:lang w:val="en-AU"/>
              </w:rPr>
              <w:t>备注</w:t>
            </w:r>
          </w:p>
        </w:tc>
      </w:tr>
      <w:tr w:rsidR="003663E4">
        <w:trPr>
          <w:jc w:val="center"/>
        </w:trPr>
        <w:tc>
          <w:tcPr>
            <w:tcW w:w="2065" w:type="dxa"/>
          </w:tcPr>
          <w:p w:rsidR="003663E4" w:rsidRDefault="00FD3F7D">
            <w:pPr>
              <w:widowControl/>
              <w:tabs>
                <w:tab w:val="left" w:pos="1680"/>
              </w:tabs>
              <w:autoSpaceDE w:val="0"/>
              <w:autoSpaceDN w:val="0"/>
              <w:spacing w:line="360" w:lineRule="auto"/>
              <w:jc w:val="right"/>
              <w:textAlignment w:val="bottom"/>
              <w:rPr>
                <w:rFonts w:eastAsiaTheme="minorEastAsia"/>
                <w:szCs w:val="21"/>
                <w:lang w:val="en-AU"/>
              </w:rPr>
            </w:pPr>
            <w:r>
              <w:rPr>
                <w:rFonts w:eastAsiaTheme="minorEastAsia"/>
                <w:szCs w:val="21"/>
                <w:lang w:val="en-AU"/>
              </w:rPr>
              <w:t>64,673.86</w:t>
            </w:r>
          </w:p>
        </w:tc>
        <w:tc>
          <w:tcPr>
            <w:tcW w:w="2160" w:type="dxa"/>
          </w:tcPr>
          <w:p w:rsidR="003663E4" w:rsidRDefault="00FD3F7D">
            <w:pPr>
              <w:widowControl/>
              <w:tabs>
                <w:tab w:val="left" w:pos="1680"/>
              </w:tabs>
              <w:autoSpaceDE w:val="0"/>
              <w:autoSpaceDN w:val="0"/>
              <w:spacing w:line="360" w:lineRule="auto"/>
              <w:jc w:val="right"/>
              <w:textAlignment w:val="bottom"/>
              <w:rPr>
                <w:rFonts w:eastAsiaTheme="minorEastAsia"/>
                <w:szCs w:val="21"/>
                <w:lang w:val="en-AU"/>
              </w:rPr>
            </w:pPr>
            <w:r>
              <w:rPr>
                <w:rFonts w:eastAsiaTheme="minorEastAsia"/>
                <w:szCs w:val="21"/>
                <w:lang w:val="en-AU"/>
              </w:rPr>
              <w:t>7,281.76</w:t>
            </w:r>
          </w:p>
        </w:tc>
        <w:tc>
          <w:tcPr>
            <w:tcW w:w="2160" w:type="dxa"/>
          </w:tcPr>
          <w:p w:rsidR="003663E4" w:rsidRDefault="00FD3F7D">
            <w:pPr>
              <w:widowControl/>
              <w:tabs>
                <w:tab w:val="left" w:pos="1680"/>
              </w:tabs>
              <w:autoSpaceDE w:val="0"/>
              <w:autoSpaceDN w:val="0"/>
              <w:spacing w:line="360" w:lineRule="auto"/>
              <w:jc w:val="right"/>
              <w:textAlignment w:val="bottom"/>
              <w:rPr>
                <w:rFonts w:eastAsiaTheme="minorEastAsia"/>
                <w:szCs w:val="21"/>
                <w:lang w:val="en-AU"/>
              </w:rPr>
            </w:pPr>
            <w:r>
              <w:rPr>
                <w:rFonts w:eastAsiaTheme="minorEastAsia"/>
                <w:szCs w:val="21"/>
                <w:lang w:val="en-AU"/>
              </w:rPr>
              <w:t>-12,824.37</w:t>
            </w:r>
          </w:p>
        </w:tc>
        <w:tc>
          <w:tcPr>
            <w:tcW w:w="1369" w:type="dxa"/>
          </w:tcPr>
          <w:p w:rsidR="003663E4" w:rsidRDefault="00FD3F7D">
            <w:pPr>
              <w:widowControl/>
              <w:tabs>
                <w:tab w:val="left" w:pos="1680"/>
              </w:tabs>
              <w:autoSpaceDE w:val="0"/>
              <w:autoSpaceDN w:val="0"/>
              <w:spacing w:line="360" w:lineRule="auto"/>
              <w:jc w:val="right"/>
              <w:textAlignment w:val="bottom"/>
              <w:rPr>
                <w:rFonts w:eastAsiaTheme="minorEastAsia"/>
                <w:szCs w:val="21"/>
                <w:lang w:val="en-AU"/>
              </w:rPr>
            </w:pPr>
            <w:r>
              <w:rPr>
                <w:rFonts w:eastAsiaTheme="minorEastAsia"/>
                <w:szCs w:val="21"/>
                <w:lang w:val="en-AU"/>
              </w:rPr>
              <w:t>59,131.25</w:t>
            </w:r>
          </w:p>
        </w:tc>
        <w:tc>
          <w:tcPr>
            <w:tcW w:w="1260" w:type="dxa"/>
          </w:tcPr>
          <w:p w:rsidR="003663E4" w:rsidRDefault="00FD3F7D">
            <w:pPr>
              <w:widowControl/>
              <w:tabs>
                <w:tab w:val="left" w:pos="1680"/>
              </w:tabs>
              <w:autoSpaceDE w:val="0"/>
              <w:autoSpaceDN w:val="0"/>
              <w:spacing w:line="360" w:lineRule="auto"/>
              <w:jc w:val="left"/>
              <w:textAlignment w:val="bottom"/>
              <w:rPr>
                <w:rFonts w:eastAsiaTheme="minorEastAsia"/>
                <w:szCs w:val="21"/>
                <w:lang w:val="en-AU"/>
              </w:rPr>
            </w:pPr>
            <w:r>
              <w:rPr>
                <w:rFonts w:eastAsiaTheme="minorEastAsia"/>
                <w:szCs w:val="21"/>
                <w:lang w:val="en-AU"/>
              </w:rPr>
              <w:t>-</w:t>
            </w:r>
          </w:p>
        </w:tc>
      </w:tr>
    </w:tbl>
    <w:p w:rsidR="003663E4" w:rsidRDefault="00FD3F7D">
      <w:pPr>
        <w:spacing w:line="360" w:lineRule="auto"/>
        <w:rPr>
          <w:rFonts w:eastAsiaTheme="minorEastAsia"/>
          <w:szCs w:val="21"/>
        </w:rPr>
      </w:pPr>
      <w:r>
        <w:rPr>
          <w:rFonts w:eastAsiaTheme="minorEastAsia"/>
          <w:szCs w:val="21"/>
        </w:rPr>
        <w:t>交银理财</w:t>
      </w:r>
      <w:r>
        <w:rPr>
          <w:rFonts w:eastAsiaTheme="minorEastAsia"/>
          <w:szCs w:val="21"/>
        </w:rPr>
        <w:t>60</w:t>
      </w:r>
      <w:r>
        <w:rPr>
          <w:rFonts w:eastAsiaTheme="minorEastAsia"/>
          <w:szCs w:val="21"/>
        </w:rPr>
        <w:t>天债券</w:t>
      </w:r>
      <w:r>
        <w:rPr>
          <w:rFonts w:eastAsiaTheme="minorEastAsia"/>
          <w:szCs w:val="21"/>
        </w:rPr>
        <w:t>B</w:t>
      </w:r>
    </w:p>
    <w:p w:rsidR="003663E4" w:rsidRDefault="00FD3F7D">
      <w:pPr>
        <w:autoSpaceDE w:val="0"/>
        <w:autoSpaceDN w:val="0"/>
        <w:adjustRightInd w:val="0"/>
        <w:spacing w:before="29" w:line="360" w:lineRule="auto"/>
        <w:ind w:left="15" w:right="210"/>
        <w:jc w:val="right"/>
        <w:rPr>
          <w:rFonts w:eastAsiaTheme="minorEastAsia"/>
          <w:kern w:val="0"/>
          <w:szCs w:val="21"/>
        </w:rPr>
      </w:pPr>
      <w:r>
        <w:rPr>
          <w:rFonts w:eastAsiaTheme="minorEastAsia"/>
          <w:szCs w:val="21"/>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65"/>
        <w:gridCol w:w="2160"/>
        <w:gridCol w:w="2160"/>
        <w:gridCol w:w="1525"/>
        <w:gridCol w:w="1104"/>
      </w:tblGrid>
      <w:tr w:rsidR="003663E4">
        <w:trPr>
          <w:jc w:val="center"/>
        </w:trPr>
        <w:tc>
          <w:tcPr>
            <w:tcW w:w="2065" w:type="dxa"/>
            <w:vAlign w:val="center"/>
          </w:tcPr>
          <w:p w:rsidR="003663E4" w:rsidRDefault="00FD3F7D">
            <w:pPr>
              <w:widowControl/>
              <w:tabs>
                <w:tab w:val="left" w:pos="1680"/>
              </w:tabs>
              <w:autoSpaceDE w:val="0"/>
              <w:autoSpaceDN w:val="0"/>
              <w:spacing w:line="360" w:lineRule="auto"/>
              <w:jc w:val="center"/>
              <w:textAlignment w:val="bottom"/>
              <w:rPr>
                <w:rFonts w:eastAsiaTheme="minorEastAsia"/>
                <w:b/>
                <w:szCs w:val="21"/>
              </w:rPr>
            </w:pPr>
            <w:r>
              <w:rPr>
                <w:rFonts w:eastAsiaTheme="minorEastAsia"/>
                <w:szCs w:val="21"/>
                <w:lang w:val="en-AU"/>
              </w:rPr>
              <w:t>已按再投资形式转实收基金</w:t>
            </w:r>
          </w:p>
        </w:tc>
        <w:tc>
          <w:tcPr>
            <w:tcW w:w="2160" w:type="dxa"/>
          </w:tcPr>
          <w:p w:rsidR="003663E4" w:rsidRDefault="00FD3F7D">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rPr>
              <w:t>直接通过应付</w:t>
            </w:r>
          </w:p>
          <w:p w:rsidR="003663E4" w:rsidRDefault="00FD3F7D">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rPr>
              <w:t>赎回款转出金额</w:t>
            </w:r>
          </w:p>
        </w:tc>
        <w:tc>
          <w:tcPr>
            <w:tcW w:w="2160" w:type="dxa"/>
            <w:vAlign w:val="center"/>
          </w:tcPr>
          <w:p w:rsidR="003663E4" w:rsidRDefault="00FD3F7D">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rPr>
              <w:t>应付利润</w:t>
            </w:r>
          </w:p>
          <w:p w:rsidR="003663E4" w:rsidRDefault="00FD3F7D">
            <w:pPr>
              <w:widowControl/>
              <w:tabs>
                <w:tab w:val="left" w:pos="1680"/>
              </w:tabs>
              <w:autoSpaceDE w:val="0"/>
              <w:autoSpaceDN w:val="0"/>
              <w:spacing w:line="360" w:lineRule="auto"/>
              <w:jc w:val="center"/>
              <w:textAlignment w:val="bottom"/>
              <w:rPr>
                <w:rFonts w:eastAsiaTheme="minorEastAsia"/>
                <w:szCs w:val="21"/>
              </w:rPr>
            </w:pPr>
            <w:r>
              <w:rPr>
                <w:rFonts w:eastAsiaTheme="minorEastAsia"/>
                <w:szCs w:val="21"/>
              </w:rPr>
              <w:t>本年变动</w:t>
            </w:r>
          </w:p>
        </w:tc>
        <w:tc>
          <w:tcPr>
            <w:tcW w:w="1525" w:type="dxa"/>
            <w:vAlign w:val="center"/>
          </w:tcPr>
          <w:p w:rsidR="003663E4" w:rsidRDefault="00FD3F7D">
            <w:pPr>
              <w:spacing w:line="360" w:lineRule="auto"/>
              <w:jc w:val="center"/>
              <w:rPr>
                <w:rFonts w:eastAsiaTheme="minorEastAsia"/>
                <w:szCs w:val="21"/>
                <w:lang w:val="en-AU"/>
              </w:rPr>
            </w:pPr>
            <w:r>
              <w:rPr>
                <w:rFonts w:eastAsiaTheme="minorEastAsia"/>
                <w:szCs w:val="21"/>
                <w:lang w:val="en-AU"/>
              </w:rPr>
              <w:t>本期利润分配合计</w:t>
            </w:r>
          </w:p>
        </w:tc>
        <w:tc>
          <w:tcPr>
            <w:tcW w:w="1104" w:type="dxa"/>
            <w:vAlign w:val="center"/>
          </w:tcPr>
          <w:p w:rsidR="003663E4" w:rsidRDefault="00FD3F7D">
            <w:pPr>
              <w:spacing w:line="360" w:lineRule="auto"/>
              <w:jc w:val="center"/>
              <w:rPr>
                <w:rFonts w:eastAsiaTheme="minorEastAsia"/>
                <w:szCs w:val="21"/>
                <w:lang w:val="en-AU"/>
              </w:rPr>
            </w:pPr>
            <w:r>
              <w:rPr>
                <w:rFonts w:eastAsiaTheme="minorEastAsia"/>
                <w:szCs w:val="21"/>
                <w:lang w:val="en-AU"/>
              </w:rPr>
              <w:t>备注</w:t>
            </w:r>
          </w:p>
        </w:tc>
      </w:tr>
      <w:tr w:rsidR="003663E4">
        <w:trPr>
          <w:jc w:val="center"/>
        </w:trPr>
        <w:tc>
          <w:tcPr>
            <w:tcW w:w="2065" w:type="dxa"/>
          </w:tcPr>
          <w:p w:rsidR="003663E4" w:rsidRDefault="00FD3F7D">
            <w:pPr>
              <w:widowControl/>
              <w:tabs>
                <w:tab w:val="left" w:pos="1680"/>
              </w:tabs>
              <w:autoSpaceDE w:val="0"/>
              <w:autoSpaceDN w:val="0"/>
              <w:spacing w:line="360" w:lineRule="auto"/>
              <w:jc w:val="right"/>
              <w:textAlignment w:val="bottom"/>
              <w:rPr>
                <w:rFonts w:eastAsiaTheme="minorEastAsia"/>
                <w:szCs w:val="21"/>
                <w:lang w:val="en-AU"/>
              </w:rPr>
            </w:pPr>
            <w:r>
              <w:rPr>
                <w:rFonts w:eastAsiaTheme="minorEastAsia"/>
                <w:szCs w:val="21"/>
                <w:lang w:val="en-AU"/>
              </w:rPr>
              <w:t>113,653,963.51</w:t>
            </w:r>
          </w:p>
        </w:tc>
        <w:tc>
          <w:tcPr>
            <w:tcW w:w="2160" w:type="dxa"/>
          </w:tcPr>
          <w:p w:rsidR="003663E4" w:rsidRDefault="00FD3F7D">
            <w:pPr>
              <w:widowControl/>
              <w:tabs>
                <w:tab w:val="left" w:pos="1680"/>
              </w:tabs>
              <w:autoSpaceDE w:val="0"/>
              <w:autoSpaceDN w:val="0"/>
              <w:spacing w:line="360" w:lineRule="auto"/>
              <w:jc w:val="right"/>
              <w:textAlignment w:val="bottom"/>
              <w:rPr>
                <w:rFonts w:eastAsiaTheme="minorEastAsia"/>
                <w:szCs w:val="21"/>
                <w:lang w:val="en-AU"/>
              </w:rPr>
            </w:pPr>
            <w:r>
              <w:rPr>
                <w:rFonts w:eastAsiaTheme="minorEastAsia"/>
                <w:szCs w:val="21"/>
                <w:lang w:val="en-AU"/>
              </w:rPr>
              <w:t>2,343,939.50</w:t>
            </w:r>
          </w:p>
        </w:tc>
        <w:tc>
          <w:tcPr>
            <w:tcW w:w="2160" w:type="dxa"/>
          </w:tcPr>
          <w:p w:rsidR="003663E4" w:rsidRDefault="00FD3F7D">
            <w:pPr>
              <w:widowControl/>
              <w:tabs>
                <w:tab w:val="left" w:pos="1680"/>
              </w:tabs>
              <w:autoSpaceDE w:val="0"/>
              <w:autoSpaceDN w:val="0"/>
              <w:spacing w:line="360" w:lineRule="auto"/>
              <w:jc w:val="right"/>
              <w:textAlignment w:val="bottom"/>
              <w:rPr>
                <w:rFonts w:eastAsiaTheme="minorEastAsia"/>
                <w:szCs w:val="21"/>
                <w:lang w:val="en-AU"/>
              </w:rPr>
            </w:pPr>
            <w:r>
              <w:rPr>
                <w:rFonts w:eastAsiaTheme="minorEastAsia"/>
                <w:szCs w:val="21"/>
                <w:lang w:val="en-AU"/>
              </w:rPr>
              <w:t>-24,881,205.44</w:t>
            </w:r>
          </w:p>
        </w:tc>
        <w:tc>
          <w:tcPr>
            <w:tcW w:w="1525" w:type="dxa"/>
          </w:tcPr>
          <w:p w:rsidR="003663E4" w:rsidRDefault="00FD3F7D">
            <w:pPr>
              <w:widowControl/>
              <w:tabs>
                <w:tab w:val="left" w:pos="1680"/>
              </w:tabs>
              <w:autoSpaceDE w:val="0"/>
              <w:autoSpaceDN w:val="0"/>
              <w:spacing w:line="360" w:lineRule="auto"/>
              <w:jc w:val="right"/>
              <w:textAlignment w:val="bottom"/>
              <w:rPr>
                <w:rFonts w:eastAsiaTheme="minorEastAsia"/>
                <w:szCs w:val="21"/>
                <w:lang w:val="en-AU"/>
              </w:rPr>
            </w:pPr>
            <w:r>
              <w:rPr>
                <w:rFonts w:eastAsiaTheme="minorEastAsia"/>
                <w:szCs w:val="21"/>
                <w:lang w:val="en-AU"/>
              </w:rPr>
              <w:t>91,116,697.57</w:t>
            </w:r>
          </w:p>
        </w:tc>
        <w:tc>
          <w:tcPr>
            <w:tcW w:w="1104" w:type="dxa"/>
          </w:tcPr>
          <w:p w:rsidR="003663E4" w:rsidRDefault="00FD3F7D">
            <w:pPr>
              <w:widowControl/>
              <w:tabs>
                <w:tab w:val="left" w:pos="1680"/>
              </w:tabs>
              <w:autoSpaceDE w:val="0"/>
              <w:autoSpaceDN w:val="0"/>
              <w:spacing w:line="360" w:lineRule="auto"/>
              <w:jc w:val="left"/>
              <w:textAlignment w:val="bottom"/>
              <w:rPr>
                <w:rFonts w:eastAsiaTheme="minorEastAsia"/>
                <w:szCs w:val="21"/>
                <w:lang w:val="en-AU"/>
              </w:rPr>
            </w:pPr>
            <w:r>
              <w:rPr>
                <w:rFonts w:eastAsiaTheme="minorEastAsia"/>
                <w:szCs w:val="21"/>
                <w:lang w:val="en-AU"/>
              </w:rPr>
              <w:t>-</w:t>
            </w:r>
          </w:p>
        </w:tc>
      </w:tr>
    </w:tbl>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7.2.4.12 </w:t>
      </w:r>
      <w:r>
        <w:rPr>
          <w:b/>
          <w:bCs/>
          <w:color w:val="000000"/>
          <w:kern w:val="0"/>
          <w:szCs w:val="21"/>
        </w:rPr>
        <w:t>期末（</w:t>
      </w:r>
      <w:r>
        <w:rPr>
          <w:b/>
          <w:bCs/>
          <w:color w:val="000000"/>
          <w:kern w:val="0"/>
          <w:szCs w:val="21"/>
        </w:rPr>
        <w:t>2020</w:t>
      </w:r>
      <w:r>
        <w:rPr>
          <w:b/>
          <w:bCs/>
          <w:color w:val="000000"/>
          <w:kern w:val="0"/>
          <w:szCs w:val="21"/>
        </w:rPr>
        <w:t>年</w:t>
      </w:r>
      <w:r>
        <w:rPr>
          <w:b/>
          <w:bCs/>
          <w:color w:val="000000"/>
          <w:kern w:val="0"/>
          <w:szCs w:val="21"/>
        </w:rPr>
        <w:t>7</w:t>
      </w:r>
      <w:r>
        <w:rPr>
          <w:b/>
          <w:bCs/>
          <w:color w:val="000000"/>
          <w:kern w:val="0"/>
          <w:szCs w:val="21"/>
        </w:rPr>
        <w:t>月</w:t>
      </w:r>
      <w:r>
        <w:rPr>
          <w:b/>
          <w:bCs/>
          <w:color w:val="000000"/>
          <w:kern w:val="0"/>
          <w:szCs w:val="21"/>
        </w:rPr>
        <w:t>27</w:t>
      </w:r>
      <w:r>
        <w:rPr>
          <w:b/>
          <w:bCs/>
          <w:color w:val="000000"/>
          <w:kern w:val="0"/>
          <w:szCs w:val="21"/>
        </w:rPr>
        <w:t>日）本基金持有的流通受限证券</w:t>
      </w:r>
    </w:p>
    <w:p w:rsidR="003663E4" w:rsidRDefault="00FD3F7D">
      <w:pPr>
        <w:spacing w:line="360" w:lineRule="auto"/>
        <w:rPr>
          <w:b/>
          <w:bCs/>
          <w:color w:val="000000"/>
          <w:szCs w:val="21"/>
        </w:rPr>
      </w:pPr>
      <w:r>
        <w:rPr>
          <w:b/>
          <w:bCs/>
          <w:color w:val="000000"/>
          <w:kern w:val="0"/>
          <w:szCs w:val="21"/>
        </w:rPr>
        <w:t xml:space="preserve">7.2.4.12.1 </w:t>
      </w:r>
      <w:r>
        <w:rPr>
          <w:b/>
          <w:bCs/>
          <w:color w:val="000000"/>
          <w:szCs w:val="21"/>
        </w:rPr>
        <w:t>因认购新发</w:t>
      </w:r>
      <w:r>
        <w:rPr>
          <w:b/>
          <w:bCs/>
          <w:color w:val="000000"/>
          <w:szCs w:val="21"/>
        </w:rPr>
        <w:t>/</w:t>
      </w:r>
      <w:r>
        <w:rPr>
          <w:b/>
          <w:bCs/>
          <w:color w:val="000000"/>
          <w:szCs w:val="21"/>
        </w:rPr>
        <w:t>增发证券而于期末持有的流通受限证券</w:t>
      </w:r>
    </w:p>
    <w:p w:rsidR="003663E4" w:rsidRDefault="00FD3F7D">
      <w:pPr>
        <w:spacing w:line="360" w:lineRule="auto"/>
        <w:ind w:firstLineChars="200" w:firstLine="420"/>
        <w:rPr>
          <w:color w:val="000000"/>
          <w:szCs w:val="21"/>
        </w:rPr>
      </w:pPr>
      <w:r>
        <w:rPr>
          <w:color w:val="000000"/>
          <w:szCs w:val="21"/>
        </w:rPr>
        <w:t>本基金本报告期末未持有因认购新发</w:t>
      </w:r>
      <w:r>
        <w:rPr>
          <w:color w:val="000000"/>
          <w:szCs w:val="21"/>
        </w:rPr>
        <w:t>/</w:t>
      </w:r>
      <w:r>
        <w:rPr>
          <w:color w:val="000000"/>
          <w:szCs w:val="21"/>
        </w:rPr>
        <w:t>增发证券而流通受限的证券。</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7.2.4.12.2 </w:t>
      </w:r>
      <w:r>
        <w:rPr>
          <w:b/>
          <w:bCs/>
          <w:color w:val="000000"/>
          <w:kern w:val="0"/>
          <w:szCs w:val="21"/>
        </w:rPr>
        <w:t>期末持有的暂时停牌等流通受限股票</w:t>
      </w:r>
    </w:p>
    <w:p w:rsidR="003663E4" w:rsidRDefault="00FD3F7D">
      <w:pPr>
        <w:spacing w:line="360" w:lineRule="auto"/>
        <w:ind w:firstLineChars="200" w:firstLine="420"/>
        <w:rPr>
          <w:color w:val="000000"/>
          <w:szCs w:val="21"/>
        </w:rPr>
      </w:pPr>
      <w:r>
        <w:rPr>
          <w:color w:val="000000"/>
          <w:szCs w:val="21"/>
        </w:rPr>
        <w:t>本基金本报告期末未持有暂时停牌等流通受限股票。</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7.2.4.12.3 </w:t>
      </w:r>
      <w:r>
        <w:rPr>
          <w:b/>
          <w:bCs/>
          <w:color w:val="000000"/>
          <w:kern w:val="0"/>
          <w:szCs w:val="21"/>
        </w:rPr>
        <w:t>期末债券正回购交易中作为抵押的债券</w:t>
      </w:r>
    </w:p>
    <w:p w:rsidR="003663E4" w:rsidRDefault="00FD3F7D">
      <w:pPr>
        <w:spacing w:line="360" w:lineRule="auto"/>
        <w:ind w:firstLineChars="200" w:firstLine="420"/>
        <w:rPr>
          <w:color w:val="000000"/>
          <w:szCs w:val="21"/>
        </w:rPr>
      </w:pPr>
      <w:r>
        <w:rPr>
          <w:color w:val="000000"/>
          <w:szCs w:val="21"/>
        </w:rPr>
        <w:t>本基金本报告期末无从事债券正回购交易形成的卖出回购证券款余额。</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7.2.4.13 </w:t>
      </w:r>
      <w:r>
        <w:rPr>
          <w:b/>
          <w:bCs/>
          <w:color w:val="000000"/>
          <w:kern w:val="0"/>
          <w:szCs w:val="21"/>
        </w:rPr>
        <w:t>金融工具风险及管理</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7.2.4.13.1 </w:t>
      </w:r>
      <w:r>
        <w:rPr>
          <w:b/>
          <w:bCs/>
          <w:color w:val="000000"/>
          <w:kern w:val="0"/>
          <w:szCs w:val="21"/>
        </w:rPr>
        <w:t>风险管理政策和组织架构</w:t>
      </w:r>
    </w:p>
    <w:p w:rsidR="003663E4" w:rsidRDefault="00FD3F7D">
      <w:pPr>
        <w:spacing w:line="360" w:lineRule="auto"/>
        <w:ind w:firstLineChars="200" w:firstLine="420"/>
        <w:rPr>
          <w:color w:val="000000"/>
          <w:szCs w:val="21"/>
        </w:rPr>
      </w:pPr>
      <w:r>
        <w:rPr>
          <w:color w:val="000000"/>
          <w:szCs w:val="21"/>
        </w:rPr>
        <w:t>本基金为采用固定组合策略的短期理财债券型基金，属于证券投资基金中较低风险、预期收益较为稳定的品种，其预期的风险水平低于股票基金、混合基金和普通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3663E4" w:rsidRDefault="00FD3F7D">
      <w:pPr>
        <w:spacing w:line="360" w:lineRule="auto"/>
        <w:ind w:firstLineChars="200" w:firstLine="420"/>
        <w:rPr>
          <w:color w:val="000000"/>
          <w:szCs w:val="21"/>
        </w:rPr>
      </w:pPr>
      <w:r>
        <w:rPr>
          <w:color w:val="000000"/>
          <w:szCs w:val="21"/>
        </w:rPr>
        <w:t>本基金的基金管理人奉行全面风险管理体系的建设，在</w:t>
      </w:r>
      <w:r>
        <w:rPr>
          <w:color w:val="000000"/>
          <w:szCs w:val="21"/>
        </w:rPr>
        <w:t>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3663E4" w:rsidRDefault="00FD3F7D">
      <w:pPr>
        <w:spacing w:line="360" w:lineRule="auto"/>
        <w:ind w:firstLineChars="200" w:firstLine="420"/>
        <w:rPr>
          <w:color w:val="000000"/>
          <w:szCs w:val="21"/>
        </w:rPr>
      </w:pPr>
      <w:r>
        <w:rPr>
          <w:color w:val="000000"/>
          <w:szCs w:val="21"/>
        </w:rPr>
        <w:t>本基金的基金管理人建立了以合规审核及风险管</w:t>
      </w:r>
      <w:r>
        <w:rPr>
          <w:color w:val="000000"/>
          <w:szCs w:val="21"/>
        </w:rPr>
        <w:t>理委员会为核心的，由督察长、风险控制委员会、风险管理部和相关业务部门构成的风险管理架构体系。</w:t>
      </w:r>
    </w:p>
    <w:p w:rsidR="003663E4" w:rsidRDefault="00FD3F7D">
      <w:pPr>
        <w:spacing w:line="360" w:lineRule="auto"/>
        <w:ind w:firstLineChars="200" w:firstLine="420"/>
        <w:rPr>
          <w:color w:val="000000"/>
          <w:szCs w:val="21"/>
        </w:rPr>
      </w:pPr>
      <w:r>
        <w:rPr>
          <w:color w:val="00000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r>
        <w:rPr>
          <w:color w:val="000000"/>
          <w:szCs w:val="21"/>
        </w:rPr>
        <w:t>。</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7.2.4.13.2 </w:t>
      </w:r>
      <w:r>
        <w:rPr>
          <w:b/>
          <w:bCs/>
          <w:color w:val="000000"/>
          <w:kern w:val="0"/>
          <w:szCs w:val="21"/>
        </w:rPr>
        <w:t>信用风险</w:t>
      </w:r>
    </w:p>
    <w:p w:rsidR="003663E4" w:rsidRDefault="00FD3F7D">
      <w:pPr>
        <w:spacing w:line="360" w:lineRule="auto"/>
        <w:ind w:firstLineChars="200" w:firstLine="420"/>
        <w:rPr>
          <w:color w:val="000000"/>
          <w:szCs w:val="21"/>
        </w:rPr>
      </w:pPr>
      <w:r>
        <w:rPr>
          <w:color w:val="000000"/>
          <w:szCs w:val="21"/>
        </w:rPr>
        <w:t>信用风险是指基金在交易过程中因交易对手未履行合约责任，或者基金所投资证券之发行人出现违约、拒绝支付到期本息等情况，导致基金资产损失和收益变化的风险。</w:t>
      </w:r>
    </w:p>
    <w:p w:rsidR="003663E4" w:rsidRDefault="00FD3F7D">
      <w:pPr>
        <w:spacing w:line="360" w:lineRule="auto"/>
        <w:ind w:firstLineChars="200" w:firstLine="420"/>
        <w:rPr>
          <w:color w:val="000000"/>
          <w:szCs w:val="21"/>
        </w:rPr>
      </w:pPr>
      <w:r>
        <w:rPr>
          <w:color w:val="000000"/>
          <w:szCs w:val="21"/>
        </w:rPr>
        <w:t>本基金的基金管理人在交易前对交易对手的资信状况进行了充分的评估。本基金的银行存款存放在本基金的托管人中国建设银行，因而与该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因此违约风险可能性很小。</w:t>
      </w:r>
    </w:p>
    <w:p w:rsidR="003663E4" w:rsidRDefault="00FD3F7D">
      <w:pPr>
        <w:spacing w:line="360" w:lineRule="auto"/>
        <w:ind w:firstLineChars="200" w:firstLine="420"/>
        <w:rPr>
          <w:color w:val="000000"/>
          <w:szCs w:val="21"/>
        </w:rPr>
      </w:pPr>
      <w:r>
        <w:rPr>
          <w:color w:val="000000"/>
          <w:szCs w:val="21"/>
        </w:rPr>
        <w:t>本基金的基金管理人建立了信用风险管理流程，通过对投资品种信用等级评估来控制证券发行人的信用风险，且通过分散化投资以分散信用风险。</w:t>
      </w:r>
    </w:p>
    <w:p w:rsidR="003663E4" w:rsidRDefault="00FD3F7D">
      <w:pPr>
        <w:spacing w:line="360" w:lineRule="auto"/>
        <w:ind w:firstLineChars="200" w:firstLine="420"/>
        <w:rPr>
          <w:color w:val="000000"/>
          <w:szCs w:val="21"/>
        </w:rPr>
      </w:pPr>
      <w:r>
        <w:rPr>
          <w:color w:val="000000"/>
          <w:szCs w:val="21"/>
        </w:rPr>
        <w:t>本基金债券投资的信</w:t>
      </w:r>
      <w:r>
        <w:rPr>
          <w:color w:val="000000"/>
          <w:szCs w:val="21"/>
        </w:rPr>
        <w:t>用评级情况按《中国人民银行信用评级管理指导意见》设定的标准统计及汇总。</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7.2.4.13.2.1 </w:t>
      </w:r>
      <w:r>
        <w:rPr>
          <w:rFonts w:hint="eastAsia"/>
          <w:b/>
          <w:bCs/>
          <w:color w:val="000000"/>
          <w:kern w:val="0"/>
          <w:szCs w:val="21"/>
        </w:rPr>
        <w:t>按短期信用评级列示的债券投资</w:t>
      </w:r>
    </w:p>
    <w:p w:rsidR="003663E4" w:rsidRDefault="00FD3F7D">
      <w:pPr>
        <w:tabs>
          <w:tab w:val="left" w:pos="7200"/>
          <w:tab w:val="left" w:pos="8280"/>
        </w:tabs>
        <w:spacing w:line="360" w:lineRule="auto"/>
        <w:ind w:rightChars="268" w:right="563"/>
        <w:jc w:val="right"/>
        <w:rPr>
          <w:bCs/>
          <w:color w:val="000000"/>
          <w:szCs w:val="21"/>
        </w:rPr>
      </w:pPr>
      <w:r>
        <w:rPr>
          <w:rFonts w:hint="eastAsia"/>
          <w:color w:val="000000"/>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3663E4">
        <w:tc>
          <w:tcPr>
            <w:tcW w:w="2552" w:type="dxa"/>
            <w:vAlign w:val="center"/>
          </w:tcPr>
          <w:p w:rsidR="003663E4" w:rsidRDefault="00FD3F7D">
            <w:pPr>
              <w:spacing w:line="276" w:lineRule="auto"/>
              <w:jc w:val="center"/>
              <w:rPr>
                <w:color w:val="000000"/>
                <w:szCs w:val="21"/>
              </w:rPr>
            </w:pPr>
            <w:r>
              <w:rPr>
                <w:rFonts w:hint="eastAsia"/>
                <w:color w:val="000000"/>
                <w:szCs w:val="21"/>
              </w:rPr>
              <w:t>短期信用评级</w:t>
            </w:r>
          </w:p>
        </w:tc>
        <w:tc>
          <w:tcPr>
            <w:tcW w:w="2841" w:type="dxa"/>
          </w:tcPr>
          <w:p w:rsidR="003663E4" w:rsidRDefault="00FD3F7D">
            <w:pPr>
              <w:widowControl/>
              <w:autoSpaceDE w:val="0"/>
              <w:autoSpaceDN w:val="0"/>
              <w:spacing w:line="276" w:lineRule="auto"/>
              <w:ind w:right="-15"/>
              <w:jc w:val="center"/>
              <w:textAlignment w:val="bottom"/>
              <w:rPr>
                <w:color w:val="000000"/>
                <w:szCs w:val="21"/>
              </w:rPr>
            </w:pPr>
            <w:r>
              <w:rPr>
                <w:rFonts w:hint="eastAsia"/>
                <w:color w:val="000000"/>
                <w:szCs w:val="21"/>
              </w:rPr>
              <w:t>本期末</w:t>
            </w:r>
          </w:p>
          <w:p w:rsidR="003663E4" w:rsidRDefault="00FD3F7D">
            <w:pPr>
              <w:widowControl/>
              <w:autoSpaceDE w:val="0"/>
              <w:autoSpaceDN w:val="0"/>
              <w:spacing w:line="276" w:lineRule="auto"/>
              <w:ind w:right="-15"/>
              <w:jc w:val="center"/>
              <w:textAlignment w:val="bottom"/>
              <w:rPr>
                <w:color w:val="00000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p>
          <w:p w:rsidR="003663E4" w:rsidRDefault="00FD3F7D">
            <w:pPr>
              <w:widowControl/>
              <w:autoSpaceDE w:val="0"/>
              <w:autoSpaceDN w:val="0"/>
              <w:spacing w:line="276" w:lineRule="auto"/>
              <w:ind w:right="-15"/>
              <w:jc w:val="center"/>
              <w:textAlignment w:val="bottom"/>
              <w:rPr>
                <w:color w:val="000000"/>
                <w:szCs w:val="21"/>
              </w:rPr>
            </w:pPr>
            <w:r>
              <w:rPr>
                <w:color w:val="000000"/>
                <w:szCs w:val="21"/>
              </w:rPr>
              <w:t>（基金合同失效前日）</w:t>
            </w:r>
          </w:p>
        </w:tc>
        <w:tc>
          <w:tcPr>
            <w:tcW w:w="3247" w:type="dxa"/>
          </w:tcPr>
          <w:p w:rsidR="003663E4" w:rsidRDefault="00FD3F7D">
            <w:pPr>
              <w:widowControl/>
              <w:autoSpaceDE w:val="0"/>
              <w:autoSpaceDN w:val="0"/>
              <w:spacing w:line="276" w:lineRule="auto"/>
              <w:ind w:right="-15"/>
              <w:jc w:val="center"/>
              <w:textAlignment w:val="bottom"/>
              <w:rPr>
                <w:color w:val="000000"/>
                <w:szCs w:val="21"/>
              </w:rPr>
            </w:pPr>
            <w:r>
              <w:rPr>
                <w:rFonts w:hint="eastAsia"/>
                <w:color w:val="000000"/>
                <w:szCs w:val="21"/>
              </w:rPr>
              <w:t>上年度末</w:t>
            </w:r>
          </w:p>
          <w:p w:rsidR="003663E4" w:rsidRDefault="00FD3F7D">
            <w:pPr>
              <w:widowControl/>
              <w:autoSpaceDE w:val="0"/>
              <w:autoSpaceDN w:val="0"/>
              <w:spacing w:line="276" w:lineRule="auto"/>
              <w:ind w:right="-15"/>
              <w:jc w:val="center"/>
              <w:textAlignment w:val="bottom"/>
              <w:rPr>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663E4">
        <w:tc>
          <w:tcPr>
            <w:tcW w:w="2552" w:type="dxa"/>
          </w:tcPr>
          <w:p w:rsidR="003663E4" w:rsidRDefault="00FD3F7D">
            <w:pPr>
              <w:spacing w:line="276" w:lineRule="auto"/>
              <w:rPr>
                <w:color w:val="000000"/>
                <w:szCs w:val="21"/>
              </w:rPr>
            </w:pPr>
            <w:r>
              <w:rPr>
                <w:color w:val="000000"/>
                <w:szCs w:val="21"/>
              </w:rPr>
              <w:t>A-1</w:t>
            </w:r>
          </w:p>
        </w:tc>
        <w:tc>
          <w:tcPr>
            <w:tcW w:w="2841" w:type="dxa"/>
          </w:tcPr>
          <w:p w:rsidR="003663E4" w:rsidRDefault="00FD3F7D">
            <w:pPr>
              <w:spacing w:line="276" w:lineRule="auto"/>
              <w:jc w:val="right"/>
              <w:rPr>
                <w:color w:val="000000"/>
                <w:szCs w:val="21"/>
              </w:rPr>
            </w:pPr>
            <w:r>
              <w:rPr>
                <w:color w:val="000000"/>
                <w:szCs w:val="21"/>
              </w:rPr>
              <w:t>-</w:t>
            </w:r>
          </w:p>
        </w:tc>
        <w:tc>
          <w:tcPr>
            <w:tcW w:w="3247" w:type="dxa"/>
          </w:tcPr>
          <w:p w:rsidR="003663E4" w:rsidRDefault="00FD3F7D">
            <w:pPr>
              <w:spacing w:line="276" w:lineRule="auto"/>
              <w:jc w:val="right"/>
              <w:rPr>
                <w:color w:val="000000"/>
                <w:szCs w:val="21"/>
              </w:rPr>
            </w:pPr>
            <w:r>
              <w:rPr>
                <w:color w:val="000000"/>
                <w:szCs w:val="21"/>
              </w:rPr>
              <w:t>200,620,885.62</w:t>
            </w:r>
          </w:p>
        </w:tc>
      </w:tr>
      <w:tr w:rsidR="003663E4">
        <w:tc>
          <w:tcPr>
            <w:tcW w:w="2552" w:type="dxa"/>
          </w:tcPr>
          <w:p w:rsidR="003663E4" w:rsidRDefault="00FD3F7D">
            <w:pPr>
              <w:spacing w:line="276" w:lineRule="auto"/>
              <w:rPr>
                <w:color w:val="000000"/>
                <w:szCs w:val="21"/>
              </w:rPr>
            </w:pPr>
            <w:r>
              <w:rPr>
                <w:color w:val="000000"/>
                <w:szCs w:val="21"/>
              </w:rPr>
              <w:t>A-1</w:t>
            </w:r>
            <w:r>
              <w:rPr>
                <w:rFonts w:hint="eastAsia"/>
                <w:color w:val="000000"/>
                <w:szCs w:val="21"/>
              </w:rPr>
              <w:t>以下</w:t>
            </w:r>
          </w:p>
        </w:tc>
        <w:tc>
          <w:tcPr>
            <w:tcW w:w="2841" w:type="dxa"/>
          </w:tcPr>
          <w:p w:rsidR="003663E4" w:rsidRDefault="00FD3F7D">
            <w:pPr>
              <w:spacing w:line="276" w:lineRule="auto"/>
              <w:jc w:val="right"/>
              <w:rPr>
                <w:color w:val="000000"/>
                <w:szCs w:val="21"/>
              </w:rPr>
            </w:pPr>
            <w:r>
              <w:rPr>
                <w:color w:val="000000"/>
                <w:szCs w:val="21"/>
              </w:rPr>
              <w:t>-</w:t>
            </w:r>
          </w:p>
        </w:tc>
        <w:tc>
          <w:tcPr>
            <w:tcW w:w="3247" w:type="dxa"/>
          </w:tcPr>
          <w:p w:rsidR="003663E4" w:rsidRDefault="00FD3F7D">
            <w:pPr>
              <w:spacing w:line="276" w:lineRule="auto"/>
              <w:jc w:val="right"/>
              <w:rPr>
                <w:color w:val="000000"/>
                <w:szCs w:val="21"/>
              </w:rPr>
            </w:pPr>
            <w:r>
              <w:rPr>
                <w:color w:val="000000"/>
                <w:szCs w:val="21"/>
              </w:rPr>
              <w:t>-</w:t>
            </w:r>
          </w:p>
        </w:tc>
      </w:tr>
      <w:tr w:rsidR="003663E4">
        <w:tc>
          <w:tcPr>
            <w:tcW w:w="2552" w:type="dxa"/>
            <w:vAlign w:val="center"/>
          </w:tcPr>
          <w:p w:rsidR="003663E4" w:rsidRDefault="00FD3F7D">
            <w:pPr>
              <w:spacing w:line="276" w:lineRule="auto"/>
              <w:rPr>
                <w:color w:val="000000"/>
                <w:szCs w:val="21"/>
              </w:rPr>
            </w:pPr>
            <w:r>
              <w:rPr>
                <w:rFonts w:hint="eastAsia"/>
                <w:color w:val="000000"/>
                <w:kern w:val="0"/>
                <w:szCs w:val="21"/>
              </w:rPr>
              <w:t>未评级</w:t>
            </w:r>
          </w:p>
        </w:tc>
        <w:tc>
          <w:tcPr>
            <w:tcW w:w="2841" w:type="dxa"/>
            <w:vAlign w:val="center"/>
          </w:tcPr>
          <w:p w:rsidR="003663E4" w:rsidRDefault="00FD3F7D">
            <w:pPr>
              <w:spacing w:line="276" w:lineRule="auto"/>
              <w:jc w:val="right"/>
              <w:rPr>
                <w:color w:val="000000"/>
                <w:szCs w:val="21"/>
              </w:rPr>
            </w:pPr>
            <w:r>
              <w:rPr>
                <w:color w:val="000000"/>
                <w:szCs w:val="21"/>
              </w:rPr>
              <w:t>377,980,839.40</w:t>
            </w:r>
          </w:p>
        </w:tc>
        <w:tc>
          <w:tcPr>
            <w:tcW w:w="3247" w:type="dxa"/>
            <w:vAlign w:val="center"/>
          </w:tcPr>
          <w:p w:rsidR="003663E4" w:rsidRDefault="00FD3F7D">
            <w:pPr>
              <w:spacing w:line="276" w:lineRule="auto"/>
              <w:jc w:val="right"/>
              <w:rPr>
                <w:color w:val="000000"/>
                <w:szCs w:val="21"/>
              </w:rPr>
            </w:pPr>
            <w:r>
              <w:rPr>
                <w:color w:val="000000"/>
                <w:szCs w:val="21"/>
              </w:rPr>
              <w:t>1,788,083,389.37</w:t>
            </w:r>
          </w:p>
        </w:tc>
      </w:tr>
      <w:tr w:rsidR="003663E4">
        <w:tc>
          <w:tcPr>
            <w:tcW w:w="2552" w:type="dxa"/>
            <w:vAlign w:val="center"/>
          </w:tcPr>
          <w:p w:rsidR="003663E4" w:rsidRDefault="00FD3F7D">
            <w:pPr>
              <w:spacing w:line="276" w:lineRule="auto"/>
              <w:rPr>
                <w:color w:val="000000"/>
                <w:szCs w:val="21"/>
              </w:rPr>
            </w:pPr>
            <w:r>
              <w:rPr>
                <w:rFonts w:hint="eastAsia"/>
                <w:color w:val="000000"/>
                <w:kern w:val="0"/>
                <w:szCs w:val="21"/>
              </w:rPr>
              <w:t>合计</w:t>
            </w:r>
          </w:p>
        </w:tc>
        <w:tc>
          <w:tcPr>
            <w:tcW w:w="2841" w:type="dxa"/>
            <w:vAlign w:val="center"/>
          </w:tcPr>
          <w:p w:rsidR="003663E4" w:rsidRDefault="00FD3F7D">
            <w:pPr>
              <w:spacing w:line="276" w:lineRule="auto"/>
              <w:jc w:val="right"/>
              <w:rPr>
                <w:color w:val="000000"/>
                <w:szCs w:val="21"/>
              </w:rPr>
            </w:pPr>
            <w:r>
              <w:rPr>
                <w:color w:val="000000"/>
                <w:szCs w:val="21"/>
              </w:rPr>
              <w:t>377,980,839.40</w:t>
            </w:r>
          </w:p>
        </w:tc>
        <w:tc>
          <w:tcPr>
            <w:tcW w:w="3247" w:type="dxa"/>
            <w:vAlign w:val="center"/>
          </w:tcPr>
          <w:p w:rsidR="003663E4" w:rsidRDefault="00FD3F7D">
            <w:pPr>
              <w:spacing w:line="276" w:lineRule="auto"/>
              <w:jc w:val="right"/>
              <w:rPr>
                <w:color w:val="000000"/>
                <w:szCs w:val="21"/>
              </w:rPr>
            </w:pPr>
            <w:r>
              <w:rPr>
                <w:color w:val="000000"/>
                <w:szCs w:val="21"/>
              </w:rPr>
              <w:t>1,988,704,274.99</w:t>
            </w:r>
          </w:p>
        </w:tc>
      </w:tr>
    </w:tbl>
    <w:p w:rsidR="003663E4" w:rsidRDefault="00FD3F7D">
      <w:pPr>
        <w:tabs>
          <w:tab w:val="left" w:pos="426"/>
        </w:tabs>
        <w:spacing w:line="360" w:lineRule="auto"/>
        <w:ind w:firstLineChars="200" w:firstLine="420"/>
        <w:jc w:val="left"/>
        <w:rPr>
          <w:color w:val="000000"/>
          <w:szCs w:val="21"/>
        </w:rPr>
      </w:pPr>
      <w:r>
        <w:rPr>
          <w:color w:val="000000"/>
          <w:szCs w:val="21"/>
        </w:rPr>
        <w:t>注：未评级部分为国债和政策性金融债。</w:t>
      </w:r>
    </w:p>
    <w:p w:rsidR="003663E4" w:rsidRDefault="00FD3F7D">
      <w:pPr>
        <w:spacing w:line="360" w:lineRule="auto"/>
        <w:rPr>
          <w:rFonts w:eastAsiaTheme="minorEastAsia"/>
          <w:b/>
          <w:color w:val="000000"/>
          <w:szCs w:val="21"/>
        </w:rPr>
      </w:pPr>
      <w:r>
        <w:rPr>
          <w:rFonts w:eastAsiaTheme="minorEastAsia"/>
          <w:b/>
          <w:color w:val="000000"/>
          <w:szCs w:val="21"/>
        </w:rPr>
        <w:t>7.2.4.13</w:t>
      </w:r>
      <w:r>
        <w:rPr>
          <w:b/>
          <w:bCs/>
          <w:color w:val="000000"/>
          <w:kern w:val="0"/>
          <w:szCs w:val="21"/>
        </w:rPr>
        <w:t>.2.2</w:t>
      </w:r>
      <w:r>
        <w:rPr>
          <w:rFonts w:eastAsiaTheme="minorEastAsia"/>
          <w:b/>
          <w:color w:val="000000"/>
          <w:szCs w:val="21"/>
        </w:rPr>
        <w:t xml:space="preserve"> </w:t>
      </w:r>
      <w:r>
        <w:rPr>
          <w:rFonts w:eastAsiaTheme="minorEastAsia" w:hint="eastAsia"/>
          <w:b/>
          <w:color w:val="000000"/>
          <w:szCs w:val="21"/>
        </w:rPr>
        <w:t>按短期信用评级列示的同业存单投资</w:t>
      </w:r>
    </w:p>
    <w:p w:rsidR="003663E4" w:rsidRDefault="00FD3F7D">
      <w:pPr>
        <w:tabs>
          <w:tab w:val="left" w:pos="7200"/>
          <w:tab w:val="left" w:pos="8280"/>
        </w:tabs>
        <w:spacing w:line="360" w:lineRule="auto"/>
        <w:ind w:rightChars="268" w:right="563"/>
        <w:jc w:val="right"/>
        <w:rPr>
          <w:bCs/>
          <w:color w:val="000000"/>
          <w:szCs w:val="21"/>
        </w:rPr>
      </w:pPr>
      <w:r>
        <w:rPr>
          <w:rFonts w:hint="eastAsia"/>
          <w:color w:val="000000"/>
          <w:szCs w:val="21"/>
        </w:rPr>
        <w:t>单位：人民币元</w:t>
      </w:r>
    </w:p>
    <w:tbl>
      <w:tblPr>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3663E4">
        <w:tc>
          <w:tcPr>
            <w:tcW w:w="2552" w:type="dxa"/>
            <w:vAlign w:val="center"/>
          </w:tcPr>
          <w:p w:rsidR="003663E4" w:rsidRDefault="00FD3F7D">
            <w:pPr>
              <w:spacing w:line="276" w:lineRule="auto"/>
              <w:jc w:val="center"/>
              <w:rPr>
                <w:color w:val="000000"/>
                <w:szCs w:val="21"/>
              </w:rPr>
            </w:pPr>
            <w:r>
              <w:rPr>
                <w:rFonts w:hint="eastAsia"/>
                <w:color w:val="000000"/>
                <w:szCs w:val="21"/>
              </w:rPr>
              <w:t>短期信用评级</w:t>
            </w:r>
          </w:p>
        </w:tc>
        <w:tc>
          <w:tcPr>
            <w:tcW w:w="2841" w:type="dxa"/>
          </w:tcPr>
          <w:p w:rsidR="003663E4" w:rsidRDefault="00FD3F7D">
            <w:pPr>
              <w:widowControl/>
              <w:autoSpaceDE w:val="0"/>
              <w:autoSpaceDN w:val="0"/>
              <w:spacing w:line="276" w:lineRule="auto"/>
              <w:ind w:right="-15"/>
              <w:jc w:val="center"/>
              <w:textAlignment w:val="bottom"/>
              <w:rPr>
                <w:color w:val="000000"/>
                <w:szCs w:val="21"/>
              </w:rPr>
            </w:pPr>
            <w:r>
              <w:rPr>
                <w:rFonts w:hint="eastAsia"/>
                <w:color w:val="000000"/>
                <w:szCs w:val="21"/>
              </w:rPr>
              <w:t>本期末</w:t>
            </w:r>
          </w:p>
          <w:p w:rsidR="003663E4" w:rsidRDefault="00FD3F7D">
            <w:pPr>
              <w:widowControl/>
              <w:autoSpaceDE w:val="0"/>
              <w:autoSpaceDN w:val="0"/>
              <w:spacing w:line="276" w:lineRule="auto"/>
              <w:ind w:right="-15"/>
              <w:jc w:val="center"/>
              <w:textAlignment w:val="bottom"/>
              <w:rPr>
                <w:color w:val="00000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p>
          <w:p w:rsidR="003663E4" w:rsidRDefault="00FD3F7D">
            <w:pPr>
              <w:widowControl/>
              <w:autoSpaceDE w:val="0"/>
              <w:autoSpaceDN w:val="0"/>
              <w:spacing w:line="276" w:lineRule="auto"/>
              <w:ind w:right="-15"/>
              <w:jc w:val="center"/>
              <w:textAlignment w:val="bottom"/>
              <w:rPr>
                <w:color w:val="000000"/>
                <w:szCs w:val="21"/>
              </w:rPr>
            </w:pPr>
            <w:r>
              <w:rPr>
                <w:color w:val="000000"/>
                <w:szCs w:val="21"/>
              </w:rPr>
              <w:t>（基金合同失效前日）</w:t>
            </w:r>
          </w:p>
        </w:tc>
        <w:tc>
          <w:tcPr>
            <w:tcW w:w="3247" w:type="dxa"/>
          </w:tcPr>
          <w:p w:rsidR="003663E4" w:rsidRDefault="00FD3F7D">
            <w:pPr>
              <w:widowControl/>
              <w:autoSpaceDE w:val="0"/>
              <w:autoSpaceDN w:val="0"/>
              <w:spacing w:line="276" w:lineRule="auto"/>
              <w:ind w:right="-15"/>
              <w:jc w:val="center"/>
              <w:textAlignment w:val="bottom"/>
              <w:rPr>
                <w:color w:val="000000"/>
                <w:szCs w:val="21"/>
              </w:rPr>
            </w:pPr>
            <w:r>
              <w:rPr>
                <w:rFonts w:hint="eastAsia"/>
                <w:color w:val="000000"/>
                <w:szCs w:val="21"/>
              </w:rPr>
              <w:t>上年度末</w:t>
            </w:r>
          </w:p>
          <w:p w:rsidR="003663E4" w:rsidRDefault="00FD3F7D">
            <w:pPr>
              <w:widowControl/>
              <w:autoSpaceDE w:val="0"/>
              <w:autoSpaceDN w:val="0"/>
              <w:spacing w:line="276" w:lineRule="auto"/>
              <w:ind w:right="-15"/>
              <w:jc w:val="center"/>
              <w:textAlignment w:val="bottom"/>
              <w:rPr>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663E4">
        <w:tc>
          <w:tcPr>
            <w:tcW w:w="2552" w:type="dxa"/>
          </w:tcPr>
          <w:p w:rsidR="003663E4" w:rsidRDefault="00FD3F7D">
            <w:pPr>
              <w:spacing w:line="360" w:lineRule="auto"/>
              <w:rPr>
                <w:rFonts w:eastAsiaTheme="minorEastAsia"/>
                <w:szCs w:val="21"/>
              </w:rPr>
            </w:pPr>
            <w:r>
              <w:rPr>
                <w:rFonts w:eastAsiaTheme="minorEastAsia"/>
                <w:szCs w:val="21"/>
              </w:rPr>
              <w:t>A-1</w:t>
            </w:r>
          </w:p>
        </w:tc>
        <w:tc>
          <w:tcPr>
            <w:tcW w:w="2841" w:type="dxa"/>
          </w:tcPr>
          <w:p w:rsidR="003663E4" w:rsidRDefault="00FD3F7D">
            <w:pPr>
              <w:spacing w:line="360" w:lineRule="auto"/>
              <w:jc w:val="right"/>
              <w:rPr>
                <w:rFonts w:eastAsiaTheme="minorEastAsia"/>
                <w:szCs w:val="21"/>
              </w:rPr>
            </w:pPr>
            <w:r>
              <w:rPr>
                <w:rFonts w:eastAsiaTheme="minorEastAsia"/>
                <w:szCs w:val="21"/>
              </w:rPr>
              <w:t>-</w:t>
            </w:r>
          </w:p>
        </w:tc>
        <w:tc>
          <w:tcPr>
            <w:tcW w:w="3247" w:type="dxa"/>
          </w:tcPr>
          <w:p w:rsidR="003663E4" w:rsidRDefault="00FD3F7D">
            <w:pPr>
              <w:spacing w:line="360" w:lineRule="auto"/>
              <w:jc w:val="right"/>
              <w:rPr>
                <w:rFonts w:eastAsiaTheme="minorEastAsia"/>
                <w:szCs w:val="21"/>
              </w:rPr>
            </w:pPr>
            <w:r>
              <w:rPr>
                <w:rFonts w:eastAsiaTheme="minorEastAsia"/>
                <w:szCs w:val="21"/>
              </w:rPr>
              <w:t>-</w:t>
            </w:r>
          </w:p>
        </w:tc>
      </w:tr>
      <w:tr w:rsidR="003663E4">
        <w:tc>
          <w:tcPr>
            <w:tcW w:w="2552" w:type="dxa"/>
          </w:tcPr>
          <w:p w:rsidR="003663E4" w:rsidRDefault="00FD3F7D">
            <w:pPr>
              <w:spacing w:line="360" w:lineRule="auto"/>
              <w:rPr>
                <w:rFonts w:eastAsiaTheme="minorEastAsia"/>
                <w:szCs w:val="21"/>
              </w:rPr>
            </w:pPr>
            <w:r>
              <w:rPr>
                <w:rFonts w:eastAsiaTheme="minorEastAsia"/>
                <w:szCs w:val="21"/>
              </w:rPr>
              <w:t>A-1</w:t>
            </w:r>
            <w:r>
              <w:rPr>
                <w:rFonts w:eastAsiaTheme="minorEastAsia" w:hint="eastAsia"/>
                <w:szCs w:val="21"/>
              </w:rPr>
              <w:t>以下</w:t>
            </w:r>
          </w:p>
        </w:tc>
        <w:tc>
          <w:tcPr>
            <w:tcW w:w="2841" w:type="dxa"/>
          </w:tcPr>
          <w:p w:rsidR="003663E4" w:rsidRDefault="00FD3F7D">
            <w:pPr>
              <w:spacing w:line="360" w:lineRule="auto"/>
              <w:jc w:val="right"/>
              <w:rPr>
                <w:rFonts w:eastAsiaTheme="minorEastAsia"/>
                <w:szCs w:val="21"/>
              </w:rPr>
            </w:pPr>
            <w:r>
              <w:rPr>
                <w:rFonts w:eastAsiaTheme="minorEastAsia"/>
                <w:szCs w:val="21"/>
              </w:rPr>
              <w:t>-</w:t>
            </w:r>
          </w:p>
        </w:tc>
        <w:tc>
          <w:tcPr>
            <w:tcW w:w="3247" w:type="dxa"/>
          </w:tcPr>
          <w:p w:rsidR="003663E4" w:rsidRDefault="00FD3F7D">
            <w:pPr>
              <w:spacing w:line="360" w:lineRule="auto"/>
              <w:jc w:val="right"/>
              <w:rPr>
                <w:rFonts w:eastAsiaTheme="minorEastAsia"/>
                <w:szCs w:val="21"/>
              </w:rPr>
            </w:pPr>
            <w:r>
              <w:rPr>
                <w:rFonts w:eastAsiaTheme="minorEastAsia"/>
                <w:szCs w:val="21"/>
              </w:rPr>
              <w:t>-</w:t>
            </w:r>
          </w:p>
        </w:tc>
      </w:tr>
      <w:tr w:rsidR="003663E4">
        <w:tc>
          <w:tcPr>
            <w:tcW w:w="2552" w:type="dxa"/>
            <w:vAlign w:val="center"/>
          </w:tcPr>
          <w:p w:rsidR="003663E4" w:rsidRDefault="00FD3F7D">
            <w:pPr>
              <w:spacing w:line="360" w:lineRule="auto"/>
              <w:rPr>
                <w:rFonts w:eastAsiaTheme="minorEastAsia"/>
                <w:szCs w:val="21"/>
              </w:rPr>
            </w:pPr>
            <w:r>
              <w:rPr>
                <w:rFonts w:eastAsiaTheme="minorEastAsia" w:hint="eastAsia"/>
                <w:szCs w:val="21"/>
              </w:rPr>
              <w:t>未评级</w:t>
            </w:r>
          </w:p>
        </w:tc>
        <w:tc>
          <w:tcPr>
            <w:tcW w:w="2841" w:type="dxa"/>
          </w:tcPr>
          <w:p w:rsidR="003663E4" w:rsidRDefault="00FD3F7D">
            <w:pPr>
              <w:spacing w:line="360" w:lineRule="auto"/>
              <w:jc w:val="right"/>
              <w:rPr>
                <w:rFonts w:eastAsiaTheme="minorEastAsia"/>
                <w:szCs w:val="21"/>
              </w:rPr>
            </w:pPr>
            <w:r>
              <w:rPr>
                <w:rFonts w:eastAsiaTheme="minorEastAsia"/>
                <w:szCs w:val="21"/>
              </w:rPr>
              <w:t>99,645,024.72</w:t>
            </w:r>
          </w:p>
        </w:tc>
        <w:tc>
          <w:tcPr>
            <w:tcW w:w="3247" w:type="dxa"/>
          </w:tcPr>
          <w:p w:rsidR="003663E4" w:rsidRDefault="00FD3F7D">
            <w:pPr>
              <w:spacing w:line="360" w:lineRule="auto"/>
              <w:jc w:val="right"/>
              <w:rPr>
                <w:rFonts w:eastAsiaTheme="minorEastAsia"/>
                <w:szCs w:val="21"/>
              </w:rPr>
            </w:pPr>
            <w:r>
              <w:rPr>
                <w:rFonts w:eastAsiaTheme="minorEastAsia"/>
                <w:szCs w:val="21"/>
              </w:rPr>
              <w:t>4,027,123,371.62</w:t>
            </w:r>
          </w:p>
        </w:tc>
      </w:tr>
      <w:tr w:rsidR="003663E4">
        <w:tc>
          <w:tcPr>
            <w:tcW w:w="2552" w:type="dxa"/>
            <w:vAlign w:val="center"/>
          </w:tcPr>
          <w:p w:rsidR="003663E4" w:rsidRDefault="00FD3F7D">
            <w:pPr>
              <w:spacing w:line="360" w:lineRule="auto"/>
              <w:rPr>
                <w:rFonts w:eastAsiaTheme="minorEastAsia"/>
                <w:szCs w:val="21"/>
              </w:rPr>
            </w:pPr>
            <w:r>
              <w:rPr>
                <w:rFonts w:eastAsiaTheme="minorEastAsia" w:hint="eastAsia"/>
                <w:szCs w:val="21"/>
              </w:rPr>
              <w:t>合计</w:t>
            </w:r>
          </w:p>
        </w:tc>
        <w:tc>
          <w:tcPr>
            <w:tcW w:w="2841" w:type="dxa"/>
          </w:tcPr>
          <w:p w:rsidR="003663E4" w:rsidRDefault="00FD3F7D">
            <w:pPr>
              <w:spacing w:line="360" w:lineRule="auto"/>
              <w:jc w:val="right"/>
              <w:rPr>
                <w:rFonts w:eastAsiaTheme="minorEastAsia"/>
                <w:szCs w:val="21"/>
              </w:rPr>
            </w:pPr>
            <w:r>
              <w:rPr>
                <w:rFonts w:eastAsiaTheme="minorEastAsia"/>
                <w:szCs w:val="21"/>
              </w:rPr>
              <w:t>99,645,024.72</w:t>
            </w:r>
          </w:p>
        </w:tc>
        <w:tc>
          <w:tcPr>
            <w:tcW w:w="3247" w:type="dxa"/>
          </w:tcPr>
          <w:p w:rsidR="003663E4" w:rsidRDefault="00FD3F7D">
            <w:pPr>
              <w:spacing w:line="360" w:lineRule="auto"/>
              <w:jc w:val="right"/>
              <w:rPr>
                <w:rFonts w:eastAsiaTheme="minorEastAsia"/>
                <w:szCs w:val="21"/>
              </w:rPr>
            </w:pPr>
            <w:r>
              <w:rPr>
                <w:rFonts w:eastAsiaTheme="minorEastAsia"/>
                <w:szCs w:val="21"/>
              </w:rPr>
              <w:t>4,027,123,371.62</w:t>
            </w:r>
          </w:p>
        </w:tc>
      </w:tr>
    </w:tbl>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7.2.4.13.2.3 </w:t>
      </w:r>
      <w:r>
        <w:rPr>
          <w:rFonts w:hint="eastAsia"/>
          <w:b/>
          <w:bCs/>
          <w:color w:val="000000"/>
          <w:kern w:val="0"/>
          <w:szCs w:val="21"/>
        </w:rPr>
        <w:t>按长期信用评级列示的债券投资</w:t>
      </w:r>
    </w:p>
    <w:p w:rsidR="003663E4" w:rsidRDefault="00FD3F7D">
      <w:pPr>
        <w:tabs>
          <w:tab w:val="left" w:pos="7200"/>
          <w:tab w:val="left" w:pos="8280"/>
        </w:tabs>
        <w:spacing w:line="360" w:lineRule="auto"/>
        <w:ind w:rightChars="268" w:right="563"/>
        <w:jc w:val="right"/>
        <w:rPr>
          <w:bCs/>
          <w:color w:val="000000"/>
          <w:szCs w:val="21"/>
        </w:rPr>
      </w:pPr>
      <w:r>
        <w:rPr>
          <w:rFonts w:hint="eastAsia"/>
          <w:color w:val="000000"/>
          <w:szCs w:val="21"/>
        </w:rPr>
        <w:t>单位：人民币元</w:t>
      </w:r>
    </w:p>
    <w:tbl>
      <w:tblPr>
        <w:tblW w:w="8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3"/>
        <w:gridCol w:w="2835"/>
        <w:gridCol w:w="6"/>
        <w:gridCol w:w="3247"/>
        <w:gridCol w:w="7"/>
      </w:tblGrid>
      <w:tr w:rsidR="003663E4">
        <w:trPr>
          <w:gridAfter w:val="1"/>
          <w:wAfter w:w="7" w:type="dxa"/>
        </w:trPr>
        <w:tc>
          <w:tcPr>
            <w:tcW w:w="2552" w:type="dxa"/>
            <w:vAlign w:val="center"/>
          </w:tcPr>
          <w:p w:rsidR="003663E4" w:rsidRDefault="00FD3F7D">
            <w:pPr>
              <w:spacing w:line="276" w:lineRule="auto"/>
              <w:jc w:val="center"/>
              <w:rPr>
                <w:color w:val="000000"/>
                <w:szCs w:val="21"/>
              </w:rPr>
            </w:pPr>
            <w:r>
              <w:rPr>
                <w:rFonts w:hint="eastAsia"/>
                <w:color w:val="000000"/>
                <w:szCs w:val="21"/>
              </w:rPr>
              <w:t>长期信用评级</w:t>
            </w:r>
          </w:p>
        </w:tc>
        <w:tc>
          <w:tcPr>
            <w:tcW w:w="2841" w:type="dxa"/>
            <w:gridSpan w:val="2"/>
            <w:vAlign w:val="center"/>
          </w:tcPr>
          <w:p w:rsidR="003663E4" w:rsidRDefault="00FD3F7D">
            <w:pPr>
              <w:widowControl/>
              <w:autoSpaceDE w:val="0"/>
              <w:autoSpaceDN w:val="0"/>
              <w:spacing w:line="276" w:lineRule="auto"/>
              <w:ind w:right="-15"/>
              <w:jc w:val="center"/>
              <w:textAlignment w:val="bottom"/>
              <w:rPr>
                <w:color w:val="000000"/>
                <w:szCs w:val="21"/>
              </w:rPr>
            </w:pPr>
            <w:r>
              <w:rPr>
                <w:rFonts w:hint="eastAsia"/>
                <w:color w:val="000000"/>
                <w:szCs w:val="21"/>
              </w:rPr>
              <w:t>本期末</w:t>
            </w:r>
          </w:p>
          <w:p w:rsidR="003663E4" w:rsidRDefault="00FD3F7D">
            <w:pPr>
              <w:widowControl/>
              <w:autoSpaceDE w:val="0"/>
              <w:autoSpaceDN w:val="0"/>
              <w:spacing w:line="276" w:lineRule="auto"/>
              <w:ind w:right="-15"/>
              <w:jc w:val="center"/>
              <w:textAlignment w:val="bottom"/>
              <w:rPr>
                <w:color w:val="00000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p>
          <w:p w:rsidR="003663E4" w:rsidRDefault="00FD3F7D">
            <w:pPr>
              <w:widowControl/>
              <w:autoSpaceDE w:val="0"/>
              <w:autoSpaceDN w:val="0"/>
              <w:spacing w:line="276" w:lineRule="auto"/>
              <w:ind w:right="-15"/>
              <w:jc w:val="center"/>
              <w:textAlignment w:val="bottom"/>
              <w:rPr>
                <w:color w:val="000000"/>
                <w:szCs w:val="21"/>
              </w:rPr>
            </w:pPr>
            <w:r>
              <w:rPr>
                <w:color w:val="000000"/>
                <w:szCs w:val="21"/>
              </w:rPr>
              <w:t>（基金合同失效前日）</w:t>
            </w:r>
          </w:p>
        </w:tc>
        <w:tc>
          <w:tcPr>
            <w:tcW w:w="3247" w:type="dxa"/>
            <w:vAlign w:val="center"/>
          </w:tcPr>
          <w:p w:rsidR="003663E4" w:rsidRDefault="00FD3F7D">
            <w:pPr>
              <w:widowControl/>
              <w:autoSpaceDE w:val="0"/>
              <w:autoSpaceDN w:val="0"/>
              <w:spacing w:line="276" w:lineRule="auto"/>
              <w:ind w:right="-15"/>
              <w:jc w:val="center"/>
              <w:textAlignment w:val="bottom"/>
              <w:rPr>
                <w:color w:val="000000"/>
                <w:szCs w:val="21"/>
              </w:rPr>
            </w:pPr>
            <w:r>
              <w:rPr>
                <w:rFonts w:hint="eastAsia"/>
                <w:color w:val="000000"/>
                <w:szCs w:val="21"/>
              </w:rPr>
              <w:t>上年度末</w:t>
            </w:r>
          </w:p>
          <w:p w:rsidR="003663E4" w:rsidRDefault="00FD3F7D">
            <w:pPr>
              <w:widowControl/>
              <w:autoSpaceDE w:val="0"/>
              <w:autoSpaceDN w:val="0"/>
              <w:spacing w:line="276" w:lineRule="auto"/>
              <w:ind w:right="-15"/>
              <w:jc w:val="center"/>
              <w:textAlignment w:val="bottom"/>
              <w:rPr>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663E4">
        <w:trPr>
          <w:gridAfter w:val="1"/>
          <w:wAfter w:w="7" w:type="dxa"/>
        </w:trPr>
        <w:tc>
          <w:tcPr>
            <w:tcW w:w="2552" w:type="dxa"/>
            <w:vAlign w:val="center"/>
          </w:tcPr>
          <w:p w:rsidR="003663E4" w:rsidRDefault="00FD3F7D">
            <w:pPr>
              <w:spacing w:line="276" w:lineRule="auto"/>
              <w:rPr>
                <w:color w:val="000000"/>
                <w:szCs w:val="21"/>
              </w:rPr>
            </w:pPr>
            <w:r>
              <w:rPr>
                <w:color w:val="000000"/>
                <w:szCs w:val="21"/>
              </w:rPr>
              <w:t>AAA</w:t>
            </w:r>
          </w:p>
        </w:tc>
        <w:tc>
          <w:tcPr>
            <w:tcW w:w="2841" w:type="dxa"/>
            <w:gridSpan w:val="2"/>
            <w:vAlign w:val="center"/>
          </w:tcPr>
          <w:p w:rsidR="003663E4" w:rsidRDefault="00FD3F7D">
            <w:pPr>
              <w:spacing w:line="276" w:lineRule="auto"/>
              <w:jc w:val="right"/>
              <w:rPr>
                <w:color w:val="000000"/>
                <w:szCs w:val="21"/>
              </w:rPr>
            </w:pPr>
            <w:r>
              <w:rPr>
                <w:color w:val="000000"/>
                <w:szCs w:val="21"/>
              </w:rPr>
              <w:t>-</w:t>
            </w:r>
          </w:p>
        </w:tc>
        <w:tc>
          <w:tcPr>
            <w:tcW w:w="3247" w:type="dxa"/>
            <w:vAlign w:val="center"/>
          </w:tcPr>
          <w:p w:rsidR="003663E4" w:rsidRDefault="00FD3F7D">
            <w:pPr>
              <w:spacing w:line="276" w:lineRule="auto"/>
              <w:jc w:val="right"/>
              <w:rPr>
                <w:color w:val="000000"/>
                <w:szCs w:val="21"/>
              </w:rPr>
            </w:pPr>
            <w:r>
              <w:rPr>
                <w:color w:val="000000"/>
                <w:szCs w:val="21"/>
              </w:rPr>
              <w:t>-</w:t>
            </w:r>
          </w:p>
        </w:tc>
      </w:tr>
      <w:tr w:rsidR="003663E4">
        <w:trPr>
          <w:gridAfter w:val="1"/>
          <w:wAfter w:w="7" w:type="dxa"/>
        </w:trPr>
        <w:tc>
          <w:tcPr>
            <w:tcW w:w="2552" w:type="dxa"/>
            <w:vAlign w:val="center"/>
          </w:tcPr>
          <w:p w:rsidR="003663E4" w:rsidRDefault="00FD3F7D">
            <w:pPr>
              <w:spacing w:line="276" w:lineRule="auto"/>
              <w:rPr>
                <w:color w:val="000000"/>
                <w:szCs w:val="21"/>
              </w:rPr>
            </w:pPr>
            <w:r>
              <w:rPr>
                <w:color w:val="000000"/>
                <w:szCs w:val="21"/>
              </w:rPr>
              <w:t>AAA</w:t>
            </w:r>
            <w:r>
              <w:rPr>
                <w:rFonts w:hint="eastAsia"/>
                <w:color w:val="000000"/>
                <w:szCs w:val="21"/>
              </w:rPr>
              <w:t>以下</w:t>
            </w:r>
          </w:p>
        </w:tc>
        <w:tc>
          <w:tcPr>
            <w:tcW w:w="2841" w:type="dxa"/>
            <w:gridSpan w:val="2"/>
            <w:vAlign w:val="center"/>
          </w:tcPr>
          <w:p w:rsidR="003663E4" w:rsidRDefault="00FD3F7D">
            <w:pPr>
              <w:spacing w:line="276" w:lineRule="auto"/>
              <w:jc w:val="right"/>
              <w:rPr>
                <w:color w:val="000000"/>
                <w:szCs w:val="21"/>
              </w:rPr>
            </w:pPr>
            <w:r>
              <w:rPr>
                <w:color w:val="000000"/>
                <w:szCs w:val="21"/>
              </w:rPr>
              <w:t>-</w:t>
            </w:r>
          </w:p>
        </w:tc>
        <w:tc>
          <w:tcPr>
            <w:tcW w:w="3247" w:type="dxa"/>
            <w:vAlign w:val="center"/>
          </w:tcPr>
          <w:p w:rsidR="003663E4" w:rsidRDefault="00FD3F7D">
            <w:pPr>
              <w:spacing w:line="276" w:lineRule="auto"/>
              <w:jc w:val="right"/>
              <w:rPr>
                <w:color w:val="000000"/>
                <w:szCs w:val="21"/>
              </w:rPr>
            </w:pPr>
            <w:r>
              <w:rPr>
                <w:color w:val="000000"/>
                <w:szCs w:val="21"/>
              </w:rPr>
              <w:t>-</w:t>
            </w:r>
          </w:p>
        </w:tc>
      </w:tr>
      <w:tr w:rsidR="003663E4">
        <w:tc>
          <w:tcPr>
            <w:tcW w:w="2552" w:type="dxa"/>
            <w:vAlign w:val="center"/>
          </w:tcPr>
          <w:p w:rsidR="003663E4" w:rsidRDefault="00FD3F7D">
            <w:pPr>
              <w:spacing w:line="276" w:lineRule="auto"/>
              <w:rPr>
                <w:szCs w:val="21"/>
              </w:rPr>
            </w:pPr>
            <w:r>
              <w:rPr>
                <w:rFonts w:hint="eastAsia"/>
                <w:kern w:val="0"/>
                <w:szCs w:val="21"/>
              </w:rPr>
              <w:t>未评级</w:t>
            </w:r>
          </w:p>
        </w:tc>
        <w:tc>
          <w:tcPr>
            <w:tcW w:w="2835" w:type="dxa"/>
            <w:vAlign w:val="center"/>
          </w:tcPr>
          <w:p w:rsidR="003663E4" w:rsidRDefault="00FD3F7D">
            <w:pPr>
              <w:spacing w:line="276" w:lineRule="auto"/>
              <w:jc w:val="right"/>
              <w:rPr>
                <w:szCs w:val="21"/>
              </w:rPr>
            </w:pPr>
            <w:r>
              <w:rPr>
                <w:szCs w:val="21"/>
              </w:rPr>
              <w:t>252,340,188.00</w:t>
            </w:r>
          </w:p>
        </w:tc>
        <w:tc>
          <w:tcPr>
            <w:tcW w:w="3260" w:type="dxa"/>
            <w:gridSpan w:val="3"/>
            <w:vAlign w:val="center"/>
          </w:tcPr>
          <w:p w:rsidR="003663E4" w:rsidRDefault="00FD3F7D">
            <w:pPr>
              <w:spacing w:line="276" w:lineRule="auto"/>
              <w:jc w:val="right"/>
              <w:rPr>
                <w:szCs w:val="21"/>
              </w:rPr>
            </w:pPr>
            <w:r>
              <w:rPr>
                <w:szCs w:val="21"/>
              </w:rPr>
              <w:t>60,250,098.59</w:t>
            </w:r>
          </w:p>
        </w:tc>
      </w:tr>
      <w:tr w:rsidR="003663E4">
        <w:tc>
          <w:tcPr>
            <w:tcW w:w="2552" w:type="dxa"/>
            <w:vAlign w:val="center"/>
          </w:tcPr>
          <w:p w:rsidR="003663E4" w:rsidRDefault="00FD3F7D">
            <w:pPr>
              <w:spacing w:line="276" w:lineRule="auto"/>
              <w:rPr>
                <w:kern w:val="0"/>
                <w:szCs w:val="21"/>
              </w:rPr>
            </w:pPr>
            <w:r>
              <w:rPr>
                <w:rFonts w:hint="eastAsia"/>
                <w:kern w:val="0"/>
                <w:szCs w:val="21"/>
              </w:rPr>
              <w:t>合计</w:t>
            </w:r>
          </w:p>
        </w:tc>
        <w:tc>
          <w:tcPr>
            <w:tcW w:w="2835" w:type="dxa"/>
            <w:vAlign w:val="center"/>
          </w:tcPr>
          <w:p w:rsidR="003663E4" w:rsidRDefault="00FD3F7D">
            <w:pPr>
              <w:spacing w:line="276" w:lineRule="auto"/>
              <w:jc w:val="right"/>
              <w:rPr>
                <w:szCs w:val="21"/>
              </w:rPr>
            </w:pPr>
            <w:r>
              <w:rPr>
                <w:szCs w:val="21"/>
              </w:rPr>
              <w:t>252,340,188.00</w:t>
            </w:r>
          </w:p>
        </w:tc>
        <w:tc>
          <w:tcPr>
            <w:tcW w:w="3260" w:type="dxa"/>
            <w:gridSpan w:val="3"/>
            <w:vAlign w:val="center"/>
          </w:tcPr>
          <w:p w:rsidR="003663E4" w:rsidRDefault="00FD3F7D">
            <w:pPr>
              <w:spacing w:line="276" w:lineRule="auto"/>
              <w:jc w:val="right"/>
              <w:rPr>
                <w:szCs w:val="21"/>
              </w:rPr>
            </w:pPr>
            <w:r>
              <w:rPr>
                <w:szCs w:val="21"/>
              </w:rPr>
              <w:t>60,250,098.59</w:t>
            </w:r>
          </w:p>
        </w:tc>
      </w:tr>
    </w:tbl>
    <w:p w:rsidR="003663E4" w:rsidRDefault="00FD3F7D">
      <w:pPr>
        <w:spacing w:line="360" w:lineRule="auto"/>
        <w:ind w:firstLineChars="200" w:firstLine="420"/>
        <w:rPr>
          <w:color w:val="000000"/>
          <w:szCs w:val="21"/>
        </w:rPr>
      </w:pPr>
      <w:r>
        <w:rPr>
          <w:color w:val="000000"/>
          <w:szCs w:val="21"/>
        </w:rPr>
        <w:t>注：未评级部分为政策性金融债。</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7.2.4.13.3 </w:t>
      </w:r>
      <w:r>
        <w:rPr>
          <w:b/>
          <w:bCs/>
          <w:color w:val="000000"/>
          <w:kern w:val="0"/>
          <w:szCs w:val="21"/>
        </w:rPr>
        <w:t>流动性风险</w:t>
      </w:r>
    </w:p>
    <w:p w:rsidR="003663E4" w:rsidRDefault="00FD3F7D">
      <w:pPr>
        <w:spacing w:line="360" w:lineRule="auto"/>
        <w:ind w:firstLineChars="200" w:firstLine="420"/>
        <w:rPr>
          <w:color w:val="000000"/>
          <w:szCs w:val="21"/>
        </w:rPr>
      </w:pPr>
      <w:r>
        <w:rPr>
          <w:color w:val="00000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663E4" w:rsidRDefault="00FD3F7D">
      <w:pPr>
        <w:spacing w:line="360" w:lineRule="auto"/>
        <w:ind w:firstLineChars="200" w:firstLine="420"/>
        <w:rPr>
          <w:color w:val="000000"/>
          <w:szCs w:val="21"/>
        </w:rPr>
      </w:pPr>
      <w:r>
        <w:rPr>
          <w:color w:val="00000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w:t>
      </w:r>
      <w:r>
        <w:rPr>
          <w:color w:val="000000"/>
          <w:szCs w:val="21"/>
        </w:rPr>
        <w:t>赎回模式带来的流动性风险，有效保障基金持有人利益。</w:t>
      </w:r>
    </w:p>
    <w:p w:rsidR="003663E4" w:rsidRDefault="00FD3F7D">
      <w:pPr>
        <w:spacing w:line="360" w:lineRule="auto"/>
        <w:ind w:firstLineChars="200" w:firstLine="420"/>
        <w:rPr>
          <w:color w:val="000000"/>
          <w:szCs w:val="21"/>
        </w:rPr>
      </w:pPr>
      <w:r>
        <w:rPr>
          <w:color w:val="000000"/>
          <w:szCs w:val="21"/>
        </w:rPr>
        <w:t>于</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r>
        <w:rPr>
          <w:color w:val="000000"/>
          <w:szCs w:val="21"/>
        </w:rPr>
        <w:t>(</w:t>
      </w:r>
      <w:r>
        <w:rPr>
          <w:color w:val="000000"/>
          <w:szCs w:val="21"/>
        </w:rPr>
        <w:t>基金合同失效前日</w:t>
      </w:r>
      <w:r>
        <w:rPr>
          <w:color w:val="000000"/>
          <w:szCs w:val="21"/>
        </w:rPr>
        <w:t>)</w:t>
      </w:r>
      <w:r>
        <w:rPr>
          <w:color w:val="000000"/>
          <w:szCs w:val="21"/>
        </w:rPr>
        <w:t>，本基金所承担的全部金融负债的合约约定到期日均为一个月以内且不计息，可赎回基金份额净值</w:t>
      </w:r>
      <w:r>
        <w:rPr>
          <w:color w:val="000000"/>
          <w:szCs w:val="21"/>
        </w:rPr>
        <w:t>(</w:t>
      </w:r>
      <w:r>
        <w:rPr>
          <w:color w:val="000000"/>
          <w:szCs w:val="21"/>
        </w:rPr>
        <w:t>所有者权益</w:t>
      </w:r>
      <w:r>
        <w:rPr>
          <w:color w:val="000000"/>
          <w:szCs w:val="21"/>
        </w:rPr>
        <w:t>)</w:t>
      </w:r>
      <w:r>
        <w:rPr>
          <w:color w:val="000000"/>
          <w:szCs w:val="21"/>
        </w:rPr>
        <w:t>无固定到期日且不计息，因此账面余额即为未折现的合约到期现金流量。</w:t>
      </w:r>
    </w:p>
    <w:p w:rsidR="003663E4" w:rsidRDefault="00FD3F7D">
      <w:pPr>
        <w:spacing w:line="360" w:lineRule="auto"/>
        <w:ind w:firstLineChars="200" w:firstLine="420"/>
        <w:rPr>
          <w:color w:val="000000"/>
          <w:szCs w:val="21"/>
        </w:rPr>
      </w:pPr>
      <w:r>
        <w:rPr>
          <w:color w:val="000000"/>
          <w:szCs w:val="21"/>
        </w:rPr>
        <w:t>注：流动性受限资产、</w:t>
      </w:r>
      <w:r>
        <w:rPr>
          <w:color w:val="000000"/>
          <w:szCs w:val="21"/>
        </w:rPr>
        <w:t>7</w:t>
      </w:r>
      <w:r>
        <w:rPr>
          <w:color w:val="000000"/>
          <w:szCs w:val="21"/>
        </w:rPr>
        <w:t>个工作日可变现资产的计算口径见《公开募集开放式证券投资基金流动性风险管理规定》第四十条。</w:t>
      </w:r>
    </w:p>
    <w:p w:rsidR="003663E4" w:rsidRDefault="00FD3F7D">
      <w:pPr>
        <w:spacing w:beforeLines="50" w:before="156" w:line="360" w:lineRule="auto"/>
        <w:rPr>
          <w:b/>
          <w:bCs/>
          <w:color w:val="000000"/>
          <w:szCs w:val="21"/>
        </w:rPr>
      </w:pPr>
      <w:r>
        <w:rPr>
          <w:b/>
          <w:bCs/>
          <w:color w:val="000000"/>
          <w:kern w:val="0"/>
          <w:szCs w:val="21"/>
        </w:rPr>
        <w:t>7.2.4.13</w:t>
      </w:r>
      <w:r>
        <w:rPr>
          <w:rFonts w:hint="eastAsia"/>
          <w:b/>
          <w:bCs/>
          <w:color w:val="000000"/>
          <w:kern w:val="0"/>
          <w:szCs w:val="21"/>
        </w:rPr>
        <w:t>.3</w:t>
      </w:r>
      <w:r>
        <w:rPr>
          <w:b/>
          <w:bCs/>
          <w:color w:val="000000"/>
          <w:kern w:val="0"/>
          <w:szCs w:val="21"/>
        </w:rPr>
        <w:t xml:space="preserve">.1 </w:t>
      </w:r>
      <w:r>
        <w:rPr>
          <w:rFonts w:hint="eastAsia"/>
          <w:b/>
          <w:bCs/>
          <w:color w:val="000000"/>
          <w:szCs w:val="21"/>
        </w:rPr>
        <w:t>报告期内本基金组合资产的流动性风险分析</w:t>
      </w:r>
    </w:p>
    <w:p w:rsidR="003663E4" w:rsidRDefault="00FD3F7D">
      <w:pPr>
        <w:spacing w:line="360" w:lineRule="auto"/>
        <w:ind w:firstLineChars="200" w:firstLine="420"/>
        <w:rPr>
          <w:color w:val="000000"/>
          <w:szCs w:val="21"/>
        </w:rPr>
      </w:pPr>
      <w:r>
        <w:rPr>
          <w:color w:val="000000"/>
          <w:szCs w:val="21"/>
        </w:rPr>
        <w:t>本基金的基金管理人在基金运作过程中严格按照《公开募集证券投资基金运作管理办法》及《公开募集开放式证券投资基金流动性风险管理规定》</w:t>
      </w:r>
      <w:r>
        <w:rPr>
          <w:color w:val="000000"/>
          <w:szCs w:val="21"/>
        </w:rPr>
        <w:t>(</w:t>
      </w:r>
      <w:r>
        <w:rPr>
          <w:color w:val="000000"/>
          <w:szCs w:val="21"/>
        </w:rPr>
        <w:t>自</w:t>
      </w:r>
      <w:r>
        <w:rPr>
          <w:color w:val="000000"/>
          <w:szCs w:val="21"/>
        </w:rPr>
        <w:t>2017</w:t>
      </w:r>
      <w:r>
        <w:rPr>
          <w:color w:val="000000"/>
          <w:szCs w:val="21"/>
        </w:rPr>
        <w:t>年</w:t>
      </w:r>
      <w:r>
        <w:rPr>
          <w:color w:val="000000"/>
          <w:szCs w:val="21"/>
        </w:rPr>
        <w:t>10</w:t>
      </w:r>
      <w:r>
        <w:rPr>
          <w:color w:val="000000"/>
          <w:szCs w:val="21"/>
        </w:rPr>
        <w:t>月</w:t>
      </w:r>
      <w:r>
        <w:rPr>
          <w:color w:val="000000"/>
          <w:szCs w:val="21"/>
        </w:rPr>
        <w:t>1</w:t>
      </w:r>
      <w:r>
        <w:rPr>
          <w:color w:val="000000"/>
          <w:szCs w:val="21"/>
        </w:rPr>
        <w:t>日起施行</w:t>
      </w:r>
      <w:r>
        <w:rPr>
          <w:color w:val="000000"/>
          <w:szCs w:val="21"/>
        </w:rPr>
        <w:t>)</w:t>
      </w:r>
      <w:r>
        <w:rPr>
          <w:color w:val="00000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3663E4" w:rsidRDefault="00FD3F7D">
      <w:pPr>
        <w:spacing w:line="360" w:lineRule="auto"/>
        <w:ind w:firstLineChars="200" w:firstLine="420"/>
        <w:rPr>
          <w:color w:val="000000"/>
          <w:szCs w:val="21"/>
        </w:rPr>
      </w:pPr>
      <w:r>
        <w:rPr>
          <w:color w:val="000000"/>
          <w:szCs w:val="21"/>
        </w:rPr>
        <w:t>本基金投资于一家公司发行的证券市值不超过基金资产净值的</w:t>
      </w:r>
      <w:r>
        <w:rPr>
          <w:color w:val="000000"/>
          <w:szCs w:val="21"/>
        </w:rPr>
        <w:t>10%</w:t>
      </w:r>
      <w:r>
        <w:rPr>
          <w:color w:val="000000"/>
          <w:szCs w:val="21"/>
        </w:rPr>
        <w:t>，且本基金与由本基金的基金管理人管理的其他基金共同持有一家公司发行的证券不得超过该证券的</w:t>
      </w:r>
      <w:r>
        <w:rPr>
          <w:color w:val="000000"/>
          <w:szCs w:val="21"/>
        </w:rPr>
        <w:t>10%</w:t>
      </w:r>
      <w:r>
        <w:rPr>
          <w:color w:val="000000"/>
          <w:szCs w:val="21"/>
        </w:rPr>
        <w:t>。基金投资组合的平均剩余期限在每个交易日均不得超</w:t>
      </w:r>
      <w:r>
        <w:rPr>
          <w:color w:val="000000"/>
          <w:szCs w:val="21"/>
        </w:rPr>
        <w:t>180</w:t>
      </w:r>
      <w:r>
        <w:rPr>
          <w:color w:val="000000"/>
          <w:szCs w:val="21"/>
        </w:rPr>
        <w:t>天，且能够通过出售所持有的银行间同业市场</w:t>
      </w:r>
      <w:r>
        <w:rPr>
          <w:color w:val="000000"/>
          <w:szCs w:val="21"/>
        </w:rPr>
        <w:t xml:space="preserve"> </w:t>
      </w:r>
      <w:r>
        <w:rPr>
          <w:color w:val="000000"/>
          <w:szCs w:val="21"/>
        </w:rPr>
        <w:t>交易债券应对流动性需求。此外，本基金可通过卖出回购金融资产方式借入短期资金应对流动性需求，银行间正回购上限一般不超过基金资产净值的</w:t>
      </w:r>
      <w:r>
        <w:rPr>
          <w:color w:val="000000"/>
          <w:szCs w:val="21"/>
        </w:rPr>
        <w:t>40%</w:t>
      </w:r>
      <w:r>
        <w:rPr>
          <w:color w:val="000000"/>
          <w:szCs w:val="21"/>
        </w:rPr>
        <w:t>。</w:t>
      </w:r>
    </w:p>
    <w:p w:rsidR="003663E4" w:rsidRDefault="00FD3F7D">
      <w:pPr>
        <w:spacing w:line="360" w:lineRule="auto"/>
        <w:ind w:firstLineChars="200" w:firstLine="420"/>
        <w:rPr>
          <w:color w:val="000000"/>
          <w:szCs w:val="21"/>
        </w:rPr>
      </w:pPr>
      <w:r>
        <w:rPr>
          <w:color w:val="000000"/>
          <w:szCs w:val="21"/>
        </w:rPr>
        <w:t>本基金所持部分证券在证券交易所上市，其余亦可在银行间同业市场交易，部分基金资产流通暂时受限制不能自由转让的情况参见附注</w:t>
      </w:r>
      <w:r>
        <w:rPr>
          <w:color w:val="000000"/>
          <w:szCs w:val="21"/>
        </w:rPr>
        <w:t>7.2.4.12</w:t>
      </w:r>
      <w:r>
        <w:rPr>
          <w:color w:val="000000"/>
          <w:szCs w:val="21"/>
        </w:rPr>
        <w:t>。此外，本基金可通过卖出回购金融资产方式借入短期资金应对流动性需求，其上限一般不超过基金持有的债券投资的公允价值。本基金主动投资于流动性受限资</w:t>
      </w:r>
      <w:r>
        <w:rPr>
          <w:color w:val="000000"/>
          <w:szCs w:val="21"/>
        </w:rPr>
        <w:t>产的市值合计不得超过基金资产净值的</w:t>
      </w:r>
      <w:r>
        <w:rPr>
          <w:color w:val="000000"/>
          <w:szCs w:val="21"/>
        </w:rPr>
        <w:t>15%</w:t>
      </w:r>
      <w:r>
        <w:rPr>
          <w:color w:val="000000"/>
          <w:szCs w:val="21"/>
        </w:rPr>
        <w:t>。</w:t>
      </w:r>
    </w:p>
    <w:p w:rsidR="003663E4" w:rsidRDefault="00FD3F7D">
      <w:pPr>
        <w:spacing w:line="360" w:lineRule="auto"/>
        <w:ind w:firstLineChars="200" w:firstLine="420"/>
        <w:rPr>
          <w:color w:val="000000"/>
          <w:szCs w:val="21"/>
        </w:rPr>
      </w:pPr>
      <w:r>
        <w:rPr>
          <w:color w:val="000000"/>
          <w:szCs w:val="21"/>
        </w:rPr>
        <w:t>本基金的基金管理人每日对基金组合资产中</w:t>
      </w:r>
      <w:r>
        <w:rPr>
          <w:color w:val="000000"/>
          <w:szCs w:val="21"/>
        </w:rPr>
        <w:t>7</w:t>
      </w:r>
      <w:r>
        <w:rPr>
          <w:color w:val="000000"/>
          <w:szCs w:val="21"/>
        </w:rPr>
        <w:t>个工作日可变现资产的可变现价值进行审慎评估与测算，确保每日确认的净赎回申请不得超过</w:t>
      </w:r>
      <w:r>
        <w:rPr>
          <w:color w:val="000000"/>
          <w:szCs w:val="21"/>
        </w:rPr>
        <w:t>7</w:t>
      </w:r>
      <w:r>
        <w:rPr>
          <w:color w:val="000000"/>
          <w:szCs w:val="21"/>
        </w:rPr>
        <w:t>个工作日可变现资产的可变现价值。</w:t>
      </w:r>
    </w:p>
    <w:p w:rsidR="003663E4" w:rsidRDefault="00FD3F7D">
      <w:pPr>
        <w:spacing w:line="360" w:lineRule="auto"/>
        <w:ind w:firstLineChars="200" w:firstLine="420"/>
        <w:rPr>
          <w:color w:val="000000"/>
          <w:szCs w:val="21"/>
        </w:rPr>
      </w:pPr>
      <w:r>
        <w:rPr>
          <w:color w:val="00000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w:t>
      </w:r>
      <w:r>
        <w:rPr>
          <w:color w:val="000000"/>
          <w:szCs w:val="21"/>
        </w:rPr>
        <w:t>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3663E4" w:rsidRDefault="00FD3F7D">
      <w:pPr>
        <w:spacing w:line="360" w:lineRule="auto"/>
        <w:ind w:firstLineChars="200" w:firstLine="420"/>
        <w:rPr>
          <w:color w:val="000000"/>
          <w:szCs w:val="21"/>
        </w:rPr>
      </w:pPr>
      <w:r>
        <w:rPr>
          <w:color w:val="000000"/>
          <w:szCs w:val="21"/>
        </w:rPr>
        <w:t>综合上述各项流动性指标的监测结果及流动性风险管理措施的实施，本基金在本报告期内流动性情况良好。</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7.2.4.13.4 </w:t>
      </w:r>
      <w:r>
        <w:rPr>
          <w:b/>
          <w:bCs/>
          <w:color w:val="000000"/>
          <w:kern w:val="0"/>
          <w:szCs w:val="21"/>
        </w:rPr>
        <w:t>市场风险</w:t>
      </w:r>
    </w:p>
    <w:p w:rsidR="003663E4" w:rsidRDefault="00FD3F7D">
      <w:pPr>
        <w:spacing w:line="360" w:lineRule="auto"/>
        <w:ind w:firstLineChars="200" w:firstLine="420"/>
        <w:rPr>
          <w:color w:val="000000"/>
          <w:szCs w:val="21"/>
        </w:rPr>
      </w:pPr>
      <w:r>
        <w:rPr>
          <w:color w:val="000000"/>
          <w:szCs w:val="21"/>
        </w:rPr>
        <w:t>市场风险是指基金所持金融工具的公允价值或未来现金流量因所处市场各类价格因素的变动而发生波动的风险，包括利率风险、外汇风险和其他价</w:t>
      </w:r>
      <w:r>
        <w:rPr>
          <w:color w:val="000000"/>
          <w:szCs w:val="21"/>
        </w:rPr>
        <w:t>格风险。</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7.2.4.13.4.1 </w:t>
      </w:r>
      <w:r>
        <w:rPr>
          <w:b/>
          <w:bCs/>
          <w:color w:val="000000"/>
          <w:kern w:val="0"/>
          <w:szCs w:val="21"/>
        </w:rPr>
        <w:t>利率风险</w:t>
      </w:r>
    </w:p>
    <w:p w:rsidR="003663E4" w:rsidRDefault="00FD3F7D">
      <w:pPr>
        <w:spacing w:line="360" w:lineRule="auto"/>
        <w:ind w:firstLineChars="200" w:firstLine="420"/>
        <w:rPr>
          <w:color w:val="000000"/>
          <w:szCs w:val="21"/>
        </w:rPr>
      </w:pPr>
      <w:r>
        <w:rPr>
          <w:color w:val="000000"/>
          <w:szCs w:val="21"/>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663E4" w:rsidRDefault="00FD3F7D">
      <w:pPr>
        <w:spacing w:line="360" w:lineRule="auto"/>
        <w:ind w:firstLineChars="200" w:firstLine="420"/>
        <w:rPr>
          <w:color w:val="000000"/>
          <w:szCs w:val="21"/>
        </w:rPr>
      </w:pPr>
      <w:r>
        <w:rPr>
          <w:color w:val="000000"/>
          <w:szCs w:val="21"/>
        </w:rPr>
        <w:t>本基金主要投资于银行间同业市场交易的固定收益品种，因此存在相应的利率风险。本基金的基金管理人每日通过</w:t>
      </w:r>
      <w:r>
        <w:rPr>
          <w:color w:val="000000"/>
          <w:szCs w:val="21"/>
        </w:rPr>
        <w:t>“</w:t>
      </w:r>
      <w:r>
        <w:rPr>
          <w:color w:val="000000"/>
          <w:szCs w:val="21"/>
        </w:rPr>
        <w:t>影子定价</w:t>
      </w:r>
      <w:r>
        <w:rPr>
          <w:color w:val="000000"/>
          <w:szCs w:val="21"/>
        </w:rPr>
        <w:t>”</w:t>
      </w:r>
      <w:r>
        <w:rPr>
          <w:color w:val="000000"/>
          <w:szCs w:val="21"/>
        </w:rPr>
        <w:t>对本基金面临的市场风险进行监控，定期对本基金面临的利率敏感性缺口进行监控，并通过调整投资组合的久期等方法对上述利率风险进行</w:t>
      </w:r>
      <w:r>
        <w:rPr>
          <w:color w:val="000000"/>
          <w:szCs w:val="21"/>
        </w:rPr>
        <w:t>管理。</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7.2.4.13.4.1.1</w:t>
      </w:r>
      <w:r>
        <w:rPr>
          <w:rFonts w:hint="eastAsia"/>
          <w:b/>
          <w:bCs/>
          <w:color w:val="000000"/>
          <w:kern w:val="0"/>
          <w:szCs w:val="21"/>
        </w:rPr>
        <w:t xml:space="preserve"> </w:t>
      </w:r>
      <w:r>
        <w:rPr>
          <w:b/>
          <w:bCs/>
          <w:color w:val="000000"/>
          <w:kern w:val="0"/>
          <w:szCs w:val="21"/>
        </w:rPr>
        <w:t>利率风险敞口</w:t>
      </w:r>
    </w:p>
    <w:p w:rsidR="003663E4" w:rsidRDefault="00FD3F7D">
      <w:pPr>
        <w:autoSpaceDE w:val="0"/>
        <w:autoSpaceDN w:val="0"/>
        <w:adjustRightInd w:val="0"/>
        <w:spacing w:line="360" w:lineRule="auto"/>
        <w:ind w:left="15"/>
        <w:jc w:val="right"/>
        <w:rPr>
          <w:rFonts w:eastAsiaTheme="minorEastAsia"/>
          <w:color w:val="000000"/>
          <w:szCs w:val="21"/>
        </w:rPr>
      </w:pPr>
      <w:r>
        <w:rPr>
          <w:rFonts w:eastAsiaTheme="minorEastAsia"/>
          <w:color w:val="000000"/>
          <w:szCs w:val="21"/>
        </w:rPr>
        <w:t>单位：人民币元</w:t>
      </w:r>
    </w:p>
    <w:tbl>
      <w:tblPr>
        <w:tblW w:w="9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38"/>
        <w:gridCol w:w="1478"/>
        <w:gridCol w:w="1417"/>
        <w:gridCol w:w="1418"/>
        <w:gridCol w:w="709"/>
        <w:gridCol w:w="648"/>
        <w:gridCol w:w="1134"/>
        <w:gridCol w:w="1336"/>
      </w:tblGrid>
      <w:tr w:rsidR="003663E4">
        <w:trPr>
          <w:trHeight w:val="280"/>
        </w:trPr>
        <w:tc>
          <w:tcPr>
            <w:tcW w:w="1538" w:type="dxa"/>
            <w:vAlign w:val="center"/>
          </w:tcPr>
          <w:p w:rsidR="003663E4" w:rsidRDefault="00FD3F7D">
            <w:pPr>
              <w:spacing w:line="276" w:lineRule="auto"/>
              <w:jc w:val="center"/>
              <w:rPr>
                <w:b/>
                <w:color w:val="000000"/>
                <w:sz w:val="18"/>
                <w:szCs w:val="18"/>
              </w:rPr>
            </w:pPr>
            <w:r>
              <w:rPr>
                <w:rFonts w:hint="eastAsia"/>
                <w:b/>
                <w:color w:val="000000"/>
                <w:sz w:val="18"/>
                <w:szCs w:val="18"/>
              </w:rPr>
              <w:t>本期末</w:t>
            </w:r>
          </w:p>
          <w:p w:rsidR="003663E4" w:rsidRDefault="00FD3F7D">
            <w:pPr>
              <w:spacing w:line="276" w:lineRule="auto"/>
              <w:jc w:val="center"/>
              <w:rPr>
                <w:b/>
                <w:color w:val="000000"/>
                <w:sz w:val="18"/>
                <w:szCs w:val="18"/>
              </w:rPr>
            </w:pPr>
            <w:r>
              <w:rPr>
                <w:b/>
                <w:color w:val="000000"/>
                <w:sz w:val="18"/>
                <w:szCs w:val="18"/>
              </w:rPr>
              <w:t>2020</w:t>
            </w:r>
            <w:r>
              <w:rPr>
                <w:rFonts w:hint="eastAsia"/>
                <w:b/>
                <w:color w:val="000000"/>
                <w:sz w:val="18"/>
                <w:szCs w:val="18"/>
              </w:rPr>
              <w:t>年</w:t>
            </w:r>
            <w:r>
              <w:rPr>
                <w:b/>
                <w:color w:val="000000"/>
                <w:sz w:val="18"/>
                <w:szCs w:val="18"/>
              </w:rPr>
              <w:t>7</w:t>
            </w:r>
            <w:r>
              <w:rPr>
                <w:rFonts w:hint="eastAsia"/>
                <w:b/>
                <w:color w:val="000000"/>
                <w:sz w:val="18"/>
                <w:szCs w:val="18"/>
              </w:rPr>
              <w:t>月</w:t>
            </w:r>
            <w:r>
              <w:rPr>
                <w:b/>
                <w:color w:val="000000"/>
                <w:sz w:val="18"/>
                <w:szCs w:val="18"/>
              </w:rPr>
              <w:t>27</w:t>
            </w:r>
            <w:r>
              <w:rPr>
                <w:rFonts w:hint="eastAsia"/>
                <w:b/>
                <w:color w:val="000000"/>
                <w:sz w:val="18"/>
                <w:szCs w:val="18"/>
              </w:rPr>
              <w:t>日</w:t>
            </w:r>
          </w:p>
          <w:p w:rsidR="003663E4" w:rsidRDefault="00FD3F7D">
            <w:pPr>
              <w:spacing w:line="276" w:lineRule="auto"/>
              <w:jc w:val="center"/>
              <w:rPr>
                <w:b/>
                <w:color w:val="000000"/>
                <w:sz w:val="18"/>
                <w:szCs w:val="18"/>
              </w:rPr>
            </w:pPr>
            <w:r>
              <w:rPr>
                <w:rFonts w:hint="eastAsia"/>
                <w:color w:val="000000"/>
                <w:sz w:val="18"/>
                <w:szCs w:val="18"/>
              </w:rPr>
              <w:t>（基金合同失效前日）</w:t>
            </w:r>
          </w:p>
        </w:tc>
        <w:tc>
          <w:tcPr>
            <w:tcW w:w="1478" w:type="dxa"/>
            <w:vAlign w:val="center"/>
          </w:tcPr>
          <w:p w:rsidR="003663E4" w:rsidRDefault="00FD3F7D">
            <w:pPr>
              <w:spacing w:line="276" w:lineRule="auto"/>
              <w:jc w:val="center"/>
              <w:rPr>
                <w:b/>
                <w:color w:val="000000"/>
                <w:sz w:val="18"/>
                <w:szCs w:val="18"/>
              </w:rPr>
            </w:pPr>
            <w:r>
              <w:rPr>
                <w:color w:val="000000"/>
                <w:sz w:val="18"/>
                <w:szCs w:val="18"/>
                <w:lang w:val="en-GB"/>
              </w:rPr>
              <w:t>1</w:t>
            </w:r>
            <w:r>
              <w:rPr>
                <w:color w:val="000000"/>
                <w:sz w:val="18"/>
                <w:szCs w:val="18"/>
                <w:lang w:val="en-GB"/>
              </w:rPr>
              <w:t>个月以内</w:t>
            </w:r>
          </w:p>
        </w:tc>
        <w:tc>
          <w:tcPr>
            <w:tcW w:w="1417" w:type="dxa"/>
            <w:vAlign w:val="center"/>
          </w:tcPr>
          <w:p w:rsidR="003663E4" w:rsidRDefault="00FD3F7D">
            <w:pPr>
              <w:spacing w:line="276" w:lineRule="auto"/>
              <w:jc w:val="center"/>
              <w:rPr>
                <w:b/>
                <w:color w:val="000000"/>
                <w:sz w:val="18"/>
                <w:szCs w:val="18"/>
              </w:rPr>
            </w:pPr>
            <w:r>
              <w:rPr>
                <w:color w:val="000000"/>
                <w:sz w:val="18"/>
                <w:szCs w:val="18"/>
              </w:rPr>
              <w:t>1-3</w:t>
            </w:r>
            <w:r>
              <w:rPr>
                <w:color w:val="000000"/>
                <w:sz w:val="18"/>
                <w:szCs w:val="18"/>
              </w:rPr>
              <w:t>个月</w:t>
            </w:r>
          </w:p>
        </w:tc>
        <w:tc>
          <w:tcPr>
            <w:tcW w:w="1418" w:type="dxa"/>
            <w:vAlign w:val="center"/>
          </w:tcPr>
          <w:p w:rsidR="003663E4" w:rsidRDefault="00FD3F7D">
            <w:pPr>
              <w:spacing w:line="276" w:lineRule="auto"/>
              <w:jc w:val="center"/>
              <w:rPr>
                <w:b/>
                <w:color w:val="000000"/>
                <w:sz w:val="18"/>
                <w:szCs w:val="18"/>
              </w:rPr>
            </w:pPr>
            <w:r>
              <w:rPr>
                <w:color w:val="000000"/>
                <w:sz w:val="18"/>
                <w:szCs w:val="18"/>
              </w:rPr>
              <w:t>3</w:t>
            </w:r>
            <w:r>
              <w:rPr>
                <w:color w:val="000000"/>
                <w:sz w:val="18"/>
                <w:szCs w:val="18"/>
              </w:rPr>
              <w:t>个月</w:t>
            </w:r>
            <w:r>
              <w:rPr>
                <w:color w:val="000000"/>
                <w:sz w:val="18"/>
                <w:szCs w:val="18"/>
              </w:rPr>
              <w:t>-1</w:t>
            </w:r>
            <w:r>
              <w:rPr>
                <w:color w:val="000000"/>
                <w:sz w:val="18"/>
                <w:szCs w:val="18"/>
              </w:rPr>
              <w:t>年</w:t>
            </w:r>
          </w:p>
        </w:tc>
        <w:tc>
          <w:tcPr>
            <w:tcW w:w="709" w:type="dxa"/>
            <w:vAlign w:val="center"/>
          </w:tcPr>
          <w:p w:rsidR="003663E4" w:rsidRDefault="00FD3F7D">
            <w:pPr>
              <w:spacing w:line="276" w:lineRule="auto"/>
              <w:jc w:val="center"/>
              <w:rPr>
                <w:b/>
                <w:color w:val="000000"/>
                <w:sz w:val="18"/>
                <w:szCs w:val="18"/>
              </w:rPr>
            </w:pPr>
            <w:r>
              <w:rPr>
                <w:b/>
                <w:color w:val="000000"/>
                <w:sz w:val="18"/>
                <w:szCs w:val="18"/>
              </w:rPr>
              <w:t>1-5</w:t>
            </w:r>
            <w:r>
              <w:rPr>
                <w:rFonts w:hint="eastAsia"/>
                <w:b/>
                <w:color w:val="000000"/>
                <w:sz w:val="18"/>
                <w:szCs w:val="18"/>
              </w:rPr>
              <w:t>年</w:t>
            </w:r>
          </w:p>
        </w:tc>
        <w:tc>
          <w:tcPr>
            <w:tcW w:w="648" w:type="dxa"/>
            <w:vAlign w:val="center"/>
          </w:tcPr>
          <w:p w:rsidR="003663E4" w:rsidRDefault="00FD3F7D">
            <w:pPr>
              <w:spacing w:line="276" w:lineRule="auto"/>
              <w:jc w:val="center"/>
              <w:rPr>
                <w:b/>
                <w:color w:val="000000"/>
                <w:sz w:val="18"/>
                <w:szCs w:val="18"/>
              </w:rPr>
            </w:pPr>
            <w:r>
              <w:rPr>
                <w:b/>
                <w:color w:val="000000"/>
                <w:sz w:val="18"/>
                <w:szCs w:val="18"/>
              </w:rPr>
              <w:t>5</w:t>
            </w:r>
            <w:r>
              <w:rPr>
                <w:rFonts w:hint="eastAsia"/>
                <w:b/>
                <w:color w:val="000000"/>
                <w:sz w:val="18"/>
                <w:szCs w:val="18"/>
              </w:rPr>
              <w:t>年以上</w:t>
            </w:r>
          </w:p>
        </w:tc>
        <w:tc>
          <w:tcPr>
            <w:tcW w:w="1134" w:type="dxa"/>
            <w:vAlign w:val="center"/>
          </w:tcPr>
          <w:p w:rsidR="003663E4" w:rsidRDefault="00FD3F7D">
            <w:pPr>
              <w:spacing w:line="276" w:lineRule="auto"/>
              <w:jc w:val="center"/>
              <w:rPr>
                <w:b/>
                <w:color w:val="000000"/>
                <w:sz w:val="18"/>
                <w:szCs w:val="18"/>
              </w:rPr>
            </w:pPr>
            <w:r>
              <w:rPr>
                <w:rFonts w:hint="eastAsia"/>
                <w:b/>
                <w:color w:val="000000"/>
                <w:sz w:val="18"/>
                <w:szCs w:val="18"/>
              </w:rPr>
              <w:t>不计息</w:t>
            </w:r>
          </w:p>
        </w:tc>
        <w:tc>
          <w:tcPr>
            <w:tcW w:w="1336" w:type="dxa"/>
            <w:vAlign w:val="center"/>
          </w:tcPr>
          <w:p w:rsidR="003663E4" w:rsidRDefault="00FD3F7D">
            <w:pPr>
              <w:spacing w:line="276" w:lineRule="auto"/>
              <w:jc w:val="center"/>
              <w:rPr>
                <w:b/>
                <w:color w:val="000000"/>
                <w:sz w:val="18"/>
                <w:szCs w:val="18"/>
              </w:rPr>
            </w:pPr>
            <w:r>
              <w:rPr>
                <w:rFonts w:hint="eastAsia"/>
                <w:b/>
                <w:color w:val="000000"/>
                <w:sz w:val="18"/>
                <w:szCs w:val="18"/>
              </w:rPr>
              <w:t>合计</w:t>
            </w:r>
          </w:p>
        </w:tc>
      </w:tr>
      <w:tr w:rsidR="003663E4">
        <w:trPr>
          <w:trHeight w:val="280"/>
        </w:trPr>
        <w:tc>
          <w:tcPr>
            <w:tcW w:w="1538" w:type="dxa"/>
            <w:vAlign w:val="center"/>
          </w:tcPr>
          <w:p w:rsidR="003663E4" w:rsidRDefault="00FD3F7D">
            <w:pPr>
              <w:spacing w:line="276" w:lineRule="auto"/>
              <w:rPr>
                <w:color w:val="000000"/>
                <w:sz w:val="18"/>
                <w:szCs w:val="18"/>
              </w:rPr>
            </w:pPr>
            <w:r>
              <w:rPr>
                <w:rFonts w:hint="eastAsia"/>
                <w:color w:val="000000"/>
                <w:sz w:val="18"/>
                <w:szCs w:val="18"/>
              </w:rPr>
              <w:t>资产</w:t>
            </w:r>
          </w:p>
        </w:tc>
        <w:tc>
          <w:tcPr>
            <w:tcW w:w="1478" w:type="dxa"/>
            <w:vAlign w:val="center"/>
          </w:tcPr>
          <w:p w:rsidR="003663E4" w:rsidRDefault="003663E4">
            <w:pPr>
              <w:spacing w:line="276" w:lineRule="auto"/>
              <w:jc w:val="right"/>
              <w:rPr>
                <w:color w:val="000000"/>
                <w:sz w:val="18"/>
                <w:szCs w:val="18"/>
              </w:rPr>
            </w:pPr>
          </w:p>
        </w:tc>
        <w:tc>
          <w:tcPr>
            <w:tcW w:w="1417" w:type="dxa"/>
          </w:tcPr>
          <w:p w:rsidR="003663E4" w:rsidRDefault="003663E4">
            <w:pPr>
              <w:spacing w:line="276" w:lineRule="auto"/>
              <w:jc w:val="right"/>
              <w:rPr>
                <w:color w:val="000000"/>
                <w:sz w:val="18"/>
                <w:szCs w:val="18"/>
              </w:rPr>
            </w:pPr>
          </w:p>
        </w:tc>
        <w:tc>
          <w:tcPr>
            <w:tcW w:w="1418" w:type="dxa"/>
          </w:tcPr>
          <w:p w:rsidR="003663E4" w:rsidRDefault="003663E4">
            <w:pPr>
              <w:spacing w:line="276" w:lineRule="auto"/>
              <w:jc w:val="right"/>
              <w:rPr>
                <w:color w:val="000000"/>
                <w:sz w:val="18"/>
                <w:szCs w:val="18"/>
              </w:rPr>
            </w:pPr>
          </w:p>
        </w:tc>
        <w:tc>
          <w:tcPr>
            <w:tcW w:w="709" w:type="dxa"/>
            <w:vAlign w:val="center"/>
          </w:tcPr>
          <w:p w:rsidR="003663E4" w:rsidRDefault="003663E4">
            <w:pPr>
              <w:spacing w:line="276" w:lineRule="auto"/>
              <w:jc w:val="right"/>
              <w:rPr>
                <w:color w:val="000000"/>
                <w:sz w:val="18"/>
                <w:szCs w:val="18"/>
              </w:rPr>
            </w:pPr>
          </w:p>
        </w:tc>
        <w:tc>
          <w:tcPr>
            <w:tcW w:w="648" w:type="dxa"/>
            <w:vAlign w:val="center"/>
          </w:tcPr>
          <w:p w:rsidR="003663E4" w:rsidRDefault="003663E4">
            <w:pPr>
              <w:spacing w:line="276" w:lineRule="auto"/>
              <w:jc w:val="right"/>
              <w:rPr>
                <w:color w:val="000000"/>
                <w:sz w:val="18"/>
                <w:szCs w:val="18"/>
              </w:rPr>
            </w:pPr>
          </w:p>
        </w:tc>
        <w:tc>
          <w:tcPr>
            <w:tcW w:w="1134" w:type="dxa"/>
            <w:vAlign w:val="center"/>
          </w:tcPr>
          <w:p w:rsidR="003663E4" w:rsidRDefault="003663E4">
            <w:pPr>
              <w:spacing w:line="276" w:lineRule="auto"/>
              <w:jc w:val="right"/>
              <w:rPr>
                <w:color w:val="000000"/>
                <w:sz w:val="18"/>
                <w:szCs w:val="18"/>
              </w:rPr>
            </w:pPr>
          </w:p>
        </w:tc>
        <w:tc>
          <w:tcPr>
            <w:tcW w:w="1336" w:type="dxa"/>
            <w:vAlign w:val="center"/>
          </w:tcPr>
          <w:p w:rsidR="003663E4" w:rsidRDefault="003663E4">
            <w:pPr>
              <w:spacing w:line="276" w:lineRule="auto"/>
              <w:jc w:val="right"/>
              <w:rPr>
                <w:b/>
                <w:color w:val="000000"/>
                <w:sz w:val="18"/>
                <w:szCs w:val="18"/>
              </w:rPr>
            </w:pPr>
          </w:p>
        </w:tc>
      </w:tr>
      <w:tr w:rsidR="003663E4">
        <w:tc>
          <w:tcPr>
            <w:tcW w:w="1538" w:type="dxa"/>
            <w:vAlign w:val="center"/>
          </w:tcPr>
          <w:p w:rsidR="003663E4" w:rsidRDefault="00FD3F7D">
            <w:pPr>
              <w:jc w:val="center"/>
              <w:rPr>
                <w:sz w:val="18"/>
                <w:szCs w:val="18"/>
              </w:rPr>
            </w:pPr>
            <w:r>
              <w:rPr>
                <w:rFonts w:hint="eastAsia"/>
                <w:color w:val="000000"/>
                <w:sz w:val="18"/>
                <w:szCs w:val="18"/>
              </w:rPr>
              <w:t>银行存款</w:t>
            </w:r>
          </w:p>
        </w:tc>
        <w:tc>
          <w:tcPr>
            <w:tcW w:w="1478" w:type="dxa"/>
            <w:vAlign w:val="center"/>
          </w:tcPr>
          <w:p w:rsidR="003663E4" w:rsidRDefault="00FD3F7D">
            <w:pPr>
              <w:jc w:val="right"/>
              <w:rPr>
                <w:sz w:val="18"/>
                <w:szCs w:val="18"/>
              </w:rPr>
            </w:pPr>
            <w:r>
              <w:rPr>
                <w:color w:val="000000"/>
                <w:sz w:val="18"/>
                <w:szCs w:val="18"/>
              </w:rPr>
              <w:t>2,715,773.95</w:t>
            </w:r>
          </w:p>
        </w:tc>
        <w:tc>
          <w:tcPr>
            <w:tcW w:w="1417" w:type="dxa"/>
          </w:tcPr>
          <w:p w:rsidR="003663E4" w:rsidRDefault="00FD3F7D">
            <w:pPr>
              <w:jc w:val="right"/>
              <w:rPr>
                <w:color w:val="000000"/>
                <w:sz w:val="18"/>
                <w:szCs w:val="18"/>
              </w:rPr>
            </w:pPr>
            <w:r>
              <w:rPr>
                <w:rFonts w:hint="eastAsia"/>
                <w:color w:val="000000"/>
                <w:sz w:val="18"/>
                <w:szCs w:val="18"/>
              </w:rPr>
              <w:t>-</w:t>
            </w:r>
          </w:p>
        </w:tc>
        <w:tc>
          <w:tcPr>
            <w:tcW w:w="1418" w:type="dxa"/>
          </w:tcPr>
          <w:p w:rsidR="003663E4" w:rsidRDefault="00FD3F7D">
            <w:pPr>
              <w:jc w:val="right"/>
              <w:rPr>
                <w:color w:val="000000"/>
                <w:sz w:val="18"/>
                <w:szCs w:val="18"/>
              </w:rPr>
            </w:pPr>
            <w:r>
              <w:rPr>
                <w:rFonts w:hint="eastAsia"/>
                <w:color w:val="000000"/>
                <w:sz w:val="18"/>
                <w:szCs w:val="18"/>
              </w:rPr>
              <w:t>-</w:t>
            </w:r>
          </w:p>
        </w:tc>
        <w:tc>
          <w:tcPr>
            <w:tcW w:w="709" w:type="dxa"/>
            <w:vAlign w:val="center"/>
          </w:tcPr>
          <w:p w:rsidR="003663E4" w:rsidRDefault="00FD3F7D">
            <w:pPr>
              <w:jc w:val="right"/>
              <w:rPr>
                <w:sz w:val="18"/>
                <w:szCs w:val="18"/>
              </w:rPr>
            </w:pPr>
            <w:r>
              <w:rPr>
                <w:color w:val="000000"/>
                <w:sz w:val="18"/>
                <w:szCs w:val="18"/>
              </w:rPr>
              <w:t>-</w:t>
            </w:r>
          </w:p>
        </w:tc>
        <w:tc>
          <w:tcPr>
            <w:tcW w:w="648" w:type="dxa"/>
            <w:vAlign w:val="center"/>
          </w:tcPr>
          <w:p w:rsidR="003663E4" w:rsidRDefault="00FD3F7D">
            <w:pPr>
              <w:jc w:val="right"/>
              <w:rPr>
                <w:sz w:val="18"/>
                <w:szCs w:val="18"/>
              </w:rPr>
            </w:pPr>
            <w:r>
              <w:rPr>
                <w:color w:val="000000"/>
                <w:sz w:val="18"/>
                <w:szCs w:val="18"/>
              </w:rPr>
              <w:t>-</w:t>
            </w:r>
          </w:p>
        </w:tc>
        <w:tc>
          <w:tcPr>
            <w:tcW w:w="1134" w:type="dxa"/>
            <w:vAlign w:val="center"/>
          </w:tcPr>
          <w:p w:rsidR="003663E4" w:rsidRDefault="00FD3F7D">
            <w:pPr>
              <w:jc w:val="right"/>
              <w:rPr>
                <w:sz w:val="18"/>
                <w:szCs w:val="18"/>
              </w:rPr>
            </w:pPr>
            <w:r>
              <w:rPr>
                <w:color w:val="000000"/>
                <w:sz w:val="18"/>
                <w:szCs w:val="18"/>
              </w:rPr>
              <w:t>-</w:t>
            </w:r>
          </w:p>
        </w:tc>
        <w:tc>
          <w:tcPr>
            <w:tcW w:w="1336" w:type="dxa"/>
            <w:vAlign w:val="center"/>
          </w:tcPr>
          <w:p w:rsidR="003663E4" w:rsidRDefault="00FD3F7D">
            <w:pPr>
              <w:jc w:val="right"/>
              <w:rPr>
                <w:sz w:val="18"/>
                <w:szCs w:val="18"/>
              </w:rPr>
            </w:pPr>
            <w:r>
              <w:rPr>
                <w:color w:val="000000"/>
                <w:sz w:val="18"/>
                <w:szCs w:val="18"/>
              </w:rPr>
              <w:t>2,715,773.95</w:t>
            </w:r>
          </w:p>
        </w:tc>
      </w:tr>
      <w:tr w:rsidR="003663E4">
        <w:tc>
          <w:tcPr>
            <w:tcW w:w="1538" w:type="dxa"/>
            <w:vAlign w:val="center"/>
          </w:tcPr>
          <w:p w:rsidR="003663E4" w:rsidRDefault="00FD3F7D">
            <w:pPr>
              <w:jc w:val="center"/>
              <w:rPr>
                <w:sz w:val="18"/>
                <w:szCs w:val="18"/>
              </w:rPr>
            </w:pPr>
            <w:r>
              <w:rPr>
                <w:rFonts w:hint="eastAsia"/>
                <w:color w:val="000000"/>
                <w:sz w:val="18"/>
                <w:szCs w:val="18"/>
              </w:rPr>
              <w:t>买入返售金融资产</w:t>
            </w:r>
          </w:p>
        </w:tc>
        <w:tc>
          <w:tcPr>
            <w:tcW w:w="1478" w:type="dxa"/>
            <w:vAlign w:val="center"/>
          </w:tcPr>
          <w:p w:rsidR="003663E4" w:rsidRDefault="00FD3F7D">
            <w:pPr>
              <w:jc w:val="right"/>
              <w:rPr>
                <w:sz w:val="18"/>
                <w:szCs w:val="18"/>
              </w:rPr>
            </w:pPr>
            <w:r>
              <w:rPr>
                <w:color w:val="000000"/>
                <w:sz w:val="18"/>
                <w:szCs w:val="18"/>
              </w:rPr>
              <w:t>35,000,000.00</w:t>
            </w:r>
          </w:p>
        </w:tc>
        <w:tc>
          <w:tcPr>
            <w:tcW w:w="1417" w:type="dxa"/>
          </w:tcPr>
          <w:p w:rsidR="003663E4" w:rsidRDefault="00FD3F7D">
            <w:pPr>
              <w:jc w:val="right"/>
              <w:rPr>
                <w:color w:val="000000"/>
                <w:sz w:val="18"/>
                <w:szCs w:val="18"/>
              </w:rPr>
            </w:pPr>
            <w:r>
              <w:rPr>
                <w:rFonts w:hint="eastAsia"/>
                <w:color w:val="000000"/>
                <w:sz w:val="18"/>
                <w:szCs w:val="18"/>
              </w:rPr>
              <w:t>-</w:t>
            </w:r>
          </w:p>
        </w:tc>
        <w:tc>
          <w:tcPr>
            <w:tcW w:w="1418" w:type="dxa"/>
          </w:tcPr>
          <w:p w:rsidR="003663E4" w:rsidRDefault="00FD3F7D">
            <w:pPr>
              <w:jc w:val="right"/>
              <w:rPr>
                <w:color w:val="000000"/>
                <w:sz w:val="18"/>
                <w:szCs w:val="18"/>
              </w:rPr>
            </w:pPr>
            <w:r>
              <w:rPr>
                <w:rFonts w:hint="eastAsia"/>
                <w:color w:val="000000"/>
                <w:sz w:val="18"/>
                <w:szCs w:val="18"/>
              </w:rPr>
              <w:t>-</w:t>
            </w:r>
          </w:p>
        </w:tc>
        <w:tc>
          <w:tcPr>
            <w:tcW w:w="709" w:type="dxa"/>
            <w:vAlign w:val="center"/>
          </w:tcPr>
          <w:p w:rsidR="003663E4" w:rsidRDefault="00FD3F7D">
            <w:pPr>
              <w:jc w:val="right"/>
              <w:rPr>
                <w:sz w:val="18"/>
                <w:szCs w:val="18"/>
              </w:rPr>
            </w:pPr>
            <w:r>
              <w:rPr>
                <w:color w:val="000000"/>
                <w:sz w:val="18"/>
                <w:szCs w:val="18"/>
              </w:rPr>
              <w:t>-</w:t>
            </w:r>
          </w:p>
        </w:tc>
        <w:tc>
          <w:tcPr>
            <w:tcW w:w="648" w:type="dxa"/>
            <w:vAlign w:val="center"/>
          </w:tcPr>
          <w:p w:rsidR="003663E4" w:rsidRDefault="00FD3F7D">
            <w:pPr>
              <w:jc w:val="right"/>
              <w:rPr>
                <w:sz w:val="18"/>
                <w:szCs w:val="18"/>
              </w:rPr>
            </w:pPr>
            <w:r>
              <w:rPr>
                <w:color w:val="000000"/>
                <w:sz w:val="18"/>
                <w:szCs w:val="18"/>
              </w:rPr>
              <w:t>-</w:t>
            </w:r>
          </w:p>
        </w:tc>
        <w:tc>
          <w:tcPr>
            <w:tcW w:w="1134" w:type="dxa"/>
            <w:vAlign w:val="center"/>
          </w:tcPr>
          <w:p w:rsidR="003663E4" w:rsidRDefault="00FD3F7D">
            <w:pPr>
              <w:jc w:val="right"/>
              <w:rPr>
                <w:sz w:val="18"/>
                <w:szCs w:val="18"/>
              </w:rPr>
            </w:pPr>
            <w:r>
              <w:rPr>
                <w:color w:val="000000"/>
                <w:sz w:val="18"/>
                <w:szCs w:val="18"/>
              </w:rPr>
              <w:t>-</w:t>
            </w:r>
          </w:p>
        </w:tc>
        <w:tc>
          <w:tcPr>
            <w:tcW w:w="1336" w:type="dxa"/>
            <w:vAlign w:val="center"/>
          </w:tcPr>
          <w:p w:rsidR="003663E4" w:rsidRDefault="00FD3F7D">
            <w:pPr>
              <w:jc w:val="right"/>
              <w:rPr>
                <w:sz w:val="18"/>
                <w:szCs w:val="18"/>
              </w:rPr>
            </w:pPr>
            <w:r>
              <w:rPr>
                <w:color w:val="000000"/>
                <w:sz w:val="18"/>
                <w:szCs w:val="18"/>
              </w:rPr>
              <w:t>35,000,000.00</w:t>
            </w:r>
          </w:p>
        </w:tc>
      </w:tr>
      <w:tr w:rsidR="003663E4">
        <w:tc>
          <w:tcPr>
            <w:tcW w:w="1538" w:type="dxa"/>
            <w:vAlign w:val="center"/>
          </w:tcPr>
          <w:p w:rsidR="003663E4" w:rsidRDefault="00FD3F7D">
            <w:pPr>
              <w:jc w:val="center"/>
              <w:rPr>
                <w:sz w:val="18"/>
                <w:szCs w:val="18"/>
              </w:rPr>
            </w:pPr>
            <w:r>
              <w:rPr>
                <w:rFonts w:hint="eastAsia"/>
                <w:color w:val="000000"/>
                <w:sz w:val="18"/>
                <w:szCs w:val="18"/>
              </w:rPr>
              <w:t>交易性金融资产</w:t>
            </w:r>
          </w:p>
        </w:tc>
        <w:tc>
          <w:tcPr>
            <w:tcW w:w="1478" w:type="dxa"/>
            <w:vAlign w:val="center"/>
          </w:tcPr>
          <w:p w:rsidR="003663E4" w:rsidRDefault="00FD3F7D">
            <w:pPr>
              <w:jc w:val="right"/>
              <w:rPr>
                <w:sz w:val="18"/>
                <w:szCs w:val="18"/>
              </w:rPr>
            </w:pPr>
            <w:r>
              <w:rPr>
                <w:color w:val="000000"/>
                <w:sz w:val="18"/>
                <w:szCs w:val="18"/>
              </w:rPr>
              <w:t>-</w:t>
            </w:r>
          </w:p>
        </w:tc>
        <w:tc>
          <w:tcPr>
            <w:tcW w:w="1417" w:type="dxa"/>
          </w:tcPr>
          <w:p w:rsidR="003663E4" w:rsidRDefault="00FD3F7D">
            <w:pPr>
              <w:jc w:val="right"/>
              <w:rPr>
                <w:color w:val="000000"/>
                <w:sz w:val="18"/>
                <w:szCs w:val="18"/>
              </w:rPr>
            </w:pPr>
            <w:r>
              <w:rPr>
                <w:color w:val="000000"/>
                <w:sz w:val="18"/>
                <w:szCs w:val="18"/>
              </w:rPr>
              <w:t>329,597,832.45</w:t>
            </w:r>
          </w:p>
        </w:tc>
        <w:tc>
          <w:tcPr>
            <w:tcW w:w="1418" w:type="dxa"/>
          </w:tcPr>
          <w:p w:rsidR="003663E4" w:rsidRDefault="00FD3F7D">
            <w:pPr>
              <w:jc w:val="right"/>
              <w:rPr>
                <w:color w:val="000000"/>
                <w:sz w:val="18"/>
                <w:szCs w:val="18"/>
              </w:rPr>
            </w:pPr>
            <w:r>
              <w:rPr>
                <w:color w:val="000000"/>
                <w:sz w:val="18"/>
                <w:szCs w:val="18"/>
              </w:rPr>
              <w:t>400,368,219.70</w:t>
            </w:r>
          </w:p>
        </w:tc>
        <w:tc>
          <w:tcPr>
            <w:tcW w:w="709" w:type="dxa"/>
            <w:vAlign w:val="center"/>
          </w:tcPr>
          <w:p w:rsidR="003663E4" w:rsidRDefault="00FD3F7D">
            <w:pPr>
              <w:jc w:val="right"/>
              <w:rPr>
                <w:sz w:val="18"/>
                <w:szCs w:val="18"/>
              </w:rPr>
            </w:pPr>
            <w:r>
              <w:rPr>
                <w:color w:val="000000"/>
                <w:sz w:val="18"/>
                <w:szCs w:val="18"/>
              </w:rPr>
              <w:t>-</w:t>
            </w:r>
          </w:p>
        </w:tc>
        <w:tc>
          <w:tcPr>
            <w:tcW w:w="648" w:type="dxa"/>
            <w:vAlign w:val="center"/>
          </w:tcPr>
          <w:p w:rsidR="003663E4" w:rsidRDefault="00FD3F7D">
            <w:pPr>
              <w:jc w:val="right"/>
              <w:rPr>
                <w:sz w:val="18"/>
                <w:szCs w:val="18"/>
              </w:rPr>
            </w:pPr>
            <w:r>
              <w:rPr>
                <w:color w:val="000000"/>
                <w:sz w:val="18"/>
                <w:szCs w:val="18"/>
              </w:rPr>
              <w:t>-</w:t>
            </w:r>
          </w:p>
        </w:tc>
        <w:tc>
          <w:tcPr>
            <w:tcW w:w="1134" w:type="dxa"/>
            <w:vAlign w:val="center"/>
          </w:tcPr>
          <w:p w:rsidR="003663E4" w:rsidRDefault="00FD3F7D">
            <w:pPr>
              <w:jc w:val="right"/>
              <w:rPr>
                <w:sz w:val="18"/>
                <w:szCs w:val="18"/>
              </w:rPr>
            </w:pPr>
            <w:r>
              <w:rPr>
                <w:color w:val="000000"/>
                <w:sz w:val="18"/>
                <w:szCs w:val="18"/>
              </w:rPr>
              <w:t>-</w:t>
            </w:r>
          </w:p>
        </w:tc>
        <w:tc>
          <w:tcPr>
            <w:tcW w:w="1336" w:type="dxa"/>
            <w:vAlign w:val="center"/>
          </w:tcPr>
          <w:p w:rsidR="003663E4" w:rsidRDefault="00FD3F7D">
            <w:pPr>
              <w:jc w:val="right"/>
              <w:rPr>
                <w:sz w:val="18"/>
                <w:szCs w:val="18"/>
              </w:rPr>
            </w:pPr>
            <w:r>
              <w:rPr>
                <w:color w:val="000000"/>
                <w:sz w:val="18"/>
                <w:szCs w:val="18"/>
              </w:rPr>
              <w:t>729,966,052.15</w:t>
            </w:r>
          </w:p>
        </w:tc>
      </w:tr>
      <w:tr w:rsidR="003663E4">
        <w:tc>
          <w:tcPr>
            <w:tcW w:w="1538" w:type="dxa"/>
            <w:vAlign w:val="center"/>
          </w:tcPr>
          <w:p w:rsidR="003663E4" w:rsidRDefault="00FD3F7D">
            <w:pPr>
              <w:jc w:val="center"/>
              <w:rPr>
                <w:sz w:val="18"/>
                <w:szCs w:val="18"/>
              </w:rPr>
            </w:pPr>
            <w:r>
              <w:rPr>
                <w:rFonts w:hint="eastAsia"/>
                <w:color w:val="000000"/>
                <w:sz w:val="18"/>
                <w:szCs w:val="18"/>
              </w:rPr>
              <w:t>应收利息</w:t>
            </w:r>
          </w:p>
        </w:tc>
        <w:tc>
          <w:tcPr>
            <w:tcW w:w="1478" w:type="dxa"/>
            <w:vAlign w:val="center"/>
          </w:tcPr>
          <w:p w:rsidR="003663E4" w:rsidRDefault="00FD3F7D">
            <w:pPr>
              <w:jc w:val="right"/>
              <w:rPr>
                <w:sz w:val="18"/>
                <w:szCs w:val="18"/>
              </w:rPr>
            </w:pPr>
            <w:r>
              <w:rPr>
                <w:color w:val="000000"/>
                <w:sz w:val="18"/>
                <w:szCs w:val="18"/>
              </w:rPr>
              <w:t>-</w:t>
            </w:r>
          </w:p>
        </w:tc>
        <w:tc>
          <w:tcPr>
            <w:tcW w:w="1417" w:type="dxa"/>
          </w:tcPr>
          <w:p w:rsidR="003663E4" w:rsidRDefault="003663E4">
            <w:pPr>
              <w:jc w:val="right"/>
              <w:rPr>
                <w:color w:val="000000"/>
                <w:sz w:val="18"/>
                <w:szCs w:val="18"/>
              </w:rPr>
            </w:pPr>
          </w:p>
        </w:tc>
        <w:tc>
          <w:tcPr>
            <w:tcW w:w="1418" w:type="dxa"/>
          </w:tcPr>
          <w:p w:rsidR="003663E4" w:rsidRDefault="003663E4">
            <w:pPr>
              <w:jc w:val="right"/>
              <w:rPr>
                <w:color w:val="000000"/>
                <w:sz w:val="18"/>
                <w:szCs w:val="18"/>
              </w:rPr>
            </w:pPr>
          </w:p>
        </w:tc>
        <w:tc>
          <w:tcPr>
            <w:tcW w:w="709" w:type="dxa"/>
            <w:vAlign w:val="center"/>
          </w:tcPr>
          <w:p w:rsidR="003663E4" w:rsidRDefault="00FD3F7D">
            <w:pPr>
              <w:jc w:val="right"/>
              <w:rPr>
                <w:sz w:val="18"/>
                <w:szCs w:val="18"/>
              </w:rPr>
            </w:pPr>
            <w:r>
              <w:rPr>
                <w:color w:val="000000"/>
                <w:sz w:val="18"/>
                <w:szCs w:val="18"/>
              </w:rPr>
              <w:t>-</w:t>
            </w:r>
          </w:p>
        </w:tc>
        <w:tc>
          <w:tcPr>
            <w:tcW w:w="648" w:type="dxa"/>
            <w:vAlign w:val="center"/>
          </w:tcPr>
          <w:p w:rsidR="003663E4" w:rsidRDefault="00FD3F7D">
            <w:pPr>
              <w:jc w:val="right"/>
              <w:rPr>
                <w:sz w:val="18"/>
                <w:szCs w:val="18"/>
              </w:rPr>
            </w:pPr>
            <w:r>
              <w:rPr>
                <w:color w:val="000000"/>
                <w:sz w:val="18"/>
                <w:szCs w:val="18"/>
              </w:rPr>
              <w:t>-</w:t>
            </w:r>
          </w:p>
        </w:tc>
        <w:tc>
          <w:tcPr>
            <w:tcW w:w="1134" w:type="dxa"/>
            <w:vAlign w:val="center"/>
          </w:tcPr>
          <w:p w:rsidR="003663E4" w:rsidRDefault="00FD3F7D">
            <w:pPr>
              <w:jc w:val="right"/>
              <w:rPr>
                <w:sz w:val="18"/>
                <w:szCs w:val="18"/>
              </w:rPr>
            </w:pPr>
            <w:r>
              <w:rPr>
                <w:color w:val="000000"/>
                <w:sz w:val="18"/>
                <w:szCs w:val="18"/>
              </w:rPr>
              <w:t>5,630,470.47</w:t>
            </w:r>
          </w:p>
        </w:tc>
        <w:tc>
          <w:tcPr>
            <w:tcW w:w="1336" w:type="dxa"/>
            <w:vAlign w:val="center"/>
          </w:tcPr>
          <w:p w:rsidR="003663E4" w:rsidRDefault="00FD3F7D">
            <w:pPr>
              <w:jc w:val="right"/>
              <w:rPr>
                <w:sz w:val="18"/>
                <w:szCs w:val="18"/>
              </w:rPr>
            </w:pPr>
            <w:r>
              <w:rPr>
                <w:color w:val="000000"/>
                <w:sz w:val="18"/>
                <w:szCs w:val="18"/>
              </w:rPr>
              <w:t>5,630,470.47</w:t>
            </w:r>
          </w:p>
        </w:tc>
      </w:tr>
      <w:tr w:rsidR="003663E4">
        <w:trPr>
          <w:trHeight w:val="280"/>
        </w:trPr>
        <w:tc>
          <w:tcPr>
            <w:tcW w:w="1538" w:type="dxa"/>
            <w:vAlign w:val="center"/>
          </w:tcPr>
          <w:p w:rsidR="003663E4" w:rsidRDefault="00FD3F7D">
            <w:pPr>
              <w:autoSpaceDE w:val="0"/>
              <w:autoSpaceDN w:val="0"/>
              <w:adjustRightInd w:val="0"/>
              <w:spacing w:before="29" w:line="276" w:lineRule="auto"/>
              <w:jc w:val="center"/>
              <w:rPr>
                <w:color w:val="000000"/>
                <w:sz w:val="18"/>
                <w:szCs w:val="18"/>
              </w:rPr>
            </w:pPr>
            <w:r>
              <w:rPr>
                <w:rFonts w:hint="eastAsia"/>
                <w:color w:val="000000"/>
                <w:sz w:val="18"/>
                <w:szCs w:val="18"/>
              </w:rPr>
              <w:t>资产总计</w:t>
            </w:r>
          </w:p>
        </w:tc>
        <w:tc>
          <w:tcPr>
            <w:tcW w:w="1478" w:type="dxa"/>
            <w:vAlign w:val="center"/>
          </w:tcPr>
          <w:p w:rsidR="003663E4" w:rsidRDefault="00FD3F7D">
            <w:pPr>
              <w:autoSpaceDE w:val="0"/>
              <w:autoSpaceDN w:val="0"/>
              <w:adjustRightInd w:val="0"/>
              <w:spacing w:before="29" w:line="276" w:lineRule="auto"/>
              <w:jc w:val="center"/>
              <w:rPr>
                <w:color w:val="000000"/>
                <w:sz w:val="18"/>
                <w:szCs w:val="18"/>
              </w:rPr>
            </w:pPr>
            <w:r>
              <w:rPr>
                <w:sz w:val="18"/>
                <w:szCs w:val="18"/>
              </w:rPr>
              <w:t xml:space="preserve">37,715,773.95 </w:t>
            </w:r>
          </w:p>
        </w:tc>
        <w:tc>
          <w:tcPr>
            <w:tcW w:w="1417" w:type="dxa"/>
            <w:vAlign w:val="center"/>
          </w:tcPr>
          <w:p w:rsidR="003663E4" w:rsidRDefault="00FD3F7D">
            <w:pPr>
              <w:autoSpaceDE w:val="0"/>
              <w:autoSpaceDN w:val="0"/>
              <w:adjustRightInd w:val="0"/>
              <w:spacing w:before="29" w:line="276" w:lineRule="auto"/>
              <w:jc w:val="center"/>
              <w:rPr>
                <w:color w:val="000000"/>
                <w:sz w:val="18"/>
                <w:szCs w:val="18"/>
              </w:rPr>
            </w:pPr>
            <w:r>
              <w:rPr>
                <w:sz w:val="18"/>
                <w:szCs w:val="18"/>
              </w:rPr>
              <w:t>329,597,832.45</w:t>
            </w:r>
          </w:p>
        </w:tc>
        <w:tc>
          <w:tcPr>
            <w:tcW w:w="1418" w:type="dxa"/>
            <w:vAlign w:val="center"/>
          </w:tcPr>
          <w:p w:rsidR="003663E4" w:rsidRDefault="00FD3F7D">
            <w:pPr>
              <w:autoSpaceDE w:val="0"/>
              <w:autoSpaceDN w:val="0"/>
              <w:adjustRightInd w:val="0"/>
              <w:spacing w:before="29" w:line="276" w:lineRule="auto"/>
              <w:jc w:val="center"/>
              <w:rPr>
                <w:color w:val="000000"/>
                <w:sz w:val="18"/>
                <w:szCs w:val="18"/>
              </w:rPr>
            </w:pPr>
            <w:r>
              <w:rPr>
                <w:color w:val="000000"/>
                <w:sz w:val="18"/>
                <w:szCs w:val="18"/>
              </w:rPr>
              <w:t>400,368,219.70</w:t>
            </w:r>
          </w:p>
        </w:tc>
        <w:tc>
          <w:tcPr>
            <w:tcW w:w="709" w:type="dxa"/>
            <w:vAlign w:val="center"/>
          </w:tcPr>
          <w:p w:rsidR="003663E4" w:rsidRDefault="00FD3F7D">
            <w:pPr>
              <w:autoSpaceDE w:val="0"/>
              <w:autoSpaceDN w:val="0"/>
              <w:adjustRightInd w:val="0"/>
              <w:spacing w:before="29" w:line="276" w:lineRule="auto"/>
              <w:jc w:val="center"/>
              <w:rPr>
                <w:color w:val="000000"/>
                <w:sz w:val="18"/>
                <w:szCs w:val="18"/>
              </w:rPr>
            </w:pPr>
            <w:r>
              <w:rPr>
                <w:color w:val="000000"/>
                <w:sz w:val="18"/>
                <w:szCs w:val="18"/>
              </w:rPr>
              <w:t>-</w:t>
            </w:r>
          </w:p>
        </w:tc>
        <w:tc>
          <w:tcPr>
            <w:tcW w:w="648" w:type="dxa"/>
            <w:vAlign w:val="center"/>
          </w:tcPr>
          <w:p w:rsidR="003663E4" w:rsidRDefault="00FD3F7D">
            <w:pPr>
              <w:autoSpaceDE w:val="0"/>
              <w:autoSpaceDN w:val="0"/>
              <w:adjustRightInd w:val="0"/>
              <w:spacing w:before="29" w:line="276" w:lineRule="auto"/>
              <w:jc w:val="center"/>
              <w:rPr>
                <w:color w:val="000000"/>
                <w:sz w:val="18"/>
                <w:szCs w:val="18"/>
              </w:rPr>
            </w:pPr>
            <w:r>
              <w:rPr>
                <w:color w:val="000000"/>
                <w:sz w:val="18"/>
                <w:szCs w:val="18"/>
              </w:rPr>
              <w:t>-</w:t>
            </w:r>
          </w:p>
        </w:tc>
        <w:tc>
          <w:tcPr>
            <w:tcW w:w="1134" w:type="dxa"/>
            <w:vAlign w:val="center"/>
          </w:tcPr>
          <w:p w:rsidR="003663E4" w:rsidRDefault="00FD3F7D">
            <w:pPr>
              <w:autoSpaceDE w:val="0"/>
              <w:autoSpaceDN w:val="0"/>
              <w:adjustRightInd w:val="0"/>
              <w:spacing w:before="29" w:line="276" w:lineRule="auto"/>
              <w:jc w:val="center"/>
              <w:rPr>
                <w:color w:val="000000"/>
                <w:sz w:val="18"/>
                <w:szCs w:val="18"/>
              </w:rPr>
            </w:pPr>
            <w:r>
              <w:rPr>
                <w:color w:val="000000"/>
                <w:sz w:val="18"/>
                <w:szCs w:val="18"/>
              </w:rPr>
              <w:t>5,630,470.47</w:t>
            </w:r>
          </w:p>
        </w:tc>
        <w:tc>
          <w:tcPr>
            <w:tcW w:w="1336" w:type="dxa"/>
            <w:vAlign w:val="center"/>
          </w:tcPr>
          <w:p w:rsidR="003663E4" w:rsidRDefault="00FD3F7D">
            <w:pPr>
              <w:autoSpaceDE w:val="0"/>
              <w:autoSpaceDN w:val="0"/>
              <w:adjustRightInd w:val="0"/>
              <w:spacing w:before="29" w:line="276" w:lineRule="auto"/>
              <w:jc w:val="center"/>
              <w:rPr>
                <w:color w:val="000000"/>
                <w:sz w:val="18"/>
                <w:szCs w:val="18"/>
              </w:rPr>
            </w:pPr>
            <w:r>
              <w:rPr>
                <w:color w:val="000000"/>
                <w:sz w:val="18"/>
                <w:szCs w:val="18"/>
              </w:rPr>
              <w:t>773,312,296.57</w:t>
            </w:r>
          </w:p>
        </w:tc>
      </w:tr>
      <w:tr w:rsidR="003663E4">
        <w:trPr>
          <w:trHeight w:val="280"/>
        </w:trPr>
        <w:tc>
          <w:tcPr>
            <w:tcW w:w="1538" w:type="dxa"/>
            <w:vAlign w:val="center"/>
          </w:tcPr>
          <w:p w:rsidR="003663E4" w:rsidRDefault="00FD3F7D">
            <w:pPr>
              <w:spacing w:line="276" w:lineRule="auto"/>
              <w:rPr>
                <w:color w:val="000000"/>
                <w:sz w:val="18"/>
                <w:szCs w:val="18"/>
              </w:rPr>
            </w:pPr>
            <w:r>
              <w:rPr>
                <w:rFonts w:hint="eastAsia"/>
                <w:color w:val="000000"/>
                <w:sz w:val="18"/>
                <w:szCs w:val="18"/>
              </w:rPr>
              <w:t>负债</w:t>
            </w:r>
          </w:p>
        </w:tc>
        <w:tc>
          <w:tcPr>
            <w:tcW w:w="1478" w:type="dxa"/>
            <w:vAlign w:val="center"/>
          </w:tcPr>
          <w:p w:rsidR="003663E4" w:rsidRDefault="003663E4">
            <w:pPr>
              <w:spacing w:line="276" w:lineRule="auto"/>
              <w:jc w:val="right"/>
              <w:rPr>
                <w:color w:val="000000"/>
                <w:kern w:val="0"/>
                <w:sz w:val="18"/>
                <w:szCs w:val="18"/>
              </w:rPr>
            </w:pPr>
          </w:p>
        </w:tc>
        <w:tc>
          <w:tcPr>
            <w:tcW w:w="1417" w:type="dxa"/>
          </w:tcPr>
          <w:p w:rsidR="003663E4" w:rsidRDefault="003663E4">
            <w:pPr>
              <w:spacing w:line="276" w:lineRule="auto"/>
              <w:jc w:val="right"/>
              <w:rPr>
                <w:color w:val="000000"/>
                <w:sz w:val="18"/>
                <w:szCs w:val="18"/>
              </w:rPr>
            </w:pPr>
          </w:p>
        </w:tc>
        <w:tc>
          <w:tcPr>
            <w:tcW w:w="1418" w:type="dxa"/>
          </w:tcPr>
          <w:p w:rsidR="003663E4" w:rsidRDefault="003663E4">
            <w:pPr>
              <w:spacing w:line="276" w:lineRule="auto"/>
              <w:jc w:val="right"/>
              <w:rPr>
                <w:color w:val="000000"/>
                <w:sz w:val="18"/>
                <w:szCs w:val="18"/>
              </w:rPr>
            </w:pPr>
          </w:p>
        </w:tc>
        <w:tc>
          <w:tcPr>
            <w:tcW w:w="709" w:type="dxa"/>
            <w:vAlign w:val="center"/>
          </w:tcPr>
          <w:p w:rsidR="003663E4" w:rsidRDefault="003663E4">
            <w:pPr>
              <w:spacing w:line="276" w:lineRule="auto"/>
              <w:jc w:val="right"/>
              <w:rPr>
                <w:color w:val="000000"/>
                <w:sz w:val="18"/>
                <w:szCs w:val="18"/>
              </w:rPr>
            </w:pPr>
          </w:p>
        </w:tc>
        <w:tc>
          <w:tcPr>
            <w:tcW w:w="648" w:type="dxa"/>
            <w:vAlign w:val="center"/>
          </w:tcPr>
          <w:p w:rsidR="003663E4" w:rsidRDefault="003663E4">
            <w:pPr>
              <w:spacing w:line="276" w:lineRule="auto"/>
              <w:jc w:val="right"/>
              <w:rPr>
                <w:color w:val="000000"/>
                <w:sz w:val="18"/>
                <w:szCs w:val="18"/>
              </w:rPr>
            </w:pPr>
          </w:p>
        </w:tc>
        <w:tc>
          <w:tcPr>
            <w:tcW w:w="1134" w:type="dxa"/>
            <w:vAlign w:val="center"/>
          </w:tcPr>
          <w:p w:rsidR="003663E4" w:rsidRDefault="003663E4">
            <w:pPr>
              <w:spacing w:line="276" w:lineRule="auto"/>
              <w:jc w:val="right"/>
              <w:rPr>
                <w:color w:val="000000"/>
                <w:sz w:val="18"/>
                <w:szCs w:val="18"/>
              </w:rPr>
            </w:pPr>
          </w:p>
        </w:tc>
        <w:tc>
          <w:tcPr>
            <w:tcW w:w="1336" w:type="dxa"/>
            <w:vAlign w:val="center"/>
          </w:tcPr>
          <w:p w:rsidR="003663E4" w:rsidRDefault="003663E4">
            <w:pPr>
              <w:spacing w:line="276" w:lineRule="auto"/>
              <w:jc w:val="right"/>
              <w:rPr>
                <w:color w:val="000000"/>
                <w:sz w:val="18"/>
                <w:szCs w:val="18"/>
              </w:rPr>
            </w:pPr>
          </w:p>
        </w:tc>
      </w:tr>
      <w:tr w:rsidR="003663E4">
        <w:tc>
          <w:tcPr>
            <w:tcW w:w="1538" w:type="dxa"/>
            <w:vAlign w:val="center"/>
          </w:tcPr>
          <w:p w:rsidR="003663E4" w:rsidRDefault="00FD3F7D">
            <w:pPr>
              <w:jc w:val="center"/>
              <w:rPr>
                <w:sz w:val="18"/>
                <w:szCs w:val="18"/>
              </w:rPr>
            </w:pPr>
            <w:r>
              <w:rPr>
                <w:rFonts w:hint="eastAsia"/>
                <w:color w:val="000000"/>
                <w:sz w:val="18"/>
                <w:szCs w:val="18"/>
              </w:rPr>
              <w:t>应付证券清算款</w:t>
            </w:r>
          </w:p>
        </w:tc>
        <w:tc>
          <w:tcPr>
            <w:tcW w:w="1478" w:type="dxa"/>
            <w:vAlign w:val="center"/>
          </w:tcPr>
          <w:p w:rsidR="003663E4" w:rsidRDefault="00FD3F7D">
            <w:pPr>
              <w:jc w:val="right"/>
              <w:rPr>
                <w:sz w:val="18"/>
                <w:szCs w:val="18"/>
              </w:rPr>
            </w:pPr>
            <w:r>
              <w:rPr>
                <w:color w:val="000000"/>
                <w:sz w:val="18"/>
                <w:szCs w:val="18"/>
              </w:rPr>
              <w:t>-</w:t>
            </w:r>
          </w:p>
        </w:tc>
        <w:tc>
          <w:tcPr>
            <w:tcW w:w="1417" w:type="dxa"/>
            <w:vAlign w:val="center"/>
          </w:tcPr>
          <w:p w:rsidR="003663E4" w:rsidRDefault="00FD3F7D">
            <w:pPr>
              <w:jc w:val="right"/>
              <w:rPr>
                <w:color w:val="000000"/>
                <w:sz w:val="18"/>
                <w:szCs w:val="18"/>
              </w:rPr>
            </w:pPr>
            <w:r>
              <w:rPr>
                <w:color w:val="000000"/>
                <w:sz w:val="18"/>
                <w:szCs w:val="18"/>
              </w:rPr>
              <w:t>-</w:t>
            </w:r>
          </w:p>
        </w:tc>
        <w:tc>
          <w:tcPr>
            <w:tcW w:w="1418" w:type="dxa"/>
            <w:vAlign w:val="center"/>
          </w:tcPr>
          <w:p w:rsidR="003663E4" w:rsidRDefault="00FD3F7D">
            <w:pPr>
              <w:jc w:val="right"/>
              <w:rPr>
                <w:color w:val="000000"/>
                <w:sz w:val="18"/>
                <w:szCs w:val="18"/>
              </w:rPr>
            </w:pPr>
            <w:r>
              <w:rPr>
                <w:color w:val="000000"/>
                <w:sz w:val="18"/>
                <w:szCs w:val="18"/>
              </w:rPr>
              <w:t>-</w:t>
            </w:r>
          </w:p>
        </w:tc>
        <w:tc>
          <w:tcPr>
            <w:tcW w:w="709" w:type="dxa"/>
            <w:vAlign w:val="center"/>
          </w:tcPr>
          <w:p w:rsidR="003663E4" w:rsidRDefault="00FD3F7D">
            <w:pPr>
              <w:jc w:val="right"/>
              <w:rPr>
                <w:sz w:val="18"/>
                <w:szCs w:val="18"/>
              </w:rPr>
            </w:pPr>
            <w:r>
              <w:rPr>
                <w:color w:val="000000"/>
                <w:sz w:val="18"/>
                <w:szCs w:val="18"/>
              </w:rPr>
              <w:t>-</w:t>
            </w:r>
          </w:p>
        </w:tc>
        <w:tc>
          <w:tcPr>
            <w:tcW w:w="648" w:type="dxa"/>
            <w:vAlign w:val="center"/>
          </w:tcPr>
          <w:p w:rsidR="003663E4" w:rsidRDefault="00FD3F7D">
            <w:pPr>
              <w:jc w:val="right"/>
              <w:rPr>
                <w:sz w:val="18"/>
                <w:szCs w:val="18"/>
              </w:rPr>
            </w:pPr>
            <w:r>
              <w:rPr>
                <w:color w:val="000000"/>
                <w:sz w:val="18"/>
                <w:szCs w:val="18"/>
              </w:rPr>
              <w:t>-</w:t>
            </w:r>
          </w:p>
        </w:tc>
        <w:tc>
          <w:tcPr>
            <w:tcW w:w="1134" w:type="dxa"/>
            <w:vAlign w:val="center"/>
          </w:tcPr>
          <w:p w:rsidR="003663E4" w:rsidRDefault="00FD3F7D">
            <w:pPr>
              <w:jc w:val="right"/>
              <w:rPr>
                <w:sz w:val="18"/>
                <w:szCs w:val="18"/>
              </w:rPr>
            </w:pPr>
            <w:r>
              <w:rPr>
                <w:color w:val="000000"/>
                <w:sz w:val="18"/>
                <w:szCs w:val="18"/>
              </w:rPr>
              <w:t>1,998,309.31</w:t>
            </w:r>
          </w:p>
        </w:tc>
        <w:tc>
          <w:tcPr>
            <w:tcW w:w="1336" w:type="dxa"/>
            <w:vAlign w:val="center"/>
          </w:tcPr>
          <w:p w:rsidR="003663E4" w:rsidRDefault="00FD3F7D">
            <w:pPr>
              <w:jc w:val="right"/>
              <w:rPr>
                <w:sz w:val="18"/>
                <w:szCs w:val="18"/>
              </w:rPr>
            </w:pPr>
            <w:r>
              <w:rPr>
                <w:color w:val="000000"/>
                <w:sz w:val="18"/>
                <w:szCs w:val="18"/>
              </w:rPr>
              <w:t>1,998,309.31</w:t>
            </w:r>
          </w:p>
        </w:tc>
      </w:tr>
      <w:tr w:rsidR="003663E4">
        <w:tc>
          <w:tcPr>
            <w:tcW w:w="1538" w:type="dxa"/>
            <w:vAlign w:val="center"/>
          </w:tcPr>
          <w:p w:rsidR="003663E4" w:rsidRDefault="00FD3F7D">
            <w:pPr>
              <w:jc w:val="center"/>
              <w:rPr>
                <w:sz w:val="18"/>
                <w:szCs w:val="18"/>
              </w:rPr>
            </w:pPr>
            <w:r>
              <w:rPr>
                <w:rFonts w:hint="eastAsia"/>
                <w:color w:val="000000"/>
                <w:sz w:val="18"/>
                <w:szCs w:val="18"/>
              </w:rPr>
              <w:t>应付管理人报酬</w:t>
            </w:r>
          </w:p>
        </w:tc>
        <w:tc>
          <w:tcPr>
            <w:tcW w:w="1478" w:type="dxa"/>
            <w:vAlign w:val="center"/>
          </w:tcPr>
          <w:p w:rsidR="003663E4" w:rsidRDefault="00FD3F7D">
            <w:pPr>
              <w:jc w:val="right"/>
              <w:rPr>
                <w:sz w:val="18"/>
                <w:szCs w:val="18"/>
              </w:rPr>
            </w:pPr>
            <w:r>
              <w:rPr>
                <w:color w:val="000000"/>
                <w:sz w:val="18"/>
                <w:szCs w:val="18"/>
              </w:rPr>
              <w:t>-</w:t>
            </w:r>
          </w:p>
        </w:tc>
        <w:tc>
          <w:tcPr>
            <w:tcW w:w="1417" w:type="dxa"/>
            <w:vAlign w:val="center"/>
          </w:tcPr>
          <w:p w:rsidR="003663E4" w:rsidRDefault="00FD3F7D">
            <w:pPr>
              <w:jc w:val="right"/>
              <w:rPr>
                <w:color w:val="000000"/>
                <w:sz w:val="18"/>
                <w:szCs w:val="18"/>
              </w:rPr>
            </w:pPr>
            <w:r>
              <w:rPr>
                <w:color w:val="000000"/>
                <w:sz w:val="18"/>
                <w:szCs w:val="18"/>
              </w:rPr>
              <w:t>-</w:t>
            </w:r>
          </w:p>
        </w:tc>
        <w:tc>
          <w:tcPr>
            <w:tcW w:w="1418" w:type="dxa"/>
            <w:vAlign w:val="center"/>
          </w:tcPr>
          <w:p w:rsidR="003663E4" w:rsidRDefault="00FD3F7D">
            <w:pPr>
              <w:jc w:val="right"/>
              <w:rPr>
                <w:color w:val="000000"/>
                <w:sz w:val="18"/>
                <w:szCs w:val="18"/>
              </w:rPr>
            </w:pPr>
            <w:r>
              <w:rPr>
                <w:color w:val="000000"/>
                <w:sz w:val="18"/>
                <w:szCs w:val="18"/>
              </w:rPr>
              <w:t>-</w:t>
            </w:r>
          </w:p>
        </w:tc>
        <w:tc>
          <w:tcPr>
            <w:tcW w:w="709" w:type="dxa"/>
            <w:vAlign w:val="center"/>
          </w:tcPr>
          <w:p w:rsidR="003663E4" w:rsidRDefault="00FD3F7D">
            <w:pPr>
              <w:jc w:val="right"/>
              <w:rPr>
                <w:sz w:val="18"/>
                <w:szCs w:val="18"/>
              </w:rPr>
            </w:pPr>
            <w:r>
              <w:rPr>
                <w:color w:val="000000"/>
                <w:sz w:val="18"/>
                <w:szCs w:val="18"/>
              </w:rPr>
              <w:t>-</w:t>
            </w:r>
          </w:p>
        </w:tc>
        <w:tc>
          <w:tcPr>
            <w:tcW w:w="648" w:type="dxa"/>
            <w:vAlign w:val="center"/>
          </w:tcPr>
          <w:p w:rsidR="003663E4" w:rsidRDefault="00FD3F7D">
            <w:pPr>
              <w:jc w:val="right"/>
              <w:rPr>
                <w:sz w:val="18"/>
                <w:szCs w:val="18"/>
              </w:rPr>
            </w:pPr>
            <w:r>
              <w:rPr>
                <w:color w:val="000000"/>
                <w:sz w:val="18"/>
                <w:szCs w:val="18"/>
              </w:rPr>
              <w:t>-</w:t>
            </w:r>
          </w:p>
        </w:tc>
        <w:tc>
          <w:tcPr>
            <w:tcW w:w="1134" w:type="dxa"/>
            <w:vAlign w:val="center"/>
          </w:tcPr>
          <w:p w:rsidR="003663E4" w:rsidRDefault="00FD3F7D">
            <w:pPr>
              <w:jc w:val="right"/>
              <w:rPr>
                <w:sz w:val="18"/>
                <w:szCs w:val="18"/>
              </w:rPr>
            </w:pPr>
            <w:r>
              <w:rPr>
                <w:color w:val="000000"/>
                <w:sz w:val="18"/>
                <w:szCs w:val="18"/>
              </w:rPr>
              <w:t>640,756.52</w:t>
            </w:r>
          </w:p>
        </w:tc>
        <w:tc>
          <w:tcPr>
            <w:tcW w:w="1336" w:type="dxa"/>
            <w:vAlign w:val="center"/>
          </w:tcPr>
          <w:p w:rsidR="003663E4" w:rsidRDefault="00FD3F7D">
            <w:pPr>
              <w:jc w:val="right"/>
              <w:rPr>
                <w:sz w:val="18"/>
                <w:szCs w:val="18"/>
              </w:rPr>
            </w:pPr>
            <w:r>
              <w:rPr>
                <w:color w:val="000000"/>
                <w:sz w:val="18"/>
                <w:szCs w:val="18"/>
              </w:rPr>
              <w:t>640,756.52</w:t>
            </w:r>
          </w:p>
        </w:tc>
      </w:tr>
      <w:tr w:rsidR="003663E4">
        <w:tc>
          <w:tcPr>
            <w:tcW w:w="1538" w:type="dxa"/>
            <w:vAlign w:val="center"/>
          </w:tcPr>
          <w:p w:rsidR="003663E4" w:rsidRDefault="00FD3F7D">
            <w:pPr>
              <w:jc w:val="center"/>
              <w:rPr>
                <w:sz w:val="18"/>
                <w:szCs w:val="18"/>
              </w:rPr>
            </w:pPr>
            <w:r>
              <w:rPr>
                <w:rFonts w:hint="eastAsia"/>
                <w:color w:val="000000"/>
                <w:sz w:val="18"/>
                <w:szCs w:val="18"/>
              </w:rPr>
              <w:t>应付托管费</w:t>
            </w:r>
          </w:p>
        </w:tc>
        <w:tc>
          <w:tcPr>
            <w:tcW w:w="1478" w:type="dxa"/>
            <w:vAlign w:val="center"/>
          </w:tcPr>
          <w:p w:rsidR="003663E4" w:rsidRDefault="00FD3F7D">
            <w:pPr>
              <w:jc w:val="right"/>
              <w:rPr>
                <w:sz w:val="18"/>
                <w:szCs w:val="18"/>
              </w:rPr>
            </w:pPr>
            <w:r>
              <w:rPr>
                <w:color w:val="000000"/>
                <w:sz w:val="18"/>
                <w:szCs w:val="18"/>
              </w:rPr>
              <w:t>-</w:t>
            </w:r>
          </w:p>
        </w:tc>
        <w:tc>
          <w:tcPr>
            <w:tcW w:w="1417" w:type="dxa"/>
            <w:vAlign w:val="center"/>
          </w:tcPr>
          <w:p w:rsidR="003663E4" w:rsidRDefault="00FD3F7D">
            <w:pPr>
              <w:jc w:val="right"/>
              <w:rPr>
                <w:color w:val="000000"/>
                <w:sz w:val="18"/>
                <w:szCs w:val="18"/>
              </w:rPr>
            </w:pPr>
            <w:r>
              <w:rPr>
                <w:color w:val="000000"/>
                <w:sz w:val="18"/>
                <w:szCs w:val="18"/>
              </w:rPr>
              <w:t>-</w:t>
            </w:r>
          </w:p>
        </w:tc>
        <w:tc>
          <w:tcPr>
            <w:tcW w:w="1418" w:type="dxa"/>
            <w:vAlign w:val="center"/>
          </w:tcPr>
          <w:p w:rsidR="003663E4" w:rsidRDefault="00FD3F7D">
            <w:pPr>
              <w:jc w:val="right"/>
              <w:rPr>
                <w:color w:val="000000"/>
                <w:sz w:val="18"/>
                <w:szCs w:val="18"/>
              </w:rPr>
            </w:pPr>
            <w:r>
              <w:rPr>
                <w:color w:val="000000"/>
                <w:sz w:val="18"/>
                <w:szCs w:val="18"/>
              </w:rPr>
              <w:t>-</w:t>
            </w:r>
          </w:p>
        </w:tc>
        <w:tc>
          <w:tcPr>
            <w:tcW w:w="709" w:type="dxa"/>
            <w:vAlign w:val="center"/>
          </w:tcPr>
          <w:p w:rsidR="003663E4" w:rsidRDefault="00FD3F7D">
            <w:pPr>
              <w:jc w:val="right"/>
              <w:rPr>
                <w:sz w:val="18"/>
                <w:szCs w:val="18"/>
              </w:rPr>
            </w:pPr>
            <w:r>
              <w:rPr>
                <w:color w:val="000000"/>
                <w:sz w:val="18"/>
                <w:szCs w:val="18"/>
              </w:rPr>
              <w:t>-</w:t>
            </w:r>
          </w:p>
        </w:tc>
        <w:tc>
          <w:tcPr>
            <w:tcW w:w="648" w:type="dxa"/>
            <w:vAlign w:val="center"/>
          </w:tcPr>
          <w:p w:rsidR="003663E4" w:rsidRDefault="00FD3F7D">
            <w:pPr>
              <w:jc w:val="right"/>
              <w:rPr>
                <w:sz w:val="18"/>
                <w:szCs w:val="18"/>
              </w:rPr>
            </w:pPr>
            <w:r>
              <w:rPr>
                <w:color w:val="000000"/>
                <w:sz w:val="18"/>
                <w:szCs w:val="18"/>
              </w:rPr>
              <w:t>-</w:t>
            </w:r>
          </w:p>
        </w:tc>
        <w:tc>
          <w:tcPr>
            <w:tcW w:w="1134" w:type="dxa"/>
            <w:vAlign w:val="center"/>
          </w:tcPr>
          <w:p w:rsidR="003663E4" w:rsidRDefault="00FD3F7D">
            <w:pPr>
              <w:jc w:val="right"/>
              <w:rPr>
                <w:sz w:val="18"/>
                <w:szCs w:val="18"/>
              </w:rPr>
            </w:pPr>
            <w:r>
              <w:rPr>
                <w:color w:val="000000"/>
                <w:sz w:val="18"/>
                <w:szCs w:val="18"/>
              </w:rPr>
              <w:t>256,302.60</w:t>
            </w:r>
          </w:p>
        </w:tc>
        <w:tc>
          <w:tcPr>
            <w:tcW w:w="1336" w:type="dxa"/>
            <w:vAlign w:val="center"/>
          </w:tcPr>
          <w:p w:rsidR="003663E4" w:rsidRDefault="00FD3F7D">
            <w:pPr>
              <w:jc w:val="right"/>
              <w:rPr>
                <w:sz w:val="18"/>
                <w:szCs w:val="18"/>
              </w:rPr>
            </w:pPr>
            <w:r>
              <w:rPr>
                <w:color w:val="000000"/>
                <w:sz w:val="18"/>
                <w:szCs w:val="18"/>
              </w:rPr>
              <w:t>256,302.60</w:t>
            </w:r>
          </w:p>
        </w:tc>
      </w:tr>
      <w:tr w:rsidR="003663E4">
        <w:tc>
          <w:tcPr>
            <w:tcW w:w="1538" w:type="dxa"/>
            <w:vAlign w:val="center"/>
          </w:tcPr>
          <w:p w:rsidR="003663E4" w:rsidRDefault="00FD3F7D">
            <w:pPr>
              <w:jc w:val="center"/>
              <w:rPr>
                <w:sz w:val="18"/>
                <w:szCs w:val="18"/>
              </w:rPr>
            </w:pPr>
            <w:r>
              <w:rPr>
                <w:rFonts w:hint="eastAsia"/>
                <w:color w:val="000000"/>
                <w:sz w:val="18"/>
                <w:szCs w:val="18"/>
              </w:rPr>
              <w:t>应付销售服务费</w:t>
            </w:r>
          </w:p>
        </w:tc>
        <w:tc>
          <w:tcPr>
            <w:tcW w:w="1478" w:type="dxa"/>
            <w:vAlign w:val="center"/>
          </w:tcPr>
          <w:p w:rsidR="003663E4" w:rsidRDefault="00FD3F7D">
            <w:pPr>
              <w:jc w:val="right"/>
              <w:rPr>
                <w:sz w:val="18"/>
                <w:szCs w:val="18"/>
              </w:rPr>
            </w:pPr>
            <w:r>
              <w:rPr>
                <w:color w:val="000000"/>
                <w:sz w:val="18"/>
                <w:szCs w:val="18"/>
              </w:rPr>
              <w:t>-</w:t>
            </w:r>
          </w:p>
        </w:tc>
        <w:tc>
          <w:tcPr>
            <w:tcW w:w="1417" w:type="dxa"/>
            <w:vAlign w:val="center"/>
          </w:tcPr>
          <w:p w:rsidR="003663E4" w:rsidRDefault="00FD3F7D">
            <w:pPr>
              <w:jc w:val="right"/>
              <w:rPr>
                <w:color w:val="000000"/>
                <w:sz w:val="18"/>
                <w:szCs w:val="18"/>
              </w:rPr>
            </w:pPr>
            <w:r>
              <w:rPr>
                <w:color w:val="000000"/>
                <w:sz w:val="18"/>
                <w:szCs w:val="18"/>
              </w:rPr>
              <w:t>-</w:t>
            </w:r>
          </w:p>
        </w:tc>
        <w:tc>
          <w:tcPr>
            <w:tcW w:w="1418" w:type="dxa"/>
            <w:vAlign w:val="center"/>
          </w:tcPr>
          <w:p w:rsidR="003663E4" w:rsidRDefault="00FD3F7D">
            <w:pPr>
              <w:jc w:val="right"/>
              <w:rPr>
                <w:color w:val="000000"/>
                <w:sz w:val="18"/>
                <w:szCs w:val="18"/>
              </w:rPr>
            </w:pPr>
            <w:r>
              <w:rPr>
                <w:color w:val="000000"/>
                <w:sz w:val="18"/>
                <w:szCs w:val="18"/>
              </w:rPr>
              <w:t>-</w:t>
            </w:r>
          </w:p>
        </w:tc>
        <w:tc>
          <w:tcPr>
            <w:tcW w:w="709" w:type="dxa"/>
            <w:vAlign w:val="center"/>
          </w:tcPr>
          <w:p w:rsidR="003663E4" w:rsidRDefault="00FD3F7D">
            <w:pPr>
              <w:jc w:val="right"/>
              <w:rPr>
                <w:sz w:val="18"/>
                <w:szCs w:val="18"/>
              </w:rPr>
            </w:pPr>
            <w:r>
              <w:rPr>
                <w:color w:val="000000"/>
                <w:sz w:val="18"/>
                <w:szCs w:val="18"/>
              </w:rPr>
              <w:t>-</w:t>
            </w:r>
          </w:p>
        </w:tc>
        <w:tc>
          <w:tcPr>
            <w:tcW w:w="648" w:type="dxa"/>
            <w:vAlign w:val="center"/>
          </w:tcPr>
          <w:p w:rsidR="003663E4" w:rsidRDefault="00FD3F7D">
            <w:pPr>
              <w:jc w:val="right"/>
              <w:rPr>
                <w:sz w:val="18"/>
                <w:szCs w:val="18"/>
              </w:rPr>
            </w:pPr>
            <w:r>
              <w:rPr>
                <w:color w:val="000000"/>
                <w:sz w:val="18"/>
                <w:szCs w:val="18"/>
              </w:rPr>
              <w:t>-</w:t>
            </w:r>
          </w:p>
        </w:tc>
        <w:tc>
          <w:tcPr>
            <w:tcW w:w="1134" w:type="dxa"/>
            <w:vAlign w:val="center"/>
          </w:tcPr>
          <w:p w:rsidR="003663E4" w:rsidRDefault="00FD3F7D">
            <w:pPr>
              <w:jc w:val="right"/>
              <w:rPr>
                <w:sz w:val="18"/>
                <w:szCs w:val="18"/>
              </w:rPr>
            </w:pPr>
            <w:r>
              <w:rPr>
                <w:color w:val="000000"/>
                <w:sz w:val="18"/>
                <w:szCs w:val="18"/>
              </w:rPr>
              <w:t>32,784.66</w:t>
            </w:r>
          </w:p>
        </w:tc>
        <w:tc>
          <w:tcPr>
            <w:tcW w:w="1336" w:type="dxa"/>
            <w:vAlign w:val="center"/>
          </w:tcPr>
          <w:p w:rsidR="003663E4" w:rsidRDefault="00FD3F7D">
            <w:pPr>
              <w:jc w:val="right"/>
              <w:rPr>
                <w:sz w:val="18"/>
                <w:szCs w:val="18"/>
              </w:rPr>
            </w:pPr>
            <w:r>
              <w:rPr>
                <w:color w:val="000000"/>
                <w:sz w:val="18"/>
                <w:szCs w:val="18"/>
              </w:rPr>
              <w:t>32,784.66</w:t>
            </w:r>
          </w:p>
        </w:tc>
      </w:tr>
      <w:tr w:rsidR="003663E4">
        <w:tc>
          <w:tcPr>
            <w:tcW w:w="1538" w:type="dxa"/>
            <w:vAlign w:val="center"/>
          </w:tcPr>
          <w:p w:rsidR="003663E4" w:rsidRDefault="00FD3F7D">
            <w:pPr>
              <w:jc w:val="center"/>
              <w:rPr>
                <w:sz w:val="18"/>
                <w:szCs w:val="18"/>
              </w:rPr>
            </w:pPr>
            <w:r>
              <w:rPr>
                <w:rFonts w:hint="eastAsia"/>
                <w:color w:val="000000"/>
                <w:sz w:val="18"/>
                <w:szCs w:val="18"/>
              </w:rPr>
              <w:t>应付交易费用</w:t>
            </w:r>
          </w:p>
        </w:tc>
        <w:tc>
          <w:tcPr>
            <w:tcW w:w="1478" w:type="dxa"/>
            <w:vAlign w:val="center"/>
          </w:tcPr>
          <w:p w:rsidR="003663E4" w:rsidRDefault="00FD3F7D">
            <w:pPr>
              <w:jc w:val="right"/>
              <w:rPr>
                <w:sz w:val="18"/>
                <w:szCs w:val="18"/>
              </w:rPr>
            </w:pPr>
            <w:r>
              <w:rPr>
                <w:color w:val="000000"/>
                <w:sz w:val="18"/>
                <w:szCs w:val="18"/>
              </w:rPr>
              <w:t>-</w:t>
            </w:r>
          </w:p>
        </w:tc>
        <w:tc>
          <w:tcPr>
            <w:tcW w:w="1417" w:type="dxa"/>
            <w:vAlign w:val="center"/>
          </w:tcPr>
          <w:p w:rsidR="003663E4" w:rsidRDefault="00FD3F7D">
            <w:pPr>
              <w:jc w:val="right"/>
              <w:rPr>
                <w:color w:val="000000"/>
                <w:sz w:val="18"/>
                <w:szCs w:val="18"/>
              </w:rPr>
            </w:pPr>
            <w:r>
              <w:rPr>
                <w:color w:val="000000"/>
                <w:sz w:val="18"/>
                <w:szCs w:val="18"/>
              </w:rPr>
              <w:t>-</w:t>
            </w:r>
          </w:p>
        </w:tc>
        <w:tc>
          <w:tcPr>
            <w:tcW w:w="1418" w:type="dxa"/>
            <w:vAlign w:val="center"/>
          </w:tcPr>
          <w:p w:rsidR="003663E4" w:rsidRDefault="00FD3F7D">
            <w:pPr>
              <w:jc w:val="right"/>
              <w:rPr>
                <w:color w:val="000000"/>
                <w:sz w:val="18"/>
                <w:szCs w:val="18"/>
              </w:rPr>
            </w:pPr>
            <w:r>
              <w:rPr>
                <w:color w:val="000000"/>
                <w:sz w:val="18"/>
                <w:szCs w:val="18"/>
              </w:rPr>
              <w:t>-</w:t>
            </w:r>
          </w:p>
        </w:tc>
        <w:tc>
          <w:tcPr>
            <w:tcW w:w="709" w:type="dxa"/>
            <w:vAlign w:val="center"/>
          </w:tcPr>
          <w:p w:rsidR="003663E4" w:rsidRDefault="00FD3F7D">
            <w:pPr>
              <w:jc w:val="right"/>
              <w:rPr>
                <w:sz w:val="18"/>
                <w:szCs w:val="18"/>
              </w:rPr>
            </w:pPr>
            <w:r>
              <w:rPr>
                <w:color w:val="000000"/>
                <w:sz w:val="18"/>
                <w:szCs w:val="18"/>
              </w:rPr>
              <w:t>-</w:t>
            </w:r>
          </w:p>
        </w:tc>
        <w:tc>
          <w:tcPr>
            <w:tcW w:w="648" w:type="dxa"/>
            <w:vAlign w:val="center"/>
          </w:tcPr>
          <w:p w:rsidR="003663E4" w:rsidRDefault="00FD3F7D">
            <w:pPr>
              <w:jc w:val="right"/>
              <w:rPr>
                <w:sz w:val="18"/>
                <w:szCs w:val="18"/>
              </w:rPr>
            </w:pPr>
            <w:r>
              <w:rPr>
                <w:color w:val="000000"/>
                <w:sz w:val="18"/>
                <w:szCs w:val="18"/>
              </w:rPr>
              <w:t>-</w:t>
            </w:r>
          </w:p>
        </w:tc>
        <w:tc>
          <w:tcPr>
            <w:tcW w:w="1134" w:type="dxa"/>
            <w:vAlign w:val="center"/>
          </w:tcPr>
          <w:p w:rsidR="003663E4" w:rsidRDefault="00FD3F7D">
            <w:pPr>
              <w:jc w:val="right"/>
              <w:rPr>
                <w:sz w:val="18"/>
                <w:szCs w:val="18"/>
              </w:rPr>
            </w:pPr>
            <w:r>
              <w:rPr>
                <w:color w:val="000000"/>
                <w:sz w:val="18"/>
                <w:szCs w:val="18"/>
              </w:rPr>
              <w:t>35,911.43</w:t>
            </w:r>
          </w:p>
        </w:tc>
        <w:tc>
          <w:tcPr>
            <w:tcW w:w="1336" w:type="dxa"/>
            <w:vAlign w:val="center"/>
          </w:tcPr>
          <w:p w:rsidR="003663E4" w:rsidRDefault="00FD3F7D">
            <w:pPr>
              <w:jc w:val="right"/>
              <w:rPr>
                <w:sz w:val="18"/>
                <w:szCs w:val="18"/>
              </w:rPr>
            </w:pPr>
            <w:r>
              <w:rPr>
                <w:color w:val="000000"/>
                <w:sz w:val="18"/>
                <w:szCs w:val="18"/>
              </w:rPr>
              <w:t>35,911.43</w:t>
            </w:r>
          </w:p>
        </w:tc>
      </w:tr>
      <w:tr w:rsidR="003663E4">
        <w:tc>
          <w:tcPr>
            <w:tcW w:w="1538" w:type="dxa"/>
            <w:vAlign w:val="center"/>
          </w:tcPr>
          <w:p w:rsidR="003663E4" w:rsidRDefault="00FD3F7D">
            <w:pPr>
              <w:jc w:val="center"/>
              <w:rPr>
                <w:sz w:val="18"/>
                <w:szCs w:val="18"/>
              </w:rPr>
            </w:pPr>
            <w:r>
              <w:rPr>
                <w:rFonts w:hint="eastAsia"/>
                <w:color w:val="000000"/>
                <w:sz w:val="18"/>
                <w:szCs w:val="18"/>
              </w:rPr>
              <w:t>应交税费</w:t>
            </w:r>
          </w:p>
        </w:tc>
        <w:tc>
          <w:tcPr>
            <w:tcW w:w="1478" w:type="dxa"/>
            <w:vAlign w:val="center"/>
          </w:tcPr>
          <w:p w:rsidR="003663E4" w:rsidRDefault="00FD3F7D">
            <w:pPr>
              <w:jc w:val="right"/>
              <w:rPr>
                <w:sz w:val="18"/>
                <w:szCs w:val="18"/>
              </w:rPr>
            </w:pPr>
            <w:r>
              <w:rPr>
                <w:color w:val="000000"/>
                <w:sz w:val="18"/>
                <w:szCs w:val="18"/>
              </w:rPr>
              <w:t>-</w:t>
            </w:r>
          </w:p>
        </w:tc>
        <w:tc>
          <w:tcPr>
            <w:tcW w:w="1417" w:type="dxa"/>
            <w:vAlign w:val="center"/>
          </w:tcPr>
          <w:p w:rsidR="003663E4" w:rsidRDefault="00FD3F7D">
            <w:pPr>
              <w:jc w:val="right"/>
              <w:rPr>
                <w:color w:val="000000"/>
                <w:sz w:val="18"/>
                <w:szCs w:val="18"/>
              </w:rPr>
            </w:pPr>
            <w:r>
              <w:rPr>
                <w:color w:val="000000"/>
                <w:sz w:val="18"/>
                <w:szCs w:val="18"/>
              </w:rPr>
              <w:t>-</w:t>
            </w:r>
          </w:p>
        </w:tc>
        <w:tc>
          <w:tcPr>
            <w:tcW w:w="1418" w:type="dxa"/>
            <w:vAlign w:val="center"/>
          </w:tcPr>
          <w:p w:rsidR="003663E4" w:rsidRDefault="00FD3F7D">
            <w:pPr>
              <w:jc w:val="right"/>
              <w:rPr>
                <w:color w:val="000000"/>
                <w:sz w:val="18"/>
                <w:szCs w:val="18"/>
              </w:rPr>
            </w:pPr>
            <w:r>
              <w:rPr>
                <w:color w:val="000000"/>
                <w:sz w:val="18"/>
                <w:szCs w:val="18"/>
              </w:rPr>
              <w:t>-</w:t>
            </w:r>
          </w:p>
        </w:tc>
        <w:tc>
          <w:tcPr>
            <w:tcW w:w="709" w:type="dxa"/>
            <w:vAlign w:val="center"/>
          </w:tcPr>
          <w:p w:rsidR="003663E4" w:rsidRDefault="00FD3F7D">
            <w:pPr>
              <w:jc w:val="right"/>
              <w:rPr>
                <w:sz w:val="18"/>
                <w:szCs w:val="18"/>
              </w:rPr>
            </w:pPr>
            <w:r>
              <w:rPr>
                <w:color w:val="000000"/>
                <w:sz w:val="18"/>
                <w:szCs w:val="18"/>
              </w:rPr>
              <w:t>-</w:t>
            </w:r>
          </w:p>
        </w:tc>
        <w:tc>
          <w:tcPr>
            <w:tcW w:w="648" w:type="dxa"/>
            <w:vAlign w:val="center"/>
          </w:tcPr>
          <w:p w:rsidR="003663E4" w:rsidRDefault="00FD3F7D">
            <w:pPr>
              <w:jc w:val="right"/>
              <w:rPr>
                <w:sz w:val="18"/>
                <w:szCs w:val="18"/>
              </w:rPr>
            </w:pPr>
            <w:r>
              <w:rPr>
                <w:color w:val="000000"/>
                <w:sz w:val="18"/>
                <w:szCs w:val="18"/>
              </w:rPr>
              <w:t>-</w:t>
            </w:r>
          </w:p>
        </w:tc>
        <w:tc>
          <w:tcPr>
            <w:tcW w:w="1134" w:type="dxa"/>
            <w:vAlign w:val="center"/>
          </w:tcPr>
          <w:p w:rsidR="003663E4" w:rsidRDefault="00FD3F7D">
            <w:pPr>
              <w:jc w:val="right"/>
              <w:rPr>
                <w:sz w:val="18"/>
                <w:szCs w:val="18"/>
              </w:rPr>
            </w:pPr>
            <w:r>
              <w:rPr>
                <w:color w:val="000000"/>
                <w:sz w:val="18"/>
                <w:szCs w:val="18"/>
              </w:rPr>
              <w:t>123,692.79</w:t>
            </w:r>
          </w:p>
        </w:tc>
        <w:tc>
          <w:tcPr>
            <w:tcW w:w="1336" w:type="dxa"/>
            <w:vAlign w:val="center"/>
          </w:tcPr>
          <w:p w:rsidR="003663E4" w:rsidRDefault="00FD3F7D">
            <w:pPr>
              <w:jc w:val="right"/>
              <w:rPr>
                <w:sz w:val="18"/>
                <w:szCs w:val="18"/>
              </w:rPr>
            </w:pPr>
            <w:r>
              <w:rPr>
                <w:color w:val="000000"/>
                <w:sz w:val="18"/>
                <w:szCs w:val="18"/>
              </w:rPr>
              <w:t>123,692.79</w:t>
            </w:r>
          </w:p>
        </w:tc>
      </w:tr>
      <w:tr w:rsidR="003663E4">
        <w:tc>
          <w:tcPr>
            <w:tcW w:w="1538" w:type="dxa"/>
            <w:vAlign w:val="center"/>
          </w:tcPr>
          <w:p w:rsidR="003663E4" w:rsidRDefault="00FD3F7D">
            <w:pPr>
              <w:jc w:val="center"/>
              <w:rPr>
                <w:sz w:val="18"/>
                <w:szCs w:val="18"/>
              </w:rPr>
            </w:pPr>
            <w:r>
              <w:rPr>
                <w:rFonts w:hint="eastAsia"/>
                <w:color w:val="000000"/>
                <w:sz w:val="18"/>
                <w:szCs w:val="18"/>
              </w:rPr>
              <w:t>应付利润</w:t>
            </w:r>
          </w:p>
        </w:tc>
        <w:tc>
          <w:tcPr>
            <w:tcW w:w="1478" w:type="dxa"/>
            <w:vAlign w:val="center"/>
          </w:tcPr>
          <w:p w:rsidR="003663E4" w:rsidRDefault="00FD3F7D">
            <w:pPr>
              <w:jc w:val="right"/>
              <w:rPr>
                <w:sz w:val="18"/>
                <w:szCs w:val="18"/>
              </w:rPr>
            </w:pPr>
            <w:r>
              <w:rPr>
                <w:color w:val="000000"/>
                <w:sz w:val="18"/>
                <w:szCs w:val="18"/>
              </w:rPr>
              <w:t>-</w:t>
            </w:r>
          </w:p>
        </w:tc>
        <w:tc>
          <w:tcPr>
            <w:tcW w:w="1417" w:type="dxa"/>
            <w:vAlign w:val="center"/>
          </w:tcPr>
          <w:p w:rsidR="003663E4" w:rsidRDefault="00FD3F7D">
            <w:pPr>
              <w:jc w:val="right"/>
              <w:rPr>
                <w:color w:val="000000"/>
                <w:sz w:val="18"/>
                <w:szCs w:val="18"/>
              </w:rPr>
            </w:pPr>
            <w:r>
              <w:rPr>
                <w:color w:val="000000"/>
                <w:sz w:val="18"/>
                <w:szCs w:val="18"/>
              </w:rPr>
              <w:t>-</w:t>
            </w:r>
          </w:p>
        </w:tc>
        <w:tc>
          <w:tcPr>
            <w:tcW w:w="1418" w:type="dxa"/>
            <w:vAlign w:val="center"/>
          </w:tcPr>
          <w:p w:rsidR="003663E4" w:rsidRDefault="00FD3F7D">
            <w:pPr>
              <w:jc w:val="right"/>
              <w:rPr>
                <w:color w:val="000000"/>
                <w:sz w:val="18"/>
                <w:szCs w:val="18"/>
              </w:rPr>
            </w:pPr>
            <w:r>
              <w:rPr>
                <w:color w:val="000000"/>
                <w:sz w:val="18"/>
                <w:szCs w:val="18"/>
              </w:rPr>
              <w:t>-</w:t>
            </w:r>
          </w:p>
        </w:tc>
        <w:tc>
          <w:tcPr>
            <w:tcW w:w="709" w:type="dxa"/>
            <w:vAlign w:val="center"/>
          </w:tcPr>
          <w:p w:rsidR="003663E4" w:rsidRDefault="00FD3F7D">
            <w:pPr>
              <w:jc w:val="right"/>
              <w:rPr>
                <w:sz w:val="18"/>
                <w:szCs w:val="18"/>
              </w:rPr>
            </w:pPr>
            <w:r>
              <w:rPr>
                <w:color w:val="000000"/>
                <w:sz w:val="18"/>
                <w:szCs w:val="18"/>
              </w:rPr>
              <w:t>-</w:t>
            </w:r>
          </w:p>
        </w:tc>
        <w:tc>
          <w:tcPr>
            <w:tcW w:w="648" w:type="dxa"/>
            <w:vAlign w:val="center"/>
          </w:tcPr>
          <w:p w:rsidR="003663E4" w:rsidRDefault="00FD3F7D">
            <w:pPr>
              <w:jc w:val="right"/>
              <w:rPr>
                <w:sz w:val="18"/>
                <w:szCs w:val="18"/>
              </w:rPr>
            </w:pPr>
            <w:r>
              <w:rPr>
                <w:color w:val="000000"/>
                <w:sz w:val="18"/>
                <w:szCs w:val="18"/>
              </w:rPr>
              <w:t>-</w:t>
            </w:r>
          </w:p>
        </w:tc>
        <w:tc>
          <w:tcPr>
            <w:tcW w:w="1134" w:type="dxa"/>
            <w:vAlign w:val="center"/>
          </w:tcPr>
          <w:p w:rsidR="003663E4" w:rsidRDefault="00FD3F7D">
            <w:pPr>
              <w:jc w:val="right"/>
              <w:rPr>
                <w:sz w:val="18"/>
                <w:szCs w:val="18"/>
              </w:rPr>
            </w:pPr>
            <w:r>
              <w:rPr>
                <w:color w:val="000000"/>
                <w:sz w:val="18"/>
                <w:szCs w:val="18"/>
              </w:rPr>
              <w:t>25,759.68</w:t>
            </w:r>
          </w:p>
        </w:tc>
        <w:tc>
          <w:tcPr>
            <w:tcW w:w="1336" w:type="dxa"/>
            <w:vAlign w:val="center"/>
          </w:tcPr>
          <w:p w:rsidR="003663E4" w:rsidRDefault="00FD3F7D">
            <w:pPr>
              <w:jc w:val="right"/>
              <w:rPr>
                <w:sz w:val="18"/>
                <w:szCs w:val="18"/>
              </w:rPr>
            </w:pPr>
            <w:r>
              <w:rPr>
                <w:color w:val="000000"/>
                <w:sz w:val="18"/>
                <w:szCs w:val="18"/>
              </w:rPr>
              <w:t>25,759.68</w:t>
            </w:r>
          </w:p>
        </w:tc>
      </w:tr>
      <w:tr w:rsidR="003663E4">
        <w:tc>
          <w:tcPr>
            <w:tcW w:w="1538" w:type="dxa"/>
            <w:vAlign w:val="center"/>
          </w:tcPr>
          <w:p w:rsidR="003663E4" w:rsidRDefault="00FD3F7D">
            <w:pPr>
              <w:jc w:val="center"/>
              <w:rPr>
                <w:sz w:val="18"/>
                <w:szCs w:val="18"/>
              </w:rPr>
            </w:pPr>
            <w:r>
              <w:rPr>
                <w:rFonts w:hint="eastAsia"/>
                <w:color w:val="000000"/>
                <w:sz w:val="18"/>
                <w:szCs w:val="18"/>
              </w:rPr>
              <w:t>其他负债</w:t>
            </w:r>
          </w:p>
        </w:tc>
        <w:tc>
          <w:tcPr>
            <w:tcW w:w="1478" w:type="dxa"/>
            <w:vAlign w:val="center"/>
          </w:tcPr>
          <w:p w:rsidR="003663E4" w:rsidRDefault="00FD3F7D">
            <w:pPr>
              <w:jc w:val="right"/>
              <w:rPr>
                <w:sz w:val="18"/>
                <w:szCs w:val="18"/>
              </w:rPr>
            </w:pPr>
            <w:r>
              <w:rPr>
                <w:color w:val="000000"/>
                <w:sz w:val="18"/>
                <w:szCs w:val="18"/>
              </w:rPr>
              <w:t>-</w:t>
            </w:r>
          </w:p>
        </w:tc>
        <w:tc>
          <w:tcPr>
            <w:tcW w:w="1417" w:type="dxa"/>
            <w:vAlign w:val="center"/>
          </w:tcPr>
          <w:p w:rsidR="003663E4" w:rsidRDefault="00FD3F7D">
            <w:pPr>
              <w:jc w:val="right"/>
              <w:rPr>
                <w:color w:val="000000"/>
                <w:sz w:val="18"/>
                <w:szCs w:val="18"/>
              </w:rPr>
            </w:pPr>
            <w:r>
              <w:rPr>
                <w:color w:val="000000"/>
                <w:sz w:val="18"/>
                <w:szCs w:val="18"/>
              </w:rPr>
              <w:t>-</w:t>
            </w:r>
          </w:p>
        </w:tc>
        <w:tc>
          <w:tcPr>
            <w:tcW w:w="1418" w:type="dxa"/>
            <w:vAlign w:val="center"/>
          </w:tcPr>
          <w:p w:rsidR="003663E4" w:rsidRDefault="00FD3F7D">
            <w:pPr>
              <w:jc w:val="right"/>
              <w:rPr>
                <w:color w:val="000000"/>
                <w:sz w:val="18"/>
                <w:szCs w:val="18"/>
              </w:rPr>
            </w:pPr>
            <w:r>
              <w:rPr>
                <w:color w:val="000000"/>
                <w:sz w:val="18"/>
                <w:szCs w:val="18"/>
              </w:rPr>
              <w:t>-</w:t>
            </w:r>
          </w:p>
        </w:tc>
        <w:tc>
          <w:tcPr>
            <w:tcW w:w="709" w:type="dxa"/>
            <w:vAlign w:val="center"/>
          </w:tcPr>
          <w:p w:rsidR="003663E4" w:rsidRDefault="00FD3F7D">
            <w:pPr>
              <w:jc w:val="right"/>
              <w:rPr>
                <w:sz w:val="18"/>
                <w:szCs w:val="18"/>
              </w:rPr>
            </w:pPr>
            <w:r>
              <w:rPr>
                <w:color w:val="000000"/>
                <w:sz w:val="18"/>
                <w:szCs w:val="18"/>
              </w:rPr>
              <w:t>-</w:t>
            </w:r>
          </w:p>
        </w:tc>
        <w:tc>
          <w:tcPr>
            <w:tcW w:w="648" w:type="dxa"/>
            <w:vAlign w:val="center"/>
          </w:tcPr>
          <w:p w:rsidR="003663E4" w:rsidRDefault="00FD3F7D">
            <w:pPr>
              <w:jc w:val="right"/>
              <w:rPr>
                <w:sz w:val="18"/>
                <w:szCs w:val="18"/>
              </w:rPr>
            </w:pPr>
            <w:r>
              <w:rPr>
                <w:color w:val="000000"/>
                <w:sz w:val="18"/>
                <w:szCs w:val="18"/>
              </w:rPr>
              <w:t>-</w:t>
            </w:r>
          </w:p>
        </w:tc>
        <w:tc>
          <w:tcPr>
            <w:tcW w:w="1134" w:type="dxa"/>
            <w:vAlign w:val="center"/>
          </w:tcPr>
          <w:p w:rsidR="003663E4" w:rsidRDefault="00FD3F7D">
            <w:pPr>
              <w:jc w:val="right"/>
              <w:rPr>
                <w:sz w:val="18"/>
                <w:szCs w:val="18"/>
              </w:rPr>
            </w:pPr>
            <w:r>
              <w:rPr>
                <w:color w:val="000000"/>
                <w:sz w:val="18"/>
                <w:szCs w:val="18"/>
              </w:rPr>
              <w:t>139,778.82</w:t>
            </w:r>
          </w:p>
        </w:tc>
        <w:tc>
          <w:tcPr>
            <w:tcW w:w="1336" w:type="dxa"/>
            <w:vAlign w:val="center"/>
          </w:tcPr>
          <w:p w:rsidR="003663E4" w:rsidRDefault="00FD3F7D">
            <w:pPr>
              <w:jc w:val="right"/>
              <w:rPr>
                <w:sz w:val="18"/>
                <w:szCs w:val="18"/>
              </w:rPr>
            </w:pPr>
            <w:r>
              <w:rPr>
                <w:color w:val="000000"/>
                <w:sz w:val="18"/>
                <w:szCs w:val="18"/>
              </w:rPr>
              <w:t>139,778.82</w:t>
            </w:r>
          </w:p>
        </w:tc>
      </w:tr>
      <w:tr w:rsidR="003663E4">
        <w:trPr>
          <w:trHeight w:val="280"/>
        </w:trPr>
        <w:tc>
          <w:tcPr>
            <w:tcW w:w="1538" w:type="dxa"/>
            <w:vAlign w:val="center"/>
          </w:tcPr>
          <w:p w:rsidR="003663E4" w:rsidRDefault="00FD3F7D">
            <w:pPr>
              <w:spacing w:line="276" w:lineRule="auto"/>
              <w:rPr>
                <w:color w:val="000000"/>
                <w:sz w:val="18"/>
                <w:szCs w:val="18"/>
              </w:rPr>
            </w:pPr>
            <w:r>
              <w:rPr>
                <w:rFonts w:hint="eastAsia"/>
                <w:color w:val="000000"/>
                <w:sz w:val="18"/>
                <w:szCs w:val="18"/>
              </w:rPr>
              <w:t>负债总计</w:t>
            </w:r>
          </w:p>
        </w:tc>
        <w:tc>
          <w:tcPr>
            <w:tcW w:w="1478" w:type="dxa"/>
            <w:vAlign w:val="center"/>
          </w:tcPr>
          <w:p w:rsidR="003663E4" w:rsidRDefault="00FD3F7D">
            <w:pPr>
              <w:spacing w:line="276" w:lineRule="auto"/>
              <w:jc w:val="right"/>
              <w:rPr>
                <w:color w:val="000000"/>
                <w:sz w:val="18"/>
                <w:szCs w:val="18"/>
              </w:rPr>
            </w:pPr>
            <w:r>
              <w:rPr>
                <w:color w:val="000000"/>
                <w:sz w:val="18"/>
                <w:szCs w:val="18"/>
              </w:rPr>
              <w:t>-</w:t>
            </w:r>
          </w:p>
        </w:tc>
        <w:tc>
          <w:tcPr>
            <w:tcW w:w="1417" w:type="dxa"/>
            <w:vAlign w:val="center"/>
          </w:tcPr>
          <w:p w:rsidR="003663E4" w:rsidRDefault="00FD3F7D">
            <w:pPr>
              <w:spacing w:line="276" w:lineRule="auto"/>
              <w:jc w:val="right"/>
              <w:rPr>
                <w:color w:val="000000"/>
                <w:sz w:val="18"/>
                <w:szCs w:val="18"/>
              </w:rPr>
            </w:pPr>
            <w:r>
              <w:rPr>
                <w:color w:val="000000"/>
                <w:sz w:val="18"/>
                <w:szCs w:val="18"/>
              </w:rPr>
              <w:t>-</w:t>
            </w:r>
          </w:p>
        </w:tc>
        <w:tc>
          <w:tcPr>
            <w:tcW w:w="1418" w:type="dxa"/>
            <w:vAlign w:val="center"/>
          </w:tcPr>
          <w:p w:rsidR="003663E4" w:rsidRDefault="00FD3F7D">
            <w:pPr>
              <w:spacing w:line="276" w:lineRule="auto"/>
              <w:jc w:val="right"/>
              <w:rPr>
                <w:color w:val="000000"/>
                <w:sz w:val="18"/>
                <w:szCs w:val="18"/>
              </w:rPr>
            </w:pPr>
            <w:r>
              <w:rPr>
                <w:color w:val="000000"/>
                <w:sz w:val="18"/>
                <w:szCs w:val="18"/>
              </w:rPr>
              <w:t>-</w:t>
            </w:r>
          </w:p>
        </w:tc>
        <w:tc>
          <w:tcPr>
            <w:tcW w:w="709" w:type="dxa"/>
            <w:vAlign w:val="center"/>
          </w:tcPr>
          <w:p w:rsidR="003663E4" w:rsidRDefault="00FD3F7D">
            <w:pPr>
              <w:spacing w:line="276" w:lineRule="auto"/>
              <w:jc w:val="right"/>
              <w:rPr>
                <w:color w:val="000000"/>
                <w:sz w:val="18"/>
                <w:szCs w:val="18"/>
              </w:rPr>
            </w:pPr>
            <w:r>
              <w:rPr>
                <w:color w:val="000000"/>
                <w:sz w:val="18"/>
                <w:szCs w:val="18"/>
              </w:rPr>
              <w:t>-</w:t>
            </w:r>
          </w:p>
        </w:tc>
        <w:tc>
          <w:tcPr>
            <w:tcW w:w="648" w:type="dxa"/>
            <w:vAlign w:val="center"/>
          </w:tcPr>
          <w:p w:rsidR="003663E4" w:rsidRDefault="00FD3F7D">
            <w:pPr>
              <w:spacing w:line="276" w:lineRule="auto"/>
              <w:jc w:val="right"/>
              <w:rPr>
                <w:color w:val="000000"/>
                <w:sz w:val="18"/>
                <w:szCs w:val="18"/>
              </w:rPr>
            </w:pPr>
            <w:r>
              <w:rPr>
                <w:color w:val="000000"/>
                <w:sz w:val="18"/>
                <w:szCs w:val="18"/>
              </w:rPr>
              <w:t>-</w:t>
            </w:r>
          </w:p>
        </w:tc>
        <w:tc>
          <w:tcPr>
            <w:tcW w:w="1134" w:type="dxa"/>
            <w:vAlign w:val="center"/>
          </w:tcPr>
          <w:p w:rsidR="003663E4" w:rsidRDefault="00FD3F7D">
            <w:pPr>
              <w:spacing w:line="276" w:lineRule="auto"/>
              <w:jc w:val="right"/>
              <w:rPr>
                <w:color w:val="000000"/>
                <w:sz w:val="18"/>
                <w:szCs w:val="18"/>
              </w:rPr>
            </w:pPr>
            <w:r>
              <w:rPr>
                <w:color w:val="000000"/>
                <w:sz w:val="18"/>
                <w:szCs w:val="18"/>
              </w:rPr>
              <w:t>3,253,295.81</w:t>
            </w:r>
          </w:p>
        </w:tc>
        <w:tc>
          <w:tcPr>
            <w:tcW w:w="1336" w:type="dxa"/>
            <w:vAlign w:val="center"/>
          </w:tcPr>
          <w:p w:rsidR="003663E4" w:rsidRDefault="00FD3F7D">
            <w:pPr>
              <w:wordWrap w:val="0"/>
              <w:spacing w:line="276" w:lineRule="auto"/>
              <w:jc w:val="right"/>
              <w:rPr>
                <w:color w:val="000000"/>
                <w:sz w:val="18"/>
                <w:szCs w:val="18"/>
              </w:rPr>
            </w:pPr>
            <w:r>
              <w:rPr>
                <w:color w:val="000000"/>
                <w:sz w:val="18"/>
                <w:szCs w:val="18"/>
              </w:rPr>
              <w:t>3,253,295.81</w:t>
            </w:r>
          </w:p>
        </w:tc>
      </w:tr>
      <w:tr w:rsidR="003663E4">
        <w:trPr>
          <w:trHeight w:val="280"/>
        </w:trPr>
        <w:tc>
          <w:tcPr>
            <w:tcW w:w="1538" w:type="dxa"/>
            <w:vAlign w:val="center"/>
          </w:tcPr>
          <w:p w:rsidR="003663E4" w:rsidRDefault="00FD3F7D">
            <w:pPr>
              <w:spacing w:line="276" w:lineRule="auto"/>
              <w:rPr>
                <w:color w:val="000000"/>
                <w:sz w:val="18"/>
                <w:szCs w:val="18"/>
              </w:rPr>
            </w:pPr>
            <w:r>
              <w:rPr>
                <w:rFonts w:hint="eastAsia"/>
                <w:color w:val="000000"/>
                <w:sz w:val="18"/>
                <w:szCs w:val="18"/>
              </w:rPr>
              <w:t>利率敏感度缺口</w:t>
            </w:r>
          </w:p>
        </w:tc>
        <w:tc>
          <w:tcPr>
            <w:tcW w:w="1478" w:type="dxa"/>
            <w:vAlign w:val="center"/>
          </w:tcPr>
          <w:p w:rsidR="003663E4" w:rsidRDefault="00FD3F7D">
            <w:pPr>
              <w:spacing w:line="276" w:lineRule="auto"/>
              <w:jc w:val="right"/>
              <w:rPr>
                <w:color w:val="000000"/>
                <w:sz w:val="18"/>
                <w:szCs w:val="18"/>
              </w:rPr>
            </w:pPr>
            <w:r>
              <w:rPr>
                <w:sz w:val="18"/>
                <w:szCs w:val="18"/>
              </w:rPr>
              <w:t xml:space="preserve">37,715,773.95 </w:t>
            </w:r>
          </w:p>
        </w:tc>
        <w:tc>
          <w:tcPr>
            <w:tcW w:w="1417" w:type="dxa"/>
            <w:vAlign w:val="center"/>
          </w:tcPr>
          <w:p w:rsidR="003663E4" w:rsidRDefault="00FD3F7D">
            <w:pPr>
              <w:spacing w:line="276" w:lineRule="auto"/>
              <w:jc w:val="right"/>
              <w:rPr>
                <w:color w:val="000000"/>
                <w:sz w:val="18"/>
                <w:szCs w:val="18"/>
              </w:rPr>
            </w:pPr>
            <w:r>
              <w:rPr>
                <w:sz w:val="18"/>
                <w:szCs w:val="18"/>
              </w:rPr>
              <w:t>329,597,832.45</w:t>
            </w:r>
          </w:p>
        </w:tc>
        <w:tc>
          <w:tcPr>
            <w:tcW w:w="1418" w:type="dxa"/>
            <w:vAlign w:val="center"/>
          </w:tcPr>
          <w:p w:rsidR="003663E4" w:rsidRDefault="00FD3F7D">
            <w:pPr>
              <w:spacing w:line="276" w:lineRule="auto"/>
              <w:jc w:val="right"/>
              <w:rPr>
                <w:color w:val="000000"/>
                <w:sz w:val="18"/>
                <w:szCs w:val="18"/>
              </w:rPr>
            </w:pPr>
            <w:r>
              <w:rPr>
                <w:color w:val="000000"/>
                <w:sz w:val="18"/>
                <w:szCs w:val="18"/>
              </w:rPr>
              <w:t>400,368,219.70</w:t>
            </w:r>
          </w:p>
        </w:tc>
        <w:tc>
          <w:tcPr>
            <w:tcW w:w="709" w:type="dxa"/>
            <w:vAlign w:val="center"/>
          </w:tcPr>
          <w:p w:rsidR="003663E4" w:rsidRDefault="00FD3F7D">
            <w:pPr>
              <w:spacing w:line="276" w:lineRule="auto"/>
              <w:jc w:val="right"/>
              <w:rPr>
                <w:color w:val="000000"/>
                <w:sz w:val="18"/>
                <w:szCs w:val="18"/>
              </w:rPr>
            </w:pPr>
            <w:r>
              <w:rPr>
                <w:color w:val="000000"/>
                <w:sz w:val="18"/>
                <w:szCs w:val="18"/>
              </w:rPr>
              <w:t>-</w:t>
            </w:r>
          </w:p>
        </w:tc>
        <w:tc>
          <w:tcPr>
            <w:tcW w:w="648" w:type="dxa"/>
            <w:vAlign w:val="center"/>
          </w:tcPr>
          <w:p w:rsidR="003663E4" w:rsidRDefault="00FD3F7D">
            <w:pPr>
              <w:spacing w:line="276" w:lineRule="auto"/>
              <w:jc w:val="right"/>
              <w:rPr>
                <w:color w:val="000000"/>
                <w:sz w:val="18"/>
                <w:szCs w:val="18"/>
              </w:rPr>
            </w:pPr>
            <w:r>
              <w:rPr>
                <w:color w:val="000000"/>
                <w:sz w:val="18"/>
                <w:szCs w:val="18"/>
              </w:rPr>
              <w:t>-</w:t>
            </w:r>
          </w:p>
        </w:tc>
        <w:tc>
          <w:tcPr>
            <w:tcW w:w="1134" w:type="dxa"/>
            <w:vAlign w:val="center"/>
          </w:tcPr>
          <w:p w:rsidR="003663E4" w:rsidRDefault="00FD3F7D">
            <w:pPr>
              <w:spacing w:line="276" w:lineRule="auto"/>
              <w:jc w:val="right"/>
              <w:rPr>
                <w:color w:val="000000"/>
                <w:sz w:val="18"/>
                <w:szCs w:val="18"/>
              </w:rPr>
            </w:pPr>
            <w:r>
              <w:rPr>
                <w:color w:val="000000"/>
                <w:sz w:val="18"/>
                <w:szCs w:val="18"/>
              </w:rPr>
              <w:t>2,377,174.66</w:t>
            </w:r>
          </w:p>
        </w:tc>
        <w:tc>
          <w:tcPr>
            <w:tcW w:w="1336" w:type="dxa"/>
            <w:vAlign w:val="center"/>
          </w:tcPr>
          <w:p w:rsidR="003663E4" w:rsidRDefault="00FD3F7D">
            <w:pPr>
              <w:spacing w:line="276" w:lineRule="auto"/>
              <w:jc w:val="right"/>
              <w:rPr>
                <w:color w:val="000000"/>
                <w:sz w:val="18"/>
                <w:szCs w:val="18"/>
              </w:rPr>
            </w:pPr>
            <w:r>
              <w:rPr>
                <w:color w:val="000000"/>
                <w:sz w:val="18"/>
                <w:szCs w:val="18"/>
              </w:rPr>
              <w:t>770,059,000.76</w:t>
            </w:r>
          </w:p>
        </w:tc>
      </w:tr>
      <w:tr w:rsidR="003663E4">
        <w:trPr>
          <w:trHeight w:val="280"/>
        </w:trPr>
        <w:tc>
          <w:tcPr>
            <w:tcW w:w="1538" w:type="dxa"/>
            <w:vAlign w:val="center"/>
          </w:tcPr>
          <w:p w:rsidR="003663E4" w:rsidRDefault="00FD3F7D">
            <w:pPr>
              <w:spacing w:line="276" w:lineRule="auto"/>
              <w:jc w:val="center"/>
              <w:rPr>
                <w:rFonts w:eastAsiaTheme="minorEastAsia"/>
                <w:b/>
                <w:sz w:val="18"/>
                <w:szCs w:val="18"/>
              </w:rPr>
            </w:pPr>
            <w:r>
              <w:rPr>
                <w:rFonts w:eastAsiaTheme="minorEastAsia" w:hint="eastAsia"/>
                <w:b/>
                <w:sz w:val="18"/>
                <w:szCs w:val="18"/>
              </w:rPr>
              <w:t>上年度末</w:t>
            </w:r>
          </w:p>
          <w:p w:rsidR="003663E4" w:rsidRDefault="00FD3F7D">
            <w:pPr>
              <w:spacing w:line="276" w:lineRule="auto"/>
              <w:jc w:val="center"/>
              <w:rPr>
                <w:rFonts w:eastAsiaTheme="minorEastAsia"/>
                <w:b/>
                <w:color w:val="000000"/>
                <w:sz w:val="18"/>
                <w:szCs w:val="18"/>
              </w:rPr>
            </w:pPr>
            <w:r>
              <w:rPr>
                <w:b/>
                <w:color w:val="000000"/>
                <w:sz w:val="18"/>
                <w:szCs w:val="18"/>
              </w:rPr>
              <w:t>2019</w:t>
            </w:r>
            <w:r>
              <w:rPr>
                <w:rFonts w:hint="eastAsia"/>
                <w:b/>
                <w:color w:val="000000"/>
                <w:sz w:val="18"/>
                <w:szCs w:val="18"/>
              </w:rPr>
              <w:t>年</w:t>
            </w:r>
            <w:r>
              <w:rPr>
                <w:b/>
                <w:color w:val="000000"/>
                <w:sz w:val="18"/>
                <w:szCs w:val="18"/>
              </w:rPr>
              <w:t>12</w:t>
            </w:r>
            <w:r>
              <w:rPr>
                <w:rFonts w:hint="eastAsia"/>
                <w:b/>
                <w:color w:val="000000"/>
                <w:sz w:val="18"/>
                <w:szCs w:val="18"/>
              </w:rPr>
              <w:t>月</w:t>
            </w:r>
            <w:r>
              <w:rPr>
                <w:b/>
                <w:color w:val="000000"/>
                <w:sz w:val="18"/>
                <w:szCs w:val="18"/>
              </w:rPr>
              <w:t>31</w:t>
            </w:r>
            <w:r>
              <w:rPr>
                <w:rFonts w:hint="eastAsia"/>
                <w:b/>
                <w:color w:val="000000"/>
                <w:sz w:val="18"/>
                <w:szCs w:val="18"/>
              </w:rPr>
              <w:t>日</w:t>
            </w:r>
          </w:p>
        </w:tc>
        <w:tc>
          <w:tcPr>
            <w:tcW w:w="1478" w:type="dxa"/>
            <w:vAlign w:val="center"/>
          </w:tcPr>
          <w:p w:rsidR="003663E4" w:rsidRDefault="00FD3F7D">
            <w:pPr>
              <w:spacing w:line="276" w:lineRule="auto"/>
              <w:jc w:val="center"/>
              <w:rPr>
                <w:rFonts w:eastAsiaTheme="minorEastAsia"/>
                <w:b/>
                <w:color w:val="000000"/>
                <w:sz w:val="18"/>
                <w:szCs w:val="18"/>
              </w:rPr>
            </w:pPr>
            <w:r>
              <w:rPr>
                <w:color w:val="000000"/>
                <w:sz w:val="18"/>
                <w:szCs w:val="18"/>
                <w:lang w:val="en-GB"/>
              </w:rPr>
              <w:t>1</w:t>
            </w:r>
            <w:r>
              <w:rPr>
                <w:color w:val="000000"/>
                <w:sz w:val="18"/>
                <w:szCs w:val="18"/>
                <w:lang w:val="en-GB"/>
              </w:rPr>
              <w:t>个月以内</w:t>
            </w:r>
          </w:p>
        </w:tc>
        <w:tc>
          <w:tcPr>
            <w:tcW w:w="1417" w:type="dxa"/>
            <w:vAlign w:val="center"/>
          </w:tcPr>
          <w:p w:rsidR="003663E4" w:rsidRDefault="00FD3F7D">
            <w:pPr>
              <w:spacing w:line="276" w:lineRule="auto"/>
              <w:jc w:val="center"/>
              <w:rPr>
                <w:rFonts w:eastAsiaTheme="minorEastAsia"/>
                <w:b/>
                <w:color w:val="000000"/>
                <w:sz w:val="18"/>
                <w:szCs w:val="18"/>
              </w:rPr>
            </w:pPr>
            <w:r>
              <w:rPr>
                <w:color w:val="000000"/>
                <w:sz w:val="18"/>
                <w:szCs w:val="18"/>
              </w:rPr>
              <w:t>1-3</w:t>
            </w:r>
            <w:r>
              <w:rPr>
                <w:color w:val="000000"/>
                <w:sz w:val="18"/>
                <w:szCs w:val="18"/>
              </w:rPr>
              <w:t>个月</w:t>
            </w:r>
          </w:p>
        </w:tc>
        <w:tc>
          <w:tcPr>
            <w:tcW w:w="1418" w:type="dxa"/>
            <w:vAlign w:val="center"/>
          </w:tcPr>
          <w:p w:rsidR="003663E4" w:rsidRDefault="00FD3F7D">
            <w:pPr>
              <w:spacing w:line="276" w:lineRule="auto"/>
              <w:jc w:val="center"/>
              <w:rPr>
                <w:rFonts w:eastAsiaTheme="minorEastAsia"/>
                <w:b/>
                <w:color w:val="000000"/>
                <w:sz w:val="18"/>
                <w:szCs w:val="18"/>
              </w:rPr>
            </w:pPr>
            <w:r>
              <w:rPr>
                <w:color w:val="000000"/>
                <w:sz w:val="18"/>
                <w:szCs w:val="18"/>
              </w:rPr>
              <w:t>3</w:t>
            </w:r>
            <w:r>
              <w:rPr>
                <w:color w:val="000000"/>
                <w:sz w:val="18"/>
                <w:szCs w:val="18"/>
              </w:rPr>
              <w:t>个月</w:t>
            </w:r>
            <w:r>
              <w:rPr>
                <w:color w:val="000000"/>
                <w:sz w:val="18"/>
                <w:szCs w:val="18"/>
              </w:rPr>
              <w:t>-1</w:t>
            </w:r>
            <w:r>
              <w:rPr>
                <w:color w:val="000000"/>
                <w:sz w:val="18"/>
                <w:szCs w:val="18"/>
              </w:rPr>
              <w:t>年</w:t>
            </w:r>
          </w:p>
        </w:tc>
        <w:tc>
          <w:tcPr>
            <w:tcW w:w="709" w:type="dxa"/>
            <w:vAlign w:val="center"/>
          </w:tcPr>
          <w:p w:rsidR="003663E4" w:rsidRDefault="00FD3F7D">
            <w:pPr>
              <w:spacing w:line="276" w:lineRule="auto"/>
              <w:jc w:val="center"/>
              <w:rPr>
                <w:rFonts w:eastAsiaTheme="minorEastAsia"/>
                <w:b/>
                <w:color w:val="000000"/>
                <w:sz w:val="18"/>
                <w:szCs w:val="18"/>
              </w:rPr>
            </w:pPr>
            <w:r>
              <w:rPr>
                <w:rFonts w:eastAsiaTheme="minorEastAsia"/>
                <w:b/>
                <w:color w:val="000000"/>
                <w:sz w:val="18"/>
                <w:szCs w:val="18"/>
              </w:rPr>
              <w:t>1-5</w:t>
            </w:r>
            <w:r>
              <w:rPr>
                <w:rFonts w:eastAsiaTheme="minorEastAsia" w:hint="eastAsia"/>
                <w:b/>
                <w:color w:val="000000"/>
                <w:sz w:val="18"/>
                <w:szCs w:val="18"/>
              </w:rPr>
              <w:t>年</w:t>
            </w:r>
          </w:p>
        </w:tc>
        <w:tc>
          <w:tcPr>
            <w:tcW w:w="648" w:type="dxa"/>
            <w:vAlign w:val="center"/>
          </w:tcPr>
          <w:p w:rsidR="003663E4" w:rsidRDefault="00FD3F7D">
            <w:pPr>
              <w:spacing w:line="276" w:lineRule="auto"/>
              <w:jc w:val="center"/>
              <w:rPr>
                <w:rFonts w:eastAsiaTheme="minorEastAsia"/>
                <w:b/>
                <w:color w:val="000000"/>
                <w:sz w:val="18"/>
                <w:szCs w:val="18"/>
              </w:rPr>
            </w:pPr>
            <w:r>
              <w:rPr>
                <w:rFonts w:eastAsiaTheme="minorEastAsia"/>
                <w:b/>
                <w:color w:val="000000"/>
                <w:sz w:val="18"/>
                <w:szCs w:val="18"/>
              </w:rPr>
              <w:t>5</w:t>
            </w:r>
            <w:r>
              <w:rPr>
                <w:rFonts w:eastAsiaTheme="minorEastAsia" w:hint="eastAsia"/>
                <w:b/>
                <w:color w:val="000000"/>
                <w:sz w:val="18"/>
                <w:szCs w:val="18"/>
              </w:rPr>
              <w:t>年以上</w:t>
            </w:r>
          </w:p>
        </w:tc>
        <w:tc>
          <w:tcPr>
            <w:tcW w:w="1134" w:type="dxa"/>
            <w:vAlign w:val="center"/>
          </w:tcPr>
          <w:p w:rsidR="003663E4" w:rsidRDefault="00FD3F7D">
            <w:pPr>
              <w:spacing w:line="276" w:lineRule="auto"/>
              <w:jc w:val="center"/>
              <w:rPr>
                <w:rFonts w:eastAsiaTheme="minorEastAsia"/>
                <w:b/>
                <w:color w:val="000000"/>
                <w:sz w:val="18"/>
                <w:szCs w:val="18"/>
              </w:rPr>
            </w:pPr>
            <w:r>
              <w:rPr>
                <w:rFonts w:eastAsiaTheme="minorEastAsia" w:hint="eastAsia"/>
                <w:b/>
                <w:color w:val="000000"/>
                <w:sz w:val="18"/>
                <w:szCs w:val="18"/>
              </w:rPr>
              <w:t>不计息</w:t>
            </w:r>
          </w:p>
        </w:tc>
        <w:tc>
          <w:tcPr>
            <w:tcW w:w="1336" w:type="dxa"/>
            <w:vAlign w:val="center"/>
          </w:tcPr>
          <w:p w:rsidR="003663E4" w:rsidRDefault="00FD3F7D">
            <w:pPr>
              <w:spacing w:line="276" w:lineRule="auto"/>
              <w:jc w:val="center"/>
              <w:rPr>
                <w:rFonts w:eastAsiaTheme="minorEastAsia"/>
                <w:b/>
                <w:color w:val="000000"/>
                <w:sz w:val="18"/>
                <w:szCs w:val="18"/>
              </w:rPr>
            </w:pPr>
            <w:r>
              <w:rPr>
                <w:rFonts w:eastAsiaTheme="minorEastAsia" w:hint="eastAsia"/>
                <w:b/>
                <w:color w:val="000000"/>
                <w:sz w:val="18"/>
                <w:szCs w:val="18"/>
              </w:rPr>
              <w:t>合计</w:t>
            </w:r>
          </w:p>
        </w:tc>
      </w:tr>
      <w:tr w:rsidR="003663E4">
        <w:trPr>
          <w:trHeight w:val="280"/>
        </w:trPr>
        <w:tc>
          <w:tcPr>
            <w:tcW w:w="1538" w:type="dxa"/>
            <w:vAlign w:val="center"/>
          </w:tcPr>
          <w:p w:rsidR="003663E4" w:rsidRDefault="00FD3F7D">
            <w:pPr>
              <w:spacing w:line="276" w:lineRule="auto"/>
              <w:jc w:val="center"/>
              <w:rPr>
                <w:rFonts w:eastAsiaTheme="minorEastAsia"/>
                <w:color w:val="000000"/>
                <w:sz w:val="18"/>
                <w:szCs w:val="18"/>
              </w:rPr>
            </w:pPr>
            <w:r>
              <w:rPr>
                <w:rFonts w:eastAsiaTheme="minorEastAsia" w:hint="eastAsia"/>
                <w:color w:val="000000"/>
                <w:sz w:val="18"/>
                <w:szCs w:val="18"/>
              </w:rPr>
              <w:t>资产</w:t>
            </w:r>
          </w:p>
        </w:tc>
        <w:tc>
          <w:tcPr>
            <w:tcW w:w="1478" w:type="dxa"/>
            <w:vAlign w:val="center"/>
          </w:tcPr>
          <w:p w:rsidR="003663E4" w:rsidRDefault="003663E4">
            <w:pPr>
              <w:spacing w:line="276" w:lineRule="auto"/>
              <w:jc w:val="right"/>
              <w:rPr>
                <w:rFonts w:eastAsiaTheme="minorEastAsia"/>
                <w:color w:val="000000"/>
                <w:sz w:val="18"/>
                <w:szCs w:val="18"/>
              </w:rPr>
            </w:pPr>
          </w:p>
        </w:tc>
        <w:tc>
          <w:tcPr>
            <w:tcW w:w="1417" w:type="dxa"/>
          </w:tcPr>
          <w:p w:rsidR="003663E4" w:rsidRDefault="003663E4">
            <w:pPr>
              <w:spacing w:line="276" w:lineRule="auto"/>
              <w:jc w:val="right"/>
              <w:rPr>
                <w:rFonts w:eastAsiaTheme="minorEastAsia"/>
                <w:b/>
                <w:color w:val="000000"/>
                <w:sz w:val="18"/>
                <w:szCs w:val="18"/>
              </w:rPr>
            </w:pPr>
          </w:p>
        </w:tc>
        <w:tc>
          <w:tcPr>
            <w:tcW w:w="1418" w:type="dxa"/>
          </w:tcPr>
          <w:p w:rsidR="003663E4" w:rsidRDefault="003663E4">
            <w:pPr>
              <w:spacing w:line="276" w:lineRule="auto"/>
              <w:jc w:val="right"/>
              <w:rPr>
                <w:rFonts w:eastAsiaTheme="minorEastAsia"/>
                <w:b/>
                <w:color w:val="000000"/>
                <w:sz w:val="18"/>
                <w:szCs w:val="18"/>
              </w:rPr>
            </w:pPr>
          </w:p>
        </w:tc>
        <w:tc>
          <w:tcPr>
            <w:tcW w:w="709" w:type="dxa"/>
            <w:vAlign w:val="center"/>
          </w:tcPr>
          <w:p w:rsidR="003663E4" w:rsidRDefault="003663E4">
            <w:pPr>
              <w:spacing w:line="276" w:lineRule="auto"/>
              <w:jc w:val="right"/>
              <w:rPr>
                <w:rFonts w:eastAsiaTheme="minorEastAsia"/>
                <w:b/>
                <w:color w:val="000000"/>
                <w:sz w:val="18"/>
                <w:szCs w:val="18"/>
              </w:rPr>
            </w:pPr>
          </w:p>
        </w:tc>
        <w:tc>
          <w:tcPr>
            <w:tcW w:w="648" w:type="dxa"/>
            <w:vAlign w:val="center"/>
          </w:tcPr>
          <w:p w:rsidR="003663E4" w:rsidRDefault="003663E4">
            <w:pPr>
              <w:spacing w:line="276" w:lineRule="auto"/>
              <w:jc w:val="right"/>
              <w:rPr>
                <w:rFonts w:eastAsiaTheme="minorEastAsia"/>
                <w:b/>
                <w:color w:val="000000"/>
                <w:sz w:val="18"/>
                <w:szCs w:val="18"/>
              </w:rPr>
            </w:pPr>
          </w:p>
        </w:tc>
        <w:tc>
          <w:tcPr>
            <w:tcW w:w="1134" w:type="dxa"/>
            <w:vAlign w:val="center"/>
          </w:tcPr>
          <w:p w:rsidR="003663E4" w:rsidRDefault="003663E4">
            <w:pPr>
              <w:spacing w:line="276" w:lineRule="auto"/>
              <w:jc w:val="right"/>
              <w:rPr>
                <w:rFonts w:eastAsiaTheme="minorEastAsia"/>
                <w:b/>
                <w:color w:val="000000"/>
                <w:sz w:val="18"/>
                <w:szCs w:val="18"/>
              </w:rPr>
            </w:pPr>
          </w:p>
        </w:tc>
        <w:tc>
          <w:tcPr>
            <w:tcW w:w="1336" w:type="dxa"/>
            <w:vAlign w:val="center"/>
          </w:tcPr>
          <w:p w:rsidR="003663E4" w:rsidRDefault="003663E4">
            <w:pPr>
              <w:spacing w:line="276" w:lineRule="auto"/>
              <w:jc w:val="right"/>
              <w:rPr>
                <w:rFonts w:eastAsiaTheme="minorEastAsia"/>
                <w:b/>
                <w:color w:val="000000"/>
                <w:sz w:val="18"/>
                <w:szCs w:val="18"/>
              </w:rPr>
            </w:pPr>
          </w:p>
        </w:tc>
      </w:tr>
      <w:tr w:rsidR="003663E4">
        <w:tc>
          <w:tcPr>
            <w:tcW w:w="1538" w:type="dxa"/>
            <w:vAlign w:val="center"/>
          </w:tcPr>
          <w:p w:rsidR="003663E4" w:rsidRDefault="00FD3F7D">
            <w:pPr>
              <w:jc w:val="center"/>
              <w:rPr>
                <w:sz w:val="18"/>
                <w:szCs w:val="18"/>
              </w:rPr>
            </w:pPr>
            <w:r>
              <w:rPr>
                <w:rFonts w:eastAsiaTheme="minorEastAsia" w:hint="eastAsia"/>
                <w:color w:val="000000"/>
                <w:sz w:val="18"/>
                <w:szCs w:val="18"/>
              </w:rPr>
              <w:t>银行存款</w:t>
            </w:r>
          </w:p>
        </w:tc>
        <w:tc>
          <w:tcPr>
            <w:tcW w:w="1478" w:type="dxa"/>
            <w:vAlign w:val="center"/>
          </w:tcPr>
          <w:p w:rsidR="003663E4" w:rsidRDefault="00FD3F7D">
            <w:pPr>
              <w:jc w:val="right"/>
              <w:rPr>
                <w:sz w:val="18"/>
                <w:szCs w:val="18"/>
              </w:rPr>
            </w:pPr>
            <w:r>
              <w:rPr>
                <w:color w:val="000000"/>
                <w:sz w:val="18"/>
                <w:szCs w:val="18"/>
              </w:rPr>
              <w:t>101,376,445.57</w:t>
            </w:r>
          </w:p>
        </w:tc>
        <w:tc>
          <w:tcPr>
            <w:tcW w:w="1417" w:type="dxa"/>
            <w:vAlign w:val="center"/>
          </w:tcPr>
          <w:p w:rsidR="003663E4" w:rsidRDefault="00FD3F7D">
            <w:pPr>
              <w:jc w:val="right"/>
              <w:rPr>
                <w:rFonts w:eastAsiaTheme="minorEastAsia"/>
                <w:color w:val="000000"/>
                <w:sz w:val="18"/>
                <w:szCs w:val="18"/>
              </w:rPr>
            </w:pPr>
            <w:r>
              <w:rPr>
                <w:color w:val="000000"/>
                <w:sz w:val="18"/>
                <w:szCs w:val="18"/>
              </w:rPr>
              <w:t>1,650,000,000.00</w:t>
            </w:r>
          </w:p>
        </w:tc>
        <w:tc>
          <w:tcPr>
            <w:tcW w:w="1418" w:type="dxa"/>
            <w:vAlign w:val="center"/>
          </w:tcPr>
          <w:p w:rsidR="003663E4" w:rsidRDefault="00FD3F7D">
            <w:pPr>
              <w:jc w:val="right"/>
              <w:rPr>
                <w:rFonts w:eastAsiaTheme="minorEastAsia"/>
                <w:color w:val="000000"/>
                <w:sz w:val="18"/>
                <w:szCs w:val="18"/>
              </w:rPr>
            </w:pPr>
            <w:r>
              <w:rPr>
                <w:color w:val="000000"/>
                <w:sz w:val="18"/>
                <w:szCs w:val="18"/>
              </w:rPr>
              <w:t>-</w:t>
            </w:r>
          </w:p>
        </w:tc>
        <w:tc>
          <w:tcPr>
            <w:tcW w:w="709" w:type="dxa"/>
            <w:vAlign w:val="center"/>
          </w:tcPr>
          <w:p w:rsidR="003663E4" w:rsidRDefault="00FD3F7D">
            <w:pPr>
              <w:jc w:val="right"/>
              <w:rPr>
                <w:sz w:val="18"/>
                <w:szCs w:val="18"/>
              </w:rPr>
            </w:pPr>
            <w:r>
              <w:rPr>
                <w:rFonts w:eastAsiaTheme="minorEastAsia"/>
                <w:color w:val="000000"/>
                <w:sz w:val="18"/>
                <w:szCs w:val="18"/>
              </w:rPr>
              <w:t>-</w:t>
            </w:r>
          </w:p>
        </w:tc>
        <w:tc>
          <w:tcPr>
            <w:tcW w:w="648" w:type="dxa"/>
            <w:vAlign w:val="center"/>
          </w:tcPr>
          <w:p w:rsidR="003663E4" w:rsidRDefault="00FD3F7D">
            <w:pPr>
              <w:jc w:val="right"/>
              <w:rPr>
                <w:sz w:val="18"/>
                <w:szCs w:val="18"/>
              </w:rPr>
            </w:pPr>
            <w:r>
              <w:rPr>
                <w:rFonts w:eastAsiaTheme="minorEastAsia"/>
                <w:color w:val="000000"/>
                <w:sz w:val="18"/>
                <w:szCs w:val="18"/>
              </w:rPr>
              <w:t>-</w:t>
            </w:r>
          </w:p>
        </w:tc>
        <w:tc>
          <w:tcPr>
            <w:tcW w:w="1134" w:type="dxa"/>
            <w:vAlign w:val="center"/>
          </w:tcPr>
          <w:p w:rsidR="003663E4" w:rsidRDefault="00FD3F7D">
            <w:pPr>
              <w:jc w:val="right"/>
              <w:rPr>
                <w:sz w:val="18"/>
                <w:szCs w:val="18"/>
              </w:rPr>
            </w:pPr>
            <w:r>
              <w:rPr>
                <w:rFonts w:eastAsiaTheme="minorEastAsia"/>
                <w:color w:val="000000"/>
                <w:sz w:val="18"/>
                <w:szCs w:val="18"/>
              </w:rPr>
              <w:t>-</w:t>
            </w:r>
          </w:p>
        </w:tc>
        <w:tc>
          <w:tcPr>
            <w:tcW w:w="1336" w:type="dxa"/>
            <w:vAlign w:val="center"/>
          </w:tcPr>
          <w:p w:rsidR="003663E4" w:rsidRDefault="00FD3F7D">
            <w:pPr>
              <w:jc w:val="right"/>
              <w:rPr>
                <w:sz w:val="18"/>
                <w:szCs w:val="18"/>
              </w:rPr>
            </w:pPr>
            <w:r>
              <w:rPr>
                <w:rFonts w:eastAsiaTheme="minorEastAsia"/>
                <w:color w:val="000000"/>
                <w:sz w:val="18"/>
                <w:szCs w:val="18"/>
              </w:rPr>
              <w:t>1,751,376,445.57</w:t>
            </w:r>
          </w:p>
        </w:tc>
      </w:tr>
      <w:tr w:rsidR="003663E4">
        <w:tc>
          <w:tcPr>
            <w:tcW w:w="1538" w:type="dxa"/>
            <w:vAlign w:val="center"/>
          </w:tcPr>
          <w:p w:rsidR="003663E4" w:rsidRDefault="00FD3F7D">
            <w:pPr>
              <w:jc w:val="center"/>
              <w:rPr>
                <w:sz w:val="18"/>
                <w:szCs w:val="18"/>
              </w:rPr>
            </w:pPr>
            <w:r>
              <w:rPr>
                <w:rFonts w:eastAsiaTheme="minorEastAsia" w:hint="eastAsia"/>
                <w:color w:val="000000"/>
                <w:sz w:val="18"/>
                <w:szCs w:val="18"/>
              </w:rPr>
              <w:t>交易性金融资产</w:t>
            </w:r>
          </w:p>
        </w:tc>
        <w:tc>
          <w:tcPr>
            <w:tcW w:w="1478" w:type="dxa"/>
            <w:vAlign w:val="center"/>
          </w:tcPr>
          <w:p w:rsidR="003663E4" w:rsidRDefault="00FD3F7D">
            <w:pPr>
              <w:jc w:val="right"/>
              <w:rPr>
                <w:sz w:val="18"/>
                <w:szCs w:val="18"/>
              </w:rPr>
            </w:pPr>
            <w:r>
              <w:rPr>
                <w:color w:val="000000"/>
                <w:sz w:val="18"/>
                <w:szCs w:val="18"/>
              </w:rPr>
              <w:t>-</w:t>
            </w:r>
          </w:p>
        </w:tc>
        <w:tc>
          <w:tcPr>
            <w:tcW w:w="1417" w:type="dxa"/>
            <w:vAlign w:val="center"/>
          </w:tcPr>
          <w:p w:rsidR="003663E4" w:rsidRDefault="00FD3F7D">
            <w:pPr>
              <w:jc w:val="right"/>
              <w:rPr>
                <w:rFonts w:eastAsiaTheme="minorEastAsia"/>
                <w:color w:val="000000"/>
                <w:sz w:val="18"/>
                <w:szCs w:val="18"/>
              </w:rPr>
            </w:pPr>
            <w:r>
              <w:rPr>
                <w:color w:val="000000"/>
                <w:sz w:val="18"/>
                <w:szCs w:val="18"/>
              </w:rPr>
              <w:t>4,330,387,965.74</w:t>
            </w:r>
          </w:p>
        </w:tc>
        <w:tc>
          <w:tcPr>
            <w:tcW w:w="1418" w:type="dxa"/>
            <w:vAlign w:val="center"/>
          </w:tcPr>
          <w:p w:rsidR="003663E4" w:rsidRDefault="00FD3F7D">
            <w:pPr>
              <w:jc w:val="right"/>
              <w:rPr>
                <w:rFonts w:eastAsiaTheme="minorEastAsia"/>
                <w:color w:val="000000"/>
                <w:sz w:val="18"/>
                <w:szCs w:val="18"/>
              </w:rPr>
            </w:pPr>
            <w:r>
              <w:rPr>
                <w:color w:val="000000"/>
                <w:sz w:val="18"/>
                <w:szCs w:val="18"/>
              </w:rPr>
              <w:t>1,745,689,779.46</w:t>
            </w:r>
          </w:p>
        </w:tc>
        <w:tc>
          <w:tcPr>
            <w:tcW w:w="709" w:type="dxa"/>
            <w:vAlign w:val="center"/>
          </w:tcPr>
          <w:p w:rsidR="003663E4" w:rsidRDefault="00FD3F7D">
            <w:pPr>
              <w:jc w:val="right"/>
              <w:rPr>
                <w:sz w:val="18"/>
                <w:szCs w:val="18"/>
              </w:rPr>
            </w:pPr>
            <w:r>
              <w:rPr>
                <w:rFonts w:eastAsiaTheme="minorEastAsia"/>
                <w:color w:val="000000"/>
                <w:sz w:val="18"/>
                <w:szCs w:val="18"/>
              </w:rPr>
              <w:t>-</w:t>
            </w:r>
          </w:p>
        </w:tc>
        <w:tc>
          <w:tcPr>
            <w:tcW w:w="648" w:type="dxa"/>
            <w:vAlign w:val="center"/>
          </w:tcPr>
          <w:p w:rsidR="003663E4" w:rsidRDefault="00FD3F7D">
            <w:pPr>
              <w:jc w:val="right"/>
              <w:rPr>
                <w:sz w:val="18"/>
                <w:szCs w:val="18"/>
              </w:rPr>
            </w:pPr>
            <w:r>
              <w:rPr>
                <w:rFonts w:eastAsiaTheme="minorEastAsia"/>
                <w:color w:val="000000"/>
                <w:sz w:val="18"/>
                <w:szCs w:val="18"/>
              </w:rPr>
              <w:t>-</w:t>
            </w:r>
          </w:p>
        </w:tc>
        <w:tc>
          <w:tcPr>
            <w:tcW w:w="1134" w:type="dxa"/>
            <w:vAlign w:val="center"/>
          </w:tcPr>
          <w:p w:rsidR="003663E4" w:rsidRDefault="00FD3F7D">
            <w:pPr>
              <w:jc w:val="right"/>
              <w:rPr>
                <w:sz w:val="18"/>
                <w:szCs w:val="18"/>
              </w:rPr>
            </w:pPr>
            <w:r>
              <w:rPr>
                <w:rFonts w:eastAsiaTheme="minorEastAsia"/>
                <w:color w:val="000000"/>
                <w:sz w:val="18"/>
                <w:szCs w:val="18"/>
              </w:rPr>
              <w:t>-</w:t>
            </w:r>
          </w:p>
        </w:tc>
        <w:tc>
          <w:tcPr>
            <w:tcW w:w="1336" w:type="dxa"/>
            <w:vAlign w:val="center"/>
          </w:tcPr>
          <w:p w:rsidR="003663E4" w:rsidRDefault="00FD3F7D">
            <w:pPr>
              <w:jc w:val="right"/>
              <w:rPr>
                <w:sz w:val="18"/>
                <w:szCs w:val="18"/>
              </w:rPr>
            </w:pPr>
            <w:r>
              <w:rPr>
                <w:rFonts w:eastAsiaTheme="minorEastAsia"/>
                <w:color w:val="000000"/>
                <w:sz w:val="18"/>
                <w:szCs w:val="18"/>
              </w:rPr>
              <w:t>6,076,077,745.20</w:t>
            </w:r>
          </w:p>
        </w:tc>
      </w:tr>
      <w:tr w:rsidR="003663E4">
        <w:tc>
          <w:tcPr>
            <w:tcW w:w="1538" w:type="dxa"/>
            <w:vAlign w:val="center"/>
          </w:tcPr>
          <w:p w:rsidR="003663E4" w:rsidRDefault="00FD3F7D">
            <w:pPr>
              <w:jc w:val="center"/>
              <w:rPr>
                <w:sz w:val="18"/>
                <w:szCs w:val="18"/>
              </w:rPr>
            </w:pPr>
            <w:r>
              <w:rPr>
                <w:rFonts w:eastAsiaTheme="minorEastAsia" w:hint="eastAsia"/>
                <w:color w:val="000000"/>
                <w:sz w:val="18"/>
                <w:szCs w:val="18"/>
              </w:rPr>
              <w:t>应收利息</w:t>
            </w:r>
          </w:p>
        </w:tc>
        <w:tc>
          <w:tcPr>
            <w:tcW w:w="1478" w:type="dxa"/>
            <w:vAlign w:val="center"/>
          </w:tcPr>
          <w:p w:rsidR="003663E4" w:rsidRDefault="00FD3F7D">
            <w:pPr>
              <w:jc w:val="right"/>
              <w:rPr>
                <w:sz w:val="18"/>
                <w:szCs w:val="18"/>
              </w:rPr>
            </w:pPr>
            <w:r>
              <w:rPr>
                <w:color w:val="000000"/>
                <w:sz w:val="18"/>
                <w:szCs w:val="18"/>
              </w:rPr>
              <w:t>-</w:t>
            </w:r>
          </w:p>
        </w:tc>
        <w:tc>
          <w:tcPr>
            <w:tcW w:w="1417" w:type="dxa"/>
            <w:vAlign w:val="center"/>
          </w:tcPr>
          <w:p w:rsidR="003663E4" w:rsidRDefault="00FD3F7D">
            <w:pPr>
              <w:jc w:val="right"/>
              <w:rPr>
                <w:rFonts w:eastAsiaTheme="minorEastAsia"/>
                <w:color w:val="000000"/>
                <w:sz w:val="18"/>
                <w:szCs w:val="18"/>
              </w:rPr>
            </w:pPr>
            <w:r>
              <w:rPr>
                <w:color w:val="000000"/>
                <w:sz w:val="18"/>
                <w:szCs w:val="18"/>
              </w:rPr>
              <w:t>-</w:t>
            </w:r>
          </w:p>
        </w:tc>
        <w:tc>
          <w:tcPr>
            <w:tcW w:w="1418" w:type="dxa"/>
            <w:vAlign w:val="center"/>
          </w:tcPr>
          <w:p w:rsidR="003663E4" w:rsidRDefault="00FD3F7D">
            <w:pPr>
              <w:jc w:val="right"/>
              <w:rPr>
                <w:rFonts w:eastAsiaTheme="minorEastAsia"/>
                <w:color w:val="000000"/>
                <w:sz w:val="18"/>
                <w:szCs w:val="18"/>
              </w:rPr>
            </w:pPr>
            <w:r>
              <w:rPr>
                <w:color w:val="000000"/>
                <w:sz w:val="18"/>
                <w:szCs w:val="18"/>
              </w:rPr>
              <w:t>-</w:t>
            </w:r>
          </w:p>
        </w:tc>
        <w:tc>
          <w:tcPr>
            <w:tcW w:w="709" w:type="dxa"/>
            <w:vAlign w:val="center"/>
          </w:tcPr>
          <w:p w:rsidR="003663E4" w:rsidRDefault="00FD3F7D">
            <w:pPr>
              <w:jc w:val="right"/>
              <w:rPr>
                <w:sz w:val="18"/>
                <w:szCs w:val="18"/>
              </w:rPr>
            </w:pPr>
            <w:r>
              <w:rPr>
                <w:rFonts w:eastAsiaTheme="minorEastAsia"/>
                <w:color w:val="000000"/>
                <w:sz w:val="18"/>
                <w:szCs w:val="18"/>
              </w:rPr>
              <w:t>-</w:t>
            </w:r>
          </w:p>
        </w:tc>
        <w:tc>
          <w:tcPr>
            <w:tcW w:w="648" w:type="dxa"/>
            <w:vAlign w:val="center"/>
          </w:tcPr>
          <w:p w:rsidR="003663E4" w:rsidRDefault="00FD3F7D">
            <w:pPr>
              <w:jc w:val="right"/>
              <w:rPr>
                <w:sz w:val="18"/>
                <w:szCs w:val="18"/>
              </w:rPr>
            </w:pPr>
            <w:r>
              <w:rPr>
                <w:rFonts w:eastAsiaTheme="minorEastAsia"/>
                <w:color w:val="000000"/>
                <w:sz w:val="18"/>
                <w:szCs w:val="18"/>
              </w:rPr>
              <w:t>-</w:t>
            </w:r>
          </w:p>
        </w:tc>
        <w:tc>
          <w:tcPr>
            <w:tcW w:w="1134" w:type="dxa"/>
            <w:vAlign w:val="center"/>
          </w:tcPr>
          <w:p w:rsidR="003663E4" w:rsidRDefault="00FD3F7D">
            <w:pPr>
              <w:jc w:val="right"/>
              <w:rPr>
                <w:sz w:val="18"/>
                <w:szCs w:val="18"/>
              </w:rPr>
            </w:pPr>
            <w:r>
              <w:rPr>
                <w:rFonts w:eastAsiaTheme="minorEastAsia"/>
                <w:color w:val="000000"/>
                <w:sz w:val="18"/>
                <w:szCs w:val="18"/>
              </w:rPr>
              <w:t>23,101,962.92</w:t>
            </w:r>
          </w:p>
        </w:tc>
        <w:tc>
          <w:tcPr>
            <w:tcW w:w="1336" w:type="dxa"/>
            <w:vAlign w:val="center"/>
          </w:tcPr>
          <w:p w:rsidR="003663E4" w:rsidRDefault="00FD3F7D">
            <w:pPr>
              <w:jc w:val="right"/>
              <w:rPr>
                <w:sz w:val="18"/>
                <w:szCs w:val="18"/>
              </w:rPr>
            </w:pPr>
            <w:r>
              <w:rPr>
                <w:rFonts w:eastAsiaTheme="minorEastAsia"/>
                <w:color w:val="000000"/>
                <w:sz w:val="18"/>
                <w:szCs w:val="18"/>
              </w:rPr>
              <w:t>23,101,962.92</w:t>
            </w:r>
          </w:p>
        </w:tc>
      </w:tr>
      <w:tr w:rsidR="003663E4">
        <w:trPr>
          <w:trHeight w:val="280"/>
        </w:trPr>
        <w:tc>
          <w:tcPr>
            <w:tcW w:w="1538" w:type="dxa"/>
            <w:vAlign w:val="center"/>
          </w:tcPr>
          <w:p w:rsidR="003663E4" w:rsidRDefault="00FD3F7D">
            <w:pPr>
              <w:spacing w:line="276" w:lineRule="auto"/>
              <w:jc w:val="center"/>
              <w:rPr>
                <w:rFonts w:eastAsiaTheme="minorEastAsia"/>
                <w:color w:val="000000"/>
                <w:sz w:val="18"/>
                <w:szCs w:val="18"/>
              </w:rPr>
            </w:pPr>
            <w:r>
              <w:rPr>
                <w:rFonts w:eastAsiaTheme="minorEastAsia" w:hint="eastAsia"/>
                <w:color w:val="000000"/>
                <w:sz w:val="18"/>
                <w:szCs w:val="18"/>
              </w:rPr>
              <w:t>资产总计</w:t>
            </w:r>
          </w:p>
        </w:tc>
        <w:tc>
          <w:tcPr>
            <w:tcW w:w="1478" w:type="dxa"/>
            <w:vAlign w:val="center"/>
          </w:tcPr>
          <w:p w:rsidR="003663E4" w:rsidRDefault="00FD3F7D">
            <w:pPr>
              <w:spacing w:line="276" w:lineRule="auto"/>
              <w:jc w:val="right"/>
              <w:rPr>
                <w:rFonts w:eastAsiaTheme="minorEastAsia"/>
                <w:sz w:val="18"/>
                <w:szCs w:val="18"/>
              </w:rPr>
            </w:pPr>
            <w:r>
              <w:rPr>
                <w:b/>
                <w:sz w:val="18"/>
                <w:szCs w:val="18"/>
              </w:rPr>
              <w:t>101,376,445.57</w:t>
            </w:r>
          </w:p>
        </w:tc>
        <w:tc>
          <w:tcPr>
            <w:tcW w:w="1417" w:type="dxa"/>
            <w:vAlign w:val="center"/>
          </w:tcPr>
          <w:p w:rsidR="003663E4" w:rsidRDefault="00FD3F7D">
            <w:pPr>
              <w:spacing w:line="276" w:lineRule="auto"/>
              <w:jc w:val="right"/>
              <w:rPr>
                <w:rFonts w:eastAsiaTheme="minorEastAsia"/>
                <w:sz w:val="18"/>
                <w:szCs w:val="18"/>
              </w:rPr>
            </w:pPr>
            <w:r>
              <w:rPr>
                <w:b/>
                <w:sz w:val="18"/>
                <w:szCs w:val="18"/>
              </w:rPr>
              <w:t>5,980,387,965.74</w:t>
            </w:r>
          </w:p>
        </w:tc>
        <w:tc>
          <w:tcPr>
            <w:tcW w:w="1418" w:type="dxa"/>
            <w:vAlign w:val="center"/>
          </w:tcPr>
          <w:p w:rsidR="003663E4" w:rsidRDefault="00FD3F7D">
            <w:pPr>
              <w:spacing w:line="276" w:lineRule="auto"/>
              <w:jc w:val="right"/>
              <w:rPr>
                <w:rFonts w:eastAsiaTheme="minorEastAsia"/>
                <w:sz w:val="18"/>
                <w:szCs w:val="18"/>
              </w:rPr>
            </w:pPr>
            <w:r>
              <w:rPr>
                <w:b/>
                <w:sz w:val="18"/>
                <w:szCs w:val="18"/>
              </w:rPr>
              <w:t>1,745,689,779.46</w:t>
            </w:r>
          </w:p>
        </w:tc>
        <w:tc>
          <w:tcPr>
            <w:tcW w:w="709" w:type="dxa"/>
            <w:vAlign w:val="center"/>
          </w:tcPr>
          <w:p w:rsidR="003663E4" w:rsidRDefault="00FD3F7D">
            <w:pPr>
              <w:spacing w:line="276" w:lineRule="auto"/>
              <w:jc w:val="right"/>
              <w:rPr>
                <w:rFonts w:eastAsiaTheme="minorEastAsia"/>
                <w:sz w:val="18"/>
                <w:szCs w:val="18"/>
              </w:rPr>
            </w:pPr>
            <w:r>
              <w:rPr>
                <w:rFonts w:eastAsiaTheme="minorEastAsia"/>
                <w:sz w:val="18"/>
                <w:szCs w:val="18"/>
              </w:rPr>
              <w:t>-</w:t>
            </w:r>
          </w:p>
        </w:tc>
        <w:tc>
          <w:tcPr>
            <w:tcW w:w="648" w:type="dxa"/>
            <w:vAlign w:val="center"/>
          </w:tcPr>
          <w:p w:rsidR="003663E4" w:rsidRDefault="00FD3F7D">
            <w:pPr>
              <w:spacing w:line="276" w:lineRule="auto"/>
              <w:jc w:val="right"/>
              <w:rPr>
                <w:rFonts w:eastAsiaTheme="minorEastAsia"/>
                <w:sz w:val="18"/>
                <w:szCs w:val="18"/>
              </w:rPr>
            </w:pPr>
            <w:r>
              <w:rPr>
                <w:rFonts w:eastAsiaTheme="minorEastAsia"/>
                <w:sz w:val="18"/>
                <w:szCs w:val="18"/>
              </w:rPr>
              <w:t>-</w:t>
            </w:r>
          </w:p>
        </w:tc>
        <w:tc>
          <w:tcPr>
            <w:tcW w:w="1134" w:type="dxa"/>
            <w:vAlign w:val="center"/>
          </w:tcPr>
          <w:p w:rsidR="003663E4" w:rsidRDefault="00FD3F7D">
            <w:pPr>
              <w:spacing w:line="276" w:lineRule="auto"/>
              <w:jc w:val="right"/>
              <w:rPr>
                <w:rFonts w:eastAsiaTheme="minorEastAsia"/>
                <w:b/>
                <w:sz w:val="18"/>
                <w:szCs w:val="18"/>
              </w:rPr>
            </w:pPr>
            <w:r>
              <w:rPr>
                <w:rFonts w:eastAsiaTheme="minorEastAsia"/>
                <w:b/>
                <w:sz w:val="18"/>
                <w:szCs w:val="18"/>
              </w:rPr>
              <w:t>23,101,962.92</w:t>
            </w:r>
          </w:p>
        </w:tc>
        <w:tc>
          <w:tcPr>
            <w:tcW w:w="1336" w:type="dxa"/>
            <w:vAlign w:val="center"/>
          </w:tcPr>
          <w:p w:rsidR="003663E4" w:rsidRDefault="00FD3F7D">
            <w:pPr>
              <w:spacing w:line="276" w:lineRule="auto"/>
              <w:jc w:val="right"/>
              <w:rPr>
                <w:rFonts w:eastAsiaTheme="minorEastAsia"/>
                <w:b/>
                <w:sz w:val="18"/>
                <w:szCs w:val="18"/>
              </w:rPr>
            </w:pPr>
            <w:r>
              <w:rPr>
                <w:rFonts w:eastAsiaTheme="minorEastAsia"/>
                <w:b/>
                <w:sz w:val="18"/>
                <w:szCs w:val="18"/>
              </w:rPr>
              <w:t>7,850,556,153.69</w:t>
            </w:r>
          </w:p>
        </w:tc>
      </w:tr>
      <w:tr w:rsidR="003663E4">
        <w:trPr>
          <w:trHeight w:val="278"/>
        </w:trPr>
        <w:tc>
          <w:tcPr>
            <w:tcW w:w="1538" w:type="dxa"/>
            <w:vAlign w:val="center"/>
          </w:tcPr>
          <w:p w:rsidR="003663E4" w:rsidRDefault="00FD3F7D">
            <w:pPr>
              <w:spacing w:line="276" w:lineRule="auto"/>
              <w:jc w:val="center"/>
              <w:rPr>
                <w:rFonts w:eastAsiaTheme="minorEastAsia"/>
                <w:color w:val="000000"/>
                <w:sz w:val="18"/>
                <w:szCs w:val="18"/>
              </w:rPr>
            </w:pPr>
            <w:r>
              <w:rPr>
                <w:rFonts w:eastAsiaTheme="minorEastAsia" w:hint="eastAsia"/>
                <w:color w:val="000000"/>
                <w:sz w:val="18"/>
                <w:szCs w:val="18"/>
              </w:rPr>
              <w:t>负债</w:t>
            </w:r>
          </w:p>
        </w:tc>
        <w:tc>
          <w:tcPr>
            <w:tcW w:w="1478" w:type="dxa"/>
            <w:vAlign w:val="center"/>
          </w:tcPr>
          <w:p w:rsidR="003663E4" w:rsidRDefault="003663E4">
            <w:pPr>
              <w:spacing w:line="276" w:lineRule="auto"/>
              <w:jc w:val="right"/>
              <w:rPr>
                <w:rFonts w:eastAsiaTheme="minorEastAsia"/>
                <w:color w:val="0000FF"/>
                <w:kern w:val="0"/>
                <w:sz w:val="18"/>
                <w:szCs w:val="18"/>
              </w:rPr>
            </w:pPr>
          </w:p>
        </w:tc>
        <w:tc>
          <w:tcPr>
            <w:tcW w:w="1417" w:type="dxa"/>
            <w:vAlign w:val="center"/>
          </w:tcPr>
          <w:p w:rsidR="003663E4" w:rsidRDefault="003663E4">
            <w:pPr>
              <w:spacing w:line="276" w:lineRule="auto"/>
              <w:jc w:val="right"/>
              <w:rPr>
                <w:rFonts w:eastAsiaTheme="minorEastAsia"/>
                <w:color w:val="000000"/>
                <w:sz w:val="18"/>
                <w:szCs w:val="18"/>
              </w:rPr>
            </w:pPr>
          </w:p>
        </w:tc>
        <w:tc>
          <w:tcPr>
            <w:tcW w:w="1418" w:type="dxa"/>
            <w:vAlign w:val="center"/>
          </w:tcPr>
          <w:p w:rsidR="003663E4" w:rsidRDefault="003663E4">
            <w:pPr>
              <w:spacing w:line="276" w:lineRule="auto"/>
              <w:jc w:val="right"/>
              <w:rPr>
                <w:rFonts w:eastAsiaTheme="minorEastAsia"/>
                <w:color w:val="000000"/>
                <w:sz w:val="18"/>
                <w:szCs w:val="18"/>
              </w:rPr>
            </w:pPr>
          </w:p>
        </w:tc>
        <w:tc>
          <w:tcPr>
            <w:tcW w:w="709" w:type="dxa"/>
            <w:vAlign w:val="center"/>
          </w:tcPr>
          <w:p w:rsidR="003663E4" w:rsidRDefault="003663E4">
            <w:pPr>
              <w:spacing w:line="276" w:lineRule="auto"/>
              <w:jc w:val="right"/>
              <w:rPr>
                <w:rFonts w:eastAsiaTheme="minorEastAsia"/>
                <w:color w:val="000000"/>
                <w:sz w:val="18"/>
                <w:szCs w:val="18"/>
              </w:rPr>
            </w:pPr>
          </w:p>
        </w:tc>
        <w:tc>
          <w:tcPr>
            <w:tcW w:w="648" w:type="dxa"/>
            <w:vAlign w:val="center"/>
          </w:tcPr>
          <w:p w:rsidR="003663E4" w:rsidRDefault="003663E4">
            <w:pPr>
              <w:spacing w:line="276" w:lineRule="auto"/>
              <w:jc w:val="right"/>
              <w:rPr>
                <w:rFonts w:eastAsiaTheme="minorEastAsia"/>
                <w:color w:val="000000"/>
                <w:sz w:val="18"/>
                <w:szCs w:val="18"/>
              </w:rPr>
            </w:pPr>
          </w:p>
        </w:tc>
        <w:tc>
          <w:tcPr>
            <w:tcW w:w="1134" w:type="dxa"/>
            <w:vAlign w:val="center"/>
          </w:tcPr>
          <w:p w:rsidR="003663E4" w:rsidRDefault="003663E4">
            <w:pPr>
              <w:spacing w:line="276" w:lineRule="auto"/>
              <w:jc w:val="right"/>
              <w:rPr>
                <w:rFonts w:eastAsiaTheme="minorEastAsia"/>
                <w:color w:val="000000"/>
                <w:sz w:val="18"/>
                <w:szCs w:val="18"/>
              </w:rPr>
            </w:pPr>
          </w:p>
        </w:tc>
        <w:tc>
          <w:tcPr>
            <w:tcW w:w="1336" w:type="dxa"/>
            <w:vAlign w:val="center"/>
          </w:tcPr>
          <w:p w:rsidR="003663E4" w:rsidRDefault="003663E4">
            <w:pPr>
              <w:spacing w:line="276" w:lineRule="auto"/>
              <w:jc w:val="right"/>
              <w:rPr>
                <w:rFonts w:eastAsiaTheme="minorEastAsia"/>
                <w:color w:val="000000"/>
                <w:sz w:val="18"/>
                <w:szCs w:val="18"/>
              </w:rPr>
            </w:pPr>
          </w:p>
        </w:tc>
      </w:tr>
      <w:tr w:rsidR="003663E4">
        <w:tc>
          <w:tcPr>
            <w:tcW w:w="1538" w:type="dxa"/>
            <w:vAlign w:val="center"/>
          </w:tcPr>
          <w:p w:rsidR="003663E4" w:rsidRDefault="00FD3F7D">
            <w:pPr>
              <w:jc w:val="center"/>
              <w:rPr>
                <w:sz w:val="18"/>
                <w:szCs w:val="18"/>
              </w:rPr>
            </w:pPr>
            <w:r>
              <w:rPr>
                <w:rFonts w:eastAsiaTheme="minorEastAsia" w:hint="eastAsia"/>
                <w:color w:val="000000"/>
                <w:sz w:val="18"/>
                <w:szCs w:val="18"/>
              </w:rPr>
              <w:t>卖出回购金融资产款</w:t>
            </w:r>
          </w:p>
        </w:tc>
        <w:tc>
          <w:tcPr>
            <w:tcW w:w="1478" w:type="dxa"/>
            <w:vAlign w:val="center"/>
          </w:tcPr>
          <w:p w:rsidR="003663E4" w:rsidRDefault="00FD3F7D">
            <w:pPr>
              <w:jc w:val="right"/>
              <w:rPr>
                <w:sz w:val="18"/>
                <w:szCs w:val="18"/>
              </w:rPr>
            </w:pPr>
            <w:r>
              <w:rPr>
                <w:color w:val="000000"/>
                <w:sz w:val="18"/>
                <w:szCs w:val="18"/>
              </w:rPr>
              <w:t>728,114,015.90</w:t>
            </w:r>
          </w:p>
        </w:tc>
        <w:tc>
          <w:tcPr>
            <w:tcW w:w="1417" w:type="dxa"/>
            <w:vAlign w:val="center"/>
          </w:tcPr>
          <w:p w:rsidR="003663E4" w:rsidRDefault="00FD3F7D">
            <w:pPr>
              <w:jc w:val="right"/>
              <w:rPr>
                <w:rFonts w:eastAsiaTheme="minorEastAsia"/>
                <w:color w:val="000000"/>
                <w:sz w:val="18"/>
                <w:szCs w:val="18"/>
              </w:rPr>
            </w:pPr>
            <w:r>
              <w:rPr>
                <w:color w:val="000000"/>
                <w:sz w:val="18"/>
                <w:szCs w:val="18"/>
              </w:rPr>
              <w:t>-</w:t>
            </w:r>
          </w:p>
        </w:tc>
        <w:tc>
          <w:tcPr>
            <w:tcW w:w="1418" w:type="dxa"/>
            <w:vAlign w:val="center"/>
          </w:tcPr>
          <w:p w:rsidR="003663E4" w:rsidRDefault="00FD3F7D">
            <w:pPr>
              <w:jc w:val="right"/>
              <w:rPr>
                <w:rFonts w:eastAsiaTheme="minorEastAsia"/>
                <w:color w:val="000000"/>
                <w:sz w:val="18"/>
                <w:szCs w:val="18"/>
              </w:rPr>
            </w:pPr>
            <w:r>
              <w:rPr>
                <w:color w:val="000000"/>
                <w:sz w:val="18"/>
                <w:szCs w:val="18"/>
              </w:rPr>
              <w:t>-</w:t>
            </w:r>
          </w:p>
        </w:tc>
        <w:tc>
          <w:tcPr>
            <w:tcW w:w="709" w:type="dxa"/>
            <w:vAlign w:val="center"/>
          </w:tcPr>
          <w:p w:rsidR="003663E4" w:rsidRDefault="00FD3F7D">
            <w:pPr>
              <w:jc w:val="right"/>
              <w:rPr>
                <w:sz w:val="18"/>
                <w:szCs w:val="18"/>
              </w:rPr>
            </w:pPr>
            <w:r>
              <w:rPr>
                <w:rFonts w:eastAsiaTheme="minorEastAsia"/>
                <w:color w:val="000000"/>
                <w:sz w:val="18"/>
                <w:szCs w:val="18"/>
              </w:rPr>
              <w:t>-</w:t>
            </w:r>
          </w:p>
        </w:tc>
        <w:tc>
          <w:tcPr>
            <w:tcW w:w="648" w:type="dxa"/>
            <w:vAlign w:val="center"/>
          </w:tcPr>
          <w:p w:rsidR="003663E4" w:rsidRDefault="00FD3F7D">
            <w:pPr>
              <w:jc w:val="right"/>
              <w:rPr>
                <w:sz w:val="18"/>
                <w:szCs w:val="18"/>
              </w:rPr>
            </w:pPr>
            <w:r>
              <w:rPr>
                <w:rFonts w:eastAsiaTheme="minorEastAsia"/>
                <w:color w:val="000000"/>
                <w:sz w:val="18"/>
                <w:szCs w:val="18"/>
              </w:rPr>
              <w:t>-</w:t>
            </w:r>
          </w:p>
        </w:tc>
        <w:tc>
          <w:tcPr>
            <w:tcW w:w="1134" w:type="dxa"/>
            <w:vAlign w:val="center"/>
          </w:tcPr>
          <w:p w:rsidR="003663E4" w:rsidRDefault="00FD3F7D">
            <w:pPr>
              <w:jc w:val="center"/>
              <w:rPr>
                <w:sz w:val="18"/>
                <w:szCs w:val="18"/>
              </w:rPr>
            </w:pPr>
            <w:r>
              <w:rPr>
                <w:rFonts w:eastAsiaTheme="minorEastAsia"/>
                <w:color w:val="000000"/>
                <w:sz w:val="18"/>
                <w:szCs w:val="18"/>
              </w:rPr>
              <w:t>-</w:t>
            </w:r>
          </w:p>
        </w:tc>
        <w:tc>
          <w:tcPr>
            <w:tcW w:w="1336" w:type="dxa"/>
            <w:vAlign w:val="center"/>
          </w:tcPr>
          <w:p w:rsidR="003663E4" w:rsidRDefault="00FD3F7D">
            <w:pPr>
              <w:jc w:val="right"/>
              <w:rPr>
                <w:sz w:val="18"/>
                <w:szCs w:val="18"/>
              </w:rPr>
            </w:pPr>
            <w:r>
              <w:rPr>
                <w:rFonts w:eastAsiaTheme="minorEastAsia"/>
                <w:color w:val="000000"/>
                <w:sz w:val="18"/>
                <w:szCs w:val="18"/>
              </w:rPr>
              <w:t>728,114,015.90</w:t>
            </w:r>
          </w:p>
        </w:tc>
      </w:tr>
      <w:tr w:rsidR="003663E4">
        <w:tc>
          <w:tcPr>
            <w:tcW w:w="1538" w:type="dxa"/>
            <w:vAlign w:val="center"/>
          </w:tcPr>
          <w:p w:rsidR="003663E4" w:rsidRDefault="00FD3F7D">
            <w:pPr>
              <w:jc w:val="center"/>
              <w:rPr>
                <w:sz w:val="18"/>
                <w:szCs w:val="18"/>
              </w:rPr>
            </w:pPr>
            <w:r>
              <w:rPr>
                <w:rFonts w:eastAsiaTheme="minorEastAsia" w:hint="eastAsia"/>
                <w:color w:val="000000"/>
                <w:sz w:val="18"/>
                <w:szCs w:val="18"/>
              </w:rPr>
              <w:t>应付管理人报酬</w:t>
            </w:r>
          </w:p>
        </w:tc>
        <w:tc>
          <w:tcPr>
            <w:tcW w:w="1478" w:type="dxa"/>
            <w:vAlign w:val="center"/>
          </w:tcPr>
          <w:p w:rsidR="003663E4" w:rsidRDefault="00FD3F7D">
            <w:pPr>
              <w:jc w:val="right"/>
              <w:rPr>
                <w:sz w:val="18"/>
                <w:szCs w:val="18"/>
              </w:rPr>
            </w:pPr>
            <w:r>
              <w:rPr>
                <w:color w:val="000000"/>
                <w:sz w:val="18"/>
                <w:szCs w:val="18"/>
              </w:rPr>
              <w:t>-</w:t>
            </w:r>
          </w:p>
        </w:tc>
        <w:tc>
          <w:tcPr>
            <w:tcW w:w="1417" w:type="dxa"/>
            <w:vAlign w:val="center"/>
          </w:tcPr>
          <w:p w:rsidR="003663E4" w:rsidRDefault="00FD3F7D">
            <w:pPr>
              <w:jc w:val="right"/>
              <w:rPr>
                <w:rFonts w:eastAsiaTheme="minorEastAsia"/>
                <w:color w:val="000000"/>
                <w:sz w:val="18"/>
                <w:szCs w:val="18"/>
              </w:rPr>
            </w:pPr>
            <w:r>
              <w:rPr>
                <w:color w:val="000000"/>
                <w:sz w:val="18"/>
                <w:szCs w:val="18"/>
              </w:rPr>
              <w:t>-</w:t>
            </w:r>
          </w:p>
        </w:tc>
        <w:tc>
          <w:tcPr>
            <w:tcW w:w="1418" w:type="dxa"/>
            <w:vAlign w:val="center"/>
          </w:tcPr>
          <w:p w:rsidR="003663E4" w:rsidRDefault="00FD3F7D">
            <w:pPr>
              <w:jc w:val="right"/>
              <w:rPr>
                <w:rFonts w:eastAsiaTheme="minorEastAsia"/>
                <w:color w:val="000000"/>
                <w:sz w:val="18"/>
                <w:szCs w:val="18"/>
              </w:rPr>
            </w:pPr>
            <w:r>
              <w:rPr>
                <w:color w:val="000000"/>
                <w:sz w:val="18"/>
                <w:szCs w:val="18"/>
              </w:rPr>
              <w:t>-</w:t>
            </w:r>
          </w:p>
        </w:tc>
        <w:tc>
          <w:tcPr>
            <w:tcW w:w="709" w:type="dxa"/>
            <w:vAlign w:val="center"/>
          </w:tcPr>
          <w:p w:rsidR="003663E4" w:rsidRDefault="00FD3F7D">
            <w:pPr>
              <w:jc w:val="right"/>
              <w:rPr>
                <w:sz w:val="18"/>
                <w:szCs w:val="18"/>
              </w:rPr>
            </w:pPr>
            <w:r>
              <w:rPr>
                <w:rFonts w:eastAsiaTheme="minorEastAsia"/>
                <w:color w:val="000000"/>
                <w:sz w:val="18"/>
                <w:szCs w:val="18"/>
              </w:rPr>
              <w:t>-</w:t>
            </w:r>
          </w:p>
        </w:tc>
        <w:tc>
          <w:tcPr>
            <w:tcW w:w="648" w:type="dxa"/>
            <w:vAlign w:val="center"/>
          </w:tcPr>
          <w:p w:rsidR="003663E4" w:rsidRDefault="00FD3F7D">
            <w:pPr>
              <w:jc w:val="right"/>
              <w:rPr>
                <w:sz w:val="18"/>
                <w:szCs w:val="18"/>
              </w:rPr>
            </w:pPr>
            <w:r>
              <w:rPr>
                <w:rFonts w:eastAsiaTheme="minorEastAsia"/>
                <w:color w:val="000000"/>
                <w:sz w:val="18"/>
                <w:szCs w:val="18"/>
              </w:rPr>
              <w:t>-</w:t>
            </w:r>
          </w:p>
        </w:tc>
        <w:tc>
          <w:tcPr>
            <w:tcW w:w="1134" w:type="dxa"/>
            <w:vAlign w:val="center"/>
          </w:tcPr>
          <w:p w:rsidR="003663E4" w:rsidRDefault="00FD3F7D">
            <w:pPr>
              <w:jc w:val="center"/>
              <w:rPr>
                <w:sz w:val="18"/>
                <w:szCs w:val="18"/>
              </w:rPr>
            </w:pPr>
            <w:r>
              <w:rPr>
                <w:rFonts w:eastAsiaTheme="minorEastAsia"/>
                <w:color w:val="000000"/>
                <w:sz w:val="18"/>
                <w:szCs w:val="18"/>
              </w:rPr>
              <w:t>1,301,984.06</w:t>
            </w:r>
          </w:p>
        </w:tc>
        <w:tc>
          <w:tcPr>
            <w:tcW w:w="1336" w:type="dxa"/>
            <w:vAlign w:val="center"/>
          </w:tcPr>
          <w:p w:rsidR="003663E4" w:rsidRDefault="00FD3F7D">
            <w:pPr>
              <w:jc w:val="right"/>
              <w:rPr>
                <w:sz w:val="18"/>
                <w:szCs w:val="18"/>
              </w:rPr>
            </w:pPr>
            <w:r>
              <w:rPr>
                <w:rFonts w:eastAsiaTheme="minorEastAsia"/>
                <w:color w:val="000000"/>
                <w:sz w:val="18"/>
                <w:szCs w:val="18"/>
              </w:rPr>
              <w:t>1,301,984.06</w:t>
            </w:r>
          </w:p>
        </w:tc>
      </w:tr>
      <w:tr w:rsidR="003663E4">
        <w:tc>
          <w:tcPr>
            <w:tcW w:w="1538" w:type="dxa"/>
            <w:vAlign w:val="center"/>
          </w:tcPr>
          <w:p w:rsidR="003663E4" w:rsidRDefault="00FD3F7D">
            <w:pPr>
              <w:jc w:val="center"/>
              <w:rPr>
                <w:sz w:val="18"/>
                <w:szCs w:val="18"/>
              </w:rPr>
            </w:pPr>
            <w:r>
              <w:rPr>
                <w:rFonts w:eastAsiaTheme="minorEastAsia" w:hint="eastAsia"/>
                <w:color w:val="000000"/>
                <w:sz w:val="18"/>
                <w:szCs w:val="18"/>
              </w:rPr>
              <w:t>应付托管费</w:t>
            </w:r>
          </w:p>
        </w:tc>
        <w:tc>
          <w:tcPr>
            <w:tcW w:w="1478" w:type="dxa"/>
            <w:vAlign w:val="center"/>
          </w:tcPr>
          <w:p w:rsidR="003663E4" w:rsidRDefault="00FD3F7D">
            <w:pPr>
              <w:jc w:val="right"/>
              <w:rPr>
                <w:sz w:val="18"/>
                <w:szCs w:val="18"/>
              </w:rPr>
            </w:pPr>
            <w:r>
              <w:rPr>
                <w:color w:val="000000"/>
                <w:sz w:val="18"/>
                <w:szCs w:val="18"/>
              </w:rPr>
              <w:t>-</w:t>
            </w:r>
          </w:p>
        </w:tc>
        <w:tc>
          <w:tcPr>
            <w:tcW w:w="1417" w:type="dxa"/>
            <w:vAlign w:val="center"/>
          </w:tcPr>
          <w:p w:rsidR="003663E4" w:rsidRDefault="00FD3F7D">
            <w:pPr>
              <w:jc w:val="right"/>
              <w:rPr>
                <w:rFonts w:eastAsiaTheme="minorEastAsia"/>
                <w:color w:val="000000"/>
                <w:sz w:val="18"/>
                <w:szCs w:val="18"/>
              </w:rPr>
            </w:pPr>
            <w:r>
              <w:rPr>
                <w:color w:val="000000"/>
                <w:sz w:val="18"/>
                <w:szCs w:val="18"/>
              </w:rPr>
              <w:t>-</w:t>
            </w:r>
          </w:p>
        </w:tc>
        <w:tc>
          <w:tcPr>
            <w:tcW w:w="1418" w:type="dxa"/>
            <w:vAlign w:val="center"/>
          </w:tcPr>
          <w:p w:rsidR="003663E4" w:rsidRDefault="00FD3F7D">
            <w:pPr>
              <w:jc w:val="right"/>
              <w:rPr>
                <w:rFonts w:eastAsiaTheme="minorEastAsia"/>
                <w:color w:val="000000"/>
                <w:sz w:val="18"/>
                <w:szCs w:val="18"/>
              </w:rPr>
            </w:pPr>
            <w:r>
              <w:rPr>
                <w:color w:val="000000"/>
                <w:sz w:val="18"/>
                <w:szCs w:val="18"/>
              </w:rPr>
              <w:t>-</w:t>
            </w:r>
          </w:p>
        </w:tc>
        <w:tc>
          <w:tcPr>
            <w:tcW w:w="709" w:type="dxa"/>
            <w:vAlign w:val="center"/>
          </w:tcPr>
          <w:p w:rsidR="003663E4" w:rsidRDefault="00FD3F7D">
            <w:pPr>
              <w:jc w:val="right"/>
              <w:rPr>
                <w:sz w:val="18"/>
                <w:szCs w:val="18"/>
              </w:rPr>
            </w:pPr>
            <w:r>
              <w:rPr>
                <w:rFonts w:eastAsiaTheme="minorEastAsia"/>
                <w:color w:val="000000"/>
                <w:sz w:val="18"/>
                <w:szCs w:val="18"/>
              </w:rPr>
              <w:t>-</w:t>
            </w:r>
          </w:p>
        </w:tc>
        <w:tc>
          <w:tcPr>
            <w:tcW w:w="648" w:type="dxa"/>
            <w:vAlign w:val="center"/>
          </w:tcPr>
          <w:p w:rsidR="003663E4" w:rsidRDefault="00FD3F7D">
            <w:pPr>
              <w:jc w:val="right"/>
              <w:rPr>
                <w:sz w:val="18"/>
                <w:szCs w:val="18"/>
              </w:rPr>
            </w:pPr>
            <w:r>
              <w:rPr>
                <w:rFonts w:eastAsiaTheme="minorEastAsia"/>
                <w:color w:val="000000"/>
                <w:sz w:val="18"/>
                <w:szCs w:val="18"/>
              </w:rPr>
              <w:t>-</w:t>
            </w:r>
          </w:p>
        </w:tc>
        <w:tc>
          <w:tcPr>
            <w:tcW w:w="1134" w:type="dxa"/>
            <w:vAlign w:val="center"/>
          </w:tcPr>
          <w:p w:rsidR="003663E4" w:rsidRDefault="00FD3F7D">
            <w:pPr>
              <w:jc w:val="center"/>
              <w:rPr>
                <w:sz w:val="18"/>
                <w:szCs w:val="18"/>
              </w:rPr>
            </w:pPr>
            <w:r>
              <w:rPr>
                <w:rFonts w:eastAsiaTheme="minorEastAsia"/>
                <w:color w:val="000000"/>
                <w:sz w:val="18"/>
                <w:szCs w:val="18"/>
              </w:rPr>
              <w:t>520,793.67</w:t>
            </w:r>
          </w:p>
        </w:tc>
        <w:tc>
          <w:tcPr>
            <w:tcW w:w="1336" w:type="dxa"/>
            <w:vAlign w:val="center"/>
          </w:tcPr>
          <w:p w:rsidR="003663E4" w:rsidRDefault="00FD3F7D">
            <w:pPr>
              <w:jc w:val="right"/>
              <w:rPr>
                <w:sz w:val="18"/>
                <w:szCs w:val="18"/>
              </w:rPr>
            </w:pPr>
            <w:r>
              <w:rPr>
                <w:rFonts w:eastAsiaTheme="minorEastAsia"/>
                <w:color w:val="000000"/>
                <w:sz w:val="18"/>
                <w:szCs w:val="18"/>
              </w:rPr>
              <w:t>520,793.67</w:t>
            </w:r>
          </w:p>
        </w:tc>
      </w:tr>
      <w:tr w:rsidR="003663E4">
        <w:tc>
          <w:tcPr>
            <w:tcW w:w="1538" w:type="dxa"/>
            <w:vAlign w:val="center"/>
          </w:tcPr>
          <w:p w:rsidR="003663E4" w:rsidRDefault="00FD3F7D">
            <w:pPr>
              <w:jc w:val="center"/>
              <w:rPr>
                <w:sz w:val="18"/>
                <w:szCs w:val="18"/>
              </w:rPr>
            </w:pPr>
            <w:r>
              <w:rPr>
                <w:rFonts w:eastAsiaTheme="minorEastAsia" w:hint="eastAsia"/>
                <w:color w:val="000000"/>
                <w:sz w:val="18"/>
                <w:szCs w:val="18"/>
              </w:rPr>
              <w:t>应付销售服务费</w:t>
            </w:r>
          </w:p>
        </w:tc>
        <w:tc>
          <w:tcPr>
            <w:tcW w:w="1478" w:type="dxa"/>
            <w:vAlign w:val="center"/>
          </w:tcPr>
          <w:p w:rsidR="003663E4" w:rsidRDefault="00FD3F7D">
            <w:pPr>
              <w:jc w:val="right"/>
              <w:rPr>
                <w:sz w:val="18"/>
                <w:szCs w:val="18"/>
              </w:rPr>
            </w:pPr>
            <w:r>
              <w:rPr>
                <w:color w:val="000000"/>
                <w:sz w:val="18"/>
                <w:szCs w:val="18"/>
              </w:rPr>
              <w:t>-</w:t>
            </w:r>
          </w:p>
        </w:tc>
        <w:tc>
          <w:tcPr>
            <w:tcW w:w="1417" w:type="dxa"/>
            <w:vAlign w:val="center"/>
          </w:tcPr>
          <w:p w:rsidR="003663E4" w:rsidRDefault="00FD3F7D">
            <w:pPr>
              <w:jc w:val="right"/>
              <w:rPr>
                <w:rFonts w:eastAsiaTheme="minorEastAsia"/>
                <w:color w:val="000000"/>
                <w:sz w:val="18"/>
                <w:szCs w:val="18"/>
              </w:rPr>
            </w:pPr>
            <w:r>
              <w:rPr>
                <w:color w:val="000000"/>
                <w:sz w:val="18"/>
                <w:szCs w:val="18"/>
              </w:rPr>
              <w:t>-</w:t>
            </w:r>
          </w:p>
        </w:tc>
        <w:tc>
          <w:tcPr>
            <w:tcW w:w="1418" w:type="dxa"/>
            <w:vAlign w:val="center"/>
          </w:tcPr>
          <w:p w:rsidR="003663E4" w:rsidRDefault="00FD3F7D">
            <w:pPr>
              <w:jc w:val="right"/>
              <w:rPr>
                <w:rFonts w:eastAsiaTheme="minorEastAsia"/>
                <w:color w:val="000000"/>
                <w:sz w:val="18"/>
                <w:szCs w:val="18"/>
              </w:rPr>
            </w:pPr>
            <w:r>
              <w:rPr>
                <w:color w:val="000000"/>
                <w:sz w:val="18"/>
                <w:szCs w:val="18"/>
              </w:rPr>
              <w:t>-</w:t>
            </w:r>
          </w:p>
        </w:tc>
        <w:tc>
          <w:tcPr>
            <w:tcW w:w="709" w:type="dxa"/>
            <w:vAlign w:val="center"/>
          </w:tcPr>
          <w:p w:rsidR="003663E4" w:rsidRDefault="00FD3F7D">
            <w:pPr>
              <w:jc w:val="right"/>
              <w:rPr>
                <w:sz w:val="18"/>
                <w:szCs w:val="18"/>
              </w:rPr>
            </w:pPr>
            <w:r>
              <w:rPr>
                <w:rFonts w:eastAsiaTheme="minorEastAsia"/>
                <w:color w:val="000000"/>
                <w:sz w:val="18"/>
                <w:szCs w:val="18"/>
              </w:rPr>
              <w:t>-</w:t>
            </w:r>
          </w:p>
        </w:tc>
        <w:tc>
          <w:tcPr>
            <w:tcW w:w="648" w:type="dxa"/>
            <w:vAlign w:val="center"/>
          </w:tcPr>
          <w:p w:rsidR="003663E4" w:rsidRDefault="00FD3F7D">
            <w:pPr>
              <w:jc w:val="right"/>
              <w:rPr>
                <w:sz w:val="18"/>
                <w:szCs w:val="18"/>
              </w:rPr>
            </w:pPr>
            <w:r>
              <w:rPr>
                <w:rFonts w:eastAsiaTheme="minorEastAsia"/>
                <w:color w:val="000000"/>
                <w:sz w:val="18"/>
                <w:szCs w:val="18"/>
              </w:rPr>
              <w:t>-</w:t>
            </w:r>
          </w:p>
        </w:tc>
        <w:tc>
          <w:tcPr>
            <w:tcW w:w="1134" w:type="dxa"/>
            <w:vAlign w:val="center"/>
          </w:tcPr>
          <w:p w:rsidR="003663E4" w:rsidRDefault="00FD3F7D">
            <w:pPr>
              <w:jc w:val="center"/>
              <w:rPr>
                <w:sz w:val="18"/>
                <w:szCs w:val="18"/>
              </w:rPr>
            </w:pPr>
            <w:r>
              <w:rPr>
                <w:rFonts w:eastAsiaTheme="minorEastAsia"/>
                <w:color w:val="000000"/>
                <w:sz w:val="18"/>
                <w:szCs w:val="18"/>
              </w:rPr>
              <w:t>66,665.01</w:t>
            </w:r>
          </w:p>
        </w:tc>
        <w:tc>
          <w:tcPr>
            <w:tcW w:w="1336" w:type="dxa"/>
            <w:vAlign w:val="center"/>
          </w:tcPr>
          <w:p w:rsidR="003663E4" w:rsidRDefault="00FD3F7D">
            <w:pPr>
              <w:jc w:val="right"/>
              <w:rPr>
                <w:sz w:val="18"/>
                <w:szCs w:val="18"/>
              </w:rPr>
            </w:pPr>
            <w:r>
              <w:rPr>
                <w:rFonts w:eastAsiaTheme="minorEastAsia"/>
                <w:color w:val="000000"/>
                <w:sz w:val="18"/>
                <w:szCs w:val="18"/>
              </w:rPr>
              <w:t>66,665.01</w:t>
            </w:r>
          </w:p>
        </w:tc>
      </w:tr>
      <w:tr w:rsidR="003663E4">
        <w:tc>
          <w:tcPr>
            <w:tcW w:w="1538" w:type="dxa"/>
            <w:vAlign w:val="center"/>
          </w:tcPr>
          <w:p w:rsidR="003663E4" w:rsidRDefault="00FD3F7D">
            <w:pPr>
              <w:jc w:val="center"/>
              <w:rPr>
                <w:sz w:val="18"/>
                <w:szCs w:val="18"/>
              </w:rPr>
            </w:pPr>
            <w:r>
              <w:rPr>
                <w:rFonts w:eastAsiaTheme="minorEastAsia" w:hint="eastAsia"/>
                <w:color w:val="000000"/>
                <w:sz w:val="18"/>
                <w:szCs w:val="18"/>
              </w:rPr>
              <w:t>应付交易费用</w:t>
            </w:r>
          </w:p>
        </w:tc>
        <w:tc>
          <w:tcPr>
            <w:tcW w:w="1478" w:type="dxa"/>
            <w:vAlign w:val="center"/>
          </w:tcPr>
          <w:p w:rsidR="003663E4" w:rsidRDefault="00FD3F7D">
            <w:pPr>
              <w:jc w:val="right"/>
              <w:rPr>
                <w:sz w:val="18"/>
                <w:szCs w:val="18"/>
              </w:rPr>
            </w:pPr>
            <w:r>
              <w:rPr>
                <w:color w:val="000000"/>
                <w:sz w:val="18"/>
                <w:szCs w:val="18"/>
              </w:rPr>
              <w:t>-</w:t>
            </w:r>
          </w:p>
        </w:tc>
        <w:tc>
          <w:tcPr>
            <w:tcW w:w="1417" w:type="dxa"/>
            <w:vAlign w:val="center"/>
          </w:tcPr>
          <w:p w:rsidR="003663E4" w:rsidRDefault="00FD3F7D">
            <w:pPr>
              <w:jc w:val="right"/>
              <w:rPr>
                <w:rFonts w:eastAsiaTheme="minorEastAsia"/>
                <w:color w:val="000000"/>
                <w:sz w:val="18"/>
                <w:szCs w:val="18"/>
              </w:rPr>
            </w:pPr>
            <w:r>
              <w:rPr>
                <w:color w:val="000000"/>
                <w:sz w:val="18"/>
                <w:szCs w:val="18"/>
              </w:rPr>
              <w:t>-</w:t>
            </w:r>
          </w:p>
        </w:tc>
        <w:tc>
          <w:tcPr>
            <w:tcW w:w="1418" w:type="dxa"/>
            <w:vAlign w:val="center"/>
          </w:tcPr>
          <w:p w:rsidR="003663E4" w:rsidRDefault="00FD3F7D">
            <w:pPr>
              <w:jc w:val="right"/>
              <w:rPr>
                <w:rFonts w:eastAsiaTheme="minorEastAsia"/>
                <w:color w:val="000000"/>
                <w:sz w:val="18"/>
                <w:szCs w:val="18"/>
              </w:rPr>
            </w:pPr>
            <w:r>
              <w:rPr>
                <w:color w:val="000000"/>
                <w:sz w:val="18"/>
                <w:szCs w:val="18"/>
              </w:rPr>
              <w:t>-</w:t>
            </w:r>
          </w:p>
        </w:tc>
        <w:tc>
          <w:tcPr>
            <w:tcW w:w="709" w:type="dxa"/>
            <w:vAlign w:val="center"/>
          </w:tcPr>
          <w:p w:rsidR="003663E4" w:rsidRDefault="00FD3F7D">
            <w:pPr>
              <w:jc w:val="right"/>
              <w:rPr>
                <w:sz w:val="18"/>
                <w:szCs w:val="18"/>
              </w:rPr>
            </w:pPr>
            <w:r>
              <w:rPr>
                <w:rFonts w:eastAsiaTheme="minorEastAsia"/>
                <w:color w:val="000000"/>
                <w:sz w:val="18"/>
                <w:szCs w:val="18"/>
              </w:rPr>
              <w:t>-</w:t>
            </w:r>
          </w:p>
        </w:tc>
        <w:tc>
          <w:tcPr>
            <w:tcW w:w="648" w:type="dxa"/>
            <w:vAlign w:val="center"/>
          </w:tcPr>
          <w:p w:rsidR="003663E4" w:rsidRDefault="00FD3F7D">
            <w:pPr>
              <w:jc w:val="right"/>
              <w:rPr>
                <w:sz w:val="18"/>
                <w:szCs w:val="18"/>
              </w:rPr>
            </w:pPr>
            <w:r>
              <w:rPr>
                <w:rFonts w:eastAsiaTheme="minorEastAsia"/>
                <w:color w:val="000000"/>
                <w:sz w:val="18"/>
                <w:szCs w:val="18"/>
              </w:rPr>
              <w:t>-</w:t>
            </w:r>
          </w:p>
        </w:tc>
        <w:tc>
          <w:tcPr>
            <w:tcW w:w="1134" w:type="dxa"/>
            <w:vAlign w:val="center"/>
          </w:tcPr>
          <w:p w:rsidR="003663E4" w:rsidRDefault="00FD3F7D">
            <w:pPr>
              <w:jc w:val="center"/>
              <w:rPr>
                <w:sz w:val="18"/>
                <w:szCs w:val="18"/>
              </w:rPr>
            </w:pPr>
            <w:r>
              <w:rPr>
                <w:rFonts w:eastAsiaTheme="minorEastAsia"/>
                <w:color w:val="000000"/>
                <w:sz w:val="18"/>
                <w:szCs w:val="18"/>
              </w:rPr>
              <w:t>73,515.26</w:t>
            </w:r>
          </w:p>
        </w:tc>
        <w:tc>
          <w:tcPr>
            <w:tcW w:w="1336" w:type="dxa"/>
            <w:vAlign w:val="center"/>
          </w:tcPr>
          <w:p w:rsidR="003663E4" w:rsidRDefault="00FD3F7D">
            <w:pPr>
              <w:jc w:val="right"/>
              <w:rPr>
                <w:sz w:val="18"/>
                <w:szCs w:val="18"/>
              </w:rPr>
            </w:pPr>
            <w:r>
              <w:rPr>
                <w:rFonts w:eastAsiaTheme="minorEastAsia"/>
                <w:color w:val="000000"/>
                <w:sz w:val="18"/>
                <w:szCs w:val="18"/>
              </w:rPr>
              <w:t>73,515.26</w:t>
            </w:r>
          </w:p>
        </w:tc>
      </w:tr>
      <w:tr w:rsidR="003663E4">
        <w:tc>
          <w:tcPr>
            <w:tcW w:w="1538" w:type="dxa"/>
            <w:vAlign w:val="center"/>
          </w:tcPr>
          <w:p w:rsidR="003663E4" w:rsidRDefault="00FD3F7D">
            <w:pPr>
              <w:jc w:val="center"/>
              <w:rPr>
                <w:sz w:val="18"/>
                <w:szCs w:val="18"/>
              </w:rPr>
            </w:pPr>
            <w:r>
              <w:rPr>
                <w:rFonts w:eastAsiaTheme="minorEastAsia" w:hint="eastAsia"/>
                <w:color w:val="000000"/>
                <w:sz w:val="18"/>
                <w:szCs w:val="18"/>
              </w:rPr>
              <w:t>应交税费</w:t>
            </w:r>
          </w:p>
        </w:tc>
        <w:tc>
          <w:tcPr>
            <w:tcW w:w="1478" w:type="dxa"/>
            <w:vAlign w:val="center"/>
          </w:tcPr>
          <w:p w:rsidR="003663E4" w:rsidRDefault="00FD3F7D">
            <w:pPr>
              <w:jc w:val="right"/>
              <w:rPr>
                <w:sz w:val="18"/>
                <w:szCs w:val="18"/>
              </w:rPr>
            </w:pPr>
            <w:r>
              <w:rPr>
                <w:color w:val="000000"/>
                <w:sz w:val="18"/>
                <w:szCs w:val="18"/>
              </w:rPr>
              <w:t>-</w:t>
            </w:r>
          </w:p>
        </w:tc>
        <w:tc>
          <w:tcPr>
            <w:tcW w:w="1417" w:type="dxa"/>
            <w:vAlign w:val="center"/>
          </w:tcPr>
          <w:p w:rsidR="003663E4" w:rsidRDefault="00FD3F7D">
            <w:pPr>
              <w:jc w:val="right"/>
              <w:rPr>
                <w:rFonts w:eastAsiaTheme="minorEastAsia"/>
                <w:color w:val="000000"/>
                <w:sz w:val="18"/>
                <w:szCs w:val="18"/>
              </w:rPr>
            </w:pPr>
            <w:r>
              <w:rPr>
                <w:color w:val="000000"/>
                <w:sz w:val="18"/>
                <w:szCs w:val="18"/>
              </w:rPr>
              <w:t>-</w:t>
            </w:r>
          </w:p>
        </w:tc>
        <w:tc>
          <w:tcPr>
            <w:tcW w:w="1418" w:type="dxa"/>
            <w:vAlign w:val="center"/>
          </w:tcPr>
          <w:p w:rsidR="003663E4" w:rsidRDefault="00FD3F7D">
            <w:pPr>
              <w:jc w:val="right"/>
              <w:rPr>
                <w:rFonts w:eastAsiaTheme="minorEastAsia"/>
                <w:color w:val="000000"/>
                <w:sz w:val="18"/>
                <w:szCs w:val="18"/>
              </w:rPr>
            </w:pPr>
            <w:r>
              <w:rPr>
                <w:color w:val="000000"/>
                <w:sz w:val="18"/>
                <w:szCs w:val="18"/>
              </w:rPr>
              <w:t>-</w:t>
            </w:r>
          </w:p>
        </w:tc>
        <w:tc>
          <w:tcPr>
            <w:tcW w:w="709" w:type="dxa"/>
            <w:vAlign w:val="center"/>
          </w:tcPr>
          <w:p w:rsidR="003663E4" w:rsidRDefault="00FD3F7D">
            <w:pPr>
              <w:jc w:val="right"/>
              <w:rPr>
                <w:sz w:val="18"/>
                <w:szCs w:val="18"/>
              </w:rPr>
            </w:pPr>
            <w:r>
              <w:rPr>
                <w:rFonts w:eastAsiaTheme="minorEastAsia"/>
                <w:color w:val="000000"/>
                <w:sz w:val="18"/>
                <w:szCs w:val="18"/>
              </w:rPr>
              <w:t>-</w:t>
            </w:r>
          </w:p>
        </w:tc>
        <w:tc>
          <w:tcPr>
            <w:tcW w:w="648" w:type="dxa"/>
            <w:vAlign w:val="center"/>
          </w:tcPr>
          <w:p w:rsidR="003663E4" w:rsidRDefault="00FD3F7D">
            <w:pPr>
              <w:jc w:val="right"/>
              <w:rPr>
                <w:sz w:val="18"/>
                <w:szCs w:val="18"/>
              </w:rPr>
            </w:pPr>
            <w:r>
              <w:rPr>
                <w:rFonts w:eastAsiaTheme="minorEastAsia"/>
                <w:color w:val="000000"/>
                <w:sz w:val="18"/>
                <w:szCs w:val="18"/>
              </w:rPr>
              <w:t>-</w:t>
            </w:r>
          </w:p>
        </w:tc>
        <w:tc>
          <w:tcPr>
            <w:tcW w:w="1134" w:type="dxa"/>
            <w:vAlign w:val="center"/>
          </w:tcPr>
          <w:p w:rsidR="003663E4" w:rsidRDefault="00FD3F7D">
            <w:pPr>
              <w:jc w:val="center"/>
              <w:rPr>
                <w:sz w:val="18"/>
                <w:szCs w:val="18"/>
              </w:rPr>
            </w:pPr>
            <w:r>
              <w:rPr>
                <w:rFonts w:eastAsiaTheme="minorEastAsia"/>
                <w:color w:val="000000"/>
                <w:sz w:val="18"/>
                <w:szCs w:val="18"/>
              </w:rPr>
              <w:t>113,302.57</w:t>
            </w:r>
          </w:p>
        </w:tc>
        <w:tc>
          <w:tcPr>
            <w:tcW w:w="1336" w:type="dxa"/>
            <w:vAlign w:val="center"/>
          </w:tcPr>
          <w:p w:rsidR="003663E4" w:rsidRDefault="00FD3F7D">
            <w:pPr>
              <w:jc w:val="right"/>
              <w:rPr>
                <w:sz w:val="18"/>
                <w:szCs w:val="18"/>
              </w:rPr>
            </w:pPr>
            <w:r>
              <w:rPr>
                <w:rFonts w:eastAsiaTheme="minorEastAsia"/>
                <w:color w:val="000000"/>
                <w:sz w:val="18"/>
                <w:szCs w:val="18"/>
              </w:rPr>
              <w:t>113,302.57</w:t>
            </w:r>
          </w:p>
        </w:tc>
      </w:tr>
      <w:tr w:rsidR="003663E4">
        <w:tc>
          <w:tcPr>
            <w:tcW w:w="1538" w:type="dxa"/>
            <w:vAlign w:val="center"/>
          </w:tcPr>
          <w:p w:rsidR="003663E4" w:rsidRDefault="00FD3F7D">
            <w:pPr>
              <w:jc w:val="center"/>
              <w:rPr>
                <w:sz w:val="18"/>
                <w:szCs w:val="18"/>
              </w:rPr>
            </w:pPr>
            <w:r>
              <w:rPr>
                <w:rFonts w:eastAsiaTheme="minorEastAsia" w:hint="eastAsia"/>
                <w:color w:val="000000"/>
                <w:sz w:val="18"/>
                <w:szCs w:val="18"/>
              </w:rPr>
              <w:t>应付利息</w:t>
            </w:r>
          </w:p>
        </w:tc>
        <w:tc>
          <w:tcPr>
            <w:tcW w:w="1478" w:type="dxa"/>
            <w:vAlign w:val="center"/>
          </w:tcPr>
          <w:p w:rsidR="003663E4" w:rsidRDefault="00FD3F7D">
            <w:pPr>
              <w:jc w:val="right"/>
              <w:rPr>
                <w:sz w:val="18"/>
                <w:szCs w:val="18"/>
              </w:rPr>
            </w:pPr>
            <w:r>
              <w:rPr>
                <w:color w:val="000000"/>
                <w:sz w:val="18"/>
                <w:szCs w:val="18"/>
              </w:rPr>
              <w:t>-</w:t>
            </w:r>
          </w:p>
        </w:tc>
        <w:tc>
          <w:tcPr>
            <w:tcW w:w="1417" w:type="dxa"/>
            <w:vAlign w:val="center"/>
          </w:tcPr>
          <w:p w:rsidR="003663E4" w:rsidRDefault="00FD3F7D">
            <w:pPr>
              <w:jc w:val="right"/>
              <w:rPr>
                <w:rFonts w:eastAsiaTheme="minorEastAsia"/>
                <w:color w:val="000000"/>
                <w:sz w:val="18"/>
                <w:szCs w:val="18"/>
              </w:rPr>
            </w:pPr>
            <w:r>
              <w:rPr>
                <w:color w:val="000000"/>
                <w:sz w:val="18"/>
                <w:szCs w:val="18"/>
              </w:rPr>
              <w:t>-</w:t>
            </w:r>
          </w:p>
        </w:tc>
        <w:tc>
          <w:tcPr>
            <w:tcW w:w="1418" w:type="dxa"/>
            <w:vAlign w:val="center"/>
          </w:tcPr>
          <w:p w:rsidR="003663E4" w:rsidRDefault="00FD3F7D">
            <w:pPr>
              <w:jc w:val="right"/>
              <w:rPr>
                <w:rFonts w:eastAsiaTheme="minorEastAsia"/>
                <w:color w:val="000000"/>
                <w:sz w:val="18"/>
                <w:szCs w:val="18"/>
              </w:rPr>
            </w:pPr>
            <w:r>
              <w:rPr>
                <w:color w:val="000000"/>
                <w:sz w:val="18"/>
                <w:szCs w:val="18"/>
              </w:rPr>
              <w:t>-</w:t>
            </w:r>
          </w:p>
        </w:tc>
        <w:tc>
          <w:tcPr>
            <w:tcW w:w="709" w:type="dxa"/>
            <w:vAlign w:val="center"/>
          </w:tcPr>
          <w:p w:rsidR="003663E4" w:rsidRDefault="00FD3F7D">
            <w:pPr>
              <w:jc w:val="right"/>
              <w:rPr>
                <w:sz w:val="18"/>
                <w:szCs w:val="18"/>
              </w:rPr>
            </w:pPr>
            <w:r>
              <w:rPr>
                <w:rFonts w:eastAsiaTheme="minorEastAsia"/>
                <w:color w:val="000000"/>
                <w:sz w:val="18"/>
                <w:szCs w:val="18"/>
              </w:rPr>
              <w:t>-</w:t>
            </w:r>
          </w:p>
        </w:tc>
        <w:tc>
          <w:tcPr>
            <w:tcW w:w="648" w:type="dxa"/>
            <w:vAlign w:val="center"/>
          </w:tcPr>
          <w:p w:rsidR="003663E4" w:rsidRDefault="00FD3F7D">
            <w:pPr>
              <w:jc w:val="right"/>
              <w:rPr>
                <w:sz w:val="18"/>
                <w:szCs w:val="18"/>
              </w:rPr>
            </w:pPr>
            <w:r>
              <w:rPr>
                <w:rFonts w:eastAsiaTheme="minorEastAsia"/>
                <w:color w:val="000000"/>
                <w:sz w:val="18"/>
                <w:szCs w:val="18"/>
              </w:rPr>
              <w:t>-</w:t>
            </w:r>
          </w:p>
        </w:tc>
        <w:tc>
          <w:tcPr>
            <w:tcW w:w="1134" w:type="dxa"/>
            <w:vAlign w:val="center"/>
          </w:tcPr>
          <w:p w:rsidR="003663E4" w:rsidRDefault="00FD3F7D">
            <w:pPr>
              <w:jc w:val="center"/>
              <w:rPr>
                <w:sz w:val="18"/>
                <w:szCs w:val="18"/>
              </w:rPr>
            </w:pPr>
            <w:r>
              <w:rPr>
                <w:rFonts w:eastAsiaTheme="minorEastAsia"/>
                <w:color w:val="000000"/>
                <w:sz w:val="18"/>
                <w:szCs w:val="18"/>
              </w:rPr>
              <w:t>57,114.01</w:t>
            </w:r>
          </w:p>
        </w:tc>
        <w:tc>
          <w:tcPr>
            <w:tcW w:w="1336" w:type="dxa"/>
            <w:vAlign w:val="center"/>
          </w:tcPr>
          <w:p w:rsidR="003663E4" w:rsidRDefault="00FD3F7D">
            <w:pPr>
              <w:jc w:val="right"/>
              <w:rPr>
                <w:sz w:val="18"/>
                <w:szCs w:val="18"/>
              </w:rPr>
            </w:pPr>
            <w:r>
              <w:rPr>
                <w:rFonts w:eastAsiaTheme="minorEastAsia"/>
                <w:color w:val="000000"/>
                <w:sz w:val="18"/>
                <w:szCs w:val="18"/>
              </w:rPr>
              <w:t>57,114.01</w:t>
            </w:r>
          </w:p>
        </w:tc>
      </w:tr>
      <w:tr w:rsidR="003663E4">
        <w:tc>
          <w:tcPr>
            <w:tcW w:w="1538" w:type="dxa"/>
            <w:vAlign w:val="center"/>
          </w:tcPr>
          <w:p w:rsidR="003663E4" w:rsidRDefault="00FD3F7D">
            <w:pPr>
              <w:jc w:val="center"/>
              <w:rPr>
                <w:sz w:val="18"/>
                <w:szCs w:val="18"/>
              </w:rPr>
            </w:pPr>
            <w:r>
              <w:rPr>
                <w:rFonts w:eastAsiaTheme="minorEastAsia" w:hint="eastAsia"/>
                <w:color w:val="000000"/>
                <w:sz w:val="18"/>
                <w:szCs w:val="18"/>
              </w:rPr>
              <w:t>应付利润</w:t>
            </w:r>
          </w:p>
        </w:tc>
        <w:tc>
          <w:tcPr>
            <w:tcW w:w="1478" w:type="dxa"/>
            <w:vAlign w:val="center"/>
          </w:tcPr>
          <w:p w:rsidR="003663E4" w:rsidRDefault="00FD3F7D">
            <w:pPr>
              <w:jc w:val="right"/>
              <w:rPr>
                <w:sz w:val="18"/>
                <w:szCs w:val="18"/>
              </w:rPr>
            </w:pPr>
            <w:r>
              <w:rPr>
                <w:color w:val="000000"/>
                <w:sz w:val="18"/>
                <w:szCs w:val="18"/>
              </w:rPr>
              <w:t>-</w:t>
            </w:r>
          </w:p>
        </w:tc>
        <w:tc>
          <w:tcPr>
            <w:tcW w:w="1417" w:type="dxa"/>
            <w:vAlign w:val="center"/>
          </w:tcPr>
          <w:p w:rsidR="003663E4" w:rsidRDefault="00FD3F7D">
            <w:pPr>
              <w:jc w:val="right"/>
              <w:rPr>
                <w:rFonts w:eastAsiaTheme="minorEastAsia"/>
                <w:color w:val="000000"/>
                <w:sz w:val="18"/>
                <w:szCs w:val="18"/>
              </w:rPr>
            </w:pPr>
            <w:r>
              <w:rPr>
                <w:color w:val="000000"/>
                <w:sz w:val="18"/>
                <w:szCs w:val="18"/>
              </w:rPr>
              <w:t>-</w:t>
            </w:r>
          </w:p>
        </w:tc>
        <w:tc>
          <w:tcPr>
            <w:tcW w:w="1418" w:type="dxa"/>
            <w:vAlign w:val="center"/>
          </w:tcPr>
          <w:p w:rsidR="003663E4" w:rsidRDefault="00FD3F7D">
            <w:pPr>
              <w:jc w:val="right"/>
              <w:rPr>
                <w:rFonts w:eastAsiaTheme="minorEastAsia"/>
                <w:color w:val="000000"/>
                <w:sz w:val="18"/>
                <w:szCs w:val="18"/>
              </w:rPr>
            </w:pPr>
            <w:r>
              <w:rPr>
                <w:color w:val="000000"/>
                <w:sz w:val="18"/>
                <w:szCs w:val="18"/>
              </w:rPr>
              <w:t>-</w:t>
            </w:r>
          </w:p>
        </w:tc>
        <w:tc>
          <w:tcPr>
            <w:tcW w:w="709" w:type="dxa"/>
            <w:vAlign w:val="center"/>
          </w:tcPr>
          <w:p w:rsidR="003663E4" w:rsidRDefault="00FD3F7D">
            <w:pPr>
              <w:jc w:val="right"/>
              <w:rPr>
                <w:sz w:val="18"/>
                <w:szCs w:val="18"/>
              </w:rPr>
            </w:pPr>
            <w:r>
              <w:rPr>
                <w:rFonts w:eastAsiaTheme="minorEastAsia"/>
                <w:color w:val="000000"/>
                <w:sz w:val="18"/>
                <w:szCs w:val="18"/>
              </w:rPr>
              <w:t>-</w:t>
            </w:r>
          </w:p>
        </w:tc>
        <w:tc>
          <w:tcPr>
            <w:tcW w:w="648" w:type="dxa"/>
            <w:vAlign w:val="center"/>
          </w:tcPr>
          <w:p w:rsidR="003663E4" w:rsidRDefault="00FD3F7D">
            <w:pPr>
              <w:jc w:val="right"/>
              <w:rPr>
                <w:sz w:val="18"/>
                <w:szCs w:val="18"/>
              </w:rPr>
            </w:pPr>
            <w:r>
              <w:rPr>
                <w:rFonts w:eastAsiaTheme="minorEastAsia"/>
                <w:color w:val="000000"/>
                <w:sz w:val="18"/>
                <w:szCs w:val="18"/>
              </w:rPr>
              <w:t>-</w:t>
            </w:r>
          </w:p>
        </w:tc>
        <w:tc>
          <w:tcPr>
            <w:tcW w:w="1134" w:type="dxa"/>
            <w:vAlign w:val="center"/>
          </w:tcPr>
          <w:p w:rsidR="003663E4" w:rsidRDefault="00FD3F7D">
            <w:pPr>
              <w:jc w:val="center"/>
              <w:rPr>
                <w:sz w:val="18"/>
                <w:szCs w:val="18"/>
              </w:rPr>
            </w:pPr>
            <w:r>
              <w:rPr>
                <w:rFonts w:eastAsiaTheme="minorEastAsia"/>
                <w:color w:val="000000"/>
                <w:sz w:val="18"/>
                <w:szCs w:val="18"/>
              </w:rPr>
              <w:t>24,919,789.49</w:t>
            </w:r>
          </w:p>
        </w:tc>
        <w:tc>
          <w:tcPr>
            <w:tcW w:w="1336" w:type="dxa"/>
            <w:vAlign w:val="center"/>
          </w:tcPr>
          <w:p w:rsidR="003663E4" w:rsidRDefault="00FD3F7D">
            <w:pPr>
              <w:jc w:val="right"/>
              <w:rPr>
                <w:sz w:val="18"/>
                <w:szCs w:val="18"/>
              </w:rPr>
            </w:pPr>
            <w:r>
              <w:rPr>
                <w:rFonts w:eastAsiaTheme="minorEastAsia"/>
                <w:color w:val="000000"/>
                <w:sz w:val="18"/>
                <w:szCs w:val="18"/>
              </w:rPr>
              <w:t>24,919,789.49</w:t>
            </w:r>
          </w:p>
        </w:tc>
      </w:tr>
      <w:tr w:rsidR="003663E4">
        <w:tc>
          <w:tcPr>
            <w:tcW w:w="1538" w:type="dxa"/>
            <w:vAlign w:val="center"/>
          </w:tcPr>
          <w:p w:rsidR="003663E4" w:rsidRDefault="00FD3F7D">
            <w:pPr>
              <w:jc w:val="center"/>
              <w:rPr>
                <w:rFonts w:eastAsiaTheme="minorEastAsia"/>
                <w:color w:val="000000"/>
                <w:sz w:val="18"/>
                <w:szCs w:val="18"/>
              </w:rPr>
            </w:pPr>
            <w:r>
              <w:rPr>
                <w:color w:val="000000"/>
                <w:sz w:val="18"/>
                <w:szCs w:val="18"/>
              </w:rPr>
              <w:t>其他负债</w:t>
            </w:r>
          </w:p>
        </w:tc>
        <w:tc>
          <w:tcPr>
            <w:tcW w:w="1478" w:type="dxa"/>
            <w:vAlign w:val="center"/>
          </w:tcPr>
          <w:p w:rsidR="003663E4" w:rsidRDefault="00FD3F7D">
            <w:pPr>
              <w:jc w:val="right"/>
              <w:rPr>
                <w:color w:val="000000"/>
                <w:sz w:val="18"/>
                <w:szCs w:val="18"/>
              </w:rPr>
            </w:pPr>
            <w:r>
              <w:rPr>
                <w:color w:val="000000"/>
                <w:sz w:val="18"/>
                <w:szCs w:val="18"/>
              </w:rPr>
              <w:t>-</w:t>
            </w:r>
          </w:p>
        </w:tc>
        <w:tc>
          <w:tcPr>
            <w:tcW w:w="1417" w:type="dxa"/>
            <w:vAlign w:val="center"/>
          </w:tcPr>
          <w:p w:rsidR="003663E4" w:rsidRDefault="00FD3F7D">
            <w:pPr>
              <w:jc w:val="right"/>
              <w:rPr>
                <w:color w:val="000000"/>
                <w:sz w:val="18"/>
                <w:szCs w:val="18"/>
              </w:rPr>
            </w:pPr>
            <w:r>
              <w:rPr>
                <w:color w:val="000000"/>
                <w:sz w:val="18"/>
                <w:szCs w:val="18"/>
              </w:rPr>
              <w:t>-</w:t>
            </w:r>
          </w:p>
        </w:tc>
        <w:tc>
          <w:tcPr>
            <w:tcW w:w="1418" w:type="dxa"/>
            <w:vAlign w:val="center"/>
          </w:tcPr>
          <w:p w:rsidR="003663E4" w:rsidRDefault="00FD3F7D">
            <w:pPr>
              <w:jc w:val="right"/>
              <w:rPr>
                <w:color w:val="000000"/>
                <w:sz w:val="18"/>
                <w:szCs w:val="18"/>
              </w:rPr>
            </w:pPr>
            <w:r>
              <w:rPr>
                <w:color w:val="000000"/>
                <w:sz w:val="18"/>
                <w:szCs w:val="18"/>
              </w:rPr>
              <w:t>-</w:t>
            </w:r>
          </w:p>
        </w:tc>
        <w:tc>
          <w:tcPr>
            <w:tcW w:w="709" w:type="dxa"/>
            <w:vAlign w:val="center"/>
          </w:tcPr>
          <w:p w:rsidR="003663E4" w:rsidRDefault="00FD3F7D">
            <w:pPr>
              <w:jc w:val="right"/>
              <w:rPr>
                <w:rFonts w:eastAsiaTheme="minorEastAsia"/>
                <w:color w:val="000000"/>
                <w:sz w:val="18"/>
                <w:szCs w:val="18"/>
              </w:rPr>
            </w:pPr>
            <w:r>
              <w:rPr>
                <w:color w:val="000000"/>
                <w:sz w:val="18"/>
                <w:szCs w:val="18"/>
              </w:rPr>
              <w:t>-</w:t>
            </w:r>
          </w:p>
        </w:tc>
        <w:tc>
          <w:tcPr>
            <w:tcW w:w="648" w:type="dxa"/>
            <w:vAlign w:val="center"/>
          </w:tcPr>
          <w:p w:rsidR="003663E4" w:rsidRDefault="00FD3F7D">
            <w:pPr>
              <w:jc w:val="right"/>
              <w:rPr>
                <w:rFonts w:eastAsiaTheme="minorEastAsia"/>
                <w:color w:val="000000"/>
                <w:sz w:val="18"/>
                <w:szCs w:val="18"/>
              </w:rPr>
            </w:pPr>
            <w:r>
              <w:rPr>
                <w:color w:val="000000"/>
                <w:sz w:val="18"/>
                <w:szCs w:val="18"/>
              </w:rPr>
              <w:t>-</w:t>
            </w:r>
          </w:p>
        </w:tc>
        <w:tc>
          <w:tcPr>
            <w:tcW w:w="1134" w:type="dxa"/>
            <w:vAlign w:val="center"/>
          </w:tcPr>
          <w:p w:rsidR="003663E4" w:rsidRDefault="00FD3F7D">
            <w:pPr>
              <w:jc w:val="center"/>
              <w:rPr>
                <w:rFonts w:eastAsiaTheme="minorEastAsia"/>
                <w:color w:val="000000"/>
                <w:sz w:val="18"/>
                <w:szCs w:val="18"/>
              </w:rPr>
            </w:pPr>
            <w:r>
              <w:rPr>
                <w:color w:val="000000"/>
                <w:sz w:val="18"/>
                <w:szCs w:val="18"/>
              </w:rPr>
              <w:t>259,300.00</w:t>
            </w:r>
          </w:p>
        </w:tc>
        <w:tc>
          <w:tcPr>
            <w:tcW w:w="1336" w:type="dxa"/>
            <w:vAlign w:val="center"/>
          </w:tcPr>
          <w:p w:rsidR="003663E4" w:rsidRDefault="00FD3F7D">
            <w:pPr>
              <w:jc w:val="right"/>
              <w:rPr>
                <w:rFonts w:eastAsiaTheme="minorEastAsia"/>
                <w:color w:val="000000"/>
                <w:sz w:val="18"/>
                <w:szCs w:val="18"/>
              </w:rPr>
            </w:pPr>
            <w:r>
              <w:rPr>
                <w:color w:val="000000"/>
                <w:sz w:val="18"/>
                <w:szCs w:val="18"/>
              </w:rPr>
              <w:t>259,300.00</w:t>
            </w:r>
          </w:p>
        </w:tc>
      </w:tr>
      <w:tr w:rsidR="003663E4">
        <w:trPr>
          <w:trHeight w:val="278"/>
        </w:trPr>
        <w:tc>
          <w:tcPr>
            <w:tcW w:w="1538" w:type="dxa"/>
            <w:vAlign w:val="center"/>
          </w:tcPr>
          <w:p w:rsidR="003663E4" w:rsidRDefault="00FD3F7D">
            <w:pPr>
              <w:spacing w:line="276" w:lineRule="auto"/>
              <w:jc w:val="center"/>
              <w:rPr>
                <w:rFonts w:eastAsiaTheme="minorEastAsia"/>
                <w:color w:val="000000"/>
                <w:sz w:val="18"/>
                <w:szCs w:val="18"/>
              </w:rPr>
            </w:pPr>
            <w:r>
              <w:rPr>
                <w:rFonts w:eastAsiaTheme="minorEastAsia" w:hint="eastAsia"/>
                <w:color w:val="000000"/>
                <w:sz w:val="18"/>
                <w:szCs w:val="18"/>
              </w:rPr>
              <w:t>负债总计</w:t>
            </w:r>
          </w:p>
        </w:tc>
        <w:tc>
          <w:tcPr>
            <w:tcW w:w="1478" w:type="dxa"/>
            <w:vAlign w:val="center"/>
          </w:tcPr>
          <w:p w:rsidR="003663E4" w:rsidRDefault="00FD3F7D">
            <w:pPr>
              <w:spacing w:before="29" w:line="288" w:lineRule="auto"/>
              <w:jc w:val="right"/>
              <w:rPr>
                <w:b/>
                <w:sz w:val="18"/>
                <w:szCs w:val="18"/>
              </w:rPr>
            </w:pPr>
            <w:r>
              <w:rPr>
                <w:b/>
                <w:sz w:val="18"/>
                <w:szCs w:val="18"/>
              </w:rPr>
              <w:t>728,114,015.90</w:t>
            </w:r>
          </w:p>
          <w:p w:rsidR="003663E4" w:rsidRDefault="003663E4">
            <w:pPr>
              <w:spacing w:line="276" w:lineRule="auto"/>
              <w:jc w:val="right"/>
              <w:rPr>
                <w:rFonts w:eastAsiaTheme="minorEastAsia"/>
                <w:sz w:val="18"/>
                <w:szCs w:val="18"/>
              </w:rPr>
            </w:pPr>
          </w:p>
        </w:tc>
        <w:tc>
          <w:tcPr>
            <w:tcW w:w="1417" w:type="dxa"/>
            <w:vAlign w:val="center"/>
          </w:tcPr>
          <w:p w:rsidR="003663E4" w:rsidRDefault="00FD3F7D">
            <w:pPr>
              <w:spacing w:line="276" w:lineRule="auto"/>
              <w:jc w:val="right"/>
              <w:rPr>
                <w:rFonts w:eastAsiaTheme="minorEastAsia"/>
                <w:sz w:val="18"/>
                <w:szCs w:val="18"/>
              </w:rPr>
            </w:pPr>
            <w:r>
              <w:rPr>
                <w:color w:val="000000"/>
                <w:sz w:val="18"/>
                <w:szCs w:val="18"/>
              </w:rPr>
              <w:t>-</w:t>
            </w:r>
          </w:p>
        </w:tc>
        <w:tc>
          <w:tcPr>
            <w:tcW w:w="1418" w:type="dxa"/>
            <w:vAlign w:val="center"/>
          </w:tcPr>
          <w:p w:rsidR="003663E4" w:rsidRDefault="00FD3F7D">
            <w:pPr>
              <w:spacing w:line="276" w:lineRule="auto"/>
              <w:jc w:val="right"/>
              <w:rPr>
                <w:rFonts w:eastAsiaTheme="minorEastAsia"/>
                <w:sz w:val="18"/>
                <w:szCs w:val="18"/>
              </w:rPr>
            </w:pPr>
            <w:r>
              <w:rPr>
                <w:color w:val="000000"/>
                <w:sz w:val="18"/>
                <w:szCs w:val="18"/>
              </w:rPr>
              <w:t>-</w:t>
            </w:r>
          </w:p>
        </w:tc>
        <w:tc>
          <w:tcPr>
            <w:tcW w:w="709" w:type="dxa"/>
            <w:vAlign w:val="center"/>
          </w:tcPr>
          <w:p w:rsidR="003663E4" w:rsidRDefault="00FD3F7D">
            <w:pPr>
              <w:spacing w:line="276" w:lineRule="auto"/>
              <w:jc w:val="right"/>
              <w:rPr>
                <w:rFonts w:eastAsiaTheme="minorEastAsia"/>
                <w:sz w:val="18"/>
                <w:szCs w:val="18"/>
              </w:rPr>
            </w:pPr>
            <w:r>
              <w:rPr>
                <w:rFonts w:eastAsiaTheme="minorEastAsia"/>
                <w:sz w:val="18"/>
                <w:szCs w:val="18"/>
              </w:rPr>
              <w:t>-</w:t>
            </w:r>
          </w:p>
        </w:tc>
        <w:tc>
          <w:tcPr>
            <w:tcW w:w="648" w:type="dxa"/>
            <w:vAlign w:val="center"/>
          </w:tcPr>
          <w:p w:rsidR="003663E4" w:rsidRDefault="00FD3F7D">
            <w:pPr>
              <w:spacing w:line="276" w:lineRule="auto"/>
              <w:jc w:val="right"/>
              <w:rPr>
                <w:rFonts w:eastAsiaTheme="minorEastAsia"/>
                <w:sz w:val="18"/>
                <w:szCs w:val="18"/>
              </w:rPr>
            </w:pPr>
            <w:r>
              <w:rPr>
                <w:rFonts w:eastAsiaTheme="minorEastAsia"/>
                <w:sz w:val="18"/>
                <w:szCs w:val="18"/>
              </w:rPr>
              <w:t>-</w:t>
            </w:r>
          </w:p>
        </w:tc>
        <w:tc>
          <w:tcPr>
            <w:tcW w:w="1134" w:type="dxa"/>
            <w:vAlign w:val="center"/>
          </w:tcPr>
          <w:p w:rsidR="003663E4" w:rsidRDefault="00FD3F7D">
            <w:pPr>
              <w:spacing w:line="276" w:lineRule="auto"/>
              <w:jc w:val="right"/>
              <w:rPr>
                <w:rFonts w:eastAsiaTheme="minorEastAsia"/>
                <w:sz w:val="18"/>
                <w:szCs w:val="18"/>
              </w:rPr>
            </w:pPr>
            <w:r>
              <w:rPr>
                <w:rFonts w:eastAsiaTheme="minorEastAsia"/>
                <w:sz w:val="18"/>
                <w:szCs w:val="18"/>
              </w:rPr>
              <w:t>27,312,464.07</w:t>
            </w:r>
          </w:p>
        </w:tc>
        <w:tc>
          <w:tcPr>
            <w:tcW w:w="1336" w:type="dxa"/>
            <w:vAlign w:val="center"/>
          </w:tcPr>
          <w:p w:rsidR="003663E4" w:rsidRDefault="00FD3F7D">
            <w:pPr>
              <w:spacing w:line="276" w:lineRule="auto"/>
              <w:jc w:val="right"/>
              <w:rPr>
                <w:rFonts w:eastAsiaTheme="minorEastAsia"/>
                <w:sz w:val="18"/>
                <w:szCs w:val="18"/>
              </w:rPr>
            </w:pPr>
            <w:r>
              <w:rPr>
                <w:rFonts w:eastAsiaTheme="minorEastAsia"/>
                <w:sz w:val="18"/>
                <w:szCs w:val="18"/>
              </w:rPr>
              <w:t>755,426,479.97</w:t>
            </w:r>
          </w:p>
        </w:tc>
      </w:tr>
      <w:tr w:rsidR="003663E4">
        <w:trPr>
          <w:trHeight w:val="278"/>
        </w:trPr>
        <w:tc>
          <w:tcPr>
            <w:tcW w:w="1538" w:type="dxa"/>
            <w:vAlign w:val="center"/>
          </w:tcPr>
          <w:p w:rsidR="003663E4" w:rsidRDefault="00FD3F7D">
            <w:pPr>
              <w:spacing w:line="276" w:lineRule="auto"/>
              <w:jc w:val="center"/>
              <w:rPr>
                <w:rFonts w:eastAsiaTheme="minorEastAsia"/>
                <w:color w:val="000000"/>
                <w:sz w:val="18"/>
                <w:szCs w:val="18"/>
              </w:rPr>
            </w:pPr>
            <w:r>
              <w:rPr>
                <w:rFonts w:eastAsiaTheme="minorEastAsia" w:hint="eastAsia"/>
                <w:color w:val="000000"/>
                <w:sz w:val="18"/>
                <w:szCs w:val="18"/>
              </w:rPr>
              <w:t>利率敏感度缺口</w:t>
            </w:r>
          </w:p>
        </w:tc>
        <w:tc>
          <w:tcPr>
            <w:tcW w:w="1478" w:type="dxa"/>
            <w:vAlign w:val="center"/>
          </w:tcPr>
          <w:p w:rsidR="003663E4" w:rsidRDefault="00FD3F7D">
            <w:pPr>
              <w:spacing w:before="29" w:line="288" w:lineRule="auto"/>
              <w:jc w:val="right"/>
              <w:rPr>
                <w:b/>
                <w:sz w:val="18"/>
                <w:szCs w:val="18"/>
              </w:rPr>
            </w:pPr>
            <w:r>
              <w:rPr>
                <w:b/>
                <w:sz w:val="18"/>
                <w:szCs w:val="18"/>
              </w:rPr>
              <w:t>-626,737,570.33</w:t>
            </w:r>
          </w:p>
          <w:p w:rsidR="003663E4" w:rsidRDefault="003663E4">
            <w:pPr>
              <w:spacing w:line="276" w:lineRule="auto"/>
              <w:jc w:val="right"/>
              <w:rPr>
                <w:rFonts w:eastAsiaTheme="minorEastAsia"/>
                <w:sz w:val="18"/>
                <w:szCs w:val="18"/>
              </w:rPr>
            </w:pPr>
          </w:p>
        </w:tc>
        <w:tc>
          <w:tcPr>
            <w:tcW w:w="1417" w:type="dxa"/>
            <w:vAlign w:val="center"/>
          </w:tcPr>
          <w:p w:rsidR="003663E4" w:rsidRDefault="00FD3F7D">
            <w:pPr>
              <w:spacing w:before="29" w:line="288" w:lineRule="auto"/>
              <w:jc w:val="right"/>
              <w:rPr>
                <w:b/>
                <w:sz w:val="18"/>
                <w:szCs w:val="18"/>
              </w:rPr>
            </w:pPr>
            <w:r>
              <w:rPr>
                <w:b/>
                <w:sz w:val="18"/>
                <w:szCs w:val="18"/>
              </w:rPr>
              <w:t>5,980,387,965.74</w:t>
            </w:r>
          </w:p>
          <w:p w:rsidR="003663E4" w:rsidRDefault="003663E4">
            <w:pPr>
              <w:spacing w:line="276" w:lineRule="auto"/>
              <w:jc w:val="right"/>
              <w:rPr>
                <w:rFonts w:eastAsiaTheme="minorEastAsia"/>
                <w:sz w:val="18"/>
                <w:szCs w:val="18"/>
              </w:rPr>
            </w:pPr>
          </w:p>
        </w:tc>
        <w:tc>
          <w:tcPr>
            <w:tcW w:w="1418" w:type="dxa"/>
            <w:vAlign w:val="center"/>
          </w:tcPr>
          <w:p w:rsidR="003663E4" w:rsidRDefault="00FD3F7D">
            <w:pPr>
              <w:spacing w:before="29" w:line="288" w:lineRule="auto"/>
              <w:jc w:val="right"/>
              <w:rPr>
                <w:b/>
                <w:sz w:val="18"/>
                <w:szCs w:val="18"/>
              </w:rPr>
            </w:pPr>
            <w:r>
              <w:rPr>
                <w:b/>
                <w:sz w:val="18"/>
                <w:szCs w:val="18"/>
              </w:rPr>
              <w:t>1,745,689,779.46</w:t>
            </w:r>
          </w:p>
          <w:p w:rsidR="003663E4" w:rsidRDefault="003663E4">
            <w:pPr>
              <w:spacing w:line="276" w:lineRule="auto"/>
              <w:jc w:val="right"/>
              <w:rPr>
                <w:rFonts w:eastAsiaTheme="minorEastAsia"/>
                <w:sz w:val="18"/>
                <w:szCs w:val="18"/>
              </w:rPr>
            </w:pPr>
          </w:p>
        </w:tc>
        <w:tc>
          <w:tcPr>
            <w:tcW w:w="709" w:type="dxa"/>
            <w:vAlign w:val="center"/>
          </w:tcPr>
          <w:p w:rsidR="003663E4" w:rsidRDefault="00FD3F7D">
            <w:pPr>
              <w:spacing w:line="276" w:lineRule="auto"/>
              <w:jc w:val="right"/>
              <w:rPr>
                <w:rFonts w:eastAsiaTheme="minorEastAsia"/>
                <w:sz w:val="18"/>
                <w:szCs w:val="18"/>
              </w:rPr>
            </w:pPr>
            <w:r>
              <w:rPr>
                <w:rFonts w:eastAsiaTheme="minorEastAsia"/>
                <w:sz w:val="18"/>
                <w:szCs w:val="18"/>
              </w:rPr>
              <w:t>-</w:t>
            </w:r>
          </w:p>
        </w:tc>
        <w:tc>
          <w:tcPr>
            <w:tcW w:w="648" w:type="dxa"/>
            <w:vAlign w:val="center"/>
          </w:tcPr>
          <w:p w:rsidR="003663E4" w:rsidRDefault="00FD3F7D">
            <w:pPr>
              <w:spacing w:line="276" w:lineRule="auto"/>
              <w:jc w:val="right"/>
              <w:rPr>
                <w:rFonts w:eastAsiaTheme="minorEastAsia"/>
                <w:sz w:val="18"/>
                <w:szCs w:val="18"/>
              </w:rPr>
            </w:pPr>
            <w:r>
              <w:rPr>
                <w:rFonts w:eastAsiaTheme="minorEastAsia"/>
                <w:sz w:val="18"/>
                <w:szCs w:val="18"/>
              </w:rPr>
              <w:t>-</w:t>
            </w:r>
          </w:p>
        </w:tc>
        <w:tc>
          <w:tcPr>
            <w:tcW w:w="1134" w:type="dxa"/>
            <w:vAlign w:val="center"/>
          </w:tcPr>
          <w:p w:rsidR="003663E4" w:rsidRDefault="00FD3F7D">
            <w:pPr>
              <w:spacing w:line="276" w:lineRule="auto"/>
              <w:jc w:val="right"/>
              <w:rPr>
                <w:rFonts w:eastAsiaTheme="minorEastAsia"/>
                <w:b/>
                <w:sz w:val="18"/>
                <w:szCs w:val="18"/>
              </w:rPr>
            </w:pPr>
            <w:r>
              <w:rPr>
                <w:rFonts w:eastAsiaTheme="minorEastAsia"/>
                <w:b/>
                <w:sz w:val="18"/>
                <w:szCs w:val="18"/>
              </w:rPr>
              <w:t>-4,210,501.15</w:t>
            </w:r>
          </w:p>
        </w:tc>
        <w:tc>
          <w:tcPr>
            <w:tcW w:w="1336" w:type="dxa"/>
            <w:vAlign w:val="center"/>
          </w:tcPr>
          <w:p w:rsidR="003663E4" w:rsidRDefault="00FD3F7D">
            <w:pPr>
              <w:spacing w:line="276" w:lineRule="auto"/>
              <w:jc w:val="right"/>
              <w:rPr>
                <w:rFonts w:eastAsiaTheme="minorEastAsia"/>
                <w:b/>
                <w:sz w:val="18"/>
                <w:szCs w:val="18"/>
              </w:rPr>
            </w:pPr>
            <w:r>
              <w:rPr>
                <w:rFonts w:eastAsiaTheme="minorEastAsia"/>
                <w:b/>
                <w:sz w:val="18"/>
                <w:szCs w:val="18"/>
              </w:rPr>
              <w:t>7,095,129,673.72</w:t>
            </w:r>
          </w:p>
        </w:tc>
      </w:tr>
    </w:tbl>
    <w:p w:rsidR="003663E4" w:rsidRDefault="00FD3F7D">
      <w:pPr>
        <w:ind w:firstLineChars="200" w:firstLine="420"/>
        <w:rPr>
          <w:color w:val="000000"/>
          <w:szCs w:val="21"/>
        </w:rPr>
      </w:pPr>
      <w:r>
        <w:rPr>
          <w:rFonts w:eastAsiaTheme="minorEastAsia"/>
          <w:kern w:val="0"/>
          <w:szCs w:val="21"/>
        </w:rPr>
        <w:t>注：表中所示为本基金资产及负债的账面价值，并按照合约规定的利率重新定价日或到期日孰早予以分类。</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7.2.4.13.4.1.2 </w:t>
      </w:r>
      <w:r>
        <w:rPr>
          <w:b/>
          <w:bCs/>
          <w:color w:val="000000"/>
          <w:kern w:val="0"/>
          <w:szCs w:val="21"/>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880"/>
        <w:gridCol w:w="2679"/>
      </w:tblGrid>
      <w:tr w:rsidR="003663E4">
        <w:tc>
          <w:tcPr>
            <w:tcW w:w="851" w:type="dxa"/>
            <w:vAlign w:val="center"/>
          </w:tcPr>
          <w:p w:rsidR="003663E4" w:rsidRDefault="00FD3F7D">
            <w:pPr>
              <w:jc w:val="left"/>
            </w:pPr>
            <w:r>
              <w:rPr>
                <w:color w:val="000000"/>
                <w:szCs w:val="21"/>
              </w:rPr>
              <w:t>假设</w:t>
            </w:r>
          </w:p>
        </w:tc>
        <w:tc>
          <w:tcPr>
            <w:tcW w:w="8149" w:type="dxa"/>
            <w:gridSpan w:val="3"/>
            <w:vAlign w:val="center"/>
          </w:tcPr>
          <w:p w:rsidR="003663E4" w:rsidRDefault="00FD3F7D">
            <w:pPr>
              <w:jc w:val="left"/>
            </w:pPr>
            <w:r>
              <w:rPr>
                <w:color w:val="000000"/>
                <w:szCs w:val="21"/>
              </w:rPr>
              <w:t>除市场利率以外的其他市场变量保持不变</w:t>
            </w:r>
          </w:p>
        </w:tc>
      </w:tr>
      <w:tr w:rsidR="003663E4">
        <w:tc>
          <w:tcPr>
            <w:tcW w:w="851" w:type="dxa"/>
            <w:vMerge w:val="restart"/>
            <w:vAlign w:val="center"/>
          </w:tcPr>
          <w:p w:rsidR="003663E4" w:rsidRDefault="00FD3F7D">
            <w:pPr>
              <w:pStyle w:val="ae"/>
              <w:spacing w:line="276" w:lineRule="auto"/>
              <w:jc w:val="center"/>
              <w:rPr>
                <w:color w:val="000000"/>
                <w:sz w:val="21"/>
                <w:szCs w:val="21"/>
              </w:rPr>
            </w:pPr>
            <w:r>
              <w:rPr>
                <w:bCs/>
                <w:color w:val="000000"/>
                <w:sz w:val="21"/>
                <w:szCs w:val="21"/>
              </w:rPr>
              <w:t>分析</w:t>
            </w:r>
          </w:p>
        </w:tc>
        <w:tc>
          <w:tcPr>
            <w:tcW w:w="2590" w:type="dxa"/>
            <w:vMerge w:val="restart"/>
            <w:vAlign w:val="center"/>
          </w:tcPr>
          <w:p w:rsidR="003663E4" w:rsidRDefault="00FD3F7D">
            <w:pPr>
              <w:widowControl/>
              <w:autoSpaceDE w:val="0"/>
              <w:autoSpaceDN w:val="0"/>
              <w:spacing w:line="276" w:lineRule="auto"/>
              <w:ind w:right="-15"/>
              <w:jc w:val="center"/>
              <w:textAlignment w:val="bottom"/>
              <w:rPr>
                <w:color w:val="000000"/>
                <w:kern w:val="0"/>
                <w:szCs w:val="21"/>
              </w:rPr>
            </w:pPr>
            <w:r>
              <w:rPr>
                <w:bCs/>
                <w:color w:val="000000"/>
                <w:szCs w:val="21"/>
              </w:rPr>
              <w:t>相关风险变量的变动</w:t>
            </w:r>
          </w:p>
        </w:tc>
        <w:tc>
          <w:tcPr>
            <w:tcW w:w="5559" w:type="dxa"/>
            <w:gridSpan w:val="2"/>
          </w:tcPr>
          <w:p w:rsidR="003663E4" w:rsidRDefault="00FD3F7D">
            <w:pPr>
              <w:spacing w:line="276" w:lineRule="auto"/>
              <w:jc w:val="center"/>
              <w:rPr>
                <w:color w:val="000000"/>
                <w:szCs w:val="21"/>
              </w:rPr>
            </w:pPr>
            <w:r>
              <w:rPr>
                <w:color w:val="000000"/>
                <w:szCs w:val="21"/>
              </w:rPr>
              <w:t>对资产负债表日基金资产净值的</w:t>
            </w:r>
          </w:p>
          <w:p w:rsidR="003663E4" w:rsidRDefault="00FD3F7D">
            <w:pPr>
              <w:widowControl/>
              <w:autoSpaceDE w:val="0"/>
              <w:autoSpaceDN w:val="0"/>
              <w:spacing w:line="276" w:lineRule="auto"/>
              <w:ind w:right="-15"/>
              <w:jc w:val="center"/>
              <w:textAlignment w:val="bottom"/>
              <w:rPr>
                <w:color w:val="000000"/>
                <w:kern w:val="0"/>
                <w:szCs w:val="21"/>
              </w:rPr>
            </w:pPr>
            <w:r>
              <w:rPr>
                <w:color w:val="000000"/>
                <w:szCs w:val="21"/>
              </w:rPr>
              <w:t>影响金额（单位：人民币万元）</w:t>
            </w:r>
          </w:p>
        </w:tc>
      </w:tr>
      <w:tr w:rsidR="003663E4">
        <w:tc>
          <w:tcPr>
            <w:tcW w:w="851" w:type="dxa"/>
            <w:vMerge/>
            <w:vAlign w:val="center"/>
          </w:tcPr>
          <w:p w:rsidR="003663E4" w:rsidRDefault="003663E4">
            <w:pPr>
              <w:widowControl/>
              <w:spacing w:line="276" w:lineRule="auto"/>
              <w:jc w:val="left"/>
              <w:rPr>
                <w:color w:val="000000"/>
                <w:szCs w:val="21"/>
              </w:rPr>
            </w:pPr>
          </w:p>
        </w:tc>
        <w:tc>
          <w:tcPr>
            <w:tcW w:w="2590" w:type="dxa"/>
            <w:vMerge/>
            <w:vAlign w:val="center"/>
          </w:tcPr>
          <w:p w:rsidR="003663E4" w:rsidRDefault="003663E4">
            <w:pPr>
              <w:widowControl/>
              <w:spacing w:line="276" w:lineRule="auto"/>
              <w:jc w:val="left"/>
              <w:rPr>
                <w:color w:val="000000"/>
                <w:kern w:val="0"/>
                <w:szCs w:val="21"/>
              </w:rPr>
            </w:pPr>
          </w:p>
        </w:tc>
        <w:tc>
          <w:tcPr>
            <w:tcW w:w="2880" w:type="dxa"/>
          </w:tcPr>
          <w:p w:rsidR="003663E4" w:rsidRDefault="00FD3F7D">
            <w:pPr>
              <w:spacing w:line="276" w:lineRule="auto"/>
              <w:ind w:firstLineChars="350" w:firstLine="735"/>
              <w:rPr>
                <w:color w:val="000000"/>
                <w:szCs w:val="21"/>
              </w:rPr>
            </w:pPr>
            <w:r>
              <w:rPr>
                <w:color w:val="000000"/>
                <w:szCs w:val="21"/>
              </w:rPr>
              <w:t>本期末</w:t>
            </w:r>
          </w:p>
          <w:p w:rsidR="003663E4" w:rsidRDefault="00FD3F7D">
            <w:pPr>
              <w:spacing w:line="276" w:lineRule="auto"/>
              <w:jc w:val="center"/>
              <w:rPr>
                <w:color w:val="000000"/>
                <w:szCs w:val="21"/>
              </w:rPr>
            </w:pP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p>
          <w:p w:rsidR="003663E4" w:rsidRDefault="00FD3F7D">
            <w:pPr>
              <w:spacing w:line="276" w:lineRule="auto"/>
              <w:jc w:val="center"/>
              <w:rPr>
                <w:bCs/>
                <w:color w:val="000000"/>
                <w:szCs w:val="21"/>
              </w:rPr>
            </w:pPr>
            <w:r>
              <w:rPr>
                <w:color w:val="000000"/>
                <w:szCs w:val="21"/>
              </w:rPr>
              <w:t>（基金合同失效前日）</w:t>
            </w:r>
          </w:p>
        </w:tc>
        <w:tc>
          <w:tcPr>
            <w:tcW w:w="2679" w:type="dxa"/>
          </w:tcPr>
          <w:p w:rsidR="003663E4" w:rsidRDefault="00FD3F7D">
            <w:pPr>
              <w:spacing w:line="276" w:lineRule="auto"/>
              <w:ind w:firstLineChars="300" w:firstLine="630"/>
              <w:rPr>
                <w:color w:val="000000"/>
                <w:szCs w:val="21"/>
              </w:rPr>
            </w:pPr>
            <w:r>
              <w:rPr>
                <w:color w:val="000000"/>
                <w:szCs w:val="21"/>
              </w:rPr>
              <w:t>上年度末</w:t>
            </w:r>
          </w:p>
          <w:p w:rsidR="003663E4" w:rsidRDefault="00FD3F7D">
            <w:pPr>
              <w:spacing w:line="276" w:lineRule="auto"/>
              <w:jc w:val="center"/>
              <w:rPr>
                <w:bCs/>
                <w:color w:val="000000"/>
                <w:szCs w:val="21"/>
              </w:rPr>
            </w:pP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p>
        </w:tc>
      </w:tr>
      <w:tr w:rsidR="003663E4">
        <w:tc>
          <w:tcPr>
            <w:tcW w:w="851" w:type="dxa"/>
            <w:vMerge/>
          </w:tcPr>
          <w:p w:rsidR="003663E4" w:rsidRDefault="003663E4"/>
        </w:tc>
        <w:tc>
          <w:tcPr>
            <w:tcW w:w="2590" w:type="dxa"/>
            <w:vAlign w:val="center"/>
          </w:tcPr>
          <w:p w:rsidR="003663E4" w:rsidRDefault="00FD3F7D">
            <w:pPr>
              <w:jc w:val="left"/>
            </w:pPr>
            <w:r>
              <w:rPr>
                <w:color w:val="000000"/>
                <w:szCs w:val="21"/>
              </w:rPr>
              <w:t>市场利率上升</w:t>
            </w:r>
            <w:r>
              <w:rPr>
                <w:color w:val="000000"/>
                <w:szCs w:val="21"/>
              </w:rPr>
              <w:t>25</w:t>
            </w:r>
            <w:r>
              <w:rPr>
                <w:color w:val="000000"/>
                <w:szCs w:val="21"/>
              </w:rPr>
              <w:t>个基点</w:t>
            </w:r>
          </w:p>
        </w:tc>
        <w:tc>
          <w:tcPr>
            <w:tcW w:w="2880" w:type="dxa"/>
            <w:vAlign w:val="center"/>
          </w:tcPr>
          <w:p w:rsidR="003663E4" w:rsidRDefault="00FD3F7D">
            <w:pPr>
              <w:jc w:val="right"/>
            </w:pPr>
            <w:r>
              <w:rPr>
                <w:color w:val="000000"/>
                <w:szCs w:val="21"/>
              </w:rPr>
              <w:t>减少约</w:t>
            </w:r>
            <w:r>
              <w:rPr>
                <w:rFonts w:hint="eastAsia"/>
                <w:color w:val="000000"/>
                <w:szCs w:val="21"/>
              </w:rPr>
              <w:t>8</w:t>
            </w:r>
            <w:r>
              <w:rPr>
                <w:color w:val="000000"/>
                <w:szCs w:val="21"/>
              </w:rPr>
              <w:t>6</w:t>
            </w:r>
          </w:p>
        </w:tc>
        <w:tc>
          <w:tcPr>
            <w:tcW w:w="2679" w:type="dxa"/>
          </w:tcPr>
          <w:p w:rsidR="003663E4" w:rsidRDefault="00FD3F7D">
            <w:pPr>
              <w:jc w:val="right"/>
            </w:pPr>
            <w:r>
              <w:rPr>
                <w:rFonts w:hint="eastAsia"/>
              </w:rPr>
              <w:t>减少约</w:t>
            </w:r>
            <w:r>
              <w:rPr>
                <w:rFonts w:hint="eastAsia"/>
              </w:rPr>
              <w:t>448</w:t>
            </w:r>
          </w:p>
        </w:tc>
      </w:tr>
      <w:tr w:rsidR="003663E4">
        <w:tc>
          <w:tcPr>
            <w:tcW w:w="851" w:type="dxa"/>
            <w:vMerge/>
          </w:tcPr>
          <w:p w:rsidR="003663E4" w:rsidRDefault="003663E4"/>
        </w:tc>
        <w:tc>
          <w:tcPr>
            <w:tcW w:w="2590" w:type="dxa"/>
            <w:vAlign w:val="center"/>
          </w:tcPr>
          <w:p w:rsidR="003663E4" w:rsidRDefault="00FD3F7D">
            <w:pPr>
              <w:jc w:val="left"/>
            </w:pPr>
            <w:r>
              <w:rPr>
                <w:color w:val="000000"/>
                <w:szCs w:val="21"/>
              </w:rPr>
              <w:t>市场利率下降</w:t>
            </w:r>
            <w:r>
              <w:rPr>
                <w:color w:val="000000"/>
                <w:szCs w:val="21"/>
              </w:rPr>
              <w:t>25</w:t>
            </w:r>
            <w:r>
              <w:rPr>
                <w:color w:val="000000"/>
                <w:szCs w:val="21"/>
              </w:rPr>
              <w:t>个基点</w:t>
            </w:r>
          </w:p>
        </w:tc>
        <w:tc>
          <w:tcPr>
            <w:tcW w:w="2880" w:type="dxa"/>
            <w:vAlign w:val="center"/>
          </w:tcPr>
          <w:p w:rsidR="003663E4" w:rsidRDefault="00FD3F7D">
            <w:pPr>
              <w:jc w:val="right"/>
            </w:pPr>
            <w:r>
              <w:rPr>
                <w:rFonts w:hint="eastAsia"/>
                <w:color w:val="000000"/>
                <w:szCs w:val="21"/>
              </w:rPr>
              <w:t>增加约</w:t>
            </w:r>
            <w:r>
              <w:rPr>
                <w:rFonts w:hint="eastAsia"/>
                <w:color w:val="000000"/>
                <w:szCs w:val="21"/>
              </w:rPr>
              <w:t>87</w:t>
            </w:r>
          </w:p>
        </w:tc>
        <w:tc>
          <w:tcPr>
            <w:tcW w:w="2679" w:type="dxa"/>
          </w:tcPr>
          <w:p w:rsidR="003663E4" w:rsidRDefault="00FD3F7D">
            <w:pPr>
              <w:jc w:val="right"/>
            </w:pPr>
            <w:r>
              <w:rPr>
                <w:rFonts w:hint="eastAsia"/>
              </w:rPr>
              <w:t>增加约</w:t>
            </w:r>
            <w:r>
              <w:rPr>
                <w:rFonts w:hint="eastAsia"/>
              </w:rPr>
              <w:t>449</w:t>
            </w:r>
          </w:p>
        </w:tc>
      </w:tr>
    </w:tbl>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7.2.4.13.4.2</w:t>
      </w:r>
      <w:r>
        <w:rPr>
          <w:rFonts w:hint="eastAsia"/>
          <w:b/>
          <w:bCs/>
          <w:color w:val="000000"/>
          <w:kern w:val="0"/>
          <w:szCs w:val="21"/>
        </w:rPr>
        <w:t xml:space="preserve"> </w:t>
      </w:r>
      <w:r>
        <w:rPr>
          <w:b/>
          <w:bCs/>
          <w:color w:val="000000"/>
          <w:kern w:val="0"/>
          <w:szCs w:val="21"/>
        </w:rPr>
        <w:t>外汇风险</w:t>
      </w:r>
    </w:p>
    <w:p w:rsidR="003663E4" w:rsidRDefault="00FD3F7D">
      <w:pPr>
        <w:spacing w:line="360" w:lineRule="auto"/>
        <w:ind w:firstLineChars="200" w:firstLine="420"/>
        <w:rPr>
          <w:color w:val="000000"/>
          <w:szCs w:val="21"/>
        </w:rPr>
      </w:pPr>
      <w:r>
        <w:rPr>
          <w:color w:val="000000"/>
          <w:szCs w:val="21"/>
        </w:rPr>
        <w:t>外汇风险是指金融工具的公允价值或未来现金流量因外汇汇率变动而发生波动的风险。本基金的所有资产及负债以人民币计价，因此无重大外汇风险。</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7.2.4.13.4.3 </w:t>
      </w:r>
      <w:r>
        <w:rPr>
          <w:b/>
          <w:bCs/>
          <w:color w:val="000000"/>
          <w:kern w:val="0"/>
          <w:szCs w:val="21"/>
        </w:rPr>
        <w:t>其他价格风险</w:t>
      </w:r>
    </w:p>
    <w:p w:rsidR="003663E4" w:rsidRDefault="00FD3F7D">
      <w:pPr>
        <w:spacing w:line="360" w:lineRule="auto"/>
        <w:ind w:firstLineChars="200" w:firstLine="420"/>
        <w:rPr>
          <w:color w:val="000000"/>
          <w:szCs w:val="21"/>
        </w:rPr>
      </w:pPr>
      <w:r>
        <w:rPr>
          <w:color w:val="000000"/>
          <w:szCs w:val="21"/>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3663E4" w:rsidRDefault="00FD3F7D">
      <w:pPr>
        <w:autoSpaceDE w:val="0"/>
        <w:autoSpaceDN w:val="0"/>
        <w:adjustRightInd w:val="0"/>
        <w:spacing w:beforeLines="50" w:before="156" w:line="360" w:lineRule="auto"/>
        <w:jc w:val="left"/>
        <w:rPr>
          <w:b/>
          <w:bCs/>
          <w:color w:val="000000"/>
          <w:kern w:val="0"/>
          <w:szCs w:val="21"/>
        </w:rPr>
      </w:pPr>
      <w:r>
        <w:rPr>
          <w:b/>
          <w:bCs/>
          <w:color w:val="000000"/>
          <w:kern w:val="0"/>
          <w:szCs w:val="21"/>
        </w:rPr>
        <w:t xml:space="preserve">7.2.4.14 </w:t>
      </w:r>
      <w:r>
        <w:rPr>
          <w:b/>
          <w:bCs/>
          <w:color w:val="000000"/>
          <w:kern w:val="0"/>
          <w:szCs w:val="21"/>
        </w:rPr>
        <w:t>有助于理解和分析会计报表需要说明的其他事项</w:t>
      </w:r>
    </w:p>
    <w:p w:rsidR="003663E4" w:rsidRDefault="00FD3F7D">
      <w:pPr>
        <w:spacing w:line="360" w:lineRule="auto"/>
        <w:ind w:firstLineChars="200" w:firstLine="420"/>
        <w:rPr>
          <w:rFonts w:eastAsiaTheme="minorEastAsia"/>
          <w:szCs w:val="21"/>
        </w:rPr>
      </w:pPr>
      <w:r>
        <w:rPr>
          <w:color w:val="000000"/>
          <w:szCs w:val="21"/>
        </w:rPr>
        <w:t xml:space="preserve">(1)  </w:t>
      </w:r>
      <w:r>
        <w:rPr>
          <w:color w:val="000000"/>
          <w:szCs w:val="21"/>
        </w:rPr>
        <w:t>公允价值</w:t>
      </w:r>
    </w:p>
    <w:p w:rsidR="003663E4" w:rsidRDefault="00FD3F7D">
      <w:pPr>
        <w:spacing w:line="360" w:lineRule="auto"/>
        <w:ind w:firstLineChars="200" w:firstLine="420"/>
        <w:rPr>
          <w:rFonts w:eastAsiaTheme="minorEastAsia"/>
          <w:szCs w:val="21"/>
        </w:rPr>
      </w:pPr>
      <w:r>
        <w:rPr>
          <w:color w:val="000000"/>
          <w:szCs w:val="21"/>
        </w:rPr>
        <w:t xml:space="preserve">(a)  </w:t>
      </w:r>
      <w:r>
        <w:rPr>
          <w:color w:val="000000"/>
          <w:szCs w:val="21"/>
        </w:rPr>
        <w:t>金融工具公允价值计量的方法</w:t>
      </w:r>
    </w:p>
    <w:p w:rsidR="003663E4" w:rsidRDefault="00FD3F7D">
      <w:pPr>
        <w:spacing w:line="360" w:lineRule="auto"/>
        <w:ind w:firstLineChars="200" w:firstLine="420"/>
        <w:rPr>
          <w:rFonts w:eastAsiaTheme="minorEastAsia"/>
          <w:szCs w:val="21"/>
        </w:rPr>
      </w:pPr>
      <w:r>
        <w:rPr>
          <w:color w:val="000000"/>
          <w:szCs w:val="21"/>
        </w:rPr>
        <w:t>公允价值计量结果所属的层次，由对公允价值计量整体而言具有重要意义的输入值所属的最低层次决定：</w:t>
      </w:r>
    </w:p>
    <w:p w:rsidR="003663E4" w:rsidRDefault="00FD3F7D">
      <w:pPr>
        <w:spacing w:line="360" w:lineRule="auto"/>
        <w:ind w:firstLineChars="200" w:firstLine="420"/>
        <w:rPr>
          <w:rFonts w:eastAsiaTheme="minorEastAsia"/>
          <w:szCs w:val="21"/>
        </w:rPr>
      </w:pPr>
      <w:r>
        <w:rPr>
          <w:color w:val="000000"/>
          <w:szCs w:val="21"/>
        </w:rPr>
        <w:t>第一层次：相同资产或负债在活跃市场上未经调整的报价。</w:t>
      </w:r>
    </w:p>
    <w:p w:rsidR="003663E4" w:rsidRDefault="00FD3F7D">
      <w:pPr>
        <w:spacing w:line="360" w:lineRule="auto"/>
        <w:ind w:firstLineChars="200" w:firstLine="420"/>
        <w:rPr>
          <w:rFonts w:eastAsiaTheme="minorEastAsia"/>
          <w:szCs w:val="21"/>
        </w:rPr>
      </w:pPr>
      <w:r>
        <w:rPr>
          <w:color w:val="000000"/>
          <w:szCs w:val="21"/>
        </w:rPr>
        <w:t>第二层次：除第一层次输入值外相关资产或负债直接或间接可观察的输入值。</w:t>
      </w:r>
    </w:p>
    <w:p w:rsidR="003663E4" w:rsidRDefault="00FD3F7D">
      <w:pPr>
        <w:spacing w:line="360" w:lineRule="auto"/>
        <w:ind w:firstLineChars="200" w:firstLine="420"/>
        <w:rPr>
          <w:rFonts w:eastAsiaTheme="minorEastAsia"/>
          <w:szCs w:val="21"/>
        </w:rPr>
      </w:pPr>
      <w:r>
        <w:rPr>
          <w:color w:val="000000"/>
          <w:szCs w:val="21"/>
        </w:rPr>
        <w:t>第三层次：相关资产或负债的不可观察输入值。</w:t>
      </w:r>
    </w:p>
    <w:p w:rsidR="003663E4" w:rsidRDefault="00FD3F7D">
      <w:pPr>
        <w:spacing w:line="360" w:lineRule="auto"/>
        <w:ind w:firstLineChars="200" w:firstLine="420"/>
        <w:rPr>
          <w:rFonts w:eastAsiaTheme="minorEastAsia"/>
          <w:szCs w:val="21"/>
        </w:rPr>
      </w:pPr>
      <w:r>
        <w:rPr>
          <w:color w:val="000000"/>
          <w:szCs w:val="21"/>
        </w:rPr>
        <w:t xml:space="preserve">(b)  </w:t>
      </w:r>
      <w:r>
        <w:rPr>
          <w:color w:val="000000"/>
          <w:szCs w:val="21"/>
        </w:rPr>
        <w:t>持续的以公允价值计量的金融工具</w:t>
      </w:r>
    </w:p>
    <w:p w:rsidR="003663E4" w:rsidRDefault="00FD3F7D">
      <w:pPr>
        <w:spacing w:line="360" w:lineRule="auto"/>
        <w:ind w:firstLineChars="200" w:firstLine="420"/>
        <w:rPr>
          <w:rFonts w:eastAsiaTheme="minorEastAsia"/>
          <w:szCs w:val="21"/>
        </w:rPr>
      </w:pPr>
      <w:r>
        <w:rPr>
          <w:color w:val="000000"/>
          <w:szCs w:val="21"/>
        </w:rPr>
        <w:t xml:space="preserve">(i)  </w:t>
      </w:r>
      <w:r>
        <w:rPr>
          <w:color w:val="000000"/>
          <w:szCs w:val="21"/>
        </w:rPr>
        <w:t>各层次金融工具公允价值</w:t>
      </w:r>
    </w:p>
    <w:p w:rsidR="003663E4" w:rsidRDefault="00FD3F7D">
      <w:pPr>
        <w:spacing w:line="360" w:lineRule="auto"/>
        <w:ind w:firstLineChars="200" w:firstLine="420"/>
        <w:rPr>
          <w:rFonts w:eastAsiaTheme="minorEastAsia"/>
          <w:szCs w:val="21"/>
        </w:rPr>
      </w:pPr>
      <w:r>
        <w:rPr>
          <w:color w:val="000000"/>
          <w:szCs w:val="21"/>
        </w:rPr>
        <w:t>于</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r>
        <w:rPr>
          <w:color w:val="000000"/>
          <w:szCs w:val="21"/>
        </w:rPr>
        <w:t>(</w:t>
      </w:r>
      <w:r>
        <w:rPr>
          <w:color w:val="000000"/>
          <w:szCs w:val="21"/>
        </w:rPr>
        <w:t>基金合同失效前日</w:t>
      </w:r>
      <w:r>
        <w:rPr>
          <w:color w:val="000000"/>
          <w:szCs w:val="21"/>
        </w:rPr>
        <w:t>)</w:t>
      </w:r>
      <w:r>
        <w:rPr>
          <w:color w:val="000000"/>
          <w:szCs w:val="21"/>
        </w:rPr>
        <w:t>，本基金持有的以公允价值计量且其变动计入当期损益的金融资产中属于第二层次的余额为</w:t>
      </w:r>
      <w:r>
        <w:rPr>
          <w:color w:val="000000"/>
          <w:szCs w:val="21"/>
        </w:rPr>
        <w:t>729,966,052.15</w:t>
      </w:r>
      <w:r>
        <w:rPr>
          <w:color w:val="000000"/>
          <w:szCs w:val="21"/>
        </w:rPr>
        <w:t>元，无属于第一或第三层次</w:t>
      </w:r>
      <w:r>
        <w:rPr>
          <w:color w:val="000000"/>
          <w:szCs w:val="21"/>
        </w:rPr>
        <w:t>的余额</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日：第二层次</w:t>
      </w:r>
      <w:r>
        <w:rPr>
          <w:color w:val="000000"/>
          <w:szCs w:val="21"/>
        </w:rPr>
        <w:t>6,076,077,745.20</w:t>
      </w:r>
      <w:r>
        <w:rPr>
          <w:color w:val="000000"/>
          <w:szCs w:val="21"/>
        </w:rPr>
        <w:t>元，无第一或第三层次</w:t>
      </w:r>
      <w:r>
        <w:rPr>
          <w:color w:val="000000"/>
          <w:szCs w:val="21"/>
        </w:rPr>
        <w:t>)</w:t>
      </w:r>
      <w:r>
        <w:rPr>
          <w:color w:val="000000"/>
          <w:szCs w:val="21"/>
        </w:rPr>
        <w:t>。</w:t>
      </w:r>
    </w:p>
    <w:p w:rsidR="003663E4" w:rsidRDefault="00FD3F7D">
      <w:pPr>
        <w:spacing w:line="360" w:lineRule="auto"/>
        <w:ind w:firstLineChars="200" w:firstLine="420"/>
        <w:rPr>
          <w:rFonts w:eastAsiaTheme="minorEastAsia"/>
          <w:szCs w:val="21"/>
        </w:rPr>
      </w:pPr>
      <w:r>
        <w:rPr>
          <w:color w:val="000000"/>
          <w:szCs w:val="21"/>
        </w:rPr>
        <w:t xml:space="preserve">(ii)  </w:t>
      </w:r>
      <w:r>
        <w:rPr>
          <w:color w:val="000000"/>
          <w:szCs w:val="21"/>
        </w:rPr>
        <w:t>公允价值所属层次间的重大变动</w:t>
      </w:r>
    </w:p>
    <w:p w:rsidR="003663E4" w:rsidRDefault="00FD3F7D">
      <w:pPr>
        <w:spacing w:line="360" w:lineRule="auto"/>
        <w:ind w:firstLineChars="200" w:firstLine="420"/>
        <w:rPr>
          <w:rFonts w:eastAsiaTheme="minorEastAsia"/>
          <w:szCs w:val="21"/>
        </w:rPr>
      </w:pPr>
      <w:r>
        <w:rPr>
          <w:color w:val="000000"/>
          <w:szCs w:val="21"/>
        </w:rPr>
        <w:t>本基金以导致各层次之间转换的事项发生日为确认各层次之间转换的时点。</w:t>
      </w:r>
    </w:p>
    <w:p w:rsidR="003663E4" w:rsidRDefault="00FD3F7D">
      <w:pPr>
        <w:spacing w:line="360" w:lineRule="auto"/>
        <w:ind w:firstLineChars="200" w:firstLine="420"/>
        <w:rPr>
          <w:rFonts w:eastAsiaTheme="minorEastAsia"/>
          <w:szCs w:val="21"/>
        </w:rPr>
      </w:pPr>
      <w:r>
        <w:rPr>
          <w:color w:val="000000"/>
          <w:szCs w:val="21"/>
        </w:rPr>
        <w:t>本基金本期及上年度可比期间持有的以公允价值计量的金融工具的公允价值所属层次未发生重大变动。</w:t>
      </w:r>
    </w:p>
    <w:p w:rsidR="003663E4" w:rsidRDefault="00FD3F7D">
      <w:pPr>
        <w:spacing w:line="360" w:lineRule="auto"/>
        <w:ind w:firstLineChars="200" w:firstLine="420"/>
        <w:rPr>
          <w:rFonts w:eastAsiaTheme="minorEastAsia"/>
          <w:szCs w:val="21"/>
        </w:rPr>
      </w:pPr>
      <w:r>
        <w:rPr>
          <w:color w:val="000000"/>
          <w:szCs w:val="21"/>
        </w:rPr>
        <w:t xml:space="preserve">(iii)  </w:t>
      </w:r>
      <w:r>
        <w:rPr>
          <w:color w:val="000000"/>
          <w:szCs w:val="21"/>
        </w:rPr>
        <w:t>第三层次公允价值余额和本期变动金额</w:t>
      </w:r>
    </w:p>
    <w:p w:rsidR="003663E4" w:rsidRDefault="00FD3F7D">
      <w:pPr>
        <w:spacing w:line="360" w:lineRule="auto"/>
        <w:ind w:firstLineChars="200" w:firstLine="420"/>
        <w:rPr>
          <w:rFonts w:eastAsiaTheme="minorEastAsia"/>
          <w:szCs w:val="21"/>
        </w:rPr>
      </w:pPr>
      <w:r>
        <w:rPr>
          <w:color w:val="000000"/>
          <w:szCs w:val="21"/>
        </w:rPr>
        <w:t>无。</w:t>
      </w:r>
    </w:p>
    <w:p w:rsidR="003663E4" w:rsidRDefault="00FD3F7D">
      <w:pPr>
        <w:spacing w:line="360" w:lineRule="auto"/>
        <w:ind w:firstLineChars="200" w:firstLine="420"/>
        <w:rPr>
          <w:rFonts w:eastAsiaTheme="minorEastAsia"/>
          <w:szCs w:val="21"/>
        </w:rPr>
      </w:pPr>
      <w:r>
        <w:rPr>
          <w:color w:val="000000"/>
          <w:szCs w:val="21"/>
        </w:rPr>
        <w:t xml:space="preserve">(c)  </w:t>
      </w:r>
      <w:r>
        <w:rPr>
          <w:color w:val="000000"/>
          <w:szCs w:val="21"/>
        </w:rPr>
        <w:t>非持续的以公允价值计量的金融工具</w:t>
      </w:r>
    </w:p>
    <w:p w:rsidR="003663E4" w:rsidRDefault="00FD3F7D">
      <w:pPr>
        <w:spacing w:line="360" w:lineRule="auto"/>
        <w:ind w:firstLineChars="200" w:firstLine="420"/>
        <w:rPr>
          <w:rFonts w:eastAsiaTheme="minorEastAsia"/>
          <w:szCs w:val="21"/>
        </w:rPr>
      </w:pPr>
      <w:r>
        <w:rPr>
          <w:color w:val="000000"/>
          <w:szCs w:val="21"/>
        </w:rPr>
        <w:t>于</w:t>
      </w:r>
      <w:r>
        <w:rPr>
          <w:color w:val="000000"/>
          <w:szCs w:val="21"/>
        </w:rPr>
        <w:t>2020</w:t>
      </w:r>
      <w:r>
        <w:rPr>
          <w:color w:val="000000"/>
          <w:szCs w:val="21"/>
        </w:rPr>
        <w:t>年</w:t>
      </w:r>
      <w:r>
        <w:rPr>
          <w:color w:val="000000"/>
          <w:szCs w:val="21"/>
        </w:rPr>
        <w:t>7</w:t>
      </w:r>
      <w:r>
        <w:rPr>
          <w:color w:val="000000"/>
          <w:szCs w:val="21"/>
        </w:rPr>
        <w:t>月</w:t>
      </w:r>
      <w:r>
        <w:rPr>
          <w:color w:val="000000"/>
          <w:szCs w:val="21"/>
        </w:rPr>
        <w:t>27</w:t>
      </w:r>
      <w:r>
        <w:rPr>
          <w:color w:val="000000"/>
          <w:szCs w:val="21"/>
        </w:rPr>
        <w:t>日</w:t>
      </w:r>
      <w:r>
        <w:rPr>
          <w:color w:val="000000"/>
          <w:szCs w:val="21"/>
        </w:rPr>
        <w:t>(</w:t>
      </w:r>
      <w:r>
        <w:rPr>
          <w:color w:val="000000"/>
          <w:szCs w:val="21"/>
        </w:rPr>
        <w:t>基金合同失效前日</w:t>
      </w:r>
      <w:r>
        <w:rPr>
          <w:color w:val="000000"/>
          <w:szCs w:val="21"/>
        </w:rPr>
        <w:t>)</w:t>
      </w:r>
      <w:r>
        <w:rPr>
          <w:color w:val="000000"/>
          <w:szCs w:val="21"/>
        </w:rPr>
        <w:t>，本基金未持有非持续的以公允价值计量的金融资产</w:t>
      </w:r>
      <w:r>
        <w:rPr>
          <w:color w:val="000000"/>
          <w:szCs w:val="21"/>
        </w:rPr>
        <w:t>(2019</w:t>
      </w:r>
      <w:r>
        <w:rPr>
          <w:color w:val="000000"/>
          <w:szCs w:val="21"/>
        </w:rPr>
        <w:t>年</w:t>
      </w:r>
      <w:r>
        <w:rPr>
          <w:color w:val="000000"/>
          <w:szCs w:val="21"/>
        </w:rPr>
        <w:t>12</w:t>
      </w:r>
      <w:r>
        <w:rPr>
          <w:color w:val="000000"/>
          <w:szCs w:val="21"/>
        </w:rPr>
        <w:t>月</w:t>
      </w:r>
      <w:r>
        <w:rPr>
          <w:color w:val="000000"/>
          <w:szCs w:val="21"/>
        </w:rPr>
        <w:t>31</w:t>
      </w:r>
      <w:r>
        <w:rPr>
          <w:color w:val="000000"/>
          <w:szCs w:val="21"/>
        </w:rPr>
        <w:t>日</w:t>
      </w:r>
      <w:r>
        <w:rPr>
          <w:color w:val="000000"/>
          <w:szCs w:val="21"/>
        </w:rPr>
        <w:t>：同</w:t>
      </w:r>
      <w:r>
        <w:rPr>
          <w:color w:val="000000"/>
          <w:szCs w:val="21"/>
        </w:rPr>
        <w:t>)</w:t>
      </w:r>
      <w:r>
        <w:rPr>
          <w:color w:val="000000"/>
          <w:szCs w:val="21"/>
        </w:rPr>
        <w:t>。</w:t>
      </w:r>
    </w:p>
    <w:p w:rsidR="003663E4" w:rsidRDefault="00FD3F7D">
      <w:pPr>
        <w:spacing w:line="360" w:lineRule="auto"/>
        <w:ind w:firstLineChars="200" w:firstLine="420"/>
        <w:rPr>
          <w:rFonts w:eastAsiaTheme="minorEastAsia"/>
          <w:szCs w:val="21"/>
        </w:rPr>
      </w:pPr>
      <w:r>
        <w:rPr>
          <w:color w:val="000000"/>
          <w:szCs w:val="21"/>
        </w:rPr>
        <w:t xml:space="preserve">(d)  </w:t>
      </w:r>
      <w:r>
        <w:rPr>
          <w:color w:val="000000"/>
          <w:szCs w:val="21"/>
        </w:rPr>
        <w:t>不以公允价值计量的金融工具</w:t>
      </w:r>
    </w:p>
    <w:p w:rsidR="003663E4" w:rsidRDefault="00FD3F7D">
      <w:pPr>
        <w:spacing w:line="360" w:lineRule="auto"/>
        <w:ind w:firstLineChars="200" w:firstLine="420"/>
        <w:rPr>
          <w:rFonts w:eastAsiaTheme="minorEastAsia"/>
          <w:szCs w:val="21"/>
        </w:rPr>
      </w:pPr>
      <w:r>
        <w:rPr>
          <w:color w:val="000000"/>
          <w:szCs w:val="21"/>
        </w:rPr>
        <w:t>不以公允价值计量的金融资产和负债主要包括应收款项和其他金融负债，其账面价值与公允价值相差很小。</w:t>
      </w:r>
    </w:p>
    <w:p w:rsidR="003663E4" w:rsidRDefault="00FD3F7D">
      <w:pPr>
        <w:spacing w:line="360" w:lineRule="auto"/>
        <w:ind w:firstLineChars="200" w:firstLine="420"/>
        <w:rPr>
          <w:rFonts w:eastAsiaTheme="minorEastAsia"/>
          <w:szCs w:val="21"/>
        </w:rPr>
      </w:pPr>
      <w:r>
        <w:rPr>
          <w:color w:val="000000"/>
          <w:szCs w:val="21"/>
        </w:rPr>
        <w:t xml:space="preserve">(2) </w:t>
      </w:r>
      <w:r>
        <w:rPr>
          <w:color w:val="000000"/>
          <w:szCs w:val="21"/>
        </w:rPr>
        <w:t>除公允价值外，截至资产负债表日本基金无需要说明的其他重要事项。</w:t>
      </w:r>
    </w:p>
    <w:p w:rsidR="003663E4" w:rsidRDefault="00FD3F7D">
      <w:pPr>
        <w:pStyle w:val="1"/>
        <w:keepNext/>
        <w:keepLines/>
        <w:widowControl w:val="0"/>
        <w:spacing w:before="240" w:after="240" w:line="360" w:lineRule="auto"/>
        <w:jc w:val="center"/>
        <w:rPr>
          <w:b/>
          <w:bCs/>
          <w:color w:val="000000"/>
          <w:sz w:val="21"/>
          <w:szCs w:val="21"/>
        </w:rPr>
      </w:pPr>
      <w:bookmarkStart w:id="191" w:name="_Toc225498272"/>
      <w:bookmarkStart w:id="192" w:name="_Toc331410101"/>
      <w:bookmarkStart w:id="193" w:name="_Toc23339388"/>
      <w:bookmarkStart w:id="194" w:name="_Toc21119"/>
      <w:r>
        <w:rPr>
          <w:rFonts w:hint="eastAsia"/>
          <w:b/>
          <w:bCs/>
          <w:color w:val="000000"/>
          <w:sz w:val="21"/>
          <w:szCs w:val="21"/>
        </w:rPr>
        <w:t>§</w:t>
      </w:r>
      <w:r>
        <w:rPr>
          <w:rFonts w:hint="eastAsia"/>
          <w:b/>
          <w:bCs/>
          <w:color w:val="000000"/>
          <w:sz w:val="21"/>
          <w:szCs w:val="21"/>
        </w:rPr>
        <w:t xml:space="preserve">8 </w:t>
      </w:r>
      <w:r>
        <w:rPr>
          <w:rFonts w:hint="eastAsia"/>
          <w:b/>
          <w:bCs/>
          <w:color w:val="000000"/>
          <w:sz w:val="21"/>
          <w:szCs w:val="21"/>
        </w:rPr>
        <w:t>投资组合报告</w:t>
      </w:r>
      <w:bookmarkEnd w:id="191"/>
      <w:bookmarkEnd w:id="192"/>
      <w:bookmarkEnd w:id="193"/>
      <w:bookmarkEnd w:id="194"/>
    </w:p>
    <w:p w:rsidR="003663E4" w:rsidRDefault="00FD3F7D">
      <w:pPr>
        <w:pStyle w:val="2"/>
        <w:spacing w:beforeLines="50" w:before="156" w:after="0"/>
        <w:jc w:val="left"/>
        <w:rPr>
          <w:rFonts w:ascii="Times New Roman" w:eastAsiaTheme="minorEastAsia" w:hAnsi="Times New Roman" w:cs="Times New Roman"/>
          <w:bCs w:val="0"/>
          <w:kern w:val="0"/>
          <w:sz w:val="21"/>
          <w:szCs w:val="21"/>
        </w:rPr>
      </w:pPr>
      <w:bookmarkStart w:id="195" w:name="_Toc508540293"/>
      <w:bookmarkStart w:id="196" w:name="_Toc23339389"/>
      <w:bookmarkStart w:id="197" w:name="_Toc7934"/>
      <w:r>
        <w:rPr>
          <w:rFonts w:ascii="Times New Roman" w:eastAsiaTheme="minorEastAsia" w:hAnsi="Times New Roman" w:cs="Times New Roman" w:hint="eastAsia"/>
          <w:bCs w:val="0"/>
          <w:kern w:val="0"/>
          <w:sz w:val="21"/>
          <w:szCs w:val="21"/>
        </w:rPr>
        <w:t>8.1</w:t>
      </w:r>
      <w:r>
        <w:rPr>
          <w:rFonts w:ascii="Times New Roman" w:eastAsiaTheme="minorEastAsia" w:hAnsi="Times New Roman" w:cs="Times New Roman"/>
          <w:bCs w:val="0"/>
          <w:kern w:val="0"/>
          <w:sz w:val="21"/>
          <w:szCs w:val="21"/>
        </w:rPr>
        <w:t xml:space="preserve"> </w:t>
      </w:r>
      <w:r>
        <w:rPr>
          <w:rFonts w:ascii="Times New Roman" w:eastAsiaTheme="minorEastAsia" w:hAnsi="Times New Roman" w:cs="Times New Roman"/>
          <w:bCs w:val="0"/>
          <w:kern w:val="0"/>
          <w:sz w:val="21"/>
          <w:szCs w:val="21"/>
        </w:rPr>
        <w:t>交银施罗德裕惠纯债债券型证券投资基金</w:t>
      </w:r>
      <w:bookmarkEnd w:id="195"/>
      <w:bookmarkEnd w:id="196"/>
      <w:bookmarkEnd w:id="197"/>
    </w:p>
    <w:p w:rsidR="003663E4" w:rsidRDefault="00FD3F7D">
      <w:pPr>
        <w:pStyle w:val="a0"/>
        <w:ind w:firstLineChars="0" w:firstLine="0"/>
        <w:rPr>
          <w:rFonts w:ascii="Arial" w:eastAsiaTheme="minorEastAsia" w:hAnsi="Arial" w:cs="Arial"/>
          <w:color w:val="000000"/>
          <w:szCs w:val="21"/>
        </w:rPr>
      </w:pPr>
      <w:r>
        <w:rPr>
          <w:rFonts w:eastAsiaTheme="minorEastAsia"/>
          <w:b/>
          <w:color w:val="000000"/>
          <w:kern w:val="0"/>
          <w:szCs w:val="21"/>
        </w:rPr>
        <w:t>（报告期</w:t>
      </w:r>
      <w:r>
        <w:rPr>
          <w:rFonts w:eastAsiaTheme="minorEastAsia" w:hint="eastAsia"/>
          <w:b/>
          <w:color w:val="000000"/>
          <w:kern w:val="0"/>
          <w:szCs w:val="21"/>
        </w:rPr>
        <w:t>：</w:t>
      </w:r>
      <w:r>
        <w:rPr>
          <w:rFonts w:eastAsiaTheme="minorEastAsia"/>
          <w:b/>
          <w:color w:val="000000"/>
          <w:kern w:val="0"/>
          <w:szCs w:val="21"/>
        </w:rPr>
        <w:t>2020</w:t>
      </w:r>
      <w:r>
        <w:rPr>
          <w:rFonts w:eastAsiaTheme="minorEastAsia"/>
          <w:b/>
          <w:color w:val="000000"/>
          <w:kern w:val="0"/>
          <w:szCs w:val="21"/>
        </w:rPr>
        <w:t>年</w:t>
      </w:r>
      <w:r>
        <w:rPr>
          <w:rFonts w:eastAsiaTheme="minorEastAsia"/>
          <w:b/>
          <w:color w:val="000000"/>
          <w:kern w:val="0"/>
          <w:szCs w:val="21"/>
        </w:rPr>
        <w:t>7</w:t>
      </w:r>
      <w:r>
        <w:rPr>
          <w:rFonts w:eastAsiaTheme="minorEastAsia"/>
          <w:b/>
          <w:color w:val="000000"/>
          <w:kern w:val="0"/>
          <w:szCs w:val="21"/>
        </w:rPr>
        <w:t>月</w:t>
      </w:r>
      <w:r>
        <w:rPr>
          <w:rFonts w:eastAsiaTheme="minorEastAsia"/>
          <w:b/>
          <w:color w:val="000000"/>
          <w:kern w:val="0"/>
          <w:szCs w:val="21"/>
        </w:rPr>
        <w:t>28</w:t>
      </w:r>
      <w:r>
        <w:rPr>
          <w:rFonts w:eastAsiaTheme="minorEastAsia"/>
          <w:b/>
          <w:color w:val="000000"/>
          <w:kern w:val="0"/>
          <w:szCs w:val="21"/>
        </w:rPr>
        <w:t>日（基金合同生效日）</w:t>
      </w:r>
      <w:r>
        <w:rPr>
          <w:rFonts w:eastAsiaTheme="minorEastAsia"/>
          <w:b/>
          <w:color w:val="000000"/>
          <w:kern w:val="0"/>
          <w:szCs w:val="21"/>
        </w:rPr>
        <w:t>-2020</w:t>
      </w:r>
      <w:r>
        <w:rPr>
          <w:rFonts w:eastAsiaTheme="minorEastAsia"/>
          <w:b/>
          <w:color w:val="000000"/>
          <w:kern w:val="0"/>
          <w:szCs w:val="21"/>
        </w:rPr>
        <w:t>年</w:t>
      </w:r>
      <w:r>
        <w:rPr>
          <w:rFonts w:eastAsiaTheme="minorEastAsia"/>
          <w:b/>
          <w:color w:val="000000"/>
          <w:kern w:val="0"/>
          <w:szCs w:val="21"/>
        </w:rPr>
        <w:t>12</w:t>
      </w:r>
      <w:r>
        <w:rPr>
          <w:rFonts w:eastAsiaTheme="minorEastAsia"/>
          <w:b/>
          <w:color w:val="000000"/>
          <w:kern w:val="0"/>
          <w:szCs w:val="21"/>
        </w:rPr>
        <w:t>月</w:t>
      </w:r>
      <w:r>
        <w:rPr>
          <w:rFonts w:eastAsiaTheme="minorEastAsia"/>
          <w:b/>
          <w:color w:val="000000"/>
          <w:kern w:val="0"/>
          <w:szCs w:val="21"/>
        </w:rPr>
        <w:t>31</w:t>
      </w:r>
      <w:r>
        <w:rPr>
          <w:rFonts w:eastAsiaTheme="minorEastAsia"/>
          <w:b/>
          <w:color w:val="000000"/>
          <w:kern w:val="0"/>
          <w:szCs w:val="21"/>
        </w:rPr>
        <w:t>日）</w:t>
      </w:r>
    </w:p>
    <w:p w:rsidR="003663E4" w:rsidRDefault="00FD3F7D">
      <w:pPr>
        <w:pStyle w:val="3"/>
        <w:spacing w:beforeLines="50" w:before="156" w:after="0" w:line="360" w:lineRule="auto"/>
        <w:rPr>
          <w:color w:val="000000"/>
          <w:kern w:val="0"/>
          <w:sz w:val="21"/>
          <w:szCs w:val="21"/>
        </w:rPr>
      </w:pPr>
      <w:bookmarkStart w:id="198" w:name="_Toc23339390"/>
      <w:bookmarkStart w:id="199" w:name="_Toc508540294"/>
      <w:bookmarkStart w:id="200" w:name="_Toc27519"/>
      <w:r>
        <w:rPr>
          <w:color w:val="000000"/>
          <w:kern w:val="0"/>
          <w:sz w:val="21"/>
          <w:szCs w:val="21"/>
        </w:rPr>
        <w:t xml:space="preserve">8.1.1 </w:t>
      </w:r>
      <w:r>
        <w:rPr>
          <w:color w:val="000000"/>
          <w:kern w:val="0"/>
          <w:sz w:val="21"/>
          <w:szCs w:val="21"/>
        </w:rPr>
        <w:t>期末基金资产组合情况</w:t>
      </w:r>
      <w:bookmarkEnd w:id="198"/>
      <w:bookmarkEnd w:id="199"/>
      <w:bookmarkEnd w:id="200"/>
    </w:p>
    <w:p w:rsidR="003663E4" w:rsidRDefault="00FD3F7D">
      <w:pPr>
        <w:autoSpaceDE w:val="0"/>
        <w:autoSpaceDN w:val="0"/>
        <w:adjustRightInd w:val="0"/>
        <w:spacing w:before="29" w:line="360" w:lineRule="auto"/>
        <w:ind w:left="17"/>
        <w:jc w:val="right"/>
        <w:rPr>
          <w:color w:val="000000"/>
          <w:kern w:val="0"/>
          <w:szCs w:val="21"/>
        </w:rPr>
      </w:pPr>
      <w:r>
        <w:rPr>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2748"/>
        <w:gridCol w:w="2551"/>
        <w:gridCol w:w="2621"/>
      </w:tblGrid>
      <w:tr w:rsidR="003663E4">
        <w:tc>
          <w:tcPr>
            <w:tcW w:w="1080" w:type="dxa"/>
            <w:vAlign w:val="center"/>
          </w:tcPr>
          <w:p w:rsidR="003663E4" w:rsidRDefault="00FD3F7D">
            <w:pPr>
              <w:spacing w:line="276" w:lineRule="auto"/>
              <w:jc w:val="center"/>
              <w:rPr>
                <w:color w:val="000000"/>
                <w:szCs w:val="21"/>
              </w:rPr>
            </w:pPr>
            <w:r>
              <w:rPr>
                <w:color w:val="000000"/>
                <w:szCs w:val="21"/>
              </w:rPr>
              <w:t>序号</w:t>
            </w:r>
          </w:p>
        </w:tc>
        <w:tc>
          <w:tcPr>
            <w:tcW w:w="2748" w:type="dxa"/>
            <w:vAlign w:val="center"/>
          </w:tcPr>
          <w:p w:rsidR="003663E4" w:rsidRDefault="00FD3F7D">
            <w:pPr>
              <w:spacing w:line="276" w:lineRule="auto"/>
              <w:jc w:val="center"/>
              <w:rPr>
                <w:color w:val="000000"/>
                <w:szCs w:val="21"/>
              </w:rPr>
            </w:pPr>
            <w:r>
              <w:rPr>
                <w:color w:val="000000"/>
                <w:szCs w:val="21"/>
              </w:rPr>
              <w:t>项目</w:t>
            </w:r>
          </w:p>
        </w:tc>
        <w:tc>
          <w:tcPr>
            <w:tcW w:w="2551" w:type="dxa"/>
            <w:vAlign w:val="center"/>
          </w:tcPr>
          <w:p w:rsidR="003663E4" w:rsidRDefault="00FD3F7D">
            <w:pPr>
              <w:spacing w:line="276" w:lineRule="auto"/>
              <w:jc w:val="center"/>
              <w:rPr>
                <w:color w:val="000000"/>
                <w:szCs w:val="21"/>
              </w:rPr>
            </w:pPr>
            <w:r>
              <w:rPr>
                <w:color w:val="000000"/>
                <w:szCs w:val="21"/>
              </w:rPr>
              <w:t>金额</w:t>
            </w:r>
          </w:p>
        </w:tc>
        <w:tc>
          <w:tcPr>
            <w:tcW w:w="2621" w:type="dxa"/>
            <w:vAlign w:val="center"/>
          </w:tcPr>
          <w:p w:rsidR="003663E4" w:rsidRDefault="00FD3F7D">
            <w:pPr>
              <w:spacing w:line="276" w:lineRule="auto"/>
              <w:jc w:val="center"/>
              <w:rPr>
                <w:color w:val="000000"/>
                <w:szCs w:val="21"/>
              </w:rPr>
            </w:pPr>
            <w:r>
              <w:rPr>
                <w:color w:val="000000"/>
                <w:szCs w:val="21"/>
              </w:rPr>
              <w:t>占基金总资产的比例（</w:t>
            </w:r>
            <w:r>
              <w:rPr>
                <w:color w:val="000000"/>
                <w:szCs w:val="21"/>
              </w:rPr>
              <w:t>%</w:t>
            </w:r>
            <w:r>
              <w:rPr>
                <w:color w:val="000000"/>
                <w:szCs w:val="21"/>
              </w:rPr>
              <w:t>）</w:t>
            </w:r>
          </w:p>
        </w:tc>
      </w:tr>
      <w:tr w:rsidR="003663E4">
        <w:tc>
          <w:tcPr>
            <w:tcW w:w="1080" w:type="dxa"/>
            <w:vAlign w:val="center"/>
          </w:tcPr>
          <w:p w:rsidR="003663E4" w:rsidRDefault="00FD3F7D">
            <w:pPr>
              <w:spacing w:line="276" w:lineRule="auto"/>
              <w:jc w:val="center"/>
              <w:rPr>
                <w:color w:val="000000"/>
                <w:szCs w:val="21"/>
              </w:rPr>
            </w:pPr>
            <w:r>
              <w:rPr>
                <w:color w:val="000000"/>
                <w:szCs w:val="21"/>
              </w:rPr>
              <w:t>1</w:t>
            </w:r>
          </w:p>
        </w:tc>
        <w:tc>
          <w:tcPr>
            <w:tcW w:w="2748" w:type="dxa"/>
            <w:vAlign w:val="center"/>
          </w:tcPr>
          <w:p w:rsidR="003663E4" w:rsidRDefault="00FD3F7D">
            <w:pPr>
              <w:spacing w:line="276" w:lineRule="auto"/>
              <w:ind w:leftChars="50" w:left="105"/>
              <w:rPr>
                <w:color w:val="000000"/>
                <w:szCs w:val="21"/>
              </w:rPr>
            </w:pPr>
            <w:r>
              <w:rPr>
                <w:color w:val="000000"/>
                <w:szCs w:val="21"/>
              </w:rPr>
              <w:t>权益投资</w:t>
            </w:r>
          </w:p>
        </w:tc>
        <w:tc>
          <w:tcPr>
            <w:tcW w:w="2551" w:type="dxa"/>
            <w:vAlign w:val="center"/>
          </w:tcPr>
          <w:p w:rsidR="003663E4" w:rsidRDefault="00FD3F7D">
            <w:pPr>
              <w:spacing w:before="29" w:line="276" w:lineRule="auto"/>
              <w:ind w:left="17"/>
              <w:jc w:val="right"/>
              <w:rPr>
                <w:color w:val="000000"/>
                <w:szCs w:val="21"/>
              </w:rPr>
            </w:pPr>
            <w:r>
              <w:rPr>
                <w:color w:val="000000"/>
                <w:szCs w:val="21"/>
              </w:rPr>
              <w:t>-</w:t>
            </w:r>
          </w:p>
        </w:tc>
        <w:tc>
          <w:tcPr>
            <w:tcW w:w="2621" w:type="dxa"/>
            <w:vAlign w:val="center"/>
          </w:tcPr>
          <w:p w:rsidR="003663E4" w:rsidRDefault="00FD3F7D">
            <w:pPr>
              <w:spacing w:before="29" w:line="276" w:lineRule="auto"/>
              <w:ind w:left="17"/>
              <w:jc w:val="right"/>
              <w:rPr>
                <w:color w:val="000000"/>
                <w:szCs w:val="21"/>
              </w:rPr>
            </w:pPr>
            <w:r>
              <w:rPr>
                <w:color w:val="000000"/>
                <w:szCs w:val="21"/>
              </w:rPr>
              <w:t>-</w:t>
            </w:r>
          </w:p>
        </w:tc>
      </w:tr>
      <w:tr w:rsidR="003663E4">
        <w:tc>
          <w:tcPr>
            <w:tcW w:w="1080" w:type="dxa"/>
            <w:vAlign w:val="center"/>
          </w:tcPr>
          <w:p w:rsidR="003663E4" w:rsidRDefault="003663E4">
            <w:pPr>
              <w:spacing w:line="276" w:lineRule="auto"/>
              <w:jc w:val="center"/>
              <w:rPr>
                <w:color w:val="000000"/>
                <w:szCs w:val="21"/>
              </w:rPr>
            </w:pPr>
          </w:p>
        </w:tc>
        <w:tc>
          <w:tcPr>
            <w:tcW w:w="2748" w:type="dxa"/>
            <w:vAlign w:val="center"/>
          </w:tcPr>
          <w:p w:rsidR="003663E4" w:rsidRDefault="00FD3F7D">
            <w:pPr>
              <w:spacing w:line="276" w:lineRule="auto"/>
              <w:ind w:leftChars="50" w:left="105"/>
              <w:rPr>
                <w:color w:val="000000"/>
                <w:szCs w:val="21"/>
              </w:rPr>
            </w:pPr>
            <w:r>
              <w:rPr>
                <w:color w:val="000000"/>
                <w:szCs w:val="21"/>
              </w:rPr>
              <w:t>其中：股票</w:t>
            </w:r>
          </w:p>
        </w:tc>
        <w:tc>
          <w:tcPr>
            <w:tcW w:w="2551" w:type="dxa"/>
            <w:vAlign w:val="center"/>
          </w:tcPr>
          <w:p w:rsidR="003663E4" w:rsidRDefault="00FD3F7D">
            <w:pPr>
              <w:spacing w:before="29" w:line="276" w:lineRule="auto"/>
              <w:ind w:left="17"/>
              <w:jc w:val="right"/>
              <w:rPr>
                <w:color w:val="000000"/>
                <w:szCs w:val="21"/>
              </w:rPr>
            </w:pPr>
            <w:r>
              <w:rPr>
                <w:color w:val="000000"/>
                <w:szCs w:val="21"/>
              </w:rPr>
              <w:t>-</w:t>
            </w:r>
          </w:p>
        </w:tc>
        <w:tc>
          <w:tcPr>
            <w:tcW w:w="2621" w:type="dxa"/>
            <w:vAlign w:val="center"/>
          </w:tcPr>
          <w:p w:rsidR="003663E4" w:rsidRDefault="00FD3F7D">
            <w:pPr>
              <w:spacing w:before="29" w:line="276" w:lineRule="auto"/>
              <w:ind w:left="17"/>
              <w:jc w:val="right"/>
              <w:rPr>
                <w:color w:val="000000"/>
                <w:szCs w:val="21"/>
              </w:rPr>
            </w:pPr>
            <w:r>
              <w:rPr>
                <w:color w:val="000000"/>
                <w:szCs w:val="21"/>
              </w:rPr>
              <w:t>-</w:t>
            </w:r>
          </w:p>
        </w:tc>
      </w:tr>
      <w:tr w:rsidR="003663E4">
        <w:tc>
          <w:tcPr>
            <w:tcW w:w="1080" w:type="dxa"/>
            <w:vAlign w:val="center"/>
          </w:tcPr>
          <w:p w:rsidR="003663E4" w:rsidRDefault="00FD3F7D">
            <w:pPr>
              <w:spacing w:line="276" w:lineRule="auto"/>
              <w:jc w:val="center"/>
              <w:rPr>
                <w:color w:val="000000"/>
                <w:szCs w:val="21"/>
              </w:rPr>
            </w:pPr>
            <w:r>
              <w:rPr>
                <w:rFonts w:hint="eastAsia"/>
                <w:color w:val="000000"/>
                <w:szCs w:val="21"/>
              </w:rPr>
              <w:t>2</w:t>
            </w:r>
          </w:p>
        </w:tc>
        <w:tc>
          <w:tcPr>
            <w:tcW w:w="2748" w:type="dxa"/>
            <w:vAlign w:val="center"/>
          </w:tcPr>
          <w:p w:rsidR="003663E4" w:rsidRDefault="00FD3F7D">
            <w:pPr>
              <w:spacing w:line="276" w:lineRule="auto"/>
              <w:ind w:leftChars="50" w:left="105"/>
              <w:rPr>
                <w:color w:val="000000"/>
                <w:szCs w:val="21"/>
              </w:rPr>
            </w:pPr>
            <w:r>
              <w:rPr>
                <w:rFonts w:hint="eastAsia"/>
                <w:color w:val="000000"/>
                <w:szCs w:val="21"/>
              </w:rPr>
              <w:t>基金投资</w:t>
            </w:r>
          </w:p>
        </w:tc>
        <w:tc>
          <w:tcPr>
            <w:tcW w:w="2551" w:type="dxa"/>
            <w:vAlign w:val="center"/>
          </w:tcPr>
          <w:p w:rsidR="003663E4" w:rsidRDefault="00FD3F7D">
            <w:pPr>
              <w:spacing w:before="29" w:line="276" w:lineRule="auto"/>
              <w:ind w:left="17"/>
              <w:jc w:val="right"/>
              <w:rPr>
                <w:color w:val="000000"/>
                <w:szCs w:val="21"/>
              </w:rPr>
            </w:pPr>
            <w:r>
              <w:rPr>
                <w:color w:val="000000"/>
                <w:szCs w:val="21"/>
              </w:rPr>
              <w:t>-</w:t>
            </w:r>
          </w:p>
        </w:tc>
        <w:tc>
          <w:tcPr>
            <w:tcW w:w="2621" w:type="dxa"/>
            <w:vAlign w:val="center"/>
          </w:tcPr>
          <w:p w:rsidR="003663E4" w:rsidRDefault="00FD3F7D">
            <w:pPr>
              <w:spacing w:before="29" w:line="276" w:lineRule="auto"/>
              <w:ind w:left="17"/>
              <w:jc w:val="right"/>
              <w:rPr>
                <w:color w:val="000000"/>
                <w:szCs w:val="21"/>
              </w:rPr>
            </w:pPr>
            <w:r>
              <w:rPr>
                <w:color w:val="000000"/>
                <w:szCs w:val="21"/>
              </w:rPr>
              <w:t>-</w:t>
            </w:r>
          </w:p>
        </w:tc>
      </w:tr>
      <w:tr w:rsidR="003663E4">
        <w:tc>
          <w:tcPr>
            <w:tcW w:w="1080" w:type="dxa"/>
            <w:vAlign w:val="center"/>
          </w:tcPr>
          <w:p w:rsidR="003663E4" w:rsidRDefault="00FD3F7D">
            <w:pPr>
              <w:spacing w:line="276" w:lineRule="auto"/>
              <w:jc w:val="center"/>
              <w:rPr>
                <w:color w:val="000000"/>
                <w:szCs w:val="21"/>
              </w:rPr>
            </w:pPr>
            <w:r>
              <w:rPr>
                <w:rFonts w:hint="eastAsia"/>
                <w:color w:val="000000"/>
                <w:szCs w:val="21"/>
              </w:rPr>
              <w:t>3</w:t>
            </w:r>
          </w:p>
        </w:tc>
        <w:tc>
          <w:tcPr>
            <w:tcW w:w="2748" w:type="dxa"/>
            <w:vAlign w:val="center"/>
          </w:tcPr>
          <w:p w:rsidR="003663E4" w:rsidRDefault="00FD3F7D">
            <w:pPr>
              <w:spacing w:line="276" w:lineRule="auto"/>
              <w:ind w:leftChars="50" w:left="105"/>
              <w:rPr>
                <w:color w:val="000000"/>
                <w:szCs w:val="21"/>
              </w:rPr>
            </w:pPr>
            <w:r>
              <w:rPr>
                <w:color w:val="000000"/>
                <w:szCs w:val="21"/>
              </w:rPr>
              <w:t>固定收益投资</w:t>
            </w:r>
          </w:p>
        </w:tc>
        <w:tc>
          <w:tcPr>
            <w:tcW w:w="2551" w:type="dxa"/>
            <w:vAlign w:val="center"/>
          </w:tcPr>
          <w:p w:rsidR="003663E4" w:rsidRDefault="00FD3F7D">
            <w:pPr>
              <w:spacing w:before="29" w:line="276" w:lineRule="auto"/>
              <w:ind w:left="17"/>
              <w:jc w:val="right"/>
              <w:rPr>
                <w:color w:val="000000"/>
                <w:szCs w:val="21"/>
              </w:rPr>
            </w:pPr>
            <w:r>
              <w:rPr>
                <w:color w:val="000000"/>
                <w:szCs w:val="21"/>
              </w:rPr>
              <w:t>743,009,000.00</w:t>
            </w:r>
          </w:p>
        </w:tc>
        <w:tc>
          <w:tcPr>
            <w:tcW w:w="2621" w:type="dxa"/>
            <w:vAlign w:val="center"/>
          </w:tcPr>
          <w:p w:rsidR="003663E4" w:rsidRDefault="00FD3F7D">
            <w:pPr>
              <w:spacing w:before="29" w:line="276" w:lineRule="auto"/>
              <w:ind w:left="17"/>
              <w:jc w:val="right"/>
              <w:rPr>
                <w:color w:val="000000"/>
                <w:szCs w:val="21"/>
              </w:rPr>
            </w:pPr>
            <w:r>
              <w:rPr>
                <w:color w:val="000000"/>
                <w:szCs w:val="21"/>
              </w:rPr>
              <w:t>95.39</w:t>
            </w:r>
          </w:p>
        </w:tc>
      </w:tr>
      <w:tr w:rsidR="003663E4">
        <w:tc>
          <w:tcPr>
            <w:tcW w:w="1080" w:type="dxa"/>
            <w:vAlign w:val="center"/>
          </w:tcPr>
          <w:p w:rsidR="003663E4" w:rsidRDefault="003663E4">
            <w:pPr>
              <w:spacing w:line="276" w:lineRule="auto"/>
              <w:jc w:val="center"/>
              <w:rPr>
                <w:color w:val="000000"/>
                <w:szCs w:val="21"/>
              </w:rPr>
            </w:pPr>
          </w:p>
        </w:tc>
        <w:tc>
          <w:tcPr>
            <w:tcW w:w="2748" w:type="dxa"/>
            <w:vAlign w:val="center"/>
          </w:tcPr>
          <w:p w:rsidR="003663E4" w:rsidRDefault="00FD3F7D">
            <w:pPr>
              <w:spacing w:line="276" w:lineRule="auto"/>
              <w:ind w:leftChars="50" w:left="105"/>
              <w:rPr>
                <w:color w:val="000000"/>
                <w:szCs w:val="21"/>
              </w:rPr>
            </w:pPr>
            <w:r>
              <w:rPr>
                <w:color w:val="000000"/>
                <w:szCs w:val="21"/>
              </w:rPr>
              <w:t>其中：债券</w:t>
            </w:r>
          </w:p>
        </w:tc>
        <w:tc>
          <w:tcPr>
            <w:tcW w:w="2551" w:type="dxa"/>
            <w:vAlign w:val="center"/>
          </w:tcPr>
          <w:p w:rsidR="003663E4" w:rsidRDefault="00FD3F7D">
            <w:pPr>
              <w:spacing w:before="29" w:line="276" w:lineRule="auto"/>
              <w:ind w:left="17"/>
              <w:jc w:val="right"/>
              <w:rPr>
                <w:color w:val="000000"/>
                <w:szCs w:val="21"/>
              </w:rPr>
            </w:pPr>
            <w:r>
              <w:rPr>
                <w:color w:val="000000"/>
                <w:szCs w:val="21"/>
              </w:rPr>
              <w:t>743,009,000.00</w:t>
            </w:r>
          </w:p>
        </w:tc>
        <w:tc>
          <w:tcPr>
            <w:tcW w:w="2621" w:type="dxa"/>
            <w:vAlign w:val="center"/>
          </w:tcPr>
          <w:p w:rsidR="003663E4" w:rsidRDefault="00FD3F7D">
            <w:pPr>
              <w:spacing w:before="29" w:line="276" w:lineRule="auto"/>
              <w:ind w:left="17"/>
              <w:jc w:val="right"/>
              <w:rPr>
                <w:color w:val="000000"/>
                <w:szCs w:val="21"/>
              </w:rPr>
            </w:pPr>
            <w:r>
              <w:rPr>
                <w:color w:val="000000"/>
                <w:szCs w:val="21"/>
              </w:rPr>
              <w:t>95.39</w:t>
            </w:r>
          </w:p>
        </w:tc>
      </w:tr>
      <w:tr w:rsidR="003663E4">
        <w:tc>
          <w:tcPr>
            <w:tcW w:w="1080" w:type="dxa"/>
            <w:vAlign w:val="center"/>
          </w:tcPr>
          <w:p w:rsidR="003663E4" w:rsidRDefault="003663E4">
            <w:pPr>
              <w:spacing w:line="276" w:lineRule="auto"/>
              <w:jc w:val="center"/>
              <w:rPr>
                <w:color w:val="000000"/>
                <w:szCs w:val="21"/>
              </w:rPr>
            </w:pPr>
          </w:p>
        </w:tc>
        <w:tc>
          <w:tcPr>
            <w:tcW w:w="2748" w:type="dxa"/>
            <w:vAlign w:val="center"/>
          </w:tcPr>
          <w:p w:rsidR="003663E4" w:rsidRDefault="00FD3F7D">
            <w:pPr>
              <w:spacing w:line="276" w:lineRule="auto"/>
              <w:ind w:leftChars="50" w:left="105" w:firstLineChars="300" w:firstLine="630"/>
              <w:rPr>
                <w:color w:val="000000"/>
                <w:szCs w:val="21"/>
              </w:rPr>
            </w:pPr>
            <w:r>
              <w:rPr>
                <w:color w:val="000000"/>
                <w:szCs w:val="21"/>
              </w:rPr>
              <w:t>资产支持证券</w:t>
            </w:r>
          </w:p>
        </w:tc>
        <w:tc>
          <w:tcPr>
            <w:tcW w:w="2551" w:type="dxa"/>
            <w:vAlign w:val="center"/>
          </w:tcPr>
          <w:p w:rsidR="003663E4" w:rsidRDefault="00FD3F7D">
            <w:pPr>
              <w:spacing w:before="29" w:line="276" w:lineRule="auto"/>
              <w:ind w:left="17"/>
              <w:jc w:val="right"/>
              <w:rPr>
                <w:color w:val="000000"/>
                <w:szCs w:val="21"/>
              </w:rPr>
            </w:pPr>
            <w:r>
              <w:rPr>
                <w:color w:val="000000"/>
                <w:szCs w:val="21"/>
              </w:rPr>
              <w:t>-</w:t>
            </w:r>
          </w:p>
        </w:tc>
        <w:tc>
          <w:tcPr>
            <w:tcW w:w="2621" w:type="dxa"/>
            <w:vAlign w:val="center"/>
          </w:tcPr>
          <w:p w:rsidR="003663E4" w:rsidRDefault="00FD3F7D">
            <w:pPr>
              <w:spacing w:before="29" w:line="276" w:lineRule="auto"/>
              <w:ind w:left="17"/>
              <w:jc w:val="right"/>
              <w:rPr>
                <w:color w:val="000000"/>
                <w:szCs w:val="21"/>
              </w:rPr>
            </w:pPr>
            <w:r>
              <w:rPr>
                <w:color w:val="000000"/>
                <w:szCs w:val="21"/>
              </w:rPr>
              <w:t>-</w:t>
            </w:r>
          </w:p>
        </w:tc>
      </w:tr>
      <w:tr w:rsidR="003663E4">
        <w:tc>
          <w:tcPr>
            <w:tcW w:w="1080" w:type="dxa"/>
            <w:vAlign w:val="center"/>
          </w:tcPr>
          <w:p w:rsidR="003663E4" w:rsidRDefault="00FD3F7D">
            <w:pPr>
              <w:spacing w:line="276" w:lineRule="auto"/>
              <w:jc w:val="center"/>
              <w:rPr>
                <w:color w:val="000000"/>
                <w:szCs w:val="21"/>
              </w:rPr>
            </w:pPr>
            <w:r>
              <w:rPr>
                <w:rFonts w:hint="eastAsia"/>
                <w:color w:val="000000"/>
                <w:szCs w:val="21"/>
              </w:rPr>
              <w:t>4</w:t>
            </w:r>
          </w:p>
        </w:tc>
        <w:tc>
          <w:tcPr>
            <w:tcW w:w="2748" w:type="dxa"/>
            <w:vAlign w:val="center"/>
          </w:tcPr>
          <w:p w:rsidR="003663E4" w:rsidRDefault="00FD3F7D">
            <w:pPr>
              <w:spacing w:line="276" w:lineRule="auto"/>
              <w:ind w:leftChars="50" w:left="105"/>
              <w:rPr>
                <w:color w:val="000000"/>
                <w:szCs w:val="21"/>
              </w:rPr>
            </w:pPr>
            <w:r>
              <w:rPr>
                <w:color w:val="000000"/>
                <w:szCs w:val="21"/>
              </w:rPr>
              <w:t>贵金属投资</w:t>
            </w:r>
          </w:p>
        </w:tc>
        <w:tc>
          <w:tcPr>
            <w:tcW w:w="2551" w:type="dxa"/>
            <w:vAlign w:val="center"/>
          </w:tcPr>
          <w:p w:rsidR="003663E4" w:rsidRDefault="00FD3F7D">
            <w:pPr>
              <w:spacing w:before="29" w:line="276" w:lineRule="auto"/>
              <w:ind w:left="17"/>
              <w:jc w:val="right"/>
              <w:rPr>
                <w:color w:val="000000"/>
                <w:szCs w:val="21"/>
              </w:rPr>
            </w:pPr>
            <w:r>
              <w:rPr>
                <w:color w:val="000000"/>
                <w:szCs w:val="21"/>
              </w:rPr>
              <w:t>-</w:t>
            </w:r>
          </w:p>
        </w:tc>
        <w:tc>
          <w:tcPr>
            <w:tcW w:w="2621" w:type="dxa"/>
            <w:vAlign w:val="center"/>
          </w:tcPr>
          <w:p w:rsidR="003663E4" w:rsidRDefault="00FD3F7D">
            <w:pPr>
              <w:spacing w:before="29" w:line="276" w:lineRule="auto"/>
              <w:ind w:left="17"/>
              <w:jc w:val="right"/>
              <w:rPr>
                <w:color w:val="000000"/>
                <w:szCs w:val="21"/>
              </w:rPr>
            </w:pPr>
            <w:r>
              <w:rPr>
                <w:color w:val="000000"/>
                <w:szCs w:val="21"/>
              </w:rPr>
              <w:t>-</w:t>
            </w:r>
          </w:p>
        </w:tc>
      </w:tr>
      <w:tr w:rsidR="003663E4">
        <w:tc>
          <w:tcPr>
            <w:tcW w:w="1080" w:type="dxa"/>
            <w:vAlign w:val="center"/>
          </w:tcPr>
          <w:p w:rsidR="003663E4" w:rsidRDefault="00FD3F7D">
            <w:pPr>
              <w:spacing w:line="276" w:lineRule="auto"/>
              <w:jc w:val="center"/>
              <w:rPr>
                <w:color w:val="000000"/>
                <w:szCs w:val="21"/>
              </w:rPr>
            </w:pPr>
            <w:r>
              <w:rPr>
                <w:rFonts w:hint="eastAsia"/>
                <w:color w:val="000000"/>
                <w:szCs w:val="21"/>
              </w:rPr>
              <w:t>5</w:t>
            </w:r>
          </w:p>
        </w:tc>
        <w:tc>
          <w:tcPr>
            <w:tcW w:w="2748" w:type="dxa"/>
            <w:vAlign w:val="center"/>
          </w:tcPr>
          <w:p w:rsidR="003663E4" w:rsidRDefault="00FD3F7D">
            <w:pPr>
              <w:spacing w:line="276" w:lineRule="auto"/>
              <w:ind w:leftChars="50" w:left="105"/>
              <w:rPr>
                <w:color w:val="000000"/>
                <w:szCs w:val="21"/>
              </w:rPr>
            </w:pPr>
            <w:r>
              <w:rPr>
                <w:color w:val="000000"/>
                <w:szCs w:val="21"/>
              </w:rPr>
              <w:t>金融衍生品投资</w:t>
            </w:r>
          </w:p>
        </w:tc>
        <w:tc>
          <w:tcPr>
            <w:tcW w:w="2551" w:type="dxa"/>
            <w:vAlign w:val="center"/>
          </w:tcPr>
          <w:p w:rsidR="003663E4" w:rsidRDefault="00FD3F7D">
            <w:pPr>
              <w:spacing w:before="29" w:line="276" w:lineRule="auto"/>
              <w:ind w:left="17"/>
              <w:jc w:val="right"/>
              <w:rPr>
                <w:color w:val="000000"/>
                <w:szCs w:val="21"/>
              </w:rPr>
            </w:pPr>
            <w:r>
              <w:rPr>
                <w:color w:val="000000"/>
                <w:szCs w:val="21"/>
              </w:rPr>
              <w:t>-</w:t>
            </w:r>
          </w:p>
        </w:tc>
        <w:tc>
          <w:tcPr>
            <w:tcW w:w="2621" w:type="dxa"/>
            <w:vAlign w:val="center"/>
          </w:tcPr>
          <w:p w:rsidR="003663E4" w:rsidRDefault="00FD3F7D">
            <w:pPr>
              <w:spacing w:before="29" w:line="276" w:lineRule="auto"/>
              <w:ind w:left="17"/>
              <w:jc w:val="right"/>
              <w:rPr>
                <w:color w:val="000000"/>
                <w:szCs w:val="21"/>
              </w:rPr>
            </w:pPr>
            <w:r>
              <w:rPr>
                <w:color w:val="000000"/>
                <w:szCs w:val="21"/>
              </w:rPr>
              <w:t>-</w:t>
            </w:r>
          </w:p>
        </w:tc>
      </w:tr>
      <w:tr w:rsidR="003663E4">
        <w:tc>
          <w:tcPr>
            <w:tcW w:w="1080" w:type="dxa"/>
            <w:vAlign w:val="center"/>
          </w:tcPr>
          <w:p w:rsidR="003663E4" w:rsidRDefault="00FD3F7D">
            <w:pPr>
              <w:spacing w:line="276" w:lineRule="auto"/>
              <w:jc w:val="center"/>
              <w:rPr>
                <w:color w:val="000000"/>
                <w:szCs w:val="21"/>
              </w:rPr>
            </w:pPr>
            <w:r>
              <w:rPr>
                <w:rFonts w:hint="eastAsia"/>
                <w:color w:val="000000"/>
                <w:szCs w:val="21"/>
              </w:rPr>
              <w:t>6</w:t>
            </w:r>
          </w:p>
        </w:tc>
        <w:tc>
          <w:tcPr>
            <w:tcW w:w="2748" w:type="dxa"/>
            <w:vAlign w:val="center"/>
          </w:tcPr>
          <w:p w:rsidR="003663E4" w:rsidRDefault="00FD3F7D">
            <w:pPr>
              <w:spacing w:line="276" w:lineRule="auto"/>
              <w:ind w:leftChars="50" w:left="105"/>
              <w:rPr>
                <w:color w:val="000000"/>
                <w:szCs w:val="21"/>
              </w:rPr>
            </w:pPr>
            <w:r>
              <w:rPr>
                <w:color w:val="000000"/>
                <w:szCs w:val="21"/>
              </w:rPr>
              <w:t>买入返售金融资产</w:t>
            </w:r>
          </w:p>
        </w:tc>
        <w:tc>
          <w:tcPr>
            <w:tcW w:w="2551" w:type="dxa"/>
            <w:vAlign w:val="center"/>
          </w:tcPr>
          <w:p w:rsidR="003663E4" w:rsidRDefault="00FD3F7D">
            <w:pPr>
              <w:spacing w:before="29" w:line="276" w:lineRule="auto"/>
              <w:ind w:left="17"/>
              <w:jc w:val="right"/>
              <w:rPr>
                <w:color w:val="000000"/>
                <w:szCs w:val="21"/>
              </w:rPr>
            </w:pPr>
            <w:r>
              <w:rPr>
                <w:color w:val="000000"/>
                <w:szCs w:val="21"/>
              </w:rPr>
              <w:t>25,000,157.50</w:t>
            </w:r>
          </w:p>
        </w:tc>
        <w:tc>
          <w:tcPr>
            <w:tcW w:w="2621" w:type="dxa"/>
            <w:vAlign w:val="center"/>
          </w:tcPr>
          <w:p w:rsidR="003663E4" w:rsidRDefault="00FD3F7D">
            <w:pPr>
              <w:spacing w:before="29" w:line="276" w:lineRule="auto"/>
              <w:ind w:left="17"/>
              <w:jc w:val="right"/>
              <w:rPr>
                <w:color w:val="000000"/>
                <w:szCs w:val="21"/>
              </w:rPr>
            </w:pPr>
            <w:r>
              <w:rPr>
                <w:color w:val="000000"/>
                <w:szCs w:val="21"/>
              </w:rPr>
              <w:t>3.21</w:t>
            </w:r>
          </w:p>
        </w:tc>
      </w:tr>
      <w:tr w:rsidR="003663E4">
        <w:tc>
          <w:tcPr>
            <w:tcW w:w="1080" w:type="dxa"/>
            <w:vAlign w:val="center"/>
          </w:tcPr>
          <w:p w:rsidR="003663E4" w:rsidRDefault="003663E4">
            <w:pPr>
              <w:spacing w:line="276" w:lineRule="auto"/>
              <w:jc w:val="center"/>
              <w:rPr>
                <w:color w:val="000000"/>
                <w:szCs w:val="21"/>
              </w:rPr>
            </w:pPr>
          </w:p>
        </w:tc>
        <w:tc>
          <w:tcPr>
            <w:tcW w:w="2748" w:type="dxa"/>
            <w:vAlign w:val="center"/>
          </w:tcPr>
          <w:p w:rsidR="003663E4" w:rsidRDefault="00FD3F7D">
            <w:pPr>
              <w:spacing w:line="276" w:lineRule="auto"/>
              <w:ind w:leftChars="50" w:left="105"/>
              <w:rPr>
                <w:color w:val="000000"/>
                <w:szCs w:val="21"/>
              </w:rPr>
            </w:pPr>
            <w:r>
              <w:rPr>
                <w:color w:val="000000"/>
                <w:szCs w:val="21"/>
              </w:rPr>
              <w:t>其中：买断式回购的买入返售金融资产</w:t>
            </w:r>
          </w:p>
        </w:tc>
        <w:tc>
          <w:tcPr>
            <w:tcW w:w="2551" w:type="dxa"/>
            <w:vAlign w:val="center"/>
          </w:tcPr>
          <w:p w:rsidR="003663E4" w:rsidRDefault="00FD3F7D">
            <w:pPr>
              <w:spacing w:before="29" w:line="276" w:lineRule="auto"/>
              <w:ind w:left="17"/>
              <w:jc w:val="right"/>
              <w:rPr>
                <w:color w:val="000000"/>
                <w:szCs w:val="21"/>
              </w:rPr>
            </w:pPr>
            <w:r>
              <w:rPr>
                <w:color w:val="000000"/>
                <w:szCs w:val="21"/>
              </w:rPr>
              <w:t>-</w:t>
            </w:r>
          </w:p>
        </w:tc>
        <w:tc>
          <w:tcPr>
            <w:tcW w:w="2621" w:type="dxa"/>
            <w:vAlign w:val="center"/>
          </w:tcPr>
          <w:p w:rsidR="003663E4" w:rsidRDefault="00FD3F7D">
            <w:pPr>
              <w:spacing w:before="29" w:line="276" w:lineRule="auto"/>
              <w:ind w:left="17"/>
              <w:jc w:val="right"/>
              <w:rPr>
                <w:color w:val="000000"/>
                <w:szCs w:val="21"/>
              </w:rPr>
            </w:pPr>
            <w:r>
              <w:rPr>
                <w:color w:val="000000"/>
                <w:szCs w:val="21"/>
              </w:rPr>
              <w:t>-</w:t>
            </w:r>
          </w:p>
        </w:tc>
      </w:tr>
      <w:tr w:rsidR="003663E4">
        <w:tc>
          <w:tcPr>
            <w:tcW w:w="1080" w:type="dxa"/>
            <w:vAlign w:val="center"/>
          </w:tcPr>
          <w:p w:rsidR="003663E4" w:rsidRDefault="00FD3F7D">
            <w:pPr>
              <w:spacing w:line="276" w:lineRule="auto"/>
              <w:jc w:val="center"/>
              <w:rPr>
                <w:color w:val="000000"/>
                <w:szCs w:val="21"/>
              </w:rPr>
            </w:pPr>
            <w:r>
              <w:rPr>
                <w:rFonts w:hint="eastAsia"/>
                <w:color w:val="000000"/>
                <w:szCs w:val="21"/>
              </w:rPr>
              <w:t>7</w:t>
            </w:r>
          </w:p>
        </w:tc>
        <w:tc>
          <w:tcPr>
            <w:tcW w:w="2748" w:type="dxa"/>
            <w:vAlign w:val="center"/>
          </w:tcPr>
          <w:p w:rsidR="003663E4" w:rsidRDefault="00FD3F7D">
            <w:pPr>
              <w:spacing w:line="276" w:lineRule="auto"/>
              <w:ind w:leftChars="50" w:left="105"/>
              <w:rPr>
                <w:color w:val="000000"/>
                <w:szCs w:val="21"/>
              </w:rPr>
            </w:pPr>
            <w:r>
              <w:rPr>
                <w:color w:val="000000"/>
                <w:szCs w:val="21"/>
              </w:rPr>
              <w:t>银行存款和结算备付金合计</w:t>
            </w:r>
          </w:p>
        </w:tc>
        <w:tc>
          <w:tcPr>
            <w:tcW w:w="2551" w:type="dxa"/>
            <w:vAlign w:val="center"/>
          </w:tcPr>
          <w:p w:rsidR="003663E4" w:rsidRDefault="00FD3F7D">
            <w:pPr>
              <w:spacing w:before="29" w:line="276" w:lineRule="auto"/>
              <w:ind w:left="17"/>
              <w:jc w:val="right"/>
              <w:rPr>
                <w:color w:val="000000"/>
                <w:szCs w:val="21"/>
              </w:rPr>
            </w:pPr>
            <w:r>
              <w:rPr>
                <w:color w:val="000000"/>
                <w:szCs w:val="21"/>
              </w:rPr>
              <w:t>1,252,444.69</w:t>
            </w:r>
          </w:p>
        </w:tc>
        <w:tc>
          <w:tcPr>
            <w:tcW w:w="2621" w:type="dxa"/>
            <w:vAlign w:val="center"/>
          </w:tcPr>
          <w:p w:rsidR="003663E4" w:rsidRDefault="00FD3F7D">
            <w:pPr>
              <w:spacing w:before="29" w:line="276" w:lineRule="auto"/>
              <w:ind w:left="17"/>
              <w:jc w:val="right"/>
              <w:rPr>
                <w:color w:val="000000"/>
                <w:szCs w:val="21"/>
              </w:rPr>
            </w:pPr>
            <w:r>
              <w:rPr>
                <w:color w:val="000000"/>
                <w:szCs w:val="21"/>
              </w:rPr>
              <w:t>0.16</w:t>
            </w:r>
          </w:p>
        </w:tc>
      </w:tr>
      <w:tr w:rsidR="003663E4">
        <w:tc>
          <w:tcPr>
            <w:tcW w:w="1080" w:type="dxa"/>
            <w:vAlign w:val="center"/>
          </w:tcPr>
          <w:p w:rsidR="003663E4" w:rsidRDefault="00FD3F7D">
            <w:pPr>
              <w:spacing w:before="29" w:line="276" w:lineRule="auto"/>
              <w:ind w:left="17"/>
              <w:jc w:val="center"/>
              <w:rPr>
                <w:color w:val="000000"/>
                <w:szCs w:val="21"/>
              </w:rPr>
            </w:pPr>
            <w:r>
              <w:rPr>
                <w:color w:val="000000"/>
                <w:szCs w:val="21"/>
              </w:rPr>
              <w:t>8</w:t>
            </w:r>
          </w:p>
        </w:tc>
        <w:tc>
          <w:tcPr>
            <w:tcW w:w="2748" w:type="dxa"/>
            <w:vAlign w:val="center"/>
          </w:tcPr>
          <w:p w:rsidR="003663E4" w:rsidRDefault="00FD3F7D">
            <w:pPr>
              <w:spacing w:line="276" w:lineRule="auto"/>
              <w:ind w:leftChars="50" w:left="105"/>
              <w:rPr>
                <w:color w:val="000000"/>
                <w:szCs w:val="21"/>
              </w:rPr>
            </w:pPr>
            <w:r>
              <w:rPr>
                <w:color w:val="000000"/>
                <w:szCs w:val="21"/>
              </w:rPr>
              <w:t>其他各项资产</w:t>
            </w:r>
          </w:p>
        </w:tc>
        <w:tc>
          <w:tcPr>
            <w:tcW w:w="2551" w:type="dxa"/>
            <w:vAlign w:val="center"/>
          </w:tcPr>
          <w:p w:rsidR="003663E4" w:rsidRDefault="00FD3F7D">
            <w:pPr>
              <w:spacing w:line="276" w:lineRule="auto"/>
              <w:jc w:val="right"/>
              <w:rPr>
                <w:color w:val="000000"/>
                <w:szCs w:val="21"/>
              </w:rPr>
            </w:pPr>
            <w:r>
              <w:rPr>
                <w:color w:val="000000"/>
                <w:szCs w:val="21"/>
              </w:rPr>
              <w:t>9,632,107.01</w:t>
            </w:r>
          </w:p>
        </w:tc>
        <w:tc>
          <w:tcPr>
            <w:tcW w:w="2621" w:type="dxa"/>
            <w:vAlign w:val="center"/>
          </w:tcPr>
          <w:p w:rsidR="003663E4" w:rsidRDefault="00FD3F7D">
            <w:pPr>
              <w:spacing w:line="276" w:lineRule="auto"/>
              <w:jc w:val="right"/>
              <w:rPr>
                <w:color w:val="000000"/>
                <w:szCs w:val="21"/>
              </w:rPr>
            </w:pPr>
            <w:r>
              <w:rPr>
                <w:color w:val="000000"/>
                <w:szCs w:val="21"/>
              </w:rPr>
              <w:t>1.24</w:t>
            </w:r>
          </w:p>
        </w:tc>
      </w:tr>
      <w:tr w:rsidR="003663E4">
        <w:tc>
          <w:tcPr>
            <w:tcW w:w="1080" w:type="dxa"/>
            <w:vAlign w:val="center"/>
          </w:tcPr>
          <w:p w:rsidR="003663E4" w:rsidRDefault="00FD3F7D">
            <w:pPr>
              <w:spacing w:before="29" w:line="276" w:lineRule="auto"/>
              <w:ind w:left="17"/>
              <w:jc w:val="center"/>
              <w:rPr>
                <w:color w:val="000000"/>
                <w:szCs w:val="21"/>
              </w:rPr>
            </w:pPr>
            <w:r>
              <w:rPr>
                <w:color w:val="000000"/>
                <w:szCs w:val="21"/>
              </w:rPr>
              <w:t>9</w:t>
            </w:r>
          </w:p>
        </w:tc>
        <w:tc>
          <w:tcPr>
            <w:tcW w:w="2748" w:type="dxa"/>
            <w:vAlign w:val="center"/>
          </w:tcPr>
          <w:p w:rsidR="003663E4" w:rsidRDefault="00FD3F7D">
            <w:pPr>
              <w:spacing w:line="276" w:lineRule="auto"/>
              <w:ind w:leftChars="50" w:left="105"/>
              <w:rPr>
                <w:color w:val="000000"/>
                <w:szCs w:val="21"/>
              </w:rPr>
            </w:pPr>
            <w:r>
              <w:rPr>
                <w:color w:val="000000"/>
                <w:szCs w:val="21"/>
              </w:rPr>
              <w:t>合计</w:t>
            </w:r>
          </w:p>
        </w:tc>
        <w:tc>
          <w:tcPr>
            <w:tcW w:w="2551" w:type="dxa"/>
            <w:vAlign w:val="center"/>
          </w:tcPr>
          <w:p w:rsidR="003663E4" w:rsidRDefault="00FD3F7D">
            <w:pPr>
              <w:spacing w:line="276" w:lineRule="auto"/>
              <w:jc w:val="right"/>
              <w:rPr>
                <w:color w:val="000000"/>
                <w:szCs w:val="21"/>
              </w:rPr>
            </w:pPr>
            <w:r>
              <w:rPr>
                <w:color w:val="000000"/>
                <w:szCs w:val="21"/>
              </w:rPr>
              <w:t>778,893,709.20</w:t>
            </w:r>
          </w:p>
        </w:tc>
        <w:tc>
          <w:tcPr>
            <w:tcW w:w="2621" w:type="dxa"/>
            <w:vAlign w:val="center"/>
          </w:tcPr>
          <w:p w:rsidR="003663E4" w:rsidRDefault="00FD3F7D">
            <w:pPr>
              <w:spacing w:line="276" w:lineRule="auto"/>
              <w:jc w:val="right"/>
              <w:rPr>
                <w:color w:val="000000"/>
                <w:szCs w:val="21"/>
              </w:rPr>
            </w:pPr>
            <w:r>
              <w:rPr>
                <w:color w:val="000000"/>
                <w:szCs w:val="21"/>
              </w:rPr>
              <w:t>100.00</w:t>
            </w:r>
          </w:p>
        </w:tc>
      </w:tr>
    </w:tbl>
    <w:p w:rsidR="003663E4" w:rsidRDefault="00FD3F7D">
      <w:pPr>
        <w:pStyle w:val="3"/>
        <w:spacing w:beforeLines="50" w:before="156" w:after="0" w:line="360" w:lineRule="auto"/>
        <w:rPr>
          <w:color w:val="000000"/>
          <w:kern w:val="0"/>
          <w:sz w:val="21"/>
          <w:szCs w:val="21"/>
        </w:rPr>
      </w:pPr>
      <w:bookmarkStart w:id="201" w:name="_Toc23339391"/>
      <w:bookmarkStart w:id="202" w:name="_Toc508540295"/>
      <w:bookmarkStart w:id="203" w:name="_Toc9904"/>
      <w:r>
        <w:rPr>
          <w:color w:val="000000"/>
          <w:kern w:val="0"/>
          <w:sz w:val="21"/>
          <w:szCs w:val="21"/>
        </w:rPr>
        <w:t xml:space="preserve">8.1.2 </w:t>
      </w:r>
      <w:r>
        <w:rPr>
          <w:rFonts w:hint="eastAsia"/>
          <w:color w:val="000000"/>
          <w:kern w:val="0"/>
          <w:sz w:val="21"/>
          <w:szCs w:val="21"/>
        </w:rPr>
        <w:t>报告</w:t>
      </w:r>
      <w:r>
        <w:rPr>
          <w:color w:val="000000"/>
          <w:kern w:val="0"/>
          <w:sz w:val="21"/>
          <w:szCs w:val="21"/>
        </w:rPr>
        <w:t>期末按行业分类的股票投资组合</w:t>
      </w:r>
      <w:bookmarkEnd w:id="201"/>
      <w:bookmarkEnd w:id="202"/>
      <w:bookmarkEnd w:id="203"/>
    </w:p>
    <w:p w:rsidR="003663E4" w:rsidRDefault="00FD3F7D">
      <w:pPr>
        <w:spacing w:line="360" w:lineRule="auto"/>
        <w:rPr>
          <w:b/>
        </w:rPr>
      </w:pPr>
      <w:r>
        <w:rPr>
          <w:b/>
          <w:color w:val="000000"/>
          <w:kern w:val="0"/>
          <w:szCs w:val="21"/>
        </w:rPr>
        <w:t>8.1.2.1</w:t>
      </w:r>
      <w:r>
        <w:rPr>
          <w:rFonts w:hint="eastAsia"/>
          <w:b/>
          <w:color w:val="000000"/>
          <w:kern w:val="0"/>
          <w:szCs w:val="21"/>
        </w:rPr>
        <w:t xml:space="preserve"> </w:t>
      </w:r>
      <w:r>
        <w:rPr>
          <w:b/>
        </w:rPr>
        <w:t>报告期末按行业分类的境内股票投资组合</w:t>
      </w:r>
    </w:p>
    <w:p w:rsidR="003663E4" w:rsidRDefault="00FD3F7D">
      <w:pPr>
        <w:autoSpaceDE w:val="0"/>
        <w:autoSpaceDN w:val="0"/>
        <w:adjustRightInd w:val="0"/>
        <w:spacing w:line="360" w:lineRule="auto"/>
        <w:ind w:firstLineChars="200" w:firstLine="420"/>
        <w:jc w:val="left"/>
        <w:rPr>
          <w:color w:val="000000"/>
          <w:szCs w:val="21"/>
        </w:rPr>
      </w:pPr>
      <w:r>
        <w:rPr>
          <w:color w:val="000000"/>
          <w:szCs w:val="21"/>
        </w:rPr>
        <w:t>本基金本报告期末未持有股票。</w:t>
      </w:r>
    </w:p>
    <w:p w:rsidR="003663E4" w:rsidRDefault="00FD3F7D">
      <w:pPr>
        <w:spacing w:beforeLines="50" w:before="156" w:line="360" w:lineRule="auto"/>
        <w:rPr>
          <w:b/>
          <w:color w:val="000000"/>
          <w:szCs w:val="21"/>
        </w:rPr>
      </w:pPr>
      <w:r>
        <w:rPr>
          <w:b/>
          <w:color w:val="000000"/>
          <w:szCs w:val="21"/>
        </w:rPr>
        <w:t>8.1.2.2</w:t>
      </w:r>
      <w:r>
        <w:rPr>
          <w:rFonts w:hint="eastAsia"/>
          <w:b/>
          <w:color w:val="000000"/>
          <w:szCs w:val="21"/>
        </w:rPr>
        <w:t xml:space="preserve"> </w:t>
      </w:r>
      <w:r>
        <w:rPr>
          <w:b/>
          <w:color w:val="000000"/>
          <w:szCs w:val="21"/>
        </w:rPr>
        <w:t>报告期末按行业分类的港股通投资股票投资组合</w:t>
      </w:r>
    </w:p>
    <w:p w:rsidR="003663E4" w:rsidRDefault="00FD3F7D">
      <w:pPr>
        <w:autoSpaceDE w:val="0"/>
        <w:autoSpaceDN w:val="0"/>
        <w:adjustRightInd w:val="0"/>
        <w:spacing w:line="360" w:lineRule="auto"/>
        <w:ind w:firstLineChars="150" w:firstLine="360"/>
        <w:jc w:val="left"/>
        <w:rPr>
          <w:color w:val="000000"/>
          <w:szCs w:val="21"/>
        </w:rPr>
      </w:pPr>
      <w:r>
        <w:rPr>
          <w:color w:val="000000"/>
          <w:kern w:val="0"/>
          <w:sz w:val="24"/>
        </w:rPr>
        <w:t>本基金本报告期末未持有通过港股通投资的股票。</w:t>
      </w:r>
    </w:p>
    <w:p w:rsidR="003663E4" w:rsidRDefault="00FD3F7D">
      <w:pPr>
        <w:pStyle w:val="3"/>
        <w:spacing w:beforeLines="50" w:before="156" w:after="0" w:line="360" w:lineRule="auto"/>
        <w:rPr>
          <w:color w:val="000000"/>
          <w:sz w:val="21"/>
          <w:szCs w:val="21"/>
        </w:rPr>
      </w:pPr>
      <w:bookmarkStart w:id="204" w:name="_Toc23339392"/>
      <w:bookmarkStart w:id="205" w:name="_Toc508540296"/>
      <w:bookmarkStart w:id="206" w:name="_Toc12012"/>
      <w:r>
        <w:rPr>
          <w:color w:val="000000"/>
          <w:kern w:val="0"/>
          <w:sz w:val="21"/>
          <w:szCs w:val="21"/>
        </w:rPr>
        <w:t xml:space="preserve">8.1.3 </w:t>
      </w:r>
      <w:r>
        <w:rPr>
          <w:color w:val="000000"/>
          <w:kern w:val="0"/>
          <w:sz w:val="21"/>
          <w:szCs w:val="21"/>
        </w:rPr>
        <w:t>期末按公允价值占基金资产净值比例大小排序的所有股票投资明细</w:t>
      </w:r>
      <w:bookmarkEnd w:id="204"/>
      <w:bookmarkEnd w:id="205"/>
      <w:bookmarkEnd w:id="206"/>
    </w:p>
    <w:p w:rsidR="003663E4" w:rsidRDefault="00FD3F7D">
      <w:pPr>
        <w:autoSpaceDE w:val="0"/>
        <w:autoSpaceDN w:val="0"/>
        <w:adjustRightInd w:val="0"/>
        <w:spacing w:line="360" w:lineRule="auto"/>
        <w:ind w:firstLineChars="200" w:firstLine="420"/>
        <w:jc w:val="left"/>
        <w:rPr>
          <w:color w:val="000000"/>
          <w:szCs w:val="21"/>
        </w:rPr>
      </w:pPr>
      <w:r>
        <w:rPr>
          <w:color w:val="000000"/>
          <w:szCs w:val="21"/>
        </w:rPr>
        <w:t>本基金本报告期末未持有股票。</w:t>
      </w:r>
    </w:p>
    <w:p w:rsidR="003663E4" w:rsidRDefault="00FD3F7D">
      <w:pPr>
        <w:pStyle w:val="3"/>
        <w:spacing w:beforeLines="50" w:before="156" w:after="0" w:line="360" w:lineRule="auto"/>
        <w:rPr>
          <w:color w:val="000000"/>
          <w:kern w:val="0"/>
          <w:sz w:val="21"/>
          <w:szCs w:val="21"/>
        </w:rPr>
      </w:pPr>
      <w:bookmarkStart w:id="207" w:name="_Toc23339393"/>
      <w:bookmarkStart w:id="208" w:name="_Toc508540297"/>
      <w:bookmarkStart w:id="209" w:name="_Toc21761"/>
      <w:r>
        <w:rPr>
          <w:color w:val="000000"/>
          <w:kern w:val="0"/>
          <w:sz w:val="21"/>
          <w:szCs w:val="21"/>
        </w:rPr>
        <w:t xml:space="preserve">8.1.4 </w:t>
      </w:r>
      <w:r>
        <w:rPr>
          <w:color w:val="000000"/>
          <w:kern w:val="0"/>
          <w:sz w:val="21"/>
          <w:szCs w:val="21"/>
        </w:rPr>
        <w:t>报告期内股票投资组合的重大变动</w:t>
      </w:r>
      <w:bookmarkEnd w:id="207"/>
      <w:bookmarkEnd w:id="208"/>
      <w:bookmarkEnd w:id="209"/>
    </w:p>
    <w:p w:rsidR="003663E4" w:rsidRDefault="00FD3F7D">
      <w:pPr>
        <w:pStyle w:val="af9"/>
        <w:spacing w:before="0" w:beforeAutospacing="0" w:after="0" w:afterAutospacing="0" w:line="360" w:lineRule="auto"/>
        <w:ind w:firstLineChars="200" w:firstLine="420"/>
        <w:rPr>
          <w:rFonts w:ascii="Times New Roman" w:hAnsi="Times New Roman"/>
          <w:color w:val="000000"/>
          <w:sz w:val="21"/>
          <w:szCs w:val="21"/>
        </w:rPr>
      </w:pPr>
      <w:r>
        <w:rPr>
          <w:rFonts w:ascii="Times New Roman" w:hAnsi="Times New Roman"/>
          <w:color w:val="000000"/>
          <w:sz w:val="21"/>
          <w:szCs w:val="21"/>
        </w:rPr>
        <w:t>本基金本报告期内未持有股票。</w:t>
      </w:r>
    </w:p>
    <w:p w:rsidR="003663E4" w:rsidRDefault="00FD3F7D">
      <w:pPr>
        <w:pStyle w:val="3"/>
        <w:spacing w:beforeLines="50" w:before="156" w:after="0" w:line="360" w:lineRule="auto"/>
        <w:rPr>
          <w:color w:val="000000"/>
          <w:kern w:val="0"/>
          <w:sz w:val="21"/>
          <w:szCs w:val="21"/>
        </w:rPr>
      </w:pPr>
      <w:bookmarkStart w:id="210" w:name="_Toc23339394"/>
      <w:bookmarkStart w:id="211" w:name="_Toc508540298"/>
      <w:bookmarkStart w:id="212" w:name="_Toc8664"/>
      <w:r>
        <w:rPr>
          <w:color w:val="000000"/>
          <w:kern w:val="0"/>
          <w:sz w:val="21"/>
          <w:szCs w:val="21"/>
        </w:rPr>
        <w:t xml:space="preserve">8.1.5 </w:t>
      </w:r>
      <w:r>
        <w:rPr>
          <w:color w:val="000000"/>
          <w:kern w:val="0"/>
          <w:sz w:val="21"/>
          <w:szCs w:val="21"/>
        </w:rPr>
        <w:t>期末按债券品种分类的债券投资组合</w:t>
      </w:r>
      <w:bookmarkEnd w:id="210"/>
      <w:bookmarkEnd w:id="211"/>
      <w:bookmarkEnd w:id="212"/>
    </w:p>
    <w:p w:rsidR="003663E4" w:rsidRDefault="00FD3F7D">
      <w:pPr>
        <w:autoSpaceDE w:val="0"/>
        <w:autoSpaceDN w:val="0"/>
        <w:adjustRightInd w:val="0"/>
        <w:spacing w:before="29" w:line="360" w:lineRule="auto"/>
        <w:ind w:left="15"/>
        <w:jc w:val="right"/>
        <w:rPr>
          <w:color w:val="000000"/>
          <w:kern w:val="0"/>
          <w:szCs w:val="21"/>
        </w:rPr>
      </w:pPr>
      <w:r>
        <w:rPr>
          <w:color w:val="000000"/>
          <w:szCs w:val="21"/>
        </w:rPr>
        <w:t>金额单位：人民币元</w:t>
      </w:r>
    </w:p>
    <w:tbl>
      <w:tblPr>
        <w:tblW w:w="93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2869"/>
        <w:gridCol w:w="2977"/>
        <w:gridCol w:w="2651"/>
      </w:tblGrid>
      <w:tr w:rsidR="003663E4">
        <w:tc>
          <w:tcPr>
            <w:tcW w:w="817" w:type="dxa"/>
            <w:vAlign w:val="center"/>
          </w:tcPr>
          <w:p w:rsidR="003663E4" w:rsidRDefault="00FD3F7D">
            <w:pPr>
              <w:spacing w:before="29" w:line="276" w:lineRule="auto"/>
              <w:ind w:left="17"/>
              <w:jc w:val="center"/>
              <w:rPr>
                <w:color w:val="000000"/>
                <w:szCs w:val="21"/>
              </w:rPr>
            </w:pPr>
            <w:r>
              <w:rPr>
                <w:color w:val="000000"/>
                <w:szCs w:val="21"/>
              </w:rPr>
              <w:t>序号</w:t>
            </w:r>
          </w:p>
        </w:tc>
        <w:tc>
          <w:tcPr>
            <w:tcW w:w="2869" w:type="dxa"/>
            <w:vAlign w:val="center"/>
          </w:tcPr>
          <w:p w:rsidR="003663E4" w:rsidRDefault="00FD3F7D">
            <w:pPr>
              <w:spacing w:before="29" w:line="276" w:lineRule="auto"/>
              <w:ind w:left="17"/>
              <w:jc w:val="center"/>
              <w:rPr>
                <w:color w:val="000000"/>
                <w:szCs w:val="21"/>
              </w:rPr>
            </w:pPr>
            <w:r>
              <w:rPr>
                <w:color w:val="000000"/>
                <w:szCs w:val="21"/>
              </w:rPr>
              <w:t>债券品种</w:t>
            </w:r>
          </w:p>
        </w:tc>
        <w:tc>
          <w:tcPr>
            <w:tcW w:w="2977" w:type="dxa"/>
            <w:vAlign w:val="center"/>
          </w:tcPr>
          <w:p w:rsidR="003663E4" w:rsidRDefault="00FD3F7D">
            <w:pPr>
              <w:spacing w:before="29" w:line="276" w:lineRule="auto"/>
              <w:ind w:left="17"/>
              <w:jc w:val="center"/>
              <w:rPr>
                <w:color w:val="000000"/>
                <w:szCs w:val="21"/>
              </w:rPr>
            </w:pPr>
            <w:r>
              <w:rPr>
                <w:color w:val="000000"/>
                <w:szCs w:val="21"/>
              </w:rPr>
              <w:t>公允价值</w:t>
            </w:r>
          </w:p>
        </w:tc>
        <w:tc>
          <w:tcPr>
            <w:tcW w:w="2651" w:type="dxa"/>
            <w:vAlign w:val="center"/>
          </w:tcPr>
          <w:p w:rsidR="003663E4" w:rsidRDefault="00FD3F7D">
            <w:pPr>
              <w:spacing w:before="29" w:line="276" w:lineRule="auto"/>
              <w:ind w:left="17"/>
              <w:jc w:val="center"/>
              <w:rPr>
                <w:color w:val="000000"/>
                <w:szCs w:val="21"/>
              </w:rPr>
            </w:pPr>
            <w:r>
              <w:rPr>
                <w:color w:val="000000"/>
                <w:szCs w:val="21"/>
              </w:rPr>
              <w:t>占基金资产净值比例</w:t>
            </w:r>
            <w:r>
              <w:rPr>
                <w:rFonts w:hint="eastAsia"/>
                <w:color w:val="000000"/>
                <w:szCs w:val="21"/>
              </w:rPr>
              <w:t>（</w:t>
            </w:r>
            <w:r>
              <w:rPr>
                <w:color w:val="000000"/>
                <w:szCs w:val="21"/>
              </w:rPr>
              <w:t>％</w:t>
            </w:r>
            <w:r>
              <w:rPr>
                <w:rFonts w:hint="eastAsia"/>
                <w:color w:val="000000"/>
                <w:szCs w:val="21"/>
              </w:rPr>
              <w:t>）</w:t>
            </w:r>
          </w:p>
        </w:tc>
      </w:tr>
      <w:tr w:rsidR="003663E4">
        <w:tc>
          <w:tcPr>
            <w:tcW w:w="817" w:type="dxa"/>
            <w:vAlign w:val="center"/>
          </w:tcPr>
          <w:p w:rsidR="003663E4" w:rsidRDefault="00FD3F7D">
            <w:pPr>
              <w:spacing w:before="29" w:line="276" w:lineRule="auto"/>
              <w:ind w:left="17"/>
              <w:jc w:val="center"/>
              <w:rPr>
                <w:color w:val="000000"/>
                <w:szCs w:val="21"/>
              </w:rPr>
            </w:pPr>
            <w:r>
              <w:rPr>
                <w:color w:val="000000"/>
                <w:szCs w:val="21"/>
              </w:rPr>
              <w:t>1</w:t>
            </w:r>
          </w:p>
        </w:tc>
        <w:tc>
          <w:tcPr>
            <w:tcW w:w="2869" w:type="dxa"/>
            <w:vAlign w:val="center"/>
          </w:tcPr>
          <w:p w:rsidR="003663E4" w:rsidRDefault="00FD3F7D">
            <w:pPr>
              <w:spacing w:before="29" w:line="276" w:lineRule="auto"/>
              <w:ind w:left="17"/>
              <w:jc w:val="left"/>
              <w:rPr>
                <w:color w:val="000000"/>
                <w:szCs w:val="21"/>
              </w:rPr>
            </w:pPr>
            <w:r>
              <w:rPr>
                <w:color w:val="000000"/>
                <w:szCs w:val="21"/>
              </w:rPr>
              <w:t>国家债券</w:t>
            </w:r>
          </w:p>
        </w:tc>
        <w:tc>
          <w:tcPr>
            <w:tcW w:w="2977" w:type="dxa"/>
            <w:vAlign w:val="center"/>
          </w:tcPr>
          <w:p w:rsidR="003663E4" w:rsidRDefault="00FD3F7D">
            <w:pPr>
              <w:spacing w:before="29" w:line="276" w:lineRule="auto"/>
              <w:ind w:left="17"/>
              <w:jc w:val="right"/>
              <w:rPr>
                <w:color w:val="000000"/>
                <w:szCs w:val="21"/>
              </w:rPr>
            </w:pPr>
            <w:r>
              <w:rPr>
                <w:color w:val="000000"/>
                <w:szCs w:val="21"/>
              </w:rPr>
              <w:t>-</w:t>
            </w:r>
          </w:p>
        </w:tc>
        <w:tc>
          <w:tcPr>
            <w:tcW w:w="2651" w:type="dxa"/>
            <w:vAlign w:val="center"/>
          </w:tcPr>
          <w:p w:rsidR="003663E4" w:rsidRDefault="00FD3F7D">
            <w:pPr>
              <w:spacing w:before="29" w:line="276" w:lineRule="auto"/>
              <w:ind w:left="17"/>
              <w:jc w:val="right"/>
              <w:rPr>
                <w:color w:val="000000"/>
                <w:szCs w:val="21"/>
              </w:rPr>
            </w:pPr>
            <w:r>
              <w:rPr>
                <w:color w:val="000000"/>
                <w:szCs w:val="21"/>
              </w:rPr>
              <w:t>-</w:t>
            </w:r>
          </w:p>
        </w:tc>
      </w:tr>
      <w:tr w:rsidR="003663E4">
        <w:tc>
          <w:tcPr>
            <w:tcW w:w="817" w:type="dxa"/>
            <w:vAlign w:val="center"/>
          </w:tcPr>
          <w:p w:rsidR="003663E4" w:rsidRDefault="00FD3F7D">
            <w:pPr>
              <w:spacing w:before="29" w:line="276" w:lineRule="auto"/>
              <w:ind w:left="17"/>
              <w:jc w:val="center"/>
              <w:rPr>
                <w:color w:val="000000"/>
                <w:szCs w:val="21"/>
              </w:rPr>
            </w:pPr>
            <w:r>
              <w:rPr>
                <w:color w:val="000000"/>
                <w:szCs w:val="21"/>
              </w:rPr>
              <w:t>2</w:t>
            </w:r>
          </w:p>
        </w:tc>
        <w:tc>
          <w:tcPr>
            <w:tcW w:w="2869" w:type="dxa"/>
            <w:vAlign w:val="center"/>
          </w:tcPr>
          <w:p w:rsidR="003663E4" w:rsidRDefault="00FD3F7D">
            <w:pPr>
              <w:spacing w:before="29" w:line="276" w:lineRule="auto"/>
              <w:ind w:left="17"/>
              <w:jc w:val="left"/>
              <w:rPr>
                <w:color w:val="000000"/>
                <w:szCs w:val="21"/>
              </w:rPr>
            </w:pPr>
            <w:r>
              <w:rPr>
                <w:color w:val="000000"/>
                <w:szCs w:val="21"/>
              </w:rPr>
              <w:t>央行票据</w:t>
            </w:r>
          </w:p>
        </w:tc>
        <w:tc>
          <w:tcPr>
            <w:tcW w:w="2977" w:type="dxa"/>
            <w:vAlign w:val="center"/>
          </w:tcPr>
          <w:p w:rsidR="003663E4" w:rsidRDefault="00FD3F7D">
            <w:pPr>
              <w:spacing w:before="29" w:line="276" w:lineRule="auto"/>
              <w:ind w:left="17"/>
              <w:jc w:val="right"/>
              <w:rPr>
                <w:color w:val="000000"/>
                <w:szCs w:val="21"/>
              </w:rPr>
            </w:pPr>
            <w:r>
              <w:rPr>
                <w:color w:val="000000"/>
                <w:szCs w:val="21"/>
              </w:rPr>
              <w:t>-</w:t>
            </w:r>
          </w:p>
        </w:tc>
        <w:tc>
          <w:tcPr>
            <w:tcW w:w="2651" w:type="dxa"/>
            <w:vAlign w:val="center"/>
          </w:tcPr>
          <w:p w:rsidR="003663E4" w:rsidRDefault="00FD3F7D">
            <w:pPr>
              <w:spacing w:before="29" w:line="276" w:lineRule="auto"/>
              <w:ind w:left="17"/>
              <w:jc w:val="right"/>
              <w:rPr>
                <w:color w:val="000000"/>
                <w:szCs w:val="21"/>
              </w:rPr>
            </w:pPr>
            <w:r>
              <w:rPr>
                <w:color w:val="000000"/>
                <w:szCs w:val="21"/>
              </w:rPr>
              <w:t>-</w:t>
            </w:r>
          </w:p>
        </w:tc>
      </w:tr>
      <w:tr w:rsidR="003663E4">
        <w:tc>
          <w:tcPr>
            <w:tcW w:w="817" w:type="dxa"/>
            <w:vAlign w:val="center"/>
          </w:tcPr>
          <w:p w:rsidR="003663E4" w:rsidRDefault="00FD3F7D">
            <w:pPr>
              <w:spacing w:before="29" w:line="276" w:lineRule="auto"/>
              <w:ind w:left="17"/>
              <w:jc w:val="center"/>
              <w:rPr>
                <w:color w:val="000000"/>
                <w:szCs w:val="21"/>
              </w:rPr>
            </w:pPr>
            <w:r>
              <w:rPr>
                <w:color w:val="000000"/>
                <w:szCs w:val="21"/>
              </w:rPr>
              <w:t>3</w:t>
            </w:r>
          </w:p>
        </w:tc>
        <w:tc>
          <w:tcPr>
            <w:tcW w:w="2869" w:type="dxa"/>
            <w:vAlign w:val="center"/>
          </w:tcPr>
          <w:p w:rsidR="003663E4" w:rsidRDefault="00FD3F7D">
            <w:pPr>
              <w:spacing w:before="29" w:line="276" w:lineRule="auto"/>
              <w:ind w:left="17"/>
              <w:jc w:val="left"/>
              <w:rPr>
                <w:color w:val="000000"/>
                <w:szCs w:val="21"/>
              </w:rPr>
            </w:pPr>
            <w:r>
              <w:rPr>
                <w:color w:val="000000"/>
                <w:szCs w:val="21"/>
              </w:rPr>
              <w:t>金融债券</w:t>
            </w:r>
          </w:p>
        </w:tc>
        <w:tc>
          <w:tcPr>
            <w:tcW w:w="2977" w:type="dxa"/>
            <w:vAlign w:val="center"/>
          </w:tcPr>
          <w:p w:rsidR="003663E4" w:rsidRDefault="00FD3F7D">
            <w:pPr>
              <w:spacing w:before="29" w:line="276" w:lineRule="auto"/>
              <w:ind w:left="17"/>
              <w:jc w:val="right"/>
              <w:rPr>
                <w:color w:val="000000"/>
                <w:szCs w:val="21"/>
              </w:rPr>
            </w:pPr>
            <w:r>
              <w:rPr>
                <w:color w:val="000000"/>
                <w:szCs w:val="21"/>
              </w:rPr>
              <w:t>743,009,000.00</w:t>
            </w:r>
          </w:p>
        </w:tc>
        <w:tc>
          <w:tcPr>
            <w:tcW w:w="2651" w:type="dxa"/>
            <w:vAlign w:val="center"/>
          </w:tcPr>
          <w:p w:rsidR="003663E4" w:rsidRDefault="00FD3F7D">
            <w:pPr>
              <w:spacing w:before="29" w:line="276" w:lineRule="auto"/>
              <w:ind w:left="17"/>
              <w:jc w:val="right"/>
              <w:rPr>
                <w:color w:val="000000"/>
                <w:szCs w:val="21"/>
              </w:rPr>
            </w:pPr>
            <w:r>
              <w:rPr>
                <w:color w:val="000000"/>
                <w:szCs w:val="21"/>
              </w:rPr>
              <w:t>95.45</w:t>
            </w:r>
          </w:p>
        </w:tc>
      </w:tr>
      <w:tr w:rsidR="003663E4">
        <w:tc>
          <w:tcPr>
            <w:tcW w:w="817" w:type="dxa"/>
            <w:vAlign w:val="center"/>
          </w:tcPr>
          <w:p w:rsidR="003663E4" w:rsidRDefault="003663E4">
            <w:pPr>
              <w:spacing w:before="29" w:line="276" w:lineRule="auto"/>
              <w:ind w:left="17"/>
              <w:jc w:val="center"/>
              <w:rPr>
                <w:color w:val="000000"/>
                <w:szCs w:val="21"/>
              </w:rPr>
            </w:pPr>
          </w:p>
        </w:tc>
        <w:tc>
          <w:tcPr>
            <w:tcW w:w="2869" w:type="dxa"/>
            <w:vAlign w:val="center"/>
          </w:tcPr>
          <w:p w:rsidR="003663E4" w:rsidRDefault="00FD3F7D">
            <w:pPr>
              <w:spacing w:before="29" w:line="276" w:lineRule="auto"/>
              <w:ind w:left="17"/>
              <w:jc w:val="left"/>
              <w:rPr>
                <w:color w:val="000000"/>
                <w:szCs w:val="21"/>
              </w:rPr>
            </w:pPr>
            <w:r>
              <w:rPr>
                <w:color w:val="000000"/>
                <w:szCs w:val="21"/>
              </w:rPr>
              <w:t>其中：政策性金融债</w:t>
            </w:r>
          </w:p>
        </w:tc>
        <w:tc>
          <w:tcPr>
            <w:tcW w:w="2977" w:type="dxa"/>
            <w:vAlign w:val="center"/>
          </w:tcPr>
          <w:p w:rsidR="003663E4" w:rsidRDefault="00FD3F7D">
            <w:pPr>
              <w:spacing w:before="29" w:line="276" w:lineRule="auto"/>
              <w:ind w:left="17"/>
              <w:jc w:val="right"/>
              <w:rPr>
                <w:color w:val="000000"/>
                <w:szCs w:val="21"/>
              </w:rPr>
            </w:pPr>
            <w:r>
              <w:rPr>
                <w:color w:val="000000"/>
                <w:szCs w:val="21"/>
              </w:rPr>
              <w:t>330,021,000.00</w:t>
            </w:r>
          </w:p>
        </w:tc>
        <w:tc>
          <w:tcPr>
            <w:tcW w:w="2651" w:type="dxa"/>
            <w:vAlign w:val="center"/>
          </w:tcPr>
          <w:p w:rsidR="003663E4" w:rsidRDefault="00FD3F7D">
            <w:pPr>
              <w:spacing w:before="29" w:line="276" w:lineRule="auto"/>
              <w:ind w:left="17"/>
              <w:jc w:val="right"/>
              <w:rPr>
                <w:color w:val="000000"/>
                <w:szCs w:val="21"/>
              </w:rPr>
            </w:pPr>
            <w:r>
              <w:rPr>
                <w:color w:val="000000"/>
                <w:szCs w:val="21"/>
              </w:rPr>
              <w:t>42.40</w:t>
            </w:r>
          </w:p>
        </w:tc>
      </w:tr>
      <w:tr w:rsidR="003663E4">
        <w:tc>
          <w:tcPr>
            <w:tcW w:w="817" w:type="dxa"/>
            <w:vAlign w:val="center"/>
          </w:tcPr>
          <w:p w:rsidR="003663E4" w:rsidRDefault="00FD3F7D">
            <w:pPr>
              <w:spacing w:before="29" w:line="276" w:lineRule="auto"/>
              <w:ind w:left="17"/>
              <w:jc w:val="center"/>
              <w:rPr>
                <w:color w:val="000000"/>
                <w:szCs w:val="21"/>
              </w:rPr>
            </w:pPr>
            <w:r>
              <w:rPr>
                <w:color w:val="000000"/>
                <w:szCs w:val="21"/>
              </w:rPr>
              <w:t>4</w:t>
            </w:r>
          </w:p>
        </w:tc>
        <w:tc>
          <w:tcPr>
            <w:tcW w:w="2869" w:type="dxa"/>
            <w:vAlign w:val="center"/>
          </w:tcPr>
          <w:p w:rsidR="003663E4" w:rsidRDefault="00FD3F7D">
            <w:pPr>
              <w:spacing w:before="29" w:line="276" w:lineRule="auto"/>
              <w:ind w:left="17"/>
              <w:jc w:val="left"/>
              <w:rPr>
                <w:color w:val="000000"/>
                <w:szCs w:val="21"/>
              </w:rPr>
            </w:pPr>
            <w:r>
              <w:rPr>
                <w:color w:val="000000"/>
                <w:szCs w:val="21"/>
              </w:rPr>
              <w:t>企业债券</w:t>
            </w:r>
          </w:p>
        </w:tc>
        <w:tc>
          <w:tcPr>
            <w:tcW w:w="2977" w:type="dxa"/>
            <w:vAlign w:val="center"/>
          </w:tcPr>
          <w:p w:rsidR="003663E4" w:rsidRDefault="00FD3F7D">
            <w:pPr>
              <w:spacing w:before="29" w:line="276" w:lineRule="auto"/>
              <w:ind w:left="17"/>
              <w:jc w:val="right"/>
              <w:rPr>
                <w:color w:val="000000"/>
                <w:szCs w:val="21"/>
              </w:rPr>
            </w:pPr>
            <w:r>
              <w:rPr>
                <w:color w:val="000000"/>
                <w:szCs w:val="21"/>
              </w:rPr>
              <w:t>-</w:t>
            </w:r>
          </w:p>
        </w:tc>
        <w:tc>
          <w:tcPr>
            <w:tcW w:w="2651" w:type="dxa"/>
            <w:vAlign w:val="center"/>
          </w:tcPr>
          <w:p w:rsidR="003663E4" w:rsidRDefault="00FD3F7D">
            <w:pPr>
              <w:spacing w:before="29" w:line="276" w:lineRule="auto"/>
              <w:ind w:left="17"/>
              <w:jc w:val="right"/>
              <w:rPr>
                <w:color w:val="000000"/>
                <w:szCs w:val="21"/>
              </w:rPr>
            </w:pPr>
            <w:r>
              <w:rPr>
                <w:color w:val="000000"/>
                <w:szCs w:val="21"/>
              </w:rPr>
              <w:t>-</w:t>
            </w:r>
          </w:p>
        </w:tc>
      </w:tr>
      <w:tr w:rsidR="003663E4">
        <w:tc>
          <w:tcPr>
            <w:tcW w:w="817" w:type="dxa"/>
            <w:vAlign w:val="center"/>
          </w:tcPr>
          <w:p w:rsidR="003663E4" w:rsidRDefault="00FD3F7D">
            <w:pPr>
              <w:spacing w:before="29" w:line="276" w:lineRule="auto"/>
              <w:ind w:left="17"/>
              <w:jc w:val="center"/>
              <w:rPr>
                <w:color w:val="000000"/>
                <w:szCs w:val="21"/>
              </w:rPr>
            </w:pPr>
            <w:r>
              <w:rPr>
                <w:color w:val="000000"/>
                <w:szCs w:val="21"/>
              </w:rPr>
              <w:t>5</w:t>
            </w:r>
          </w:p>
        </w:tc>
        <w:tc>
          <w:tcPr>
            <w:tcW w:w="2869" w:type="dxa"/>
            <w:vAlign w:val="center"/>
          </w:tcPr>
          <w:p w:rsidR="003663E4" w:rsidRDefault="00FD3F7D">
            <w:pPr>
              <w:spacing w:before="29" w:line="276" w:lineRule="auto"/>
              <w:ind w:left="17"/>
              <w:jc w:val="left"/>
              <w:rPr>
                <w:color w:val="000000"/>
                <w:szCs w:val="21"/>
              </w:rPr>
            </w:pPr>
            <w:r>
              <w:rPr>
                <w:color w:val="000000"/>
                <w:szCs w:val="21"/>
              </w:rPr>
              <w:t>企业短期融资券</w:t>
            </w:r>
          </w:p>
        </w:tc>
        <w:tc>
          <w:tcPr>
            <w:tcW w:w="2977" w:type="dxa"/>
            <w:vAlign w:val="center"/>
          </w:tcPr>
          <w:p w:rsidR="003663E4" w:rsidRDefault="00FD3F7D">
            <w:pPr>
              <w:spacing w:before="29" w:line="276" w:lineRule="auto"/>
              <w:ind w:left="17"/>
              <w:jc w:val="right"/>
              <w:rPr>
                <w:color w:val="000000"/>
                <w:szCs w:val="21"/>
              </w:rPr>
            </w:pPr>
            <w:r>
              <w:rPr>
                <w:color w:val="000000"/>
                <w:szCs w:val="21"/>
              </w:rPr>
              <w:t>-</w:t>
            </w:r>
          </w:p>
        </w:tc>
        <w:tc>
          <w:tcPr>
            <w:tcW w:w="2651" w:type="dxa"/>
            <w:vAlign w:val="center"/>
          </w:tcPr>
          <w:p w:rsidR="003663E4" w:rsidRDefault="00FD3F7D">
            <w:pPr>
              <w:spacing w:before="29" w:line="276" w:lineRule="auto"/>
              <w:ind w:left="17"/>
              <w:jc w:val="right"/>
              <w:rPr>
                <w:color w:val="000000"/>
                <w:szCs w:val="21"/>
              </w:rPr>
            </w:pPr>
            <w:r>
              <w:rPr>
                <w:color w:val="000000"/>
                <w:szCs w:val="21"/>
              </w:rPr>
              <w:t>-</w:t>
            </w:r>
          </w:p>
        </w:tc>
      </w:tr>
      <w:tr w:rsidR="003663E4">
        <w:tc>
          <w:tcPr>
            <w:tcW w:w="817" w:type="dxa"/>
            <w:vAlign w:val="center"/>
          </w:tcPr>
          <w:p w:rsidR="003663E4" w:rsidRDefault="00FD3F7D">
            <w:pPr>
              <w:spacing w:before="29" w:line="276" w:lineRule="auto"/>
              <w:ind w:left="17"/>
              <w:jc w:val="center"/>
              <w:rPr>
                <w:color w:val="000000"/>
                <w:szCs w:val="21"/>
              </w:rPr>
            </w:pPr>
            <w:r>
              <w:rPr>
                <w:color w:val="000000"/>
                <w:szCs w:val="21"/>
              </w:rPr>
              <w:t>6</w:t>
            </w:r>
          </w:p>
        </w:tc>
        <w:tc>
          <w:tcPr>
            <w:tcW w:w="2869" w:type="dxa"/>
            <w:vAlign w:val="center"/>
          </w:tcPr>
          <w:p w:rsidR="003663E4" w:rsidRDefault="00FD3F7D">
            <w:pPr>
              <w:spacing w:before="29" w:line="276" w:lineRule="auto"/>
              <w:ind w:left="17"/>
              <w:jc w:val="left"/>
              <w:rPr>
                <w:color w:val="000000"/>
                <w:szCs w:val="21"/>
              </w:rPr>
            </w:pPr>
            <w:r>
              <w:rPr>
                <w:color w:val="000000"/>
                <w:szCs w:val="21"/>
              </w:rPr>
              <w:t>中期票据</w:t>
            </w:r>
          </w:p>
        </w:tc>
        <w:tc>
          <w:tcPr>
            <w:tcW w:w="2977" w:type="dxa"/>
            <w:vAlign w:val="center"/>
          </w:tcPr>
          <w:p w:rsidR="003663E4" w:rsidRDefault="00FD3F7D">
            <w:pPr>
              <w:spacing w:before="29" w:line="276" w:lineRule="auto"/>
              <w:ind w:left="17"/>
              <w:jc w:val="right"/>
              <w:rPr>
                <w:color w:val="000000"/>
                <w:szCs w:val="21"/>
              </w:rPr>
            </w:pPr>
            <w:r>
              <w:rPr>
                <w:color w:val="000000"/>
                <w:szCs w:val="21"/>
              </w:rPr>
              <w:t>-</w:t>
            </w:r>
          </w:p>
        </w:tc>
        <w:tc>
          <w:tcPr>
            <w:tcW w:w="2651" w:type="dxa"/>
            <w:vAlign w:val="center"/>
          </w:tcPr>
          <w:p w:rsidR="003663E4" w:rsidRDefault="00FD3F7D">
            <w:pPr>
              <w:spacing w:before="29" w:line="276" w:lineRule="auto"/>
              <w:ind w:left="17"/>
              <w:jc w:val="right"/>
              <w:rPr>
                <w:color w:val="000000"/>
                <w:szCs w:val="21"/>
              </w:rPr>
            </w:pPr>
            <w:r>
              <w:rPr>
                <w:color w:val="000000"/>
                <w:szCs w:val="21"/>
              </w:rPr>
              <w:t>-</w:t>
            </w:r>
          </w:p>
        </w:tc>
      </w:tr>
      <w:tr w:rsidR="003663E4">
        <w:tc>
          <w:tcPr>
            <w:tcW w:w="817" w:type="dxa"/>
            <w:vAlign w:val="center"/>
          </w:tcPr>
          <w:p w:rsidR="003663E4" w:rsidRDefault="00FD3F7D">
            <w:pPr>
              <w:spacing w:before="29" w:line="276" w:lineRule="auto"/>
              <w:ind w:left="17"/>
              <w:jc w:val="center"/>
              <w:rPr>
                <w:color w:val="000000"/>
                <w:szCs w:val="21"/>
              </w:rPr>
            </w:pPr>
            <w:r>
              <w:rPr>
                <w:color w:val="000000"/>
                <w:szCs w:val="21"/>
              </w:rPr>
              <w:t>7</w:t>
            </w:r>
          </w:p>
        </w:tc>
        <w:tc>
          <w:tcPr>
            <w:tcW w:w="2869" w:type="dxa"/>
            <w:vAlign w:val="center"/>
          </w:tcPr>
          <w:p w:rsidR="003663E4" w:rsidRDefault="00FD3F7D">
            <w:pPr>
              <w:spacing w:before="29" w:line="276" w:lineRule="auto"/>
              <w:ind w:left="17"/>
              <w:jc w:val="left"/>
              <w:rPr>
                <w:color w:val="000000"/>
                <w:szCs w:val="21"/>
              </w:rPr>
            </w:pPr>
            <w:r>
              <w:rPr>
                <w:color w:val="000000"/>
                <w:szCs w:val="21"/>
              </w:rPr>
              <w:t>可转债（可交换债）</w:t>
            </w:r>
          </w:p>
        </w:tc>
        <w:tc>
          <w:tcPr>
            <w:tcW w:w="2977" w:type="dxa"/>
            <w:vAlign w:val="center"/>
          </w:tcPr>
          <w:p w:rsidR="003663E4" w:rsidRDefault="00FD3F7D">
            <w:pPr>
              <w:spacing w:before="29" w:line="276" w:lineRule="auto"/>
              <w:ind w:left="17"/>
              <w:jc w:val="right"/>
              <w:rPr>
                <w:color w:val="000000"/>
                <w:szCs w:val="21"/>
              </w:rPr>
            </w:pPr>
            <w:r>
              <w:rPr>
                <w:color w:val="000000"/>
                <w:szCs w:val="21"/>
              </w:rPr>
              <w:t>-</w:t>
            </w:r>
          </w:p>
        </w:tc>
        <w:tc>
          <w:tcPr>
            <w:tcW w:w="2651" w:type="dxa"/>
            <w:vAlign w:val="center"/>
          </w:tcPr>
          <w:p w:rsidR="003663E4" w:rsidRDefault="00FD3F7D">
            <w:pPr>
              <w:spacing w:before="29" w:line="276" w:lineRule="auto"/>
              <w:ind w:left="17"/>
              <w:jc w:val="right"/>
              <w:rPr>
                <w:color w:val="000000"/>
                <w:szCs w:val="21"/>
              </w:rPr>
            </w:pPr>
            <w:r>
              <w:rPr>
                <w:color w:val="000000"/>
                <w:szCs w:val="21"/>
              </w:rPr>
              <w:t>-</w:t>
            </w:r>
          </w:p>
        </w:tc>
      </w:tr>
      <w:tr w:rsidR="003663E4">
        <w:tc>
          <w:tcPr>
            <w:tcW w:w="817" w:type="dxa"/>
            <w:vAlign w:val="center"/>
          </w:tcPr>
          <w:p w:rsidR="003663E4" w:rsidRDefault="00FD3F7D">
            <w:pPr>
              <w:spacing w:before="29" w:line="360" w:lineRule="auto"/>
              <w:ind w:left="17"/>
              <w:jc w:val="center"/>
              <w:rPr>
                <w:color w:val="000000"/>
                <w:szCs w:val="21"/>
              </w:rPr>
            </w:pPr>
            <w:r>
              <w:rPr>
                <w:rFonts w:hint="eastAsia"/>
                <w:color w:val="000000"/>
                <w:szCs w:val="21"/>
              </w:rPr>
              <w:t>8</w:t>
            </w:r>
          </w:p>
        </w:tc>
        <w:tc>
          <w:tcPr>
            <w:tcW w:w="2869" w:type="dxa"/>
            <w:vAlign w:val="center"/>
          </w:tcPr>
          <w:p w:rsidR="003663E4" w:rsidRDefault="00FD3F7D">
            <w:pPr>
              <w:spacing w:before="29" w:line="360" w:lineRule="auto"/>
              <w:ind w:left="17"/>
              <w:jc w:val="left"/>
              <w:rPr>
                <w:color w:val="000000"/>
                <w:szCs w:val="21"/>
              </w:rPr>
            </w:pPr>
            <w:r>
              <w:rPr>
                <w:rFonts w:hint="eastAsia"/>
                <w:color w:val="000000"/>
                <w:szCs w:val="21"/>
              </w:rPr>
              <w:t>同业存单</w:t>
            </w:r>
          </w:p>
        </w:tc>
        <w:tc>
          <w:tcPr>
            <w:tcW w:w="2977" w:type="dxa"/>
            <w:vAlign w:val="center"/>
          </w:tcPr>
          <w:p w:rsidR="003663E4" w:rsidRDefault="00FD3F7D">
            <w:pPr>
              <w:spacing w:before="29" w:line="360" w:lineRule="auto"/>
              <w:ind w:left="17"/>
              <w:jc w:val="right"/>
              <w:rPr>
                <w:color w:val="000000"/>
                <w:szCs w:val="21"/>
              </w:rPr>
            </w:pPr>
            <w:r>
              <w:rPr>
                <w:rFonts w:hint="eastAsia"/>
                <w:color w:val="000000"/>
                <w:szCs w:val="21"/>
              </w:rPr>
              <w:t>-</w:t>
            </w:r>
          </w:p>
        </w:tc>
        <w:tc>
          <w:tcPr>
            <w:tcW w:w="2651" w:type="dxa"/>
            <w:vAlign w:val="center"/>
          </w:tcPr>
          <w:p w:rsidR="003663E4" w:rsidRDefault="00FD3F7D">
            <w:pPr>
              <w:spacing w:before="29" w:line="360" w:lineRule="auto"/>
              <w:ind w:left="17"/>
              <w:jc w:val="right"/>
              <w:rPr>
                <w:color w:val="000000"/>
                <w:szCs w:val="21"/>
              </w:rPr>
            </w:pPr>
            <w:r>
              <w:rPr>
                <w:rFonts w:hint="eastAsia"/>
                <w:color w:val="000000"/>
                <w:szCs w:val="21"/>
              </w:rPr>
              <w:t>-</w:t>
            </w:r>
          </w:p>
        </w:tc>
      </w:tr>
      <w:tr w:rsidR="003663E4">
        <w:tc>
          <w:tcPr>
            <w:tcW w:w="817" w:type="dxa"/>
            <w:vAlign w:val="center"/>
          </w:tcPr>
          <w:p w:rsidR="003663E4" w:rsidRDefault="00FD3F7D">
            <w:pPr>
              <w:spacing w:before="29" w:line="276" w:lineRule="auto"/>
              <w:ind w:left="17"/>
              <w:jc w:val="center"/>
              <w:rPr>
                <w:color w:val="000000"/>
                <w:szCs w:val="21"/>
              </w:rPr>
            </w:pPr>
            <w:r>
              <w:rPr>
                <w:color w:val="000000"/>
                <w:szCs w:val="21"/>
              </w:rPr>
              <w:t>9</w:t>
            </w:r>
          </w:p>
        </w:tc>
        <w:tc>
          <w:tcPr>
            <w:tcW w:w="2869" w:type="dxa"/>
            <w:vAlign w:val="center"/>
          </w:tcPr>
          <w:p w:rsidR="003663E4" w:rsidRDefault="00FD3F7D">
            <w:pPr>
              <w:spacing w:before="29" w:line="276" w:lineRule="auto"/>
              <w:ind w:left="17"/>
              <w:jc w:val="left"/>
              <w:rPr>
                <w:color w:val="000000"/>
                <w:szCs w:val="21"/>
              </w:rPr>
            </w:pPr>
            <w:r>
              <w:rPr>
                <w:color w:val="000000"/>
                <w:szCs w:val="21"/>
              </w:rPr>
              <w:t>其他</w:t>
            </w:r>
          </w:p>
        </w:tc>
        <w:tc>
          <w:tcPr>
            <w:tcW w:w="2977" w:type="dxa"/>
            <w:vAlign w:val="center"/>
          </w:tcPr>
          <w:p w:rsidR="003663E4" w:rsidRDefault="00FD3F7D">
            <w:pPr>
              <w:spacing w:before="29" w:line="276" w:lineRule="auto"/>
              <w:ind w:left="17"/>
              <w:jc w:val="right"/>
              <w:rPr>
                <w:color w:val="000000"/>
                <w:szCs w:val="21"/>
              </w:rPr>
            </w:pPr>
            <w:r>
              <w:rPr>
                <w:color w:val="000000"/>
                <w:szCs w:val="21"/>
              </w:rPr>
              <w:t>-</w:t>
            </w:r>
          </w:p>
        </w:tc>
        <w:tc>
          <w:tcPr>
            <w:tcW w:w="2651" w:type="dxa"/>
            <w:vAlign w:val="center"/>
          </w:tcPr>
          <w:p w:rsidR="003663E4" w:rsidRDefault="00FD3F7D">
            <w:pPr>
              <w:spacing w:before="29" w:line="276" w:lineRule="auto"/>
              <w:ind w:left="17"/>
              <w:jc w:val="right"/>
              <w:rPr>
                <w:color w:val="000000"/>
                <w:szCs w:val="21"/>
              </w:rPr>
            </w:pPr>
            <w:r>
              <w:rPr>
                <w:color w:val="000000"/>
                <w:szCs w:val="21"/>
              </w:rPr>
              <w:t>-</w:t>
            </w:r>
          </w:p>
        </w:tc>
      </w:tr>
      <w:tr w:rsidR="003663E4">
        <w:tc>
          <w:tcPr>
            <w:tcW w:w="817" w:type="dxa"/>
            <w:vAlign w:val="center"/>
          </w:tcPr>
          <w:p w:rsidR="003663E4" w:rsidRDefault="00FD3F7D">
            <w:pPr>
              <w:spacing w:before="29" w:line="276" w:lineRule="auto"/>
              <w:ind w:left="17"/>
              <w:jc w:val="center"/>
              <w:rPr>
                <w:color w:val="000000"/>
                <w:szCs w:val="21"/>
              </w:rPr>
            </w:pPr>
            <w:r>
              <w:rPr>
                <w:color w:val="000000"/>
                <w:szCs w:val="21"/>
              </w:rPr>
              <w:t>10</w:t>
            </w:r>
          </w:p>
        </w:tc>
        <w:tc>
          <w:tcPr>
            <w:tcW w:w="2869" w:type="dxa"/>
            <w:vAlign w:val="center"/>
          </w:tcPr>
          <w:p w:rsidR="003663E4" w:rsidRDefault="00FD3F7D">
            <w:pPr>
              <w:spacing w:before="29" w:line="276" w:lineRule="auto"/>
              <w:ind w:left="17"/>
              <w:jc w:val="left"/>
              <w:rPr>
                <w:color w:val="000000"/>
                <w:szCs w:val="21"/>
              </w:rPr>
            </w:pPr>
            <w:r>
              <w:rPr>
                <w:color w:val="000000"/>
                <w:szCs w:val="21"/>
              </w:rPr>
              <w:t>合计</w:t>
            </w:r>
          </w:p>
        </w:tc>
        <w:tc>
          <w:tcPr>
            <w:tcW w:w="2977" w:type="dxa"/>
            <w:vAlign w:val="center"/>
          </w:tcPr>
          <w:p w:rsidR="003663E4" w:rsidRDefault="00FD3F7D">
            <w:pPr>
              <w:spacing w:before="29" w:line="276" w:lineRule="auto"/>
              <w:ind w:left="17"/>
              <w:jc w:val="right"/>
              <w:rPr>
                <w:color w:val="000000"/>
                <w:szCs w:val="21"/>
              </w:rPr>
            </w:pPr>
            <w:r>
              <w:rPr>
                <w:color w:val="000000"/>
                <w:szCs w:val="21"/>
              </w:rPr>
              <w:t>743,009,000.00</w:t>
            </w:r>
          </w:p>
        </w:tc>
        <w:tc>
          <w:tcPr>
            <w:tcW w:w="2651" w:type="dxa"/>
            <w:vAlign w:val="center"/>
          </w:tcPr>
          <w:p w:rsidR="003663E4" w:rsidRDefault="00FD3F7D">
            <w:pPr>
              <w:spacing w:before="29" w:line="276" w:lineRule="auto"/>
              <w:ind w:left="17"/>
              <w:jc w:val="right"/>
              <w:rPr>
                <w:color w:val="000000"/>
                <w:szCs w:val="21"/>
              </w:rPr>
            </w:pPr>
            <w:r>
              <w:rPr>
                <w:color w:val="000000"/>
                <w:szCs w:val="21"/>
              </w:rPr>
              <w:t>95.45</w:t>
            </w:r>
          </w:p>
        </w:tc>
      </w:tr>
    </w:tbl>
    <w:p w:rsidR="003663E4" w:rsidRDefault="00FD3F7D">
      <w:pPr>
        <w:pStyle w:val="3"/>
        <w:spacing w:beforeLines="50" w:before="156" w:after="0" w:line="360" w:lineRule="auto"/>
        <w:rPr>
          <w:color w:val="000000"/>
          <w:kern w:val="0"/>
          <w:sz w:val="21"/>
          <w:szCs w:val="21"/>
        </w:rPr>
      </w:pPr>
      <w:bookmarkStart w:id="213" w:name="_Toc508540299"/>
      <w:bookmarkStart w:id="214" w:name="_Toc23339395"/>
      <w:bookmarkStart w:id="215" w:name="_Toc19389"/>
      <w:r>
        <w:rPr>
          <w:color w:val="000000"/>
          <w:kern w:val="0"/>
          <w:sz w:val="21"/>
          <w:szCs w:val="21"/>
        </w:rPr>
        <w:t xml:space="preserve">8.1.6 </w:t>
      </w:r>
      <w:r>
        <w:rPr>
          <w:color w:val="000000"/>
          <w:kern w:val="0"/>
          <w:sz w:val="21"/>
          <w:szCs w:val="21"/>
        </w:rPr>
        <w:t>期末按公允价值占基金资产净值比例大小排序的前五名债券投资明细</w:t>
      </w:r>
      <w:bookmarkEnd w:id="213"/>
      <w:bookmarkEnd w:id="214"/>
      <w:bookmarkEnd w:id="215"/>
    </w:p>
    <w:p w:rsidR="003663E4" w:rsidRDefault="00FD3F7D">
      <w:pPr>
        <w:autoSpaceDE w:val="0"/>
        <w:autoSpaceDN w:val="0"/>
        <w:adjustRightInd w:val="0"/>
        <w:spacing w:before="29" w:line="360" w:lineRule="auto"/>
        <w:ind w:left="15"/>
        <w:jc w:val="right"/>
        <w:rPr>
          <w:color w:val="000000"/>
          <w:kern w:val="0"/>
          <w:szCs w:val="21"/>
        </w:rPr>
      </w:pPr>
      <w:r>
        <w:rPr>
          <w:color w:val="000000"/>
          <w:szCs w:val="21"/>
        </w:rPr>
        <w:t>金额单位：人民币元</w:t>
      </w:r>
    </w:p>
    <w:tbl>
      <w:tblPr>
        <w:tblW w:w="93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2"/>
        <w:gridCol w:w="1670"/>
        <w:gridCol w:w="1282"/>
        <w:gridCol w:w="1849"/>
        <w:gridCol w:w="2126"/>
        <w:gridCol w:w="1578"/>
      </w:tblGrid>
      <w:tr w:rsidR="003663E4">
        <w:tc>
          <w:tcPr>
            <w:tcW w:w="892" w:type="dxa"/>
            <w:vAlign w:val="center"/>
          </w:tcPr>
          <w:p w:rsidR="003663E4" w:rsidRDefault="00FD3F7D">
            <w:pPr>
              <w:spacing w:before="29" w:line="276" w:lineRule="auto"/>
              <w:ind w:left="17"/>
              <w:jc w:val="center"/>
              <w:rPr>
                <w:color w:val="000000"/>
                <w:szCs w:val="21"/>
              </w:rPr>
            </w:pPr>
            <w:r>
              <w:rPr>
                <w:color w:val="000000"/>
                <w:szCs w:val="21"/>
              </w:rPr>
              <w:t>序号</w:t>
            </w:r>
          </w:p>
        </w:tc>
        <w:tc>
          <w:tcPr>
            <w:tcW w:w="1670" w:type="dxa"/>
            <w:vAlign w:val="center"/>
          </w:tcPr>
          <w:p w:rsidR="003663E4" w:rsidRDefault="00FD3F7D">
            <w:pPr>
              <w:spacing w:before="29" w:line="276" w:lineRule="auto"/>
              <w:ind w:left="17"/>
              <w:jc w:val="center"/>
              <w:rPr>
                <w:color w:val="000000"/>
                <w:szCs w:val="21"/>
              </w:rPr>
            </w:pPr>
            <w:r>
              <w:rPr>
                <w:color w:val="000000"/>
                <w:szCs w:val="21"/>
              </w:rPr>
              <w:t>债券代码</w:t>
            </w:r>
          </w:p>
        </w:tc>
        <w:tc>
          <w:tcPr>
            <w:tcW w:w="1282" w:type="dxa"/>
            <w:vAlign w:val="center"/>
          </w:tcPr>
          <w:p w:rsidR="003663E4" w:rsidRDefault="00FD3F7D">
            <w:pPr>
              <w:spacing w:before="29" w:line="276" w:lineRule="auto"/>
              <w:ind w:left="17"/>
              <w:jc w:val="center"/>
              <w:rPr>
                <w:color w:val="000000"/>
                <w:szCs w:val="21"/>
              </w:rPr>
            </w:pPr>
            <w:r>
              <w:rPr>
                <w:color w:val="000000"/>
                <w:szCs w:val="21"/>
              </w:rPr>
              <w:t>债券名称</w:t>
            </w:r>
          </w:p>
        </w:tc>
        <w:tc>
          <w:tcPr>
            <w:tcW w:w="1849" w:type="dxa"/>
            <w:vAlign w:val="center"/>
          </w:tcPr>
          <w:p w:rsidR="003663E4" w:rsidRDefault="00FD3F7D">
            <w:pPr>
              <w:spacing w:before="29" w:line="276" w:lineRule="auto"/>
              <w:ind w:left="17"/>
              <w:jc w:val="center"/>
              <w:rPr>
                <w:color w:val="000000"/>
                <w:szCs w:val="21"/>
              </w:rPr>
            </w:pPr>
            <w:r>
              <w:rPr>
                <w:color w:val="000000"/>
                <w:szCs w:val="21"/>
              </w:rPr>
              <w:t>数量</w:t>
            </w:r>
            <w:r>
              <w:rPr>
                <w:rFonts w:hint="eastAsia"/>
                <w:color w:val="000000"/>
                <w:szCs w:val="21"/>
              </w:rPr>
              <w:t>（</w:t>
            </w:r>
            <w:r>
              <w:rPr>
                <w:color w:val="000000"/>
                <w:szCs w:val="21"/>
              </w:rPr>
              <w:t>张</w:t>
            </w:r>
            <w:r>
              <w:rPr>
                <w:rFonts w:hint="eastAsia"/>
                <w:color w:val="000000"/>
                <w:szCs w:val="21"/>
              </w:rPr>
              <w:t>）</w:t>
            </w:r>
          </w:p>
        </w:tc>
        <w:tc>
          <w:tcPr>
            <w:tcW w:w="2126" w:type="dxa"/>
            <w:vAlign w:val="center"/>
          </w:tcPr>
          <w:p w:rsidR="003663E4" w:rsidRDefault="00FD3F7D">
            <w:pPr>
              <w:spacing w:before="29" w:line="276" w:lineRule="auto"/>
              <w:ind w:left="17"/>
              <w:jc w:val="center"/>
              <w:rPr>
                <w:color w:val="000000"/>
                <w:szCs w:val="21"/>
              </w:rPr>
            </w:pPr>
            <w:r>
              <w:rPr>
                <w:color w:val="000000"/>
                <w:szCs w:val="21"/>
              </w:rPr>
              <w:t>公允价值</w:t>
            </w:r>
          </w:p>
        </w:tc>
        <w:tc>
          <w:tcPr>
            <w:tcW w:w="1578" w:type="dxa"/>
            <w:vAlign w:val="center"/>
          </w:tcPr>
          <w:p w:rsidR="003663E4" w:rsidRDefault="00FD3F7D">
            <w:pPr>
              <w:spacing w:before="29" w:line="276" w:lineRule="auto"/>
              <w:ind w:left="17"/>
              <w:jc w:val="center"/>
              <w:rPr>
                <w:color w:val="000000"/>
                <w:szCs w:val="21"/>
              </w:rPr>
            </w:pPr>
            <w:r>
              <w:rPr>
                <w:color w:val="000000"/>
                <w:szCs w:val="21"/>
              </w:rPr>
              <w:t>占基金资产净值比例</w:t>
            </w:r>
            <w:r>
              <w:rPr>
                <w:rFonts w:hint="eastAsia"/>
                <w:color w:val="000000"/>
                <w:szCs w:val="21"/>
              </w:rPr>
              <w:t>（</w:t>
            </w:r>
            <w:r>
              <w:rPr>
                <w:color w:val="000000"/>
                <w:szCs w:val="21"/>
              </w:rPr>
              <w:t>％</w:t>
            </w:r>
            <w:r>
              <w:rPr>
                <w:rFonts w:hint="eastAsia"/>
                <w:color w:val="000000"/>
                <w:szCs w:val="21"/>
              </w:rPr>
              <w:t>）</w:t>
            </w:r>
          </w:p>
        </w:tc>
      </w:tr>
      <w:tr w:rsidR="003663E4">
        <w:tc>
          <w:tcPr>
            <w:tcW w:w="892" w:type="dxa"/>
            <w:vAlign w:val="center"/>
          </w:tcPr>
          <w:p w:rsidR="003663E4" w:rsidRDefault="00FD3F7D">
            <w:pPr>
              <w:jc w:val="center"/>
            </w:pPr>
            <w:r>
              <w:rPr>
                <w:color w:val="000000"/>
                <w:szCs w:val="21"/>
              </w:rPr>
              <w:t>1</w:t>
            </w:r>
          </w:p>
        </w:tc>
        <w:tc>
          <w:tcPr>
            <w:tcW w:w="1670" w:type="dxa"/>
            <w:vAlign w:val="center"/>
          </w:tcPr>
          <w:p w:rsidR="003663E4" w:rsidRDefault="00FD3F7D">
            <w:pPr>
              <w:jc w:val="center"/>
            </w:pPr>
            <w:r>
              <w:rPr>
                <w:color w:val="000000"/>
                <w:szCs w:val="21"/>
              </w:rPr>
              <w:t>200207</w:t>
            </w:r>
          </w:p>
        </w:tc>
        <w:tc>
          <w:tcPr>
            <w:tcW w:w="1282" w:type="dxa"/>
            <w:vAlign w:val="center"/>
          </w:tcPr>
          <w:p w:rsidR="003663E4" w:rsidRDefault="00FD3F7D">
            <w:pPr>
              <w:jc w:val="center"/>
            </w:pPr>
            <w:r>
              <w:rPr>
                <w:color w:val="000000"/>
                <w:szCs w:val="21"/>
              </w:rPr>
              <w:t>20</w:t>
            </w:r>
            <w:r>
              <w:rPr>
                <w:color w:val="000000"/>
                <w:szCs w:val="21"/>
              </w:rPr>
              <w:t>国开</w:t>
            </w:r>
            <w:r>
              <w:rPr>
                <w:color w:val="000000"/>
                <w:szCs w:val="21"/>
              </w:rPr>
              <w:t>07</w:t>
            </w:r>
          </w:p>
        </w:tc>
        <w:tc>
          <w:tcPr>
            <w:tcW w:w="1849" w:type="dxa"/>
            <w:vAlign w:val="center"/>
          </w:tcPr>
          <w:p w:rsidR="003663E4" w:rsidRDefault="00FD3F7D">
            <w:pPr>
              <w:jc w:val="right"/>
            </w:pPr>
            <w:r>
              <w:rPr>
                <w:color w:val="000000"/>
                <w:szCs w:val="21"/>
              </w:rPr>
              <w:t>800,000</w:t>
            </w:r>
          </w:p>
        </w:tc>
        <w:tc>
          <w:tcPr>
            <w:tcW w:w="2126" w:type="dxa"/>
            <w:vAlign w:val="center"/>
          </w:tcPr>
          <w:p w:rsidR="003663E4" w:rsidRDefault="00FD3F7D">
            <w:pPr>
              <w:jc w:val="right"/>
            </w:pPr>
            <w:r>
              <w:rPr>
                <w:color w:val="000000"/>
                <w:szCs w:val="21"/>
              </w:rPr>
              <w:t>80,088,000.00</w:t>
            </w:r>
          </w:p>
        </w:tc>
        <w:tc>
          <w:tcPr>
            <w:tcW w:w="1578" w:type="dxa"/>
            <w:vAlign w:val="center"/>
          </w:tcPr>
          <w:p w:rsidR="003663E4" w:rsidRDefault="00FD3F7D">
            <w:pPr>
              <w:jc w:val="right"/>
            </w:pPr>
            <w:r>
              <w:rPr>
                <w:color w:val="000000"/>
                <w:szCs w:val="21"/>
              </w:rPr>
              <w:t>10.29</w:t>
            </w:r>
          </w:p>
        </w:tc>
      </w:tr>
      <w:tr w:rsidR="003663E4">
        <w:tc>
          <w:tcPr>
            <w:tcW w:w="892" w:type="dxa"/>
            <w:vAlign w:val="center"/>
          </w:tcPr>
          <w:p w:rsidR="003663E4" w:rsidRDefault="00FD3F7D">
            <w:pPr>
              <w:jc w:val="center"/>
            </w:pPr>
            <w:r>
              <w:rPr>
                <w:color w:val="000000"/>
                <w:szCs w:val="21"/>
              </w:rPr>
              <w:t>2</w:t>
            </w:r>
          </w:p>
        </w:tc>
        <w:tc>
          <w:tcPr>
            <w:tcW w:w="1670" w:type="dxa"/>
            <w:vAlign w:val="center"/>
          </w:tcPr>
          <w:p w:rsidR="003663E4" w:rsidRDefault="00FD3F7D">
            <w:pPr>
              <w:jc w:val="center"/>
            </w:pPr>
            <w:r>
              <w:rPr>
                <w:color w:val="000000"/>
                <w:szCs w:val="21"/>
              </w:rPr>
              <w:t>180203</w:t>
            </w:r>
          </w:p>
        </w:tc>
        <w:tc>
          <w:tcPr>
            <w:tcW w:w="1282" w:type="dxa"/>
            <w:vAlign w:val="center"/>
          </w:tcPr>
          <w:p w:rsidR="003663E4" w:rsidRDefault="00FD3F7D">
            <w:pPr>
              <w:jc w:val="center"/>
            </w:pPr>
            <w:r>
              <w:rPr>
                <w:color w:val="000000"/>
                <w:szCs w:val="21"/>
              </w:rPr>
              <w:t>18</w:t>
            </w:r>
            <w:r>
              <w:rPr>
                <w:color w:val="000000"/>
                <w:szCs w:val="21"/>
              </w:rPr>
              <w:t>国开</w:t>
            </w:r>
            <w:r>
              <w:rPr>
                <w:color w:val="000000"/>
                <w:szCs w:val="21"/>
              </w:rPr>
              <w:t>03</w:t>
            </w:r>
          </w:p>
        </w:tc>
        <w:tc>
          <w:tcPr>
            <w:tcW w:w="1849" w:type="dxa"/>
            <w:vAlign w:val="center"/>
          </w:tcPr>
          <w:p w:rsidR="003663E4" w:rsidRDefault="00FD3F7D">
            <w:pPr>
              <w:jc w:val="right"/>
            </w:pPr>
            <w:r>
              <w:rPr>
                <w:color w:val="000000"/>
                <w:szCs w:val="21"/>
              </w:rPr>
              <w:t>600,000</w:t>
            </w:r>
          </w:p>
        </w:tc>
        <w:tc>
          <w:tcPr>
            <w:tcW w:w="2126" w:type="dxa"/>
            <w:vAlign w:val="center"/>
          </w:tcPr>
          <w:p w:rsidR="003663E4" w:rsidRDefault="00FD3F7D">
            <w:pPr>
              <w:jc w:val="right"/>
            </w:pPr>
            <w:r>
              <w:rPr>
                <w:color w:val="000000"/>
                <w:szCs w:val="21"/>
              </w:rPr>
              <w:t>60,252,000.00</w:t>
            </w:r>
          </w:p>
        </w:tc>
        <w:tc>
          <w:tcPr>
            <w:tcW w:w="1578" w:type="dxa"/>
            <w:vAlign w:val="center"/>
          </w:tcPr>
          <w:p w:rsidR="003663E4" w:rsidRDefault="00FD3F7D">
            <w:pPr>
              <w:jc w:val="right"/>
            </w:pPr>
            <w:r>
              <w:rPr>
                <w:color w:val="000000"/>
                <w:szCs w:val="21"/>
              </w:rPr>
              <w:t>7.74</w:t>
            </w:r>
          </w:p>
        </w:tc>
      </w:tr>
      <w:tr w:rsidR="003663E4">
        <w:tc>
          <w:tcPr>
            <w:tcW w:w="892" w:type="dxa"/>
            <w:vAlign w:val="center"/>
          </w:tcPr>
          <w:p w:rsidR="003663E4" w:rsidRDefault="00FD3F7D">
            <w:pPr>
              <w:jc w:val="center"/>
            </w:pPr>
            <w:r>
              <w:rPr>
                <w:color w:val="000000"/>
                <w:szCs w:val="21"/>
              </w:rPr>
              <w:t>3</w:t>
            </w:r>
          </w:p>
        </w:tc>
        <w:tc>
          <w:tcPr>
            <w:tcW w:w="1670" w:type="dxa"/>
            <w:vAlign w:val="center"/>
          </w:tcPr>
          <w:p w:rsidR="003663E4" w:rsidRDefault="00FD3F7D">
            <w:pPr>
              <w:jc w:val="center"/>
            </w:pPr>
            <w:r>
              <w:rPr>
                <w:color w:val="000000"/>
                <w:szCs w:val="21"/>
              </w:rPr>
              <w:t>1620039</w:t>
            </w:r>
          </w:p>
        </w:tc>
        <w:tc>
          <w:tcPr>
            <w:tcW w:w="1282" w:type="dxa"/>
            <w:vAlign w:val="center"/>
          </w:tcPr>
          <w:p w:rsidR="003663E4" w:rsidRDefault="00FD3F7D">
            <w:pPr>
              <w:jc w:val="center"/>
            </w:pPr>
            <w:r>
              <w:rPr>
                <w:color w:val="000000"/>
                <w:szCs w:val="21"/>
              </w:rPr>
              <w:t>16</w:t>
            </w:r>
            <w:r>
              <w:rPr>
                <w:color w:val="000000"/>
                <w:szCs w:val="21"/>
              </w:rPr>
              <w:t>徽商银行</w:t>
            </w:r>
            <w:r>
              <w:rPr>
                <w:color w:val="000000"/>
                <w:szCs w:val="21"/>
              </w:rPr>
              <w:t>02</w:t>
            </w:r>
          </w:p>
        </w:tc>
        <w:tc>
          <w:tcPr>
            <w:tcW w:w="1849" w:type="dxa"/>
            <w:vAlign w:val="center"/>
          </w:tcPr>
          <w:p w:rsidR="003663E4" w:rsidRDefault="00FD3F7D">
            <w:pPr>
              <w:jc w:val="right"/>
            </w:pPr>
            <w:r>
              <w:rPr>
                <w:color w:val="000000"/>
                <w:szCs w:val="21"/>
              </w:rPr>
              <w:t>600,000</w:t>
            </w:r>
          </w:p>
        </w:tc>
        <w:tc>
          <w:tcPr>
            <w:tcW w:w="2126" w:type="dxa"/>
            <w:vAlign w:val="center"/>
          </w:tcPr>
          <w:p w:rsidR="003663E4" w:rsidRDefault="00FD3F7D">
            <w:pPr>
              <w:jc w:val="right"/>
            </w:pPr>
            <w:r>
              <w:rPr>
                <w:color w:val="000000"/>
                <w:szCs w:val="21"/>
              </w:rPr>
              <w:t>60,192,000.00</w:t>
            </w:r>
          </w:p>
        </w:tc>
        <w:tc>
          <w:tcPr>
            <w:tcW w:w="1578" w:type="dxa"/>
            <w:vAlign w:val="center"/>
          </w:tcPr>
          <w:p w:rsidR="003663E4" w:rsidRDefault="00FD3F7D">
            <w:pPr>
              <w:jc w:val="right"/>
            </w:pPr>
            <w:r>
              <w:rPr>
                <w:color w:val="000000"/>
                <w:szCs w:val="21"/>
              </w:rPr>
              <w:t>7.73</w:t>
            </w:r>
          </w:p>
        </w:tc>
      </w:tr>
      <w:tr w:rsidR="003663E4">
        <w:tc>
          <w:tcPr>
            <w:tcW w:w="892" w:type="dxa"/>
            <w:vAlign w:val="center"/>
          </w:tcPr>
          <w:p w:rsidR="003663E4" w:rsidRDefault="00FD3F7D">
            <w:pPr>
              <w:jc w:val="center"/>
            </w:pPr>
            <w:r>
              <w:rPr>
                <w:color w:val="000000"/>
                <w:szCs w:val="21"/>
              </w:rPr>
              <w:t>4</w:t>
            </w:r>
          </w:p>
        </w:tc>
        <w:tc>
          <w:tcPr>
            <w:tcW w:w="1670" w:type="dxa"/>
            <w:vAlign w:val="center"/>
          </w:tcPr>
          <w:p w:rsidR="003663E4" w:rsidRDefault="00FD3F7D">
            <w:pPr>
              <w:jc w:val="center"/>
            </w:pPr>
            <w:r>
              <w:rPr>
                <w:color w:val="000000"/>
                <w:szCs w:val="21"/>
              </w:rPr>
              <w:t>1820037</w:t>
            </w:r>
          </w:p>
        </w:tc>
        <w:tc>
          <w:tcPr>
            <w:tcW w:w="1282" w:type="dxa"/>
            <w:vAlign w:val="center"/>
          </w:tcPr>
          <w:p w:rsidR="003663E4" w:rsidRDefault="00FD3F7D">
            <w:pPr>
              <w:jc w:val="center"/>
            </w:pPr>
            <w:r>
              <w:rPr>
                <w:color w:val="000000"/>
                <w:szCs w:val="21"/>
              </w:rPr>
              <w:t>18</w:t>
            </w:r>
            <w:r>
              <w:rPr>
                <w:color w:val="000000"/>
                <w:szCs w:val="21"/>
              </w:rPr>
              <w:t>宁波银行</w:t>
            </w:r>
            <w:r>
              <w:rPr>
                <w:color w:val="000000"/>
                <w:szCs w:val="21"/>
              </w:rPr>
              <w:t>03</w:t>
            </w:r>
          </w:p>
        </w:tc>
        <w:tc>
          <w:tcPr>
            <w:tcW w:w="1849" w:type="dxa"/>
            <w:vAlign w:val="center"/>
          </w:tcPr>
          <w:p w:rsidR="003663E4" w:rsidRDefault="00FD3F7D">
            <w:pPr>
              <w:jc w:val="right"/>
            </w:pPr>
            <w:r>
              <w:rPr>
                <w:color w:val="000000"/>
                <w:szCs w:val="21"/>
              </w:rPr>
              <w:t>500,000</w:t>
            </w:r>
          </w:p>
        </w:tc>
        <w:tc>
          <w:tcPr>
            <w:tcW w:w="2126" w:type="dxa"/>
            <w:vAlign w:val="center"/>
          </w:tcPr>
          <w:p w:rsidR="003663E4" w:rsidRDefault="00FD3F7D">
            <w:pPr>
              <w:jc w:val="right"/>
            </w:pPr>
            <w:r>
              <w:rPr>
                <w:color w:val="000000"/>
                <w:szCs w:val="21"/>
              </w:rPr>
              <w:t>50,570,000.00</w:t>
            </w:r>
          </w:p>
        </w:tc>
        <w:tc>
          <w:tcPr>
            <w:tcW w:w="1578" w:type="dxa"/>
            <w:vAlign w:val="center"/>
          </w:tcPr>
          <w:p w:rsidR="003663E4" w:rsidRDefault="00FD3F7D">
            <w:pPr>
              <w:jc w:val="right"/>
            </w:pPr>
            <w:r>
              <w:rPr>
                <w:color w:val="000000"/>
                <w:szCs w:val="21"/>
              </w:rPr>
              <w:t>6.50</w:t>
            </w:r>
          </w:p>
        </w:tc>
      </w:tr>
      <w:tr w:rsidR="003663E4">
        <w:tc>
          <w:tcPr>
            <w:tcW w:w="892" w:type="dxa"/>
            <w:vAlign w:val="center"/>
          </w:tcPr>
          <w:p w:rsidR="003663E4" w:rsidRDefault="00FD3F7D">
            <w:pPr>
              <w:jc w:val="center"/>
            </w:pPr>
            <w:r>
              <w:rPr>
                <w:color w:val="000000"/>
                <w:szCs w:val="21"/>
              </w:rPr>
              <w:t>5</w:t>
            </w:r>
          </w:p>
        </w:tc>
        <w:tc>
          <w:tcPr>
            <w:tcW w:w="1670" w:type="dxa"/>
            <w:vAlign w:val="center"/>
          </w:tcPr>
          <w:p w:rsidR="003663E4" w:rsidRDefault="00FD3F7D">
            <w:pPr>
              <w:jc w:val="center"/>
            </w:pPr>
            <w:r>
              <w:rPr>
                <w:color w:val="000000"/>
                <w:szCs w:val="21"/>
              </w:rPr>
              <w:t>1828017</w:t>
            </w:r>
          </w:p>
        </w:tc>
        <w:tc>
          <w:tcPr>
            <w:tcW w:w="1282" w:type="dxa"/>
            <w:vAlign w:val="center"/>
          </w:tcPr>
          <w:p w:rsidR="003663E4" w:rsidRDefault="00FD3F7D">
            <w:pPr>
              <w:jc w:val="center"/>
            </w:pPr>
            <w:r>
              <w:rPr>
                <w:color w:val="000000"/>
                <w:szCs w:val="21"/>
              </w:rPr>
              <w:t>18</w:t>
            </w:r>
            <w:r>
              <w:rPr>
                <w:color w:val="000000"/>
                <w:szCs w:val="21"/>
              </w:rPr>
              <w:t>兴业绿色金融</w:t>
            </w:r>
            <w:r>
              <w:rPr>
                <w:color w:val="000000"/>
                <w:szCs w:val="21"/>
              </w:rPr>
              <w:t>02</w:t>
            </w:r>
          </w:p>
        </w:tc>
        <w:tc>
          <w:tcPr>
            <w:tcW w:w="1849" w:type="dxa"/>
            <w:vAlign w:val="center"/>
          </w:tcPr>
          <w:p w:rsidR="003663E4" w:rsidRDefault="00FD3F7D">
            <w:pPr>
              <w:jc w:val="right"/>
            </w:pPr>
            <w:r>
              <w:rPr>
                <w:color w:val="000000"/>
                <w:szCs w:val="21"/>
              </w:rPr>
              <w:t>500,000</w:t>
            </w:r>
          </w:p>
        </w:tc>
        <w:tc>
          <w:tcPr>
            <w:tcW w:w="2126" w:type="dxa"/>
            <w:vAlign w:val="center"/>
          </w:tcPr>
          <w:p w:rsidR="003663E4" w:rsidRDefault="00FD3F7D">
            <w:pPr>
              <w:jc w:val="right"/>
            </w:pPr>
            <w:r>
              <w:rPr>
                <w:color w:val="000000"/>
                <w:szCs w:val="21"/>
              </w:rPr>
              <w:t>50,430,000.00</w:t>
            </w:r>
          </w:p>
        </w:tc>
        <w:tc>
          <w:tcPr>
            <w:tcW w:w="1578" w:type="dxa"/>
            <w:vAlign w:val="center"/>
          </w:tcPr>
          <w:p w:rsidR="003663E4" w:rsidRDefault="00FD3F7D">
            <w:pPr>
              <w:jc w:val="right"/>
            </w:pPr>
            <w:r>
              <w:rPr>
                <w:color w:val="000000"/>
                <w:szCs w:val="21"/>
              </w:rPr>
              <w:t>6.48</w:t>
            </w:r>
          </w:p>
        </w:tc>
      </w:tr>
    </w:tbl>
    <w:p w:rsidR="003663E4" w:rsidRDefault="00FD3F7D">
      <w:pPr>
        <w:pStyle w:val="3"/>
        <w:spacing w:beforeLines="50" w:before="156" w:after="0" w:line="360" w:lineRule="auto"/>
        <w:rPr>
          <w:color w:val="000000"/>
          <w:kern w:val="0"/>
          <w:sz w:val="21"/>
          <w:szCs w:val="21"/>
        </w:rPr>
      </w:pPr>
      <w:bookmarkStart w:id="216" w:name="_Toc508540300"/>
      <w:bookmarkStart w:id="217" w:name="_Toc23339396"/>
      <w:bookmarkStart w:id="218" w:name="_Toc29635"/>
      <w:r>
        <w:rPr>
          <w:color w:val="000000"/>
          <w:kern w:val="0"/>
          <w:sz w:val="21"/>
          <w:szCs w:val="21"/>
        </w:rPr>
        <w:t xml:space="preserve">8.1.7 </w:t>
      </w:r>
      <w:r>
        <w:rPr>
          <w:color w:val="000000"/>
          <w:kern w:val="0"/>
          <w:sz w:val="21"/>
          <w:szCs w:val="21"/>
        </w:rPr>
        <w:t>期末按公允价值占基金资产净值比例大小排序的所有资产支持证券投资明细</w:t>
      </w:r>
      <w:bookmarkEnd w:id="216"/>
      <w:bookmarkEnd w:id="217"/>
      <w:bookmarkEnd w:id="218"/>
    </w:p>
    <w:p w:rsidR="003663E4" w:rsidRDefault="00FD3F7D">
      <w:pPr>
        <w:pStyle w:val="af9"/>
        <w:spacing w:before="0" w:beforeAutospacing="0" w:after="0" w:afterAutospacing="0" w:line="360" w:lineRule="auto"/>
        <w:ind w:firstLineChars="200" w:firstLine="420"/>
        <w:rPr>
          <w:rFonts w:ascii="Times New Roman" w:hAnsi="Times New Roman"/>
          <w:color w:val="000000"/>
          <w:sz w:val="21"/>
          <w:szCs w:val="21"/>
        </w:rPr>
      </w:pPr>
      <w:r>
        <w:rPr>
          <w:rFonts w:ascii="Times New Roman" w:hAnsi="Times New Roman"/>
          <w:color w:val="000000"/>
          <w:sz w:val="21"/>
          <w:szCs w:val="21"/>
        </w:rPr>
        <w:t>本基金本报告期末未持有资产支持证券。</w:t>
      </w:r>
    </w:p>
    <w:p w:rsidR="003663E4" w:rsidRDefault="00FD3F7D">
      <w:pPr>
        <w:pStyle w:val="3"/>
        <w:spacing w:beforeLines="50" w:before="156" w:after="0" w:line="360" w:lineRule="auto"/>
        <w:rPr>
          <w:color w:val="000000"/>
          <w:kern w:val="0"/>
          <w:sz w:val="21"/>
          <w:szCs w:val="21"/>
        </w:rPr>
      </w:pPr>
      <w:bookmarkStart w:id="219" w:name="_Toc508540301"/>
      <w:bookmarkStart w:id="220" w:name="_Toc23339397"/>
      <w:bookmarkStart w:id="221" w:name="_Toc17857"/>
      <w:r>
        <w:rPr>
          <w:color w:val="000000"/>
          <w:kern w:val="0"/>
          <w:sz w:val="21"/>
          <w:szCs w:val="21"/>
        </w:rPr>
        <w:t xml:space="preserve">8.1.8 </w:t>
      </w:r>
      <w:r>
        <w:rPr>
          <w:color w:val="000000"/>
          <w:kern w:val="0"/>
          <w:sz w:val="21"/>
          <w:szCs w:val="21"/>
        </w:rPr>
        <w:t>报告期末按公允价值占基金资产净值比例大小排序的前五名贵金属投资明细</w:t>
      </w:r>
      <w:bookmarkEnd w:id="219"/>
      <w:bookmarkEnd w:id="220"/>
      <w:bookmarkEnd w:id="221"/>
    </w:p>
    <w:p w:rsidR="003663E4" w:rsidRDefault="00FD3F7D">
      <w:pPr>
        <w:widowControl/>
        <w:spacing w:line="360" w:lineRule="auto"/>
        <w:ind w:firstLineChars="200" w:firstLine="420"/>
        <w:jc w:val="left"/>
        <w:rPr>
          <w:color w:val="000000"/>
          <w:szCs w:val="21"/>
        </w:rPr>
      </w:pPr>
      <w:r>
        <w:rPr>
          <w:color w:val="000000"/>
          <w:szCs w:val="21"/>
        </w:rPr>
        <w:t>本基金本报告期末未持有贵金属。</w:t>
      </w:r>
    </w:p>
    <w:p w:rsidR="003663E4" w:rsidRDefault="00FD3F7D">
      <w:pPr>
        <w:pStyle w:val="3"/>
        <w:spacing w:beforeLines="50" w:before="156" w:after="0" w:line="360" w:lineRule="auto"/>
        <w:rPr>
          <w:color w:val="000000"/>
          <w:kern w:val="0"/>
          <w:sz w:val="21"/>
          <w:szCs w:val="21"/>
        </w:rPr>
      </w:pPr>
      <w:bookmarkStart w:id="222" w:name="_Toc508540302"/>
      <w:bookmarkStart w:id="223" w:name="_Toc23339398"/>
      <w:bookmarkStart w:id="224" w:name="_Toc4"/>
      <w:r>
        <w:rPr>
          <w:color w:val="000000"/>
          <w:kern w:val="0"/>
          <w:sz w:val="21"/>
          <w:szCs w:val="21"/>
        </w:rPr>
        <w:t xml:space="preserve">8.1.9 </w:t>
      </w:r>
      <w:r>
        <w:rPr>
          <w:color w:val="000000"/>
          <w:kern w:val="0"/>
          <w:sz w:val="21"/>
          <w:szCs w:val="21"/>
        </w:rPr>
        <w:t>期末按公允价值占基金资产净值比例大小排序的前五名权证投资明细</w:t>
      </w:r>
      <w:bookmarkEnd w:id="222"/>
      <w:bookmarkEnd w:id="223"/>
      <w:bookmarkEnd w:id="224"/>
    </w:p>
    <w:p w:rsidR="003663E4" w:rsidRDefault="00FD3F7D">
      <w:pPr>
        <w:pStyle w:val="af9"/>
        <w:spacing w:before="0" w:beforeAutospacing="0" w:after="0" w:afterAutospacing="0" w:line="360" w:lineRule="auto"/>
        <w:ind w:firstLineChars="200" w:firstLine="420"/>
        <w:rPr>
          <w:rFonts w:ascii="Times New Roman" w:hAnsi="Times New Roman"/>
          <w:color w:val="000000"/>
          <w:sz w:val="21"/>
          <w:szCs w:val="21"/>
        </w:rPr>
      </w:pPr>
      <w:r>
        <w:rPr>
          <w:rFonts w:ascii="Times New Roman" w:hAnsi="Times New Roman"/>
          <w:color w:val="000000"/>
          <w:sz w:val="21"/>
          <w:szCs w:val="21"/>
        </w:rPr>
        <w:t>本基金本报告期末未持有权证。</w:t>
      </w:r>
    </w:p>
    <w:p w:rsidR="003663E4" w:rsidRDefault="00FD3F7D">
      <w:pPr>
        <w:pStyle w:val="3"/>
        <w:spacing w:beforeLines="50" w:before="156" w:after="0" w:line="360" w:lineRule="auto"/>
        <w:rPr>
          <w:color w:val="000000"/>
          <w:kern w:val="0"/>
          <w:sz w:val="21"/>
          <w:szCs w:val="21"/>
        </w:rPr>
      </w:pPr>
      <w:bookmarkStart w:id="225" w:name="_Toc508540303"/>
      <w:bookmarkStart w:id="226" w:name="_Toc23339399"/>
      <w:bookmarkStart w:id="227" w:name="_Toc21811"/>
      <w:r>
        <w:rPr>
          <w:color w:val="000000"/>
          <w:kern w:val="0"/>
          <w:sz w:val="21"/>
          <w:szCs w:val="21"/>
        </w:rPr>
        <w:t xml:space="preserve">8.1.10 </w:t>
      </w:r>
      <w:r>
        <w:rPr>
          <w:color w:val="000000"/>
          <w:kern w:val="0"/>
          <w:sz w:val="21"/>
          <w:szCs w:val="21"/>
        </w:rPr>
        <w:t>报告期末本基金投资的股指期货交易情况说明</w:t>
      </w:r>
      <w:bookmarkEnd w:id="225"/>
      <w:bookmarkEnd w:id="226"/>
      <w:bookmarkEnd w:id="227"/>
    </w:p>
    <w:p w:rsidR="003663E4" w:rsidRDefault="00FD3F7D">
      <w:pPr>
        <w:pStyle w:val="af9"/>
        <w:spacing w:before="0" w:beforeAutospacing="0" w:after="0" w:afterAutospacing="0" w:line="360" w:lineRule="auto"/>
        <w:ind w:firstLineChars="200" w:firstLine="420"/>
        <w:rPr>
          <w:rFonts w:ascii="Times New Roman" w:hAnsi="Times New Roman"/>
          <w:color w:val="000000"/>
          <w:sz w:val="21"/>
          <w:szCs w:val="21"/>
        </w:rPr>
      </w:pPr>
      <w:r>
        <w:rPr>
          <w:rFonts w:ascii="Times New Roman" w:hAnsi="Times New Roman"/>
          <w:color w:val="000000"/>
          <w:sz w:val="21"/>
          <w:szCs w:val="21"/>
        </w:rPr>
        <w:t>本基金本报告期末未持有股指期货。</w:t>
      </w:r>
    </w:p>
    <w:p w:rsidR="003663E4" w:rsidRDefault="00FD3F7D">
      <w:pPr>
        <w:pStyle w:val="3"/>
        <w:spacing w:beforeLines="50" w:before="156" w:after="0" w:line="360" w:lineRule="auto"/>
        <w:rPr>
          <w:color w:val="000000"/>
          <w:kern w:val="0"/>
          <w:sz w:val="21"/>
          <w:szCs w:val="21"/>
        </w:rPr>
      </w:pPr>
      <w:bookmarkStart w:id="228" w:name="_Toc23339400"/>
      <w:bookmarkStart w:id="229" w:name="_Toc508540304"/>
      <w:bookmarkStart w:id="230" w:name="_Toc19374"/>
      <w:r>
        <w:rPr>
          <w:color w:val="000000"/>
          <w:kern w:val="0"/>
          <w:sz w:val="21"/>
          <w:szCs w:val="21"/>
        </w:rPr>
        <w:t xml:space="preserve">8.1.11 </w:t>
      </w:r>
      <w:r>
        <w:rPr>
          <w:color w:val="000000"/>
          <w:kern w:val="0"/>
          <w:sz w:val="21"/>
          <w:szCs w:val="21"/>
        </w:rPr>
        <w:t>报告期末本基金投资的国债期货交易情况说明</w:t>
      </w:r>
      <w:bookmarkEnd w:id="228"/>
      <w:bookmarkEnd w:id="229"/>
      <w:bookmarkEnd w:id="230"/>
    </w:p>
    <w:p w:rsidR="003663E4" w:rsidRDefault="00FD3F7D">
      <w:pPr>
        <w:pStyle w:val="af9"/>
        <w:spacing w:before="0" w:beforeAutospacing="0" w:after="0" w:afterAutospacing="0" w:line="360" w:lineRule="auto"/>
        <w:ind w:firstLineChars="200" w:firstLine="420"/>
        <w:rPr>
          <w:rFonts w:ascii="Times New Roman" w:hAnsi="Times New Roman"/>
          <w:color w:val="000000"/>
          <w:sz w:val="21"/>
          <w:szCs w:val="21"/>
        </w:rPr>
      </w:pPr>
      <w:r>
        <w:rPr>
          <w:rFonts w:ascii="Times New Roman" w:hAnsi="Times New Roman"/>
          <w:color w:val="000000"/>
          <w:sz w:val="21"/>
          <w:szCs w:val="21"/>
        </w:rPr>
        <w:t>本基金本报告期末未持有国债期货。</w:t>
      </w:r>
    </w:p>
    <w:p w:rsidR="003663E4" w:rsidRDefault="00FD3F7D">
      <w:pPr>
        <w:pStyle w:val="3"/>
        <w:spacing w:beforeLines="50" w:before="156" w:after="0" w:line="360" w:lineRule="auto"/>
        <w:rPr>
          <w:color w:val="000000"/>
          <w:kern w:val="0"/>
          <w:sz w:val="21"/>
          <w:szCs w:val="21"/>
        </w:rPr>
      </w:pPr>
      <w:bookmarkStart w:id="231" w:name="_Toc508540306"/>
      <w:bookmarkStart w:id="232" w:name="_Toc23339402"/>
      <w:bookmarkStart w:id="233" w:name="_Toc16468"/>
      <w:r>
        <w:rPr>
          <w:color w:val="000000"/>
          <w:kern w:val="0"/>
          <w:sz w:val="21"/>
          <w:szCs w:val="21"/>
        </w:rPr>
        <w:t xml:space="preserve">8.1.12 </w:t>
      </w:r>
      <w:r>
        <w:rPr>
          <w:color w:val="000000"/>
          <w:kern w:val="0"/>
          <w:sz w:val="21"/>
          <w:szCs w:val="21"/>
        </w:rPr>
        <w:t>投资组合报告附注</w:t>
      </w:r>
      <w:bookmarkEnd w:id="231"/>
      <w:bookmarkEnd w:id="232"/>
      <w:bookmarkEnd w:id="233"/>
    </w:p>
    <w:p w:rsidR="003663E4" w:rsidRDefault="00FD3F7D">
      <w:pPr>
        <w:autoSpaceDE w:val="0"/>
        <w:autoSpaceDN w:val="0"/>
        <w:adjustRightInd w:val="0"/>
        <w:spacing w:line="360" w:lineRule="auto"/>
        <w:jc w:val="left"/>
        <w:rPr>
          <w:b/>
          <w:bCs/>
          <w:color w:val="000000"/>
          <w:kern w:val="0"/>
          <w:szCs w:val="21"/>
        </w:rPr>
      </w:pPr>
      <w:r>
        <w:rPr>
          <w:b/>
          <w:bCs/>
          <w:color w:val="000000"/>
          <w:kern w:val="0"/>
          <w:szCs w:val="21"/>
        </w:rPr>
        <w:t>8.1.12</w:t>
      </w:r>
      <w:r>
        <w:rPr>
          <w:rFonts w:hint="eastAsia"/>
          <w:b/>
          <w:bCs/>
          <w:color w:val="000000"/>
          <w:kern w:val="0"/>
          <w:szCs w:val="21"/>
        </w:rPr>
        <w:t>.</w:t>
      </w:r>
      <w:r>
        <w:rPr>
          <w:b/>
          <w:bCs/>
          <w:color w:val="000000"/>
          <w:kern w:val="0"/>
          <w:szCs w:val="21"/>
        </w:rPr>
        <w:t>1</w:t>
      </w:r>
      <w:r>
        <w:rPr>
          <w:rFonts w:hint="eastAsia"/>
          <w:b/>
          <w:bCs/>
          <w:color w:val="000000"/>
          <w:kern w:val="0"/>
          <w:szCs w:val="21"/>
        </w:rPr>
        <w:t xml:space="preserve"> </w:t>
      </w:r>
      <w:r>
        <w:rPr>
          <w:b/>
          <w:bCs/>
          <w:color w:val="000000"/>
          <w:kern w:val="0"/>
          <w:szCs w:val="21"/>
        </w:rPr>
        <w:t>报告期内本基金投资的前十名证券的发行主体未被监管部门立案调查，在本报告编制日前一年内本基金投资的前十名证券的发行主体未受到公开谴责和处罚。</w:t>
      </w:r>
    </w:p>
    <w:p w:rsidR="003663E4" w:rsidRDefault="00FD3F7D">
      <w:pPr>
        <w:autoSpaceDE w:val="0"/>
        <w:autoSpaceDN w:val="0"/>
        <w:adjustRightInd w:val="0"/>
        <w:spacing w:line="360" w:lineRule="auto"/>
        <w:jc w:val="left"/>
        <w:rPr>
          <w:b/>
          <w:bCs/>
          <w:color w:val="000000"/>
          <w:kern w:val="0"/>
          <w:szCs w:val="21"/>
        </w:rPr>
      </w:pPr>
      <w:r>
        <w:rPr>
          <w:b/>
          <w:bCs/>
          <w:color w:val="000000"/>
          <w:kern w:val="0"/>
          <w:szCs w:val="21"/>
        </w:rPr>
        <w:t>8.1.12</w:t>
      </w:r>
      <w:r>
        <w:rPr>
          <w:rFonts w:hint="eastAsia"/>
          <w:b/>
          <w:bCs/>
          <w:color w:val="000000"/>
          <w:kern w:val="0"/>
          <w:szCs w:val="21"/>
        </w:rPr>
        <w:t>.</w:t>
      </w:r>
      <w:r>
        <w:rPr>
          <w:b/>
          <w:bCs/>
          <w:color w:val="000000"/>
          <w:kern w:val="0"/>
          <w:szCs w:val="21"/>
        </w:rPr>
        <w:t>2</w:t>
      </w:r>
      <w:r>
        <w:rPr>
          <w:rFonts w:hint="eastAsia"/>
          <w:b/>
          <w:bCs/>
          <w:color w:val="000000"/>
          <w:kern w:val="0"/>
          <w:szCs w:val="21"/>
        </w:rPr>
        <w:t xml:space="preserve"> </w:t>
      </w:r>
      <w:r>
        <w:rPr>
          <w:b/>
          <w:bCs/>
          <w:color w:val="000000"/>
          <w:kern w:val="0"/>
          <w:szCs w:val="21"/>
        </w:rPr>
        <w:t>本基金投资的前十名股票中，没有超出基金合同规定的备选股票库之外的股票。</w:t>
      </w:r>
    </w:p>
    <w:p w:rsidR="003663E4" w:rsidRDefault="00FD3F7D">
      <w:pPr>
        <w:spacing w:beforeLines="50" w:before="156" w:line="360" w:lineRule="auto"/>
        <w:rPr>
          <w:b/>
          <w:color w:val="000000"/>
          <w:szCs w:val="21"/>
        </w:rPr>
      </w:pPr>
      <w:r>
        <w:rPr>
          <w:b/>
          <w:color w:val="000000"/>
          <w:szCs w:val="21"/>
        </w:rPr>
        <w:t xml:space="preserve">8.1.12.3 </w:t>
      </w:r>
      <w:r>
        <w:rPr>
          <w:b/>
          <w:color w:val="000000"/>
          <w:szCs w:val="21"/>
        </w:rPr>
        <w:t>期末其他各项资产构成</w:t>
      </w:r>
    </w:p>
    <w:p w:rsidR="003663E4" w:rsidRDefault="00FD3F7D">
      <w:pPr>
        <w:autoSpaceDE w:val="0"/>
        <w:autoSpaceDN w:val="0"/>
        <w:adjustRightInd w:val="0"/>
        <w:spacing w:before="29" w:line="360" w:lineRule="auto"/>
        <w:ind w:left="15"/>
        <w:jc w:val="right"/>
        <w:rPr>
          <w:color w:val="000000"/>
          <w:kern w:val="0"/>
          <w:szCs w:val="21"/>
        </w:rPr>
      </w:pPr>
      <w:r>
        <w:rPr>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3663E4">
        <w:tc>
          <w:tcPr>
            <w:tcW w:w="765" w:type="dxa"/>
            <w:vAlign w:val="center"/>
          </w:tcPr>
          <w:p w:rsidR="003663E4" w:rsidRDefault="00FD3F7D">
            <w:pPr>
              <w:spacing w:line="276" w:lineRule="auto"/>
              <w:jc w:val="center"/>
              <w:rPr>
                <w:color w:val="000000"/>
                <w:szCs w:val="21"/>
              </w:rPr>
            </w:pPr>
            <w:r>
              <w:rPr>
                <w:color w:val="000000"/>
                <w:szCs w:val="21"/>
              </w:rPr>
              <w:t>序号</w:t>
            </w:r>
          </w:p>
        </w:tc>
        <w:tc>
          <w:tcPr>
            <w:tcW w:w="4117" w:type="dxa"/>
            <w:vAlign w:val="center"/>
          </w:tcPr>
          <w:p w:rsidR="003663E4" w:rsidRDefault="00FD3F7D">
            <w:pPr>
              <w:spacing w:line="276" w:lineRule="auto"/>
              <w:jc w:val="center"/>
              <w:rPr>
                <w:color w:val="000000"/>
                <w:szCs w:val="21"/>
              </w:rPr>
            </w:pPr>
            <w:r>
              <w:rPr>
                <w:color w:val="000000"/>
                <w:szCs w:val="21"/>
              </w:rPr>
              <w:t>名称</w:t>
            </w:r>
          </w:p>
        </w:tc>
        <w:tc>
          <w:tcPr>
            <w:tcW w:w="4118" w:type="dxa"/>
            <w:vAlign w:val="center"/>
          </w:tcPr>
          <w:p w:rsidR="003663E4" w:rsidRDefault="00FD3F7D">
            <w:pPr>
              <w:spacing w:line="276" w:lineRule="auto"/>
              <w:jc w:val="center"/>
              <w:rPr>
                <w:color w:val="000000"/>
                <w:szCs w:val="21"/>
              </w:rPr>
            </w:pPr>
            <w:r>
              <w:rPr>
                <w:color w:val="000000"/>
                <w:szCs w:val="21"/>
              </w:rPr>
              <w:t>金额</w:t>
            </w:r>
          </w:p>
        </w:tc>
      </w:tr>
      <w:tr w:rsidR="003663E4">
        <w:tc>
          <w:tcPr>
            <w:tcW w:w="765" w:type="dxa"/>
            <w:vAlign w:val="center"/>
          </w:tcPr>
          <w:p w:rsidR="003663E4" w:rsidRDefault="00FD3F7D">
            <w:pPr>
              <w:spacing w:line="276" w:lineRule="auto"/>
              <w:jc w:val="center"/>
              <w:rPr>
                <w:color w:val="000000"/>
                <w:szCs w:val="21"/>
              </w:rPr>
            </w:pPr>
            <w:r>
              <w:rPr>
                <w:color w:val="000000"/>
                <w:szCs w:val="21"/>
              </w:rPr>
              <w:t>1</w:t>
            </w:r>
          </w:p>
        </w:tc>
        <w:tc>
          <w:tcPr>
            <w:tcW w:w="4117" w:type="dxa"/>
            <w:vAlign w:val="center"/>
          </w:tcPr>
          <w:p w:rsidR="003663E4" w:rsidRDefault="00FD3F7D">
            <w:pPr>
              <w:spacing w:line="276" w:lineRule="auto"/>
              <w:ind w:leftChars="50" w:left="105"/>
              <w:rPr>
                <w:color w:val="000000"/>
                <w:szCs w:val="21"/>
              </w:rPr>
            </w:pPr>
            <w:r>
              <w:rPr>
                <w:color w:val="000000"/>
                <w:szCs w:val="21"/>
              </w:rPr>
              <w:t>存出保证金</w:t>
            </w:r>
          </w:p>
        </w:tc>
        <w:tc>
          <w:tcPr>
            <w:tcW w:w="4118" w:type="dxa"/>
            <w:vAlign w:val="center"/>
          </w:tcPr>
          <w:p w:rsidR="003663E4" w:rsidRDefault="00FD3F7D">
            <w:pPr>
              <w:autoSpaceDE w:val="0"/>
              <w:autoSpaceDN w:val="0"/>
              <w:adjustRightInd w:val="0"/>
              <w:spacing w:before="29" w:line="276" w:lineRule="auto"/>
              <w:ind w:left="15"/>
              <w:jc w:val="right"/>
              <w:rPr>
                <w:color w:val="000000"/>
                <w:szCs w:val="21"/>
              </w:rPr>
            </w:pPr>
            <w:r>
              <w:rPr>
                <w:color w:val="000000"/>
                <w:szCs w:val="21"/>
              </w:rPr>
              <w:t>-</w:t>
            </w:r>
          </w:p>
        </w:tc>
      </w:tr>
      <w:tr w:rsidR="003663E4">
        <w:tc>
          <w:tcPr>
            <w:tcW w:w="765" w:type="dxa"/>
            <w:vAlign w:val="center"/>
          </w:tcPr>
          <w:p w:rsidR="003663E4" w:rsidRDefault="00FD3F7D">
            <w:pPr>
              <w:spacing w:line="276" w:lineRule="auto"/>
              <w:jc w:val="center"/>
              <w:rPr>
                <w:color w:val="000000"/>
                <w:szCs w:val="21"/>
              </w:rPr>
            </w:pPr>
            <w:r>
              <w:rPr>
                <w:color w:val="000000"/>
                <w:szCs w:val="21"/>
              </w:rPr>
              <w:t>2</w:t>
            </w:r>
          </w:p>
        </w:tc>
        <w:tc>
          <w:tcPr>
            <w:tcW w:w="4117" w:type="dxa"/>
            <w:vAlign w:val="center"/>
          </w:tcPr>
          <w:p w:rsidR="003663E4" w:rsidRDefault="00FD3F7D">
            <w:pPr>
              <w:spacing w:line="276" w:lineRule="auto"/>
              <w:ind w:leftChars="50" w:left="105"/>
              <w:rPr>
                <w:color w:val="000000"/>
                <w:szCs w:val="21"/>
              </w:rPr>
            </w:pPr>
            <w:r>
              <w:rPr>
                <w:color w:val="000000"/>
                <w:szCs w:val="21"/>
              </w:rPr>
              <w:t>应收证券清算款</w:t>
            </w:r>
          </w:p>
        </w:tc>
        <w:tc>
          <w:tcPr>
            <w:tcW w:w="4118" w:type="dxa"/>
            <w:vAlign w:val="center"/>
          </w:tcPr>
          <w:p w:rsidR="003663E4" w:rsidRDefault="00FD3F7D">
            <w:pPr>
              <w:autoSpaceDE w:val="0"/>
              <w:autoSpaceDN w:val="0"/>
              <w:adjustRightInd w:val="0"/>
              <w:spacing w:before="29" w:line="276" w:lineRule="auto"/>
              <w:ind w:left="15"/>
              <w:jc w:val="right"/>
              <w:rPr>
                <w:color w:val="000000"/>
                <w:szCs w:val="21"/>
              </w:rPr>
            </w:pPr>
            <w:r>
              <w:rPr>
                <w:color w:val="000000"/>
                <w:szCs w:val="21"/>
              </w:rPr>
              <w:t>-</w:t>
            </w:r>
          </w:p>
        </w:tc>
      </w:tr>
      <w:tr w:rsidR="003663E4">
        <w:tc>
          <w:tcPr>
            <w:tcW w:w="765" w:type="dxa"/>
            <w:vAlign w:val="center"/>
          </w:tcPr>
          <w:p w:rsidR="003663E4" w:rsidRDefault="00FD3F7D">
            <w:pPr>
              <w:spacing w:line="276" w:lineRule="auto"/>
              <w:jc w:val="center"/>
              <w:rPr>
                <w:color w:val="000000"/>
                <w:szCs w:val="21"/>
              </w:rPr>
            </w:pPr>
            <w:r>
              <w:rPr>
                <w:color w:val="000000"/>
                <w:szCs w:val="21"/>
              </w:rPr>
              <w:t>3</w:t>
            </w:r>
          </w:p>
        </w:tc>
        <w:tc>
          <w:tcPr>
            <w:tcW w:w="4117" w:type="dxa"/>
            <w:vAlign w:val="center"/>
          </w:tcPr>
          <w:p w:rsidR="003663E4" w:rsidRDefault="00FD3F7D">
            <w:pPr>
              <w:spacing w:line="276" w:lineRule="auto"/>
              <w:ind w:leftChars="50" w:left="105"/>
              <w:rPr>
                <w:color w:val="000000"/>
                <w:szCs w:val="21"/>
              </w:rPr>
            </w:pPr>
            <w:r>
              <w:rPr>
                <w:color w:val="000000"/>
                <w:szCs w:val="21"/>
              </w:rPr>
              <w:t>应收股利</w:t>
            </w:r>
          </w:p>
        </w:tc>
        <w:tc>
          <w:tcPr>
            <w:tcW w:w="4118" w:type="dxa"/>
            <w:vAlign w:val="center"/>
          </w:tcPr>
          <w:p w:rsidR="003663E4" w:rsidRDefault="00FD3F7D">
            <w:pPr>
              <w:autoSpaceDE w:val="0"/>
              <w:autoSpaceDN w:val="0"/>
              <w:adjustRightInd w:val="0"/>
              <w:spacing w:before="29" w:line="276" w:lineRule="auto"/>
              <w:ind w:left="15"/>
              <w:jc w:val="right"/>
              <w:rPr>
                <w:color w:val="000000"/>
                <w:szCs w:val="21"/>
              </w:rPr>
            </w:pPr>
            <w:r>
              <w:rPr>
                <w:color w:val="000000"/>
                <w:szCs w:val="21"/>
              </w:rPr>
              <w:t>-</w:t>
            </w:r>
          </w:p>
        </w:tc>
      </w:tr>
      <w:tr w:rsidR="003663E4">
        <w:tc>
          <w:tcPr>
            <w:tcW w:w="765" w:type="dxa"/>
            <w:vAlign w:val="center"/>
          </w:tcPr>
          <w:p w:rsidR="003663E4" w:rsidRDefault="00FD3F7D">
            <w:pPr>
              <w:spacing w:line="276" w:lineRule="auto"/>
              <w:jc w:val="center"/>
              <w:rPr>
                <w:color w:val="000000"/>
                <w:szCs w:val="21"/>
              </w:rPr>
            </w:pPr>
            <w:r>
              <w:rPr>
                <w:color w:val="000000"/>
                <w:szCs w:val="21"/>
              </w:rPr>
              <w:t>4</w:t>
            </w:r>
          </w:p>
        </w:tc>
        <w:tc>
          <w:tcPr>
            <w:tcW w:w="4117" w:type="dxa"/>
            <w:vAlign w:val="center"/>
          </w:tcPr>
          <w:p w:rsidR="003663E4" w:rsidRDefault="00FD3F7D">
            <w:pPr>
              <w:spacing w:line="276" w:lineRule="auto"/>
              <w:ind w:leftChars="50" w:left="105"/>
              <w:rPr>
                <w:color w:val="000000"/>
                <w:szCs w:val="21"/>
              </w:rPr>
            </w:pPr>
            <w:r>
              <w:rPr>
                <w:color w:val="000000"/>
                <w:szCs w:val="21"/>
              </w:rPr>
              <w:t>应收利息</w:t>
            </w:r>
          </w:p>
        </w:tc>
        <w:tc>
          <w:tcPr>
            <w:tcW w:w="4118" w:type="dxa"/>
            <w:vAlign w:val="center"/>
          </w:tcPr>
          <w:p w:rsidR="003663E4" w:rsidRDefault="00FD3F7D">
            <w:pPr>
              <w:autoSpaceDE w:val="0"/>
              <w:autoSpaceDN w:val="0"/>
              <w:adjustRightInd w:val="0"/>
              <w:spacing w:before="29" w:line="276" w:lineRule="auto"/>
              <w:ind w:left="15"/>
              <w:jc w:val="right"/>
              <w:rPr>
                <w:color w:val="000000"/>
                <w:szCs w:val="21"/>
              </w:rPr>
            </w:pPr>
            <w:r>
              <w:rPr>
                <w:color w:val="000000"/>
                <w:szCs w:val="21"/>
              </w:rPr>
              <w:t>9,631,110.00</w:t>
            </w:r>
          </w:p>
        </w:tc>
      </w:tr>
      <w:tr w:rsidR="003663E4">
        <w:tc>
          <w:tcPr>
            <w:tcW w:w="765" w:type="dxa"/>
            <w:vAlign w:val="center"/>
          </w:tcPr>
          <w:p w:rsidR="003663E4" w:rsidRDefault="00FD3F7D">
            <w:pPr>
              <w:spacing w:line="276" w:lineRule="auto"/>
              <w:jc w:val="center"/>
              <w:rPr>
                <w:color w:val="000000"/>
                <w:szCs w:val="21"/>
              </w:rPr>
            </w:pPr>
            <w:r>
              <w:rPr>
                <w:color w:val="000000"/>
                <w:szCs w:val="21"/>
              </w:rPr>
              <w:t>5</w:t>
            </w:r>
          </w:p>
        </w:tc>
        <w:tc>
          <w:tcPr>
            <w:tcW w:w="4117" w:type="dxa"/>
            <w:vAlign w:val="center"/>
          </w:tcPr>
          <w:p w:rsidR="003663E4" w:rsidRDefault="00FD3F7D">
            <w:pPr>
              <w:spacing w:line="276" w:lineRule="auto"/>
              <w:ind w:leftChars="50" w:left="105"/>
              <w:rPr>
                <w:color w:val="000000"/>
                <w:szCs w:val="21"/>
              </w:rPr>
            </w:pPr>
            <w:r>
              <w:rPr>
                <w:color w:val="000000"/>
                <w:szCs w:val="21"/>
              </w:rPr>
              <w:t>应收申购款</w:t>
            </w:r>
          </w:p>
        </w:tc>
        <w:tc>
          <w:tcPr>
            <w:tcW w:w="4118" w:type="dxa"/>
            <w:vAlign w:val="center"/>
          </w:tcPr>
          <w:p w:rsidR="003663E4" w:rsidRDefault="00FD3F7D">
            <w:pPr>
              <w:autoSpaceDE w:val="0"/>
              <w:autoSpaceDN w:val="0"/>
              <w:adjustRightInd w:val="0"/>
              <w:spacing w:before="29" w:line="276" w:lineRule="auto"/>
              <w:ind w:left="15"/>
              <w:jc w:val="right"/>
              <w:rPr>
                <w:color w:val="000000"/>
                <w:szCs w:val="21"/>
              </w:rPr>
            </w:pPr>
            <w:r>
              <w:rPr>
                <w:color w:val="000000"/>
                <w:szCs w:val="21"/>
              </w:rPr>
              <w:t>997.01</w:t>
            </w:r>
          </w:p>
        </w:tc>
      </w:tr>
      <w:tr w:rsidR="003663E4">
        <w:tc>
          <w:tcPr>
            <w:tcW w:w="765" w:type="dxa"/>
            <w:vAlign w:val="center"/>
          </w:tcPr>
          <w:p w:rsidR="003663E4" w:rsidRDefault="00FD3F7D">
            <w:pPr>
              <w:spacing w:line="276" w:lineRule="auto"/>
              <w:jc w:val="center"/>
              <w:rPr>
                <w:color w:val="000000"/>
                <w:szCs w:val="21"/>
              </w:rPr>
            </w:pPr>
            <w:r>
              <w:rPr>
                <w:color w:val="000000"/>
                <w:szCs w:val="21"/>
              </w:rPr>
              <w:t>6</w:t>
            </w:r>
          </w:p>
        </w:tc>
        <w:tc>
          <w:tcPr>
            <w:tcW w:w="4117" w:type="dxa"/>
            <w:vAlign w:val="center"/>
          </w:tcPr>
          <w:p w:rsidR="003663E4" w:rsidRDefault="00FD3F7D">
            <w:pPr>
              <w:spacing w:line="276" w:lineRule="auto"/>
              <w:ind w:leftChars="50" w:left="105"/>
              <w:rPr>
                <w:color w:val="000000"/>
                <w:szCs w:val="21"/>
              </w:rPr>
            </w:pPr>
            <w:r>
              <w:rPr>
                <w:color w:val="000000"/>
                <w:szCs w:val="21"/>
              </w:rPr>
              <w:t>其他应收款</w:t>
            </w:r>
          </w:p>
        </w:tc>
        <w:tc>
          <w:tcPr>
            <w:tcW w:w="4118" w:type="dxa"/>
            <w:vAlign w:val="center"/>
          </w:tcPr>
          <w:p w:rsidR="003663E4" w:rsidRDefault="00FD3F7D">
            <w:pPr>
              <w:autoSpaceDE w:val="0"/>
              <w:autoSpaceDN w:val="0"/>
              <w:adjustRightInd w:val="0"/>
              <w:spacing w:before="29" w:line="276" w:lineRule="auto"/>
              <w:ind w:left="15"/>
              <w:jc w:val="right"/>
              <w:rPr>
                <w:color w:val="000000"/>
                <w:szCs w:val="21"/>
              </w:rPr>
            </w:pPr>
            <w:r>
              <w:rPr>
                <w:color w:val="000000"/>
                <w:szCs w:val="21"/>
              </w:rPr>
              <w:t>-</w:t>
            </w:r>
          </w:p>
        </w:tc>
      </w:tr>
      <w:tr w:rsidR="003663E4">
        <w:tc>
          <w:tcPr>
            <w:tcW w:w="765" w:type="dxa"/>
            <w:vAlign w:val="center"/>
          </w:tcPr>
          <w:p w:rsidR="003663E4" w:rsidRDefault="00FD3F7D">
            <w:pPr>
              <w:spacing w:line="276" w:lineRule="auto"/>
              <w:jc w:val="center"/>
              <w:rPr>
                <w:color w:val="000000"/>
                <w:szCs w:val="21"/>
              </w:rPr>
            </w:pPr>
            <w:r>
              <w:rPr>
                <w:color w:val="000000"/>
                <w:szCs w:val="21"/>
              </w:rPr>
              <w:t>7</w:t>
            </w:r>
          </w:p>
        </w:tc>
        <w:tc>
          <w:tcPr>
            <w:tcW w:w="4117" w:type="dxa"/>
            <w:vAlign w:val="center"/>
          </w:tcPr>
          <w:p w:rsidR="003663E4" w:rsidRDefault="00FD3F7D">
            <w:pPr>
              <w:spacing w:line="276" w:lineRule="auto"/>
              <w:ind w:leftChars="50" w:left="105"/>
              <w:rPr>
                <w:color w:val="000000"/>
                <w:szCs w:val="21"/>
              </w:rPr>
            </w:pPr>
            <w:r>
              <w:rPr>
                <w:color w:val="000000"/>
                <w:szCs w:val="21"/>
              </w:rPr>
              <w:t>待摊费用</w:t>
            </w:r>
          </w:p>
        </w:tc>
        <w:tc>
          <w:tcPr>
            <w:tcW w:w="4118" w:type="dxa"/>
            <w:vAlign w:val="center"/>
          </w:tcPr>
          <w:p w:rsidR="003663E4" w:rsidRDefault="00FD3F7D">
            <w:pPr>
              <w:autoSpaceDE w:val="0"/>
              <w:autoSpaceDN w:val="0"/>
              <w:adjustRightInd w:val="0"/>
              <w:spacing w:before="29" w:line="276" w:lineRule="auto"/>
              <w:ind w:left="15"/>
              <w:jc w:val="right"/>
              <w:rPr>
                <w:color w:val="000000"/>
                <w:szCs w:val="21"/>
              </w:rPr>
            </w:pPr>
            <w:r>
              <w:rPr>
                <w:color w:val="000000"/>
                <w:szCs w:val="21"/>
              </w:rPr>
              <w:t>-</w:t>
            </w:r>
          </w:p>
        </w:tc>
      </w:tr>
      <w:tr w:rsidR="003663E4">
        <w:tc>
          <w:tcPr>
            <w:tcW w:w="765" w:type="dxa"/>
            <w:vAlign w:val="center"/>
          </w:tcPr>
          <w:p w:rsidR="003663E4" w:rsidRDefault="00FD3F7D">
            <w:pPr>
              <w:autoSpaceDE w:val="0"/>
              <w:autoSpaceDN w:val="0"/>
              <w:adjustRightInd w:val="0"/>
              <w:spacing w:before="29" w:line="276" w:lineRule="auto"/>
              <w:ind w:left="15"/>
              <w:jc w:val="center"/>
              <w:rPr>
                <w:color w:val="000000"/>
                <w:szCs w:val="21"/>
              </w:rPr>
            </w:pPr>
            <w:r>
              <w:rPr>
                <w:color w:val="000000"/>
                <w:szCs w:val="21"/>
              </w:rPr>
              <w:t>8</w:t>
            </w:r>
          </w:p>
        </w:tc>
        <w:tc>
          <w:tcPr>
            <w:tcW w:w="4117" w:type="dxa"/>
            <w:vAlign w:val="center"/>
          </w:tcPr>
          <w:p w:rsidR="003663E4" w:rsidRDefault="00FD3F7D">
            <w:pPr>
              <w:spacing w:line="276" w:lineRule="auto"/>
              <w:ind w:leftChars="50" w:left="105"/>
              <w:rPr>
                <w:color w:val="000000"/>
                <w:szCs w:val="21"/>
              </w:rPr>
            </w:pPr>
            <w:r>
              <w:rPr>
                <w:color w:val="000000"/>
                <w:szCs w:val="21"/>
              </w:rPr>
              <w:t>其他</w:t>
            </w:r>
          </w:p>
        </w:tc>
        <w:tc>
          <w:tcPr>
            <w:tcW w:w="4118" w:type="dxa"/>
            <w:vAlign w:val="center"/>
          </w:tcPr>
          <w:p w:rsidR="003663E4" w:rsidRDefault="00FD3F7D">
            <w:pPr>
              <w:autoSpaceDE w:val="0"/>
              <w:autoSpaceDN w:val="0"/>
              <w:adjustRightInd w:val="0"/>
              <w:spacing w:before="29" w:line="276" w:lineRule="auto"/>
              <w:ind w:left="15"/>
              <w:jc w:val="right"/>
              <w:rPr>
                <w:color w:val="000000"/>
                <w:szCs w:val="21"/>
              </w:rPr>
            </w:pPr>
            <w:r>
              <w:rPr>
                <w:color w:val="000000"/>
                <w:szCs w:val="21"/>
              </w:rPr>
              <w:t>-</w:t>
            </w:r>
          </w:p>
        </w:tc>
      </w:tr>
      <w:tr w:rsidR="003663E4">
        <w:tc>
          <w:tcPr>
            <w:tcW w:w="765" w:type="dxa"/>
            <w:vAlign w:val="center"/>
          </w:tcPr>
          <w:p w:rsidR="003663E4" w:rsidRDefault="00FD3F7D">
            <w:pPr>
              <w:autoSpaceDE w:val="0"/>
              <w:autoSpaceDN w:val="0"/>
              <w:adjustRightInd w:val="0"/>
              <w:spacing w:before="29" w:line="276" w:lineRule="auto"/>
              <w:ind w:left="15"/>
              <w:jc w:val="center"/>
              <w:rPr>
                <w:color w:val="000000"/>
                <w:szCs w:val="21"/>
              </w:rPr>
            </w:pPr>
            <w:r>
              <w:rPr>
                <w:color w:val="000000"/>
                <w:szCs w:val="21"/>
              </w:rPr>
              <w:t>9</w:t>
            </w:r>
          </w:p>
        </w:tc>
        <w:tc>
          <w:tcPr>
            <w:tcW w:w="4117" w:type="dxa"/>
            <w:vAlign w:val="center"/>
          </w:tcPr>
          <w:p w:rsidR="003663E4" w:rsidRDefault="00FD3F7D">
            <w:pPr>
              <w:spacing w:line="276" w:lineRule="auto"/>
              <w:ind w:leftChars="50" w:left="105"/>
              <w:rPr>
                <w:color w:val="000000"/>
                <w:szCs w:val="21"/>
              </w:rPr>
            </w:pPr>
            <w:r>
              <w:rPr>
                <w:color w:val="000000"/>
                <w:szCs w:val="21"/>
              </w:rPr>
              <w:t>合计</w:t>
            </w:r>
          </w:p>
        </w:tc>
        <w:tc>
          <w:tcPr>
            <w:tcW w:w="4118" w:type="dxa"/>
            <w:vAlign w:val="center"/>
          </w:tcPr>
          <w:p w:rsidR="003663E4" w:rsidRDefault="00FD3F7D">
            <w:pPr>
              <w:autoSpaceDE w:val="0"/>
              <w:autoSpaceDN w:val="0"/>
              <w:adjustRightInd w:val="0"/>
              <w:spacing w:before="29" w:line="276" w:lineRule="auto"/>
              <w:ind w:left="15"/>
              <w:jc w:val="right"/>
              <w:rPr>
                <w:color w:val="000000"/>
                <w:szCs w:val="21"/>
              </w:rPr>
            </w:pPr>
            <w:r>
              <w:rPr>
                <w:color w:val="000000"/>
                <w:szCs w:val="21"/>
              </w:rPr>
              <w:t>9,632,107.01</w:t>
            </w:r>
          </w:p>
        </w:tc>
      </w:tr>
    </w:tbl>
    <w:p w:rsidR="003663E4" w:rsidRDefault="00FD3F7D">
      <w:pPr>
        <w:spacing w:beforeLines="50" w:before="156" w:line="360" w:lineRule="auto"/>
        <w:rPr>
          <w:b/>
          <w:bCs/>
          <w:color w:val="000000"/>
          <w:szCs w:val="21"/>
        </w:rPr>
      </w:pPr>
      <w:r>
        <w:rPr>
          <w:b/>
          <w:color w:val="000000"/>
          <w:szCs w:val="21"/>
        </w:rPr>
        <w:t xml:space="preserve">8.1.12.4 </w:t>
      </w:r>
      <w:r>
        <w:rPr>
          <w:b/>
          <w:bCs/>
          <w:color w:val="000000"/>
          <w:szCs w:val="21"/>
        </w:rPr>
        <w:t>期末持有的处于转股期的可转换债券明细</w:t>
      </w:r>
    </w:p>
    <w:p w:rsidR="003663E4" w:rsidRDefault="00FD3F7D">
      <w:pPr>
        <w:autoSpaceDE w:val="0"/>
        <w:autoSpaceDN w:val="0"/>
        <w:adjustRightInd w:val="0"/>
        <w:spacing w:line="360" w:lineRule="auto"/>
        <w:ind w:firstLineChars="200" w:firstLine="420"/>
        <w:jc w:val="left"/>
        <w:rPr>
          <w:color w:val="000000"/>
          <w:szCs w:val="21"/>
        </w:rPr>
      </w:pPr>
      <w:r>
        <w:rPr>
          <w:color w:val="000000"/>
          <w:szCs w:val="21"/>
        </w:rPr>
        <w:t>本基金本报告期末未持有处于转股期的可转换债券。</w:t>
      </w:r>
    </w:p>
    <w:p w:rsidR="003663E4" w:rsidRDefault="00FD3F7D">
      <w:pPr>
        <w:spacing w:beforeLines="50" w:before="156" w:line="360" w:lineRule="auto"/>
        <w:rPr>
          <w:b/>
          <w:color w:val="000000"/>
          <w:szCs w:val="21"/>
        </w:rPr>
      </w:pPr>
      <w:r>
        <w:rPr>
          <w:b/>
          <w:color w:val="000000"/>
          <w:szCs w:val="21"/>
        </w:rPr>
        <w:t xml:space="preserve">8.1.12.5 </w:t>
      </w:r>
      <w:r>
        <w:rPr>
          <w:b/>
          <w:color w:val="000000"/>
          <w:szCs w:val="21"/>
        </w:rPr>
        <w:t>期末前十名股票中存在流通受限情况的说明</w:t>
      </w:r>
    </w:p>
    <w:p w:rsidR="003663E4" w:rsidRDefault="00FD3F7D">
      <w:pPr>
        <w:autoSpaceDE w:val="0"/>
        <w:autoSpaceDN w:val="0"/>
        <w:adjustRightInd w:val="0"/>
        <w:spacing w:line="360" w:lineRule="auto"/>
        <w:ind w:firstLineChars="200" w:firstLine="420"/>
        <w:jc w:val="left"/>
        <w:rPr>
          <w:color w:val="000000"/>
          <w:szCs w:val="21"/>
        </w:rPr>
      </w:pPr>
      <w:r>
        <w:rPr>
          <w:color w:val="000000"/>
          <w:szCs w:val="21"/>
        </w:rPr>
        <w:t>本基金本报告期末未持有股票。</w:t>
      </w:r>
    </w:p>
    <w:p w:rsidR="003663E4" w:rsidRDefault="00FD3F7D">
      <w:pPr>
        <w:spacing w:beforeLines="50" w:before="156" w:line="360" w:lineRule="auto"/>
        <w:rPr>
          <w:b/>
          <w:color w:val="000000"/>
          <w:szCs w:val="21"/>
        </w:rPr>
      </w:pPr>
      <w:r>
        <w:rPr>
          <w:b/>
          <w:color w:val="000000"/>
          <w:szCs w:val="21"/>
        </w:rPr>
        <w:t xml:space="preserve">8.1.12.6 </w:t>
      </w:r>
      <w:r>
        <w:rPr>
          <w:b/>
          <w:color w:val="000000"/>
          <w:szCs w:val="21"/>
        </w:rPr>
        <w:t>投资组合报告附注的其他文字描述部分</w:t>
      </w:r>
    </w:p>
    <w:p w:rsidR="003663E4" w:rsidRDefault="00FD3F7D">
      <w:pPr>
        <w:rPr>
          <w:color w:val="000000"/>
          <w:szCs w:val="21"/>
        </w:rPr>
      </w:pPr>
      <w:r>
        <w:rPr>
          <w:color w:val="000000"/>
          <w:szCs w:val="21"/>
        </w:rPr>
        <w:t>由于四舍五入的原因，分项之和与合计项之间可能存在尾差。</w:t>
      </w:r>
    </w:p>
    <w:p w:rsidR="003663E4" w:rsidRDefault="003663E4">
      <w:pPr>
        <w:rPr>
          <w:lang w:val="en-GB"/>
        </w:rPr>
      </w:pPr>
    </w:p>
    <w:p w:rsidR="003663E4" w:rsidRDefault="00FD3F7D">
      <w:pPr>
        <w:pStyle w:val="2"/>
        <w:spacing w:before="0" w:after="0"/>
        <w:rPr>
          <w:rFonts w:ascii="Times New Roman" w:hAnsi="Times New Roman"/>
          <w:color w:val="000000"/>
          <w:kern w:val="0"/>
          <w:sz w:val="21"/>
          <w:szCs w:val="21"/>
        </w:rPr>
      </w:pPr>
      <w:bookmarkStart w:id="234" w:name="_Toc508540307"/>
      <w:bookmarkStart w:id="235" w:name="_Toc23339403"/>
      <w:bookmarkStart w:id="236" w:name="_Toc27537"/>
      <w:r>
        <w:rPr>
          <w:rFonts w:ascii="Times New Roman" w:hAnsi="Times New Roman" w:hint="eastAsia"/>
          <w:color w:val="000000"/>
          <w:kern w:val="0"/>
          <w:sz w:val="21"/>
          <w:szCs w:val="21"/>
        </w:rPr>
        <w:t>8.2</w:t>
      </w:r>
      <w:r>
        <w:rPr>
          <w:rFonts w:ascii="Times New Roman" w:hAnsi="Times New Roman"/>
          <w:color w:val="000000"/>
          <w:kern w:val="0"/>
          <w:sz w:val="21"/>
          <w:szCs w:val="21"/>
        </w:rPr>
        <w:t xml:space="preserve"> </w:t>
      </w:r>
      <w:r>
        <w:rPr>
          <w:rFonts w:ascii="Times New Roman" w:hAnsi="Times New Roman"/>
          <w:color w:val="000000"/>
          <w:kern w:val="0"/>
          <w:sz w:val="21"/>
          <w:szCs w:val="21"/>
        </w:rPr>
        <w:t>交银施罗德理财</w:t>
      </w:r>
      <w:r>
        <w:rPr>
          <w:rFonts w:ascii="Times New Roman" w:hAnsi="Times New Roman"/>
          <w:color w:val="000000"/>
          <w:kern w:val="0"/>
          <w:sz w:val="21"/>
          <w:szCs w:val="21"/>
        </w:rPr>
        <w:t>60</w:t>
      </w:r>
      <w:r>
        <w:rPr>
          <w:rFonts w:ascii="Times New Roman" w:hAnsi="Times New Roman"/>
          <w:color w:val="000000"/>
          <w:kern w:val="0"/>
          <w:sz w:val="21"/>
          <w:szCs w:val="21"/>
        </w:rPr>
        <w:t>天债券型证券投资基金</w:t>
      </w:r>
      <w:bookmarkEnd w:id="234"/>
      <w:bookmarkEnd w:id="235"/>
      <w:bookmarkEnd w:id="236"/>
    </w:p>
    <w:p w:rsidR="003663E4" w:rsidRDefault="00FD3F7D">
      <w:pPr>
        <w:autoSpaceDE w:val="0"/>
        <w:autoSpaceDN w:val="0"/>
        <w:adjustRightInd w:val="0"/>
        <w:spacing w:line="360" w:lineRule="auto"/>
        <w:jc w:val="left"/>
        <w:rPr>
          <w:rFonts w:eastAsiaTheme="minorEastAsia"/>
          <w:b/>
          <w:color w:val="000000"/>
          <w:kern w:val="0"/>
          <w:szCs w:val="21"/>
        </w:rPr>
      </w:pPr>
      <w:r>
        <w:rPr>
          <w:rFonts w:eastAsiaTheme="minorEastAsia"/>
          <w:b/>
          <w:color w:val="000000"/>
          <w:kern w:val="0"/>
          <w:szCs w:val="21"/>
        </w:rPr>
        <w:t>（报告期：</w:t>
      </w:r>
      <w:r>
        <w:rPr>
          <w:rFonts w:eastAsiaTheme="minorEastAsia"/>
          <w:b/>
          <w:color w:val="000000"/>
          <w:kern w:val="0"/>
          <w:szCs w:val="21"/>
        </w:rPr>
        <w:t>2020</w:t>
      </w:r>
      <w:r>
        <w:rPr>
          <w:rFonts w:eastAsiaTheme="minorEastAsia"/>
          <w:b/>
          <w:color w:val="000000"/>
          <w:kern w:val="0"/>
          <w:szCs w:val="21"/>
        </w:rPr>
        <w:t>年</w:t>
      </w:r>
      <w:r>
        <w:rPr>
          <w:rFonts w:eastAsiaTheme="minorEastAsia"/>
          <w:b/>
          <w:color w:val="000000"/>
          <w:kern w:val="0"/>
          <w:szCs w:val="21"/>
        </w:rPr>
        <w:t>1</w:t>
      </w:r>
      <w:r>
        <w:rPr>
          <w:rFonts w:eastAsiaTheme="minorEastAsia"/>
          <w:b/>
          <w:color w:val="000000"/>
          <w:kern w:val="0"/>
          <w:szCs w:val="21"/>
        </w:rPr>
        <w:t>月</w:t>
      </w:r>
      <w:r>
        <w:rPr>
          <w:rFonts w:eastAsiaTheme="minorEastAsia"/>
          <w:b/>
          <w:color w:val="000000"/>
          <w:kern w:val="0"/>
          <w:szCs w:val="21"/>
        </w:rPr>
        <w:t>1</w:t>
      </w:r>
      <w:r>
        <w:rPr>
          <w:rFonts w:eastAsiaTheme="minorEastAsia"/>
          <w:b/>
          <w:color w:val="000000"/>
          <w:kern w:val="0"/>
          <w:szCs w:val="21"/>
        </w:rPr>
        <w:t>日</w:t>
      </w:r>
      <w:r>
        <w:rPr>
          <w:rFonts w:eastAsiaTheme="minorEastAsia"/>
          <w:b/>
          <w:color w:val="000000"/>
          <w:kern w:val="0"/>
          <w:szCs w:val="21"/>
        </w:rPr>
        <w:t>-2020</w:t>
      </w:r>
      <w:r>
        <w:rPr>
          <w:rFonts w:eastAsiaTheme="minorEastAsia"/>
          <w:b/>
          <w:color w:val="000000"/>
          <w:kern w:val="0"/>
          <w:szCs w:val="21"/>
        </w:rPr>
        <w:t>年</w:t>
      </w:r>
      <w:r>
        <w:rPr>
          <w:rFonts w:eastAsiaTheme="minorEastAsia"/>
          <w:b/>
          <w:color w:val="000000"/>
          <w:kern w:val="0"/>
          <w:szCs w:val="21"/>
        </w:rPr>
        <w:t>7</w:t>
      </w:r>
      <w:r>
        <w:rPr>
          <w:rFonts w:eastAsiaTheme="minorEastAsia"/>
          <w:b/>
          <w:color w:val="000000"/>
          <w:kern w:val="0"/>
          <w:szCs w:val="21"/>
        </w:rPr>
        <w:t>月</w:t>
      </w:r>
      <w:r>
        <w:rPr>
          <w:rFonts w:eastAsiaTheme="minorEastAsia"/>
          <w:b/>
          <w:color w:val="000000"/>
          <w:kern w:val="0"/>
          <w:szCs w:val="21"/>
        </w:rPr>
        <w:t>27</w:t>
      </w:r>
      <w:r>
        <w:rPr>
          <w:rFonts w:eastAsiaTheme="minorEastAsia"/>
          <w:b/>
          <w:color w:val="000000"/>
          <w:kern w:val="0"/>
          <w:szCs w:val="21"/>
        </w:rPr>
        <w:t>日）</w:t>
      </w:r>
    </w:p>
    <w:p w:rsidR="003663E4" w:rsidRDefault="00FD3F7D">
      <w:pPr>
        <w:pStyle w:val="3"/>
        <w:spacing w:before="0" w:after="0" w:line="360" w:lineRule="auto"/>
        <w:rPr>
          <w:color w:val="000000"/>
          <w:sz w:val="21"/>
          <w:szCs w:val="21"/>
        </w:rPr>
      </w:pPr>
      <w:bookmarkStart w:id="237" w:name="_Toc23339404"/>
      <w:bookmarkStart w:id="238" w:name="_Toc225498273"/>
      <w:bookmarkStart w:id="239" w:name="_Toc331410102"/>
      <w:bookmarkStart w:id="240" w:name="_Toc23038"/>
      <w:r>
        <w:rPr>
          <w:color w:val="000000"/>
          <w:sz w:val="21"/>
          <w:szCs w:val="21"/>
        </w:rPr>
        <w:t>8.2.1</w:t>
      </w:r>
      <w:r>
        <w:rPr>
          <w:rFonts w:hint="eastAsia"/>
          <w:color w:val="000000"/>
          <w:sz w:val="21"/>
          <w:szCs w:val="21"/>
        </w:rPr>
        <w:t xml:space="preserve"> </w:t>
      </w:r>
      <w:r>
        <w:rPr>
          <w:color w:val="000000"/>
          <w:sz w:val="21"/>
          <w:szCs w:val="21"/>
        </w:rPr>
        <w:t>期末基金资产组合情况</w:t>
      </w:r>
      <w:bookmarkEnd w:id="237"/>
      <w:bookmarkEnd w:id="238"/>
      <w:bookmarkEnd w:id="239"/>
      <w:bookmarkEnd w:id="240"/>
    </w:p>
    <w:p w:rsidR="003663E4" w:rsidRDefault="00FD3F7D">
      <w:pPr>
        <w:autoSpaceDE w:val="0"/>
        <w:autoSpaceDN w:val="0"/>
        <w:adjustRightInd w:val="0"/>
        <w:spacing w:before="29" w:line="360" w:lineRule="auto"/>
        <w:ind w:left="15"/>
        <w:jc w:val="right"/>
        <w:rPr>
          <w:rFonts w:asciiTheme="minorEastAsia" w:eastAsiaTheme="minorEastAsia" w:hAnsiTheme="minorEastAsia"/>
          <w:kern w:val="0"/>
          <w:szCs w:val="21"/>
        </w:rPr>
      </w:pPr>
      <w:r>
        <w:rPr>
          <w:rFonts w:asciiTheme="minorEastAsia" w:eastAsiaTheme="minorEastAsia" w:hAnsiTheme="minorEastAsia" w:hint="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3663E4">
        <w:tc>
          <w:tcPr>
            <w:tcW w:w="1080" w:type="dxa"/>
            <w:vAlign w:val="center"/>
          </w:tcPr>
          <w:p w:rsidR="003663E4" w:rsidRDefault="00FD3F7D">
            <w:pPr>
              <w:spacing w:line="360" w:lineRule="auto"/>
              <w:jc w:val="center"/>
              <w:rPr>
                <w:rFonts w:eastAsiaTheme="minorEastAsia"/>
                <w:szCs w:val="21"/>
              </w:rPr>
            </w:pPr>
            <w:r>
              <w:rPr>
                <w:rFonts w:eastAsiaTheme="minorEastAsia"/>
                <w:szCs w:val="21"/>
              </w:rPr>
              <w:t>序号</w:t>
            </w:r>
          </w:p>
        </w:tc>
        <w:tc>
          <w:tcPr>
            <w:tcW w:w="3420" w:type="dxa"/>
            <w:vAlign w:val="center"/>
          </w:tcPr>
          <w:p w:rsidR="003663E4" w:rsidRDefault="00FD3F7D">
            <w:pPr>
              <w:spacing w:line="360" w:lineRule="auto"/>
              <w:jc w:val="center"/>
              <w:rPr>
                <w:rFonts w:eastAsiaTheme="minorEastAsia"/>
                <w:szCs w:val="21"/>
              </w:rPr>
            </w:pPr>
            <w:r>
              <w:rPr>
                <w:rFonts w:eastAsiaTheme="minorEastAsia"/>
                <w:szCs w:val="21"/>
              </w:rPr>
              <w:t>项目</w:t>
            </w:r>
          </w:p>
        </w:tc>
        <w:tc>
          <w:tcPr>
            <w:tcW w:w="2520" w:type="dxa"/>
            <w:vAlign w:val="center"/>
          </w:tcPr>
          <w:p w:rsidR="003663E4" w:rsidRDefault="00FD3F7D">
            <w:pPr>
              <w:spacing w:line="360" w:lineRule="auto"/>
              <w:jc w:val="center"/>
              <w:rPr>
                <w:rFonts w:eastAsiaTheme="minorEastAsia"/>
                <w:szCs w:val="21"/>
              </w:rPr>
            </w:pPr>
            <w:r>
              <w:rPr>
                <w:rFonts w:eastAsiaTheme="minorEastAsia"/>
                <w:szCs w:val="21"/>
              </w:rPr>
              <w:t>金额</w:t>
            </w:r>
          </w:p>
        </w:tc>
        <w:tc>
          <w:tcPr>
            <w:tcW w:w="1980" w:type="dxa"/>
            <w:vAlign w:val="center"/>
          </w:tcPr>
          <w:p w:rsidR="003663E4" w:rsidRDefault="00FD3F7D">
            <w:pPr>
              <w:spacing w:line="360" w:lineRule="auto"/>
              <w:jc w:val="center"/>
              <w:rPr>
                <w:rFonts w:eastAsiaTheme="minorEastAsia"/>
                <w:szCs w:val="21"/>
              </w:rPr>
            </w:pPr>
            <w:r>
              <w:rPr>
                <w:rFonts w:eastAsiaTheme="minorEastAsia"/>
                <w:szCs w:val="21"/>
              </w:rPr>
              <w:t>占基金总资产的比例（</w:t>
            </w:r>
            <w:r>
              <w:rPr>
                <w:rFonts w:eastAsiaTheme="minorEastAsia"/>
                <w:szCs w:val="21"/>
              </w:rPr>
              <w:t>%</w:t>
            </w:r>
            <w:r>
              <w:rPr>
                <w:rFonts w:eastAsiaTheme="minorEastAsia"/>
                <w:szCs w:val="21"/>
              </w:rPr>
              <w:t>）</w:t>
            </w:r>
          </w:p>
        </w:tc>
      </w:tr>
      <w:tr w:rsidR="003663E4">
        <w:tc>
          <w:tcPr>
            <w:tcW w:w="1080" w:type="dxa"/>
            <w:vAlign w:val="center"/>
          </w:tcPr>
          <w:p w:rsidR="003663E4" w:rsidRDefault="00FD3F7D">
            <w:pPr>
              <w:spacing w:line="360" w:lineRule="auto"/>
              <w:jc w:val="center"/>
              <w:rPr>
                <w:rFonts w:eastAsiaTheme="minorEastAsia"/>
                <w:szCs w:val="21"/>
              </w:rPr>
            </w:pPr>
            <w:r>
              <w:rPr>
                <w:rFonts w:eastAsiaTheme="minorEastAsia"/>
                <w:szCs w:val="21"/>
              </w:rPr>
              <w:t>1</w:t>
            </w:r>
          </w:p>
        </w:tc>
        <w:tc>
          <w:tcPr>
            <w:tcW w:w="3420" w:type="dxa"/>
            <w:vAlign w:val="center"/>
          </w:tcPr>
          <w:p w:rsidR="003663E4" w:rsidRDefault="00FD3F7D">
            <w:pPr>
              <w:spacing w:line="360" w:lineRule="auto"/>
              <w:ind w:leftChars="50" w:left="105"/>
              <w:rPr>
                <w:rFonts w:eastAsiaTheme="minorEastAsia"/>
                <w:szCs w:val="21"/>
              </w:rPr>
            </w:pPr>
            <w:r>
              <w:rPr>
                <w:rFonts w:eastAsiaTheme="minorEastAsia"/>
                <w:szCs w:val="21"/>
              </w:rPr>
              <w:t>固定收益投资</w:t>
            </w:r>
          </w:p>
        </w:tc>
        <w:tc>
          <w:tcPr>
            <w:tcW w:w="2520" w:type="dxa"/>
            <w:vAlign w:val="center"/>
          </w:tcPr>
          <w:p w:rsidR="003663E4" w:rsidRDefault="00FD3F7D">
            <w:pPr>
              <w:spacing w:before="29" w:line="360" w:lineRule="auto"/>
              <w:ind w:left="17"/>
              <w:jc w:val="right"/>
              <w:rPr>
                <w:rFonts w:eastAsiaTheme="minorEastAsia"/>
                <w:szCs w:val="21"/>
              </w:rPr>
            </w:pPr>
            <w:r>
              <w:rPr>
                <w:rFonts w:eastAsiaTheme="minorEastAsia"/>
                <w:szCs w:val="21"/>
              </w:rPr>
              <w:t>729,966,052.15</w:t>
            </w:r>
          </w:p>
        </w:tc>
        <w:tc>
          <w:tcPr>
            <w:tcW w:w="1980" w:type="dxa"/>
            <w:vAlign w:val="center"/>
          </w:tcPr>
          <w:p w:rsidR="003663E4" w:rsidRDefault="00FD3F7D">
            <w:pPr>
              <w:spacing w:before="29" w:line="360" w:lineRule="auto"/>
              <w:ind w:left="17"/>
              <w:jc w:val="right"/>
              <w:rPr>
                <w:rFonts w:eastAsiaTheme="minorEastAsia"/>
                <w:szCs w:val="21"/>
              </w:rPr>
            </w:pPr>
            <w:r>
              <w:rPr>
                <w:rFonts w:eastAsiaTheme="minorEastAsia"/>
                <w:szCs w:val="21"/>
              </w:rPr>
              <w:t>94.39</w:t>
            </w:r>
          </w:p>
        </w:tc>
      </w:tr>
      <w:tr w:rsidR="003663E4">
        <w:tc>
          <w:tcPr>
            <w:tcW w:w="1080" w:type="dxa"/>
            <w:vAlign w:val="center"/>
          </w:tcPr>
          <w:p w:rsidR="003663E4" w:rsidRDefault="003663E4">
            <w:pPr>
              <w:spacing w:line="360" w:lineRule="auto"/>
              <w:jc w:val="center"/>
              <w:rPr>
                <w:rFonts w:eastAsiaTheme="minorEastAsia"/>
                <w:szCs w:val="21"/>
              </w:rPr>
            </w:pPr>
          </w:p>
        </w:tc>
        <w:tc>
          <w:tcPr>
            <w:tcW w:w="3420" w:type="dxa"/>
            <w:vAlign w:val="center"/>
          </w:tcPr>
          <w:p w:rsidR="003663E4" w:rsidRDefault="00FD3F7D">
            <w:pPr>
              <w:spacing w:line="360" w:lineRule="auto"/>
              <w:ind w:leftChars="50" w:left="105"/>
              <w:rPr>
                <w:rFonts w:eastAsiaTheme="minorEastAsia"/>
                <w:szCs w:val="21"/>
              </w:rPr>
            </w:pPr>
            <w:r>
              <w:rPr>
                <w:rFonts w:eastAsiaTheme="minorEastAsia"/>
                <w:szCs w:val="21"/>
              </w:rPr>
              <w:t>其中：债券</w:t>
            </w:r>
          </w:p>
        </w:tc>
        <w:tc>
          <w:tcPr>
            <w:tcW w:w="2520" w:type="dxa"/>
            <w:vAlign w:val="center"/>
          </w:tcPr>
          <w:p w:rsidR="003663E4" w:rsidRDefault="00FD3F7D">
            <w:pPr>
              <w:spacing w:before="29" w:line="360" w:lineRule="auto"/>
              <w:ind w:left="17"/>
              <w:jc w:val="right"/>
              <w:rPr>
                <w:rFonts w:eastAsiaTheme="minorEastAsia"/>
                <w:szCs w:val="21"/>
              </w:rPr>
            </w:pPr>
            <w:r>
              <w:rPr>
                <w:rFonts w:eastAsiaTheme="minorEastAsia"/>
                <w:szCs w:val="21"/>
              </w:rPr>
              <w:t>729,966,052.15</w:t>
            </w:r>
          </w:p>
        </w:tc>
        <w:tc>
          <w:tcPr>
            <w:tcW w:w="1980" w:type="dxa"/>
            <w:vAlign w:val="center"/>
          </w:tcPr>
          <w:p w:rsidR="003663E4" w:rsidRDefault="00FD3F7D">
            <w:pPr>
              <w:spacing w:before="29" w:line="360" w:lineRule="auto"/>
              <w:ind w:left="17"/>
              <w:jc w:val="right"/>
              <w:rPr>
                <w:rFonts w:eastAsiaTheme="minorEastAsia"/>
                <w:szCs w:val="21"/>
              </w:rPr>
            </w:pPr>
            <w:r>
              <w:rPr>
                <w:rFonts w:eastAsiaTheme="minorEastAsia"/>
                <w:szCs w:val="21"/>
              </w:rPr>
              <w:t>94.39</w:t>
            </w:r>
          </w:p>
        </w:tc>
      </w:tr>
      <w:tr w:rsidR="003663E4">
        <w:tc>
          <w:tcPr>
            <w:tcW w:w="1080" w:type="dxa"/>
            <w:vAlign w:val="center"/>
          </w:tcPr>
          <w:p w:rsidR="003663E4" w:rsidRDefault="003663E4">
            <w:pPr>
              <w:spacing w:line="360" w:lineRule="auto"/>
              <w:jc w:val="center"/>
              <w:rPr>
                <w:rFonts w:eastAsiaTheme="minorEastAsia"/>
                <w:szCs w:val="21"/>
              </w:rPr>
            </w:pPr>
          </w:p>
        </w:tc>
        <w:tc>
          <w:tcPr>
            <w:tcW w:w="3420" w:type="dxa"/>
            <w:vAlign w:val="center"/>
          </w:tcPr>
          <w:p w:rsidR="003663E4" w:rsidRDefault="00FD3F7D">
            <w:pPr>
              <w:spacing w:line="360" w:lineRule="auto"/>
              <w:ind w:leftChars="50" w:left="105" w:firstLineChars="300" w:firstLine="630"/>
              <w:rPr>
                <w:rFonts w:eastAsiaTheme="minorEastAsia"/>
                <w:szCs w:val="21"/>
              </w:rPr>
            </w:pPr>
            <w:r>
              <w:rPr>
                <w:rFonts w:eastAsiaTheme="minorEastAsia"/>
                <w:szCs w:val="21"/>
              </w:rPr>
              <w:t>资产支持证券</w:t>
            </w:r>
          </w:p>
        </w:tc>
        <w:tc>
          <w:tcPr>
            <w:tcW w:w="2520" w:type="dxa"/>
            <w:vAlign w:val="center"/>
          </w:tcPr>
          <w:p w:rsidR="003663E4" w:rsidRDefault="00FD3F7D">
            <w:pPr>
              <w:spacing w:before="29" w:line="360" w:lineRule="auto"/>
              <w:ind w:left="17"/>
              <w:jc w:val="right"/>
              <w:rPr>
                <w:rFonts w:eastAsiaTheme="minorEastAsia"/>
                <w:szCs w:val="21"/>
              </w:rPr>
            </w:pPr>
            <w:r>
              <w:rPr>
                <w:rFonts w:eastAsiaTheme="minorEastAsia"/>
                <w:szCs w:val="21"/>
              </w:rPr>
              <w:t>-</w:t>
            </w:r>
          </w:p>
        </w:tc>
        <w:tc>
          <w:tcPr>
            <w:tcW w:w="1980" w:type="dxa"/>
            <w:vAlign w:val="center"/>
          </w:tcPr>
          <w:p w:rsidR="003663E4" w:rsidRDefault="00FD3F7D">
            <w:pPr>
              <w:spacing w:before="29" w:line="360" w:lineRule="auto"/>
              <w:ind w:left="17"/>
              <w:jc w:val="right"/>
              <w:rPr>
                <w:rFonts w:eastAsiaTheme="minorEastAsia"/>
                <w:szCs w:val="21"/>
              </w:rPr>
            </w:pPr>
            <w:r>
              <w:rPr>
                <w:rFonts w:eastAsiaTheme="minorEastAsia"/>
                <w:szCs w:val="21"/>
              </w:rPr>
              <w:t>-</w:t>
            </w:r>
          </w:p>
        </w:tc>
      </w:tr>
      <w:tr w:rsidR="003663E4">
        <w:tc>
          <w:tcPr>
            <w:tcW w:w="1080" w:type="dxa"/>
            <w:vAlign w:val="center"/>
          </w:tcPr>
          <w:p w:rsidR="003663E4" w:rsidRDefault="00FD3F7D">
            <w:pPr>
              <w:spacing w:line="360" w:lineRule="auto"/>
              <w:jc w:val="center"/>
              <w:rPr>
                <w:rFonts w:eastAsiaTheme="minorEastAsia"/>
                <w:szCs w:val="21"/>
              </w:rPr>
            </w:pPr>
            <w:r>
              <w:rPr>
                <w:rFonts w:eastAsiaTheme="minorEastAsia"/>
                <w:szCs w:val="21"/>
              </w:rPr>
              <w:t>2</w:t>
            </w:r>
          </w:p>
        </w:tc>
        <w:tc>
          <w:tcPr>
            <w:tcW w:w="3420" w:type="dxa"/>
            <w:vAlign w:val="center"/>
          </w:tcPr>
          <w:p w:rsidR="003663E4" w:rsidRDefault="00FD3F7D">
            <w:pPr>
              <w:spacing w:line="360" w:lineRule="auto"/>
              <w:ind w:leftChars="50" w:left="105"/>
              <w:rPr>
                <w:rFonts w:eastAsiaTheme="minorEastAsia"/>
                <w:szCs w:val="21"/>
              </w:rPr>
            </w:pPr>
            <w:r>
              <w:rPr>
                <w:rFonts w:eastAsiaTheme="minorEastAsia"/>
                <w:szCs w:val="21"/>
              </w:rPr>
              <w:t>买入返售金融资产</w:t>
            </w:r>
          </w:p>
        </w:tc>
        <w:tc>
          <w:tcPr>
            <w:tcW w:w="2520" w:type="dxa"/>
            <w:vAlign w:val="center"/>
          </w:tcPr>
          <w:p w:rsidR="003663E4" w:rsidRDefault="00FD3F7D">
            <w:pPr>
              <w:spacing w:before="29" w:line="360" w:lineRule="auto"/>
              <w:ind w:left="17"/>
              <w:jc w:val="right"/>
              <w:rPr>
                <w:rFonts w:eastAsiaTheme="minorEastAsia"/>
                <w:szCs w:val="21"/>
              </w:rPr>
            </w:pPr>
            <w:r>
              <w:rPr>
                <w:rFonts w:eastAsiaTheme="minorEastAsia"/>
                <w:szCs w:val="21"/>
              </w:rPr>
              <w:t>35,000,000.00</w:t>
            </w:r>
          </w:p>
        </w:tc>
        <w:tc>
          <w:tcPr>
            <w:tcW w:w="1980" w:type="dxa"/>
            <w:vAlign w:val="center"/>
          </w:tcPr>
          <w:p w:rsidR="003663E4" w:rsidRDefault="00FD3F7D">
            <w:pPr>
              <w:spacing w:before="29" w:line="360" w:lineRule="auto"/>
              <w:ind w:left="17"/>
              <w:jc w:val="right"/>
              <w:rPr>
                <w:rFonts w:eastAsiaTheme="minorEastAsia"/>
                <w:szCs w:val="21"/>
              </w:rPr>
            </w:pPr>
            <w:r>
              <w:rPr>
                <w:rFonts w:eastAsiaTheme="minorEastAsia"/>
                <w:szCs w:val="21"/>
              </w:rPr>
              <w:t>4.53</w:t>
            </w:r>
          </w:p>
        </w:tc>
      </w:tr>
      <w:tr w:rsidR="003663E4">
        <w:tc>
          <w:tcPr>
            <w:tcW w:w="1080" w:type="dxa"/>
            <w:vAlign w:val="center"/>
          </w:tcPr>
          <w:p w:rsidR="003663E4" w:rsidRDefault="003663E4">
            <w:pPr>
              <w:spacing w:line="360" w:lineRule="auto"/>
              <w:jc w:val="center"/>
              <w:rPr>
                <w:rFonts w:eastAsiaTheme="minorEastAsia"/>
                <w:szCs w:val="21"/>
              </w:rPr>
            </w:pPr>
          </w:p>
        </w:tc>
        <w:tc>
          <w:tcPr>
            <w:tcW w:w="3420" w:type="dxa"/>
            <w:vAlign w:val="center"/>
          </w:tcPr>
          <w:p w:rsidR="003663E4" w:rsidRDefault="00FD3F7D">
            <w:pPr>
              <w:spacing w:line="360" w:lineRule="auto"/>
              <w:ind w:leftChars="50" w:left="105"/>
              <w:rPr>
                <w:rFonts w:eastAsiaTheme="minorEastAsia"/>
                <w:szCs w:val="21"/>
              </w:rPr>
            </w:pPr>
            <w:r>
              <w:rPr>
                <w:rFonts w:eastAsiaTheme="minorEastAsia"/>
                <w:szCs w:val="21"/>
              </w:rPr>
              <w:t>其中：买断式回购的买入返售金融资产</w:t>
            </w:r>
          </w:p>
        </w:tc>
        <w:tc>
          <w:tcPr>
            <w:tcW w:w="2520" w:type="dxa"/>
            <w:vAlign w:val="center"/>
          </w:tcPr>
          <w:p w:rsidR="003663E4" w:rsidRDefault="00FD3F7D">
            <w:pPr>
              <w:spacing w:before="29" w:line="360" w:lineRule="auto"/>
              <w:ind w:left="17"/>
              <w:jc w:val="right"/>
              <w:rPr>
                <w:rFonts w:eastAsiaTheme="minorEastAsia"/>
                <w:szCs w:val="21"/>
              </w:rPr>
            </w:pPr>
            <w:r>
              <w:rPr>
                <w:rFonts w:eastAsiaTheme="minorEastAsia"/>
                <w:szCs w:val="21"/>
              </w:rPr>
              <w:t>-</w:t>
            </w:r>
          </w:p>
        </w:tc>
        <w:tc>
          <w:tcPr>
            <w:tcW w:w="1980" w:type="dxa"/>
            <w:vAlign w:val="center"/>
          </w:tcPr>
          <w:p w:rsidR="003663E4" w:rsidRDefault="00FD3F7D">
            <w:pPr>
              <w:spacing w:before="29" w:line="360" w:lineRule="auto"/>
              <w:ind w:left="17"/>
              <w:jc w:val="right"/>
              <w:rPr>
                <w:rFonts w:eastAsiaTheme="minorEastAsia"/>
                <w:szCs w:val="21"/>
              </w:rPr>
            </w:pPr>
            <w:r>
              <w:rPr>
                <w:rFonts w:eastAsiaTheme="minorEastAsia"/>
                <w:szCs w:val="21"/>
              </w:rPr>
              <w:t>-</w:t>
            </w:r>
          </w:p>
        </w:tc>
      </w:tr>
      <w:tr w:rsidR="003663E4">
        <w:tc>
          <w:tcPr>
            <w:tcW w:w="1080" w:type="dxa"/>
            <w:vAlign w:val="center"/>
          </w:tcPr>
          <w:p w:rsidR="003663E4" w:rsidRDefault="00FD3F7D">
            <w:pPr>
              <w:spacing w:line="360" w:lineRule="auto"/>
              <w:jc w:val="center"/>
              <w:rPr>
                <w:rFonts w:eastAsiaTheme="minorEastAsia"/>
                <w:szCs w:val="21"/>
              </w:rPr>
            </w:pPr>
            <w:r>
              <w:rPr>
                <w:rFonts w:eastAsiaTheme="minorEastAsia"/>
                <w:szCs w:val="21"/>
              </w:rPr>
              <w:t>3</w:t>
            </w:r>
          </w:p>
        </w:tc>
        <w:tc>
          <w:tcPr>
            <w:tcW w:w="3420" w:type="dxa"/>
            <w:vAlign w:val="center"/>
          </w:tcPr>
          <w:p w:rsidR="003663E4" w:rsidRDefault="00FD3F7D">
            <w:pPr>
              <w:spacing w:line="360" w:lineRule="auto"/>
              <w:ind w:leftChars="50" w:left="105"/>
              <w:rPr>
                <w:rFonts w:eastAsiaTheme="minorEastAsia"/>
                <w:szCs w:val="21"/>
              </w:rPr>
            </w:pPr>
            <w:r>
              <w:rPr>
                <w:rFonts w:eastAsiaTheme="minorEastAsia"/>
                <w:szCs w:val="21"/>
              </w:rPr>
              <w:t>银行存款和结算备付金合计</w:t>
            </w:r>
          </w:p>
        </w:tc>
        <w:tc>
          <w:tcPr>
            <w:tcW w:w="2520" w:type="dxa"/>
            <w:vAlign w:val="center"/>
          </w:tcPr>
          <w:p w:rsidR="003663E4" w:rsidRDefault="00FD3F7D">
            <w:pPr>
              <w:spacing w:before="29" w:line="360" w:lineRule="auto"/>
              <w:ind w:left="17"/>
              <w:jc w:val="right"/>
              <w:rPr>
                <w:rFonts w:eastAsiaTheme="minorEastAsia"/>
                <w:szCs w:val="21"/>
              </w:rPr>
            </w:pPr>
            <w:r>
              <w:rPr>
                <w:rFonts w:eastAsiaTheme="minorEastAsia"/>
                <w:szCs w:val="21"/>
              </w:rPr>
              <w:t>2,715,773.95</w:t>
            </w:r>
          </w:p>
        </w:tc>
        <w:tc>
          <w:tcPr>
            <w:tcW w:w="1980" w:type="dxa"/>
            <w:vAlign w:val="center"/>
          </w:tcPr>
          <w:p w:rsidR="003663E4" w:rsidRDefault="00FD3F7D">
            <w:pPr>
              <w:spacing w:before="29" w:line="360" w:lineRule="auto"/>
              <w:ind w:left="17"/>
              <w:jc w:val="right"/>
              <w:rPr>
                <w:rFonts w:eastAsiaTheme="minorEastAsia"/>
                <w:szCs w:val="21"/>
              </w:rPr>
            </w:pPr>
            <w:r>
              <w:rPr>
                <w:rFonts w:eastAsiaTheme="minorEastAsia"/>
                <w:szCs w:val="21"/>
              </w:rPr>
              <w:t>0.35</w:t>
            </w:r>
          </w:p>
        </w:tc>
      </w:tr>
      <w:tr w:rsidR="003663E4">
        <w:tc>
          <w:tcPr>
            <w:tcW w:w="1080" w:type="dxa"/>
            <w:vAlign w:val="center"/>
          </w:tcPr>
          <w:p w:rsidR="003663E4" w:rsidRDefault="00FD3F7D">
            <w:pPr>
              <w:spacing w:before="29" w:line="360" w:lineRule="auto"/>
              <w:ind w:left="17"/>
              <w:jc w:val="center"/>
              <w:rPr>
                <w:rFonts w:eastAsiaTheme="minorEastAsia"/>
                <w:szCs w:val="21"/>
              </w:rPr>
            </w:pPr>
            <w:r>
              <w:rPr>
                <w:rFonts w:eastAsiaTheme="minorEastAsia"/>
                <w:szCs w:val="21"/>
              </w:rPr>
              <w:t>4</w:t>
            </w:r>
          </w:p>
        </w:tc>
        <w:tc>
          <w:tcPr>
            <w:tcW w:w="3420" w:type="dxa"/>
            <w:vAlign w:val="center"/>
          </w:tcPr>
          <w:p w:rsidR="003663E4" w:rsidRDefault="00FD3F7D">
            <w:pPr>
              <w:spacing w:line="360" w:lineRule="auto"/>
              <w:ind w:leftChars="50" w:left="105"/>
              <w:rPr>
                <w:rFonts w:eastAsiaTheme="minorEastAsia"/>
                <w:szCs w:val="21"/>
              </w:rPr>
            </w:pPr>
            <w:r>
              <w:rPr>
                <w:rFonts w:eastAsiaTheme="minorEastAsia"/>
                <w:szCs w:val="21"/>
              </w:rPr>
              <w:t>其他各项资产</w:t>
            </w:r>
          </w:p>
        </w:tc>
        <w:tc>
          <w:tcPr>
            <w:tcW w:w="2520" w:type="dxa"/>
            <w:vAlign w:val="center"/>
          </w:tcPr>
          <w:p w:rsidR="003663E4" w:rsidRDefault="00FD3F7D">
            <w:pPr>
              <w:spacing w:line="360" w:lineRule="auto"/>
              <w:jc w:val="right"/>
              <w:rPr>
                <w:rFonts w:eastAsiaTheme="minorEastAsia"/>
                <w:szCs w:val="21"/>
              </w:rPr>
            </w:pPr>
            <w:r>
              <w:rPr>
                <w:rFonts w:eastAsiaTheme="minorEastAsia"/>
                <w:szCs w:val="21"/>
              </w:rPr>
              <w:t>5,630,470.47</w:t>
            </w:r>
          </w:p>
        </w:tc>
        <w:tc>
          <w:tcPr>
            <w:tcW w:w="1980" w:type="dxa"/>
            <w:vAlign w:val="center"/>
          </w:tcPr>
          <w:p w:rsidR="003663E4" w:rsidRDefault="00FD3F7D">
            <w:pPr>
              <w:spacing w:line="360" w:lineRule="auto"/>
              <w:jc w:val="right"/>
              <w:rPr>
                <w:rFonts w:eastAsiaTheme="minorEastAsia"/>
                <w:szCs w:val="21"/>
              </w:rPr>
            </w:pPr>
            <w:r>
              <w:rPr>
                <w:rFonts w:eastAsiaTheme="minorEastAsia"/>
                <w:szCs w:val="21"/>
              </w:rPr>
              <w:t>0.73</w:t>
            </w:r>
          </w:p>
        </w:tc>
      </w:tr>
      <w:tr w:rsidR="003663E4">
        <w:tc>
          <w:tcPr>
            <w:tcW w:w="1080" w:type="dxa"/>
            <w:vAlign w:val="center"/>
          </w:tcPr>
          <w:p w:rsidR="003663E4" w:rsidRDefault="00FD3F7D">
            <w:pPr>
              <w:spacing w:before="29" w:line="360" w:lineRule="auto"/>
              <w:ind w:left="17"/>
              <w:jc w:val="center"/>
              <w:rPr>
                <w:rFonts w:eastAsiaTheme="minorEastAsia"/>
                <w:szCs w:val="21"/>
              </w:rPr>
            </w:pPr>
            <w:r>
              <w:rPr>
                <w:rFonts w:eastAsiaTheme="minorEastAsia"/>
                <w:szCs w:val="21"/>
              </w:rPr>
              <w:t>5</w:t>
            </w:r>
          </w:p>
        </w:tc>
        <w:tc>
          <w:tcPr>
            <w:tcW w:w="3420" w:type="dxa"/>
            <w:vAlign w:val="center"/>
          </w:tcPr>
          <w:p w:rsidR="003663E4" w:rsidRDefault="00FD3F7D">
            <w:pPr>
              <w:spacing w:line="360" w:lineRule="auto"/>
              <w:ind w:leftChars="50" w:left="105"/>
              <w:rPr>
                <w:rFonts w:eastAsiaTheme="minorEastAsia"/>
                <w:szCs w:val="21"/>
              </w:rPr>
            </w:pPr>
            <w:r>
              <w:rPr>
                <w:rFonts w:eastAsiaTheme="minorEastAsia"/>
                <w:szCs w:val="21"/>
              </w:rPr>
              <w:t>合计</w:t>
            </w:r>
          </w:p>
        </w:tc>
        <w:tc>
          <w:tcPr>
            <w:tcW w:w="2520" w:type="dxa"/>
            <w:vAlign w:val="center"/>
          </w:tcPr>
          <w:p w:rsidR="003663E4" w:rsidRDefault="00FD3F7D">
            <w:pPr>
              <w:spacing w:line="360" w:lineRule="auto"/>
              <w:jc w:val="right"/>
              <w:rPr>
                <w:rFonts w:eastAsiaTheme="minorEastAsia"/>
                <w:szCs w:val="21"/>
              </w:rPr>
            </w:pPr>
            <w:r>
              <w:rPr>
                <w:rFonts w:eastAsiaTheme="minorEastAsia"/>
                <w:szCs w:val="21"/>
              </w:rPr>
              <w:t>773,312,296.57</w:t>
            </w:r>
          </w:p>
        </w:tc>
        <w:tc>
          <w:tcPr>
            <w:tcW w:w="1980" w:type="dxa"/>
            <w:vAlign w:val="center"/>
          </w:tcPr>
          <w:p w:rsidR="003663E4" w:rsidRDefault="00FD3F7D">
            <w:pPr>
              <w:spacing w:line="360" w:lineRule="auto"/>
              <w:jc w:val="right"/>
              <w:rPr>
                <w:rFonts w:eastAsiaTheme="minorEastAsia"/>
                <w:szCs w:val="21"/>
              </w:rPr>
            </w:pPr>
            <w:r>
              <w:rPr>
                <w:rFonts w:eastAsiaTheme="minorEastAsia"/>
                <w:szCs w:val="21"/>
              </w:rPr>
              <w:t>100.00</w:t>
            </w:r>
          </w:p>
        </w:tc>
      </w:tr>
    </w:tbl>
    <w:p w:rsidR="003663E4" w:rsidRDefault="00FD3F7D">
      <w:pPr>
        <w:pStyle w:val="3"/>
        <w:spacing w:beforeLines="50" w:before="156" w:after="0" w:line="360" w:lineRule="auto"/>
        <w:rPr>
          <w:color w:val="000000"/>
          <w:kern w:val="0"/>
          <w:sz w:val="21"/>
          <w:szCs w:val="21"/>
        </w:rPr>
      </w:pPr>
      <w:bookmarkStart w:id="241" w:name="_Toc23339405"/>
      <w:bookmarkStart w:id="242" w:name="_Toc23358"/>
      <w:r>
        <w:rPr>
          <w:color w:val="000000"/>
          <w:kern w:val="0"/>
          <w:sz w:val="21"/>
          <w:szCs w:val="21"/>
        </w:rPr>
        <w:t>8.2.2</w:t>
      </w:r>
      <w:r>
        <w:rPr>
          <w:rFonts w:hint="eastAsia"/>
          <w:color w:val="000000"/>
          <w:kern w:val="0"/>
          <w:sz w:val="21"/>
          <w:szCs w:val="21"/>
        </w:rPr>
        <w:t xml:space="preserve"> </w:t>
      </w:r>
      <w:r>
        <w:rPr>
          <w:color w:val="000000"/>
          <w:kern w:val="0"/>
          <w:sz w:val="21"/>
          <w:szCs w:val="21"/>
        </w:rPr>
        <w:t>债券回购融资情况</w:t>
      </w:r>
      <w:bookmarkEnd w:id="241"/>
      <w:bookmarkEnd w:id="242"/>
    </w:p>
    <w:p w:rsidR="003663E4" w:rsidRDefault="00FD3F7D">
      <w:pPr>
        <w:spacing w:line="360" w:lineRule="auto"/>
        <w:jc w:val="right"/>
        <w:rPr>
          <w:b/>
          <w:bCs/>
          <w:color w:val="000000"/>
          <w:szCs w:val="21"/>
        </w:rPr>
      </w:pPr>
      <w:r>
        <w:rPr>
          <w:bCs/>
          <w:color w:val="000000"/>
          <w:szCs w:val="21"/>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12"/>
        <w:gridCol w:w="3116"/>
        <w:gridCol w:w="3212"/>
        <w:gridCol w:w="2310"/>
        <w:gridCol w:w="10"/>
      </w:tblGrid>
      <w:tr w:rsidR="003663E4">
        <w:trPr>
          <w:trHeight w:val="390"/>
          <w:jc w:val="center"/>
        </w:trPr>
        <w:tc>
          <w:tcPr>
            <w:tcW w:w="712" w:type="dxa"/>
            <w:vAlign w:val="center"/>
          </w:tcPr>
          <w:p w:rsidR="003663E4" w:rsidRDefault="00FD3F7D">
            <w:pPr>
              <w:spacing w:line="360" w:lineRule="auto"/>
              <w:jc w:val="center"/>
              <w:rPr>
                <w:rFonts w:eastAsiaTheme="minorEastAsia"/>
                <w:szCs w:val="21"/>
              </w:rPr>
            </w:pPr>
            <w:r>
              <w:rPr>
                <w:rFonts w:eastAsiaTheme="minorEastAsia"/>
                <w:szCs w:val="21"/>
              </w:rPr>
              <w:t>序号</w:t>
            </w:r>
          </w:p>
        </w:tc>
        <w:tc>
          <w:tcPr>
            <w:tcW w:w="3116" w:type="dxa"/>
            <w:tcMar>
              <w:top w:w="15" w:type="dxa"/>
              <w:left w:w="15" w:type="dxa"/>
              <w:bottom w:w="0" w:type="dxa"/>
              <w:right w:w="15" w:type="dxa"/>
            </w:tcMar>
            <w:vAlign w:val="center"/>
          </w:tcPr>
          <w:p w:rsidR="003663E4" w:rsidRDefault="00FD3F7D">
            <w:pPr>
              <w:spacing w:line="360" w:lineRule="auto"/>
              <w:jc w:val="center"/>
              <w:rPr>
                <w:rFonts w:eastAsiaTheme="minorEastAsia"/>
                <w:szCs w:val="21"/>
              </w:rPr>
            </w:pPr>
            <w:r>
              <w:rPr>
                <w:rFonts w:eastAsiaTheme="minorEastAsia"/>
                <w:kern w:val="0"/>
                <w:szCs w:val="21"/>
              </w:rPr>
              <w:t>项目</w:t>
            </w:r>
          </w:p>
        </w:tc>
        <w:tc>
          <w:tcPr>
            <w:tcW w:w="5532" w:type="dxa"/>
            <w:gridSpan w:val="3"/>
            <w:vAlign w:val="center"/>
          </w:tcPr>
          <w:p w:rsidR="003663E4" w:rsidRDefault="00FD3F7D">
            <w:pPr>
              <w:spacing w:line="360" w:lineRule="auto"/>
              <w:jc w:val="center"/>
              <w:rPr>
                <w:rFonts w:eastAsiaTheme="minorEastAsia"/>
                <w:szCs w:val="21"/>
              </w:rPr>
            </w:pPr>
            <w:r>
              <w:rPr>
                <w:rFonts w:eastAsiaTheme="minorEastAsia"/>
                <w:szCs w:val="21"/>
              </w:rPr>
              <w:t>占基金资产净值</w:t>
            </w:r>
            <w:r>
              <w:rPr>
                <w:rFonts w:eastAsiaTheme="minorEastAsia" w:hint="eastAsia"/>
                <w:szCs w:val="21"/>
              </w:rPr>
              <w:t>的</w:t>
            </w:r>
            <w:r>
              <w:rPr>
                <w:rFonts w:eastAsiaTheme="minorEastAsia"/>
                <w:szCs w:val="21"/>
              </w:rPr>
              <w:t>比例（％）</w:t>
            </w:r>
          </w:p>
        </w:tc>
      </w:tr>
      <w:tr w:rsidR="003663E4">
        <w:trPr>
          <w:trHeight w:val="285"/>
          <w:jc w:val="center"/>
        </w:trPr>
        <w:tc>
          <w:tcPr>
            <w:tcW w:w="712" w:type="dxa"/>
            <w:vMerge w:val="restart"/>
            <w:tcMar>
              <w:top w:w="15" w:type="dxa"/>
              <w:left w:w="15" w:type="dxa"/>
              <w:bottom w:w="0" w:type="dxa"/>
              <w:right w:w="15" w:type="dxa"/>
            </w:tcMar>
            <w:vAlign w:val="center"/>
          </w:tcPr>
          <w:p w:rsidR="003663E4" w:rsidRDefault="00FD3F7D">
            <w:pPr>
              <w:spacing w:line="360" w:lineRule="auto"/>
              <w:jc w:val="center"/>
              <w:rPr>
                <w:rFonts w:eastAsiaTheme="minorEastAsia"/>
                <w:szCs w:val="21"/>
              </w:rPr>
            </w:pPr>
            <w:r>
              <w:rPr>
                <w:rFonts w:eastAsiaTheme="minorEastAsia"/>
                <w:szCs w:val="21"/>
              </w:rPr>
              <w:t>1</w:t>
            </w:r>
          </w:p>
        </w:tc>
        <w:tc>
          <w:tcPr>
            <w:tcW w:w="3116" w:type="dxa"/>
            <w:tcMar>
              <w:top w:w="15" w:type="dxa"/>
              <w:left w:w="15" w:type="dxa"/>
              <w:bottom w:w="0" w:type="dxa"/>
              <w:right w:w="15" w:type="dxa"/>
            </w:tcMar>
            <w:vAlign w:val="center"/>
          </w:tcPr>
          <w:p w:rsidR="003663E4" w:rsidRDefault="00FD3F7D">
            <w:pPr>
              <w:spacing w:line="360" w:lineRule="auto"/>
              <w:ind w:leftChars="50" w:left="105"/>
              <w:jc w:val="center"/>
              <w:rPr>
                <w:rFonts w:eastAsiaTheme="minorEastAsia"/>
                <w:szCs w:val="21"/>
              </w:rPr>
            </w:pPr>
            <w:r>
              <w:rPr>
                <w:rFonts w:eastAsiaTheme="minorEastAsia"/>
                <w:szCs w:val="21"/>
              </w:rPr>
              <w:t>报告期内债券回购融资余额</w:t>
            </w:r>
          </w:p>
        </w:tc>
        <w:tc>
          <w:tcPr>
            <w:tcW w:w="5532" w:type="dxa"/>
            <w:gridSpan w:val="3"/>
            <w:vAlign w:val="center"/>
          </w:tcPr>
          <w:p w:rsidR="003663E4" w:rsidRDefault="00FD3F7D">
            <w:pPr>
              <w:spacing w:line="360" w:lineRule="auto"/>
              <w:jc w:val="right"/>
              <w:rPr>
                <w:rFonts w:eastAsiaTheme="minorEastAsia"/>
                <w:szCs w:val="21"/>
              </w:rPr>
            </w:pPr>
            <w:r>
              <w:rPr>
                <w:rFonts w:eastAsiaTheme="minorEastAsia"/>
                <w:szCs w:val="21"/>
              </w:rPr>
              <w:t>9.32</w:t>
            </w:r>
          </w:p>
        </w:tc>
      </w:tr>
      <w:tr w:rsidR="003663E4">
        <w:trPr>
          <w:trHeight w:val="285"/>
          <w:jc w:val="center"/>
        </w:trPr>
        <w:tc>
          <w:tcPr>
            <w:tcW w:w="712" w:type="dxa"/>
            <w:vMerge/>
            <w:tcMar>
              <w:top w:w="15" w:type="dxa"/>
              <w:left w:w="15" w:type="dxa"/>
              <w:bottom w:w="0" w:type="dxa"/>
              <w:right w:w="15" w:type="dxa"/>
            </w:tcMar>
            <w:vAlign w:val="center"/>
          </w:tcPr>
          <w:p w:rsidR="003663E4" w:rsidRDefault="003663E4">
            <w:pPr>
              <w:spacing w:line="360" w:lineRule="auto"/>
              <w:jc w:val="center"/>
              <w:rPr>
                <w:rFonts w:eastAsiaTheme="minorEastAsia"/>
                <w:szCs w:val="21"/>
              </w:rPr>
            </w:pPr>
          </w:p>
        </w:tc>
        <w:tc>
          <w:tcPr>
            <w:tcW w:w="3116" w:type="dxa"/>
            <w:tcMar>
              <w:top w:w="15" w:type="dxa"/>
              <w:left w:w="15" w:type="dxa"/>
              <w:bottom w:w="0" w:type="dxa"/>
              <w:right w:w="15" w:type="dxa"/>
            </w:tcMar>
            <w:vAlign w:val="center"/>
          </w:tcPr>
          <w:p w:rsidR="003663E4" w:rsidRDefault="00FD3F7D">
            <w:pPr>
              <w:spacing w:line="360" w:lineRule="auto"/>
              <w:ind w:leftChars="50" w:left="105"/>
              <w:jc w:val="center"/>
              <w:rPr>
                <w:rFonts w:eastAsiaTheme="minorEastAsia"/>
                <w:szCs w:val="21"/>
              </w:rPr>
            </w:pPr>
            <w:r>
              <w:rPr>
                <w:rFonts w:eastAsiaTheme="minorEastAsia"/>
                <w:szCs w:val="21"/>
              </w:rPr>
              <w:t>其中：买断式回购融资</w:t>
            </w:r>
          </w:p>
        </w:tc>
        <w:tc>
          <w:tcPr>
            <w:tcW w:w="5532" w:type="dxa"/>
            <w:gridSpan w:val="3"/>
            <w:vAlign w:val="center"/>
          </w:tcPr>
          <w:p w:rsidR="003663E4" w:rsidRDefault="00FD3F7D">
            <w:pPr>
              <w:spacing w:line="360" w:lineRule="auto"/>
              <w:jc w:val="right"/>
              <w:rPr>
                <w:rFonts w:eastAsiaTheme="minorEastAsia"/>
                <w:szCs w:val="21"/>
              </w:rPr>
            </w:pPr>
            <w:r>
              <w:rPr>
                <w:rFonts w:eastAsiaTheme="minorEastAsia"/>
                <w:szCs w:val="21"/>
              </w:rPr>
              <w:t>-</w:t>
            </w:r>
          </w:p>
        </w:tc>
      </w:tr>
      <w:tr w:rsidR="003663E4">
        <w:trPr>
          <w:gridAfter w:val="1"/>
          <w:wAfter w:w="10" w:type="dxa"/>
          <w:trHeight w:val="285"/>
          <w:jc w:val="center"/>
        </w:trPr>
        <w:tc>
          <w:tcPr>
            <w:tcW w:w="712" w:type="dxa"/>
            <w:tcMar>
              <w:top w:w="15" w:type="dxa"/>
              <w:left w:w="15" w:type="dxa"/>
              <w:bottom w:w="0" w:type="dxa"/>
              <w:right w:w="15" w:type="dxa"/>
            </w:tcMar>
            <w:vAlign w:val="center"/>
          </w:tcPr>
          <w:p w:rsidR="003663E4" w:rsidRDefault="00FD3F7D">
            <w:pPr>
              <w:spacing w:line="360" w:lineRule="auto"/>
              <w:jc w:val="center"/>
              <w:rPr>
                <w:rFonts w:eastAsiaTheme="minorEastAsia"/>
                <w:szCs w:val="21"/>
              </w:rPr>
            </w:pPr>
            <w:r>
              <w:rPr>
                <w:rFonts w:eastAsiaTheme="minorEastAsia"/>
                <w:szCs w:val="21"/>
              </w:rPr>
              <w:t>序号</w:t>
            </w:r>
          </w:p>
        </w:tc>
        <w:tc>
          <w:tcPr>
            <w:tcW w:w="3116" w:type="dxa"/>
            <w:tcMar>
              <w:top w:w="15" w:type="dxa"/>
              <w:left w:w="15" w:type="dxa"/>
              <w:bottom w:w="0" w:type="dxa"/>
              <w:right w:w="15" w:type="dxa"/>
            </w:tcMar>
            <w:vAlign w:val="center"/>
          </w:tcPr>
          <w:p w:rsidR="003663E4" w:rsidRDefault="00FD3F7D">
            <w:pPr>
              <w:spacing w:line="360" w:lineRule="auto"/>
              <w:jc w:val="center"/>
              <w:rPr>
                <w:rFonts w:eastAsiaTheme="minorEastAsia"/>
                <w:szCs w:val="21"/>
              </w:rPr>
            </w:pPr>
            <w:r>
              <w:rPr>
                <w:rFonts w:eastAsiaTheme="minorEastAsia"/>
                <w:kern w:val="0"/>
                <w:szCs w:val="21"/>
              </w:rPr>
              <w:t>项目</w:t>
            </w:r>
          </w:p>
        </w:tc>
        <w:tc>
          <w:tcPr>
            <w:tcW w:w="3212" w:type="dxa"/>
            <w:vAlign w:val="center"/>
          </w:tcPr>
          <w:p w:rsidR="003663E4" w:rsidRDefault="00FD3F7D">
            <w:pPr>
              <w:spacing w:line="360" w:lineRule="auto"/>
              <w:jc w:val="center"/>
              <w:rPr>
                <w:rFonts w:eastAsiaTheme="minorEastAsia"/>
                <w:szCs w:val="21"/>
              </w:rPr>
            </w:pPr>
            <w:r>
              <w:rPr>
                <w:rFonts w:eastAsiaTheme="minorEastAsia"/>
                <w:kern w:val="0"/>
                <w:szCs w:val="21"/>
              </w:rPr>
              <w:t>金额</w:t>
            </w:r>
          </w:p>
        </w:tc>
        <w:tc>
          <w:tcPr>
            <w:tcW w:w="2310" w:type="dxa"/>
            <w:tcMar>
              <w:top w:w="15" w:type="dxa"/>
              <w:left w:w="15" w:type="dxa"/>
              <w:bottom w:w="0" w:type="dxa"/>
              <w:right w:w="15" w:type="dxa"/>
            </w:tcMar>
            <w:vAlign w:val="center"/>
          </w:tcPr>
          <w:p w:rsidR="003663E4" w:rsidRDefault="00FD3F7D">
            <w:pPr>
              <w:spacing w:line="360" w:lineRule="auto"/>
              <w:jc w:val="center"/>
              <w:rPr>
                <w:rFonts w:eastAsiaTheme="minorEastAsia"/>
                <w:szCs w:val="21"/>
              </w:rPr>
            </w:pPr>
            <w:r>
              <w:rPr>
                <w:rFonts w:eastAsiaTheme="minorEastAsia"/>
                <w:kern w:val="0"/>
                <w:szCs w:val="21"/>
              </w:rPr>
              <w:t>占基金资产净值的比例（％）</w:t>
            </w:r>
          </w:p>
        </w:tc>
      </w:tr>
      <w:tr w:rsidR="003663E4">
        <w:trPr>
          <w:gridAfter w:val="1"/>
          <w:wAfter w:w="10" w:type="dxa"/>
          <w:trHeight w:val="285"/>
          <w:jc w:val="center"/>
        </w:trPr>
        <w:tc>
          <w:tcPr>
            <w:tcW w:w="712" w:type="dxa"/>
            <w:vMerge w:val="restart"/>
            <w:tcMar>
              <w:top w:w="15" w:type="dxa"/>
              <w:left w:w="15" w:type="dxa"/>
              <w:bottom w:w="0" w:type="dxa"/>
              <w:right w:w="15" w:type="dxa"/>
            </w:tcMar>
            <w:vAlign w:val="center"/>
          </w:tcPr>
          <w:p w:rsidR="003663E4" w:rsidRDefault="00FD3F7D">
            <w:pPr>
              <w:spacing w:line="360" w:lineRule="auto"/>
              <w:jc w:val="center"/>
              <w:rPr>
                <w:rFonts w:eastAsiaTheme="minorEastAsia"/>
                <w:szCs w:val="21"/>
              </w:rPr>
            </w:pPr>
            <w:r>
              <w:rPr>
                <w:rFonts w:eastAsiaTheme="minorEastAsia"/>
                <w:szCs w:val="21"/>
              </w:rPr>
              <w:t>2</w:t>
            </w:r>
          </w:p>
        </w:tc>
        <w:tc>
          <w:tcPr>
            <w:tcW w:w="3116" w:type="dxa"/>
            <w:tcMar>
              <w:top w:w="15" w:type="dxa"/>
              <w:left w:w="15" w:type="dxa"/>
              <w:bottom w:w="0" w:type="dxa"/>
              <w:right w:w="15" w:type="dxa"/>
            </w:tcMar>
            <w:vAlign w:val="center"/>
          </w:tcPr>
          <w:p w:rsidR="003663E4" w:rsidRDefault="00FD3F7D">
            <w:pPr>
              <w:spacing w:line="360" w:lineRule="auto"/>
              <w:jc w:val="center"/>
              <w:rPr>
                <w:rFonts w:eastAsiaTheme="minorEastAsia"/>
                <w:szCs w:val="21"/>
              </w:rPr>
            </w:pPr>
            <w:r>
              <w:rPr>
                <w:rFonts w:eastAsiaTheme="minorEastAsia"/>
                <w:szCs w:val="21"/>
              </w:rPr>
              <w:t>报告期末债券回购融资余额</w:t>
            </w:r>
          </w:p>
        </w:tc>
        <w:tc>
          <w:tcPr>
            <w:tcW w:w="3212" w:type="dxa"/>
            <w:vAlign w:val="center"/>
          </w:tcPr>
          <w:p w:rsidR="003663E4" w:rsidRDefault="00FD3F7D">
            <w:pPr>
              <w:spacing w:line="360" w:lineRule="auto"/>
              <w:jc w:val="right"/>
              <w:rPr>
                <w:rFonts w:eastAsiaTheme="minorEastAsia"/>
                <w:szCs w:val="21"/>
              </w:rPr>
            </w:pPr>
            <w:r>
              <w:rPr>
                <w:rFonts w:eastAsiaTheme="minorEastAsia"/>
                <w:szCs w:val="21"/>
              </w:rPr>
              <w:t>-</w:t>
            </w:r>
          </w:p>
        </w:tc>
        <w:tc>
          <w:tcPr>
            <w:tcW w:w="2310" w:type="dxa"/>
            <w:tcMar>
              <w:top w:w="15" w:type="dxa"/>
              <w:left w:w="15" w:type="dxa"/>
              <w:bottom w:w="0" w:type="dxa"/>
              <w:right w:w="15" w:type="dxa"/>
            </w:tcMar>
            <w:vAlign w:val="center"/>
          </w:tcPr>
          <w:p w:rsidR="003663E4" w:rsidRDefault="00FD3F7D">
            <w:pPr>
              <w:spacing w:line="360" w:lineRule="auto"/>
              <w:jc w:val="right"/>
              <w:rPr>
                <w:rFonts w:eastAsiaTheme="minorEastAsia"/>
                <w:szCs w:val="21"/>
              </w:rPr>
            </w:pPr>
            <w:r>
              <w:rPr>
                <w:rFonts w:eastAsiaTheme="minorEastAsia"/>
                <w:szCs w:val="21"/>
              </w:rPr>
              <w:t>-</w:t>
            </w:r>
          </w:p>
        </w:tc>
      </w:tr>
      <w:tr w:rsidR="003663E4">
        <w:trPr>
          <w:gridAfter w:val="1"/>
          <w:wAfter w:w="10" w:type="dxa"/>
          <w:trHeight w:val="285"/>
          <w:jc w:val="center"/>
        </w:trPr>
        <w:tc>
          <w:tcPr>
            <w:tcW w:w="712" w:type="dxa"/>
            <w:vMerge/>
            <w:tcMar>
              <w:top w:w="15" w:type="dxa"/>
              <w:left w:w="15" w:type="dxa"/>
              <w:bottom w:w="0" w:type="dxa"/>
              <w:right w:w="15" w:type="dxa"/>
            </w:tcMar>
            <w:vAlign w:val="center"/>
          </w:tcPr>
          <w:p w:rsidR="003663E4" w:rsidRDefault="003663E4">
            <w:pPr>
              <w:spacing w:line="360" w:lineRule="auto"/>
              <w:jc w:val="center"/>
              <w:rPr>
                <w:rFonts w:eastAsiaTheme="minorEastAsia"/>
                <w:szCs w:val="21"/>
              </w:rPr>
            </w:pPr>
          </w:p>
        </w:tc>
        <w:tc>
          <w:tcPr>
            <w:tcW w:w="3116" w:type="dxa"/>
            <w:tcMar>
              <w:top w:w="15" w:type="dxa"/>
              <w:left w:w="15" w:type="dxa"/>
              <w:bottom w:w="0" w:type="dxa"/>
              <w:right w:w="15" w:type="dxa"/>
            </w:tcMar>
            <w:vAlign w:val="center"/>
          </w:tcPr>
          <w:p w:rsidR="003663E4" w:rsidRDefault="00FD3F7D">
            <w:pPr>
              <w:spacing w:line="360" w:lineRule="auto"/>
              <w:jc w:val="center"/>
              <w:rPr>
                <w:rFonts w:eastAsiaTheme="minorEastAsia"/>
                <w:szCs w:val="21"/>
              </w:rPr>
            </w:pPr>
            <w:r>
              <w:rPr>
                <w:rFonts w:eastAsiaTheme="minorEastAsia"/>
                <w:szCs w:val="21"/>
              </w:rPr>
              <w:t>其中：买断式回购融资</w:t>
            </w:r>
          </w:p>
        </w:tc>
        <w:tc>
          <w:tcPr>
            <w:tcW w:w="3212" w:type="dxa"/>
            <w:vAlign w:val="center"/>
          </w:tcPr>
          <w:p w:rsidR="003663E4" w:rsidRDefault="00FD3F7D">
            <w:pPr>
              <w:spacing w:line="360" w:lineRule="auto"/>
              <w:jc w:val="right"/>
              <w:rPr>
                <w:rFonts w:eastAsiaTheme="minorEastAsia"/>
                <w:szCs w:val="21"/>
              </w:rPr>
            </w:pPr>
            <w:r>
              <w:rPr>
                <w:rFonts w:eastAsiaTheme="minorEastAsia"/>
                <w:szCs w:val="21"/>
              </w:rPr>
              <w:t>-</w:t>
            </w:r>
          </w:p>
        </w:tc>
        <w:tc>
          <w:tcPr>
            <w:tcW w:w="2310" w:type="dxa"/>
            <w:tcMar>
              <w:top w:w="15" w:type="dxa"/>
              <w:left w:w="15" w:type="dxa"/>
              <w:bottom w:w="0" w:type="dxa"/>
              <w:right w:w="15" w:type="dxa"/>
            </w:tcMar>
            <w:vAlign w:val="center"/>
          </w:tcPr>
          <w:p w:rsidR="003663E4" w:rsidRDefault="00FD3F7D">
            <w:pPr>
              <w:spacing w:line="360" w:lineRule="auto"/>
              <w:jc w:val="right"/>
              <w:rPr>
                <w:rFonts w:eastAsiaTheme="minorEastAsia"/>
                <w:szCs w:val="21"/>
              </w:rPr>
            </w:pPr>
            <w:r>
              <w:rPr>
                <w:rFonts w:eastAsiaTheme="minorEastAsia"/>
                <w:szCs w:val="21"/>
              </w:rPr>
              <w:t>-</w:t>
            </w:r>
          </w:p>
        </w:tc>
      </w:tr>
    </w:tbl>
    <w:p w:rsidR="003663E4" w:rsidRDefault="00FD3F7D">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注：报告期内债券回购融资余额占基金资产净值的比例为报告期内每个银行间市场交易日融资余额占资产净值比例的简单平均值。</w:t>
      </w:r>
    </w:p>
    <w:p w:rsidR="003663E4" w:rsidRDefault="00FD3F7D">
      <w:pPr>
        <w:pStyle w:val="3"/>
        <w:spacing w:beforeLines="50" w:before="156" w:after="0" w:line="360" w:lineRule="auto"/>
        <w:rPr>
          <w:rFonts w:asciiTheme="minorEastAsia" w:eastAsiaTheme="minorEastAsia" w:hAnsiTheme="minorEastAsia"/>
          <w:b w:val="0"/>
          <w:kern w:val="0"/>
          <w:szCs w:val="21"/>
        </w:rPr>
      </w:pPr>
      <w:bookmarkStart w:id="243" w:name="_Toc247957040"/>
      <w:bookmarkStart w:id="244" w:name="_Toc23339406"/>
      <w:bookmarkStart w:id="245" w:name="_Toc255486552"/>
      <w:r>
        <w:rPr>
          <w:rFonts w:hint="eastAsia"/>
          <w:color w:val="000000"/>
          <w:kern w:val="0"/>
          <w:sz w:val="21"/>
          <w:szCs w:val="21"/>
        </w:rPr>
        <w:t xml:space="preserve"> </w:t>
      </w:r>
      <w:bookmarkStart w:id="246" w:name="_Toc23317"/>
      <w:r>
        <w:rPr>
          <w:color w:val="000000"/>
          <w:kern w:val="0"/>
          <w:sz w:val="21"/>
          <w:szCs w:val="21"/>
        </w:rPr>
        <w:t>债券正回购的资金余额超过基金资产净值的</w:t>
      </w:r>
      <w:r>
        <w:rPr>
          <w:color w:val="000000"/>
          <w:kern w:val="0"/>
          <w:sz w:val="21"/>
          <w:szCs w:val="21"/>
        </w:rPr>
        <w:t>20%</w:t>
      </w:r>
      <w:r>
        <w:rPr>
          <w:color w:val="000000"/>
          <w:kern w:val="0"/>
          <w:sz w:val="21"/>
          <w:szCs w:val="21"/>
        </w:rPr>
        <w:t>的说明</w:t>
      </w:r>
      <w:bookmarkEnd w:id="243"/>
      <w:bookmarkEnd w:id="244"/>
      <w:bookmarkEnd w:id="245"/>
      <w:bookmarkEnd w:id="246"/>
    </w:p>
    <w:p w:rsidR="003663E4" w:rsidRDefault="00FD3F7D">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本基金合同约定：“本基金进入全国银行间同业市场进行债券回购的资金余额不得超过基金资产净值的</w:t>
      </w:r>
      <w:r>
        <w:rPr>
          <w:rFonts w:eastAsiaTheme="minorEastAsia" w:hint="eastAsia"/>
          <w:kern w:val="0"/>
          <w:szCs w:val="21"/>
        </w:rPr>
        <w:t>40%</w:t>
      </w:r>
      <w:r>
        <w:rPr>
          <w:rFonts w:eastAsiaTheme="minorEastAsia" w:hint="eastAsia"/>
          <w:kern w:val="0"/>
          <w:szCs w:val="21"/>
        </w:rPr>
        <w:t>”。本报告期内，本基金未发生超标情况。</w:t>
      </w:r>
    </w:p>
    <w:p w:rsidR="003663E4" w:rsidRDefault="00FD3F7D">
      <w:pPr>
        <w:pStyle w:val="3"/>
        <w:spacing w:beforeLines="50" w:before="156" w:after="0" w:line="360" w:lineRule="auto"/>
        <w:rPr>
          <w:color w:val="000000"/>
          <w:kern w:val="0"/>
          <w:sz w:val="21"/>
          <w:szCs w:val="21"/>
        </w:rPr>
      </w:pPr>
      <w:bookmarkStart w:id="247" w:name="_Toc23339407"/>
      <w:bookmarkStart w:id="248" w:name="_Toc21821"/>
      <w:r>
        <w:rPr>
          <w:color w:val="000000"/>
          <w:kern w:val="0"/>
          <w:sz w:val="21"/>
          <w:szCs w:val="21"/>
        </w:rPr>
        <w:t>8.2.3</w:t>
      </w:r>
      <w:r>
        <w:rPr>
          <w:rFonts w:hint="eastAsia"/>
          <w:color w:val="000000"/>
          <w:kern w:val="0"/>
          <w:sz w:val="21"/>
          <w:szCs w:val="21"/>
        </w:rPr>
        <w:t xml:space="preserve"> </w:t>
      </w:r>
      <w:r>
        <w:rPr>
          <w:color w:val="000000"/>
          <w:kern w:val="0"/>
          <w:sz w:val="21"/>
          <w:szCs w:val="21"/>
        </w:rPr>
        <w:t>基金投资组合平均剩余期限</w:t>
      </w:r>
      <w:bookmarkEnd w:id="247"/>
      <w:bookmarkEnd w:id="248"/>
    </w:p>
    <w:p w:rsidR="003663E4" w:rsidRDefault="00FD3F7D">
      <w:pPr>
        <w:autoSpaceDE w:val="0"/>
        <w:autoSpaceDN w:val="0"/>
        <w:adjustRightInd w:val="0"/>
        <w:spacing w:line="360" w:lineRule="auto"/>
        <w:jc w:val="left"/>
        <w:rPr>
          <w:b/>
          <w:bCs/>
          <w:color w:val="000000"/>
          <w:kern w:val="0"/>
          <w:szCs w:val="21"/>
        </w:rPr>
      </w:pPr>
      <w:r>
        <w:rPr>
          <w:rFonts w:hint="eastAsia"/>
          <w:b/>
          <w:bCs/>
          <w:color w:val="000000"/>
          <w:kern w:val="0"/>
          <w:szCs w:val="21"/>
        </w:rPr>
        <w:t xml:space="preserve">8.2.3.1 </w:t>
      </w:r>
      <w:r>
        <w:rPr>
          <w:b/>
          <w:bCs/>
          <w:color w:val="000000"/>
          <w:kern w:val="0"/>
          <w:szCs w:val="21"/>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4A0" w:firstRow="1" w:lastRow="0" w:firstColumn="1" w:lastColumn="0" w:noHBand="0" w:noVBand="1"/>
      </w:tblPr>
      <w:tblGrid>
        <w:gridCol w:w="5062"/>
        <w:gridCol w:w="4294"/>
      </w:tblGrid>
      <w:tr w:rsidR="003663E4">
        <w:trPr>
          <w:trHeight w:val="375"/>
          <w:jc w:val="center"/>
        </w:trPr>
        <w:tc>
          <w:tcPr>
            <w:tcW w:w="5062" w:type="dxa"/>
            <w:vAlign w:val="center"/>
          </w:tcPr>
          <w:p w:rsidR="003663E4" w:rsidRDefault="00FD3F7D">
            <w:pPr>
              <w:widowControl/>
              <w:spacing w:line="360" w:lineRule="auto"/>
              <w:jc w:val="center"/>
              <w:rPr>
                <w:rFonts w:eastAsiaTheme="minorEastAsia"/>
                <w:kern w:val="0"/>
                <w:szCs w:val="21"/>
              </w:rPr>
            </w:pPr>
            <w:r>
              <w:rPr>
                <w:rFonts w:eastAsiaTheme="minorEastAsia"/>
                <w:kern w:val="0"/>
                <w:szCs w:val="21"/>
              </w:rPr>
              <w:t>项目</w:t>
            </w:r>
          </w:p>
        </w:tc>
        <w:tc>
          <w:tcPr>
            <w:tcW w:w="4294" w:type="dxa"/>
            <w:vAlign w:val="center"/>
          </w:tcPr>
          <w:p w:rsidR="003663E4" w:rsidRDefault="00FD3F7D">
            <w:pPr>
              <w:widowControl/>
              <w:spacing w:line="360" w:lineRule="auto"/>
              <w:jc w:val="center"/>
              <w:rPr>
                <w:rFonts w:eastAsiaTheme="minorEastAsia"/>
                <w:kern w:val="0"/>
                <w:szCs w:val="21"/>
              </w:rPr>
            </w:pPr>
            <w:r>
              <w:rPr>
                <w:rFonts w:eastAsiaTheme="minorEastAsia"/>
                <w:kern w:val="0"/>
                <w:szCs w:val="21"/>
              </w:rPr>
              <w:t>天数</w:t>
            </w:r>
          </w:p>
        </w:tc>
      </w:tr>
      <w:tr w:rsidR="003663E4">
        <w:trPr>
          <w:trHeight w:val="295"/>
          <w:jc w:val="center"/>
        </w:trPr>
        <w:tc>
          <w:tcPr>
            <w:tcW w:w="5062" w:type="dxa"/>
          </w:tcPr>
          <w:p w:rsidR="003663E4" w:rsidRDefault="00FD3F7D">
            <w:pPr>
              <w:spacing w:line="360" w:lineRule="auto"/>
              <w:rPr>
                <w:rFonts w:eastAsiaTheme="minorEastAsia"/>
                <w:szCs w:val="21"/>
              </w:rPr>
            </w:pPr>
            <w:r>
              <w:rPr>
                <w:rFonts w:eastAsiaTheme="minorEastAsia"/>
                <w:szCs w:val="21"/>
              </w:rPr>
              <w:t>报告期末投资组合平均剩余期限</w:t>
            </w:r>
          </w:p>
        </w:tc>
        <w:tc>
          <w:tcPr>
            <w:tcW w:w="4294" w:type="dxa"/>
            <w:vAlign w:val="center"/>
          </w:tcPr>
          <w:p w:rsidR="003663E4" w:rsidRDefault="00FD3F7D">
            <w:pPr>
              <w:spacing w:line="360" w:lineRule="auto"/>
              <w:jc w:val="center"/>
              <w:rPr>
                <w:rFonts w:eastAsiaTheme="minorEastAsia"/>
                <w:szCs w:val="21"/>
              </w:rPr>
            </w:pPr>
            <w:r>
              <w:rPr>
                <w:rFonts w:eastAsiaTheme="minorEastAsia"/>
                <w:szCs w:val="21"/>
              </w:rPr>
              <w:t>168</w:t>
            </w:r>
          </w:p>
        </w:tc>
      </w:tr>
      <w:tr w:rsidR="003663E4">
        <w:trPr>
          <w:trHeight w:val="295"/>
          <w:jc w:val="center"/>
        </w:trPr>
        <w:tc>
          <w:tcPr>
            <w:tcW w:w="5062" w:type="dxa"/>
          </w:tcPr>
          <w:p w:rsidR="003663E4" w:rsidRDefault="00FD3F7D">
            <w:pPr>
              <w:spacing w:line="360" w:lineRule="auto"/>
              <w:rPr>
                <w:rFonts w:eastAsiaTheme="minorEastAsia"/>
                <w:szCs w:val="21"/>
              </w:rPr>
            </w:pPr>
            <w:r>
              <w:rPr>
                <w:rFonts w:eastAsiaTheme="minorEastAsia"/>
                <w:szCs w:val="21"/>
              </w:rPr>
              <w:t>报告期内投资组合平均剩余期限最高值</w:t>
            </w:r>
          </w:p>
        </w:tc>
        <w:tc>
          <w:tcPr>
            <w:tcW w:w="4294" w:type="dxa"/>
            <w:vAlign w:val="center"/>
          </w:tcPr>
          <w:p w:rsidR="003663E4" w:rsidRDefault="00FD3F7D">
            <w:pPr>
              <w:spacing w:line="360" w:lineRule="auto"/>
              <w:ind w:right="120"/>
              <w:jc w:val="center"/>
              <w:rPr>
                <w:rFonts w:eastAsiaTheme="minorEastAsia"/>
                <w:szCs w:val="21"/>
              </w:rPr>
            </w:pPr>
            <w:r>
              <w:rPr>
                <w:rFonts w:eastAsiaTheme="minorEastAsia"/>
                <w:szCs w:val="21"/>
              </w:rPr>
              <w:t>171</w:t>
            </w:r>
          </w:p>
        </w:tc>
      </w:tr>
      <w:tr w:rsidR="003663E4">
        <w:trPr>
          <w:trHeight w:val="295"/>
          <w:jc w:val="center"/>
        </w:trPr>
        <w:tc>
          <w:tcPr>
            <w:tcW w:w="5062" w:type="dxa"/>
          </w:tcPr>
          <w:p w:rsidR="003663E4" w:rsidRDefault="00FD3F7D">
            <w:pPr>
              <w:spacing w:line="360" w:lineRule="auto"/>
              <w:rPr>
                <w:rFonts w:eastAsiaTheme="minorEastAsia"/>
                <w:szCs w:val="21"/>
              </w:rPr>
            </w:pPr>
            <w:r>
              <w:rPr>
                <w:rFonts w:eastAsiaTheme="minorEastAsia"/>
                <w:szCs w:val="21"/>
              </w:rPr>
              <w:t>报告期内投资组合平均剩余期限最低值</w:t>
            </w:r>
          </w:p>
        </w:tc>
        <w:tc>
          <w:tcPr>
            <w:tcW w:w="4294" w:type="dxa"/>
            <w:vAlign w:val="center"/>
          </w:tcPr>
          <w:p w:rsidR="003663E4" w:rsidRDefault="00FD3F7D">
            <w:pPr>
              <w:spacing w:line="360" w:lineRule="auto"/>
              <w:ind w:right="120"/>
              <w:jc w:val="center"/>
              <w:rPr>
                <w:rFonts w:eastAsiaTheme="minorEastAsia"/>
                <w:szCs w:val="21"/>
              </w:rPr>
            </w:pPr>
            <w:r>
              <w:rPr>
                <w:rFonts w:eastAsiaTheme="minorEastAsia"/>
                <w:szCs w:val="21"/>
              </w:rPr>
              <w:t>12</w:t>
            </w:r>
          </w:p>
        </w:tc>
      </w:tr>
    </w:tbl>
    <w:p w:rsidR="003663E4" w:rsidRDefault="00FD3F7D">
      <w:pPr>
        <w:spacing w:beforeLines="100" w:before="312" w:line="360" w:lineRule="auto"/>
        <w:rPr>
          <w:rFonts w:eastAsiaTheme="minorEastAsia"/>
          <w:b/>
          <w:szCs w:val="21"/>
        </w:rPr>
      </w:pPr>
      <w:r>
        <w:rPr>
          <w:rFonts w:eastAsiaTheme="minorEastAsia" w:hint="eastAsia"/>
          <w:b/>
          <w:szCs w:val="21"/>
        </w:rPr>
        <w:t xml:space="preserve"> </w:t>
      </w:r>
      <w:r>
        <w:rPr>
          <w:rFonts w:eastAsiaTheme="minorEastAsia"/>
          <w:b/>
          <w:szCs w:val="21"/>
        </w:rPr>
        <w:t>报告期内投资组合平均剩余期限超过</w:t>
      </w:r>
      <w:r>
        <w:rPr>
          <w:rFonts w:eastAsiaTheme="minorEastAsia"/>
          <w:b/>
          <w:szCs w:val="21"/>
        </w:rPr>
        <w:t>1</w:t>
      </w:r>
      <w:r>
        <w:rPr>
          <w:rFonts w:eastAsiaTheme="minorEastAsia" w:hint="eastAsia"/>
          <w:b/>
          <w:szCs w:val="21"/>
        </w:rPr>
        <w:t>2</w:t>
      </w:r>
      <w:r>
        <w:rPr>
          <w:rFonts w:eastAsiaTheme="minorEastAsia"/>
          <w:b/>
          <w:szCs w:val="21"/>
        </w:rPr>
        <w:t>0</w:t>
      </w:r>
      <w:r>
        <w:rPr>
          <w:rFonts w:eastAsiaTheme="minorEastAsia"/>
          <w:b/>
          <w:szCs w:val="21"/>
        </w:rPr>
        <w:t>天情况说明</w:t>
      </w:r>
    </w:p>
    <w:p w:rsidR="003663E4" w:rsidRDefault="00FD3F7D">
      <w:pPr>
        <w:tabs>
          <w:tab w:val="left" w:pos="426"/>
        </w:tabs>
        <w:spacing w:line="360" w:lineRule="auto"/>
        <w:ind w:firstLineChars="200" w:firstLine="420"/>
        <w:jc w:val="left"/>
        <w:rPr>
          <w:rFonts w:eastAsiaTheme="minorEastAsia"/>
          <w:kern w:val="0"/>
          <w:szCs w:val="21"/>
        </w:rPr>
      </w:pPr>
      <w:r>
        <w:rPr>
          <w:rFonts w:eastAsiaTheme="minorEastAsia" w:hint="eastAsia"/>
          <w:szCs w:val="21"/>
        </w:rPr>
        <w:t>本基金合同约定：“本基金投资组合的平均剩余期限控制在</w:t>
      </w:r>
      <w:r>
        <w:rPr>
          <w:rFonts w:eastAsiaTheme="minorEastAsia" w:hint="eastAsia"/>
          <w:szCs w:val="21"/>
        </w:rPr>
        <w:t xml:space="preserve">180 </w:t>
      </w:r>
      <w:r>
        <w:rPr>
          <w:rFonts w:eastAsiaTheme="minorEastAsia" w:hint="eastAsia"/>
          <w:szCs w:val="21"/>
        </w:rPr>
        <w:t>天（含）以内。”本基金本报告期内投资组合平均剩余期限未超过</w:t>
      </w:r>
      <w:r>
        <w:rPr>
          <w:rFonts w:eastAsiaTheme="minorEastAsia" w:hint="eastAsia"/>
          <w:szCs w:val="21"/>
        </w:rPr>
        <w:t>180</w:t>
      </w:r>
      <w:r>
        <w:rPr>
          <w:rFonts w:eastAsiaTheme="minorEastAsia" w:hint="eastAsia"/>
          <w:szCs w:val="21"/>
        </w:rPr>
        <w:t>天。</w:t>
      </w:r>
    </w:p>
    <w:p w:rsidR="003663E4" w:rsidRDefault="00FD3F7D">
      <w:pPr>
        <w:autoSpaceDE w:val="0"/>
        <w:autoSpaceDN w:val="0"/>
        <w:adjustRightInd w:val="0"/>
        <w:spacing w:line="360" w:lineRule="auto"/>
        <w:jc w:val="left"/>
        <w:rPr>
          <w:b/>
          <w:bCs/>
          <w:color w:val="000000"/>
          <w:kern w:val="0"/>
          <w:szCs w:val="21"/>
        </w:rPr>
      </w:pPr>
      <w:r>
        <w:rPr>
          <w:rFonts w:hint="eastAsia"/>
          <w:b/>
          <w:bCs/>
          <w:color w:val="000000"/>
          <w:kern w:val="0"/>
          <w:szCs w:val="21"/>
        </w:rPr>
        <w:t xml:space="preserve">8.2.3.2 </w:t>
      </w:r>
      <w:r>
        <w:rPr>
          <w:b/>
          <w:bCs/>
          <w:color w:val="000000"/>
          <w:kern w:val="0"/>
          <w:szCs w:val="21"/>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187"/>
        <w:gridCol w:w="2588"/>
        <w:gridCol w:w="2588"/>
      </w:tblGrid>
      <w:tr w:rsidR="003663E4">
        <w:trPr>
          <w:jc w:val="center"/>
        </w:trPr>
        <w:tc>
          <w:tcPr>
            <w:tcW w:w="993" w:type="dxa"/>
            <w:vAlign w:val="center"/>
          </w:tcPr>
          <w:p w:rsidR="003663E4" w:rsidRDefault="00FD3F7D">
            <w:pPr>
              <w:spacing w:line="360" w:lineRule="auto"/>
              <w:jc w:val="center"/>
              <w:rPr>
                <w:rFonts w:eastAsiaTheme="minorEastAsia"/>
                <w:szCs w:val="21"/>
              </w:rPr>
            </w:pPr>
            <w:r>
              <w:rPr>
                <w:rFonts w:eastAsiaTheme="minorEastAsia"/>
                <w:szCs w:val="21"/>
              </w:rPr>
              <w:t>序号</w:t>
            </w:r>
          </w:p>
        </w:tc>
        <w:tc>
          <w:tcPr>
            <w:tcW w:w="3187" w:type="dxa"/>
            <w:vAlign w:val="center"/>
          </w:tcPr>
          <w:p w:rsidR="003663E4" w:rsidRDefault="00FD3F7D">
            <w:pPr>
              <w:spacing w:line="360" w:lineRule="auto"/>
              <w:jc w:val="center"/>
              <w:rPr>
                <w:rFonts w:eastAsiaTheme="minorEastAsia"/>
                <w:szCs w:val="21"/>
              </w:rPr>
            </w:pPr>
            <w:r>
              <w:rPr>
                <w:rFonts w:eastAsiaTheme="minorEastAsia"/>
                <w:szCs w:val="21"/>
              </w:rPr>
              <w:t>平均剩余期限</w:t>
            </w:r>
          </w:p>
        </w:tc>
        <w:tc>
          <w:tcPr>
            <w:tcW w:w="2588" w:type="dxa"/>
            <w:vAlign w:val="center"/>
          </w:tcPr>
          <w:p w:rsidR="003663E4" w:rsidRDefault="00FD3F7D">
            <w:pPr>
              <w:spacing w:line="360" w:lineRule="auto"/>
              <w:jc w:val="center"/>
              <w:rPr>
                <w:rFonts w:eastAsiaTheme="minorEastAsia"/>
                <w:szCs w:val="21"/>
              </w:rPr>
            </w:pPr>
            <w:r>
              <w:rPr>
                <w:rFonts w:eastAsiaTheme="minorEastAsia"/>
                <w:szCs w:val="21"/>
              </w:rPr>
              <w:t>各期限资产占基金资产净值的比例（</w:t>
            </w:r>
            <w:r>
              <w:rPr>
                <w:rFonts w:ascii="宋体" w:hAnsi="宋体"/>
                <w:sz w:val="24"/>
              </w:rPr>
              <w:t>%</w:t>
            </w:r>
            <w:r>
              <w:rPr>
                <w:rFonts w:eastAsiaTheme="minorEastAsia"/>
                <w:szCs w:val="21"/>
              </w:rPr>
              <w:t>）</w:t>
            </w:r>
          </w:p>
        </w:tc>
        <w:tc>
          <w:tcPr>
            <w:tcW w:w="2588" w:type="dxa"/>
            <w:vAlign w:val="center"/>
          </w:tcPr>
          <w:p w:rsidR="003663E4" w:rsidRDefault="00FD3F7D">
            <w:pPr>
              <w:spacing w:line="360" w:lineRule="auto"/>
              <w:jc w:val="center"/>
              <w:rPr>
                <w:rFonts w:eastAsiaTheme="minorEastAsia"/>
                <w:szCs w:val="21"/>
              </w:rPr>
            </w:pPr>
            <w:r>
              <w:rPr>
                <w:rFonts w:eastAsiaTheme="minorEastAsia"/>
                <w:szCs w:val="21"/>
              </w:rPr>
              <w:t>各期限负债占基金资产净值的比例（</w:t>
            </w:r>
            <w:r>
              <w:rPr>
                <w:rFonts w:ascii="宋体" w:hAnsi="宋体"/>
                <w:sz w:val="24"/>
              </w:rPr>
              <w:t>%</w:t>
            </w:r>
            <w:r>
              <w:rPr>
                <w:rFonts w:eastAsiaTheme="minorEastAsia"/>
                <w:szCs w:val="21"/>
              </w:rPr>
              <w:t>）</w:t>
            </w:r>
          </w:p>
        </w:tc>
      </w:tr>
      <w:tr w:rsidR="003663E4">
        <w:trPr>
          <w:jc w:val="center"/>
        </w:trPr>
        <w:tc>
          <w:tcPr>
            <w:tcW w:w="993" w:type="dxa"/>
          </w:tcPr>
          <w:p w:rsidR="003663E4" w:rsidRDefault="00FD3F7D">
            <w:pPr>
              <w:spacing w:line="360" w:lineRule="auto"/>
              <w:jc w:val="center"/>
              <w:rPr>
                <w:rFonts w:eastAsiaTheme="minorEastAsia"/>
                <w:szCs w:val="21"/>
              </w:rPr>
            </w:pPr>
            <w:r>
              <w:rPr>
                <w:rFonts w:eastAsiaTheme="minorEastAsia"/>
                <w:szCs w:val="21"/>
              </w:rPr>
              <w:t>1</w:t>
            </w:r>
          </w:p>
        </w:tc>
        <w:tc>
          <w:tcPr>
            <w:tcW w:w="3187" w:type="dxa"/>
          </w:tcPr>
          <w:p w:rsidR="003663E4" w:rsidRDefault="00FD3F7D">
            <w:pPr>
              <w:spacing w:line="360" w:lineRule="auto"/>
              <w:rPr>
                <w:rFonts w:eastAsiaTheme="minorEastAsia"/>
                <w:szCs w:val="21"/>
              </w:rPr>
            </w:pPr>
            <w:r>
              <w:rPr>
                <w:rFonts w:eastAsiaTheme="minorEastAsia"/>
                <w:szCs w:val="21"/>
              </w:rPr>
              <w:t>30</w:t>
            </w:r>
            <w:r>
              <w:rPr>
                <w:rFonts w:eastAsiaTheme="minorEastAsia"/>
                <w:szCs w:val="21"/>
              </w:rPr>
              <w:t>天以内</w:t>
            </w:r>
          </w:p>
        </w:tc>
        <w:tc>
          <w:tcPr>
            <w:tcW w:w="2588" w:type="dxa"/>
            <w:vAlign w:val="center"/>
          </w:tcPr>
          <w:p w:rsidR="003663E4" w:rsidRDefault="00FD3F7D">
            <w:pPr>
              <w:spacing w:line="360" w:lineRule="auto"/>
              <w:jc w:val="right"/>
              <w:rPr>
                <w:rFonts w:eastAsiaTheme="minorEastAsia"/>
                <w:szCs w:val="21"/>
              </w:rPr>
            </w:pPr>
            <w:r>
              <w:rPr>
                <w:rFonts w:eastAsiaTheme="minorEastAsia"/>
                <w:szCs w:val="21"/>
              </w:rPr>
              <w:t>4.90</w:t>
            </w:r>
          </w:p>
        </w:tc>
        <w:tc>
          <w:tcPr>
            <w:tcW w:w="2588" w:type="dxa"/>
            <w:vAlign w:val="center"/>
          </w:tcPr>
          <w:p w:rsidR="003663E4" w:rsidRDefault="00FD3F7D">
            <w:pPr>
              <w:spacing w:line="360" w:lineRule="auto"/>
              <w:jc w:val="right"/>
              <w:rPr>
                <w:rFonts w:eastAsiaTheme="minorEastAsia"/>
                <w:szCs w:val="21"/>
              </w:rPr>
            </w:pPr>
            <w:r>
              <w:rPr>
                <w:rFonts w:eastAsiaTheme="minorEastAsia"/>
                <w:szCs w:val="21"/>
              </w:rPr>
              <w:t>-</w:t>
            </w:r>
          </w:p>
        </w:tc>
      </w:tr>
      <w:tr w:rsidR="003663E4">
        <w:trPr>
          <w:jc w:val="center"/>
        </w:trPr>
        <w:tc>
          <w:tcPr>
            <w:tcW w:w="993" w:type="dxa"/>
          </w:tcPr>
          <w:p w:rsidR="003663E4" w:rsidRDefault="003663E4">
            <w:pPr>
              <w:spacing w:line="360" w:lineRule="auto"/>
              <w:jc w:val="center"/>
              <w:rPr>
                <w:rFonts w:eastAsiaTheme="minorEastAsia"/>
                <w:szCs w:val="21"/>
              </w:rPr>
            </w:pPr>
          </w:p>
        </w:tc>
        <w:tc>
          <w:tcPr>
            <w:tcW w:w="3187" w:type="dxa"/>
          </w:tcPr>
          <w:p w:rsidR="003663E4" w:rsidRDefault="00FD3F7D">
            <w:pPr>
              <w:spacing w:line="360" w:lineRule="auto"/>
              <w:rPr>
                <w:rFonts w:eastAsiaTheme="minorEastAsia"/>
                <w:szCs w:val="21"/>
              </w:rPr>
            </w:pPr>
            <w:r>
              <w:rPr>
                <w:rFonts w:eastAsiaTheme="minorEastAsia"/>
                <w:szCs w:val="21"/>
              </w:rPr>
              <w:t>其中：剩余存续期超过</w:t>
            </w:r>
            <w:r>
              <w:rPr>
                <w:rFonts w:eastAsiaTheme="minorEastAsia"/>
                <w:szCs w:val="21"/>
              </w:rPr>
              <w:t>397</w:t>
            </w:r>
            <w:r>
              <w:rPr>
                <w:rFonts w:eastAsiaTheme="minorEastAsia"/>
                <w:szCs w:val="21"/>
              </w:rPr>
              <w:t>天的浮动利率债</w:t>
            </w:r>
          </w:p>
        </w:tc>
        <w:tc>
          <w:tcPr>
            <w:tcW w:w="2588" w:type="dxa"/>
            <w:vAlign w:val="center"/>
          </w:tcPr>
          <w:p w:rsidR="003663E4" w:rsidRDefault="00FD3F7D">
            <w:pPr>
              <w:spacing w:line="360" w:lineRule="auto"/>
              <w:jc w:val="right"/>
              <w:rPr>
                <w:rFonts w:eastAsiaTheme="minorEastAsia"/>
                <w:szCs w:val="21"/>
              </w:rPr>
            </w:pPr>
            <w:r>
              <w:rPr>
                <w:rFonts w:eastAsiaTheme="minorEastAsia"/>
                <w:szCs w:val="21"/>
              </w:rPr>
              <w:t>-</w:t>
            </w:r>
          </w:p>
        </w:tc>
        <w:tc>
          <w:tcPr>
            <w:tcW w:w="2588" w:type="dxa"/>
            <w:vAlign w:val="center"/>
          </w:tcPr>
          <w:p w:rsidR="003663E4" w:rsidRDefault="00FD3F7D">
            <w:pPr>
              <w:spacing w:line="360" w:lineRule="auto"/>
              <w:jc w:val="right"/>
              <w:rPr>
                <w:rFonts w:eastAsiaTheme="minorEastAsia"/>
                <w:szCs w:val="21"/>
              </w:rPr>
            </w:pPr>
            <w:r>
              <w:rPr>
                <w:rFonts w:eastAsiaTheme="minorEastAsia"/>
                <w:szCs w:val="21"/>
              </w:rPr>
              <w:t>-</w:t>
            </w:r>
          </w:p>
        </w:tc>
      </w:tr>
      <w:tr w:rsidR="003663E4">
        <w:trPr>
          <w:jc w:val="center"/>
        </w:trPr>
        <w:tc>
          <w:tcPr>
            <w:tcW w:w="993" w:type="dxa"/>
          </w:tcPr>
          <w:p w:rsidR="003663E4" w:rsidRDefault="00FD3F7D">
            <w:pPr>
              <w:spacing w:line="360" w:lineRule="auto"/>
              <w:jc w:val="center"/>
              <w:rPr>
                <w:rFonts w:eastAsiaTheme="minorEastAsia"/>
                <w:szCs w:val="21"/>
              </w:rPr>
            </w:pPr>
            <w:r>
              <w:rPr>
                <w:rFonts w:eastAsiaTheme="minorEastAsia"/>
                <w:szCs w:val="21"/>
              </w:rPr>
              <w:t>2</w:t>
            </w:r>
          </w:p>
        </w:tc>
        <w:tc>
          <w:tcPr>
            <w:tcW w:w="3187" w:type="dxa"/>
          </w:tcPr>
          <w:p w:rsidR="003663E4" w:rsidRDefault="00FD3F7D">
            <w:pPr>
              <w:spacing w:line="360" w:lineRule="auto"/>
              <w:rPr>
                <w:rFonts w:eastAsiaTheme="minorEastAsia"/>
                <w:szCs w:val="21"/>
              </w:rPr>
            </w:pPr>
            <w:r>
              <w:rPr>
                <w:rFonts w:eastAsiaTheme="minorEastAsia"/>
                <w:szCs w:val="21"/>
              </w:rPr>
              <w:t>30</w:t>
            </w:r>
            <w:r>
              <w:rPr>
                <w:rFonts w:eastAsiaTheme="minorEastAsia"/>
                <w:szCs w:val="21"/>
              </w:rPr>
              <w:t>天（含）</w:t>
            </w:r>
            <w:r>
              <w:rPr>
                <w:rFonts w:eastAsiaTheme="minorEastAsia"/>
                <w:szCs w:val="21"/>
              </w:rPr>
              <w:t>—60</w:t>
            </w:r>
            <w:r>
              <w:rPr>
                <w:rFonts w:eastAsiaTheme="minorEastAsia"/>
                <w:szCs w:val="21"/>
              </w:rPr>
              <w:t>天</w:t>
            </w:r>
          </w:p>
        </w:tc>
        <w:tc>
          <w:tcPr>
            <w:tcW w:w="2588" w:type="dxa"/>
            <w:vAlign w:val="center"/>
          </w:tcPr>
          <w:p w:rsidR="003663E4" w:rsidRDefault="00FD3F7D">
            <w:pPr>
              <w:spacing w:line="360" w:lineRule="auto"/>
              <w:jc w:val="right"/>
              <w:rPr>
                <w:rFonts w:eastAsiaTheme="minorEastAsia"/>
                <w:szCs w:val="21"/>
              </w:rPr>
            </w:pPr>
            <w:r>
              <w:rPr>
                <w:rFonts w:eastAsiaTheme="minorEastAsia"/>
                <w:szCs w:val="21"/>
              </w:rPr>
              <w:t>29.80</w:t>
            </w:r>
          </w:p>
        </w:tc>
        <w:tc>
          <w:tcPr>
            <w:tcW w:w="2588" w:type="dxa"/>
            <w:vAlign w:val="center"/>
          </w:tcPr>
          <w:p w:rsidR="003663E4" w:rsidRDefault="00FD3F7D">
            <w:pPr>
              <w:spacing w:line="360" w:lineRule="auto"/>
              <w:jc w:val="right"/>
              <w:rPr>
                <w:rFonts w:eastAsiaTheme="minorEastAsia"/>
                <w:szCs w:val="21"/>
              </w:rPr>
            </w:pPr>
            <w:r>
              <w:rPr>
                <w:rFonts w:eastAsiaTheme="minorEastAsia"/>
                <w:szCs w:val="21"/>
              </w:rPr>
              <w:t>-</w:t>
            </w:r>
          </w:p>
        </w:tc>
      </w:tr>
      <w:tr w:rsidR="003663E4">
        <w:trPr>
          <w:jc w:val="center"/>
        </w:trPr>
        <w:tc>
          <w:tcPr>
            <w:tcW w:w="993" w:type="dxa"/>
          </w:tcPr>
          <w:p w:rsidR="003663E4" w:rsidRDefault="003663E4">
            <w:pPr>
              <w:spacing w:line="360" w:lineRule="auto"/>
              <w:jc w:val="center"/>
              <w:rPr>
                <w:rFonts w:eastAsiaTheme="minorEastAsia"/>
                <w:szCs w:val="21"/>
              </w:rPr>
            </w:pPr>
          </w:p>
        </w:tc>
        <w:tc>
          <w:tcPr>
            <w:tcW w:w="3187" w:type="dxa"/>
          </w:tcPr>
          <w:p w:rsidR="003663E4" w:rsidRDefault="00FD3F7D">
            <w:pPr>
              <w:spacing w:line="360" w:lineRule="auto"/>
              <w:rPr>
                <w:rFonts w:eastAsiaTheme="minorEastAsia"/>
                <w:szCs w:val="21"/>
              </w:rPr>
            </w:pPr>
            <w:r>
              <w:rPr>
                <w:rFonts w:eastAsiaTheme="minorEastAsia"/>
                <w:szCs w:val="21"/>
              </w:rPr>
              <w:t>其中：剩余存续期超过</w:t>
            </w:r>
            <w:r>
              <w:rPr>
                <w:rFonts w:eastAsiaTheme="minorEastAsia"/>
                <w:szCs w:val="21"/>
              </w:rPr>
              <w:t>397</w:t>
            </w:r>
            <w:r>
              <w:rPr>
                <w:rFonts w:eastAsiaTheme="minorEastAsia"/>
                <w:szCs w:val="21"/>
              </w:rPr>
              <w:t>天的浮动利率债</w:t>
            </w:r>
          </w:p>
        </w:tc>
        <w:tc>
          <w:tcPr>
            <w:tcW w:w="2588" w:type="dxa"/>
            <w:vAlign w:val="center"/>
          </w:tcPr>
          <w:p w:rsidR="003663E4" w:rsidRDefault="00FD3F7D">
            <w:pPr>
              <w:spacing w:line="360" w:lineRule="auto"/>
              <w:jc w:val="right"/>
              <w:rPr>
                <w:rFonts w:eastAsiaTheme="minorEastAsia"/>
                <w:szCs w:val="21"/>
              </w:rPr>
            </w:pPr>
            <w:r>
              <w:rPr>
                <w:rFonts w:eastAsiaTheme="minorEastAsia"/>
                <w:szCs w:val="21"/>
              </w:rPr>
              <w:t>-</w:t>
            </w:r>
          </w:p>
        </w:tc>
        <w:tc>
          <w:tcPr>
            <w:tcW w:w="2588" w:type="dxa"/>
            <w:vAlign w:val="center"/>
          </w:tcPr>
          <w:p w:rsidR="003663E4" w:rsidRDefault="00FD3F7D">
            <w:pPr>
              <w:spacing w:line="360" w:lineRule="auto"/>
              <w:jc w:val="right"/>
              <w:rPr>
                <w:rFonts w:eastAsiaTheme="minorEastAsia"/>
                <w:szCs w:val="21"/>
              </w:rPr>
            </w:pPr>
            <w:r>
              <w:rPr>
                <w:rFonts w:eastAsiaTheme="minorEastAsia"/>
                <w:szCs w:val="21"/>
              </w:rPr>
              <w:t>-</w:t>
            </w:r>
          </w:p>
        </w:tc>
      </w:tr>
      <w:tr w:rsidR="003663E4">
        <w:trPr>
          <w:jc w:val="center"/>
        </w:trPr>
        <w:tc>
          <w:tcPr>
            <w:tcW w:w="993" w:type="dxa"/>
          </w:tcPr>
          <w:p w:rsidR="003663E4" w:rsidRDefault="00FD3F7D">
            <w:pPr>
              <w:spacing w:line="360" w:lineRule="auto"/>
              <w:jc w:val="center"/>
              <w:rPr>
                <w:rFonts w:eastAsiaTheme="minorEastAsia"/>
                <w:szCs w:val="21"/>
              </w:rPr>
            </w:pPr>
            <w:r>
              <w:rPr>
                <w:rFonts w:eastAsiaTheme="minorEastAsia"/>
                <w:szCs w:val="21"/>
              </w:rPr>
              <w:t>3</w:t>
            </w:r>
          </w:p>
        </w:tc>
        <w:tc>
          <w:tcPr>
            <w:tcW w:w="3187" w:type="dxa"/>
          </w:tcPr>
          <w:p w:rsidR="003663E4" w:rsidRDefault="00FD3F7D">
            <w:pPr>
              <w:spacing w:line="360" w:lineRule="auto"/>
              <w:rPr>
                <w:rFonts w:eastAsiaTheme="minorEastAsia"/>
                <w:szCs w:val="21"/>
              </w:rPr>
            </w:pPr>
            <w:r>
              <w:rPr>
                <w:rFonts w:eastAsiaTheme="minorEastAsia"/>
                <w:szCs w:val="21"/>
              </w:rPr>
              <w:t>60</w:t>
            </w:r>
            <w:r>
              <w:rPr>
                <w:rFonts w:eastAsiaTheme="minorEastAsia"/>
                <w:szCs w:val="21"/>
              </w:rPr>
              <w:t>天（含）</w:t>
            </w:r>
            <w:r>
              <w:rPr>
                <w:rFonts w:eastAsiaTheme="minorEastAsia"/>
                <w:szCs w:val="21"/>
              </w:rPr>
              <w:t>—90</w:t>
            </w:r>
            <w:r>
              <w:rPr>
                <w:rFonts w:eastAsiaTheme="minorEastAsia"/>
                <w:szCs w:val="21"/>
              </w:rPr>
              <w:t>天</w:t>
            </w:r>
          </w:p>
        </w:tc>
        <w:tc>
          <w:tcPr>
            <w:tcW w:w="2588" w:type="dxa"/>
            <w:vAlign w:val="center"/>
          </w:tcPr>
          <w:p w:rsidR="003663E4" w:rsidRDefault="00FD3F7D">
            <w:pPr>
              <w:spacing w:line="360" w:lineRule="auto"/>
              <w:jc w:val="right"/>
              <w:rPr>
                <w:rFonts w:eastAsiaTheme="minorEastAsia"/>
                <w:szCs w:val="21"/>
              </w:rPr>
            </w:pPr>
            <w:r>
              <w:rPr>
                <w:rFonts w:eastAsiaTheme="minorEastAsia"/>
                <w:szCs w:val="21"/>
              </w:rPr>
              <w:t>-</w:t>
            </w:r>
          </w:p>
        </w:tc>
        <w:tc>
          <w:tcPr>
            <w:tcW w:w="2588" w:type="dxa"/>
            <w:vAlign w:val="center"/>
          </w:tcPr>
          <w:p w:rsidR="003663E4" w:rsidRDefault="00FD3F7D">
            <w:pPr>
              <w:spacing w:line="360" w:lineRule="auto"/>
              <w:jc w:val="right"/>
              <w:rPr>
                <w:rFonts w:eastAsiaTheme="minorEastAsia"/>
                <w:szCs w:val="21"/>
              </w:rPr>
            </w:pPr>
            <w:r>
              <w:rPr>
                <w:rFonts w:eastAsiaTheme="minorEastAsia"/>
                <w:szCs w:val="21"/>
              </w:rPr>
              <w:t>-</w:t>
            </w:r>
          </w:p>
        </w:tc>
      </w:tr>
      <w:tr w:rsidR="003663E4">
        <w:trPr>
          <w:jc w:val="center"/>
        </w:trPr>
        <w:tc>
          <w:tcPr>
            <w:tcW w:w="993" w:type="dxa"/>
          </w:tcPr>
          <w:p w:rsidR="003663E4" w:rsidRDefault="003663E4">
            <w:pPr>
              <w:spacing w:line="360" w:lineRule="auto"/>
              <w:jc w:val="center"/>
              <w:rPr>
                <w:rFonts w:eastAsiaTheme="minorEastAsia"/>
                <w:szCs w:val="21"/>
              </w:rPr>
            </w:pPr>
          </w:p>
        </w:tc>
        <w:tc>
          <w:tcPr>
            <w:tcW w:w="3187" w:type="dxa"/>
          </w:tcPr>
          <w:p w:rsidR="003663E4" w:rsidRDefault="00FD3F7D">
            <w:pPr>
              <w:spacing w:line="360" w:lineRule="auto"/>
              <w:rPr>
                <w:rFonts w:eastAsiaTheme="minorEastAsia"/>
                <w:szCs w:val="21"/>
              </w:rPr>
            </w:pPr>
            <w:r>
              <w:rPr>
                <w:rFonts w:eastAsiaTheme="minorEastAsia"/>
                <w:szCs w:val="21"/>
              </w:rPr>
              <w:t>其中：剩余存续期超过</w:t>
            </w:r>
            <w:r>
              <w:rPr>
                <w:rFonts w:eastAsiaTheme="minorEastAsia"/>
                <w:szCs w:val="21"/>
              </w:rPr>
              <w:t>397</w:t>
            </w:r>
            <w:r>
              <w:rPr>
                <w:rFonts w:eastAsiaTheme="minorEastAsia"/>
                <w:szCs w:val="21"/>
              </w:rPr>
              <w:t>天的浮动利率债</w:t>
            </w:r>
          </w:p>
        </w:tc>
        <w:tc>
          <w:tcPr>
            <w:tcW w:w="2588" w:type="dxa"/>
            <w:vAlign w:val="center"/>
          </w:tcPr>
          <w:p w:rsidR="003663E4" w:rsidRDefault="00FD3F7D">
            <w:pPr>
              <w:spacing w:line="360" w:lineRule="auto"/>
              <w:jc w:val="right"/>
              <w:rPr>
                <w:rFonts w:eastAsiaTheme="minorEastAsia"/>
                <w:szCs w:val="21"/>
              </w:rPr>
            </w:pPr>
            <w:r>
              <w:rPr>
                <w:rFonts w:eastAsiaTheme="minorEastAsia"/>
                <w:szCs w:val="21"/>
              </w:rPr>
              <w:t>-</w:t>
            </w:r>
          </w:p>
        </w:tc>
        <w:tc>
          <w:tcPr>
            <w:tcW w:w="2588" w:type="dxa"/>
            <w:vAlign w:val="center"/>
          </w:tcPr>
          <w:p w:rsidR="003663E4" w:rsidRDefault="00FD3F7D">
            <w:pPr>
              <w:spacing w:line="360" w:lineRule="auto"/>
              <w:jc w:val="right"/>
              <w:rPr>
                <w:rFonts w:eastAsiaTheme="minorEastAsia"/>
                <w:szCs w:val="21"/>
              </w:rPr>
            </w:pPr>
            <w:r>
              <w:rPr>
                <w:rFonts w:eastAsiaTheme="minorEastAsia"/>
                <w:szCs w:val="21"/>
              </w:rPr>
              <w:t>-</w:t>
            </w:r>
          </w:p>
        </w:tc>
      </w:tr>
      <w:tr w:rsidR="003663E4">
        <w:trPr>
          <w:jc w:val="center"/>
        </w:trPr>
        <w:tc>
          <w:tcPr>
            <w:tcW w:w="993" w:type="dxa"/>
          </w:tcPr>
          <w:p w:rsidR="003663E4" w:rsidRDefault="00FD3F7D">
            <w:pPr>
              <w:spacing w:line="360" w:lineRule="auto"/>
              <w:jc w:val="center"/>
              <w:rPr>
                <w:rFonts w:eastAsiaTheme="minorEastAsia"/>
                <w:szCs w:val="21"/>
              </w:rPr>
            </w:pPr>
            <w:r>
              <w:rPr>
                <w:rFonts w:eastAsiaTheme="minorEastAsia"/>
                <w:szCs w:val="21"/>
              </w:rPr>
              <w:t>4</w:t>
            </w:r>
          </w:p>
        </w:tc>
        <w:tc>
          <w:tcPr>
            <w:tcW w:w="3187" w:type="dxa"/>
          </w:tcPr>
          <w:p w:rsidR="003663E4" w:rsidRDefault="00FD3F7D">
            <w:pPr>
              <w:rPr>
                <w:rFonts w:eastAsiaTheme="minorEastAsia"/>
                <w:szCs w:val="21"/>
              </w:rPr>
            </w:pPr>
            <w:r>
              <w:rPr>
                <w:rFonts w:eastAsiaTheme="minorEastAsia"/>
                <w:szCs w:val="21"/>
              </w:rPr>
              <w:t>90</w:t>
            </w:r>
            <w:r>
              <w:rPr>
                <w:rFonts w:eastAsiaTheme="minorEastAsia"/>
                <w:szCs w:val="21"/>
              </w:rPr>
              <w:t>天（含）</w:t>
            </w:r>
            <w:r>
              <w:rPr>
                <w:rFonts w:eastAsiaTheme="minorEastAsia"/>
                <w:szCs w:val="21"/>
              </w:rPr>
              <w:t>—1</w:t>
            </w:r>
            <w:r>
              <w:rPr>
                <w:rFonts w:eastAsiaTheme="minorEastAsia" w:hint="eastAsia"/>
                <w:szCs w:val="21"/>
              </w:rPr>
              <w:t>2</w:t>
            </w:r>
            <w:r>
              <w:rPr>
                <w:rFonts w:eastAsiaTheme="minorEastAsia"/>
                <w:szCs w:val="21"/>
              </w:rPr>
              <w:t>0</w:t>
            </w:r>
            <w:r>
              <w:rPr>
                <w:rFonts w:eastAsiaTheme="minorEastAsia"/>
                <w:szCs w:val="21"/>
              </w:rPr>
              <w:t>天</w:t>
            </w:r>
          </w:p>
        </w:tc>
        <w:tc>
          <w:tcPr>
            <w:tcW w:w="2588" w:type="dxa"/>
            <w:vAlign w:val="center"/>
          </w:tcPr>
          <w:p w:rsidR="003663E4" w:rsidRDefault="00FD3F7D">
            <w:pPr>
              <w:autoSpaceDE w:val="0"/>
              <w:autoSpaceDN w:val="0"/>
              <w:adjustRightInd w:val="0"/>
              <w:spacing w:before="29" w:line="360" w:lineRule="auto"/>
              <w:ind w:left="15"/>
              <w:jc w:val="right"/>
              <w:rPr>
                <w:rFonts w:eastAsiaTheme="minorEastAsia"/>
                <w:szCs w:val="21"/>
              </w:rPr>
            </w:pPr>
            <w:r>
              <w:rPr>
                <w:rFonts w:eastAsiaTheme="minorEastAsia"/>
                <w:szCs w:val="21"/>
              </w:rPr>
              <w:t>13.00</w:t>
            </w:r>
          </w:p>
        </w:tc>
        <w:tc>
          <w:tcPr>
            <w:tcW w:w="2588" w:type="dxa"/>
            <w:vAlign w:val="center"/>
          </w:tcPr>
          <w:p w:rsidR="003663E4" w:rsidRDefault="00FD3F7D">
            <w:pPr>
              <w:autoSpaceDE w:val="0"/>
              <w:autoSpaceDN w:val="0"/>
              <w:adjustRightInd w:val="0"/>
              <w:spacing w:before="29" w:line="360" w:lineRule="auto"/>
              <w:ind w:left="15"/>
              <w:jc w:val="right"/>
              <w:rPr>
                <w:rFonts w:eastAsiaTheme="minorEastAsia"/>
                <w:szCs w:val="21"/>
              </w:rPr>
            </w:pPr>
            <w:r>
              <w:rPr>
                <w:rFonts w:eastAsiaTheme="minorEastAsia"/>
                <w:szCs w:val="21"/>
              </w:rPr>
              <w:t>-</w:t>
            </w:r>
          </w:p>
        </w:tc>
      </w:tr>
      <w:tr w:rsidR="003663E4">
        <w:trPr>
          <w:jc w:val="center"/>
        </w:trPr>
        <w:tc>
          <w:tcPr>
            <w:tcW w:w="993" w:type="dxa"/>
          </w:tcPr>
          <w:p w:rsidR="003663E4" w:rsidRDefault="003663E4">
            <w:pPr>
              <w:spacing w:line="360" w:lineRule="auto"/>
              <w:jc w:val="center"/>
              <w:rPr>
                <w:rFonts w:eastAsiaTheme="minorEastAsia"/>
                <w:szCs w:val="21"/>
              </w:rPr>
            </w:pPr>
          </w:p>
        </w:tc>
        <w:tc>
          <w:tcPr>
            <w:tcW w:w="3187" w:type="dxa"/>
          </w:tcPr>
          <w:p w:rsidR="003663E4" w:rsidRDefault="00FD3F7D">
            <w:pPr>
              <w:rPr>
                <w:rFonts w:eastAsiaTheme="minorEastAsia"/>
                <w:szCs w:val="21"/>
              </w:rPr>
            </w:pPr>
            <w:r>
              <w:rPr>
                <w:rFonts w:eastAsiaTheme="minorEastAsia"/>
                <w:szCs w:val="21"/>
              </w:rPr>
              <w:t>其中：剩余存续期超过</w:t>
            </w:r>
            <w:r>
              <w:rPr>
                <w:rFonts w:eastAsiaTheme="minorEastAsia"/>
                <w:szCs w:val="21"/>
              </w:rPr>
              <w:t>397</w:t>
            </w:r>
            <w:r>
              <w:rPr>
                <w:rFonts w:eastAsiaTheme="minorEastAsia"/>
                <w:szCs w:val="21"/>
              </w:rPr>
              <w:t>天的浮动利率债</w:t>
            </w:r>
          </w:p>
        </w:tc>
        <w:tc>
          <w:tcPr>
            <w:tcW w:w="2588" w:type="dxa"/>
            <w:vAlign w:val="center"/>
          </w:tcPr>
          <w:p w:rsidR="003663E4" w:rsidRDefault="00FD3F7D">
            <w:pPr>
              <w:autoSpaceDE w:val="0"/>
              <w:autoSpaceDN w:val="0"/>
              <w:adjustRightInd w:val="0"/>
              <w:spacing w:before="29" w:line="360" w:lineRule="auto"/>
              <w:ind w:left="15"/>
              <w:jc w:val="right"/>
              <w:rPr>
                <w:rFonts w:eastAsiaTheme="minorEastAsia"/>
                <w:szCs w:val="21"/>
              </w:rPr>
            </w:pPr>
            <w:r>
              <w:rPr>
                <w:rFonts w:eastAsiaTheme="minorEastAsia"/>
                <w:szCs w:val="21"/>
              </w:rPr>
              <w:t>-</w:t>
            </w:r>
          </w:p>
        </w:tc>
        <w:tc>
          <w:tcPr>
            <w:tcW w:w="2588" w:type="dxa"/>
            <w:vAlign w:val="center"/>
          </w:tcPr>
          <w:p w:rsidR="003663E4" w:rsidRDefault="00FD3F7D">
            <w:pPr>
              <w:autoSpaceDE w:val="0"/>
              <w:autoSpaceDN w:val="0"/>
              <w:adjustRightInd w:val="0"/>
              <w:spacing w:before="29" w:line="360" w:lineRule="auto"/>
              <w:ind w:left="15"/>
              <w:jc w:val="right"/>
              <w:rPr>
                <w:rFonts w:eastAsiaTheme="minorEastAsia"/>
                <w:szCs w:val="21"/>
              </w:rPr>
            </w:pPr>
            <w:r>
              <w:rPr>
                <w:rFonts w:eastAsiaTheme="minorEastAsia"/>
                <w:szCs w:val="21"/>
              </w:rPr>
              <w:t>-</w:t>
            </w:r>
          </w:p>
        </w:tc>
      </w:tr>
      <w:tr w:rsidR="003663E4">
        <w:trPr>
          <w:jc w:val="center"/>
        </w:trPr>
        <w:tc>
          <w:tcPr>
            <w:tcW w:w="993" w:type="dxa"/>
          </w:tcPr>
          <w:p w:rsidR="003663E4" w:rsidRDefault="00FD3F7D">
            <w:pPr>
              <w:spacing w:line="360" w:lineRule="auto"/>
              <w:jc w:val="center"/>
              <w:rPr>
                <w:rFonts w:eastAsiaTheme="minorEastAsia"/>
                <w:szCs w:val="21"/>
              </w:rPr>
            </w:pPr>
            <w:r>
              <w:rPr>
                <w:rFonts w:eastAsiaTheme="minorEastAsia"/>
                <w:szCs w:val="21"/>
              </w:rPr>
              <w:t>5</w:t>
            </w:r>
          </w:p>
        </w:tc>
        <w:tc>
          <w:tcPr>
            <w:tcW w:w="3187" w:type="dxa"/>
          </w:tcPr>
          <w:p w:rsidR="003663E4" w:rsidRDefault="00FD3F7D">
            <w:pPr>
              <w:rPr>
                <w:rFonts w:eastAsiaTheme="minorEastAsia"/>
                <w:szCs w:val="21"/>
              </w:rPr>
            </w:pPr>
            <w:r>
              <w:rPr>
                <w:rFonts w:eastAsiaTheme="minorEastAsia"/>
                <w:szCs w:val="21"/>
              </w:rPr>
              <w:t>1</w:t>
            </w:r>
            <w:r>
              <w:rPr>
                <w:rFonts w:eastAsiaTheme="minorEastAsia" w:hint="eastAsia"/>
                <w:szCs w:val="21"/>
              </w:rPr>
              <w:t>2</w:t>
            </w:r>
            <w:r>
              <w:rPr>
                <w:rFonts w:eastAsiaTheme="minorEastAsia"/>
                <w:szCs w:val="21"/>
              </w:rPr>
              <w:t>0</w:t>
            </w:r>
            <w:r>
              <w:rPr>
                <w:rFonts w:eastAsiaTheme="minorEastAsia"/>
                <w:szCs w:val="21"/>
              </w:rPr>
              <w:t>天（含）</w:t>
            </w:r>
            <w:r>
              <w:rPr>
                <w:rFonts w:eastAsiaTheme="minorEastAsia"/>
                <w:szCs w:val="21"/>
              </w:rPr>
              <w:t>—397</w:t>
            </w:r>
            <w:r>
              <w:rPr>
                <w:rFonts w:eastAsiaTheme="minorEastAsia"/>
                <w:szCs w:val="21"/>
              </w:rPr>
              <w:t>天（含）</w:t>
            </w:r>
          </w:p>
        </w:tc>
        <w:tc>
          <w:tcPr>
            <w:tcW w:w="2588" w:type="dxa"/>
            <w:vAlign w:val="center"/>
          </w:tcPr>
          <w:p w:rsidR="003663E4" w:rsidRDefault="00FD3F7D">
            <w:pPr>
              <w:autoSpaceDE w:val="0"/>
              <w:autoSpaceDN w:val="0"/>
              <w:adjustRightInd w:val="0"/>
              <w:spacing w:before="29" w:line="360" w:lineRule="auto"/>
              <w:ind w:left="15"/>
              <w:jc w:val="right"/>
              <w:rPr>
                <w:rFonts w:eastAsiaTheme="minorEastAsia"/>
                <w:szCs w:val="21"/>
              </w:rPr>
            </w:pPr>
            <w:r>
              <w:rPr>
                <w:rFonts w:eastAsiaTheme="minorEastAsia"/>
                <w:szCs w:val="21"/>
              </w:rPr>
              <w:t>51.99</w:t>
            </w:r>
          </w:p>
        </w:tc>
        <w:tc>
          <w:tcPr>
            <w:tcW w:w="2588" w:type="dxa"/>
            <w:vAlign w:val="center"/>
          </w:tcPr>
          <w:p w:rsidR="003663E4" w:rsidRDefault="00FD3F7D">
            <w:pPr>
              <w:autoSpaceDE w:val="0"/>
              <w:autoSpaceDN w:val="0"/>
              <w:adjustRightInd w:val="0"/>
              <w:spacing w:before="29" w:line="360" w:lineRule="auto"/>
              <w:ind w:left="15"/>
              <w:jc w:val="right"/>
              <w:rPr>
                <w:rFonts w:eastAsiaTheme="minorEastAsia"/>
                <w:szCs w:val="21"/>
              </w:rPr>
            </w:pPr>
            <w:r>
              <w:rPr>
                <w:rFonts w:eastAsiaTheme="minorEastAsia"/>
                <w:szCs w:val="21"/>
              </w:rPr>
              <w:t>-</w:t>
            </w:r>
          </w:p>
        </w:tc>
      </w:tr>
      <w:tr w:rsidR="003663E4">
        <w:trPr>
          <w:jc w:val="center"/>
        </w:trPr>
        <w:tc>
          <w:tcPr>
            <w:tcW w:w="993" w:type="dxa"/>
          </w:tcPr>
          <w:p w:rsidR="003663E4" w:rsidRDefault="003663E4">
            <w:pPr>
              <w:spacing w:line="360" w:lineRule="auto"/>
              <w:jc w:val="center"/>
              <w:rPr>
                <w:rFonts w:eastAsiaTheme="minorEastAsia"/>
                <w:szCs w:val="21"/>
              </w:rPr>
            </w:pPr>
          </w:p>
        </w:tc>
        <w:tc>
          <w:tcPr>
            <w:tcW w:w="3187" w:type="dxa"/>
          </w:tcPr>
          <w:p w:rsidR="003663E4" w:rsidRDefault="00FD3F7D">
            <w:pPr>
              <w:rPr>
                <w:rFonts w:eastAsiaTheme="minorEastAsia"/>
                <w:szCs w:val="21"/>
              </w:rPr>
            </w:pPr>
            <w:r>
              <w:rPr>
                <w:rFonts w:eastAsiaTheme="minorEastAsia"/>
                <w:szCs w:val="21"/>
              </w:rPr>
              <w:t>其中：剩余存续期超过</w:t>
            </w:r>
            <w:r>
              <w:rPr>
                <w:rFonts w:eastAsiaTheme="minorEastAsia"/>
                <w:szCs w:val="21"/>
              </w:rPr>
              <w:t>397</w:t>
            </w:r>
            <w:r>
              <w:rPr>
                <w:rFonts w:eastAsiaTheme="minorEastAsia"/>
                <w:szCs w:val="21"/>
              </w:rPr>
              <w:t>天的浮动利率债</w:t>
            </w:r>
          </w:p>
        </w:tc>
        <w:tc>
          <w:tcPr>
            <w:tcW w:w="2588" w:type="dxa"/>
            <w:vAlign w:val="center"/>
          </w:tcPr>
          <w:p w:rsidR="003663E4" w:rsidRDefault="00FD3F7D">
            <w:pPr>
              <w:autoSpaceDE w:val="0"/>
              <w:autoSpaceDN w:val="0"/>
              <w:adjustRightInd w:val="0"/>
              <w:spacing w:before="29" w:line="360" w:lineRule="auto"/>
              <w:ind w:left="15"/>
              <w:jc w:val="right"/>
              <w:rPr>
                <w:rFonts w:eastAsiaTheme="minorEastAsia"/>
                <w:szCs w:val="21"/>
              </w:rPr>
            </w:pPr>
            <w:r>
              <w:rPr>
                <w:rFonts w:eastAsiaTheme="minorEastAsia"/>
                <w:szCs w:val="21"/>
              </w:rPr>
              <w:t>-</w:t>
            </w:r>
          </w:p>
        </w:tc>
        <w:tc>
          <w:tcPr>
            <w:tcW w:w="2588" w:type="dxa"/>
            <w:vAlign w:val="center"/>
          </w:tcPr>
          <w:p w:rsidR="003663E4" w:rsidRDefault="00FD3F7D">
            <w:pPr>
              <w:autoSpaceDE w:val="0"/>
              <w:autoSpaceDN w:val="0"/>
              <w:adjustRightInd w:val="0"/>
              <w:spacing w:before="29" w:line="360" w:lineRule="auto"/>
              <w:ind w:left="15"/>
              <w:jc w:val="right"/>
              <w:rPr>
                <w:rFonts w:eastAsiaTheme="minorEastAsia"/>
                <w:szCs w:val="21"/>
              </w:rPr>
            </w:pPr>
            <w:r>
              <w:rPr>
                <w:rFonts w:eastAsiaTheme="minorEastAsia"/>
                <w:szCs w:val="21"/>
              </w:rPr>
              <w:t>-</w:t>
            </w:r>
          </w:p>
        </w:tc>
      </w:tr>
      <w:tr w:rsidR="003663E4">
        <w:trPr>
          <w:jc w:val="center"/>
        </w:trPr>
        <w:tc>
          <w:tcPr>
            <w:tcW w:w="4180" w:type="dxa"/>
            <w:gridSpan w:val="2"/>
          </w:tcPr>
          <w:p w:rsidR="003663E4" w:rsidRDefault="00FD3F7D">
            <w:pPr>
              <w:spacing w:line="360" w:lineRule="auto"/>
              <w:jc w:val="center"/>
              <w:rPr>
                <w:rFonts w:eastAsiaTheme="minorEastAsia"/>
                <w:szCs w:val="21"/>
              </w:rPr>
            </w:pPr>
            <w:r>
              <w:rPr>
                <w:rFonts w:eastAsiaTheme="minorEastAsia"/>
                <w:szCs w:val="21"/>
              </w:rPr>
              <w:t>合计</w:t>
            </w:r>
          </w:p>
        </w:tc>
        <w:tc>
          <w:tcPr>
            <w:tcW w:w="2588" w:type="dxa"/>
            <w:vAlign w:val="center"/>
          </w:tcPr>
          <w:p w:rsidR="003663E4" w:rsidRDefault="00FD3F7D">
            <w:pPr>
              <w:spacing w:line="360" w:lineRule="auto"/>
              <w:jc w:val="right"/>
              <w:rPr>
                <w:rFonts w:eastAsiaTheme="minorEastAsia"/>
                <w:szCs w:val="21"/>
              </w:rPr>
            </w:pPr>
            <w:r>
              <w:rPr>
                <w:rFonts w:eastAsiaTheme="minorEastAsia"/>
                <w:szCs w:val="21"/>
              </w:rPr>
              <w:t>99.69</w:t>
            </w:r>
          </w:p>
        </w:tc>
        <w:tc>
          <w:tcPr>
            <w:tcW w:w="2588" w:type="dxa"/>
            <w:vAlign w:val="center"/>
          </w:tcPr>
          <w:p w:rsidR="003663E4" w:rsidRDefault="00FD3F7D">
            <w:pPr>
              <w:spacing w:line="360" w:lineRule="auto"/>
              <w:jc w:val="right"/>
              <w:rPr>
                <w:rFonts w:eastAsiaTheme="minorEastAsia"/>
                <w:szCs w:val="21"/>
              </w:rPr>
            </w:pPr>
            <w:r>
              <w:rPr>
                <w:rFonts w:eastAsiaTheme="minorEastAsia"/>
                <w:szCs w:val="21"/>
              </w:rPr>
              <w:t>-</w:t>
            </w:r>
          </w:p>
        </w:tc>
      </w:tr>
    </w:tbl>
    <w:p w:rsidR="003663E4" w:rsidRDefault="00FD3F7D">
      <w:pPr>
        <w:pStyle w:val="3"/>
        <w:spacing w:beforeLines="50" w:before="156" w:after="0" w:line="360" w:lineRule="auto"/>
        <w:rPr>
          <w:color w:val="000000"/>
          <w:kern w:val="0"/>
          <w:sz w:val="21"/>
          <w:szCs w:val="21"/>
        </w:rPr>
      </w:pPr>
      <w:bookmarkStart w:id="249" w:name="_Toc23339408"/>
      <w:bookmarkStart w:id="250" w:name="_Toc11373"/>
      <w:r>
        <w:rPr>
          <w:color w:val="000000"/>
          <w:kern w:val="0"/>
          <w:sz w:val="21"/>
          <w:szCs w:val="21"/>
        </w:rPr>
        <w:t>8.2.4</w:t>
      </w:r>
      <w:r>
        <w:rPr>
          <w:rFonts w:hint="eastAsia"/>
          <w:color w:val="000000"/>
          <w:kern w:val="0"/>
          <w:sz w:val="21"/>
          <w:szCs w:val="21"/>
        </w:rPr>
        <w:t xml:space="preserve"> </w:t>
      </w:r>
      <w:r>
        <w:rPr>
          <w:rFonts w:hint="eastAsia"/>
          <w:color w:val="000000"/>
          <w:kern w:val="0"/>
          <w:sz w:val="21"/>
          <w:szCs w:val="21"/>
        </w:rPr>
        <w:t>报告期内投资组合平均剩余存续期超过</w:t>
      </w:r>
      <w:r>
        <w:rPr>
          <w:rFonts w:hint="eastAsia"/>
          <w:color w:val="000000"/>
          <w:kern w:val="0"/>
          <w:sz w:val="21"/>
          <w:szCs w:val="21"/>
        </w:rPr>
        <w:t>240</w:t>
      </w:r>
      <w:r>
        <w:rPr>
          <w:rFonts w:hint="eastAsia"/>
          <w:color w:val="000000"/>
          <w:kern w:val="0"/>
          <w:sz w:val="21"/>
          <w:szCs w:val="21"/>
        </w:rPr>
        <w:t>天情况说明</w:t>
      </w:r>
      <w:bookmarkEnd w:id="249"/>
      <w:bookmarkEnd w:id="250"/>
    </w:p>
    <w:p w:rsidR="003663E4" w:rsidRDefault="00FD3F7D">
      <w:pPr>
        <w:tabs>
          <w:tab w:val="left" w:pos="426"/>
        </w:tabs>
        <w:spacing w:line="360" w:lineRule="auto"/>
        <w:ind w:firstLineChars="200" w:firstLine="420"/>
        <w:jc w:val="left"/>
        <w:rPr>
          <w:rFonts w:eastAsiaTheme="minorEastAsia"/>
          <w:szCs w:val="21"/>
        </w:rPr>
      </w:pPr>
      <w:r>
        <w:rPr>
          <w:rFonts w:eastAsiaTheme="minorEastAsia" w:hint="eastAsia"/>
          <w:szCs w:val="21"/>
        </w:rPr>
        <w:t>本基金本报告期内投资组合平均剩余存续期未超过</w:t>
      </w:r>
      <w:r>
        <w:rPr>
          <w:rFonts w:eastAsiaTheme="minorEastAsia" w:hint="eastAsia"/>
          <w:szCs w:val="21"/>
        </w:rPr>
        <w:t>240</w:t>
      </w:r>
      <w:r>
        <w:rPr>
          <w:rFonts w:eastAsiaTheme="minorEastAsia" w:hint="eastAsia"/>
          <w:szCs w:val="21"/>
        </w:rPr>
        <w:t>天。</w:t>
      </w:r>
    </w:p>
    <w:p w:rsidR="003663E4" w:rsidRDefault="00FD3F7D">
      <w:pPr>
        <w:pStyle w:val="3"/>
        <w:spacing w:beforeLines="50" w:before="156" w:after="0" w:line="360" w:lineRule="auto"/>
        <w:rPr>
          <w:color w:val="000000"/>
          <w:kern w:val="0"/>
          <w:sz w:val="21"/>
          <w:szCs w:val="21"/>
        </w:rPr>
      </w:pPr>
      <w:bookmarkStart w:id="251" w:name="_Toc32210"/>
      <w:r>
        <w:rPr>
          <w:color w:val="000000"/>
          <w:kern w:val="0"/>
          <w:sz w:val="21"/>
          <w:szCs w:val="21"/>
        </w:rPr>
        <w:t>8.2.5</w:t>
      </w:r>
      <w:r>
        <w:rPr>
          <w:rFonts w:hint="eastAsia"/>
          <w:color w:val="000000"/>
          <w:kern w:val="0"/>
          <w:sz w:val="21"/>
          <w:szCs w:val="21"/>
        </w:rPr>
        <w:t xml:space="preserve"> </w:t>
      </w:r>
      <w:r>
        <w:rPr>
          <w:rFonts w:hint="eastAsia"/>
          <w:color w:val="000000"/>
          <w:kern w:val="0"/>
          <w:sz w:val="21"/>
          <w:szCs w:val="21"/>
        </w:rPr>
        <w:t>期末按债券品种分类的债券投资组合</w:t>
      </w:r>
      <w:bookmarkEnd w:id="251"/>
    </w:p>
    <w:p w:rsidR="003663E4" w:rsidRDefault="00FD3F7D">
      <w:pPr>
        <w:autoSpaceDE w:val="0"/>
        <w:autoSpaceDN w:val="0"/>
        <w:adjustRightInd w:val="0"/>
        <w:spacing w:before="29" w:line="360" w:lineRule="auto"/>
        <w:ind w:left="15"/>
        <w:jc w:val="right"/>
        <w:rPr>
          <w:rFonts w:eastAsiaTheme="minorEastAsia"/>
          <w:color w:val="000000" w:themeColor="text1"/>
          <w:kern w:val="0"/>
          <w:szCs w:val="21"/>
        </w:rPr>
      </w:pPr>
      <w:r>
        <w:rPr>
          <w:rFonts w:eastAsiaTheme="minorEastAsia"/>
          <w:color w:val="000000" w:themeColor="text1"/>
          <w:szCs w:val="21"/>
        </w:rPr>
        <w:t>金额单位：人民币元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4A0" w:firstRow="1" w:lastRow="0" w:firstColumn="1" w:lastColumn="0" w:noHBand="0" w:noVBand="1"/>
      </w:tblPr>
      <w:tblGrid>
        <w:gridCol w:w="793"/>
        <w:gridCol w:w="4330"/>
        <w:gridCol w:w="2631"/>
        <w:gridCol w:w="1602"/>
      </w:tblGrid>
      <w:tr w:rsidR="003663E4">
        <w:trPr>
          <w:trHeight w:val="315"/>
        </w:trPr>
        <w:tc>
          <w:tcPr>
            <w:tcW w:w="793" w:type="dxa"/>
            <w:vAlign w:val="center"/>
          </w:tcPr>
          <w:p w:rsidR="003663E4" w:rsidRDefault="00FD3F7D">
            <w:pPr>
              <w:spacing w:before="29" w:line="360" w:lineRule="auto"/>
              <w:ind w:left="17"/>
              <w:jc w:val="center"/>
              <w:rPr>
                <w:rFonts w:eastAsiaTheme="minorEastAsia"/>
                <w:color w:val="000000" w:themeColor="text1"/>
                <w:szCs w:val="21"/>
              </w:rPr>
            </w:pPr>
            <w:r>
              <w:rPr>
                <w:rFonts w:eastAsiaTheme="minorEastAsia"/>
                <w:color w:val="000000" w:themeColor="text1"/>
                <w:szCs w:val="21"/>
              </w:rPr>
              <w:t>序号</w:t>
            </w:r>
          </w:p>
        </w:tc>
        <w:tc>
          <w:tcPr>
            <w:tcW w:w="4330" w:type="dxa"/>
            <w:vAlign w:val="center"/>
          </w:tcPr>
          <w:p w:rsidR="003663E4" w:rsidRDefault="00FD3F7D">
            <w:pPr>
              <w:spacing w:before="29" w:line="360" w:lineRule="auto"/>
              <w:ind w:left="17"/>
              <w:jc w:val="center"/>
              <w:rPr>
                <w:rFonts w:eastAsiaTheme="minorEastAsia"/>
                <w:color w:val="000000" w:themeColor="text1"/>
                <w:szCs w:val="21"/>
              </w:rPr>
            </w:pPr>
            <w:r>
              <w:rPr>
                <w:rFonts w:eastAsiaTheme="minorEastAsia"/>
                <w:color w:val="000000" w:themeColor="text1"/>
                <w:szCs w:val="21"/>
              </w:rPr>
              <w:t>债券品种</w:t>
            </w:r>
          </w:p>
        </w:tc>
        <w:tc>
          <w:tcPr>
            <w:tcW w:w="2631" w:type="dxa"/>
            <w:vAlign w:val="center"/>
          </w:tcPr>
          <w:p w:rsidR="003663E4" w:rsidRDefault="00FD3F7D">
            <w:pPr>
              <w:spacing w:before="29" w:line="360" w:lineRule="auto"/>
              <w:ind w:left="17"/>
              <w:jc w:val="center"/>
              <w:rPr>
                <w:rFonts w:eastAsiaTheme="minorEastAsia"/>
                <w:color w:val="000000" w:themeColor="text1"/>
                <w:szCs w:val="21"/>
              </w:rPr>
            </w:pPr>
            <w:r>
              <w:rPr>
                <w:rFonts w:eastAsiaTheme="minorEastAsia"/>
                <w:color w:val="000000" w:themeColor="text1"/>
                <w:szCs w:val="21"/>
              </w:rPr>
              <w:t>摊余成本</w:t>
            </w:r>
          </w:p>
        </w:tc>
        <w:tc>
          <w:tcPr>
            <w:tcW w:w="1602" w:type="dxa"/>
            <w:vAlign w:val="center"/>
          </w:tcPr>
          <w:p w:rsidR="003663E4" w:rsidRDefault="00FD3F7D">
            <w:pPr>
              <w:spacing w:before="29" w:line="360" w:lineRule="auto"/>
              <w:ind w:left="17"/>
              <w:jc w:val="center"/>
              <w:rPr>
                <w:rFonts w:eastAsiaTheme="minorEastAsia"/>
                <w:color w:val="000000" w:themeColor="text1"/>
                <w:szCs w:val="21"/>
              </w:rPr>
            </w:pPr>
            <w:r>
              <w:rPr>
                <w:rFonts w:eastAsiaTheme="minorEastAsia"/>
                <w:color w:val="000000" w:themeColor="text1"/>
                <w:szCs w:val="21"/>
              </w:rPr>
              <w:t>占基金资产净值比例</w:t>
            </w:r>
            <w:r>
              <w:rPr>
                <w:rFonts w:eastAsiaTheme="minorEastAsia"/>
                <w:color w:val="000000" w:themeColor="text1"/>
                <w:szCs w:val="21"/>
              </w:rPr>
              <w:t>(</w:t>
            </w:r>
            <w:r>
              <w:rPr>
                <w:rFonts w:eastAsiaTheme="minorEastAsia"/>
                <w:color w:val="000000" w:themeColor="text1"/>
                <w:szCs w:val="21"/>
              </w:rPr>
              <w:t>％</w:t>
            </w:r>
            <w:r>
              <w:rPr>
                <w:rFonts w:eastAsiaTheme="minorEastAsia"/>
                <w:color w:val="000000" w:themeColor="text1"/>
                <w:szCs w:val="21"/>
              </w:rPr>
              <w:t>)</w:t>
            </w:r>
          </w:p>
        </w:tc>
      </w:tr>
      <w:tr w:rsidR="003663E4">
        <w:trPr>
          <w:trHeight w:val="315"/>
        </w:trPr>
        <w:tc>
          <w:tcPr>
            <w:tcW w:w="793" w:type="dxa"/>
            <w:vAlign w:val="center"/>
          </w:tcPr>
          <w:p w:rsidR="003663E4" w:rsidRDefault="00FD3F7D">
            <w:pPr>
              <w:spacing w:before="29" w:line="360" w:lineRule="auto"/>
              <w:ind w:left="17"/>
              <w:jc w:val="center"/>
              <w:rPr>
                <w:rFonts w:eastAsiaTheme="minorEastAsia"/>
                <w:color w:val="000000" w:themeColor="text1"/>
                <w:szCs w:val="21"/>
              </w:rPr>
            </w:pPr>
            <w:r>
              <w:rPr>
                <w:rFonts w:eastAsiaTheme="minorEastAsia"/>
                <w:color w:val="000000" w:themeColor="text1"/>
                <w:szCs w:val="21"/>
              </w:rPr>
              <w:t>1</w:t>
            </w:r>
          </w:p>
        </w:tc>
        <w:tc>
          <w:tcPr>
            <w:tcW w:w="4330" w:type="dxa"/>
            <w:vAlign w:val="center"/>
          </w:tcPr>
          <w:p w:rsidR="003663E4" w:rsidRDefault="00FD3F7D">
            <w:pPr>
              <w:spacing w:before="29" w:line="360" w:lineRule="auto"/>
              <w:ind w:left="17"/>
              <w:jc w:val="left"/>
              <w:rPr>
                <w:rFonts w:eastAsiaTheme="minorEastAsia"/>
                <w:color w:val="000000" w:themeColor="text1"/>
                <w:szCs w:val="21"/>
              </w:rPr>
            </w:pPr>
            <w:r>
              <w:rPr>
                <w:rFonts w:eastAsiaTheme="minorEastAsia"/>
                <w:color w:val="000000" w:themeColor="text1"/>
                <w:szCs w:val="21"/>
              </w:rPr>
              <w:t>国家债券</w:t>
            </w:r>
          </w:p>
        </w:tc>
        <w:tc>
          <w:tcPr>
            <w:tcW w:w="2631" w:type="dxa"/>
            <w:vAlign w:val="center"/>
          </w:tcPr>
          <w:p w:rsidR="003663E4" w:rsidRDefault="00FD3F7D">
            <w:pPr>
              <w:spacing w:before="29" w:line="360" w:lineRule="auto"/>
              <w:ind w:left="17"/>
              <w:jc w:val="right"/>
              <w:rPr>
                <w:rFonts w:eastAsiaTheme="minorEastAsia"/>
                <w:color w:val="000000" w:themeColor="text1"/>
                <w:szCs w:val="21"/>
              </w:rPr>
            </w:pPr>
            <w:r>
              <w:rPr>
                <w:rFonts w:eastAsiaTheme="minorEastAsia"/>
                <w:color w:val="000000" w:themeColor="text1"/>
                <w:szCs w:val="21"/>
              </w:rPr>
              <w:t>19,951,091.42</w:t>
            </w:r>
          </w:p>
        </w:tc>
        <w:tc>
          <w:tcPr>
            <w:tcW w:w="1602" w:type="dxa"/>
            <w:vAlign w:val="center"/>
          </w:tcPr>
          <w:p w:rsidR="003663E4" w:rsidRDefault="00FD3F7D">
            <w:pPr>
              <w:spacing w:before="29" w:line="360" w:lineRule="auto"/>
              <w:ind w:left="17"/>
              <w:jc w:val="right"/>
              <w:rPr>
                <w:rFonts w:eastAsiaTheme="minorEastAsia"/>
                <w:color w:val="000000" w:themeColor="text1"/>
                <w:szCs w:val="21"/>
              </w:rPr>
            </w:pPr>
            <w:r>
              <w:rPr>
                <w:rFonts w:eastAsiaTheme="minorEastAsia"/>
                <w:color w:val="000000" w:themeColor="text1"/>
                <w:szCs w:val="21"/>
              </w:rPr>
              <w:t>2.59</w:t>
            </w:r>
          </w:p>
        </w:tc>
      </w:tr>
      <w:tr w:rsidR="003663E4">
        <w:trPr>
          <w:trHeight w:val="315"/>
        </w:trPr>
        <w:tc>
          <w:tcPr>
            <w:tcW w:w="793" w:type="dxa"/>
            <w:vAlign w:val="center"/>
          </w:tcPr>
          <w:p w:rsidR="003663E4" w:rsidRDefault="00FD3F7D">
            <w:pPr>
              <w:spacing w:before="29" w:line="360" w:lineRule="auto"/>
              <w:ind w:left="17"/>
              <w:jc w:val="center"/>
              <w:rPr>
                <w:rFonts w:eastAsiaTheme="minorEastAsia"/>
                <w:color w:val="000000" w:themeColor="text1"/>
                <w:szCs w:val="21"/>
              </w:rPr>
            </w:pPr>
            <w:r>
              <w:rPr>
                <w:rFonts w:eastAsiaTheme="minorEastAsia"/>
                <w:color w:val="000000" w:themeColor="text1"/>
                <w:szCs w:val="21"/>
              </w:rPr>
              <w:t>2</w:t>
            </w:r>
          </w:p>
        </w:tc>
        <w:tc>
          <w:tcPr>
            <w:tcW w:w="4330" w:type="dxa"/>
            <w:vAlign w:val="center"/>
          </w:tcPr>
          <w:p w:rsidR="003663E4" w:rsidRDefault="00FD3F7D">
            <w:pPr>
              <w:spacing w:before="29" w:line="360" w:lineRule="auto"/>
              <w:ind w:left="17"/>
              <w:jc w:val="left"/>
              <w:rPr>
                <w:rFonts w:eastAsiaTheme="minorEastAsia"/>
                <w:color w:val="000000" w:themeColor="text1"/>
                <w:szCs w:val="21"/>
              </w:rPr>
            </w:pPr>
            <w:r>
              <w:rPr>
                <w:rFonts w:eastAsiaTheme="minorEastAsia"/>
                <w:color w:val="000000" w:themeColor="text1"/>
                <w:szCs w:val="21"/>
              </w:rPr>
              <w:t>央行票据</w:t>
            </w:r>
          </w:p>
        </w:tc>
        <w:tc>
          <w:tcPr>
            <w:tcW w:w="2631" w:type="dxa"/>
            <w:vAlign w:val="center"/>
          </w:tcPr>
          <w:p w:rsidR="003663E4" w:rsidRDefault="00FD3F7D">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02" w:type="dxa"/>
            <w:vAlign w:val="center"/>
          </w:tcPr>
          <w:p w:rsidR="003663E4" w:rsidRDefault="00FD3F7D">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663E4">
        <w:trPr>
          <w:trHeight w:val="315"/>
        </w:trPr>
        <w:tc>
          <w:tcPr>
            <w:tcW w:w="793" w:type="dxa"/>
            <w:vAlign w:val="center"/>
          </w:tcPr>
          <w:p w:rsidR="003663E4" w:rsidRDefault="00FD3F7D">
            <w:pPr>
              <w:spacing w:before="29" w:line="360" w:lineRule="auto"/>
              <w:ind w:left="17"/>
              <w:jc w:val="center"/>
              <w:rPr>
                <w:rFonts w:eastAsiaTheme="minorEastAsia"/>
                <w:color w:val="000000" w:themeColor="text1"/>
                <w:szCs w:val="21"/>
              </w:rPr>
            </w:pPr>
            <w:r>
              <w:rPr>
                <w:rFonts w:eastAsiaTheme="minorEastAsia"/>
                <w:color w:val="000000" w:themeColor="text1"/>
                <w:szCs w:val="21"/>
              </w:rPr>
              <w:t>3</w:t>
            </w:r>
          </w:p>
        </w:tc>
        <w:tc>
          <w:tcPr>
            <w:tcW w:w="4330" w:type="dxa"/>
            <w:vAlign w:val="center"/>
          </w:tcPr>
          <w:p w:rsidR="003663E4" w:rsidRDefault="00FD3F7D">
            <w:pPr>
              <w:spacing w:before="29" w:line="360" w:lineRule="auto"/>
              <w:ind w:left="17"/>
              <w:jc w:val="left"/>
              <w:rPr>
                <w:rFonts w:eastAsiaTheme="minorEastAsia"/>
                <w:color w:val="000000" w:themeColor="text1"/>
                <w:szCs w:val="21"/>
              </w:rPr>
            </w:pPr>
            <w:r>
              <w:rPr>
                <w:rFonts w:eastAsiaTheme="minorEastAsia"/>
                <w:color w:val="000000" w:themeColor="text1"/>
                <w:szCs w:val="21"/>
              </w:rPr>
              <w:t>金融债券</w:t>
            </w:r>
          </w:p>
        </w:tc>
        <w:tc>
          <w:tcPr>
            <w:tcW w:w="2631" w:type="dxa"/>
            <w:vAlign w:val="center"/>
          </w:tcPr>
          <w:p w:rsidR="003663E4" w:rsidRDefault="00FD3F7D">
            <w:pPr>
              <w:spacing w:before="29" w:line="360" w:lineRule="auto"/>
              <w:ind w:left="17"/>
              <w:jc w:val="right"/>
              <w:rPr>
                <w:rFonts w:eastAsiaTheme="minorEastAsia"/>
                <w:color w:val="000000" w:themeColor="text1"/>
                <w:szCs w:val="21"/>
              </w:rPr>
            </w:pPr>
            <w:r>
              <w:rPr>
                <w:rFonts w:eastAsiaTheme="minorEastAsia"/>
                <w:color w:val="000000" w:themeColor="text1"/>
                <w:szCs w:val="21"/>
              </w:rPr>
              <w:t>610,369,936.01</w:t>
            </w:r>
          </w:p>
        </w:tc>
        <w:tc>
          <w:tcPr>
            <w:tcW w:w="1602" w:type="dxa"/>
            <w:vAlign w:val="center"/>
          </w:tcPr>
          <w:p w:rsidR="003663E4" w:rsidRDefault="00FD3F7D">
            <w:pPr>
              <w:spacing w:before="29" w:line="360" w:lineRule="auto"/>
              <w:ind w:left="17"/>
              <w:jc w:val="right"/>
              <w:rPr>
                <w:rFonts w:eastAsiaTheme="minorEastAsia"/>
                <w:color w:val="000000" w:themeColor="text1"/>
                <w:szCs w:val="21"/>
              </w:rPr>
            </w:pPr>
            <w:r>
              <w:rPr>
                <w:rFonts w:eastAsiaTheme="minorEastAsia"/>
                <w:color w:val="000000" w:themeColor="text1"/>
                <w:szCs w:val="21"/>
              </w:rPr>
              <w:t>79.26</w:t>
            </w:r>
          </w:p>
        </w:tc>
      </w:tr>
      <w:tr w:rsidR="003663E4">
        <w:trPr>
          <w:trHeight w:val="315"/>
        </w:trPr>
        <w:tc>
          <w:tcPr>
            <w:tcW w:w="793" w:type="dxa"/>
            <w:vAlign w:val="center"/>
          </w:tcPr>
          <w:p w:rsidR="003663E4" w:rsidRDefault="003663E4">
            <w:pPr>
              <w:spacing w:before="29" w:line="360" w:lineRule="auto"/>
              <w:ind w:left="17"/>
              <w:jc w:val="center"/>
              <w:rPr>
                <w:rFonts w:eastAsiaTheme="minorEastAsia"/>
                <w:color w:val="000000" w:themeColor="text1"/>
                <w:szCs w:val="21"/>
              </w:rPr>
            </w:pPr>
          </w:p>
        </w:tc>
        <w:tc>
          <w:tcPr>
            <w:tcW w:w="4330" w:type="dxa"/>
            <w:vAlign w:val="center"/>
          </w:tcPr>
          <w:p w:rsidR="003663E4" w:rsidRDefault="00FD3F7D">
            <w:pPr>
              <w:spacing w:before="29" w:line="360" w:lineRule="auto"/>
              <w:ind w:left="17"/>
              <w:jc w:val="left"/>
              <w:rPr>
                <w:rFonts w:eastAsiaTheme="minorEastAsia"/>
                <w:color w:val="000000" w:themeColor="text1"/>
                <w:szCs w:val="21"/>
              </w:rPr>
            </w:pPr>
            <w:r>
              <w:rPr>
                <w:rFonts w:eastAsiaTheme="minorEastAsia"/>
                <w:color w:val="000000" w:themeColor="text1"/>
                <w:szCs w:val="21"/>
              </w:rPr>
              <w:t>其中：政策性金融债</w:t>
            </w:r>
          </w:p>
        </w:tc>
        <w:tc>
          <w:tcPr>
            <w:tcW w:w="2631" w:type="dxa"/>
            <w:vAlign w:val="center"/>
          </w:tcPr>
          <w:p w:rsidR="003663E4" w:rsidRDefault="00FD3F7D">
            <w:pPr>
              <w:spacing w:before="29" w:line="360" w:lineRule="auto"/>
              <w:ind w:left="17"/>
              <w:jc w:val="right"/>
              <w:rPr>
                <w:rFonts w:eastAsiaTheme="minorEastAsia"/>
                <w:color w:val="000000" w:themeColor="text1"/>
                <w:szCs w:val="21"/>
              </w:rPr>
            </w:pPr>
            <w:r>
              <w:rPr>
                <w:rFonts w:eastAsiaTheme="minorEastAsia"/>
                <w:color w:val="000000" w:themeColor="text1"/>
                <w:szCs w:val="21"/>
              </w:rPr>
              <w:t>610,369,936.01</w:t>
            </w:r>
          </w:p>
        </w:tc>
        <w:tc>
          <w:tcPr>
            <w:tcW w:w="1602" w:type="dxa"/>
            <w:vAlign w:val="center"/>
          </w:tcPr>
          <w:p w:rsidR="003663E4" w:rsidRDefault="00FD3F7D">
            <w:pPr>
              <w:spacing w:before="29" w:line="360" w:lineRule="auto"/>
              <w:ind w:left="17"/>
              <w:jc w:val="right"/>
              <w:rPr>
                <w:rFonts w:eastAsiaTheme="minorEastAsia"/>
                <w:color w:val="000000" w:themeColor="text1"/>
                <w:szCs w:val="21"/>
              </w:rPr>
            </w:pPr>
            <w:r>
              <w:rPr>
                <w:rFonts w:eastAsiaTheme="minorEastAsia"/>
                <w:color w:val="000000" w:themeColor="text1"/>
                <w:szCs w:val="21"/>
              </w:rPr>
              <w:t>79.26</w:t>
            </w:r>
          </w:p>
        </w:tc>
      </w:tr>
      <w:tr w:rsidR="003663E4">
        <w:trPr>
          <w:trHeight w:val="315"/>
        </w:trPr>
        <w:tc>
          <w:tcPr>
            <w:tcW w:w="793" w:type="dxa"/>
            <w:vAlign w:val="center"/>
          </w:tcPr>
          <w:p w:rsidR="003663E4" w:rsidRDefault="00FD3F7D">
            <w:pPr>
              <w:spacing w:before="29" w:line="360" w:lineRule="auto"/>
              <w:ind w:left="17"/>
              <w:jc w:val="center"/>
              <w:rPr>
                <w:rFonts w:eastAsiaTheme="minorEastAsia"/>
                <w:color w:val="000000" w:themeColor="text1"/>
                <w:szCs w:val="21"/>
              </w:rPr>
            </w:pPr>
            <w:r>
              <w:rPr>
                <w:rFonts w:eastAsiaTheme="minorEastAsia"/>
                <w:color w:val="000000" w:themeColor="text1"/>
                <w:szCs w:val="21"/>
              </w:rPr>
              <w:t>4</w:t>
            </w:r>
          </w:p>
        </w:tc>
        <w:tc>
          <w:tcPr>
            <w:tcW w:w="4330" w:type="dxa"/>
            <w:vAlign w:val="center"/>
          </w:tcPr>
          <w:p w:rsidR="003663E4" w:rsidRDefault="00FD3F7D">
            <w:pPr>
              <w:spacing w:before="29" w:line="360" w:lineRule="auto"/>
              <w:ind w:left="17"/>
              <w:jc w:val="left"/>
              <w:rPr>
                <w:rFonts w:eastAsiaTheme="minorEastAsia"/>
                <w:color w:val="000000" w:themeColor="text1"/>
                <w:szCs w:val="21"/>
              </w:rPr>
            </w:pPr>
            <w:r>
              <w:rPr>
                <w:rFonts w:eastAsiaTheme="minorEastAsia"/>
                <w:color w:val="000000" w:themeColor="text1"/>
                <w:szCs w:val="21"/>
              </w:rPr>
              <w:t>企业债券</w:t>
            </w:r>
          </w:p>
        </w:tc>
        <w:tc>
          <w:tcPr>
            <w:tcW w:w="2631" w:type="dxa"/>
            <w:vAlign w:val="center"/>
          </w:tcPr>
          <w:p w:rsidR="003663E4" w:rsidRDefault="00FD3F7D">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02" w:type="dxa"/>
            <w:vAlign w:val="center"/>
          </w:tcPr>
          <w:p w:rsidR="003663E4" w:rsidRDefault="00FD3F7D">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663E4">
        <w:trPr>
          <w:trHeight w:val="315"/>
        </w:trPr>
        <w:tc>
          <w:tcPr>
            <w:tcW w:w="793" w:type="dxa"/>
            <w:vAlign w:val="center"/>
          </w:tcPr>
          <w:p w:rsidR="003663E4" w:rsidRDefault="00FD3F7D">
            <w:pPr>
              <w:spacing w:before="29" w:line="360" w:lineRule="auto"/>
              <w:ind w:left="17"/>
              <w:jc w:val="center"/>
              <w:rPr>
                <w:rFonts w:eastAsiaTheme="minorEastAsia"/>
                <w:color w:val="000000" w:themeColor="text1"/>
                <w:szCs w:val="21"/>
              </w:rPr>
            </w:pPr>
            <w:r>
              <w:rPr>
                <w:rFonts w:eastAsiaTheme="minorEastAsia"/>
                <w:color w:val="000000" w:themeColor="text1"/>
                <w:szCs w:val="21"/>
              </w:rPr>
              <w:t>5</w:t>
            </w:r>
          </w:p>
        </w:tc>
        <w:tc>
          <w:tcPr>
            <w:tcW w:w="4330" w:type="dxa"/>
            <w:vAlign w:val="center"/>
          </w:tcPr>
          <w:p w:rsidR="003663E4" w:rsidRDefault="00FD3F7D">
            <w:pPr>
              <w:spacing w:before="29" w:line="360" w:lineRule="auto"/>
              <w:ind w:left="17"/>
              <w:jc w:val="left"/>
              <w:rPr>
                <w:rFonts w:eastAsiaTheme="minorEastAsia"/>
                <w:color w:val="000000" w:themeColor="text1"/>
                <w:szCs w:val="21"/>
              </w:rPr>
            </w:pPr>
            <w:r>
              <w:rPr>
                <w:rFonts w:eastAsiaTheme="minorEastAsia"/>
                <w:color w:val="000000" w:themeColor="text1"/>
                <w:szCs w:val="21"/>
              </w:rPr>
              <w:t>企业短期融资券</w:t>
            </w:r>
          </w:p>
        </w:tc>
        <w:tc>
          <w:tcPr>
            <w:tcW w:w="2631" w:type="dxa"/>
            <w:vAlign w:val="center"/>
          </w:tcPr>
          <w:p w:rsidR="003663E4" w:rsidRDefault="00FD3F7D">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02" w:type="dxa"/>
            <w:vAlign w:val="center"/>
          </w:tcPr>
          <w:p w:rsidR="003663E4" w:rsidRDefault="00FD3F7D">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663E4">
        <w:trPr>
          <w:trHeight w:val="315"/>
        </w:trPr>
        <w:tc>
          <w:tcPr>
            <w:tcW w:w="793" w:type="dxa"/>
            <w:shd w:val="clear" w:color="auto" w:fill="FFFFFF"/>
            <w:vAlign w:val="center"/>
          </w:tcPr>
          <w:p w:rsidR="003663E4" w:rsidRDefault="00FD3F7D">
            <w:pPr>
              <w:spacing w:before="29" w:line="360" w:lineRule="auto"/>
              <w:ind w:left="17"/>
              <w:jc w:val="center"/>
              <w:rPr>
                <w:rFonts w:eastAsiaTheme="minorEastAsia"/>
                <w:color w:val="000000" w:themeColor="text1"/>
                <w:szCs w:val="21"/>
              </w:rPr>
            </w:pPr>
            <w:r>
              <w:rPr>
                <w:rFonts w:eastAsiaTheme="minorEastAsia"/>
                <w:color w:val="000000" w:themeColor="text1"/>
                <w:szCs w:val="21"/>
              </w:rPr>
              <w:t>6</w:t>
            </w:r>
          </w:p>
        </w:tc>
        <w:tc>
          <w:tcPr>
            <w:tcW w:w="4330" w:type="dxa"/>
            <w:shd w:val="clear" w:color="auto" w:fill="FFFFFF"/>
            <w:vAlign w:val="center"/>
          </w:tcPr>
          <w:p w:rsidR="003663E4" w:rsidRDefault="00FD3F7D">
            <w:pPr>
              <w:spacing w:before="29" w:line="360" w:lineRule="auto"/>
              <w:ind w:left="17"/>
              <w:jc w:val="left"/>
              <w:rPr>
                <w:rFonts w:eastAsiaTheme="minorEastAsia"/>
                <w:color w:val="000000" w:themeColor="text1"/>
                <w:szCs w:val="21"/>
              </w:rPr>
            </w:pPr>
            <w:r>
              <w:rPr>
                <w:rFonts w:eastAsiaTheme="minorEastAsia"/>
                <w:color w:val="000000" w:themeColor="text1"/>
                <w:szCs w:val="21"/>
              </w:rPr>
              <w:t>中期票据</w:t>
            </w:r>
          </w:p>
        </w:tc>
        <w:tc>
          <w:tcPr>
            <w:tcW w:w="2631" w:type="dxa"/>
            <w:vAlign w:val="center"/>
          </w:tcPr>
          <w:p w:rsidR="003663E4" w:rsidRDefault="00FD3F7D">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02" w:type="dxa"/>
            <w:vAlign w:val="center"/>
          </w:tcPr>
          <w:p w:rsidR="003663E4" w:rsidRDefault="00FD3F7D">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663E4">
        <w:trPr>
          <w:trHeight w:val="315"/>
        </w:trPr>
        <w:tc>
          <w:tcPr>
            <w:tcW w:w="793" w:type="dxa"/>
            <w:shd w:val="clear" w:color="auto" w:fill="FFFFFF"/>
            <w:vAlign w:val="center"/>
          </w:tcPr>
          <w:p w:rsidR="003663E4" w:rsidRDefault="00FD3F7D">
            <w:pPr>
              <w:spacing w:before="29" w:line="360" w:lineRule="auto"/>
              <w:ind w:left="17"/>
              <w:jc w:val="center"/>
              <w:rPr>
                <w:rFonts w:eastAsiaTheme="minorEastAsia"/>
                <w:color w:val="000000" w:themeColor="text1"/>
                <w:szCs w:val="21"/>
              </w:rPr>
            </w:pPr>
            <w:r>
              <w:rPr>
                <w:rFonts w:eastAsiaTheme="minorEastAsia" w:hint="eastAsia"/>
                <w:color w:val="000000" w:themeColor="text1"/>
                <w:szCs w:val="21"/>
              </w:rPr>
              <w:t>7</w:t>
            </w:r>
          </w:p>
        </w:tc>
        <w:tc>
          <w:tcPr>
            <w:tcW w:w="4330" w:type="dxa"/>
            <w:shd w:val="clear" w:color="auto" w:fill="FFFFFF"/>
            <w:vAlign w:val="center"/>
          </w:tcPr>
          <w:p w:rsidR="003663E4" w:rsidRDefault="00FD3F7D">
            <w:pPr>
              <w:spacing w:before="29" w:line="360" w:lineRule="auto"/>
              <w:ind w:left="17"/>
              <w:jc w:val="left"/>
              <w:rPr>
                <w:rFonts w:eastAsiaTheme="minorEastAsia"/>
                <w:color w:val="000000" w:themeColor="text1"/>
                <w:szCs w:val="21"/>
              </w:rPr>
            </w:pPr>
            <w:r>
              <w:rPr>
                <w:rFonts w:eastAsiaTheme="minorEastAsia" w:hint="eastAsia"/>
                <w:color w:val="000000" w:themeColor="text1"/>
                <w:szCs w:val="21"/>
              </w:rPr>
              <w:t>同业存单</w:t>
            </w:r>
          </w:p>
        </w:tc>
        <w:tc>
          <w:tcPr>
            <w:tcW w:w="2631" w:type="dxa"/>
            <w:vAlign w:val="center"/>
          </w:tcPr>
          <w:p w:rsidR="003663E4" w:rsidRDefault="00FD3F7D">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99,645,024.72</w:t>
            </w:r>
          </w:p>
        </w:tc>
        <w:tc>
          <w:tcPr>
            <w:tcW w:w="1602" w:type="dxa"/>
            <w:vAlign w:val="center"/>
          </w:tcPr>
          <w:p w:rsidR="003663E4" w:rsidRDefault="00FD3F7D">
            <w:pPr>
              <w:spacing w:before="29" w:line="360" w:lineRule="auto"/>
              <w:ind w:left="17"/>
              <w:jc w:val="right"/>
              <w:rPr>
                <w:rFonts w:eastAsiaTheme="minorEastAsia"/>
                <w:color w:val="000000" w:themeColor="text1"/>
                <w:szCs w:val="21"/>
              </w:rPr>
            </w:pPr>
            <w:r>
              <w:rPr>
                <w:rFonts w:eastAsiaTheme="minorEastAsia" w:hint="eastAsia"/>
                <w:color w:val="000000" w:themeColor="text1"/>
                <w:szCs w:val="21"/>
              </w:rPr>
              <w:t>12.94</w:t>
            </w:r>
          </w:p>
        </w:tc>
      </w:tr>
      <w:tr w:rsidR="003663E4">
        <w:trPr>
          <w:trHeight w:val="315"/>
        </w:trPr>
        <w:tc>
          <w:tcPr>
            <w:tcW w:w="793" w:type="dxa"/>
            <w:vAlign w:val="center"/>
          </w:tcPr>
          <w:p w:rsidR="003663E4" w:rsidRDefault="00FD3F7D">
            <w:pPr>
              <w:spacing w:before="29" w:line="360" w:lineRule="auto"/>
              <w:ind w:left="17"/>
              <w:jc w:val="center"/>
              <w:rPr>
                <w:rFonts w:eastAsiaTheme="minorEastAsia"/>
                <w:color w:val="000000" w:themeColor="text1"/>
                <w:szCs w:val="21"/>
              </w:rPr>
            </w:pPr>
            <w:r>
              <w:rPr>
                <w:rFonts w:eastAsiaTheme="minorEastAsia"/>
                <w:color w:val="000000" w:themeColor="text1"/>
                <w:szCs w:val="21"/>
              </w:rPr>
              <w:t>8</w:t>
            </w:r>
          </w:p>
        </w:tc>
        <w:tc>
          <w:tcPr>
            <w:tcW w:w="4330" w:type="dxa"/>
            <w:vAlign w:val="center"/>
          </w:tcPr>
          <w:p w:rsidR="003663E4" w:rsidRDefault="00FD3F7D">
            <w:pPr>
              <w:spacing w:before="29" w:line="360" w:lineRule="auto"/>
              <w:ind w:left="17"/>
              <w:jc w:val="left"/>
              <w:rPr>
                <w:rFonts w:eastAsiaTheme="minorEastAsia"/>
                <w:color w:val="000000" w:themeColor="text1"/>
                <w:szCs w:val="21"/>
              </w:rPr>
            </w:pPr>
            <w:r>
              <w:rPr>
                <w:rFonts w:eastAsiaTheme="minorEastAsia"/>
                <w:color w:val="000000" w:themeColor="text1"/>
                <w:szCs w:val="21"/>
              </w:rPr>
              <w:t>其他</w:t>
            </w:r>
          </w:p>
        </w:tc>
        <w:tc>
          <w:tcPr>
            <w:tcW w:w="2631" w:type="dxa"/>
            <w:vAlign w:val="center"/>
          </w:tcPr>
          <w:p w:rsidR="003663E4" w:rsidRDefault="00FD3F7D">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c>
          <w:tcPr>
            <w:tcW w:w="1602" w:type="dxa"/>
            <w:vAlign w:val="center"/>
          </w:tcPr>
          <w:p w:rsidR="003663E4" w:rsidRDefault="00FD3F7D">
            <w:pPr>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3663E4">
        <w:trPr>
          <w:trHeight w:val="315"/>
        </w:trPr>
        <w:tc>
          <w:tcPr>
            <w:tcW w:w="793" w:type="dxa"/>
            <w:vAlign w:val="center"/>
          </w:tcPr>
          <w:p w:rsidR="003663E4" w:rsidRDefault="00FD3F7D">
            <w:pPr>
              <w:spacing w:before="29" w:line="360" w:lineRule="auto"/>
              <w:ind w:left="17"/>
              <w:jc w:val="center"/>
              <w:rPr>
                <w:rFonts w:eastAsiaTheme="minorEastAsia"/>
                <w:color w:val="000000" w:themeColor="text1"/>
                <w:szCs w:val="21"/>
              </w:rPr>
            </w:pPr>
            <w:r>
              <w:rPr>
                <w:rFonts w:eastAsiaTheme="minorEastAsia"/>
                <w:color w:val="000000" w:themeColor="text1"/>
                <w:szCs w:val="21"/>
              </w:rPr>
              <w:t>9</w:t>
            </w:r>
          </w:p>
        </w:tc>
        <w:tc>
          <w:tcPr>
            <w:tcW w:w="4330" w:type="dxa"/>
            <w:vAlign w:val="center"/>
          </w:tcPr>
          <w:p w:rsidR="003663E4" w:rsidRDefault="00FD3F7D">
            <w:pPr>
              <w:spacing w:before="29" w:line="360" w:lineRule="auto"/>
              <w:ind w:left="17"/>
              <w:jc w:val="left"/>
              <w:rPr>
                <w:rFonts w:eastAsiaTheme="minorEastAsia"/>
                <w:color w:val="000000" w:themeColor="text1"/>
                <w:szCs w:val="21"/>
              </w:rPr>
            </w:pPr>
            <w:r>
              <w:rPr>
                <w:rFonts w:eastAsiaTheme="minorEastAsia"/>
                <w:color w:val="000000" w:themeColor="text1"/>
                <w:szCs w:val="21"/>
              </w:rPr>
              <w:t>合计</w:t>
            </w:r>
          </w:p>
        </w:tc>
        <w:tc>
          <w:tcPr>
            <w:tcW w:w="2631" w:type="dxa"/>
            <w:vAlign w:val="center"/>
          </w:tcPr>
          <w:p w:rsidR="003663E4" w:rsidRDefault="00FD3F7D">
            <w:pPr>
              <w:spacing w:before="29" w:line="360" w:lineRule="auto"/>
              <w:ind w:left="17"/>
              <w:jc w:val="right"/>
              <w:rPr>
                <w:rFonts w:eastAsiaTheme="minorEastAsia"/>
                <w:color w:val="000000" w:themeColor="text1"/>
                <w:szCs w:val="21"/>
              </w:rPr>
            </w:pPr>
            <w:r>
              <w:rPr>
                <w:rFonts w:eastAsiaTheme="minorEastAsia"/>
                <w:color w:val="000000" w:themeColor="text1"/>
                <w:szCs w:val="21"/>
              </w:rPr>
              <w:t>729,966,052.15</w:t>
            </w:r>
          </w:p>
        </w:tc>
        <w:tc>
          <w:tcPr>
            <w:tcW w:w="1602" w:type="dxa"/>
            <w:vAlign w:val="center"/>
          </w:tcPr>
          <w:p w:rsidR="003663E4" w:rsidRDefault="00FD3F7D">
            <w:pPr>
              <w:spacing w:before="29" w:line="360" w:lineRule="auto"/>
              <w:ind w:left="17"/>
              <w:jc w:val="right"/>
              <w:rPr>
                <w:rFonts w:eastAsiaTheme="minorEastAsia"/>
                <w:color w:val="000000" w:themeColor="text1"/>
                <w:szCs w:val="21"/>
              </w:rPr>
            </w:pPr>
            <w:r>
              <w:rPr>
                <w:rFonts w:eastAsiaTheme="minorEastAsia"/>
                <w:color w:val="000000" w:themeColor="text1"/>
                <w:szCs w:val="21"/>
              </w:rPr>
              <w:t>94.79</w:t>
            </w:r>
          </w:p>
        </w:tc>
      </w:tr>
      <w:tr w:rsidR="003663E4">
        <w:trPr>
          <w:trHeight w:val="315"/>
        </w:trPr>
        <w:tc>
          <w:tcPr>
            <w:tcW w:w="793" w:type="dxa"/>
          </w:tcPr>
          <w:p w:rsidR="003663E4" w:rsidRDefault="00FD3F7D">
            <w:pPr>
              <w:spacing w:line="360" w:lineRule="auto"/>
              <w:jc w:val="center"/>
              <w:rPr>
                <w:rFonts w:eastAsiaTheme="minorEastAsia"/>
                <w:color w:val="000000" w:themeColor="text1"/>
                <w:szCs w:val="21"/>
              </w:rPr>
            </w:pPr>
            <w:r>
              <w:rPr>
                <w:rFonts w:eastAsiaTheme="minorEastAsia"/>
                <w:color w:val="000000" w:themeColor="text1"/>
                <w:szCs w:val="21"/>
              </w:rPr>
              <w:t>10</w:t>
            </w:r>
          </w:p>
        </w:tc>
        <w:tc>
          <w:tcPr>
            <w:tcW w:w="4330" w:type="dxa"/>
          </w:tcPr>
          <w:p w:rsidR="003663E4" w:rsidRDefault="00FD3F7D">
            <w:pPr>
              <w:spacing w:line="360" w:lineRule="auto"/>
              <w:rPr>
                <w:rFonts w:eastAsiaTheme="minorEastAsia"/>
                <w:color w:val="000000" w:themeColor="text1"/>
                <w:szCs w:val="21"/>
              </w:rPr>
            </w:pPr>
            <w:r>
              <w:rPr>
                <w:rFonts w:eastAsiaTheme="minorEastAsia"/>
                <w:color w:val="000000" w:themeColor="text1"/>
                <w:szCs w:val="21"/>
              </w:rPr>
              <w:t>剩余存续期超过</w:t>
            </w:r>
            <w:r>
              <w:rPr>
                <w:rFonts w:eastAsiaTheme="minorEastAsia"/>
                <w:color w:val="000000" w:themeColor="text1"/>
                <w:szCs w:val="21"/>
              </w:rPr>
              <w:t>397</w:t>
            </w:r>
            <w:r>
              <w:rPr>
                <w:rFonts w:eastAsiaTheme="minorEastAsia"/>
                <w:color w:val="000000" w:themeColor="text1"/>
                <w:szCs w:val="21"/>
              </w:rPr>
              <w:t>天的浮动利率债券</w:t>
            </w:r>
          </w:p>
        </w:tc>
        <w:tc>
          <w:tcPr>
            <w:tcW w:w="2631" w:type="dxa"/>
          </w:tcPr>
          <w:p w:rsidR="003663E4" w:rsidRDefault="00FD3F7D">
            <w:pPr>
              <w:spacing w:line="360" w:lineRule="auto"/>
              <w:jc w:val="right"/>
              <w:rPr>
                <w:rFonts w:eastAsiaTheme="minorEastAsia"/>
                <w:color w:val="000000" w:themeColor="text1"/>
                <w:szCs w:val="21"/>
              </w:rPr>
            </w:pPr>
            <w:r>
              <w:rPr>
                <w:rFonts w:eastAsiaTheme="minorEastAsia"/>
                <w:color w:val="000000" w:themeColor="text1"/>
                <w:szCs w:val="21"/>
              </w:rPr>
              <w:t>-</w:t>
            </w:r>
          </w:p>
        </w:tc>
        <w:tc>
          <w:tcPr>
            <w:tcW w:w="1602" w:type="dxa"/>
          </w:tcPr>
          <w:p w:rsidR="003663E4" w:rsidRDefault="00FD3F7D">
            <w:pPr>
              <w:spacing w:line="360" w:lineRule="auto"/>
              <w:jc w:val="right"/>
              <w:rPr>
                <w:rFonts w:eastAsiaTheme="minorEastAsia"/>
                <w:color w:val="000000" w:themeColor="text1"/>
                <w:szCs w:val="21"/>
              </w:rPr>
            </w:pPr>
            <w:r>
              <w:rPr>
                <w:rFonts w:eastAsiaTheme="minorEastAsia"/>
                <w:color w:val="000000" w:themeColor="text1"/>
                <w:szCs w:val="21"/>
              </w:rPr>
              <w:t>-</w:t>
            </w:r>
          </w:p>
        </w:tc>
      </w:tr>
    </w:tbl>
    <w:p w:rsidR="003663E4" w:rsidRDefault="00FD3F7D">
      <w:pPr>
        <w:pStyle w:val="3"/>
        <w:spacing w:beforeLines="50" w:before="156" w:after="0" w:line="360" w:lineRule="auto"/>
        <w:rPr>
          <w:color w:val="000000"/>
          <w:kern w:val="0"/>
          <w:sz w:val="21"/>
          <w:szCs w:val="21"/>
        </w:rPr>
      </w:pPr>
      <w:bookmarkStart w:id="252" w:name="_Toc23339410"/>
      <w:bookmarkStart w:id="253" w:name="_Toc19702"/>
      <w:r>
        <w:rPr>
          <w:color w:val="000000"/>
          <w:kern w:val="0"/>
          <w:sz w:val="21"/>
          <w:szCs w:val="21"/>
        </w:rPr>
        <w:t>8.2.6</w:t>
      </w:r>
      <w:r>
        <w:rPr>
          <w:rFonts w:hint="eastAsia"/>
          <w:color w:val="000000"/>
          <w:kern w:val="0"/>
          <w:sz w:val="21"/>
          <w:szCs w:val="21"/>
        </w:rPr>
        <w:t xml:space="preserve"> </w:t>
      </w:r>
      <w:r>
        <w:rPr>
          <w:color w:val="000000"/>
          <w:kern w:val="0"/>
          <w:sz w:val="21"/>
          <w:szCs w:val="21"/>
        </w:rPr>
        <w:t>期末按摊余成本占基金资产净值比例大小排</w:t>
      </w:r>
      <w:r>
        <w:rPr>
          <w:rFonts w:hint="eastAsia"/>
          <w:color w:val="000000"/>
          <w:kern w:val="0"/>
          <w:sz w:val="21"/>
          <w:szCs w:val="21"/>
        </w:rPr>
        <w:t>名</w:t>
      </w:r>
      <w:r>
        <w:rPr>
          <w:color w:val="000000"/>
          <w:kern w:val="0"/>
          <w:sz w:val="21"/>
          <w:szCs w:val="21"/>
        </w:rPr>
        <w:t>的前十名债券投资明细</w:t>
      </w:r>
      <w:bookmarkEnd w:id="252"/>
      <w:bookmarkEnd w:id="253"/>
    </w:p>
    <w:p w:rsidR="003663E4" w:rsidRDefault="00FD3F7D">
      <w:pPr>
        <w:autoSpaceDE w:val="0"/>
        <w:autoSpaceDN w:val="0"/>
        <w:adjustRightInd w:val="0"/>
        <w:spacing w:before="29" w:line="360" w:lineRule="auto"/>
        <w:ind w:left="15"/>
        <w:jc w:val="right"/>
        <w:rPr>
          <w:rFonts w:asciiTheme="minorEastAsia" w:eastAsiaTheme="minorEastAsia" w:hAnsiTheme="minorEastAsia"/>
          <w:szCs w:val="21"/>
        </w:rPr>
      </w:pPr>
      <w:r>
        <w:rPr>
          <w:rFonts w:asciiTheme="minorEastAsia" w:eastAsiaTheme="minorEastAsia" w:hAnsiTheme="minorEastAsia" w:hint="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68"/>
        <w:gridCol w:w="1329"/>
        <w:gridCol w:w="1762"/>
        <w:gridCol w:w="1731"/>
        <w:gridCol w:w="1980"/>
        <w:gridCol w:w="1520"/>
      </w:tblGrid>
      <w:tr w:rsidR="003663E4">
        <w:trPr>
          <w:trHeight w:val="286"/>
          <w:jc w:val="center"/>
        </w:trPr>
        <w:tc>
          <w:tcPr>
            <w:tcW w:w="768" w:type="dxa"/>
            <w:vAlign w:val="center"/>
          </w:tcPr>
          <w:p w:rsidR="003663E4" w:rsidRDefault="00FD3F7D">
            <w:pPr>
              <w:spacing w:line="360" w:lineRule="auto"/>
              <w:jc w:val="center"/>
              <w:rPr>
                <w:rFonts w:eastAsiaTheme="minorEastAsia"/>
                <w:szCs w:val="21"/>
              </w:rPr>
            </w:pPr>
            <w:r>
              <w:rPr>
                <w:rFonts w:eastAsiaTheme="minorEastAsia"/>
                <w:szCs w:val="21"/>
              </w:rPr>
              <w:t>序号</w:t>
            </w:r>
          </w:p>
        </w:tc>
        <w:tc>
          <w:tcPr>
            <w:tcW w:w="1329" w:type="dxa"/>
            <w:vAlign w:val="center"/>
          </w:tcPr>
          <w:p w:rsidR="003663E4" w:rsidRDefault="00FD3F7D">
            <w:pPr>
              <w:spacing w:line="360" w:lineRule="auto"/>
              <w:jc w:val="center"/>
              <w:rPr>
                <w:rFonts w:eastAsiaTheme="minorEastAsia"/>
                <w:szCs w:val="21"/>
              </w:rPr>
            </w:pPr>
            <w:r>
              <w:rPr>
                <w:rFonts w:eastAsiaTheme="minorEastAsia"/>
                <w:szCs w:val="21"/>
              </w:rPr>
              <w:t>债券代码</w:t>
            </w:r>
          </w:p>
        </w:tc>
        <w:tc>
          <w:tcPr>
            <w:tcW w:w="1762" w:type="dxa"/>
            <w:tcMar>
              <w:top w:w="15" w:type="dxa"/>
              <w:left w:w="15" w:type="dxa"/>
              <w:bottom w:w="0" w:type="dxa"/>
              <w:right w:w="15" w:type="dxa"/>
            </w:tcMar>
            <w:vAlign w:val="center"/>
          </w:tcPr>
          <w:p w:rsidR="003663E4" w:rsidRDefault="00FD3F7D">
            <w:pPr>
              <w:spacing w:line="360" w:lineRule="auto"/>
              <w:jc w:val="center"/>
              <w:rPr>
                <w:rFonts w:eastAsiaTheme="minorEastAsia"/>
                <w:szCs w:val="21"/>
              </w:rPr>
            </w:pPr>
            <w:r>
              <w:rPr>
                <w:rFonts w:eastAsiaTheme="minorEastAsia"/>
                <w:szCs w:val="21"/>
              </w:rPr>
              <w:t>债券名称</w:t>
            </w:r>
          </w:p>
        </w:tc>
        <w:tc>
          <w:tcPr>
            <w:tcW w:w="1731" w:type="dxa"/>
            <w:tcMar>
              <w:top w:w="15" w:type="dxa"/>
              <w:left w:w="15" w:type="dxa"/>
              <w:bottom w:w="0" w:type="dxa"/>
              <w:right w:w="15" w:type="dxa"/>
            </w:tcMar>
            <w:vAlign w:val="center"/>
          </w:tcPr>
          <w:p w:rsidR="003663E4" w:rsidRDefault="00FD3F7D">
            <w:pPr>
              <w:spacing w:line="360" w:lineRule="auto"/>
              <w:jc w:val="center"/>
              <w:rPr>
                <w:rFonts w:eastAsiaTheme="minorEastAsia"/>
                <w:szCs w:val="21"/>
              </w:rPr>
            </w:pPr>
            <w:r>
              <w:rPr>
                <w:rFonts w:eastAsiaTheme="minorEastAsia"/>
                <w:kern w:val="0"/>
                <w:szCs w:val="21"/>
              </w:rPr>
              <w:t>债券数量</w:t>
            </w:r>
            <w:r>
              <w:rPr>
                <w:rFonts w:eastAsiaTheme="minorEastAsia" w:hint="eastAsia"/>
                <w:kern w:val="0"/>
                <w:szCs w:val="21"/>
              </w:rPr>
              <w:t>（</w:t>
            </w:r>
            <w:r>
              <w:rPr>
                <w:rFonts w:eastAsiaTheme="minorEastAsia"/>
                <w:kern w:val="0"/>
                <w:szCs w:val="21"/>
              </w:rPr>
              <w:t>张</w:t>
            </w:r>
            <w:r>
              <w:rPr>
                <w:rFonts w:eastAsiaTheme="minorEastAsia" w:hint="eastAsia"/>
                <w:kern w:val="0"/>
                <w:szCs w:val="21"/>
              </w:rPr>
              <w:t>）</w:t>
            </w:r>
          </w:p>
        </w:tc>
        <w:tc>
          <w:tcPr>
            <w:tcW w:w="1980" w:type="dxa"/>
            <w:tcMar>
              <w:top w:w="15" w:type="dxa"/>
              <w:left w:w="15" w:type="dxa"/>
              <w:bottom w:w="0" w:type="dxa"/>
              <w:right w:w="15" w:type="dxa"/>
            </w:tcMar>
            <w:vAlign w:val="center"/>
          </w:tcPr>
          <w:p w:rsidR="003663E4" w:rsidRDefault="00FD3F7D">
            <w:pPr>
              <w:spacing w:line="360" w:lineRule="auto"/>
              <w:jc w:val="center"/>
              <w:rPr>
                <w:rFonts w:eastAsiaTheme="minorEastAsia"/>
                <w:szCs w:val="21"/>
              </w:rPr>
            </w:pPr>
            <w:r>
              <w:rPr>
                <w:rFonts w:eastAsiaTheme="minorEastAsia"/>
                <w:szCs w:val="21"/>
              </w:rPr>
              <w:t>摊余成本</w:t>
            </w:r>
          </w:p>
        </w:tc>
        <w:tc>
          <w:tcPr>
            <w:tcW w:w="1520" w:type="dxa"/>
            <w:tcMar>
              <w:top w:w="15" w:type="dxa"/>
              <w:left w:w="15" w:type="dxa"/>
              <w:bottom w:w="0" w:type="dxa"/>
              <w:right w:w="15" w:type="dxa"/>
            </w:tcMar>
            <w:vAlign w:val="center"/>
          </w:tcPr>
          <w:p w:rsidR="003663E4" w:rsidRDefault="00FD3F7D">
            <w:pPr>
              <w:spacing w:line="360" w:lineRule="auto"/>
              <w:jc w:val="center"/>
              <w:rPr>
                <w:rFonts w:eastAsiaTheme="minorEastAsia"/>
                <w:szCs w:val="21"/>
              </w:rPr>
            </w:pPr>
            <w:r>
              <w:rPr>
                <w:rFonts w:eastAsiaTheme="minorEastAsia"/>
                <w:szCs w:val="21"/>
              </w:rPr>
              <w:t>占基金资产净值比例（</w:t>
            </w:r>
            <w:r>
              <w:rPr>
                <w:rFonts w:eastAsiaTheme="minorEastAsia" w:hint="eastAsia"/>
                <w:szCs w:val="21"/>
              </w:rPr>
              <w:t>%</w:t>
            </w:r>
            <w:r>
              <w:rPr>
                <w:rFonts w:eastAsiaTheme="minorEastAsia"/>
                <w:szCs w:val="21"/>
              </w:rPr>
              <w:t>）</w:t>
            </w:r>
          </w:p>
        </w:tc>
      </w:tr>
      <w:tr w:rsidR="003663E4">
        <w:trPr>
          <w:jc w:val="center"/>
        </w:trPr>
        <w:tc>
          <w:tcPr>
            <w:tcW w:w="768" w:type="dxa"/>
            <w:vAlign w:val="center"/>
          </w:tcPr>
          <w:p w:rsidR="003663E4" w:rsidRDefault="00FD3F7D">
            <w:pPr>
              <w:jc w:val="center"/>
            </w:pPr>
            <w:r>
              <w:rPr>
                <w:rFonts w:eastAsiaTheme="minorEastAsia"/>
                <w:szCs w:val="21"/>
              </w:rPr>
              <w:t>1</w:t>
            </w:r>
          </w:p>
        </w:tc>
        <w:tc>
          <w:tcPr>
            <w:tcW w:w="1329" w:type="dxa"/>
            <w:vAlign w:val="center"/>
          </w:tcPr>
          <w:p w:rsidR="003663E4" w:rsidRDefault="00FD3F7D">
            <w:pPr>
              <w:jc w:val="center"/>
            </w:pPr>
            <w:r>
              <w:rPr>
                <w:rFonts w:eastAsiaTheme="minorEastAsia"/>
                <w:szCs w:val="21"/>
              </w:rPr>
              <w:t>200211</w:t>
            </w:r>
          </w:p>
        </w:tc>
        <w:tc>
          <w:tcPr>
            <w:tcW w:w="1762" w:type="dxa"/>
            <w:vAlign w:val="center"/>
          </w:tcPr>
          <w:p w:rsidR="003663E4" w:rsidRDefault="00FD3F7D">
            <w:pPr>
              <w:jc w:val="center"/>
            </w:pPr>
            <w:r>
              <w:rPr>
                <w:rFonts w:eastAsiaTheme="minorEastAsia"/>
                <w:szCs w:val="21"/>
              </w:rPr>
              <w:t>20</w:t>
            </w:r>
            <w:r>
              <w:rPr>
                <w:rFonts w:eastAsiaTheme="minorEastAsia"/>
                <w:szCs w:val="21"/>
              </w:rPr>
              <w:t>国开</w:t>
            </w:r>
            <w:r>
              <w:rPr>
                <w:rFonts w:eastAsiaTheme="minorEastAsia"/>
                <w:szCs w:val="21"/>
              </w:rPr>
              <w:t>11</w:t>
            </w:r>
          </w:p>
        </w:tc>
        <w:tc>
          <w:tcPr>
            <w:tcW w:w="1731" w:type="dxa"/>
            <w:vAlign w:val="center"/>
          </w:tcPr>
          <w:p w:rsidR="003663E4" w:rsidRDefault="00FD3F7D">
            <w:pPr>
              <w:jc w:val="center"/>
            </w:pPr>
            <w:r>
              <w:rPr>
                <w:rFonts w:eastAsiaTheme="minorEastAsia"/>
                <w:szCs w:val="21"/>
              </w:rPr>
              <w:t>2,000,000</w:t>
            </w:r>
          </w:p>
        </w:tc>
        <w:tc>
          <w:tcPr>
            <w:tcW w:w="1980" w:type="dxa"/>
            <w:vAlign w:val="center"/>
          </w:tcPr>
          <w:p w:rsidR="003663E4" w:rsidRDefault="00FD3F7D">
            <w:pPr>
              <w:jc w:val="center"/>
            </w:pPr>
            <w:r>
              <w:rPr>
                <w:rFonts w:eastAsiaTheme="minorEastAsia"/>
                <w:szCs w:val="21"/>
              </w:rPr>
              <w:t>198,031,687.46</w:t>
            </w:r>
          </w:p>
        </w:tc>
        <w:tc>
          <w:tcPr>
            <w:tcW w:w="1520" w:type="dxa"/>
            <w:vAlign w:val="center"/>
          </w:tcPr>
          <w:p w:rsidR="003663E4" w:rsidRDefault="00FD3F7D">
            <w:pPr>
              <w:jc w:val="center"/>
            </w:pPr>
            <w:r>
              <w:rPr>
                <w:rFonts w:eastAsiaTheme="minorEastAsia"/>
                <w:szCs w:val="21"/>
              </w:rPr>
              <w:t>25.72</w:t>
            </w:r>
          </w:p>
        </w:tc>
      </w:tr>
      <w:tr w:rsidR="003663E4">
        <w:trPr>
          <w:jc w:val="center"/>
        </w:trPr>
        <w:tc>
          <w:tcPr>
            <w:tcW w:w="768" w:type="dxa"/>
            <w:vAlign w:val="center"/>
          </w:tcPr>
          <w:p w:rsidR="003663E4" w:rsidRDefault="00FD3F7D">
            <w:pPr>
              <w:jc w:val="center"/>
            </w:pPr>
            <w:r>
              <w:rPr>
                <w:rFonts w:eastAsiaTheme="minorEastAsia"/>
                <w:szCs w:val="21"/>
              </w:rPr>
              <w:t>2</w:t>
            </w:r>
          </w:p>
        </w:tc>
        <w:tc>
          <w:tcPr>
            <w:tcW w:w="1329" w:type="dxa"/>
            <w:vAlign w:val="center"/>
          </w:tcPr>
          <w:p w:rsidR="003663E4" w:rsidRDefault="00FD3F7D">
            <w:pPr>
              <w:jc w:val="center"/>
            </w:pPr>
            <w:r>
              <w:rPr>
                <w:rFonts w:eastAsiaTheme="minorEastAsia"/>
                <w:szCs w:val="21"/>
              </w:rPr>
              <w:t>180203</w:t>
            </w:r>
          </w:p>
        </w:tc>
        <w:tc>
          <w:tcPr>
            <w:tcW w:w="1762" w:type="dxa"/>
            <w:vAlign w:val="center"/>
          </w:tcPr>
          <w:p w:rsidR="003663E4" w:rsidRDefault="00FD3F7D">
            <w:pPr>
              <w:jc w:val="center"/>
            </w:pPr>
            <w:r>
              <w:rPr>
                <w:rFonts w:eastAsiaTheme="minorEastAsia"/>
                <w:szCs w:val="21"/>
              </w:rPr>
              <w:t>18</w:t>
            </w:r>
            <w:r>
              <w:rPr>
                <w:rFonts w:eastAsiaTheme="minorEastAsia"/>
                <w:szCs w:val="21"/>
              </w:rPr>
              <w:t>国开</w:t>
            </w:r>
            <w:r>
              <w:rPr>
                <w:rFonts w:eastAsiaTheme="minorEastAsia"/>
                <w:szCs w:val="21"/>
              </w:rPr>
              <w:t>03</w:t>
            </w:r>
          </w:p>
        </w:tc>
        <w:tc>
          <w:tcPr>
            <w:tcW w:w="1731" w:type="dxa"/>
            <w:vAlign w:val="center"/>
          </w:tcPr>
          <w:p w:rsidR="003663E4" w:rsidRDefault="00FD3F7D">
            <w:pPr>
              <w:jc w:val="center"/>
            </w:pPr>
            <w:r>
              <w:rPr>
                <w:rFonts w:eastAsiaTheme="minorEastAsia"/>
                <w:szCs w:val="21"/>
              </w:rPr>
              <w:t>1,000,000</w:t>
            </w:r>
          </w:p>
        </w:tc>
        <w:tc>
          <w:tcPr>
            <w:tcW w:w="1980" w:type="dxa"/>
            <w:vAlign w:val="center"/>
          </w:tcPr>
          <w:p w:rsidR="003663E4" w:rsidRDefault="00FD3F7D">
            <w:pPr>
              <w:jc w:val="center"/>
            </w:pPr>
            <w:r>
              <w:rPr>
                <w:rFonts w:eastAsiaTheme="minorEastAsia"/>
                <w:szCs w:val="21"/>
              </w:rPr>
              <w:t>101,244,947.12</w:t>
            </w:r>
          </w:p>
        </w:tc>
        <w:tc>
          <w:tcPr>
            <w:tcW w:w="1520" w:type="dxa"/>
            <w:vAlign w:val="center"/>
          </w:tcPr>
          <w:p w:rsidR="003663E4" w:rsidRDefault="00FD3F7D">
            <w:pPr>
              <w:jc w:val="center"/>
            </w:pPr>
            <w:r>
              <w:rPr>
                <w:rFonts w:eastAsiaTheme="minorEastAsia"/>
                <w:szCs w:val="21"/>
              </w:rPr>
              <w:t>13.15</w:t>
            </w:r>
          </w:p>
        </w:tc>
      </w:tr>
      <w:tr w:rsidR="003663E4">
        <w:trPr>
          <w:jc w:val="center"/>
        </w:trPr>
        <w:tc>
          <w:tcPr>
            <w:tcW w:w="768" w:type="dxa"/>
            <w:vAlign w:val="center"/>
          </w:tcPr>
          <w:p w:rsidR="003663E4" w:rsidRDefault="00FD3F7D">
            <w:pPr>
              <w:jc w:val="center"/>
            </w:pPr>
            <w:r>
              <w:rPr>
                <w:rFonts w:eastAsiaTheme="minorEastAsia"/>
                <w:szCs w:val="21"/>
              </w:rPr>
              <w:t>3</w:t>
            </w:r>
          </w:p>
        </w:tc>
        <w:tc>
          <w:tcPr>
            <w:tcW w:w="1329" w:type="dxa"/>
            <w:vAlign w:val="center"/>
          </w:tcPr>
          <w:p w:rsidR="003663E4" w:rsidRDefault="00FD3F7D">
            <w:pPr>
              <w:jc w:val="center"/>
            </w:pPr>
            <w:r>
              <w:rPr>
                <w:rFonts w:eastAsiaTheme="minorEastAsia"/>
                <w:szCs w:val="21"/>
              </w:rPr>
              <w:t>180208</w:t>
            </w:r>
          </w:p>
        </w:tc>
        <w:tc>
          <w:tcPr>
            <w:tcW w:w="1762" w:type="dxa"/>
            <w:vAlign w:val="center"/>
          </w:tcPr>
          <w:p w:rsidR="003663E4" w:rsidRDefault="00FD3F7D">
            <w:pPr>
              <w:jc w:val="center"/>
            </w:pPr>
            <w:r>
              <w:rPr>
                <w:rFonts w:eastAsiaTheme="minorEastAsia"/>
                <w:szCs w:val="21"/>
              </w:rPr>
              <w:t>18</w:t>
            </w:r>
            <w:r>
              <w:rPr>
                <w:rFonts w:eastAsiaTheme="minorEastAsia"/>
                <w:szCs w:val="21"/>
              </w:rPr>
              <w:t>国开</w:t>
            </w:r>
            <w:r>
              <w:rPr>
                <w:rFonts w:eastAsiaTheme="minorEastAsia"/>
                <w:szCs w:val="21"/>
              </w:rPr>
              <w:t>08</w:t>
            </w:r>
          </w:p>
        </w:tc>
        <w:tc>
          <w:tcPr>
            <w:tcW w:w="1731" w:type="dxa"/>
            <w:vAlign w:val="center"/>
          </w:tcPr>
          <w:p w:rsidR="003663E4" w:rsidRDefault="00FD3F7D">
            <w:pPr>
              <w:jc w:val="center"/>
            </w:pPr>
            <w:r>
              <w:rPr>
                <w:rFonts w:eastAsiaTheme="minorEastAsia"/>
                <w:szCs w:val="21"/>
              </w:rPr>
              <w:t>1,000,000</w:t>
            </w:r>
          </w:p>
        </w:tc>
        <w:tc>
          <w:tcPr>
            <w:tcW w:w="1980" w:type="dxa"/>
            <w:vAlign w:val="center"/>
          </w:tcPr>
          <w:p w:rsidR="003663E4" w:rsidRDefault="00FD3F7D">
            <w:pPr>
              <w:jc w:val="center"/>
            </w:pPr>
            <w:r>
              <w:rPr>
                <w:rFonts w:eastAsiaTheme="minorEastAsia"/>
                <w:szCs w:val="21"/>
              </w:rPr>
              <w:t>101,091,585.12</w:t>
            </w:r>
          </w:p>
        </w:tc>
        <w:tc>
          <w:tcPr>
            <w:tcW w:w="1520" w:type="dxa"/>
            <w:vAlign w:val="center"/>
          </w:tcPr>
          <w:p w:rsidR="003663E4" w:rsidRDefault="00FD3F7D">
            <w:pPr>
              <w:jc w:val="center"/>
            </w:pPr>
            <w:r>
              <w:rPr>
                <w:rFonts w:eastAsiaTheme="minorEastAsia"/>
                <w:szCs w:val="21"/>
              </w:rPr>
              <w:t>13.13</w:t>
            </w:r>
          </w:p>
        </w:tc>
      </w:tr>
      <w:tr w:rsidR="003663E4">
        <w:trPr>
          <w:jc w:val="center"/>
        </w:trPr>
        <w:tc>
          <w:tcPr>
            <w:tcW w:w="768" w:type="dxa"/>
            <w:vAlign w:val="center"/>
          </w:tcPr>
          <w:p w:rsidR="003663E4" w:rsidRDefault="00FD3F7D">
            <w:pPr>
              <w:jc w:val="center"/>
            </w:pPr>
            <w:r>
              <w:rPr>
                <w:rFonts w:eastAsiaTheme="minorEastAsia"/>
                <w:szCs w:val="21"/>
              </w:rPr>
              <w:t>4</w:t>
            </w:r>
          </w:p>
        </w:tc>
        <w:tc>
          <w:tcPr>
            <w:tcW w:w="1329" w:type="dxa"/>
            <w:vAlign w:val="center"/>
          </w:tcPr>
          <w:p w:rsidR="003663E4" w:rsidRDefault="00FD3F7D">
            <w:pPr>
              <w:jc w:val="center"/>
            </w:pPr>
            <w:r>
              <w:rPr>
                <w:rFonts w:eastAsiaTheme="minorEastAsia"/>
                <w:szCs w:val="21"/>
              </w:rPr>
              <w:t>190307</w:t>
            </w:r>
          </w:p>
        </w:tc>
        <w:tc>
          <w:tcPr>
            <w:tcW w:w="1762" w:type="dxa"/>
            <w:vAlign w:val="center"/>
          </w:tcPr>
          <w:p w:rsidR="003663E4" w:rsidRDefault="00FD3F7D">
            <w:pPr>
              <w:jc w:val="center"/>
            </w:pPr>
            <w:r>
              <w:rPr>
                <w:rFonts w:eastAsiaTheme="minorEastAsia"/>
                <w:szCs w:val="21"/>
              </w:rPr>
              <w:t>19</w:t>
            </w:r>
            <w:r>
              <w:rPr>
                <w:rFonts w:eastAsiaTheme="minorEastAsia"/>
                <w:szCs w:val="21"/>
              </w:rPr>
              <w:t>进出</w:t>
            </w:r>
            <w:r>
              <w:rPr>
                <w:rFonts w:eastAsiaTheme="minorEastAsia"/>
                <w:szCs w:val="21"/>
              </w:rPr>
              <w:t>07</w:t>
            </w:r>
          </w:p>
        </w:tc>
        <w:tc>
          <w:tcPr>
            <w:tcW w:w="1731" w:type="dxa"/>
            <w:vAlign w:val="center"/>
          </w:tcPr>
          <w:p w:rsidR="003663E4" w:rsidRDefault="00FD3F7D">
            <w:pPr>
              <w:jc w:val="center"/>
            </w:pPr>
            <w:r>
              <w:rPr>
                <w:rFonts w:eastAsiaTheme="minorEastAsia"/>
                <w:szCs w:val="21"/>
              </w:rPr>
              <w:t>1,000,000</w:t>
            </w:r>
          </w:p>
        </w:tc>
        <w:tc>
          <w:tcPr>
            <w:tcW w:w="1980" w:type="dxa"/>
            <w:vAlign w:val="center"/>
          </w:tcPr>
          <w:p w:rsidR="003663E4" w:rsidRDefault="00FD3F7D">
            <w:pPr>
              <w:jc w:val="center"/>
            </w:pPr>
            <w:r>
              <w:rPr>
                <w:rFonts w:eastAsiaTheme="minorEastAsia"/>
                <w:szCs w:val="21"/>
              </w:rPr>
              <w:t>100,125,268.26</w:t>
            </w:r>
          </w:p>
        </w:tc>
        <w:tc>
          <w:tcPr>
            <w:tcW w:w="1520" w:type="dxa"/>
            <w:vAlign w:val="center"/>
          </w:tcPr>
          <w:p w:rsidR="003663E4" w:rsidRDefault="00FD3F7D">
            <w:pPr>
              <w:jc w:val="center"/>
            </w:pPr>
            <w:r>
              <w:rPr>
                <w:rFonts w:eastAsiaTheme="minorEastAsia"/>
                <w:szCs w:val="21"/>
              </w:rPr>
              <w:t>13.00</w:t>
            </w:r>
          </w:p>
        </w:tc>
      </w:tr>
      <w:tr w:rsidR="003663E4">
        <w:trPr>
          <w:jc w:val="center"/>
        </w:trPr>
        <w:tc>
          <w:tcPr>
            <w:tcW w:w="768" w:type="dxa"/>
            <w:vAlign w:val="center"/>
          </w:tcPr>
          <w:p w:rsidR="003663E4" w:rsidRDefault="00FD3F7D">
            <w:pPr>
              <w:jc w:val="center"/>
            </w:pPr>
            <w:r>
              <w:rPr>
                <w:rFonts w:eastAsiaTheme="minorEastAsia"/>
                <w:szCs w:val="21"/>
              </w:rPr>
              <w:t>5</w:t>
            </w:r>
          </w:p>
        </w:tc>
        <w:tc>
          <w:tcPr>
            <w:tcW w:w="1329" w:type="dxa"/>
            <w:vAlign w:val="center"/>
          </w:tcPr>
          <w:p w:rsidR="003663E4" w:rsidRDefault="00FD3F7D">
            <w:pPr>
              <w:jc w:val="center"/>
            </w:pPr>
            <w:r>
              <w:rPr>
                <w:rFonts w:eastAsiaTheme="minorEastAsia"/>
                <w:szCs w:val="21"/>
              </w:rPr>
              <w:t>111909327</w:t>
            </w:r>
          </w:p>
        </w:tc>
        <w:tc>
          <w:tcPr>
            <w:tcW w:w="1762" w:type="dxa"/>
            <w:vAlign w:val="center"/>
          </w:tcPr>
          <w:p w:rsidR="003663E4" w:rsidRDefault="00FD3F7D">
            <w:pPr>
              <w:jc w:val="center"/>
            </w:pPr>
            <w:r>
              <w:rPr>
                <w:rFonts w:eastAsiaTheme="minorEastAsia"/>
                <w:szCs w:val="21"/>
              </w:rPr>
              <w:t>19</w:t>
            </w:r>
            <w:r>
              <w:rPr>
                <w:rFonts w:eastAsiaTheme="minorEastAsia"/>
                <w:szCs w:val="21"/>
              </w:rPr>
              <w:t>浦发银行</w:t>
            </w:r>
            <w:r>
              <w:rPr>
                <w:rFonts w:eastAsiaTheme="minorEastAsia"/>
                <w:szCs w:val="21"/>
              </w:rPr>
              <w:t>CD327</w:t>
            </w:r>
          </w:p>
        </w:tc>
        <w:tc>
          <w:tcPr>
            <w:tcW w:w="1731" w:type="dxa"/>
            <w:vAlign w:val="center"/>
          </w:tcPr>
          <w:p w:rsidR="003663E4" w:rsidRDefault="00FD3F7D">
            <w:pPr>
              <w:jc w:val="center"/>
            </w:pPr>
            <w:r>
              <w:rPr>
                <w:rFonts w:eastAsiaTheme="minorEastAsia"/>
                <w:szCs w:val="21"/>
              </w:rPr>
              <w:t>1,000,000</w:t>
            </w:r>
          </w:p>
        </w:tc>
        <w:tc>
          <w:tcPr>
            <w:tcW w:w="1980" w:type="dxa"/>
            <w:vAlign w:val="center"/>
          </w:tcPr>
          <w:p w:rsidR="003663E4" w:rsidRDefault="00FD3F7D">
            <w:pPr>
              <w:jc w:val="center"/>
            </w:pPr>
            <w:r>
              <w:rPr>
                <w:rFonts w:eastAsiaTheme="minorEastAsia"/>
                <w:szCs w:val="21"/>
              </w:rPr>
              <w:t>99,645,024.72</w:t>
            </w:r>
          </w:p>
        </w:tc>
        <w:tc>
          <w:tcPr>
            <w:tcW w:w="1520" w:type="dxa"/>
            <w:vAlign w:val="center"/>
          </w:tcPr>
          <w:p w:rsidR="003663E4" w:rsidRDefault="00FD3F7D">
            <w:pPr>
              <w:jc w:val="center"/>
            </w:pPr>
            <w:r>
              <w:rPr>
                <w:rFonts w:eastAsiaTheme="minorEastAsia"/>
                <w:szCs w:val="21"/>
              </w:rPr>
              <w:t>12.94</w:t>
            </w:r>
          </w:p>
        </w:tc>
      </w:tr>
      <w:tr w:rsidR="003663E4">
        <w:trPr>
          <w:jc w:val="center"/>
        </w:trPr>
        <w:tc>
          <w:tcPr>
            <w:tcW w:w="768" w:type="dxa"/>
            <w:vAlign w:val="center"/>
          </w:tcPr>
          <w:p w:rsidR="003663E4" w:rsidRDefault="00FD3F7D">
            <w:pPr>
              <w:jc w:val="center"/>
            </w:pPr>
            <w:r>
              <w:rPr>
                <w:rFonts w:eastAsiaTheme="minorEastAsia"/>
                <w:szCs w:val="21"/>
              </w:rPr>
              <w:t>6</w:t>
            </w:r>
          </w:p>
        </w:tc>
        <w:tc>
          <w:tcPr>
            <w:tcW w:w="1329" w:type="dxa"/>
            <w:vAlign w:val="center"/>
          </w:tcPr>
          <w:p w:rsidR="003663E4" w:rsidRDefault="00FD3F7D">
            <w:pPr>
              <w:jc w:val="center"/>
            </w:pPr>
            <w:r>
              <w:rPr>
                <w:rFonts w:eastAsiaTheme="minorEastAsia"/>
                <w:szCs w:val="21"/>
              </w:rPr>
              <w:t>2003662</w:t>
            </w:r>
          </w:p>
        </w:tc>
        <w:tc>
          <w:tcPr>
            <w:tcW w:w="1762" w:type="dxa"/>
            <w:vAlign w:val="center"/>
          </w:tcPr>
          <w:p w:rsidR="003663E4" w:rsidRDefault="00FD3F7D">
            <w:pPr>
              <w:jc w:val="center"/>
            </w:pPr>
            <w:r>
              <w:rPr>
                <w:rFonts w:eastAsiaTheme="minorEastAsia"/>
                <w:szCs w:val="21"/>
              </w:rPr>
              <w:t>20</w:t>
            </w:r>
            <w:r>
              <w:rPr>
                <w:rFonts w:eastAsiaTheme="minorEastAsia"/>
                <w:szCs w:val="21"/>
              </w:rPr>
              <w:t>进出</w:t>
            </w:r>
            <w:r>
              <w:rPr>
                <w:rFonts w:eastAsiaTheme="minorEastAsia"/>
                <w:szCs w:val="21"/>
              </w:rPr>
              <w:t>662</w:t>
            </w:r>
          </w:p>
        </w:tc>
        <w:tc>
          <w:tcPr>
            <w:tcW w:w="1731" w:type="dxa"/>
            <w:vAlign w:val="center"/>
          </w:tcPr>
          <w:p w:rsidR="003663E4" w:rsidRDefault="00FD3F7D">
            <w:pPr>
              <w:jc w:val="center"/>
            </w:pPr>
            <w:r>
              <w:rPr>
                <w:rFonts w:eastAsiaTheme="minorEastAsia"/>
                <w:szCs w:val="21"/>
              </w:rPr>
              <w:t>600,000</w:t>
            </w:r>
          </w:p>
        </w:tc>
        <w:tc>
          <w:tcPr>
            <w:tcW w:w="1980" w:type="dxa"/>
            <w:vAlign w:val="center"/>
          </w:tcPr>
          <w:p w:rsidR="003663E4" w:rsidRDefault="00FD3F7D">
            <w:pPr>
              <w:jc w:val="center"/>
            </w:pPr>
            <w:r>
              <w:rPr>
                <w:rFonts w:eastAsiaTheme="minorEastAsia"/>
                <w:szCs w:val="21"/>
              </w:rPr>
              <w:t>59,872,792.29</w:t>
            </w:r>
          </w:p>
        </w:tc>
        <w:tc>
          <w:tcPr>
            <w:tcW w:w="1520" w:type="dxa"/>
            <w:vAlign w:val="center"/>
          </w:tcPr>
          <w:p w:rsidR="003663E4" w:rsidRDefault="00FD3F7D">
            <w:pPr>
              <w:jc w:val="center"/>
            </w:pPr>
            <w:r>
              <w:rPr>
                <w:rFonts w:eastAsiaTheme="minorEastAsia"/>
                <w:szCs w:val="21"/>
              </w:rPr>
              <w:t>7.78</w:t>
            </w:r>
          </w:p>
        </w:tc>
      </w:tr>
      <w:tr w:rsidR="003663E4">
        <w:trPr>
          <w:jc w:val="center"/>
        </w:trPr>
        <w:tc>
          <w:tcPr>
            <w:tcW w:w="768" w:type="dxa"/>
            <w:vAlign w:val="center"/>
          </w:tcPr>
          <w:p w:rsidR="003663E4" w:rsidRDefault="00FD3F7D">
            <w:pPr>
              <w:jc w:val="center"/>
            </w:pPr>
            <w:r>
              <w:rPr>
                <w:rFonts w:eastAsiaTheme="minorEastAsia"/>
                <w:szCs w:val="21"/>
              </w:rPr>
              <w:t>7</w:t>
            </w:r>
          </w:p>
        </w:tc>
        <w:tc>
          <w:tcPr>
            <w:tcW w:w="1329" w:type="dxa"/>
            <w:vAlign w:val="center"/>
          </w:tcPr>
          <w:p w:rsidR="003663E4" w:rsidRDefault="00FD3F7D">
            <w:pPr>
              <w:jc w:val="center"/>
            </w:pPr>
            <w:r>
              <w:rPr>
                <w:rFonts w:eastAsiaTheme="minorEastAsia"/>
                <w:szCs w:val="21"/>
              </w:rPr>
              <w:t>100410</w:t>
            </w:r>
          </w:p>
        </w:tc>
        <w:tc>
          <w:tcPr>
            <w:tcW w:w="1762" w:type="dxa"/>
            <w:vAlign w:val="center"/>
          </w:tcPr>
          <w:p w:rsidR="003663E4" w:rsidRDefault="00FD3F7D">
            <w:pPr>
              <w:jc w:val="center"/>
            </w:pPr>
            <w:r>
              <w:rPr>
                <w:rFonts w:eastAsiaTheme="minorEastAsia"/>
                <w:szCs w:val="21"/>
              </w:rPr>
              <w:t>10</w:t>
            </w:r>
            <w:r>
              <w:rPr>
                <w:rFonts w:eastAsiaTheme="minorEastAsia"/>
                <w:szCs w:val="21"/>
              </w:rPr>
              <w:t>农发</w:t>
            </w:r>
            <w:r>
              <w:rPr>
                <w:rFonts w:eastAsiaTheme="minorEastAsia"/>
                <w:szCs w:val="21"/>
              </w:rPr>
              <w:t>10</w:t>
            </w:r>
          </w:p>
        </w:tc>
        <w:tc>
          <w:tcPr>
            <w:tcW w:w="1731" w:type="dxa"/>
            <w:vAlign w:val="center"/>
          </w:tcPr>
          <w:p w:rsidR="003663E4" w:rsidRDefault="00FD3F7D">
            <w:pPr>
              <w:jc w:val="center"/>
            </w:pPr>
            <w:r>
              <w:rPr>
                <w:rFonts w:eastAsiaTheme="minorEastAsia"/>
                <w:szCs w:val="21"/>
              </w:rPr>
              <w:t>500,000</w:t>
            </w:r>
          </w:p>
        </w:tc>
        <w:tc>
          <w:tcPr>
            <w:tcW w:w="1980" w:type="dxa"/>
            <w:vAlign w:val="center"/>
          </w:tcPr>
          <w:p w:rsidR="003663E4" w:rsidRDefault="00FD3F7D">
            <w:pPr>
              <w:jc w:val="center"/>
            </w:pPr>
            <w:r>
              <w:rPr>
                <w:rFonts w:eastAsiaTheme="minorEastAsia"/>
                <w:szCs w:val="21"/>
              </w:rPr>
              <w:t>50,003,655.76</w:t>
            </w:r>
          </w:p>
        </w:tc>
        <w:tc>
          <w:tcPr>
            <w:tcW w:w="1520" w:type="dxa"/>
            <w:vAlign w:val="center"/>
          </w:tcPr>
          <w:p w:rsidR="003663E4" w:rsidRDefault="00FD3F7D">
            <w:pPr>
              <w:jc w:val="center"/>
            </w:pPr>
            <w:r>
              <w:rPr>
                <w:rFonts w:eastAsiaTheme="minorEastAsia"/>
                <w:szCs w:val="21"/>
              </w:rPr>
              <w:t>6.49</w:t>
            </w:r>
          </w:p>
        </w:tc>
      </w:tr>
      <w:tr w:rsidR="003663E4">
        <w:trPr>
          <w:jc w:val="center"/>
        </w:trPr>
        <w:tc>
          <w:tcPr>
            <w:tcW w:w="768" w:type="dxa"/>
            <w:vAlign w:val="center"/>
          </w:tcPr>
          <w:p w:rsidR="003663E4" w:rsidRDefault="00FD3F7D">
            <w:pPr>
              <w:jc w:val="center"/>
            </w:pPr>
            <w:r>
              <w:rPr>
                <w:rFonts w:eastAsiaTheme="minorEastAsia"/>
                <w:szCs w:val="21"/>
              </w:rPr>
              <w:t>8</w:t>
            </w:r>
          </w:p>
        </w:tc>
        <w:tc>
          <w:tcPr>
            <w:tcW w:w="1329" w:type="dxa"/>
            <w:vAlign w:val="center"/>
          </w:tcPr>
          <w:p w:rsidR="003663E4" w:rsidRDefault="00FD3F7D">
            <w:pPr>
              <w:jc w:val="center"/>
            </w:pPr>
            <w:r>
              <w:rPr>
                <w:rFonts w:eastAsiaTheme="minorEastAsia"/>
                <w:szCs w:val="21"/>
              </w:rPr>
              <w:t>209928</w:t>
            </w:r>
          </w:p>
        </w:tc>
        <w:tc>
          <w:tcPr>
            <w:tcW w:w="1762" w:type="dxa"/>
            <w:vAlign w:val="center"/>
          </w:tcPr>
          <w:p w:rsidR="003663E4" w:rsidRDefault="00FD3F7D">
            <w:pPr>
              <w:jc w:val="center"/>
            </w:pPr>
            <w:r>
              <w:rPr>
                <w:rFonts w:eastAsiaTheme="minorEastAsia"/>
                <w:szCs w:val="21"/>
              </w:rPr>
              <w:t>20</w:t>
            </w:r>
            <w:r>
              <w:rPr>
                <w:rFonts w:eastAsiaTheme="minorEastAsia"/>
                <w:szCs w:val="21"/>
              </w:rPr>
              <w:t>贴现国债</w:t>
            </w:r>
            <w:r>
              <w:rPr>
                <w:rFonts w:eastAsiaTheme="minorEastAsia"/>
                <w:szCs w:val="21"/>
              </w:rPr>
              <w:t>28</w:t>
            </w:r>
          </w:p>
        </w:tc>
        <w:tc>
          <w:tcPr>
            <w:tcW w:w="1731" w:type="dxa"/>
            <w:vAlign w:val="center"/>
          </w:tcPr>
          <w:p w:rsidR="003663E4" w:rsidRDefault="00FD3F7D">
            <w:pPr>
              <w:jc w:val="center"/>
            </w:pPr>
            <w:r>
              <w:rPr>
                <w:rFonts w:eastAsiaTheme="minorEastAsia"/>
                <w:szCs w:val="21"/>
              </w:rPr>
              <w:t>200,000</w:t>
            </w:r>
          </w:p>
        </w:tc>
        <w:tc>
          <w:tcPr>
            <w:tcW w:w="1980" w:type="dxa"/>
            <w:vAlign w:val="center"/>
          </w:tcPr>
          <w:p w:rsidR="003663E4" w:rsidRDefault="00FD3F7D">
            <w:pPr>
              <w:jc w:val="center"/>
            </w:pPr>
            <w:r>
              <w:rPr>
                <w:rFonts w:eastAsiaTheme="minorEastAsia"/>
                <w:szCs w:val="21"/>
              </w:rPr>
              <w:t>19,951,091.42</w:t>
            </w:r>
          </w:p>
        </w:tc>
        <w:tc>
          <w:tcPr>
            <w:tcW w:w="1520" w:type="dxa"/>
            <w:vAlign w:val="center"/>
          </w:tcPr>
          <w:p w:rsidR="003663E4" w:rsidRDefault="00FD3F7D">
            <w:pPr>
              <w:jc w:val="center"/>
            </w:pPr>
            <w:r>
              <w:rPr>
                <w:rFonts w:eastAsiaTheme="minorEastAsia"/>
                <w:szCs w:val="21"/>
              </w:rPr>
              <w:t>2.59</w:t>
            </w:r>
          </w:p>
        </w:tc>
      </w:tr>
    </w:tbl>
    <w:p w:rsidR="003663E4" w:rsidRDefault="00FD3F7D">
      <w:pPr>
        <w:pStyle w:val="3"/>
        <w:spacing w:beforeLines="50" w:before="156" w:after="0" w:line="360" w:lineRule="auto"/>
        <w:rPr>
          <w:color w:val="000000"/>
          <w:kern w:val="0"/>
          <w:sz w:val="21"/>
          <w:szCs w:val="21"/>
        </w:rPr>
      </w:pPr>
      <w:bookmarkStart w:id="254" w:name="_Toc23339411"/>
      <w:bookmarkStart w:id="255" w:name="_Toc32001"/>
      <w:r>
        <w:rPr>
          <w:color w:val="000000"/>
          <w:kern w:val="0"/>
          <w:sz w:val="21"/>
          <w:szCs w:val="21"/>
        </w:rPr>
        <w:t>8.2.7</w:t>
      </w:r>
      <w:r>
        <w:rPr>
          <w:rFonts w:hint="eastAsia"/>
          <w:color w:val="000000"/>
          <w:kern w:val="0"/>
          <w:sz w:val="21"/>
          <w:szCs w:val="21"/>
        </w:rPr>
        <w:t xml:space="preserve"> </w:t>
      </w:r>
      <w:r>
        <w:rPr>
          <w:color w:val="000000"/>
          <w:kern w:val="0"/>
          <w:sz w:val="21"/>
          <w:szCs w:val="21"/>
        </w:rPr>
        <w:t>“</w:t>
      </w:r>
      <w:r>
        <w:rPr>
          <w:color w:val="000000"/>
          <w:kern w:val="0"/>
          <w:sz w:val="21"/>
          <w:szCs w:val="21"/>
        </w:rPr>
        <w:t>影子定价</w:t>
      </w:r>
      <w:r>
        <w:rPr>
          <w:color w:val="000000"/>
          <w:kern w:val="0"/>
          <w:sz w:val="21"/>
          <w:szCs w:val="21"/>
        </w:rPr>
        <w:t>”</w:t>
      </w:r>
      <w:r>
        <w:rPr>
          <w:color w:val="000000"/>
          <w:kern w:val="0"/>
          <w:sz w:val="21"/>
          <w:szCs w:val="21"/>
        </w:rPr>
        <w:t>与</w:t>
      </w:r>
      <w:r>
        <w:rPr>
          <w:color w:val="000000"/>
          <w:kern w:val="0"/>
          <w:sz w:val="21"/>
          <w:szCs w:val="21"/>
        </w:rPr>
        <w:t>“</w:t>
      </w:r>
      <w:r>
        <w:rPr>
          <w:color w:val="000000"/>
          <w:kern w:val="0"/>
          <w:sz w:val="21"/>
          <w:szCs w:val="21"/>
        </w:rPr>
        <w:t>摊余成本法</w:t>
      </w:r>
      <w:r>
        <w:rPr>
          <w:color w:val="000000"/>
          <w:kern w:val="0"/>
          <w:sz w:val="21"/>
          <w:szCs w:val="21"/>
        </w:rPr>
        <w:t>”</w:t>
      </w:r>
      <w:r>
        <w:rPr>
          <w:color w:val="000000"/>
          <w:kern w:val="0"/>
          <w:sz w:val="21"/>
          <w:szCs w:val="21"/>
        </w:rPr>
        <w:t>确定的基金资产净值的偏离</w:t>
      </w:r>
      <w:bookmarkEnd w:id="254"/>
      <w:bookmarkEnd w:id="255"/>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042"/>
        <w:gridCol w:w="3314"/>
      </w:tblGrid>
      <w:tr w:rsidR="003663E4">
        <w:trPr>
          <w:trHeight w:val="285"/>
          <w:jc w:val="center"/>
        </w:trPr>
        <w:tc>
          <w:tcPr>
            <w:tcW w:w="6042" w:type="dxa"/>
            <w:tcMar>
              <w:top w:w="15" w:type="dxa"/>
              <w:left w:w="15" w:type="dxa"/>
              <w:bottom w:w="0" w:type="dxa"/>
              <w:right w:w="15" w:type="dxa"/>
            </w:tcMar>
          </w:tcPr>
          <w:p w:rsidR="003663E4" w:rsidRDefault="00FD3F7D">
            <w:pPr>
              <w:spacing w:line="360" w:lineRule="auto"/>
              <w:jc w:val="center"/>
              <w:rPr>
                <w:rFonts w:eastAsiaTheme="minorEastAsia"/>
                <w:szCs w:val="21"/>
              </w:rPr>
            </w:pPr>
            <w:r>
              <w:rPr>
                <w:rFonts w:eastAsiaTheme="minorEastAsia"/>
                <w:szCs w:val="21"/>
              </w:rPr>
              <w:t>项目</w:t>
            </w:r>
          </w:p>
        </w:tc>
        <w:tc>
          <w:tcPr>
            <w:tcW w:w="3314" w:type="dxa"/>
            <w:tcMar>
              <w:top w:w="15" w:type="dxa"/>
              <w:left w:w="15" w:type="dxa"/>
              <w:bottom w:w="0" w:type="dxa"/>
              <w:right w:w="15" w:type="dxa"/>
            </w:tcMar>
          </w:tcPr>
          <w:p w:rsidR="003663E4" w:rsidRDefault="00FD3F7D">
            <w:pPr>
              <w:spacing w:line="360" w:lineRule="auto"/>
              <w:jc w:val="center"/>
              <w:rPr>
                <w:rFonts w:eastAsiaTheme="minorEastAsia"/>
                <w:szCs w:val="21"/>
              </w:rPr>
            </w:pPr>
            <w:r>
              <w:rPr>
                <w:rFonts w:eastAsiaTheme="minorEastAsia"/>
                <w:szCs w:val="21"/>
              </w:rPr>
              <w:t>偏离情况</w:t>
            </w:r>
          </w:p>
        </w:tc>
      </w:tr>
      <w:tr w:rsidR="003663E4">
        <w:trPr>
          <w:trHeight w:val="312"/>
          <w:jc w:val="center"/>
        </w:trPr>
        <w:tc>
          <w:tcPr>
            <w:tcW w:w="6042" w:type="dxa"/>
            <w:tcMar>
              <w:top w:w="15" w:type="dxa"/>
              <w:left w:w="15" w:type="dxa"/>
              <w:bottom w:w="0" w:type="dxa"/>
              <w:right w:w="15" w:type="dxa"/>
            </w:tcMar>
          </w:tcPr>
          <w:p w:rsidR="003663E4" w:rsidRDefault="00FD3F7D">
            <w:pPr>
              <w:spacing w:line="360" w:lineRule="auto"/>
              <w:rPr>
                <w:rFonts w:eastAsiaTheme="minorEastAsia"/>
                <w:szCs w:val="21"/>
              </w:rPr>
            </w:pPr>
            <w:r>
              <w:rPr>
                <w:rFonts w:eastAsiaTheme="minorEastAsia"/>
                <w:szCs w:val="21"/>
              </w:rPr>
              <w:t>报告期内偏离度的绝对值在</w:t>
            </w:r>
            <w:r>
              <w:rPr>
                <w:rFonts w:eastAsiaTheme="minorEastAsia"/>
                <w:szCs w:val="21"/>
              </w:rPr>
              <w:t>0.25(</w:t>
            </w:r>
            <w:r>
              <w:rPr>
                <w:rFonts w:eastAsiaTheme="minorEastAsia"/>
                <w:szCs w:val="21"/>
              </w:rPr>
              <w:t>含</w:t>
            </w:r>
            <w:r>
              <w:rPr>
                <w:rFonts w:eastAsiaTheme="minorEastAsia"/>
                <w:szCs w:val="21"/>
              </w:rPr>
              <w:t>)-0.5%</w:t>
            </w:r>
            <w:r>
              <w:rPr>
                <w:rFonts w:eastAsiaTheme="minorEastAsia"/>
                <w:szCs w:val="21"/>
              </w:rPr>
              <w:t>间的次数</w:t>
            </w:r>
          </w:p>
        </w:tc>
        <w:tc>
          <w:tcPr>
            <w:tcW w:w="3314" w:type="dxa"/>
            <w:tcMar>
              <w:top w:w="15" w:type="dxa"/>
              <w:left w:w="15" w:type="dxa"/>
              <w:bottom w:w="0" w:type="dxa"/>
              <w:right w:w="15" w:type="dxa"/>
            </w:tcMar>
            <w:vAlign w:val="center"/>
          </w:tcPr>
          <w:p w:rsidR="003663E4" w:rsidRDefault="00FD3F7D">
            <w:pPr>
              <w:spacing w:line="360" w:lineRule="auto"/>
              <w:jc w:val="right"/>
              <w:rPr>
                <w:rFonts w:eastAsiaTheme="minorEastAsia"/>
                <w:szCs w:val="21"/>
              </w:rPr>
            </w:pPr>
            <w:r>
              <w:rPr>
                <w:rFonts w:eastAsiaTheme="minorEastAsia"/>
                <w:szCs w:val="21"/>
              </w:rPr>
              <w:t>41</w:t>
            </w:r>
          </w:p>
        </w:tc>
      </w:tr>
      <w:tr w:rsidR="003663E4">
        <w:trPr>
          <w:trHeight w:val="285"/>
          <w:jc w:val="center"/>
        </w:trPr>
        <w:tc>
          <w:tcPr>
            <w:tcW w:w="6042" w:type="dxa"/>
            <w:tcMar>
              <w:top w:w="15" w:type="dxa"/>
              <w:left w:w="15" w:type="dxa"/>
              <w:bottom w:w="0" w:type="dxa"/>
              <w:right w:w="15" w:type="dxa"/>
            </w:tcMar>
          </w:tcPr>
          <w:p w:rsidR="003663E4" w:rsidRDefault="00FD3F7D">
            <w:pPr>
              <w:spacing w:line="360" w:lineRule="auto"/>
              <w:rPr>
                <w:rFonts w:eastAsiaTheme="minorEastAsia"/>
                <w:szCs w:val="21"/>
              </w:rPr>
            </w:pPr>
            <w:r>
              <w:rPr>
                <w:rFonts w:eastAsiaTheme="minorEastAsia"/>
                <w:szCs w:val="21"/>
              </w:rPr>
              <w:t>报告期内偏离度的最高值</w:t>
            </w:r>
          </w:p>
        </w:tc>
        <w:tc>
          <w:tcPr>
            <w:tcW w:w="3314" w:type="dxa"/>
            <w:tcMar>
              <w:top w:w="15" w:type="dxa"/>
              <w:left w:w="15" w:type="dxa"/>
              <w:bottom w:w="0" w:type="dxa"/>
              <w:right w:w="15" w:type="dxa"/>
            </w:tcMar>
            <w:vAlign w:val="bottom"/>
          </w:tcPr>
          <w:p w:rsidR="003663E4" w:rsidRDefault="00FD3F7D">
            <w:pPr>
              <w:pStyle w:val="ac"/>
              <w:jc w:val="right"/>
            </w:pPr>
            <w:r>
              <w:rPr>
                <w:rFonts w:hint="eastAsia"/>
              </w:rPr>
              <w:t>0.4311%</w:t>
            </w:r>
          </w:p>
        </w:tc>
      </w:tr>
      <w:tr w:rsidR="003663E4">
        <w:trPr>
          <w:trHeight w:val="285"/>
          <w:jc w:val="center"/>
        </w:trPr>
        <w:tc>
          <w:tcPr>
            <w:tcW w:w="6042" w:type="dxa"/>
            <w:tcMar>
              <w:top w:w="15" w:type="dxa"/>
              <w:left w:w="15" w:type="dxa"/>
              <w:bottom w:w="0" w:type="dxa"/>
              <w:right w:w="15" w:type="dxa"/>
            </w:tcMar>
          </w:tcPr>
          <w:p w:rsidR="003663E4" w:rsidRDefault="00FD3F7D">
            <w:pPr>
              <w:spacing w:line="360" w:lineRule="auto"/>
              <w:rPr>
                <w:rFonts w:eastAsiaTheme="minorEastAsia"/>
                <w:szCs w:val="21"/>
              </w:rPr>
            </w:pPr>
            <w:r>
              <w:rPr>
                <w:rFonts w:eastAsiaTheme="minorEastAsia"/>
                <w:szCs w:val="21"/>
              </w:rPr>
              <w:t>报告期内偏离度的最低值</w:t>
            </w:r>
          </w:p>
        </w:tc>
        <w:tc>
          <w:tcPr>
            <w:tcW w:w="3314" w:type="dxa"/>
            <w:tcMar>
              <w:top w:w="15" w:type="dxa"/>
              <w:left w:w="15" w:type="dxa"/>
              <w:bottom w:w="0" w:type="dxa"/>
              <w:right w:w="15" w:type="dxa"/>
            </w:tcMar>
            <w:vAlign w:val="bottom"/>
          </w:tcPr>
          <w:p w:rsidR="003663E4" w:rsidRDefault="00FD3F7D">
            <w:pPr>
              <w:pStyle w:val="ac"/>
              <w:jc w:val="right"/>
            </w:pPr>
            <w:r>
              <w:rPr>
                <w:rFonts w:hint="eastAsia"/>
              </w:rPr>
              <w:t>0.0027%</w:t>
            </w:r>
          </w:p>
        </w:tc>
      </w:tr>
      <w:tr w:rsidR="003663E4">
        <w:trPr>
          <w:trHeight w:val="314"/>
          <w:jc w:val="center"/>
        </w:trPr>
        <w:tc>
          <w:tcPr>
            <w:tcW w:w="6042" w:type="dxa"/>
            <w:tcMar>
              <w:top w:w="15" w:type="dxa"/>
              <w:left w:w="15" w:type="dxa"/>
              <w:bottom w:w="0" w:type="dxa"/>
              <w:right w:w="15" w:type="dxa"/>
            </w:tcMar>
          </w:tcPr>
          <w:p w:rsidR="003663E4" w:rsidRDefault="00FD3F7D">
            <w:pPr>
              <w:spacing w:line="360" w:lineRule="auto"/>
              <w:rPr>
                <w:rFonts w:eastAsiaTheme="minorEastAsia"/>
                <w:szCs w:val="21"/>
              </w:rPr>
            </w:pPr>
            <w:r>
              <w:rPr>
                <w:rFonts w:eastAsiaTheme="minorEastAsia"/>
                <w:szCs w:val="21"/>
              </w:rPr>
              <w:t>报告期内每个</w:t>
            </w:r>
            <w:r>
              <w:rPr>
                <w:szCs w:val="21"/>
              </w:rPr>
              <w:t>交易日</w:t>
            </w:r>
            <w:r>
              <w:rPr>
                <w:rFonts w:eastAsiaTheme="minorEastAsia"/>
                <w:szCs w:val="21"/>
              </w:rPr>
              <w:t>偏离度的绝对值的简单平均值</w:t>
            </w:r>
          </w:p>
        </w:tc>
        <w:tc>
          <w:tcPr>
            <w:tcW w:w="3314" w:type="dxa"/>
            <w:tcMar>
              <w:top w:w="15" w:type="dxa"/>
              <w:left w:w="15" w:type="dxa"/>
              <w:bottom w:w="0" w:type="dxa"/>
              <w:right w:w="15" w:type="dxa"/>
            </w:tcMar>
            <w:vAlign w:val="bottom"/>
          </w:tcPr>
          <w:p w:rsidR="003663E4" w:rsidRDefault="00FD3F7D">
            <w:pPr>
              <w:pStyle w:val="ac"/>
              <w:jc w:val="right"/>
            </w:pPr>
            <w:r>
              <w:t>0.1839%</w:t>
            </w:r>
          </w:p>
        </w:tc>
      </w:tr>
    </w:tbl>
    <w:p w:rsidR="003663E4" w:rsidRDefault="00FD3F7D">
      <w:pPr>
        <w:pStyle w:val="3"/>
        <w:spacing w:beforeLines="50" w:before="156" w:after="0" w:line="360" w:lineRule="auto"/>
        <w:rPr>
          <w:color w:val="000000"/>
          <w:kern w:val="0"/>
          <w:sz w:val="21"/>
          <w:szCs w:val="21"/>
        </w:rPr>
      </w:pPr>
      <w:bookmarkStart w:id="256" w:name="_Toc23339412"/>
      <w:bookmarkStart w:id="257" w:name="_Toc7723"/>
      <w:r>
        <w:rPr>
          <w:rFonts w:hint="eastAsia"/>
          <w:color w:val="000000"/>
          <w:kern w:val="0"/>
          <w:sz w:val="21"/>
          <w:szCs w:val="21"/>
        </w:rPr>
        <w:t>报告期内负偏离度的绝对值达到</w:t>
      </w:r>
      <w:r>
        <w:rPr>
          <w:rFonts w:hint="eastAsia"/>
          <w:color w:val="000000"/>
          <w:kern w:val="0"/>
          <w:sz w:val="21"/>
          <w:szCs w:val="21"/>
        </w:rPr>
        <w:t>0.25%</w:t>
      </w:r>
      <w:r>
        <w:rPr>
          <w:rFonts w:hint="eastAsia"/>
          <w:color w:val="000000"/>
          <w:kern w:val="0"/>
          <w:sz w:val="21"/>
          <w:szCs w:val="21"/>
        </w:rPr>
        <w:t>情况说明</w:t>
      </w:r>
      <w:bookmarkEnd w:id="256"/>
      <w:bookmarkEnd w:id="257"/>
    </w:p>
    <w:p w:rsidR="003663E4" w:rsidRDefault="00FD3F7D">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本基金本报告期内未存在负偏离度的绝对值达到</w:t>
      </w:r>
      <w:r>
        <w:rPr>
          <w:rFonts w:eastAsiaTheme="minorEastAsia" w:hint="eastAsia"/>
          <w:kern w:val="0"/>
          <w:szCs w:val="21"/>
        </w:rPr>
        <w:t>0.25%</w:t>
      </w:r>
      <w:r>
        <w:rPr>
          <w:rFonts w:eastAsiaTheme="minorEastAsia" w:hint="eastAsia"/>
          <w:kern w:val="0"/>
          <w:szCs w:val="21"/>
        </w:rPr>
        <w:t>情况。</w:t>
      </w:r>
    </w:p>
    <w:p w:rsidR="003663E4" w:rsidRDefault="00FD3F7D">
      <w:pPr>
        <w:pStyle w:val="3"/>
        <w:spacing w:beforeLines="50" w:before="156" w:after="0" w:line="360" w:lineRule="auto"/>
        <w:rPr>
          <w:color w:val="000000"/>
          <w:kern w:val="0"/>
          <w:sz w:val="21"/>
          <w:szCs w:val="21"/>
        </w:rPr>
      </w:pPr>
      <w:bookmarkStart w:id="258" w:name="_Toc23339413"/>
      <w:bookmarkStart w:id="259" w:name="_Toc18875"/>
      <w:r>
        <w:rPr>
          <w:rFonts w:hint="eastAsia"/>
          <w:color w:val="000000"/>
          <w:kern w:val="0"/>
          <w:sz w:val="21"/>
          <w:szCs w:val="21"/>
        </w:rPr>
        <w:t>报告期内正偏离度的绝对值达到</w:t>
      </w:r>
      <w:r>
        <w:rPr>
          <w:rFonts w:hint="eastAsia"/>
          <w:color w:val="000000"/>
          <w:kern w:val="0"/>
          <w:sz w:val="21"/>
          <w:szCs w:val="21"/>
        </w:rPr>
        <w:t>0.5%</w:t>
      </w:r>
      <w:r>
        <w:rPr>
          <w:rFonts w:hint="eastAsia"/>
          <w:color w:val="000000"/>
          <w:kern w:val="0"/>
          <w:sz w:val="21"/>
          <w:szCs w:val="21"/>
        </w:rPr>
        <w:t>情况说明</w:t>
      </w:r>
      <w:bookmarkEnd w:id="258"/>
      <w:bookmarkEnd w:id="259"/>
    </w:p>
    <w:p w:rsidR="003663E4" w:rsidRDefault="00FD3F7D">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本基金本报告期内未存在正偏离度的绝对值达到</w:t>
      </w:r>
      <w:r>
        <w:rPr>
          <w:rFonts w:eastAsiaTheme="minorEastAsia" w:hint="eastAsia"/>
          <w:kern w:val="0"/>
          <w:szCs w:val="21"/>
        </w:rPr>
        <w:t>0.5%</w:t>
      </w:r>
      <w:r>
        <w:rPr>
          <w:rFonts w:eastAsiaTheme="minorEastAsia" w:hint="eastAsia"/>
          <w:kern w:val="0"/>
          <w:szCs w:val="21"/>
        </w:rPr>
        <w:t>情况。</w:t>
      </w:r>
    </w:p>
    <w:p w:rsidR="003663E4" w:rsidRDefault="00FD3F7D">
      <w:pPr>
        <w:pStyle w:val="3"/>
        <w:spacing w:beforeLines="50" w:before="156" w:after="0" w:line="360" w:lineRule="auto"/>
        <w:rPr>
          <w:color w:val="000000"/>
          <w:kern w:val="0"/>
          <w:sz w:val="21"/>
          <w:szCs w:val="21"/>
        </w:rPr>
      </w:pPr>
      <w:bookmarkStart w:id="260" w:name="_Toc23339414"/>
      <w:bookmarkStart w:id="261" w:name="_Toc28951"/>
      <w:r>
        <w:rPr>
          <w:color w:val="000000"/>
          <w:kern w:val="0"/>
          <w:sz w:val="21"/>
          <w:szCs w:val="21"/>
        </w:rPr>
        <w:t>8.2.8</w:t>
      </w:r>
      <w:r>
        <w:rPr>
          <w:rFonts w:hint="eastAsia"/>
          <w:color w:val="000000"/>
          <w:kern w:val="0"/>
          <w:sz w:val="21"/>
          <w:szCs w:val="21"/>
        </w:rPr>
        <w:t xml:space="preserve"> </w:t>
      </w:r>
      <w:r>
        <w:rPr>
          <w:rFonts w:hint="eastAsia"/>
          <w:color w:val="000000"/>
          <w:kern w:val="0"/>
          <w:sz w:val="21"/>
          <w:szCs w:val="21"/>
        </w:rPr>
        <w:t>期末按公允价值占基金资产净值比例大小排名的所有资产支持证券投资明细</w:t>
      </w:r>
      <w:bookmarkEnd w:id="260"/>
      <w:bookmarkEnd w:id="261"/>
    </w:p>
    <w:p w:rsidR="003663E4" w:rsidRDefault="00FD3F7D">
      <w:pPr>
        <w:tabs>
          <w:tab w:val="left" w:pos="426"/>
        </w:tabs>
        <w:spacing w:line="360" w:lineRule="auto"/>
        <w:ind w:firstLineChars="200" w:firstLine="420"/>
        <w:jc w:val="left"/>
        <w:rPr>
          <w:rFonts w:eastAsiaTheme="minorEastAsia"/>
          <w:kern w:val="0"/>
          <w:szCs w:val="21"/>
        </w:rPr>
      </w:pPr>
      <w:r>
        <w:rPr>
          <w:rFonts w:eastAsiaTheme="minorEastAsia" w:hint="eastAsia"/>
          <w:kern w:val="0"/>
          <w:szCs w:val="21"/>
        </w:rPr>
        <w:t>本基金本报告期末未持有资产支持证券。</w:t>
      </w:r>
    </w:p>
    <w:p w:rsidR="003663E4" w:rsidRDefault="00FD3F7D">
      <w:pPr>
        <w:pStyle w:val="3"/>
        <w:spacing w:beforeLines="50" w:before="156" w:after="0" w:line="360" w:lineRule="auto"/>
        <w:rPr>
          <w:color w:val="000000"/>
          <w:kern w:val="0"/>
          <w:sz w:val="21"/>
          <w:szCs w:val="21"/>
        </w:rPr>
      </w:pPr>
      <w:bookmarkStart w:id="262" w:name="_Toc331410110"/>
      <w:bookmarkStart w:id="263" w:name="_Toc23339415"/>
      <w:bookmarkStart w:id="264" w:name="_Toc14159"/>
      <w:r>
        <w:rPr>
          <w:color w:val="000000"/>
          <w:kern w:val="0"/>
          <w:sz w:val="21"/>
          <w:szCs w:val="21"/>
        </w:rPr>
        <w:t>8.2.9</w:t>
      </w:r>
      <w:r>
        <w:rPr>
          <w:rFonts w:hint="eastAsia"/>
          <w:color w:val="000000"/>
          <w:kern w:val="0"/>
          <w:sz w:val="21"/>
          <w:szCs w:val="21"/>
        </w:rPr>
        <w:t xml:space="preserve"> </w:t>
      </w:r>
      <w:r>
        <w:rPr>
          <w:rFonts w:hint="eastAsia"/>
          <w:color w:val="000000"/>
          <w:kern w:val="0"/>
          <w:sz w:val="21"/>
          <w:szCs w:val="21"/>
        </w:rPr>
        <w:t>投资组合报告附注</w:t>
      </w:r>
      <w:bookmarkEnd w:id="262"/>
      <w:bookmarkEnd w:id="263"/>
      <w:bookmarkEnd w:id="264"/>
    </w:p>
    <w:p w:rsidR="003663E4" w:rsidRDefault="00FD3F7D">
      <w:pPr>
        <w:spacing w:line="360" w:lineRule="auto"/>
        <w:rPr>
          <w:rFonts w:eastAsiaTheme="minorEastAsia"/>
          <w:b/>
          <w:szCs w:val="21"/>
        </w:rPr>
      </w:pPr>
      <w:r>
        <w:rPr>
          <w:rFonts w:eastAsiaTheme="minorEastAsia" w:hint="eastAsia"/>
          <w:b/>
          <w:szCs w:val="21"/>
        </w:rPr>
        <w:t>8</w:t>
      </w:r>
      <w:r>
        <w:rPr>
          <w:rFonts w:eastAsiaTheme="minorEastAsia"/>
          <w:b/>
          <w:szCs w:val="21"/>
        </w:rPr>
        <w:t>.2.9.1</w:t>
      </w:r>
      <w:r>
        <w:rPr>
          <w:rFonts w:eastAsiaTheme="minorEastAsia" w:hint="eastAsia"/>
          <w:b/>
          <w:szCs w:val="21"/>
        </w:rPr>
        <w:t>基金计价方法说明</w:t>
      </w:r>
    </w:p>
    <w:p w:rsidR="003663E4" w:rsidRDefault="00FD3F7D">
      <w:pPr>
        <w:rPr>
          <w:rFonts w:eastAsiaTheme="minorEastAsia"/>
          <w:szCs w:val="21"/>
        </w:rPr>
      </w:pPr>
      <w:r>
        <w:rPr>
          <w:rFonts w:eastAsiaTheme="minorEastAsia" w:hint="eastAsia"/>
          <w:b/>
          <w:szCs w:val="21"/>
        </w:rPr>
        <w:t>本基金采用摊余成本法计价，即计价对象以买入成本列示，按票面利率或商定利率并考虑其买入时的溢价与折价，在其剩余期限内按照实际利率和摊余成本逐日摊销计算损益。</w:t>
      </w:r>
    </w:p>
    <w:p w:rsidR="003663E4" w:rsidRDefault="00FD3F7D">
      <w:pPr>
        <w:spacing w:line="360" w:lineRule="auto"/>
        <w:rPr>
          <w:rFonts w:eastAsiaTheme="minorEastAsia"/>
          <w:b/>
          <w:bCs/>
          <w:color w:val="000000" w:themeColor="text1"/>
          <w:szCs w:val="21"/>
        </w:rPr>
      </w:pPr>
      <w:r>
        <w:rPr>
          <w:rFonts w:eastAsiaTheme="minorEastAsia"/>
          <w:b/>
          <w:szCs w:val="21"/>
        </w:rPr>
        <w:t>8.2.9</w:t>
      </w:r>
      <w:r>
        <w:rPr>
          <w:rFonts w:eastAsiaTheme="minorEastAsia" w:hint="eastAsia"/>
          <w:b/>
          <w:szCs w:val="21"/>
        </w:rPr>
        <w:t>.</w:t>
      </w:r>
      <w:r>
        <w:rPr>
          <w:rFonts w:eastAsiaTheme="minorEastAsia"/>
          <w:b/>
          <w:szCs w:val="21"/>
        </w:rPr>
        <w:t>2</w:t>
      </w:r>
      <w:r>
        <w:rPr>
          <w:rFonts w:eastAsiaTheme="minorEastAsia" w:hint="eastAsia"/>
          <w:b/>
          <w:szCs w:val="21"/>
        </w:rPr>
        <w:t xml:space="preserve"> </w:t>
      </w:r>
      <w:r>
        <w:rPr>
          <w:rFonts w:eastAsiaTheme="minorEastAsia"/>
          <w:b/>
          <w:bCs/>
          <w:szCs w:val="21"/>
        </w:rPr>
        <w:t>报告期内本基金投资的前十名证券的发行主体未被监管部门立案调查，在本报告编制日前一年内本基金投资的前十名证券的发行主体未受到公开谴责和处罚。</w:t>
      </w:r>
    </w:p>
    <w:p w:rsidR="003663E4" w:rsidRDefault="00FD3F7D">
      <w:pPr>
        <w:spacing w:line="360" w:lineRule="auto"/>
        <w:rPr>
          <w:rFonts w:asciiTheme="minorEastAsia" w:eastAsiaTheme="minorEastAsia" w:hAnsiTheme="minorEastAsia"/>
          <w:b/>
          <w:szCs w:val="21"/>
        </w:rPr>
      </w:pPr>
      <w:r>
        <w:rPr>
          <w:rFonts w:eastAsiaTheme="minorEastAsia"/>
          <w:b/>
          <w:color w:val="000000" w:themeColor="text1"/>
          <w:szCs w:val="21"/>
        </w:rPr>
        <w:t>8.2.9</w:t>
      </w:r>
      <w:r>
        <w:rPr>
          <w:rFonts w:eastAsiaTheme="minorEastAsia" w:hint="eastAsia"/>
          <w:b/>
          <w:color w:val="000000" w:themeColor="text1"/>
          <w:szCs w:val="21"/>
        </w:rPr>
        <w:t>.</w:t>
      </w:r>
      <w:r>
        <w:rPr>
          <w:rFonts w:eastAsiaTheme="minorEastAsia"/>
          <w:b/>
          <w:color w:val="000000" w:themeColor="text1"/>
          <w:szCs w:val="21"/>
        </w:rPr>
        <w:t>3</w:t>
      </w:r>
      <w:r>
        <w:rPr>
          <w:rFonts w:eastAsiaTheme="minorEastAsia" w:hint="eastAsia"/>
          <w:b/>
          <w:color w:val="000000" w:themeColor="text1"/>
          <w:szCs w:val="21"/>
        </w:rPr>
        <w:t xml:space="preserve"> </w:t>
      </w:r>
      <w:r>
        <w:rPr>
          <w:rFonts w:eastAsiaTheme="minorEastAsia"/>
          <w:b/>
          <w:color w:val="000000" w:themeColor="text1"/>
          <w:szCs w:val="21"/>
        </w:rPr>
        <w:t>期末其他各项资产构成</w:t>
      </w:r>
    </w:p>
    <w:p w:rsidR="003663E4" w:rsidRDefault="00FD3F7D">
      <w:pPr>
        <w:autoSpaceDE w:val="0"/>
        <w:autoSpaceDN w:val="0"/>
        <w:adjustRightInd w:val="0"/>
        <w:spacing w:before="29" w:line="360" w:lineRule="auto"/>
        <w:ind w:left="15"/>
        <w:jc w:val="right"/>
        <w:rPr>
          <w:rFonts w:asciiTheme="minorEastAsia" w:eastAsiaTheme="minorEastAsia" w:hAnsiTheme="minorEastAsia"/>
          <w:kern w:val="0"/>
          <w:szCs w:val="21"/>
        </w:rPr>
      </w:pPr>
      <w:r>
        <w:rPr>
          <w:rFonts w:asciiTheme="minorEastAsia" w:eastAsiaTheme="minorEastAsia" w:hAnsiTheme="minorEastAsia" w:hint="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3663E4">
        <w:tc>
          <w:tcPr>
            <w:tcW w:w="765" w:type="dxa"/>
            <w:vAlign w:val="center"/>
          </w:tcPr>
          <w:p w:rsidR="003663E4" w:rsidRDefault="00FD3F7D">
            <w:pPr>
              <w:spacing w:line="360" w:lineRule="auto"/>
              <w:jc w:val="center"/>
              <w:rPr>
                <w:rFonts w:eastAsiaTheme="minorEastAsia"/>
                <w:szCs w:val="21"/>
              </w:rPr>
            </w:pPr>
            <w:r>
              <w:rPr>
                <w:rFonts w:eastAsiaTheme="minorEastAsia"/>
                <w:szCs w:val="21"/>
              </w:rPr>
              <w:t>序号</w:t>
            </w:r>
          </w:p>
        </w:tc>
        <w:tc>
          <w:tcPr>
            <w:tcW w:w="4117" w:type="dxa"/>
          </w:tcPr>
          <w:p w:rsidR="003663E4" w:rsidRDefault="00FD3F7D">
            <w:pPr>
              <w:spacing w:line="360" w:lineRule="auto"/>
              <w:jc w:val="center"/>
              <w:rPr>
                <w:rFonts w:eastAsiaTheme="minorEastAsia"/>
                <w:szCs w:val="21"/>
              </w:rPr>
            </w:pPr>
            <w:r>
              <w:rPr>
                <w:rFonts w:eastAsiaTheme="minorEastAsia"/>
                <w:szCs w:val="21"/>
              </w:rPr>
              <w:t>名称</w:t>
            </w:r>
          </w:p>
        </w:tc>
        <w:tc>
          <w:tcPr>
            <w:tcW w:w="4118" w:type="dxa"/>
          </w:tcPr>
          <w:p w:rsidR="003663E4" w:rsidRDefault="00FD3F7D">
            <w:pPr>
              <w:spacing w:line="360" w:lineRule="auto"/>
              <w:jc w:val="center"/>
              <w:rPr>
                <w:rFonts w:eastAsiaTheme="minorEastAsia"/>
                <w:szCs w:val="21"/>
              </w:rPr>
            </w:pPr>
            <w:r>
              <w:rPr>
                <w:rFonts w:eastAsiaTheme="minorEastAsia"/>
                <w:szCs w:val="21"/>
              </w:rPr>
              <w:t>金额</w:t>
            </w:r>
          </w:p>
        </w:tc>
      </w:tr>
      <w:tr w:rsidR="003663E4">
        <w:tc>
          <w:tcPr>
            <w:tcW w:w="765" w:type="dxa"/>
          </w:tcPr>
          <w:p w:rsidR="003663E4" w:rsidRDefault="00FD3F7D">
            <w:pPr>
              <w:spacing w:line="360" w:lineRule="auto"/>
              <w:jc w:val="center"/>
              <w:rPr>
                <w:rFonts w:eastAsiaTheme="minorEastAsia"/>
                <w:szCs w:val="21"/>
              </w:rPr>
            </w:pPr>
            <w:r>
              <w:rPr>
                <w:rFonts w:eastAsiaTheme="minorEastAsia"/>
                <w:szCs w:val="21"/>
              </w:rPr>
              <w:t>1</w:t>
            </w:r>
          </w:p>
        </w:tc>
        <w:tc>
          <w:tcPr>
            <w:tcW w:w="4117" w:type="dxa"/>
          </w:tcPr>
          <w:p w:rsidR="003663E4" w:rsidRDefault="00FD3F7D">
            <w:pPr>
              <w:spacing w:line="360" w:lineRule="auto"/>
              <w:ind w:leftChars="50" w:left="105"/>
              <w:rPr>
                <w:rFonts w:eastAsiaTheme="minorEastAsia"/>
                <w:szCs w:val="21"/>
              </w:rPr>
            </w:pPr>
            <w:r>
              <w:rPr>
                <w:rFonts w:eastAsiaTheme="minorEastAsia"/>
                <w:szCs w:val="21"/>
              </w:rPr>
              <w:t>存出保证金</w:t>
            </w:r>
          </w:p>
        </w:tc>
        <w:tc>
          <w:tcPr>
            <w:tcW w:w="4118" w:type="dxa"/>
            <w:vAlign w:val="center"/>
          </w:tcPr>
          <w:p w:rsidR="003663E4" w:rsidRDefault="00FD3F7D">
            <w:pPr>
              <w:autoSpaceDE w:val="0"/>
              <w:autoSpaceDN w:val="0"/>
              <w:adjustRightInd w:val="0"/>
              <w:spacing w:before="29" w:line="360" w:lineRule="auto"/>
              <w:ind w:left="15"/>
              <w:jc w:val="right"/>
              <w:rPr>
                <w:rFonts w:eastAsiaTheme="minorEastAsia"/>
                <w:szCs w:val="21"/>
              </w:rPr>
            </w:pPr>
            <w:r>
              <w:rPr>
                <w:rFonts w:eastAsiaTheme="minorEastAsia"/>
                <w:szCs w:val="21"/>
              </w:rPr>
              <w:t>-</w:t>
            </w:r>
          </w:p>
        </w:tc>
      </w:tr>
      <w:tr w:rsidR="003663E4">
        <w:tc>
          <w:tcPr>
            <w:tcW w:w="765" w:type="dxa"/>
          </w:tcPr>
          <w:p w:rsidR="003663E4" w:rsidRDefault="00FD3F7D">
            <w:pPr>
              <w:spacing w:line="360" w:lineRule="auto"/>
              <w:jc w:val="center"/>
              <w:rPr>
                <w:rFonts w:eastAsiaTheme="minorEastAsia"/>
                <w:szCs w:val="21"/>
              </w:rPr>
            </w:pPr>
            <w:r>
              <w:rPr>
                <w:rFonts w:eastAsiaTheme="minorEastAsia"/>
                <w:szCs w:val="21"/>
              </w:rPr>
              <w:t>2</w:t>
            </w:r>
          </w:p>
        </w:tc>
        <w:tc>
          <w:tcPr>
            <w:tcW w:w="4117" w:type="dxa"/>
          </w:tcPr>
          <w:p w:rsidR="003663E4" w:rsidRDefault="00FD3F7D">
            <w:pPr>
              <w:spacing w:line="360" w:lineRule="auto"/>
              <w:ind w:leftChars="50" w:left="105"/>
              <w:rPr>
                <w:rFonts w:eastAsiaTheme="minorEastAsia"/>
                <w:szCs w:val="21"/>
              </w:rPr>
            </w:pPr>
            <w:r>
              <w:rPr>
                <w:rFonts w:eastAsiaTheme="minorEastAsia"/>
                <w:szCs w:val="21"/>
              </w:rPr>
              <w:t>应收证券清算款</w:t>
            </w:r>
          </w:p>
        </w:tc>
        <w:tc>
          <w:tcPr>
            <w:tcW w:w="4118" w:type="dxa"/>
            <w:vAlign w:val="center"/>
          </w:tcPr>
          <w:p w:rsidR="003663E4" w:rsidRDefault="00FD3F7D">
            <w:pPr>
              <w:autoSpaceDE w:val="0"/>
              <w:autoSpaceDN w:val="0"/>
              <w:adjustRightInd w:val="0"/>
              <w:spacing w:before="29" w:line="360" w:lineRule="auto"/>
              <w:ind w:left="15"/>
              <w:jc w:val="right"/>
              <w:rPr>
                <w:rFonts w:eastAsiaTheme="minorEastAsia"/>
                <w:szCs w:val="21"/>
              </w:rPr>
            </w:pPr>
            <w:r>
              <w:rPr>
                <w:rFonts w:eastAsiaTheme="minorEastAsia"/>
                <w:szCs w:val="21"/>
              </w:rPr>
              <w:t>-</w:t>
            </w:r>
          </w:p>
        </w:tc>
      </w:tr>
      <w:tr w:rsidR="003663E4">
        <w:tc>
          <w:tcPr>
            <w:tcW w:w="765" w:type="dxa"/>
          </w:tcPr>
          <w:p w:rsidR="003663E4" w:rsidRDefault="00FD3F7D">
            <w:pPr>
              <w:spacing w:line="360" w:lineRule="auto"/>
              <w:jc w:val="center"/>
              <w:rPr>
                <w:rFonts w:eastAsiaTheme="minorEastAsia"/>
                <w:szCs w:val="21"/>
              </w:rPr>
            </w:pPr>
            <w:r>
              <w:rPr>
                <w:rFonts w:eastAsiaTheme="minorEastAsia"/>
                <w:szCs w:val="21"/>
              </w:rPr>
              <w:t>3</w:t>
            </w:r>
          </w:p>
        </w:tc>
        <w:tc>
          <w:tcPr>
            <w:tcW w:w="4117" w:type="dxa"/>
          </w:tcPr>
          <w:p w:rsidR="003663E4" w:rsidRDefault="00FD3F7D">
            <w:pPr>
              <w:spacing w:line="360" w:lineRule="auto"/>
              <w:ind w:leftChars="50" w:left="105"/>
              <w:rPr>
                <w:rFonts w:eastAsiaTheme="minorEastAsia"/>
                <w:szCs w:val="21"/>
              </w:rPr>
            </w:pPr>
            <w:r>
              <w:rPr>
                <w:rFonts w:eastAsiaTheme="minorEastAsia"/>
                <w:szCs w:val="21"/>
              </w:rPr>
              <w:t>应收利息</w:t>
            </w:r>
          </w:p>
        </w:tc>
        <w:tc>
          <w:tcPr>
            <w:tcW w:w="4118" w:type="dxa"/>
            <w:vAlign w:val="center"/>
          </w:tcPr>
          <w:p w:rsidR="003663E4" w:rsidRDefault="00FD3F7D">
            <w:pPr>
              <w:autoSpaceDE w:val="0"/>
              <w:autoSpaceDN w:val="0"/>
              <w:adjustRightInd w:val="0"/>
              <w:spacing w:before="29" w:line="360" w:lineRule="auto"/>
              <w:ind w:left="15"/>
              <w:jc w:val="right"/>
              <w:rPr>
                <w:rFonts w:eastAsiaTheme="minorEastAsia"/>
                <w:szCs w:val="21"/>
              </w:rPr>
            </w:pPr>
            <w:r>
              <w:rPr>
                <w:rFonts w:eastAsiaTheme="minorEastAsia"/>
                <w:szCs w:val="21"/>
              </w:rPr>
              <w:t>5,630,470.47</w:t>
            </w:r>
          </w:p>
        </w:tc>
      </w:tr>
      <w:tr w:rsidR="003663E4">
        <w:tc>
          <w:tcPr>
            <w:tcW w:w="765" w:type="dxa"/>
          </w:tcPr>
          <w:p w:rsidR="003663E4" w:rsidRDefault="00FD3F7D">
            <w:pPr>
              <w:spacing w:line="360" w:lineRule="auto"/>
              <w:jc w:val="center"/>
              <w:rPr>
                <w:rFonts w:eastAsiaTheme="minorEastAsia"/>
                <w:szCs w:val="21"/>
              </w:rPr>
            </w:pPr>
            <w:r>
              <w:rPr>
                <w:rFonts w:eastAsiaTheme="minorEastAsia"/>
                <w:szCs w:val="21"/>
              </w:rPr>
              <w:t>4</w:t>
            </w:r>
          </w:p>
        </w:tc>
        <w:tc>
          <w:tcPr>
            <w:tcW w:w="4117" w:type="dxa"/>
          </w:tcPr>
          <w:p w:rsidR="003663E4" w:rsidRDefault="00FD3F7D">
            <w:pPr>
              <w:spacing w:line="360" w:lineRule="auto"/>
              <w:ind w:leftChars="50" w:left="105"/>
              <w:rPr>
                <w:rFonts w:eastAsiaTheme="minorEastAsia"/>
                <w:szCs w:val="21"/>
              </w:rPr>
            </w:pPr>
            <w:r>
              <w:rPr>
                <w:rFonts w:eastAsiaTheme="minorEastAsia"/>
                <w:szCs w:val="21"/>
              </w:rPr>
              <w:t>应收申购款</w:t>
            </w:r>
          </w:p>
        </w:tc>
        <w:tc>
          <w:tcPr>
            <w:tcW w:w="4118" w:type="dxa"/>
            <w:vAlign w:val="center"/>
          </w:tcPr>
          <w:p w:rsidR="003663E4" w:rsidRDefault="00FD3F7D">
            <w:pPr>
              <w:autoSpaceDE w:val="0"/>
              <w:autoSpaceDN w:val="0"/>
              <w:adjustRightInd w:val="0"/>
              <w:spacing w:before="29" w:line="360" w:lineRule="auto"/>
              <w:ind w:left="15"/>
              <w:jc w:val="right"/>
              <w:rPr>
                <w:rFonts w:eastAsiaTheme="minorEastAsia"/>
                <w:szCs w:val="21"/>
              </w:rPr>
            </w:pPr>
            <w:r>
              <w:rPr>
                <w:rFonts w:eastAsiaTheme="minorEastAsia"/>
                <w:szCs w:val="21"/>
              </w:rPr>
              <w:t>-</w:t>
            </w:r>
          </w:p>
        </w:tc>
      </w:tr>
      <w:tr w:rsidR="003663E4">
        <w:tc>
          <w:tcPr>
            <w:tcW w:w="765" w:type="dxa"/>
          </w:tcPr>
          <w:p w:rsidR="003663E4" w:rsidRDefault="00FD3F7D">
            <w:pPr>
              <w:spacing w:line="360" w:lineRule="auto"/>
              <w:jc w:val="center"/>
              <w:rPr>
                <w:rFonts w:eastAsiaTheme="minorEastAsia"/>
                <w:szCs w:val="21"/>
              </w:rPr>
            </w:pPr>
            <w:r>
              <w:rPr>
                <w:rFonts w:eastAsiaTheme="minorEastAsia"/>
                <w:szCs w:val="21"/>
              </w:rPr>
              <w:t>5</w:t>
            </w:r>
          </w:p>
        </w:tc>
        <w:tc>
          <w:tcPr>
            <w:tcW w:w="4117" w:type="dxa"/>
          </w:tcPr>
          <w:p w:rsidR="003663E4" w:rsidRDefault="00FD3F7D">
            <w:pPr>
              <w:spacing w:line="360" w:lineRule="auto"/>
              <w:ind w:leftChars="50" w:left="105"/>
              <w:rPr>
                <w:rFonts w:eastAsiaTheme="minorEastAsia"/>
                <w:szCs w:val="21"/>
              </w:rPr>
            </w:pPr>
            <w:r>
              <w:rPr>
                <w:rFonts w:eastAsiaTheme="minorEastAsia"/>
                <w:szCs w:val="21"/>
              </w:rPr>
              <w:t>其他应收款</w:t>
            </w:r>
          </w:p>
        </w:tc>
        <w:tc>
          <w:tcPr>
            <w:tcW w:w="4118" w:type="dxa"/>
            <w:vAlign w:val="center"/>
          </w:tcPr>
          <w:p w:rsidR="003663E4" w:rsidRDefault="00FD3F7D">
            <w:pPr>
              <w:autoSpaceDE w:val="0"/>
              <w:autoSpaceDN w:val="0"/>
              <w:adjustRightInd w:val="0"/>
              <w:spacing w:before="29" w:line="360" w:lineRule="auto"/>
              <w:ind w:left="15"/>
              <w:jc w:val="right"/>
              <w:rPr>
                <w:rFonts w:eastAsiaTheme="minorEastAsia"/>
                <w:szCs w:val="21"/>
              </w:rPr>
            </w:pPr>
            <w:r>
              <w:rPr>
                <w:rFonts w:eastAsiaTheme="minorEastAsia"/>
                <w:szCs w:val="21"/>
              </w:rPr>
              <w:t>-</w:t>
            </w:r>
          </w:p>
        </w:tc>
      </w:tr>
      <w:tr w:rsidR="003663E4">
        <w:tc>
          <w:tcPr>
            <w:tcW w:w="765" w:type="dxa"/>
          </w:tcPr>
          <w:p w:rsidR="003663E4" w:rsidRDefault="00FD3F7D">
            <w:pPr>
              <w:spacing w:line="360" w:lineRule="auto"/>
              <w:jc w:val="center"/>
              <w:rPr>
                <w:rFonts w:eastAsiaTheme="minorEastAsia"/>
                <w:szCs w:val="21"/>
              </w:rPr>
            </w:pPr>
            <w:r>
              <w:rPr>
                <w:rFonts w:eastAsiaTheme="minorEastAsia"/>
                <w:szCs w:val="21"/>
              </w:rPr>
              <w:t>6</w:t>
            </w:r>
          </w:p>
        </w:tc>
        <w:tc>
          <w:tcPr>
            <w:tcW w:w="4117" w:type="dxa"/>
          </w:tcPr>
          <w:p w:rsidR="003663E4" w:rsidRDefault="00FD3F7D">
            <w:pPr>
              <w:spacing w:line="360" w:lineRule="auto"/>
              <w:ind w:leftChars="50" w:left="105"/>
              <w:rPr>
                <w:rFonts w:eastAsiaTheme="minorEastAsia"/>
                <w:szCs w:val="21"/>
              </w:rPr>
            </w:pPr>
            <w:r>
              <w:rPr>
                <w:rFonts w:eastAsiaTheme="minorEastAsia"/>
                <w:szCs w:val="21"/>
              </w:rPr>
              <w:t>待摊费用</w:t>
            </w:r>
          </w:p>
        </w:tc>
        <w:tc>
          <w:tcPr>
            <w:tcW w:w="4118" w:type="dxa"/>
            <w:vAlign w:val="center"/>
          </w:tcPr>
          <w:p w:rsidR="003663E4" w:rsidRDefault="00FD3F7D">
            <w:pPr>
              <w:autoSpaceDE w:val="0"/>
              <w:autoSpaceDN w:val="0"/>
              <w:adjustRightInd w:val="0"/>
              <w:spacing w:before="29" w:line="360" w:lineRule="auto"/>
              <w:ind w:left="15"/>
              <w:jc w:val="right"/>
              <w:rPr>
                <w:rFonts w:eastAsiaTheme="minorEastAsia"/>
                <w:szCs w:val="21"/>
              </w:rPr>
            </w:pPr>
            <w:r>
              <w:rPr>
                <w:rFonts w:eastAsiaTheme="minorEastAsia"/>
                <w:szCs w:val="21"/>
              </w:rPr>
              <w:t>-</w:t>
            </w:r>
          </w:p>
        </w:tc>
      </w:tr>
      <w:tr w:rsidR="003663E4">
        <w:tc>
          <w:tcPr>
            <w:tcW w:w="765" w:type="dxa"/>
            <w:vAlign w:val="center"/>
          </w:tcPr>
          <w:p w:rsidR="003663E4" w:rsidRDefault="00FD3F7D">
            <w:pPr>
              <w:autoSpaceDE w:val="0"/>
              <w:autoSpaceDN w:val="0"/>
              <w:adjustRightInd w:val="0"/>
              <w:spacing w:before="29" w:line="360" w:lineRule="auto"/>
              <w:ind w:left="15"/>
              <w:jc w:val="center"/>
              <w:rPr>
                <w:rFonts w:eastAsiaTheme="minorEastAsia"/>
                <w:szCs w:val="21"/>
              </w:rPr>
            </w:pPr>
            <w:r>
              <w:rPr>
                <w:rFonts w:eastAsiaTheme="minorEastAsia"/>
                <w:szCs w:val="21"/>
              </w:rPr>
              <w:t>7</w:t>
            </w:r>
          </w:p>
        </w:tc>
        <w:tc>
          <w:tcPr>
            <w:tcW w:w="4117" w:type="dxa"/>
          </w:tcPr>
          <w:p w:rsidR="003663E4" w:rsidRDefault="00FD3F7D">
            <w:pPr>
              <w:spacing w:line="360" w:lineRule="auto"/>
              <w:ind w:leftChars="50" w:left="105"/>
              <w:rPr>
                <w:rFonts w:eastAsiaTheme="minorEastAsia"/>
                <w:szCs w:val="21"/>
              </w:rPr>
            </w:pPr>
            <w:r>
              <w:rPr>
                <w:rFonts w:eastAsiaTheme="minorEastAsia"/>
                <w:szCs w:val="21"/>
              </w:rPr>
              <w:t>其他</w:t>
            </w:r>
          </w:p>
        </w:tc>
        <w:tc>
          <w:tcPr>
            <w:tcW w:w="4118" w:type="dxa"/>
            <w:vAlign w:val="center"/>
          </w:tcPr>
          <w:p w:rsidR="003663E4" w:rsidRDefault="00FD3F7D">
            <w:pPr>
              <w:autoSpaceDE w:val="0"/>
              <w:autoSpaceDN w:val="0"/>
              <w:adjustRightInd w:val="0"/>
              <w:spacing w:before="29" w:line="360" w:lineRule="auto"/>
              <w:ind w:left="15"/>
              <w:jc w:val="right"/>
              <w:rPr>
                <w:rFonts w:eastAsiaTheme="minorEastAsia"/>
                <w:szCs w:val="21"/>
              </w:rPr>
            </w:pPr>
            <w:r>
              <w:rPr>
                <w:rFonts w:eastAsiaTheme="minorEastAsia"/>
                <w:szCs w:val="21"/>
              </w:rPr>
              <w:t>-</w:t>
            </w:r>
          </w:p>
        </w:tc>
      </w:tr>
      <w:tr w:rsidR="003663E4">
        <w:tc>
          <w:tcPr>
            <w:tcW w:w="765" w:type="dxa"/>
            <w:vAlign w:val="center"/>
          </w:tcPr>
          <w:p w:rsidR="003663E4" w:rsidRDefault="00FD3F7D">
            <w:pPr>
              <w:autoSpaceDE w:val="0"/>
              <w:autoSpaceDN w:val="0"/>
              <w:adjustRightInd w:val="0"/>
              <w:spacing w:before="29" w:line="360" w:lineRule="auto"/>
              <w:ind w:left="15"/>
              <w:jc w:val="center"/>
              <w:rPr>
                <w:rFonts w:eastAsiaTheme="minorEastAsia"/>
                <w:szCs w:val="21"/>
              </w:rPr>
            </w:pPr>
            <w:r>
              <w:rPr>
                <w:rFonts w:eastAsiaTheme="minorEastAsia"/>
                <w:szCs w:val="21"/>
              </w:rPr>
              <w:t>8</w:t>
            </w:r>
          </w:p>
        </w:tc>
        <w:tc>
          <w:tcPr>
            <w:tcW w:w="4117" w:type="dxa"/>
          </w:tcPr>
          <w:p w:rsidR="003663E4" w:rsidRDefault="00FD3F7D">
            <w:pPr>
              <w:spacing w:line="360" w:lineRule="auto"/>
              <w:ind w:leftChars="50" w:left="105"/>
              <w:rPr>
                <w:rFonts w:eastAsiaTheme="minorEastAsia"/>
                <w:szCs w:val="21"/>
              </w:rPr>
            </w:pPr>
            <w:r>
              <w:rPr>
                <w:rFonts w:eastAsiaTheme="minorEastAsia"/>
                <w:szCs w:val="21"/>
              </w:rPr>
              <w:t>合计</w:t>
            </w:r>
          </w:p>
        </w:tc>
        <w:tc>
          <w:tcPr>
            <w:tcW w:w="4118" w:type="dxa"/>
            <w:vAlign w:val="center"/>
          </w:tcPr>
          <w:p w:rsidR="003663E4" w:rsidRDefault="00FD3F7D">
            <w:pPr>
              <w:autoSpaceDE w:val="0"/>
              <w:autoSpaceDN w:val="0"/>
              <w:adjustRightInd w:val="0"/>
              <w:spacing w:before="29" w:line="360" w:lineRule="auto"/>
              <w:ind w:left="15"/>
              <w:jc w:val="right"/>
              <w:rPr>
                <w:rFonts w:eastAsiaTheme="minorEastAsia"/>
                <w:szCs w:val="21"/>
              </w:rPr>
            </w:pPr>
            <w:r>
              <w:rPr>
                <w:rFonts w:eastAsiaTheme="minorEastAsia"/>
                <w:szCs w:val="21"/>
              </w:rPr>
              <w:t>5,630,470.47</w:t>
            </w:r>
          </w:p>
        </w:tc>
      </w:tr>
    </w:tbl>
    <w:p w:rsidR="003663E4" w:rsidRDefault="00FD3F7D">
      <w:pPr>
        <w:autoSpaceDE w:val="0"/>
        <w:autoSpaceDN w:val="0"/>
        <w:adjustRightInd w:val="0"/>
        <w:spacing w:line="360" w:lineRule="auto"/>
        <w:jc w:val="left"/>
        <w:rPr>
          <w:b/>
          <w:bCs/>
          <w:color w:val="000000"/>
          <w:kern w:val="0"/>
          <w:szCs w:val="21"/>
        </w:rPr>
      </w:pPr>
      <w:r>
        <w:rPr>
          <w:rFonts w:hint="eastAsia"/>
          <w:b/>
          <w:bCs/>
          <w:color w:val="000000"/>
          <w:kern w:val="0"/>
          <w:szCs w:val="21"/>
        </w:rPr>
        <w:t>8.2.9.4</w:t>
      </w:r>
      <w:r>
        <w:rPr>
          <w:b/>
          <w:bCs/>
          <w:color w:val="000000"/>
          <w:kern w:val="0"/>
          <w:szCs w:val="21"/>
        </w:rPr>
        <w:t>其他需说明的重要事项</w:t>
      </w:r>
    </w:p>
    <w:p w:rsidR="003663E4" w:rsidRDefault="00FD3F7D">
      <w:pPr>
        <w:spacing w:line="360" w:lineRule="auto"/>
        <w:ind w:firstLineChars="200" w:firstLine="420"/>
        <w:rPr>
          <w:rFonts w:eastAsiaTheme="minorEastAsia"/>
          <w:szCs w:val="21"/>
        </w:rPr>
      </w:pPr>
      <w:r>
        <w:rPr>
          <w:rFonts w:eastAsiaTheme="minorEastAsia"/>
          <w:szCs w:val="21"/>
        </w:rPr>
        <w:t>由于四舍五入的原因，分项之和与合计项之间可能存在尾差。</w:t>
      </w:r>
    </w:p>
    <w:p w:rsidR="003663E4" w:rsidRDefault="00FD3F7D">
      <w:pPr>
        <w:pStyle w:val="1"/>
        <w:keepNext/>
        <w:keepLines/>
        <w:widowControl w:val="0"/>
        <w:spacing w:before="240" w:after="240" w:line="360" w:lineRule="auto"/>
        <w:jc w:val="center"/>
        <w:rPr>
          <w:b/>
          <w:bCs/>
          <w:color w:val="000000"/>
          <w:sz w:val="21"/>
          <w:szCs w:val="21"/>
        </w:rPr>
      </w:pPr>
      <w:bookmarkStart w:id="265" w:name="_Toc225500050"/>
      <w:bookmarkStart w:id="266" w:name="_Toc23339416"/>
      <w:bookmarkStart w:id="267" w:name="_Toc331410111"/>
      <w:bookmarkStart w:id="268" w:name="_Toc16496"/>
      <w:r>
        <w:rPr>
          <w:rFonts w:hint="eastAsia"/>
          <w:b/>
          <w:bCs/>
          <w:color w:val="000000"/>
          <w:sz w:val="21"/>
          <w:szCs w:val="21"/>
        </w:rPr>
        <w:t>§</w:t>
      </w:r>
      <w:r>
        <w:rPr>
          <w:rFonts w:hint="eastAsia"/>
          <w:b/>
          <w:bCs/>
          <w:color w:val="000000"/>
          <w:sz w:val="21"/>
          <w:szCs w:val="21"/>
        </w:rPr>
        <w:t xml:space="preserve">9 </w:t>
      </w:r>
      <w:r>
        <w:rPr>
          <w:rFonts w:hint="eastAsia"/>
          <w:b/>
          <w:bCs/>
          <w:color w:val="000000"/>
          <w:sz w:val="21"/>
          <w:szCs w:val="21"/>
        </w:rPr>
        <w:t>基金份额持有人信息</w:t>
      </w:r>
      <w:bookmarkEnd w:id="265"/>
      <w:bookmarkEnd w:id="266"/>
      <w:bookmarkEnd w:id="267"/>
      <w:bookmarkEnd w:id="268"/>
    </w:p>
    <w:p w:rsidR="003663E4" w:rsidRDefault="00FD3F7D">
      <w:pPr>
        <w:pStyle w:val="2"/>
        <w:spacing w:before="0" w:after="0"/>
        <w:rPr>
          <w:rFonts w:ascii="Times New Roman" w:hAnsi="Times New Roman"/>
          <w:color w:val="000000"/>
          <w:kern w:val="0"/>
          <w:sz w:val="21"/>
          <w:szCs w:val="21"/>
        </w:rPr>
      </w:pPr>
      <w:bookmarkStart w:id="269" w:name="_Toc23339417"/>
      <w:bookmarkStart w:id="270" w:name="_Toc487489075"/>
      <w:bookmarkStart w:id="271" w:name="_Toc508540322"/>
      <w:bookmarkStart w:id="272" w:name="_Toc8093"/>
      <w:r>
        <w:rPr>
          <w:rFonts w:ascii="Times New Roman" w:hAnsi="Times New Roman"/>
          <w:color w:val="000000"/>
          <w:kern w:val="0"/>
          <w:sz w:val="21"/>
          <w:szCs w:val="21"/>
        </w:rPr>
        <w:t xml:space="preserve">9.1 </w:t>
      </w:r>
      <w:r>
        <w:rPr>
          <w:rFonts w:ascii="Times New Roman" w:hAnsi="Times New Roman"/>
          <w:color w:val="000000"/>
          <w:kern w:val="0"/>
          <w:sz w:val="21"/>
          <w:szCs w:val="21"/>
        </w:rPr>
        <w:t>交银施罗德裕惠纯债债券型证券投资基金</w:t>
      </w:r>
      <w:bookmarkEnd w:id="269"/>
      <w:bookmarkEnd w:id="270"/>
      <w:bookmarkEnd w:id="271"/>
      <w:bookmarkEnd w:id="272"/>
    </w:p>
    <w:p w:rsidR="003663E4" w:rsidRDefault="00FD3F7D">
      <w:pPr>
        <w:autoSpaceDE w:val="0"/>
        <w:autoSpaceDN w:val="0"/>
        <w:adjustRightInd w:val="0"/>
        <w:spacing w:line="360" w:lineRule="auto"/>
        <w:jc w:val="left"/>
        <w:rPr>
          <w:color w:val="000000"/>
          <w:szCs w:val="21"/>
        </w:rPr>
      </w:pPr>
      <w:r>
        <w:rPr>
          <w:b/>
          <w:color w:val="000000"/>
          <w:kern w:val="0"/>
          <w:szCs w:val="21"/>
        </w:rPr>
        <w:t>（报告期：</w:t>
      </w:r>
      <w:r>
        <w:rPr>
          <w:b/>
          <w:color w:val="000000"/>
          <w:kern w:val="0"/>
          <w:szCs w:val="21"/>
        </w:rPr>
        <w:t>2020</w:t>
      </w:r>
      <w:r>
        <w:rPr>
          <w:b/>
          <w:color w:val="000000"/>
          <w:kern w:val="0"/>
          <w:szCs w:val="21"/>
        </w:rPr>
        <w:t>年</w:t>
      </w:r>
      <w:r>
        <w:rPr>
          <w:b/>
          <w:color w:val="000000"/>
          <w:kern w:val="0"/>
          <w:szCs w:val="21"/>
        </w:rPr>
        <w:t>7</w:t>
      </w:r>
      <w:r>
        <w:rPr>
          <w:b/>
          <w:color w:val="000000"/>
          <w:kern w:val="0"/>
          <w:szCs w:val="21"/>
        </w:rPr>
        <w:t>月</w:t>
      </w:r>
      <w:r>
        <w:rPr>
          <w:b/>
          <w:color w:val="000000"/>
          <w:kern w:val="0"/>
          <w:szCs w:val="21"/>
        </w:rPr>
        <w:t>28</w:t>
      </w:r>
      <w:r>
        <w:rPr>
          <w:b/>
          <w:color w:val="000000"/>
          <w:kern w:val="0"/>
          <w:szCs w:val="21"/>
        </w:rPr>
        <w:t>日（基金合同生效日）</w:t>
      </w:r>
      <w:r>
        <w:rPr>
          <w:b/>
          <w:color w:val="000000"/>
          <w:kern w:val="0"/>
          <w:szCs w:val="21"/>
        </w:rPr>
        <w:t>-</w:t>
      </w:r>
      <w:r>
        <w:rPr>
          <w:b/>
          <w:color w:val="000000"/>
          <w:szCs w:val="21"/>
        </w:rPr>
        <w:t>2020</w:t>
      </w:r>
      <w:r>
        <w:rPr>
          <w:b/>
          <w:color w:val="000000"/>
          <w:szCs w:val="21"/>
        </w:rPr>
        <w:t>年</w:t>
      </w:r>
      <w:r>
        <w:rPr>
          <w:b/>
          <w:color w:val="000000"/>
          <w:szCs w:val="21"/>
        </w:rPr>
        <w:t>12</w:t>
      </w:r>
      <w:r>
        <w:rPr>
          <w:b/>
          <w:color w:val="000000"/>
          <w:szCs w:val="21"/>
        </w:rPr>
        <w:t>月</w:t>
      </w:r>
      <w:r>
        <w:rPr>
          <w:b/>
          <w:color w:val="000000"/>
          <w:szCs w:val="21"/>
        </w:rPr>
        <w:t>31</w:t>
      </w:r>
      <w:r>
        <w:rPr>
          <w:b/>
          <w:color w:val="000000"/>
          <w:szCs w:val="21"/>
        </w:rPr>
        <w:t>日）</w:t>
      </w:r>
    </w:p>
    <w:p w:rsidR="003663E4" w:rsidRDefault="00FD3F7D">
      <w:pPr>
        <w:pStyle w:val="3"/>
        <w:spacing w:beforeLines="50" w:before="156" w:after="0" w:line="360" w:lineRule="auto"/>
        <w:rPr>
          <w:color w:val="000000"/>
          <w:kern w:val="0"/>
          <w:sz w:val="21"/>
          <w:szCs w:val="21"/>
        </w:rPr>
      </w:pPr>
      <w:bookmarkStart w:id="273" w:name="_Toc508540323"/>
      <w:bookmarkStart w:id="274" w:name="_Toc23339418"/>
      <w:bookmarkStart w:id="275" w:name="_Toc10391"/>
      <w:r>
        <w:rPr>
          <w:color w:val="000000"/>
          <w:kern w:val="0"/>
          <w:sz w:val="21"/>
          <w:szCs w:val="21"/>
        </w:rPr>
        <w:t xml:space="preserve">9.1.1 </w:t>
      </w:r>
      <w:r>
        <w:rPr>
          <w:color w:val="000000"/>
          <w:kern w:val="0"/>
          <w:sz w:val="21"/>
          <w:szCs w:val="21"/>
        </w:rPr>
        <w:t>期末基金份额持有人户数及持有人结构</w:t>
      </w:r>
      <w:bookmarkEnd w:id="273"/>
      <w:bookmarkEnd w:id="274"/>
      <w:bookmarkEnd w:id="275"/>
    </w:p>
    <w:p w:rsidR="003663E4" w:rsidRDefault="00FD3F7D">
      <w:pPr>
        <w:autoSpaceDE w:val="0"/>
        <w:autoSpaceDN w:val="0"/>
        <w:adjustRightInd w:val="0"/>
        <w:spacing w:before="29" w:line="288" w:lineRule="auto"/>
        <w:ind w:left="15"/>
        <w:jc w:val="right"/>
        <w:rPr>
          <w:color w:val="000000"/>
          <w:kern w:val="0"/>
          <w:szCs w:val="21"/>
        </w:rPr>
      </w:pPr>
      <w:r>
        <w:rPr>
          <w:color w:val="000000"/>
          <w:kern w:val="0"/>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4"/>
        <w:gridCol w:w="1133"/>
        <w:gridCol w:w="1415"/>
        <w:gridCol w:w="1421"/>
        <w:gridCol w:w="1413"/>
        <w:gridCol w:w="1350"/>
      </w:tblGrid>
      <w:tr w:rsidR="00E829FE" w:rsidTr="0039191C">
        <w:tc>
          <w:tcPr>
            <w:tcW w:w="1375" w:type="pct"/>
            <w:vMerge w:val="restart"/>
            <w:vAlign w:val="center"/>
          </w:tcPr>
          <w:p w:rsidR="00E829FE" w:rsidRDefault="00E829FE" w:rsidP="0039191C">
            <w:pPr>
              <w:spacing w:line="276" w:lineRule="auto"/>
              <w:jc w:val="center"/>
              <w:rPr>
                <w:bCs/>
                <w:color w:val="000000" w:themeColor="text1"/>
                <w:szCs w:val="21"/>
              </w:rPr>
            </w:pPr>
            <w:r>
              <w:rPr>
                <w:bCs/>
                <w:color w:val="000000" w:themeColor="text1"/>
                <w:szCs w:val="21"/>
              </w:rPr>
              <w:t>持有人户数</w:t>
            </w:r>
            <w:r>
              <w:rPr>
                <w:bCs/>
                <w:color w:val="000000" w:themeColor="text1"/>
                <w:szCs w:val="21"/>
              </w:rPr>
              <w:t>(</w:t>
            </w:r>
            <w:r>
              <w:rPr>
                <w:bCs/>
                <w:color w:val="000000" w:themeColor="text1"/>
                <w:szCs w:val="21"/>
              </w:rPr>
              <w:t>户</w:t>
            </w:r>
            <w:r>
              <w:rPr>
                <w:bCs/>
                <w:color w:val="000000" w:themeColor="text1"/>
                <w:szCs w:val="21"/>
              </w:rPr>
              <w:t xml:space="preserve">) </w:t>
            </w:r>
          </w:p>
        </w:tc>
        <w:tc>
          <w:tcPr>
            <w:tcW w:w="610" w:type="pct"/>
            <w:vMerge w:val="restart"/>
            <w:vAlign w:val="center"/>
          </w:tcPr>
          <w:p w:rsidR="00E829FE" w:rsidRDefault="00E829FE" w:rsidP="0039191C">
            <w:pPr>
              <w:spacing w:line="276" w:lineRule="auto"/>
              <w:jc w:val="center"/>
              <w:rPr>
                <w:bCs/>
                <w:color w:val="000000" w:themeColor="text1"/>
                <w:szCs w:val="21"/>
              </w:rPr>
            </w:pPr>
            <w:r>
              <w:rPr>
                <w:bCs/>
                <w:color w:val="000000" w:themeColor="text1"/>
                <w:szCs w:val="21"/>
              </w:rPr>
              <w:t>户均持有的基金份额</w:t>
            </w:r>
          </w:p>
        </w:tc>
        <w:tc>
          <w:tcPr>
            <w:tcW w:w="3015" w:type="pct"/>
            <w:gridSpan w:val="4"/>
            <w:vAlign w:val="center"/>
          </w:tcPr>
          <w:p w:rsidR="00E829FE" w:rsidRDefault="00E829FE" w:rsidP="0039191C">
            <w:pPr>
              <w:spacing w:line="276" w:lineRule="auto"/>
              <w:jc w:val="center"/>
              <w:rPr>
                <w:bCs/>
                <w:color w:val="000000" w:themeColor="text1"/>
                <w:szCs w:val="21"/>
              </w:rPr>
            </w:pPr>
            <w:r>
              <w:rPr>
                <w:bCs/>
                <w:color w:val="000000" w:themeColor="text1"/>
                <w:szCs w:val="21"/>
              </w:rPr>
              <w:t>持有人结构</w:t>
            </w:r>
          </w:p>
        </w:tc>
      </w:tr>
      <w:tr w:rsidR="00E829FE" w:rsidTr="0039191C">
        <w:tc>
          <w:tcPr>
            <w:tcW w:w="1375" w:type="pct"/>
            <w:vMerge/>
            <w:vAlign w:val="center"/>
          </w:tcPr>
          <w:p w:rsidR="00E829FE" w:rsidRDefault="00E829FE" w:rsidP="0039191C">
            <w:pPr>
              <w:widowControl/>
              <w:spacing w:line="276" w:lineRule="auto"/>
              <w:jc w:val="left"/>
              <w:rPr>
                <w:bCs/>
                <w:color w:val="000000" w:themeColor="text1"/>
                <w:szCs w:val="21"/>
              </w:rPr>
            </w:pPr>
          </w:p>
        </w:tc>
        <w:tc>
          <w:tcPr>
            <w:tcW w:w="610" w:type="pct"/>
            <w:vMerge/>
            <w:vAlign w:val="center"/>
          </w:tcPr>
          <w:p w:rsidR="00E829FE" w:rsidRDefault="00E829FE" w:rsidP="0039191C">
            <w:pPr>
              <w:widowControl/>
              <w:spacing w:line="276" w:lineRule="auto"/>
              <w:jc w:val="left"/>
              <w:rPr>
                <w:bCs/>
                <w:color w:val="000000" w:themeColor="text1"/>
                <w:szCs w:val="21"/>
              </w:rPr>
            </w:pPr>
          </w:p>
        </w:tc>
        <w:tc>
          <w:tcPr>
            <w:tcW w:w="1527" w:type="pct"/>
            <w:gridSpan w:val="2"/>
            <w:vAlign w:val="center"/>
          </w:tcPr>
          <w:p w:rsidR="00E829FE" w:rsidRDefault="00E829FE" w:rsidP="0039191C">
            <w:pPr>
              <w:spacing w:line="276" w:lineRule="auto"/>
              <w:jc w:val="center"/>
              <w:rPr>
                <w:bCs/>
                <w:color w:val="000000" w:themeColor="text1"/>
                <w:szCs w:val="21"/>
              </w:rPr>
            </w:pPr>
            <w:r>
              <w:rPr>
                <w:bCs/>
                <w:color w:val="000000" w:themeColor="text1"/>
                <w:szCs w:val="21"/>
              </w:rPr>
              <w:t>机构投资者</w:t>
            </w:r>
          </w:p>
        </w:tc>
        <w:tc>
          <w:tcPr>
            <w:tcW w:w="1488" w:type="pct"/>
            <w:gridSpan w:val="2"/>
            <w:vAlign w:val="center"/>
          </w:tcPr>
          <w:p w:rsidR="00E829FE" w:rsidRDefault="00E829FE" w:rsidP="0039191C">
            <w:pPr>
              <w:spacing w:line="276" w:lineRule="auto"/>
              <w:jc w:val="center"/>
              <w:rPr>
                <w:bCs/>
                <w:color w:val="000000" w:themeColor="text1"/>
                <w:szCs w:val="21"/>
              </w:rPr>
            </w:pPr>
            <w:r>
              <w:rPr>
                <w:bCs/>
                <w:color w:val="000000" w:themeColor="text1"/>
                <w:szCs w:val="21"/>
              </w:rPr>
              <w:t>个人投资者</w:t>
            </w:r>
          </w:p>
        </w:tc>
      </w:tr>
      <w:tr w:rsidR="00E829FE" w:rsidTr="0039191C">
        <w:tc>
          <w:tcPr>
            <w:tcW w:w="1375" w:type="pct"/>
            <w:vMerge/>
            <w:vAlign w:val="center"/>
          </w:tcPr>
          <w:p w:rsidR="00E829FE" w:rsidRDefault="00E829FE" w:rsidP="0039191C">
            <w:pPr>
              <w:widowControl/>
              <w:spacing w:line="276" w:lineRule="auto"/>
              <w:jc w:val="left"/>
              <w:rPr>
                <w:bCs/>
                <w:color w:val="000000" w:themeColor="text1"/>
                <w:szCs w:val="21"/>
              </w:rPr>
            </w:pPr>
          </w:p>
        </w:tc>
        <w:tc>
          <w:tcPr>
            <w:tcW w:w="610" w:type="pct"/>
            <w:vMerge/>
            <w:vAlign w:val="center"/>
          </w:tcPr>
          <w:p w:rsidR="00E829FE" w:rsidRDefault="00E829FE" w:rsidP="0039191C">
            <w:pPr>
              <w:widowControl/>
              <w:spacing w:line="276" w:lineRule="auto"/>
              <w:jc w:val="left"/>
              <w:rPr>
                <w:bCs/>
                <w:color w:val="000000" w:themeColor="text1"/>
                <w:szCs w:val="21"/>
              </w:rPr>
            </w:pPr>
          </w:p>
        </w:tc>
        <w:tc>
          <w:tcPr>
            <w:tcW w:w="762" w:type="pct"/>
            <w:vAlign w:val="center"/>
          </w:tcPr>
          <w:p w:rsidR="00E829FE" w:rsidRDefault="00E829FE" w:rsidP="0039191C">
            <w:pPr>
              <w:spacing w:line="276" w:lineRule="auto"/>
              <w:jc w:val="center"/>
              <w:rPr>
                <w:bCs/>
                <w:color w:val="000000" w:themeColor="text1"/>
                <w:szCs w:val="21"/>
              </w:rPr>
            </w:pPr>
            <w:r>
              <w:rPr>
                <w:bCs/>
                <w:color w:val="000000" w:themeColor="text1"/>
                <w:szCs w:val="21"/>
              </w:rPr>
              <w:t>持有份额</w:t>
            </w:r>
          </w:p>
        </w:tc>
        <w:tc>
          <w:tcPr>
            <w:tcW w:w="765" w:type="pct"/>
            <w:vAlign w:val="center"/>
          </w:tcPr>
          <w:p w:rsidR="00E829FE" w:rsidRDefault="00E829FE" w:rsidP="0039191C">
            <w:pPr>
              <w:spacing w:line="276" w:lineRule="auto"/>
              <w:jc w:val="center"/>
              <w:rPr>
                <w:bCs/>
                <w:color w:val="000000" w:themeColor="text1"/>
                <w:szCs w:val="21"/>
              </w:rPr>
            </w:pPr>
            <w:r>
              <w:rPr>
                <w:bCs/>
                <w:color w:val="000000" w:themeColor="text1"/>
                <w:szCs w:val="21"/>
              </w:rPr>
              <w:t>占总份额比例</w:t>
            </w:r>
          </w:p>
        </w:tc>
        <w:tc>
          <w:tcPr>
            <w:tcW w:w="761" w:type="pct"/>
            <w:vAlign w:val="center"/>
          </w:tcPr>
          <w:p w:rsidR="00E829FE" w:rsidRDefault="00E829FE" w:rsidP="0039191C">
            <w:pPr>
              <w:spacing w:line="276" w:lineRule="auto"/>
              <w:jc w:val="center"/>
              <w:rPr>
                <w:bCs/>
                <w:color w:val="000000" w:themeColor="text1"/>
                <w:szCs w:val="21"/>
              </w:rPr>
            </w:pPr>
            <w:r>
              <w:rPr>
                <w:bCs/>
                <w:color w:val="000000" w:themeColor="text1"/>
                <w:szCs w:val="21"/>
              </w:rPr>
              <w:t>持有份额</w:t>
            </w:r>
          </w:p>
        </w:tc>
        <w:tc>
          <w:tcPr>
            <w:tcW w:w="727" w:type="pct"/>
            <w:vAlign w:val="center"/>
          </w:tcPr>
          <w:p w:rsidR="00E829FE" w:rsidRDefault="00E829FE" w:rsidP="0039191C">
            <w:pPr>
              <w:spacing w:line="276" w:lineRule="auto"/>
              <w:jc w:val="center"/>
              <w:rPr>
                <w:bCs/>
                <w:color w:val="000000" w:themeColor="text1"/>
                <w:szCs w:val="21"/>
              </w:rPr>
            </w:pPr>
            <w:r>
              <w:rPr>
                <w:bCs/>
                <w:color w:val="000000" w:themeColor="text1"/>
                <w:szCs w:val="21"/>
              </w:rPr>
              <w:t>占总份额比例</w:t>
            </w:r>
          </w:p>
        </w:tc>
      </w:tr>
      <w:tr w:rsidR="00E829FE" w:rsidTr="0039191C">
        <w:tc>
          <w:tcPr>
            <w:tcW w:w="1375" w:type="pct"/>
            <w:vAlign w:val="center"/>
          </w:tcPr>
          <w:p w:rsidR="00E829FE" w:rsidRDefault="00E829FE" w:rsidP="0039191C">
            <w:pPr>
              <w:spacing w:line="276" w:lineRule="auto"/>
              <w:jc w:val="center"/>
              <w:rPr>
                <w:bCs/>
                <w:color w:val="000000" w:themeColor="text1"/>
                <w:szCs w:val="21"/>
              </w:rPr>
            </w:pPr>
            <w:r>
              <w:rPr>
                <w:bCs/>
                <w:color w:val="000000" w:themeColor="text1"/>
                <w:szCs w:val="21"/>
              </w:rPr>
              <w:t>311</w:t>
            </w:r>
          </w:p>
        </w:tc>
        <w:tc>
          <w:tcPr>
            <w:tcW w:w="610" w:type="pct"/>
            <w:vAlign w:val="center"/>
          </w:tcPr>
          <w:p w:rsidR="00E829FE" w:rsidRDefault="00E829FE" w:rsidP="0039191C">
            <w:pPr>
              <w:spacing w:line="276" w:lineRule="auto"/>
              <w:jc w:val="right"/>
              <w:rPr>
                <w:bCs/>
                <w:color w:val="000000" w:themeColor="text1"/>
                <w:szCs w:val="21"/>
              </w:rPr>
            </w:pPr>
            <w:r>
              <w:rPr>
                <w:bCs/>
                <w:color w:val="000000" w:themeColor="text1"/>
                <w:szCs w:val="21"/>
              </w:rPr>
              <w:t>2,474,317.92</w:t>
            </w:r>
          </w:p>
        </w:tc>
        <w:tc>
          <w:tcPr>
            <w:tcW w:w="762" w:type="pct"/>
            <w:vAlign w:val="center"/>
          </w:tcPr>
          <w:p w:rsidR="00E829FE" w:rsidRDefault="00E829FE" w:rsidP="0039191C">
            <w:pPr>
              <w:spacing w:line="276" w:lineRule="auto"/>
              <w:jc w:val="right"/>
              <w:rPr>
                <w:bCs/>
                <w:color w:val="000000" w:themeColor="text1"/>
                <w:szCs w:val="21"/>
              </w:rPr>
            </w:pPr>
            <w:r>
              <w:rPr>
                <w:bCs/>
                <w:color w:val="000000" w:themeColor="text1"/>
                <w:szCs w:val="21"/>
              </w:rPr>
              <w:t>766,738,213.36</w:t>
            </w:r>
          </w:p>
        </w:tc>
        <w:tc>
          <w:tcPr>
            <w:tcW w:w="765" w:type="pct"/>
            <w:vAlign w:val="center"/>
          </w:tcPr>
          <w:p w:rsidR="00E829FE" w:rsidRDefault="00E829FE" w:rsidP="0039191C">
            <w:pPr>
              <w:spacing w:line="276" w:lineRule="auto"/>
              <w:jc w:val="right"/>
              <w:rPr>
                <w:bCs/>
                <w:color w:val="000000" w:themeColor="text1"/>
                <w:szCs w:val="21"/>
              </w:rPr>
            </w:pPr>
            <w:r>
              <w:rPr>
                <w:bCs/>
                <w:color w:val="000000" w:themeColor="text1"/>
                <w:szCs w:val="21"/>
              </w:rPr>
              <w:t>99.64%</w:t>
            </w:r>
          </w:p>
        </w:tc>
        <w:tc>
          <w:tcPr>
            <w:tcW w:w="761" w:type="pct"/>
            <w:vAlign w:val="center"/>
          </w:tcPr>
          <w:p w:rsidR="00E829FE" w:rsidRDefault="00E829FE" w:rsidP="0039191C">
            <w:pPr>
              <w:spacing w:line="276" w:lineRule="auto"/>
              <w:jc w:val="right"/>
              <w:rPr>
                <w:bCs/>
                <w:color w:val="000000" w:themeColor="text1"/>
                <w:szCs w:val="21"/>
              </w:rPr>
            </w:pPr>
            <w:r>
              <w:rPr>
                <w:bCs/>
                <w:color w:val="000000" w:themeColor="text1"/>
                <w:szCs w:val="21"/>
              </w:rPr>
              <w:t>2,774,660.41</w:t>
            </w:r>
          </w:p>
        </w:tc>
        <w:tc>
          <w:tcPr>
            <w:tcW w:w="727" w:type="pct"/>
            <w:vAlign w:val="center"/>
          </w:tcPr>
          <w:p w:rsidR="00E829FE" w:rsidRDefault="00E829FE" w:rsidP="0039191C">
            <w:pPr>
              <w:spacing w:line="276" w:lineRule="auto"/>
              <w:jc w:val="right"/>
              <w:rPr>
                <w:bCs/>
                <w:color w:val="000000" w:themeColor="text1"/>
                <w:szCs w:val="21"/>
              </w:rPr>
            </w:pPr>
            <w:r>
              <w:rPr>
                <w:bCs/>
                <w:color w:val="000000" w:themeColor="text1"/>
                <w:szCs w:val="21"/>
              </w:rPr>
              <w:t>0.36%</w:t>
            </w:r>
          </w:p>
        </w:tc>
      </w:tr>
    </w:tbl>
    <w:p w:rsidR="003663E4" w:rsidRDefault="00FD3F7D">
      <w:pPr>
        <w:pStyle w:val="3"/>
        <w:spacing w:beforeLines="50" w:before="156" w:after="0" w:line="360" w:lineRule="auto"/>
        <w:rPr>
          <w:color w:val="000000"/>
          <w:kern w:val="0"/>
          <w:sz w:val="21"/>
          <w:szCs w:val="21"/>
        </w:rPr>
      </w:pPr>
      <w:bookmarkStart w:id="276" w:name="_Toc23339420"/>
      <w:bookmarkStart w:id="277" w:name="_Toc508540325"/>
      <w:bookmarkStart w:id="278" w:name="_Toc6041"/>
      <w:bookmarkStart w:id="279" w:name="_GoBack"/>
      <w:bookmarkEnd w:id="279"/>
      <w:r>
        <w:rPr>
          <w:color w:val="000000"/>
          <w:kern w:val="0"/>
          <w:sz w:val="21"/>
          <w:szCs w:val="21"/>
        </w:rPr>
        <w:t xml:space="preserve">9.1.2 </w:t>
      </w:r>
      <w:r>
        <w:rPr>
          <w:color w:val="000000"/>
          <w:kern w:val="0"/>
          <w:sz w:val="21"/>
          <w:szCs w:val="21"/>
        </w:rPr>
        <w:t>期末基金管理人的从业人员持有本基金的情况</w:t>
      </w:r>
      <w:bookmarkEnd w:id="276"/>
      <w:bookmarkEnd w:id="277"/>
      <w:bookmarkEnd w:id="278"/>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3305"/>
        <w:gridCol w:w="3305"/>
      </w:tblGrid>
      <w:tr w:rsidR="003663E4">
        <w:tc>
          <w:tcPr>
            <w:tcW w:w="2321" w:type="dxa"/>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pStyle w:val="a0"/>
              <w:spacing w:line="276" w:lineRule="auto"/>
              <w:ind w:firstLineChars="0" w:firstLine="0"/>
              <w:jc w:val="center"/>
              <w:rPr>
                <w:color w:val="000000"/>
                <w:kern w:val="0"/>
              </w:rPr>
            </w:pPr>
            <w:bookmarkStart w:id="280" w:name="_Toc23339421"/>
            <w:bookmarkStart w:id="281" w:name="_Toc508540326"/>
            <w:r>
              <w:rPr>
                <w:rFonts w:hint="eastAsia"/>
                <w:color w:val="000000"/>
                <w:kern w:val="0"/>
              </w:rPr>
              <w:t>项目</w:t>
            </w:r>
          </w:p>
        </w:tc>
        <w:tc>
          <w:tcPr>
            <w:tcW w:w="3305" w:type="dxa"/>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pStyle w:val="a0"/>
              <w:spacing w:line="276" w:lineRule="auto"/>
              <w:ind w:firstLineChars="0" w:firstLine="0"/>
              <w:jc w:val="center"/>
              <w:rPr>
                <w:rFonts w:eastAsia="Times New Roman"/>
                <w:color w:val="000000"/>
                <w:kern w:val="0"/>
              </w:rPr>
            </w:pPr>
            <w:r>
              <w:rPr>
                <w:rFonts w:hint="eastAsia"/>
                <w:color w:val="000000"/>
                <w:kern w:val="0"/>
              </w:rPr>
              <w:t>持有份额总数（份）</w:t>
            </w:r>
          </w:p>
        </w:tc>
        <w:tc>
          <w:tcPr>
            <w:tcW w:w="3305" w:type="dxa"/>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pStyle w:val="a0"/>
              <w:spacing w:line="276" w:lineRule="auto"/>
              <w:ind w:firstLineChars="0" w:firstLine="0"/>
              <w:jc w:val="center"/>
              <w:rPr>
                <w:rFonts w:eastAsia="Times New Roman"/>
                <w:color w:val="000000"/>
                <w:kern w:val="0"/>
              </w:rPr>
            </w:pPr>
            <w:r>
              <w:rPr>
                <w:rFonts w:hint="eastAsia"/>
                <w:color w:val="000000"/>
                <w:kern w:val="0"/>
              </w:rPr>
              <w:t>占基金总份额比例</w:t>
            </w:r>
          </w:p>
        </w:tc>
      </w:tr>
      <w:tr w:rsidR="003663E4">
        <w:tc>
          <w:tcPr>
            <w:tcW w:w="2321" w:type="dxa"/>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pStyle w:val="a0"/>
              <w:spacing w:line="276" w:lineRule="auto"/>
              <w:ind w:firstLineChars="0" w:firstLine="0"/>
              <w:rPr>
                <w:rFonts w:eastAsia="Times New Roman"/>
                <w:color w:val="000000"/>
                <w:kern w:val="0"/>
              </w:rPr>
            </w:pPr>
            <w:r>
              <w:rPr>
                <w:rFonts w:hint="eastAsia"/>
                <w:color w:val="000000"/>
                <w:kern w:val="0"/>
              </w:rPr>
              <w:t>基金管理人所有从业人员持有本基金</w:t>
            </w:r>
          </w:p>
        </w:tc>
        <w:tc>
          <w:tcPr>
            <w:tcW w:w="3305" w:type="dxa"/>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widowControl/>
              <w:spacing w:line="276" w:lineRule="auto"/>
              <w:jc w:val="right"/>
              <w:rPr>
                <w:color w:val="000000"/>
                <w:kern w:val="0"/>
              </w:rPr>
            </w:pPr>
            <w:r>
              <w:rPr>
                <w:color w:val="000000"/>
                <w:kern w:val="0"/>
              </w:rPr>
              <w:t>1,824.84</w:t>
            </w:r>
          </w:p>
        </w:tc>
        <w:tc>
          <w:tcPr>
            <w:tcW w:w="3305" w:type="dxa"/>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widowControl/>
              <w:spacing w:line="276" w:lineRule="auto"/>
              <w:jc w:val="right"/>
              <w:rPr>
                <w:color w:val="000000"/>
                <w:kern w:val="0"/>
              </w:rPr>
            </w:pPr>
            <w:r>
              <w:rPr>
                <w:color w:val="000000"/>
                <w:kern w:val="0"/>
              </w:rPr>
              <w:t>0.00%</w:t>
            </w:r>
          </w:p>
        </w:tc>
      </w:tr>
    </w:tbl>
    <w:p w:rsidR="003663E4" w:rsidRDefault="00FD3F7D">
      <w:pPr>
        <w:pStyle w:val="3"/>
        <w:spacing w:beforeLines="50" w:before="156" w:after="0" w:line="360" w:lineRule="auto"/>
        <w:rPr>
          <w:color w:val="000000"/>
          <w:kern w:val="0"/>
          <w:sz w:val="21"/>
          <w:szCs w:val="21"/>
        </w:rPr>
      </w:pPr>
      <w:bookmarkStart w:id="282" w:name="_Toc29816"/>
      <w:r>
        <w:rPr>
          <w:color w:val="000000"/>
          <w:kern w:val="0"/>
          <w:sz w:val="21"/>
          <w:szCs w:val="21"/>
        </w:rPr>
        <w:t>9.1.3</w:t>
      </w:r>
      <w:r>
        <w:rPr>
          <w:rFonts w:hint="eastAsia"/>
          <w:color w:val="000000"/>
          <w:kern w:val="0"/>
          <w:sz w:val="21"/>
          <w:szCs w:val="21"/>
        </w:rPr>
        <w:t xml:space="preserve"> </w:t>
      </w:r>
      <w:r>
        <w:rPr>
          <w:color w:val="000000"/>
          <w:kern w:val="0"/>
          <w:sz w:val="21"/>
          <w:szCs w:val="21"/>
        </w:rPr>
        <w:t>期末基金管理人的从业人员持有本开放式基金份额总量区间情况</w:t>
      </w:r>
      <w:bookmarkEnd w:id="280"/>
      <w:bookmarkEnd w:id="281"/>
      <w:bookmarkEnd w:id="282"/>
    </w:p>
    <w:tbl>
      <w:tblPr>
        <w:tblW w:w="89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562"/>
      </w:tblGrid>
      <w:tr w:rsidR="003663E4">
        <w:trPr>
          <w:trHeight w:val="285"/>
        </w:trPr>
        <w:tc>
          <w:tcPr>
            <w:tcW w:w="3369"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3663E4" w:rsidRDefault="00FD3F7D">
            <w:pPr>
              <w:widowControl/>
              <w:spacing w:line="276" w:lineRule="auto"/>
              <w:jc w:val="center"/>
              <w:rPr>
                <w:rFonts w:eastAsia="Times New Roman"/>
                <w:color w:val="000000"/>
                <w:kern w:val="0"/>
              </w:rPr>
            </w:pPr>
            <w:r>
              <w:rPr>
                <w:rFonts w:hint="eastAsia"/>
                <w:color w:val="000000"/>
                <w:kern w:val="0"/>
              </w:rPr>
              <w:t>项目</w:t>
            </w:r>
          </w:p>
        </w:tc>
        <w:tc>
          <w:tcPr>
            <w:tcW w:w="5562"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3663E4" w:rsidRDefault="00FD3F7D">
            <w:pPr>
              <w:widowControl/>
              <w:spacing w:line="276" w:lineRule="auto"/>
              <w:jc w:val="center"/>
              <w:rPr>
                <w:rFonts w:eastAsia="Times New Roman"/>
                <w:color w:val="000000"/>
                <w:kern w:val="0"/>
              </w:rPr>
            </w:pPr>
            <w:r>
              <w:rPr>
                <w:rFonts w:hint="eastAsia"/>
                <w:color w:val="000000"/>
                <w:kern w:val="0"/>
              </w:rPr>
              <w:t>持有基金份额总量的数量区间（万份）</w:t>
            </w:r>
          </w:p>
        </w:tc>
      </w:tr>
      <w:tr w:rsidR="003663E4">
        <w:trPr>
          <w:trHeight w:val="713"/>
        </w:trPr>
        <w:tc>
          <w:tcPr>
            <w:tcW w:w="3369"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3663E4" w:rsidRDefault="00FD3F7D">
            <w:pPr>
              <w:widowControl/>
              <w:spacing w:line="276" w:lineRule="auto"/>
              <w:jc w:val="left"/>
              <w:rPr>
                <w:rFonts w:eastAsia="Times New Roman"/>
                <w:color w:val="000000"/>
                <w:kern w:val="0"/>
              </w:rPr>
            </w:pPr>
            <w:r>
              <w:rPr>
                <w:rFonts w:hint="eastAsia"/>
                <w:color w:val="000000"/>
                <w:kern w:val="0"/>
              </w:rPr>
              <w:t>本公司高级管理人员、基金投资和研究部门负责人持有本开放式基金</w:t>
            </w:r>
          </w:p>
        </w:tc>
        <w:tc>
          <w:tcPr>
            <w:tcW w:w="5562"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3663E4" w:rsidRDefault="00FD3F7D">
            <w:pPr>
              <w:widowControl/>
              <w:spacing w:line="276" w:lineRule="auto"/>
              <w:jc w:val="center"/>
              <w:rPr>
                <w:color w:val="000000"/>
                <w:kern w:val="0"/>
              </w:rPr>
            </w:pPr>
            <w:r>
              <w:rPr>
                <w:color w:val="000000"/>
                <w:kern w:val="0"/>
              </w:rPr>
              <w:t>0~10</w:t>
            </w:r>
          </w:p>
        </w:tc>
      </w:tr>
      <w:tr w:rsidR="003663E4">
        <w:trPr>
          <w:trHeight w:val="285"/>
        </w:trPr>
        <w:tc>
          <w:tcPr>
            <w:tcW w:w="3369"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3663E4" w:rsidRDefault="00FD3F7D">
            <w:pPr>
              <w:widowControl/>
              <w:spacing w:line="276" w:lineRule="auto"/>
              <w:jc w:val="left"/>
              <w:rPr>
                <w:rFonts w:eastAsia="Times New Roman"/>
                <w:color w:val="000000"/>
                <w:kern w:val="0"/>
              </w:rPr>
            </w:pPr>
            <w:r>
              <w:rPr>
                <w:rFonts w:hint="eastAsia"/>
                <w:color w:val="000000"/>
                <w:kern w:val="0"/>
              </w:rPr>
              <w:t>本基金基金经理持有本开放式基金</w:t>
            </w:r>
          </w:p>
        </w:tc>
        <w:tc>
          <w:tcPr>
            <w:tcW w:w="5562" w:type="dxa"/>
            <w:tcBorders>
              <w:top w:val="single" w:sz="8" w:space="0" w:color="auto"/>
              <w:left w:val="single" w:sz="8" w:space="0" w:color="auto"/>
              <w:bottom w:val="single" w:sz="8" w:space="0" w:color="auto"/>
              <w:right w:val="single" w:sz="8" w:space="0" w:color="auto"/>
              <w:tl2br w:val="nil"/>
              <w:tr2bl w:val="nil"/>
            </w:tcBorders>
            <w:tcMar>
              <w:top w:w="0" w:type="dxa"/>
              <w:left w:w="108" w:type="dxa"/>
              <w:bottom w:w="0" w:type="dxa"/>
              <w:right w:w="108" w:type="dxa"/>
            </w:tcMar>
            <w:vAlign w:val="center"/>
          </w:tcPr>
          <w:p w:rsidR="003663E4" w:rsidRDefault="00FD3F7D">
            <w:pPr>
              <w:widowControl/>
              <w:spacing w:line="276" w:lineRule="auto"/>
              <w:jc w:val="center"/>
              <w:rPr>
                <w:color w:val="000000"/>
                <w:kern w:val="0"/>
              </w:rPr>
            </w:pPr>
            <w:r>
              <w:rPr>
                <w:color w:val="000000"/>
                <w:kern w:val="0"/>
              </w:rPr>
              <w:t>0~10</w:t>
            </w:r>
          </w:p>
        </w:tc>
      </w:tr>
    </w:tbl>
    <w:p w:rsidR="003663E4" w:rsidRDefault="00FD3F7D">
      <w:pPr>
        <w:pStyle w:val="2"/>
        <w:spacing w:before="0" w:after="0"/>
        <w:rPr>
          <w:rFonts w:ascii="Times New Roman" w:hAnsi="Times New Roman"/>
          <w:color w:val="000000"/>
          <w:kern w:val="0"/>
          <w:sz w:val="21"/>
          <w:szCs w:val="21"/>
        </w:rPr>
      </w:pPr>
      <w:bookmarkStart w:id="283" w:name="_Toc508540328"/>
      <w:bookmarkStart w:id="284" w:name="_Toc487489081"/>
      <w:bookmarkStart w:id="285" w:name="_Toc23339423"/>
      <w:bookmarkStart w:id="286" w:name="_Toc18712"/>
      <w:r>
        <w:rPr>
          <w:rFonts w:ascii="Times New Roman" w:hAnsi="Times New Roman"/>
          <w:color w:val="000000"/>
          <w:kern w:val="0"/>
          <w:sz w:val="21"/>
          <w:szCs w:val="21"/>
        </w:rPr>
        <w:t xml:space="preserve">9.2 </w:t>
      </w:r>
      <w:r>
        <w:rPr>
          <w:rFonts w:ascii="Times New Roman" w:hAnsi="Times New Roman"/>
          <w:color w:val="000000"/>
          <w:kern w:val="0"/>
          <w:sz w:val="21"/>
          <w:szCs w:val="21"/>
        </w:rPr>
        <w:t>交银施罗德理财</w:t>
      </w:r>
      <w:r>
        <w:rPr>
          <w:rFonts w:ascii="Times New Roman" w:hAnsi="Times New Roman"/>
          <w:color w:val="000000"/>
          <w:kern w:val="0"/>
          <w:sz w:val="21"/>
          <w:szCs w:val="21"/>
        </w:rPr>
        <w:t>60</w:t>
      </w:r>
      <w:r>
        <w:rPr>
          <w:rFonts w:ascii="Times New Roman" w:hAnsi="Times New Roman"/>
          <w:color w:val="000000"/>
          <w:kern w:val="0"/>
          <w:sz w:val="21"/>
          <w:szCs w:val="21"/>
        </w:rPr>
        <w:t>天债券型证券投资基金</w:t>
      </w:r>
      <w:bookmarkEnd w:id="283"/>
      <w:bookmarkEnd w:id="284"/>
      <w:bookmarkEnd w:id="285"/>
      <w:bookmarkEnd w:id="286"/>
    </w:p>
    <w:p w:rsidR="003663E4" w:rsidRDefault="00FD3F7D">
      <w:pPr>
        <w:autoSpaceDE w:val="0"/>
        <w:autoSpaceDN w:val="0"/>
        <w:adjustRightInd w:val="0"/>
        <w:spacing w:line="360" w:lineRule="auto"/>
        <w:jc w:val="left"/>
        <w:rPr>
          <w:color w:val="000000" w:themeColor="text1"/>
          <w:szCs w:val="21"/>
        </w:rPr>
      </w:pPr>
      <w:r>
        <w:rPr>
          <w:b/>
          <w:color w:val="000000"/>
          <w:kern w:val="0"/>
          <w:szCs w:val="21"/>
        </w:rPr>
        <w:t>（报告期：</w:t>
      </w:r>
      <w:r>
        <w:rPr>
          <w:b/>
          <w:color w:val="000000"/>
          <w:kern w:val="0"/>
          <w:szCs w:val="21"/>
        </w:rPr>
        <w:t>2020</w:t>
      </w:r>
      <w:r>
        <w:rPr>
          <w:b/>
          <w:color w:val="000000"/>
          <w:kern w:val="0"/>
          <w:szCs w:val="21"/>
        </w:rPr>
        <w:t>年</w:t>
      </w:r>
      <w:r>
        <w:rPr>
          <w:b/>
          <w:color w:val="000000"/>
          <w:kern w:val="0"/>
          <w:szCs w:val="21"/>
        </w:rPr>
        <w:t>1</w:t>
      </w:r>
      <w:r>
        <w:rPr>
          <w:b/>
          <w:color w:val="000000"/>
          <w:kern w:val="0"/>
          <w:szCs w:val="21"/>
        </w:rPr>
        <w:t>月</w:t>
      </w:r>
      <w:r>
        <w:rPr>
          <w:b/>
          <w:color w:val="000000"/>
          <w:kern w:val="0"/>
          <w:szCs w:val="21"/>
        </w:rPr>
        <w:t>1</w:t>
      </w:r>
      <w:r>
        <w:rPr>
          <w:b/>
          <w:color w:val="000000"/>
          <w:kern w:val="0"/>
          <w:szCs w:val="21"/>
        </w:rPr>
        <w:t>日</w:t>
      </w:r>
      <w:r>
        <w:rPr>
          <w:b/>
          <w:color w:val="000000"/>
          <w:kern w:val="0"/>
          <w:szCs w:val="21"/>
        </w:rPr>
        <w:t>-</w:t>
      </w:r>
      <w:r>
        <w:rPr>
          <w:b/>
          <w:color w:val="000000"/>
          <w:szCs w:val="21"/>
        </w:rPr>
        <w:t>2020</w:t>
      </w:r>
      <w:r>
        <w:rPr>
          <w:b/>
          <w:color w:val="000000"/>
          <w:szCs w:val="21"/>
        </w:rPr>
        <w:t>年</w:t>
      </w:r>
      <w:r>
        <w:rPr>
          <w:b/>
          <w:color w:val="000000"/>
          <w:szCs w:val="21"/>
        </w:rPr>
        <w:t>7</w:t>
      </w:r>
      <w:r>
        <w:rPr>
          <w:b/>
          <w:color w:val="000000"/>
          <w:szCs w:val="21"/>
        </w:rPr>
        <w:t>月</w:t>
      </w:r>
      <w:r>
        <w:rPr>
          <w:b/>
          <w:color w:val="000000"/>
          <w:szCs w:val="21"/>
        </w:rPr>
        <w:t>27</w:t>
      </w:r>
      <w:r>
        <w:rPr>
          <w:b/>
          <w:color w:val="000000"/>
          <w:szCs w:val="21"/>
        </w:rPr>
        <w:t>日）</w:t>
      </w:r>
    </w:p>
    <w:p w:rsidR="003663E4" w:rsidRDefault="00FD3F7D">
      <w:pPr>
        <w:pStyle w:val="3"/>
        <w:spacing w:beforeLines="50" w:before="156" w:after="0" w:line="360" w:lineRule="auto"/>
        <w:rPr>
          <w:color w:val="000000" w:themeColor="text1"/>
          <w:kern w:val="0"/>
          <w:sz w:val="21"/>
          <w:szCs w:val="21"/>
        </w:rPr>
      </w:pPr>
      <w:bookmarkStart w:id="287" w:name="_Toc487489082"/>
      <w:bookmarkStart w:id="288" w:name="_Toc508540329"/>
      <w:bookmarkStart w:id="289" w:name="_Toc23339424"/>
      <w:bookmarkStart w:id="290" w:name="_Toc3754"/>
      <w:r>
        <w:rPr>
          <w:color w:val="000000" w:themeColor="text1"/>
          <w:kern w:val="0"/>
          <w:sz w:val="21"/>
          <w:szCs w:val="21"/>
        </w:rPr>
        <w:t xml:space="preserve">9.2.1 </w:t>
      </w:r>
      <w:r>
        <w:rPr>
          <w:color w:val="000000" w:themeColor="text1"/>
          <w:kern w:val="0"/>
          <w:sz w:val="21"/>
          <w:szCs w:val="21"/>
        </w:rPr>
        <w:t>期末基金份额持有人户数及持有人结构</w:t>
      </w:r>
      <w:bookmarkEnd w:id="287"/>
      <w:bookmarkEnd w:id="288"/>
      <w:bookmarkEnd w:id="289"/>
      <w:bookmarkEnd w:id="290"/>
    </w:p>
    <w:p w:rsidR="003663E4" w:rsidRDefault="00FD3F7D">
      <w:pPr>
        <w:autoSpaceDE w:val="0"/>
        <w:autoSpaceDN w:val="0"/>
        <w:adjustRightInd w:val="0"/>
        <w:spacing w:before="29" w:line="288" w:lineRule="auto"/>
        <w:ind w:left="15"/>
        <w:jc w:val="right"/>
        <w:rPr>
          <w:color w:val="000000" w:themeColor="text1"/>
          <w:kern w:val="0"/>
          <w:szCs w:val="21"/>
        </w:rPr>
      </w:pPr>
      <w:r>
        <w:rPr>
          <w:color w:val="000000" w:themeColor="text1"/>
          <w:kern w:val="0"/>
          <w:szCs w:val="21"/>
        </w:rPr>
        <w:t>份额单位：份</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0"/>
        <w:gridCol w:w="1136"/>
        <w:gridCol w:w="1133"/>
        <w:gridCol w:w="1415"/>
        <w:gridCol w:w="1421"/>
        <w:gridCol w:w="1413"/>
        <w:gridCol w:w="1348"/>
      </w:tblGrid>
      <w:tr w:rsidR="003663E4">
        <w:tc>
          <w:tcPr>
            <w:tcW w:w="764" w:type="pct"/>
            <w:vMerge w:val="restart"/>
            <w:vAlign w:val="center"/>
          </w:tcPr>
          <w:p w:rsidR="003663E4" w:rsidRDefault="00FD3F7D">
            <w:pPr>
              <w:spacing w:line="276" w:lineRule="auto"/>
              <w:jc w:val="center"/>
              <w:rPr>
                <w:bCs/>
                <w:color w:val="000000" w:themeColor="text1"/>
                <w:szCs w:val="21"/>
              </w:rPr>
            </w:pPr>
            <w:r>
              <w:rPr>
                <w:color w:val="000000" w:themeColor="text1"/>
                <w:szCs w:val="21"/>
              </w:rPr>
              <w:t>份额级别</w:t>
            </w:r>
          </w:p>
        </w:tc>
        <w:tc>
          <w:tcPr>
            <w:tcW w:w="611" w:type="pct"/>
            <w:vMerge w:val="restart"/>
            <w:vAlign w:val="center"/>
          </w:tcPr>
          <w:p w:rsidR="003663E4" w:rsidRDefault="00FD3F7D">
            <w:pPr>
              <w:spacing w:line="276" w:lineRule="auto"/>
              <w:jc w:val="center"/>
              <w:rPr>
                <w:bCs/>
                <w:color w:val="000000" w:themeColor="text1"/>
                <w:szCs w:val="21"/>
              </w:rPr>
            </w:pPr>
            <w:r>
              <w:rPr>
                <w:bCs/>
                <w:color w:val="000000" w:themeColor="text1"/>
                <w:szCs w:val="21"/>
              </w:rPr>
              <w:t>持有人户数</w:t>
            </w:r>
            <w:r>
              <w:rPr>
                <w:bCs/>
                <w:color w:val="000000" w:themeColor="text1"/>
                <w:szCs w:val="21"/>
              </w:rPr>
              <w:t>(</w:t>
            </w:r>
            <w:r>
              <w:rPr>
                <w:bCs/>
                <w:color w:val="000000" w:themeColor="text1"/>
                <w:szCs w:val="21"/>
              </w:rPr>
              <w:t>户</w:t>
            </w:r>
            <w:r>
              <w:rPr>
                <w:bCs/>
                <w:color w:val="000000" w:themeColor="text1"/>
                <w:szCs w:val="21"/>
              </w:rPr>
              <w:t>)</w:t>
            </w:r>
          </w:p>
        </w:tc>
        <w:tc>
          <w:tcPr>
            <w:tcW w:w="610" w:type="pct"/>
            <w:vMerge w:val="restart"/>
            <w:vAlign w:val="center"/>
          </w:tcPr>
          <w:p w:rsidR="003663E4" w:rsidRDefault="00FD3F7D">
            <w:pPr>
              <w:spacing w:line="276" w:lineRule="auto"/>
              <w:jc w:val="center"/>
              <w:rPr>
                <w:bCs/>
                <w:color w:val="000000" w:themeColor="text1"/>
                <w:szCs w:val="21"/>
              </w:rPr>
            </w:pPr>
            <w:r>
              <w:rPr>
                <w:bCs/>
                <w:color w:val="000000" w:themeColor="text1"/>
                <w:szCs w:val="21"/>
              </w:rPr>
              <w:t>户均持有的基金份额</w:t>
            </w:r>
          </w:p>
        </w:tc>
        <w:tc>
          <w:tcPr>
            <w:tcW w:w="3014" w:type="pct"/>
            <w:gridSpan w:val="4"/>
            <w:vAlign w:val="center"/>
          </w:tcPr>
          <w:p w:rsidR="003663E4" w:rsidRDefault="00FD3F7D">
            <w:pPr>
              <w:spacing w:line="276" w:lineRule="auto"/>
              <w:jc w:val="center"/>
              <w:rPr>
                <w:bCs/>
                <w:color w:val="000000" w:themeColor="text1"/>
                <w:szCs w:val="21"/>
              </w:rPr>
            </w:pPr>
            <w:r>
              <w:rPr>
                <w:bCs/>
                <w:color w:val="000000" w:themeColor="text1"/>
                <w:szCs w:val="21"/>
              </w:rPr>
              <w:t>持有人结构</w:t>
            </w:r>
          </w:p>
        </w:tc>
      </w:tr>
      <w:tr w:rsidR="003663E4">
        <w:tc>
          <w:tcPr>
            <w:tcW w:w="764" w:type="pct"/>
            <w:vMerge/>
            <w:vAlign w:val="center"/>
          </w:tcPr>
          <w:p w:rsidR="003663E4" w:rsidRDefault="003663E4">
            <w:pPr>
              <w:widowControl/>
              <w:spacing w:line="276" w:lineRule="auto"/>
              <w:jc w:val="left"/>
              <w:rPr>
                <w:bCs/>
                <w:color w:val="000000" w:themeColor="text1"/>
                <w:szCs w:val="21"/>
              </w:rPr>
            </w:pPr>
          </w:p>
        </w:tc>
        <w:tc>
          <w:tcPr>
            <w:tcW w:w="611" w:type="pct"/>
            <w:vMerge/>
            <w:vAlign w:val="center"/>
          </w:tcPr>
          <w:p w:rsidR="003663E4" w:rsidRDefault="003663E4">
            <w:pPr>
              <w:widowControl/>
              <w:spacing w:line="276" w:lineRule="auto"/>
              <w:jc w:val="left"/>
              <w:rPr>
                <w:bCs/>
                <w:color w:val="000000" w:themeColor="text1"/>
                <w:szCs w:val="21"/>
              </w:rPr>
            </w:pPr>
          </w:p>
        </w:tc>
        <w:tc>
          <w:tcPr>
            <w:tcW w:w="610" w:type="pct"/>
            <w:vMerge/>
            <w:vAlign w:val="center"/>
          </w:tcPr>
          <w:p w:rsidR="003663E4" w:rsidRDefault="003663E4">
            <w:pPr>
              <w:widowControl/>
              <w:spacing w:line="276" w:lineRule="auto"/>
              <w:jc w:val="left"/>
              <w:rPr>
                <w:bCs/>
                <w:color w:val="000000" w:themeColor="text1"/>
                <w:szCs w:val="21"/>
              </w:rPr>
            </w:pPr>
          </w:p>
        </w:tc>
        <w:tc>
          <w:tcPr>
            <w:tcW w:w="1527" w:type="pct"/>
            <w:gridSpan w:val="2"/>
            <w:vAlign w:val="center"/>
          </w:tcPr>
          <w:p w:rsidR="003663E4" w:rsidRDefault="00FD3F7D">
            <w:pPr>
              <w:spacing w:line="276" w:lineRule="auto"/>
              <w:jc w:val="center"/>
              <w:rPr>
                <w:bCs/>
                <w:color w:val="000000" w:themeColor="text1"/>
                <w:szCs w:val="21"/>
              </w:rPr>
            </w:pPr>
            <w:r>
              <w:rPr>
                <w:bCs/>
                <w:color w:val="000000" w:themeColor="text1"/>
                <w:szCs w:val="21"/>
              </w:rPr>
              <w:t>机构投资者</w:t>
            </w:r>
          </w:p>
        </w:tc>
        <w:tc>
          <w:tcPr>
            <w:tcW w:w="1487" w:type="pct"/>
            <w:gridSpan w:val="2"/>
            <w:vAlign w:val="center"/>
          </w:tcPr>
          <w:p w:rsidR="003663E4" w:rsidRDefault="00FD3F7D">
            <w:pPr>
              <w:spacing w:line="276" w:lineRule="auto"/>
              <w:jc w:val="center"/>
              <w:rPr>
                <w:bCs/>
                <w:color w:val="000000" w:themeColor="text1"/>
                <w:szCs w:val="21"/>
              </w:rPr>
            </w:pPr>
            <w:r>
              <w:rPr>
                <w:bCs/>
                <w:color w:val="000000" w:themeColor="text1"/>
                <w:szCs w:val="21"/>
              </w:rPr>
              <w:t>个人投资者</w:t>
            </w:r>
          </w:p>
        </w:tc>
      </w:tr>
      <w:tr w:rsidR="003663E4">
        <w:tc>
          <w:tcPr>
            <w:tcW w:w="764" w:type="pct"/>
            <w:vMerge/>
            <w:vAlign w:val="center"/>
          </w:tcPr>
          <w:p w:rsidR="003663E4" w:rsidRDefault="003663E4">
            <w:pPr>
              <w:widowControl/>
              <w:spacing w:line="276" w:lineRule="auto"/>
              <w:jc w:val="left"/>
              <w:rPr>
                <w:bCs/>
                <w:color w:val="000000" w:themeColor="text1"/>
                <w:szCs w:val="21"/>
              </w:rPr>
            </w:pPr>
          </w:p>
        </w:tc>
        <w:tc>
          <w:tcPr>
            <w:tcW w:w="611" w:type="pct"/>
            <w:vMerge/>
            <w:vAlign w:val="center"/>
          </w:tcPr>
          <w:p w:rsidR="003663E4" w:rsidRDefault="003663E4">
            <w:pPr>
              <w:widowControl/>
              <w:spacing w:line="276" w:lineRule="auto"/>
              <w:jc w:val="left"/>
              <w:rPr>
                <w:bCs/>
                <w:color w:val="000000" w:themeColor="text1"/>
                <w:szCs w:val="21"/>
              </w:rPr>
            </w:pPr>
          </w:p>
        </w:tc>
        <w:tc>
          <w:tcPr>
            <w:tcW w:w="610" w:type="pct"/>
            <w:vMerge/>
            <w:vAlign w:val="center"/>
          </w:tcPr>
          <w:p w:rsidR="003663E4" w:rsidRDefault="003663E4">
            <w:pPr>
              <w:widowControl/>
              <w:spacing w:line="276" w:lineRule="auto"/>
              <w:jc w:val="left"/>
              <w:rPr>
                <w:bCs/>
                <w:color w:val="000000" w:themeColor="text1"/>
                <w:szCs w:val="21"/>
              </w:rPr>
            </w:pPr>
          </w:p>
        </w:tc>
        <w:tc>
          <w:tcPr>
            <w:tcW w:w="762" w:type="pct"/>
            <w:vAlign w:val="center"/>
          </w:tcPr>
          <w:p w:rsidR="003663E4" w:rsidRDefault="00FD3F7D">
            <w:pPr>
              <w:spacing w:line="276" w:lineRule="auto"/>
              <w:jc w:val="center"/>
              <w:rPr>
                <w:bCs/>
                <w:color w:val="000000" w:themeColor="text1"/>
                <w:szCs w:val="21"/>
              </w:rPr>
            </w:pPr>
            <w:r>
              <w:rPr>
                <w:bCs/>
                <w:color w:val="000000" w:themeColor="text1"/>
                <w:szCs w:val="21"/>
              </w:rPr>
              <w:t>持有份额</w:t>
            </w:r>
          </w:p>
        </w:tc>
        <w:tc>
          <w:tcPr>
            <w:tcW w:w="764" w:type="pct"/>
            <w:vAlign w:val="center"/>
          </w:tcPr>
          <w:p w:rsidR="003663E4" w:rsidRDefault="00FD3F7D">
            <w:pPr>
              <w:spacing w:line="276" w:lineRule="auto"/>
              <w:jc w:val="center"/>
              <w:rPr>
                <w:bCs/>
                <w:color w:val="000000" w:themeColor="text1"/>
                <w:szCs w:val="21"/>
              </w:rPr>
            </w:pPr>
            <w:r>
              <w:rPr>
                <w:bCs/>
                <w:color w:val="000000" w:themeColor="text1"/>
                <w:szCs w:val="21"/>
              </w:rPr>
              <w:t>占总份额比例</w:t>
            </w:r>
          </w:p>
        </w:tc>
        <w:tc>
          <w:tcPr>
            <w:tcW w:w="761" w:type="pct"/>
            <w:vAlign w:val="center"/>
          </w:tcPr>
          <w:p w:rsidR="003663E4" w:rsidRDefault="00FD3F7D">
            <w:pPr>
              <w:spacing w:line="276" w:lineRule="auto"/>
              <w:jc w:val="center"/>
              <w:rPr>
                <w:bCs/>
                <w:color w:val="000000" w:themeColor="text1"/>
                <w:szCs w:val="21"/>
              </w:rPr>
            </w:pPr>
            <w:r>
              <w:rPr>
                <w:bCs/>
                <w:color w:val="000000" w:themeColor="text1"/>
                <w:szCs w:val="21"/>
              </w:rPr>
              <w:t>持有份额</w:t>
            </w:r>
          </w:p>
        </w:tc>
        <w:tc>
          <w:tcPr>
            <w:tcW w:w="725" w:type="pct"/>
            <w:vAlign w:val="center"/>
          </w:tcPr>
          <w:p w:rsidR="003663E4" w:rsidRDefault="00FD3F7D">
            <w:pPr>
              <w:spacing w:line="276" w:lineRule="auto"/>
              <w:jc w:val="center"/>
              <w:rPr>
                <w:bCs/>
                <w:color w:val="000000" w:themeColor="text1"/>
                <w:szCs w:val="21"/>
              </w:rPr>
            </w:pPr>
            <w:r>
              <w:rPr>
                <w:bCs/>
                <w:color w:val="000000" w:themeColor="text1"/>
                <w:szCs w:val="21"/>
              </w:rPr>
              <w:t>占总份额比例</w:t>
            </w:r>
          </w:p>
        </w:tc>
      </w:tr>
      <w:tr w:rsidR="003663E4">
        <w:tc>
          <w:tcPr>
            <w:tcW w:w="764" w:type="pct"/>
            <w:vAlign w:val="center"/>
          </w:tcPr>
          <w:p w:rsidR="003663E4" w:rsidRDefault="00FD3F7D">
            <w:pPr>
              <w:widowControl/>
              <w:spacing w:line="276" w:lineRule="auto"/>
              <w:jc w:val="center"/>
              <w:rPr>
                <w:bCs/>
                <w:color w:val="000000" w:themeColor="text1"/>
                <w:szCs w:val="21"/>
              </w:rPr>
            </w:pPr>
            <w:r>
              <w:rPr>
                <w:bCs/>
                <w:color w:val="000000" w:themeColor="text1"/>
                <w:szCs w:val="21"/>
              </w:rPr>
              <w:t>交银理财</w:t>
            </w:r>
            <w:r>
              <w:rPr>
                <w:bCs/>
                <w:color w:val="000000" w:themeColor="text1"/>
                <w:szCs w:val="21"/>
              </w:rPr>
              <w:t>60</w:t>
            </w:r>
            <w:r>
              <w:rPr>
                <w:bCs/>
                <w:color w:val="000000" w:themeColor="text1"/>
                <w:szCs w:val="21"/>
              </w:rPr>
              <w:t>天债券</w:t>
            </w:r>
            <w:r>
              <w:rPr>
                <w:bCs/>
                <w:color w:val="000000" w:themeColor="text1"/>
                <w:szCs w:val="21"/>
              </w:rPr>
              <w:t>A</w:t>
            </w:r>
          </w:p>
        </w:tc>
        <w:tc>
          <w:tcPr>
            <w:tcW w:w="611" w:type="pct"/>
            <w:vAlign w:val="center"/>
          </w:tcPr>
          <w:p w:rsidR="003663E4" w:rsidRDefault="00FD3F7D">
            <w:pPr>
              <w:spacing w:line="276" w:lineRule="auto"/>
              <w:jc w:val="center"/>
              <w:rPr>
                <w:bCs/>
                <w:color w:val="000000" w:themeColor="text1"/>
                <w:szCs w:val="21"/>
              </w:rPr>
            </w:pPr>
            <w:r>
              <w:rPr>
                <w:bCs/>
                <w:color w:val="000000" w:themeColor="text1"/>
                <w:szCs w:val="21"/>
              </w:rPr>
              <w:t>322</w:t>
            </w:r>
          </w:p>
        </w:tc>
        <w:tc>
          <w:tcPr>
            <w:tcW w:w="610" w:type="pct"/>
            <w:vAlign w:val="center"/>
          </w:tcPr>
          <w:p w:rsidR="003663E4" w:rsidRDefault="00FD3F7D">
            <w:pPr>
              <w:spacing w:line="276" w:lineRule="auto"/>
              <w:jc w:val="right"/>
              <w:rPr>
                <w:bCs/>
                <w:color w:val="000000" w:themeColor="text1"/>
                <w:szCs w:val="21"/>
              </w:rPr>
            </w:pPr>
            <w:r>
              <w:rPr>
                <w:bCs/>
                <w:color w:val="000000" w:themeColor="text1"/>
                <w:szCs w:val="21"/>
              </w:rPr>
              <w:t>10,392.82</w:t>
            </w:r>
          </w:p>
        </w:tc>
        <w:tc>
          <w:tcPr>
            <w:tcW w:w="762" w:type="pct"/>
            <w:vAlign w:val="center"/>
          </w:tcPr>
          <w:p w:rsidR="003663E4" w:rsidRDefault="00FD3F7D">
            <w:pPr>
              <w:spacing w:line="276" w:lineRule="auto"/>
              <w:jc w:val="right"/>
              <w:rPr>
                <w:bCs/>
                <w:color w:val="000000" w:themeColor="text1"/>
                <w:szCs w:val="21"/>
              </w:rPr>
            </w:pPr>
            <w:r>
              <w:rPr>
                <w:bCs/>
                <w:color w:val="000000" w:themeColor="text1"/>
                <w:szCs w:val="21"/>
              </w:rPr>
              <w:t>48,597.74</w:t>
            </w:r>
          </w:p>
        </w:tc>
        <w:tc>
          <w:tcPr>
            <w:tcW w:w="764" w:type="pct"/>
            <w:vAlign w:val="center"/>
          </w:tcPr>
          <w:p w:rsidR="003663E4" w:rsidRDefault="00FD3F7D">
            <w:pPr>
              <w:spacing w:line="276" w:lineRule="auto"/>
              <w:jc w:val="right"/>
              <w:rPr>
                <w:bCs/>
                <w:color w:val="000000" w:themeColor="text1"/>
                <w:szCs w:val="21"/>
              </w:rPr>
            </w:pPr>
            <w:r>
              <w:rPr>
                <w:bCs/>
                <w:color w:val="000000" w:themeColor="text1"/>
                <w:szCs w:val="21"/>
              </w:rPr>
              <w:t>1.45%</w:t>
            </w:r>
          </w:p>
        </w:tc>
        <w:tc>
          <w:tcPr>
            <w:tcW w:w="761" w:type="pct"/>
            <w:vAlign w:val="center"/>
          </w:tcPr>
          <w:p w:rsidR="003663E4" w:rsidRDefault="00FD3F7D">
            <w:pPr>
              <w:spacing w:line="276" w:lineRule="auto"/>
              <w:jc w:val="right"/>
              <w:rPr>
                <w:bCs/>
                <w:color w:val="000000" w:themeColor="text1"/>
                <w:szCs w:val="21"/>
              </w:rPr>
            </w:pPr>
            <w:r>
              <w:rPr>
                <w:bCs/>
                <w:color w:val="000000" w:themeColor="text1"/>
                <w:szCs w:val="21"/>
              </w:rPr>
              <w:t>3,297,890.20</w:t>
            </w:r>
          </w:p>
        </w:tc>
        <w:tc>
          <w:tcPr>
            <w:tcW w:w="725" w:type="pct"/>
            <w:vAlign w:val="center"/>
          </w:tcPr>
          <w:p w:rsidR="003663E4" w:rsidRDefault="00FD3F7D">
            <w:pPr>
              <w:spacing w:line="276" w:lineRule="auto"/>
              <w:jc w:val="right"/>
              <w:rPr>
                <w:bCs/>
                <w:color w:val="000000" w:themeColor="text1"/>
                <w:szCs w:val="21"/>
              </w:rPr>
            </w:pPr>
            <w:r>
              <w:rPr>
                <w:bCs/>
                <w:color w:val="000000" w:themeColor="text1"/>
                <w:szCs w:val="21"/>
              </w:rPr>
              <w:t>98.55%</w:t>
            </w:r>
          </w:p>
        </w:tc>
      </w:tr>
      <w:tr w:rsidR="003663E4">
        <w:tc>
          <w:tcPr>
            <w:tcW w:w="764" w:type="pct"/>
            <w:vAlign w:val="center"/>
          </w:tcPr>
          <w:p w:rsidR="003663E4" w:rsidRDefault="00FD3F7D">
            <w:pPr>
              <w:widowControl/>
              <w:spacing w:line="276" w:lineRule="auto"/>
              <w:jc w:val="center"/>
              <w:rPr>
                <w:bCs/>
                <w:color w:val="000000" w:themeColor="text1"/>
                <w:szCs w:val="21"/>
              </w:rPr>
            </w:pPr>
            <w:r>
              <w:rPr>
                <w:bCs/>
                <w:color w:val="000000" w:themeColor="text1"/>
                <w:szCs w:val="21"/>
              </w:rPr>
              <w:t>交银理财</w:t>
            </w:r>
            <w:r>
              <w:rPr>
                <w:bCs/>
                <w:color w:val="000000" w:themeColor="text1"/>
                <w:szCs w:val="21"/>
              </w:rPr>
              <w:t>60</w:t>
            </w:r>
            <w:r>
              <w:rPr>
                <w:bCs/>
                <w:color w:val="000000" w:themeColor="text1"/>
                <w:szCs w:val="21"/>
              </w:rPr>
              <w:t>天债券</w:t>
            </w:r>
            <w:r>
              <w:rPr>
                <w:bCs/>
                <w:color w:val="000000" w:themeColor="text1"/>
                <w:szCs w:val="21"/>
              </w:rPr>
              <w:t>B</w:t>
            </w:r>
          </w:p>
        </w:tc>
        <w:tc>
          <w:tcPr>
            <w:tcW w:w="611" w:type="pct"/>
            <w:vAlign w:val="center"/>
          </w:tcPr>
          <w:p w:rsidR="003663E4" w:rsidRDefault="00FD3F7D">
            <w:pPr>
              <w:spacing w:line="276" w:lineRule="auto"/>
              <w:jc w:val="center"/>
              <w:rPr>
                <w:bCs/>
                <w:color w:val="000000" w:themeColor="text1"/>
                <w:szCs w:val="21"/>
              </w:rPr>
            </w:pPr>
            <w:r>
              <w:rPr>
                <w:bCs/>
                <w:color w:val="000000" w:themeColor="text1"/>
                <w:szCs w:val="21"/>
              </w:rPr>
              <w:t>3</w:t>
            </w:r>
          </w:p>
        </w:tc>
        <w:tc>
          <w:tcPr>
            <w:tcW w:w="610" w:type="pct"/>
            <w:vAlign w:val="center"/>
          </w:tcPr>
          <w:p w:rsidR="003663E4" w:rsidRDefault="00FD3F7D">
            <w:pPr>
              <w:spacing w:line="276" w:lineRule="auto"/>
              <w:jc w:val="right"/>
              <w:rPr>
                <w:bCs/>
                <w:color w:val="000000" w:themeColor="text1"/>
                <w:szCs w:val="21"/>
              </w:rPr>
            </w:pPr>
            <w:r>
              <w:rPr>
                <w:bCs/>
                <w:color w:val="000000" w:themeColor="text1"/>
                <w:szCs w:val="21"/>
              </w:rPr>
              <w:t>255,570,837.61</w:t>
            </w:r>
          </w:p>
        </w:tc>
        <w:tc>
          <w:tcPr>
            <w:tcW w:w="762" w:type="pct"/>
            <w:vAlign w:val="center"/>
          </w:tcPr>
          <w:p w:rsidR="003663E4" w:rsidRDefault="00FD3F7D">
            <w:pPr>
              <w:spacing w:line="276" w:lineRule="auto"/>
              <w:jc w:val="right"/>
              <w:rPr>
                <w:bCs/>
                <w:color w:val="000000" w:themeColor="text1"/>
                <w:szCs w:val="21"/>
              </w:rPr>
            </w:pPr>
            <w:r>
              <w:rPr>
                <w:bCs/>
                <w:color w:val="000000" w:themeColor="text1"/>
                <w:szCs w:val="21"/>
              </w:rPr>
              <w:t>766,712,512.82</w:t>
            </w:r>
          </w:p>
        </w:tc>
        <w:tc>
          <w:tcPr>
            <w:tcW w:w="764" w:type="pct"/>
            <w:vAlign w:val="center"/>
          </w:tcPr>
          <w:p w:rsidR="003663E4" w:rsidRDefault="00FD3F7D">
            <w:pPr>
              <w:spacing w:line="276" w:lineRule="auto"/>
              <w:jc w:val="right"/>
              <w:rPr>
                <w:bCs/>
                <w:color w:val="000000" w:themeColor="text1"/>
                <w:szCs w:val="21"/>
              </w:rPr>
            </w:pPr>
            <w:r>
              <w:rPr>
                <w:bCs/>
                <w:color w:val="000000" w:themeColor="text1"/>
                <w:szCs w:val="21"/>
              </w:rPr>
              <w:t>100.00%</w:t>
            </w:r>
          </w:p>
        </w:tc>
        <w:tc>
          <w:tcPr>
            <w:tcW w:w="761" w:type="pct"/>
            <w:vAlign w:val="center"/>
          </w:tcPr>
          <w:p w:rsidR="003663E4" w:rsidRDefault="00FD3F7D">
            <w:pPr>
              <w:spacing w:line="276" w:lineRule="auto"/>
              <w:jc w:val="right"/>
              <w:rPr>
                <w:bCs/>
                <w:color w:val="000000" w:themeColor="text1"/>
                <w:szCs w:val="21"/>
              </w:rPr>
            </w:pPr>
            <w:r>
              <w:rPr>
                <w:bCs/>
                <w:color w:val="000000" w:themeColor="text1"/>
                <w:szCs w:val="21"/>
              </w:rPr>
              <w:t>-</w:t>
            </w:r>
          </w:p>
        </w:tc>
        <w:tc>
          <w:tcPr>
            <w:tcW w:w="725" w:type="pct"/>
            <w:vAlign w:val="center"/>
          </w:tcPr>
          <w:p w:rsidR="003663E4" w:rsidRDefault="00FD3F7D">
            <w:pPr>
              <w:spacing w:line="276" w:lineRule="auto"/>
              <w:jc w:val="right"/>
              <w:rPr>
                <w:bCs/>
                <w:color w:val="000000" w:themeColor="text1"/>
                <w:szCs w:val="21"/>
              </w:rPr>
            </w:pPr>
            <w:r>
              <w:rPr>
                <w:bCs/>
                <w:color w:val="000000" w:themeColor="text1"/>
                <w:szCs w:val="21"/>
              </w:rPr>
              <w:t>-</w:t>
            </w:r>
          </w:p>
        </w:tc>
      </w:tr>
      <w:tr w:rsidR="003663E4">
        <w:tc>
          <w:tcPr>
            <w:tcW w:w="764" w:type="pct"/>
            <w:vAlign w:val="center"/>
          </w:tcPr>
          <w:p w:rsidR="003663E4" w:rsidRDefault="00FD3F7D">
            <w:pPr>
              <w:spacing w:line="276" w:lineRule="auto"/>
              <w:jc w:val="center"/>
              <w:rPr>
                <w:bCs/>
                <w:color w:val="000000" w:themeColor="text1"/>
                <w:szCs w:val="21"/>
              </w:rPr>
            </w:pPr>
            <w:r>
              <w:rPr>
                <w:bCs/>
                <w:color w:val="000000" w:themeColor="text1"/>
                <w:szCs w:val="21"/>
              </w:rPr>
              <w:t>合计</w:t>
            </w:r>
          </w:p>
        </w:tc>
        <w:tc>
          <w:tcPr>
            <w:tcW w:w="611" w:type="pct"/>
            <w:vAlign w:val="center"/>
          </w:tcPr>
          <w:p w:rsidR="003663E4" w:rsidRDefault="00FD3F7D">
            <w:pPr>
              <w:spacing w:line="276" w:lineRule="auto"/>
              <w:jc w:val="center"/>
              <w:rPr>
                <w:bCs/>
                <w:color w:val="000000" w:themeColor="text1"/>
                <w:szCs w:val="21"/>
              </w:rPr>
            </w:pPr>
            <w:r>
              <w:rPr>
                <w:bCs/>
                <w:color w:val="000000" w:themeColor="text1"/>
                <w:szCs w:val="21"/>
              </w:rPr>
              <w:t>325</w:t>
            </w:r>
          </w:p>
        </w:tc>
        <w:tc>
          <w:tcPr>
            <w:tcW w:w="610" w:type="pct"/>
            <w:vAlign w:val="center"/>
          </w:tcPr>
          <w:p w:rsidR="003663E4" w:rsidRDefault="00FD3F7D">
            <w:pPr>
              <w:spacing w:line="276" w:lineRule="auto"/>
              <w:jc w:val="right"/>
              <w:rPr>
                <w:bCs/>
                <w:color w:val="000000" w:themeColor="text1"/>
                <w:szCs w:val="21"/>
              </w:rPr>
            </w:pPr>
            <w:r>
              <w:rPr>
                <w:bCs/>
                <w:color w:val="000000" w:themeColor="text1"/>
                <w:szCs w:val="21"/>
              </w:rPr>
              <w:t>2,369,412.31</w:t>
            </w:r>
          </w:p>
        </w:tc>
        <w:tc>
          <w:tcPr>
            <w:tcW w:w="762" w:type="pct"/>
            <w:vAlign w:val="center"/>
          </w:tcPr>
          <w:p w:rsidR="003663E4" w:rsidRDefault="00FD3F7D">
            <w:pPr>
              <w:spacing w:line="276" w:lineRule="auto"/>
              <w:jc w:val="right"/>
              <w:rPr>
                <w:bCs/>
                <w:color w:val="000000" w:themeColor="text1"/>
                <w:szCs w:val="21"/>
              </w:rPr>
            </w:pPr>
            <w:r>
              <w:rPr>
                <w:bCs/>
                <w:color w:val="000000" w:themeColor="text1"/>
                <w:szCs w:val="21"/>
              </w:rPr>
              <w:t>766,761,110.56</w:t>
            </w:r>
          </w:p>
        </w:tc>
        <w:tc>
          <w:tcPr>
            <w:tcW w:w="764" w:type="pct"/>
            <w:vAlign w:val="center"/>
          </w:tcPr>
          <w:p w:rsidR="003663E4" w:rsidRDefault="00FD3F7D">
            <w:pPr>
              <w:spacing w:line="276" w:lineRule="auto"/>
              <w:jc w:val="right"/>
              <w:rPr>
                <w:bCs/>
                <w:color w:val="000000" w:themeColor="text1"/>
                <w:szCs w:val="21"/>
              </w:rPr>
            </w:pPr>
            <w:r>
              <w:rPr>
                <w:bCs/>
                <w:color w:val="000000" w:themeColor="text1"/>
                <w:szCs w:val="21"/>
              </w:rPr>
              <w:t>99.57%</w:t>
            </w:r>
          </w:p>
        </w:tc>
        <w:tc>
          <w:tcPr>
            <w:tcW w:w="761" w:type="pct"/>
            <w:vAlign w:val="center"/>
          </w:tcPr>
          <w:p w:rsidR="003663E4" w:rsidRDefault="00FD3F7D">
            <w:pPr>
              <w:spacing w:line="276" w:lineRule="auto"/>
              <w:jc w:val="right"/>
              <w:rPr>
                <w:bCs/>
                <w:color w:val="000000" w:themeColor="text1"/>
                <w:szCs w:val="21"/>
              </w:rPr>
            </w:pPr>
            <w:r>
              <w:rPr>
                <w:bCs/>
                <w:color w:val="000000" w:themeColor="text1"/>
                <w:szCs w:val="21"/>
              </w:rPr>
              <w:t>3,297,890.20</w:t>
            </w:r>
          </w:p>
        </w:tc>
        <w:tc>
          <w:tcPr>
            <w:tcW w:w="725" w:type="pct"/>
            <w:vAlign w:val="center"/>
          </w:tcPr>
          <w:p w:rsidR="003663E4" w:rsidRDefault="00FD3F7D">
            <w:pPr>
              <w:spacing w:line="276" w:lineRule="auto"/>
              <w:jc w:val="right"/>
              <w:rPr>
                <w:bCs/>
                <w:color w:val="000000" w:themeColor="text1"/>
                <w:szCs w:val="21"/>
              </w:rPr>
            </w:pPr>
            <w:r>
              <w:rPr>
                <w:bCs/>
                <w:color w:val="000000" w:themeColor="text1"/>
                <w:szCs w:val="21"/>
              </w:rPr>
              <w:t>0.43%</w:t>
            </w:r>
          </w:p>
        </w:tc>
      </w:tr>
    </w:tbl>
    <w:p w:rsidR="003663E4" w:rsidRDefault="00FD3F7D">
      <w:pPr>
        <w:pStyle w:val="3"/>
        <w:spacing w:beforeLines="50" w:before="156" w:after="0" w:line="360" w:lineRule="auto"/>
        <w:rPr>
          <w:rFonts w:eastAsiaTheme="minorEastAsia"/>
          <w:color w:val="000000" w:themeColor="text1"/>
          <w:kern w:val="0"/>
          <w:sz w:val="21"/>
          <w:szCs w:val="21"/>
        </w:rPr>
      </w:pPr>
      <w:bookmarkStart w:id="291" w:name="_Toc508540331"/>
      <w:bookmarkStart w:id="292" w:name="_Toc23339427"/>
      <w:bookmarkStart w:id="293" w:name="_Toc9234"/>
      <w:r>
        <w:rPr>
          <w:rFonts w:eastAsiaTheme="minorEastAsia"/>
          <w:color w:val="000000" w:themeColor="text1"/>
          <w:kern w:val="0"/>
          <w:sz w:val="21"/>
          <w:szCs w:val="21"/>
        </w:rPr>
        <w:t xml:space="preserve">9.2.2 </w:t>
      </w:r>
      <w:r>
        <w:rPr>
          <w:rFonts w:eastAsiaTheme="minorEastAsia"/>
          <w:color w:val="000000" w:themeColor="text1"/>
          <w:kern w:val="0"/>
          <w:sz w:val="21"/>
          <w:szCs w:val="21"/>
        </w:rPr>
        <w:t>期末基金管理人的从业人员持有本基金的情况</w:t>
      </w:r>
      <w:bookmarkEnd w:id="291"/>
      <w:bookmarkEnd w:id="292"/>
      <w:bookmarkEnd w:id="293"/>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9"/>
        <w:gridCol w:w="2421"/>
        <w:gridCol w:w="2384"/>
        <w:gridCol w:w="1971"/>
      </w:tblGrid>
      <w:tr w:rsidR="003663E4">
        <w:trPr>
          <w:trHeight w:val="285"/>
        </w:trPr>
        <w:tc>
          <w:tcPr>
            <w:tcW w:w="2839" w:type="dxa"/>
            <w:noWrap/>
            <w:vAlign w:val="center"/>
          </w:tcPr>
          <w:p w:rsidR="003663E4" w:rsidRDefault="00FD3F7D">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ind w:firstLine="1075"/>
              <w:jc w:val="center"/>
              <w:rPr>
                <w:rFonts w:ascii="Times New Roman" w:eastAsiaTheme="minorEastAsia" w:hAnsi="Times New Roman" w:cs="Times New Roman"/>
                <w:color w:val="000000" w:themeColor="text1"/>
                <w:kern w:val="2"/>
                <w:sz w:val="21"/>
                <w:szCs w:val="21"/>
              </w:rPr>
            </w:pPr>
            <w:bookmarkStart w:id="294" w:name="_Toc409100095"/>
            <w:bookmarkStart w:id="295" w:name="_Toc409100458"/>
            <w:r>
              <w:rPr>
                <w:rFonts w:ascii="Times New Roman" w:eastAsiaTheme="minorEastAsia" w:hAnsi="Times New Roman" w:cs="Times New Roman"/>
                <w:color w:val="000000" w:themeColor="text1"/>
                <w:kern w:val="2"/>
                <w:sz w:val="21"/>
                <w:szCs w:val="21"/>
              </w:rPr>
              <w:t>项目</w:t>
            </w:r>
          </w:p>
        </w:tc>
        <w:tc>
          <w:tcPr>
            <w:tcW w:w="2421" w:type="dxa"/>
            <w:vAlign w:val="center"/>
          </w:tcPr>
          <w:p w:rsidR="003663E4" w:rsidRDefault="00FD3F7D">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ind w:firstLine="1075"/>
              <w:jc w:val="center"/>
              <w:rPr>
                <w:rFonts w:ascii="Times New Roman" w:eastAsiaTheme="minorEastAsia" w:hAnsi="Times New Roman" w:cs="Times New Roman"/>
                <w:color w:val="000000" w:themeColor="text1"/>
                <w:kern w:val="2"/>
                <w:sz w:val="21"/>
                <w:szCs w:val="21"/>
              </w:rPr>
            </w:pPr>
            <w:r>
              <w:rPr>
                <w:rFonts w:ascii="Times New Roman" w:eastAsiaTheme="minorEastAsia" w:hAnsi="Times New Roman" w:cs="Times New Roman"/>
                <w:color w:val="000000" w:themeColor="text1"/>
                <w:kern w:val="2"/>
                <w:sz w:val="21"/>
                <w:szCs w:val="21"/>
              </w:rPr>
              <w:t>份额级别</w:t>
            </w:r>
          </w:p>
        </w:tc>
        <w:tc>
          <w:tcPr>
            <w:tcW w:w="2384" w:type="dxa"/>
            <w:noWrap/>
            <w:vAlign w:val="center"/>
          </w:tcPr>
          <w:p w:rsidR="003663E4" w:rsidRDefault="00FD3F7D">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ind w:firstLine="1075"/>
              <w:rPr>
                <w:rFonts w:ascii="Times New Roman" w:eastAsiaTheme="minorEastAsia" w:hAnsi="Times New Roman" w:cs="Times New Roman"/>
                <w:color w:val="000000" w:themeColor="text1"/>
                <w:kern w:val="2"/>
                <w:sz w:val="21"/>
                <w:szCs w:val="21"/>
              </w:rPr>
            </w:pPr>
            <w:r>
              <w:rPr>
                <w:rFonts w:ascii="Times New Roman" w:eastAsiaTheme="minorEastAsia" w:hAnsi="Times New Roman" w:cs="Times New Roman"/>
                <w:color w:val="000000" w:themeColor="text1"/>
                <w:kern w:val="2"/>
                <w:sz w:val="21"/>
                <w:szCs w:val="21"/>
              </w:rPr>
              <w:t>持有份额总数（份）</w:t>
            </w:r>
          </w:p>
        </w:tc>
        <w:tc>
          <w:tcPr>
            <w:tcW w:w="1971" w:type="dxa"/>
            <w:noWrap/>
            <w:vAlign w:val="center"/>
          </w:tcPr>
          <w:p w:rsidR="003663E4" w:rsidRDefault="00FD3F7D">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ind w:firstLine="1075"/>
              <w:rPr>
                <w:rFonts w:ascii="Times New Roman" w:eastAsiaTheme="minorEastAsia" w:hAnsi="Times New Roman" w:cs="Times New Roman"/>
                <w:color w:val="000000" w:themeColor="text1"/>
                <w:kern w:val="2"/>
                <w:sz w:val="21"/>
                <w:szCs w:val="21"/>
              </w:rPr>
            </w:pPr>
            <w:r>
              <w:rPr>
                <w:rFonts w:ascii="Times New Roman" w:eastAsiaTheme="minorEastAsia" w:hAnsi="Times New Roman" w:cs="Times New Roman"/>
                <w:color w:val="000000" w:themeColor="text1"/>
                <w:kern w:val="2"/>
                <w:sz w:val="21"/>
                <w:szCs w:val="21"/>
              </w:rPr>
              <w:t>占基金总份额比例</w:t>
            </w:r>
          </w:p>
        </w:tc>
      </w:tr>
      <w:tr w:rsidR="003663E4">
        <w:trPr>
          <w:trHeight w:val="285"/>
        </w:trPr>
        <w:tc>
          <w:tcPr>
            <w:tcW w:w="2839" w:type="dxa"/>
            <w:vMerge w:val="restart"/>
            <w:noWrap/>
            <w:vAlign w:val="center"/>
          </w:tcPr>
          <w:p w:rsidR="003663E4" w:rsidRDefault="00FD3F7D">
            <w:pPr>
              <w:spacing w:line="360" w:lineRule="auto"/>
              <w:rPr>
                <w:rFonts w:eastAsiaTheme="minorEastAsia"/>
                <w:color w:val="000000" w:themeColor="text1"/>
                <w:szCs w:val="21"/>
              </w:rPr>
            </w:pPr>
            <w:r>
              <w:rPr>
                <w:rFonts w:eastAsiaTheme="minorEastAsia"/>
                <w:color w:val="000000" w:themeColor="text1"/>
                <w:szCs w:val="21"/>
              </w:rPr>
              <w:t>基金管理人所有从业人员持有本基金</w:t>
            </w:r>
          </w:p>
        </w:tc>
        <w:tc>
          <w:tcPr>
            <w:tcW w:w="2421" w:type="dxa"/>
            <w:vAlign w:val="center"/>
          </w:tcPr>
          <w:p w:rsidR="003663E4" w:rsidRDefault="00FD3F7D">
            <w:pPr>
              <w:spacing w:line="360" w:lineRule="auto"/>
              <w:jc w:val="right"/>
              <w:rPr>
                <w:rFonts w:eastAsiaTheme="minorEastAsia"/>
                <w:color w:val="000000" w:themeColor="text1"/>
                <w:kern w:val="0"/>
                <w:szCs w:val="21"/>
              </w:rPr>
            </w:pPr>
            <w:r>
              <w:rPr>
                <w:rFonts w:eastAsiaTheme="minorEastAsia"/>
                <w:color w:val="000000" w:themeColor="text1"/>
                <w:szCs w:val="21"/>
              </w:rPr>
              <w:t>交银理财</w:t>
            </w:r>
            <w:r>
              <w:rPr>
                <w:rFonts w:eastAsiaTheme="minorEastAsia"/>
                <w:color w:val="000000" w:themeColor="text1"/>
                <w:szCs w:val="21"/>
              </w:rPr>
              <w:t>60</w:t>
            </w:r>
            <w:r>
              <w:rPr>
                <w:rFonts w:eastAsiaTheme="minorEastAsia"/>
                <w:color w:val="000000" w:themeColor="text1"/>
                <w:szCs w:val="21"/>
              </w:rPr>
              <w:t>天债券</w:t>
            </w:r>
            <w:r>
              <w:rPr>
                <w:rFonts w:eastAsiaTheme="minorEastAsia"/>
                <w:color w:val="000000" w:themeColor="text1"/>
                <w:szCs w:val="21"/>
              </w:rPr>
              <w:t>A</w:t>
            </w:r>
          </w:p>
        </w:tc>
        <w:tc>
          <w:tcPr>
            <w:tcW w:w="2384" w:type="dxa"/>
            <w:noWrap/>
            <w:vAlign w:val="center"/>
          </w:tcPr>
          <w:p w:rsidR="003663E4" w:rsidRDefault="00FD3F7D">
            <w:pPr>
              <w:widowControl/>
              <w:spacing w:line="360" w:lineRule="auto"/>
              <w:jc w:val="right"/>
              <w:rPr>
                <w:rFonts w:eastAsiaTheme="minorEastAsia"/>
                <w:color w:val="000000" w:themeColor="text1"/>
                <w:kern w:val="0"/>
                <w:szCs w:val="21"/>
              </w:rPr>
            </w:pPr>
            <w:r>
              <w:rPr>
                <w:rFonts w:eastAsiaTheme="minorEastAsia"/>
                <w:color w:val="000000" w:themeColor="text1"/>
                <w:szCs w:val="21"/>
              </w:rPr>
              <w:t>1,925.22</w:t>
            </w:r>
          </w:p>
        </w:tc>
        <w:tc>
          <w:tcPr>
            <w:tcW w:w="1971" w:type="dxa"/>
            <w:noWrap/>
            <w:vAlign w:val="center"/>
          </w:tcPr>
          <w:p w:rsidR="003663E4" w:rsidRDefault="00FD3F7D">
            <w:pPr>
              <w:widowControl/>
              <w:spacing w:line="360" w:lineRule="auto"/>
              <w:jc w:val="right"/>
              <w:rPr>
                <w:rFonts w:eastAsiaTheme="minorEastAsia"/>
                <w:color w:val="000000" w:themeColor="text1"/>
                <w:kern w:val="0"/>
                <w:szCs w:val="21"/>
              </w:rPr>
            </w:pPr>
            <w:r>
              <w:rPr>
                <w:rFonts w:eastAsiaTheme="minorEastAsia"/>
                <w:color w:val="000000" w:themeColor="text1"/>
                <w:szCs w:val="21"/>
              </w:rPr>
              <w:t>0.06%</w:t>
            </w:r>
          </w:p>
        </w:tc>
      </w:tr>
      <w:tr w:rsidR="003663E4">
        <w:trPr>
          <w:trHeight w:val="285"/>
        </w:trPr>
        <w:tc>
          <w:tcPr>
            <w:tcW w:w="2839" w:type="dxa"/>
            <w:vMerge/>
            <w:vAlign w:val="center"/>
          </w:tcPr>
          <w:p w:rsidR="003663E4" w:rsidRDefault="003663E4">
            <w:pPr>
              <w:widowControl/>
              <w:spacing w:line="360" w:lineRule="auto"/>
              <w:jc w:val="left"/>
              <w:rPr>
                <w:rFonts w:eastAsiaTheme="minorEastAsia"/>
                <w:color w:val="000000" w:themeColor="text1"/>
                <w:szCs w:val="21"/>
              </w:rPr>
            </w:pPr>
          </w:p>
        </w:tc>
        <w:tc>
          <w:tcPr>
            <w:tcW w:w="2421" w:type="dxa"/>
            <w:vAlign w:val="center"/>
          </w:tcPr>
          <w:p w:rsidR="003663E4" w:rsidRDefault="00FD3F7D">
            <w:pPr>
              <w:spacing w:line="360" w:lineRule="auto"/>
              <w:jc w:val="right"/>
              <w:rPr>
                <w:rFonts w:eastAsiaTheme="minorEastAsia"/>
                <w:color w:val="000000" w:themeColor="text1"/>
                <w:kern w:val="0"/>
                <w:szCs w:val="21"/>
              </w:rPr>
            </w:pPr>
            <w:r>
              <w:rPr>
                <w:rFonts w:eastAsiaTheme="minorEastAsia"/>
                <w:color w:val="000000" w:themeColor="text1"/>
                <w:szCs w:val="21"/>
              </w:rPr>
              <w:t>交银理财</w:t>
            </w:r>
            <w:r>
              <w:rPr>
                <w:rFonts w:eastAsiaTheme="minorEastAsia"/>
                <w:color w:val="000000" w:themeColor="text1"/>
                <w:szCs w:val="21"/>
              </w:rPr>
              <w:t>60</w:t>
            </w:r>
            <w:r>
              <w:rPr>
                <w:rFonts w:eastAsiaTheme="minorEastAsia"/>
                <w:color w:val="000000" w:themeColor="text1"/>
                <w:szCs w:val="21"/>
              </w:rPr>
              <w:t>天债券</w:t>
            </w:r>
            <w:r>
              <w:rPr>
                <w:rFonts w:eastAsiaTheme="minorEastAsia"/>
                <w:color w:val="000000" w:themeColor="text1"/>
                <w:szCs w:val="21"/>
              </w:rPr>
              <w:t>B</w:t>
            </w:r>
          </w:p>
        </w:tc>
        <w:tc>
          <w:tcPr>
            <w:tcW w:w="2384" w:type="dxa"/>
            <w:noWrap/>
            <w:vAlign w:val="center"/>
          </w:tcPr>
          <w:p w:rsidR="003663E4" w:rsidRDefault="00FD3F7D">
            <w:pPr>
              <w:widowControl/>
              <w:spacing w:line="360" w:lineRule="auto"/>
              <w:jc w:val="right"/>
              <w:rPr>
                <w:rFonts w:eastAsiaTheme="minorEastAsia"/>
                <w:color w:val="000000" w:themeColor="text1"/>
                <w:kern w:val="0"/>
                <w:szCs w:val="21"/>
              </w:rPr>
            </w:pPr>
            <w:r>
              <w:rPr>
                <w:rFonts w:eastAsiaTheme="minorEastAsia"/>
                <w:color w:val="000000" w:themeColor="text1"/>
                <w:szCs w:val="21"/>
              </w:rPr>
              <w:t>0.00</w:t>
            </w:r>
          </w:p>
        </w:tc>
        <w:tc>
          <w:tcPr>
            <w:tcW w:w="1971" w:type="dxa"/>
            <w:noWrap/>
            <w:vAlign w:val="center"/>
          </w:tcPr>
          <w:p w:rsidR="003663E4" w:rsidRDefault="00FD3F7D">
            <w:pPr>
              <w:widowControl/>
              <w:spacing w:line="360" w:lineRule="auto"/>
              <w:jc w:val="right"/>
              <w:rPr>
                <w:rFonts w:eastAsiaTheme="minorEastAsia"/>
                <w:color w:val="000000" w:themeColor="text1"/>
                <w:kern w:val="0"/>
                <w:szCs w:val="21"/>
              </w:rPr>
            </w:pPr>
            <w:r>
              <w:rPr>
                <w:rFonts w:eastAsiaTheme="minorEastAsia"/>
                <w:color w:val="000000" w:themeColor="text1"/>
                <w:szCs w:val="21"/>
              </w:rPr>
              <w:t>0.00%</w:t>
            </w:r>
          </w:p>
        </w:tc>
      </w:tr>
      <w:tr w:rsidR="003663E4">
        <w:trPr>
          <w:trHeight w:val="285"/>
        </w:trPr>
        <w:tc>
          <w:tcPr>
            <w:tcW w:w="2839" w:type="dxa"/>
            <w:vMerge/>
            <w:vAlign w:val="center"/>
          </w:tcPr>
          <w:p w:rsidR="003663E4" w:rsidRDefault="003663E4">
            <w:pPr>
              <w:widowControl/>
              <w:spacing w:line="360" w:lineRule="auto"/>
              <w:jc w:val="left"/>
              <w:rPr>
                <w:rFonts w:eastAsiaTheme="minorEastAsia"/>
                <w:color w:val="000000" w:themeColor="text1"/>
                <w:szCs w:val="21"/>
              </w:rPr>
            </w:pPr>
          </w:p>
        </w:tc>
        <w:tc>
          <w:tcPr>
            <w:tcW w:w="2421" w:type="dxa"/>
            <w:vAlign w:val="center"/>
          </w:tcPr>
          <w:p w:rsidR="003663E4" w:rsidRDefault="00FD3F7D">
            <w:pPr>
              <w:widowControl/>
              <w:spacing w:line="360" w:lineRule="auto"/>
              <w:jc w:val="center"/>
              <w:rPr>
                <w:rFonts w:eastAsiaTheme="minorEastAsia"/>
                <w:color w:val="000000" w:themeColor="text1"/>
                <w:kern w:val="0"/>
                <w:szCs w:val="21"/>
              </w:rPr>
            </w:pPr>
            <w:r>
              <w:rPr>
                <w:rFonts w:eastAsiaTheme="minorEastAsia"/>
                <w:color w:val="000000" w:themeColor="text1"/>
                <w:kern w:val="0"/>
                <w:szCs w:val="21"/>
              </w:rPr>
              <w:t>合计</w:t>
            </w:r>
          </w:p>
        </w:tc>
        <w:tc>
          <w:tcPr>
            <w:tcW w:w="2384" w:type="dxa"/>
            <w:noWrap/>
            <w:vAlign w:val="center"/>
          </w:tcPr>
          <w:p w:rsidR="003663E4" w:rsidRDefault="00FD3F7D">
            <w:pPr>
              <w:widowControl/>
              <w:spacing w:line="360" w:lineRule="auto"/>
              <w:jc w:val="right"/>
              <w:rPr>
                <w:rFonts w:eastAsiaTheme="minorEastAsia"/>
                <w:color w:val="000000" w:themeColor="text1"/>
                <w:kern w:val="0"/>
                <w:szCs w:val="21"/>
              </w:rPr>
            </w:pPr>
            <w:r>
              <w:rPr>
                <w:rFonts w:eastAsiaTheme="minorEastAsia"/>
                <w:color w:val="000000" w:themeColor="text1"/>
                <w:szCs w:val="21"/>
              </w:rPr>
              <w:t>1,925.22</w:t>
            </w:r>
          </w:p>
        </w:tc>
        <w:tc>
          <w:tcPr>
            <w:tcW w:w="1971" w:type="dxa"/>
            <w:noWrap/>
            <w:vAlign w:val="center"/>
          </w:tcPr>
          <w:p w:rsidR="003663E4" w:rsidRDefault="00FD3F7D">
            <w:pPr>
              <w:widowControl/>
              <w:spacing w:line="360" w:lineRule="auto"/>
              <w:jc w:val="right"/>
              <w:rPr>
                <w:rFonts w:eastAsiaTheme="minorEastAsia"/>
                <w:color w:val="000000" w:themeColor="text1"/>
                <w:kern w:val="0"/>
                <w:szCs w:val="21"/>
              </w:rPr>
            </w:pPr>
            <w:r>
              <w:rPr>
                <w:rFonts w:eastAsiaTheme="minorEastAsia"/>
                <w:color w:val="000000" w:themeColor="text1"/>
                <w:szCs w:val="21"/>
              </w:rPr>
              <w:t>0.00%</w:t>
            </w:r>
          </w:p>
        </w:tc>
      </w:tr>
    </w:tbl>
    <w:p w:rsidR="003663E4" w:rsidRDefault="00FD3F7D">
      <w:pPr>
        <w:pStyle w:val="3"/>
        <w:spacing w:beforeLines="50" w:before="156" w:after="0" w:line="360" w:lineRule="auto"/>
        <w:rPr>
          <w:color w:val="000000" w:themeColor="text1"/>
          <w:kern w:val="0"/>
          <w:sz w:val="21"/>
          <w:szCs w:val="21"/>
        </w:rPr>
      </w:pPr>
      <w:bookmarkStart w:id="296" w:name="_Toc508540332"/>
      <w:bookmarkStart w:id="297" w:name="_Toc23339428"/>
      <w:bookmarkStart w:id="298" w:name="_Toc24629"/>
      <w:r>
        <w:rPr>
          <w:color w:val="000000" w:themeColor="text1"/>
          <w:kern w:val="0"/>
          <w:sz w:val="21"/>
          <w:szCs w:val="21"/>
        </w:rPr>
        <w:t>9.2.3</w:t>
      </w:r>
      <w:r>
        <w:rPr>
          <w:rFonts w:hint="eastAsia"/>
          <w:color w:val="000000" w:themeColor="text1"/>
          <w:kern w:val="0"/>
          <w:sz w:val="21"/>
          <w:szCs w:val="21"/>
        </w:rPr>
        <w:t xml:space="preserve"> </w:t>
      </w:r>
      <w:r>
        <w:rPr>
          <w:color w:val="000000" w:themeColor="text1"/>
          <w:kern w:val="0"/>
          <w:sz w:val="21"/>
          <w:szCs w:val="21"/>
        </w:rPr>
        <w:t>期末基金管理人的从业人员持有本开放式基金份额总量区间情况</w:t>
      </w:r>
      <w:bookmarkEnd w:id="294"/>
      <w:bookmarkEnd w:id="295"/>
      <w:bookmarkEnd w:id="296"/>
      <w:bookmarkEnd w:id="297"/>
      <w:bookmarkEnd w:id="298"/>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48"/>
        <w:gridCol w:w="2424"/>
        <w:gridCol w:w="4526"/>
      </w:tblGrid>
      <w:tr w:rsidR="003663E4">
        <w:trPr>
          <w:trHeight w:val="285"/>
        </w:trPr>
        <w:tc>
          <w:tcPr>
            <w:tcW w:w="2548" w:type="dxa"/>
            <w:shd w:val="clear" w:color="auto" w:fill="auto"/>
            <w:tcMar>
              <w:top w:w="0" w:type="dxa"/>
              <w:left w:w="108" w:type="dxa"/>
              <w:bottom w:w="0" w:type="dxa"/>
              <w:right w:w="108" w:type="dxa"/>
            </w:tcMar>
            <w:vAlign w:val="center"/>
          </w:tcPr>
          <w:p w:rsidR="003663E4" w:rsidRDefault="00FD3F7D">
            <w:pPr>
              <w:widowControl/>
              <w:jc w:val="center"/>
              <w:rPr>
                <w:color w:val="000000" w:themeColor="text1"/>
                <w:kern w:val="0"/>
                <w:szCs w:val="21"/>
              </w:rPr>
            </w:pPr>
            <w:r>
              <w:rPr>
                <w:color w:val="000000" w:themeColor="text1"/>
                <w:kern w:val="0"/>
                <w:szCs w:val="21"/>
              </w:rPr>
              <w:t>项目</w:t>
            </w:r>
          </w:p>
        </w:tc>
        <w:tc>
          <w:tcPr>
            <w:tcW w:w="2424" w:type="dxa"/>
            <w:shd w:val="clear" w:color="auto" w:fill="auto"/>
            <w:tcMar>
              <w:top w:w="0" w:type="dxa"/>
              <w:left w:w="108" w:type="dxa"/>
              <w:bottom w:w="0" w:type="dxa"/>
              <w:right w:w="108" w:type="dxa"/>
            </w:tcMar>
            <w:vAlign w:val="center"/>
          </w:tcPr>
          <w:p w:rsidR="003663E4" w:rsidRDefault="00FD3F7D">
            <w:pPr>
              <w:widowControl/>
              <w:jc w:val="center"/>
              <w:rPr>
                <w:color w:val="000000" w:themeColor="text1"/>
                <w:kern w:val="0"/>
                <w:szCs w:val="21"/>
              </w:rPr>
            </w:pPr>
            <w:r>
              <w:rPr>
                <w:color w:val="000000" w:themeColor="text1"/>
                <w:kern w:val="0"/>
                <w:szCs w:val="21"/>
              </w:rPr>
              <w:t>份额级别</w:t>
            </w:r>
          </w:p>
        </w:tc>
        <w:tc>
          <w:tcPr>
            <w:tcW w:w="4526" w:type="dxa"/>
            <w:shd w:val="clear" w:color="auto" w:fill="auto"/>
            <w:tcMar>
              <w:top w:w="0" w:type="dxa"/>
              <w:left w:w="108" w:type="dxa"/>
              <w:bottom w:w="0" w:type="dxa"/>
              <w:right w:w="108" w:type="dxa"/>
            </w:tcMar>
            <w:vAlign w:val="center"/>
          </w:tcPr>
          <w:p w:rsidR="003663E4" w:rsidRDefault="00FD3F7D">
            <w:pPr>
              <w:widowControl/>
              <w:jc w:val="center"/>
              <w:rPr>
                <w:color w:val="000000" w:themeColor="text1"/>
                <w:kern w:val="0"/>
                <w:szCs w:val="21"/>
              </w:rPr>
            </w:pPr>
            <w:r>
              <w:rPr>
                <w:color w:val="000000" w:themeColor="text1"/>
                <w:kern w:val="0"/>
                <w:szCs w:val="21"/>
              </w:rPr>
              <w:t>持有基金份额总量的数量区间（万份）</w:t>
            </w:r>
          </w:p>
        </w:tc>
      </w:tr>
      <w:tr w:rsidR="003663E4">
        <w:trPr>
          <w:trHeight w:val="285"/>
        </w:trPr>
        <w:tc>
          <w:tcPr>
            <w:tcW w:w="2548" w:type="dxa"/>
            <w:vMerge w:val="restart"/>
            <w:shd w:val="clear" w:color="auto" w:fill="auto"/>
            <w:tcMar>
              <w:top w:w="0" w:type="dxa"/>
              <w:left w:w="108" w:type="dxa"/>
              <w:bottom w:w="0" w:type="dxa"/>
              <w:right w:w="108" w:type="dxa"/>
            </w:tcMar>
            <w:vAlign w:val="center"/>
          </w:tcPr>
          <w:p w:rsidR="003663E4" w:rsidRDefault="00FD3F7D">
            <w:pPr>
              <w:widowControl/>
              <w:jc w:val="left"/>
              <w:rPr>
                <w:color w:val="000000" w:themeColor="text1"/>
                <w:kern w:val="0"/>
                <w:szCs w:val="21"/>
              </w:rPr>
            </w:pPr>
            <w:r>
              <w:rPr>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tcPr>
          <w:p w:rsidR="003663E4" w:rsidRDefault="00FD3F7D">
            <w:pPr>
              <w:widowControl/>
              <w:jc w:val="center"/>
              <w:rPr>
                <w:color w:val="000000" w:themeColor="text1"/>
                <w:kern w:val="0"/>
                <w:szCs w:val="21"/>
              </w:rPr>
            </w:pPr>
            <w:r>
              <w:rPr>
                <w:color w:val="000000" w:themeColor="text1"/>
                <w:szCs w:val="21"/>
              </w:rPr>
              <w:t>交银理财</w:t>
            </w:r>
            <w:r>
              <w:rPr>
                <w:color w:val="000000" w:themeColor="text1"/>
                <w:szCs w:val="21"/>
              </w:rPr>
              <w:t>60</w:t>
            </w:r>
            <w:r>
              <w:rPr>
                <w:color w:val="000000" w:themeColor="text1"/>
                <w:szCs w:val="21"/>
              </w:rPr>
              <w:t>天债券</w:t>
            </w:r>
            <w:r>
              <w:rPr>
                <w:color w:val="000000" w:themeColor="text1"/>
                <w:szCs w:val="21"/>
              </w:rPr>
              <w:t>A</w:t>
            </w:r>
          </w:p>
        </w:tc>
        <w:tc>
          <w:tcPr>
            <w:tcW w:w="4526" w:type="dxa"/>
            <w:shd w:val="clear" w:color="auto" w:fill="auto"/>
            <w:tcMar>
              <w:top w:w="0" w:type="dxa"/>
              <w:left w:w="108" w:type="dxa"/>
              <w:bottom w:w="0" w:type="dxa"/>
              <w:right w:w="108" w:type="dxa"/>
            </w:tcMar>
            <w:vAlign w:val="center"/>
          </w:tcPr>
          <w:p w:rsidR="003663E4" w:rsidRDefault="00FD3F7D">
            <w:pPr>
              <w:widowControl/>
              <w:jc w:val="center"/>
              <w:rPr>
                <w:color w:val="000000" w:themeColor="text1"/>
                <w:kern w:val="0"/>
                <w:szCs w:val="21"/>
              </w:rPr>
            </w:pPr>
            <w:r>
              <w:rPr>
                <w:color w:val="000000" w:themeColor="text1"/>
                <w:szCs w:val="21"/>
              </w:rPr>
              <w:t>0~10</w:t>
            </w:r>
          </w:p>
        </w:tc>
      </w:tr>
      <w:tr w:rsidR="003663E4">
        <w:trPr>
          <w:trHeight w:val="285"/>
        </w:trPr>
        <w:tc>
          <w:tcPr>
            <w:tcW w:w="2548" w:type="dxa"/>
            <w:vMerge/>
            <w:shd w:val="clear" w:color="auto" w:fill="auto"/>
            <w:vAlign w:val="center"/>
          </w:tcPr>
          <w:p w:rsidR="003663E4" w:rsidRDefault="003663E4">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tcPr>
          <w:p w:rsidR="003663E4" w:rsidRDefault="00FD3F7D">
            <w:pPr>
              <w:widowControl/>
              <w:jc w:val="center"/>
              <w:rPr>
                <w:color w:val="000000" w:themeColor="text1"/>
                <w:kern w:val="0"/>
                <w:szCs w:val="21"/>
              </w:rPr>
            </w:pPr>
            <w:r>
              <w:rPr>
                <w:color w:val="000000" w:themeColor="text1"/>
                <w:szCs w:val="21"/>
              </w:rPr>
              <w:t>交银理财</w:t>
            </w:r>
            <w:r>
              <w:rPr>
                <w:color w:val="000000" w:themeColor="text1"/>
                <w:szCs w:val="21"/>
              </w:rPr>
              <w:t>60</w:t>
            </w:r>
            <w:r>
              <w:rPr>
                <w:color w:val="000000" w:themeColor="text1"/>
                <w:szCs w:val="21"/>
              </w:rPr>
              <w:t>天债券</w:t>
            </w:r>
            <w:r>
              <w:rPr>
                <w:color w:val="000000" w:themeColor="text1"/>
                <w:szCs w:val="21"/>
              </w:rPr>
              <w:t>B</w:t>
            </w:r>
          </w:p>
        </w:tc>
        <w:tc>
          <w:tcPr>
            <w:tcW w:w="4526" w:type="dxa"/>
            <w:shd w:val="clear" w:color="auto" w:fill="auto"/>
            <w:tcMar>
              <w:top w:w="0" w:type="dxa"/>
              <w:left w:w="108" w:type="dxa"/>
              <w:bottom w:w="0" w:type="dxa"/>
              <w:right w:w="108" w:type="dxa"/>
            </w:tcMar>
            <w:vAlign w:val="center"/>
          </w:tcPr>
          <w:p w:rsidR="003663E4" w:rsidRDefault="00FD3F7D">
            <w:pPr>
              <w:widowControl/>
              <w:jc w:val="center"/>
              <w:rPr>
                <w:color w:val="000000" w:themeColor="text1"/>
                <w:kern w:val="0"/>
                <w:szCs w:val="21"/>
              </w:rPr>
            </w:pPr>
            <w:r>
              <w:rPr>
                <w:color w:val="000000" w:themeColor="text1"/>
                <w:szCs w:val="21"/>
              </w:rPr>
              <w:t>0</w:t>
            </w:r>
          </w:p>
        </w:tc>
      </w:tr>
      <w:tr w:rsidR="003663E4">
        <w:trPr>
          <w:trHeight w:val="285"/>
        </w:trPr>
        <w:tc>
          <w:tcPr>
            <w:tcW w:w="2548" w:type="dxa"/>
            <w:vMerge/>
            <w:shd w:val="clear" w:color="auto" w:fill="auto"/>
            <w:vAlign w:val="center"/>
          </w:tcPr>
          <w:p w:rsidR="003663E4" w:rsidRDefault="003663E4">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tcPr>
          <w:p w:rsidR="003663E4" w:rsidRDefault="00FD3F7D">
            <w:pPr>
              <w:widowControl/>
              <w:jc w:val="center"/>
              <w:rPr>
                <w:color w:val="000000" w:themeColor="text1"/>
                <w:kern w:val="0"/>
                <w:szCs w:val="21"/>
              </w:rPr>
            </w:pPr>
            <w:r>
              <w:rPr>
                <w:color w:val="000000" w:themeColor="text1"/>
                <w:kern w:val="0"/>
                <w:szCs w:val="21"/>
              </w:rPr>
              <w:t>合计</w:t>
            </w:r>
          </w:p>
        </w:tc>
        <w:tc>
          <w:tcPr>
            <w:tcW w:w="4526" w:type="dxa"/>
            <w:shd w:val="clear" w:color="auto" w:fill="auto"/>
            <w:tcMar>
              <w:top w:w="0" w:type="dxa"/>
              <w:left w:w="108" w:type="dxa"/>
              <w:bottom w:w="0" w:type="dxa"/>
              <w:right w:w="108" w:type="dxa"/>
            </w:tcMar>
            <w:vAlign w:val="center"/>
          </w:tcPr>
          <w:p w:rsidR="003663E4" w:rsidRDefault="00FD3F7D">
            <w:pPr>
              <w:widowControl/>
              <w:jc w:val="center"/>
              <w:rPr>
                <w:color w:val="000000" w:themeColor="text1"/>
                <w:kern w:val="0"/>
                <w:szCs w:val="21"/>
              </w:rPr>
            </w:pPr>
            <w:r>
              <w:rPr>
                <w:color w:val="000000" w:themeColor="text1"/>
                <w:kern w:val="0"/>
                <w:szCs w:val="21"/>
              </w:rPr>
              <w:t>0~10</w:t>
            </w:r>
          </w:p>
        </w:tc>
      </w:tr>
      <w:tr w:rsidR="003663E4">
        <w:trPr>
          <w:trHeight w:val="285"/>
        </w:trPr>
        <w:tc>
          <w:tcPr>
            <w:tcW w:w="2548" w:type="dxa"/>
            <w:vMerge w:val="restart"/>
            <w:shd w:val="clear" w:color="auto" w:fill="auto"/>
            <w:tcMar>
              <w:top w:w="0" w:type="dxa"/>
              <w:left w:w="108" w:type="dxa"/>
              <w:bottom w:w="0" w:type="dxa"/>
              <w:right w:w="108" w:type="dxa"/>
            </w:tcMar>
            <w:vAlign w:val="center"/>
          </w:tcPr>
          <w:p w:rsidR="003663E4" w:rsidRDefault="00FD3F7D">
            <w:pPr>
              <w:widowControl/>
              <w:jc w:val="left"/>
              <w:rPr>
                <w:color w:val="000000" w:themeColor="text1"/>
                <w:kern w:val="0"/>
                <w:szCs w:val="21"/>
              </w:rPr>
            </w:pPr>
            <w:r>
              <w:rPr>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tcPr>
          <w:p w:rsidR="003663E4" w:rsidRDefault="00FD3F7D">
            <w:pPr>
              <w:widowControl/>
              <w:jc w:val="center"/>
              <w:rPr>
                <w:color w:val="000000" w:themeColor="text1"/>
                <w:kern w:val="0"/>
                <w:szCs w:val="21"/>
              </w:rPr>
            </w:pPr>
            <w:r>
              <w:rPr>
                <w:color w:val="000000" w:themeColor="text1"/>
                <w:szCs w:val="21"/>
              </w:rPr>
              <w:t>交银理财</w:t>
            </w:r>
            <w:r>
              <w:rPr>
                <w:color w:val="000000" w:themeColor="text1"/>
                <w:szCs w:val="21"/>
              </w:rPr>
              <w:t>60</w:t>
            </w:r>
            <w:r>
              <w:rPr>
                <w:color w:val="000000" w:themeColor="text1"/>
                <w:szCs w:val="21"/>
              </w:rPr>
              <w:t>天债券</w:t>
            </w:r>
            <w:r>
              <w:rPr>
                <w:color w:val="000000" w:themeColor="text1"/>
                <w:szCs w:val="21"/>
              </w:rPr>
              <w:t>A</w:t>
            </w:r>
          </w:p>
        </w:tc>
        <w:tc>
          <w:tcPr>
            <w:tcW w:w="4526" w:type="dxa"/>
            <w:shd w:val="clear" w:color="auto" w:fill="auto"/>
            <w:tcMar>
              <w:top w:w="0" w:type="dxa"/>
              <w:left w:w="108" w:type="dxa"/>
              <w:bottom w:w="0" w:type="dxa"/>
              <w:right w:w="108" w:type="dxa"/>
            </w:tcMar>
            <w:vAlign w:val="center"/>
          </w:tcPr>
          <w:p w:rsidR="003663E4" w:rsidRDefault="00FD3F7D">
            <w:pPr>
              <w:widowControl/>
              <w:jc w:val="center"/>
              <w:rPr>
                <w:color w:val="000000" w:themeColor="text1"/>
                <w:kern w:val="0"/>
                <w:szCs w:val="21"/>
              </w:rPr>
            </w:pPr>
            <w:r>
              <w:rPr>
                <w:color w:val="000000" w:themeColor="text1"/>
                <w:szCs w:val="21"/>
              </w:rPr>
              <w:t>0~10</w:t>
            </w:r>
          </w:p>
        </w:tc>
      </w:tr>
      <w:tr w:rsidR="003663E4">
        <w:trPr>
          <w:trHeight w:val="525"/>
        </w:trPr>
        <w:tc>
          <w:tcPr>
            <w:tcW w:w="2548" w:type="dxa"/>
            <w:vMerge/>
            <w:shd w:val="clear" w:color="auto" w:fill="auto"/>
            <w:vAlign w:val="center"/>
          </w:tcPr>
          <w:p w:rsidR="003663E4" w:rsidRDefault="003663E4">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tcPr>
          <w:p w:rsidR="003663E4" w:rsidRDefault="00FD3F7D">
            <w:pPr>
              <w:widowControl/>
              <w:jc w:val="center"/>
              <w:rPr>
                <w:color w:val="000000" w:themeColor="text1"/>
                <w:kern w:val="0"/>
                <w:szCs w:val="21"/>
              </w:rPr>
            </w:pPr>
            <w:r>
              <w:rPr>
                <w:color w:val="000000" w:themeColor="text1"/>
                <w:szCs w:val="21"/>
              </w:rPr>
              <w:t>交银理财</w:t>
            </w:r>
            <w:r>
              <w:rPr>
                <w:color w:val="000000" w:themeColor="text1"/>
                <w:szCs w:val="21"/>
              </w:rPr>
              <w:t>60</w:t>
            </w:r>
            <w:r>
              <w:rPr>
                <w:color w:val="000000" w:themeColor="text1"/>
                <w:szCs w:val="21"/>
              </w:rPr>
              <w:t>天债券</w:t>
            </w:r>
            <w:r>
              <w:rPr>
                <w:color w:val="000000" w:themeColor="text1"/>
                <w:szCs w:val="21"/>
              </w:rPr>
              <w:t>B</w:t>
            </w:r>
          </w:p>
        </w:tc>
        <w:tc>
          <w:tcPr>
            <w:tcW w:w="4526" w:type="dxa"/>
            <w:shd w:val="clear" w:color="auto" w:fill="auto"/>
            <w:tcMar>
              <w:top w:w="0" w:type="dxa"/>
              <w:left w:w="108" w:type="dxa"/>
              <w:bottom w:w="0" w:type="dxa"/>
              <w:right w:w="108" w:type="dxa"/>
            </w:tcMar>
            <w:vAlign w:val="center"/>
          </w:tcPr>
          <w:p w:rsidR="003663E4" w:rsidRDefault="00FD3F7D">
            <w:pPr>
              <w:widowControl/>
              <w:jc w:val="center"/>
              <w:rPr>
                <w:color w:val="000000" w:themeColor="text1"/>
                <w:kern w:val="0"/>
                <w:szCs w:val="21"/>
              </w:rPr>
            </w:pPr>
            <w:r>
              <w:rPr>
                <w:color w:val="000000" w:themeColor="text1"/>
                <w:szCs w:val="21"/>
              </w:rPr>
              <w:t>0</w:t>
            </w:r>
          </w:p>
        </w:tc>
      </w:tr>
      <w:tr w:rsidR="003663E4">
        <w:trPr>
          <w:trHeight w:val="653"/>
        </w:trPr>
        <w:tc>
          <w:tcPr>
            <w:tcW w:w="2548" w:type="dxa"/>
            <w:vMerge/>
            <w:shd w:val="clear" w:color="auto" w:fill="auto"/>
            <w:vAlign w:val="center"/>
          </w:tcPr>
          <w:p w:rsidR="003663E4" w:rsidRDefault="003663E4">
            <w:pPr>
              <w:widowControl/>
              <w:jc w:val="left"/>
              <w:rPr>
                <w:color w:val="000000" w:themeColor="text1"/>
                <w:kern w:val="0"/>
                <w:szCs w:val="21"/>
              </w:rPr>
            </w:pPr>
          </w:p>
        </w:tc>
        <w:tc>
          <w:tcPr>
            <w:tcW w:w="2424" w:type="dxa"/>
            <w:shd w:val="clear" w:color="auto" w:fill="auto"/>
            <w:tcMar>
              <w:top w:w="0" w:type="dxa"/>
              <w:left w:w="108" w:type="dxa"/>
              <w:bottom w:w="0" w:type="dxa"/>
              <w:right w:w="108" w:type="dxa"/>
            </w:tcMar>
            <w:vAlign w:val="center"/>
          </w:tcPr>
          <w:p w:rsidR="003663E4" w:rsidRDefault="00FD3F7D">
            <w:pPr>
              <w:widowControl/>
              <w:jc w:val="center"/>
              <w:rPr>
                <w:color w:val="000000" w:themeColor="text1"/>
                <w:kern w:val="0"/>
                <w:szCs w:val="21"/>
              </w:rPr>
            </w:pPr>
            <w:r>
              <w:rPr>
                <w:color w:val="000000" w:themeColor="text1"/>
                <w:kern w:val="0"/>
                <w:szCs w:val="21"/>
              </w:rPr>
              <w:t>合计</w:t>
            </w:r>
          </w:p>
        </w:tc>
        <w:tc>
          <w:tcPr>
            <w:tcW w:w="4526" w:type="dxa"/>
            <w:shd w:val="clear" w:color="auto" w:fill="auto"/>
            <w:tcMar>
              <w:top w:w="0" w:type="dxa"/>
              <w:left w:w="108" w:type="dxa"/>
              <w:bottom w:w="0" w:type="dxa"/>
              <w:right w:w="108" w:type="dxa"/>
            </w:tcMar>
            <w:vAlign w:val="center"/>
          </w:tcPr>
          <w:p w:rsidR="003663E4" w:rsidRDefault="00FD3F7D">
            <w:pPr>
              <w:widowControl/>
              <w:jc w:val="center"/>
              <w:rPr>
                <w:color w:val="000000" w:themeColor="text1"/>
                <w:kern w:val="0"/>
                <w:szCs w:val="21"/>
              </w:rPr>
            </w:pPr>
            <w:r>
              <w:rPr>
                <w:color w:val="000000" w:themeColor="text1"/>
                <w:szCs w:val="21"/>
              </w:rPr>
              <w:t>0~10</w:t>
            </w:r>
          </w:p>
        </w:tc>
      </w:tr>
    </w:tbl>
    <w:p w:rsidR="003663E4" w:rsidRDefault="00FD3F7D">
      <w:pPr>
        <w:pStyle w:val="1"/>
        <w:keepNext/>
        <w:keepLines/>
        <w:widowControl w:val="0"/>
        <w:spacing w:before="240" w:after="240" w:line="360" w:lineRule="auto"/>
        <w:jc w:val="center"/>
        <w:rPr>
          <w:b/>
          <w:bCs/>
          <w:color w:val="000000"/>
          <w:sz w:val="21"/>
          <w:szCs w:val="21"/>
        </w:rPr>
      </w:pPr>
      <w:bookmarkStart w:id="299" w:name="_Toc23339430"/>
      <w:bookmarkStart w:id="300" w:name="_Toc331410115"/>
      <w:bookmarkStart w:id="301" w:name="_Toc225500053"/>
      <w:bookmarkStart w:id="302" w:name="_Toc27304"/>
      <w:r>
        <w:rPr>
          <w:rFonts w:hint="eastAsia"/>
          <w:b/>
          <w:bCs/>
          <w:color w:val="000000"/>
          <w:sz w:val="21"/>
          <w:szCs w:val="21"/>
        </w:rPr>
        <w:t>§</w:t>
      </w:r>
      <w:r>
        <w:rPr>
          <w:rFonts w:hint="eastAsia"/>
          <w:b/>
          <w:bCs/>
          <w:color w:val="000000"/>
          <w:sz w:val="21"/>
          <w:szCs w:val="21"/>
        </w:rPr>
        <w:t xml:space="preserve">10 </w:t>
      </w:r>
      <w:r>
        <w:rPr>
          <w:rFonts w:hint="eastAsia"/>
          <w:b/>
          <w:bCs/>
          <w:color w:val="000000"/>
          <w:sz w:val="21"/>
          <w:szCs w:val="21"/>
        </w:rPr>
        <w:t>开放式基金份额变动</w:t>
      </w:r>
      <w:bookmarkEnd w:id="299"/>
      <w:bookmarkEnd w:id="300"/>
      <w:bookmarkEnd w:id="301"/>
      <w:bookmarkEnd w:id="302"/>
    </w:p>
    <w:p w:rsidR="003663E4" w:rsidRDefault="00FD3F7D">
      <w:pPr>
        <w:autoSpaceDE w:val="0"/>
        <w:autoSpaceDN w:val="0"/>
        <w:adjustRightInd w:val="0"/>
        <w:snapToGrid w:val="0"/>
        <w:spacing w:line="360" w:lineRule="auto"/>
        <w:jc w:val="left"/>
        <w:rPr>
          <w:rFonts w:eastAsiaTheme="minorEastAsia"/>
          <w:b/>
          <w:bCs/>
          <w:kern w:val="0"/>
          <w:szCs w:val="21"/>
        </w:rPr>
      </w:pPr>
      <w:bookmarkStart w:id="303" w:name="_Toc508540335"/>
      <w:r>
        <w:rPr>
          <w:rFonts w:eastAsiaTheme="minorEastAsia"/>
          <w:b/>
          <w:bCs/>
          <w:kern w:val="0"/>
          <w:szCs w:val="21"/>
        </w:rPr>
        <w:t xml:space="preserve">10.1 </w:t>
      </w:r>
      <w:r>
        <w:rPr>
          <w:rFonts w:eastAsiaTheme="minorEastAsia"/>
          <w:b/>
          <w:bCs/>
          <w:kern w:val="0"/>
          <w:szCs w:val="21"/>
        </w:rPr>
        <w:t>交银施罗德裕惠纯债债券型证券投资基金</w:t>
      </w:r>
      <w:bookmarkEnd w:id="303"/>
    </w:p>
    <w:p w:rsidR="003663E4" w:rsidRDefault="00FD3F7D">
      <w:pPr>
        <w:autoSpaceDE w:val="0"/>
        <w:autoSpaceDN w:val="0"/>
        <w:adjustRightInd w:val="0"/>
        <w:snapToGrid w:val="0"/>
        <w:spacing w:line="360" w:lineRule="auto"/>
        <w:jc w:val="left"/>
        <w:rPr>
          <w:rFonts w:eastAsiaTheme="minorEastAsia"/>
          <w:b/>
          <w:bCs/>
          <w:kern w:val="0"/>
          <w:szCs w:val="21"/>
        </w:rPr>
      </w:pPr>
      <w:r>
        <w:rPr>
          <w:rFonts w:eastAsiaTheme="minorEastAsia"/>
          <w:b/>
          <w:bCs/>
          <w:kern w:val="0"/>
          <w:szCs w:val="21"/>
        </w:rPr>
        <w:t>（报告期：</w:t>
      </w:r>
      <w:r>
        <w:rPr>
          <w:rFonts w:eastAsiaTheme="minorEastAsia"/>
          <w:b/>
          <w:bCs/>
          <w:kern w:val="0"/>
          <w:szCs w:val="21"/>
        </w:rPr>
        <w:t>2020</w:t>
      </w:r>
      <w:r>
        <w:rPr>
          <w:rFonts w:eastAsiaTheme="minorEastAsia"/>
          <w:b/>
          <w:bCs/>
          <w:kern w:val="0"/>
          <w:szCs w:val="21"/>
        </w:rPr>
        <w:t>年</w:t>
      </w:r>
      <w:r>
        <w:rPr>
          <w:rFonts w:eastAsiaTheme="minorEastAsia"/>
          <w:b/>
          <w:bCs/>
          <w:kern w:val="0"/>
          <w:szCs w:val="21"/>
        </w:rPr>
        <w:t>7</w:t>
      </w:r>
      <w:r>
        <w:rPr>
          <w:rFonts w:eastAsiaTheme="minorEastAsia"/>
          <w:b/>
          <w:bCs/>
          <w:kern w:val="0"/>
          <w:szCs w:val="21"/>
        </w:rPr>
        <w:t>月</w:t>
      </w:r>
      <w:r>
        <w:rPr>
          <w:rFonts w:eastAsiaTheme="minorEastAsia"/>
          <w:b/>
          <w:bCs/>
          <w:kern w:val="0"/>
          <w:szCs w:val="21"/>
        </w:rPr>
        <w:t>28</w:t>
      </w:r>
      <w:r>
        <w:rPr>
          <w:rFonts w:eastAsiaTheme="minorEastAsia"/>
          <w:b/>
          <w:bCs/>
          <w:kern w:val="0"/>
          <w:szCs w:val="21"/>
        </w:rPr>
        <w:t>日（基金合同生效日）</w:t>
      </w:r>
      <w:r>
        <w:rPr>
          <w:rFonts w:eastAsiaTheme="minorEastAsia"/>
          <w:b/>
          <w:bCs/>
          <w:kern w:val="0"/>
          <w:szCs w:val="21"/>
        </w:rPr>
        <w:t>-2020</w:t>
      </w:r>
      <w:r>
        <w:rPr>
          <w:rFonts w:eastAsiaTheme="minorEastAsia"/>
          <w:b/>
          <w:bCs/>
          <w:kern w:val="0"/>
          <w:szCs w:val="21"/>
        </w:rPr>
        <w:t>年</w:t>
      </w:r>
      <w:r>
        <w:rPr>
          <w:rFonts w:eastAsiaTheme="minorEastAsia"/>
          <w:b/>
          <w:bCs/>
          <w:kern w:val="0"/>
          <w:szCs w:val="21"/>
        </w:rPr>
        <w:t>12</w:t>
      </w:r>
      <w:r>
        <w:rPr>
          <w:rFonts w:eastAsiaTheme="minorEastAsia"/>
          <w:b/>
          <w:bCs/>
          <w:kern w:val="0"/>
          <w:szCs w:val="21"/>
        </w:rPr>
        <w:t>月</w:t>
      </w:r>
      <w:r>
        <w:rPr>
          <w:rFonts w:eastAsiaTheme="minorEastAsia"/>
          <w:b/>
          <w:bCs/>
          <w:kern w:val="0"/>
          <w:szCs w:val="21"/>
        </w:rPr>
        <w:t>31</w:t>
      </w:r>
      <w:r>
        <w:rPr>
          <w:rFonts w:eastAsiaTheme="minorEastAsia"/>
          <w:b/>
          <w:bCs/>
          <w:kern w:val="0"/>
          <w:szCs w:val="21"/>
        </w:rPr>
        <w:t>日）</w:t>
      </w:r>
    </w:p>
    <w:p w:rsidR="003663E4" w:rsidRDefault="00FD3F7D">
      <w:pPr>
        <w:spacing w:line="360" w:lineRule="auto"/>
        <w:jc w:val="right"/>
        <w:rPr>
          <w:color w:val="000000"/>
          <w:szCs w:val="21"/>
        </w:rPr>
      </w:pPr>
      <w:r>
        <w:rPr>
          <w:color w:val="000000"/>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3663E4">
        <w:tc>
          <w:tcPr>
            <w:tcW w:w="5778" w:type="dxa"/>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spacing w:line="276" w:lineRule="auto"/>
              <w:rPr>
                <w:color w:val="000000"/>
              </w:rPr>
            </w:pPr>
            <w:bookmarkStart w:id="304" w:name="_Toc508540336"/>
            <w:r>
              <w:rPr>
                <w:rFonts w:hint="eastAsia"/>
                <w:color w:val="000000"/>
              </w:rPr>
              <w:t>基金合同生效日</w:t>
            </w:r>
            <w:r>
              <w:rPr>
                <w:color w:val="000000"/>
              </w:rPr>
              <w:t>(</w:t>
            </w:r>
            <w:r>
              <w:rPr>
                <w:rFonts w:eastAsia="Times New Roman"/>
              </w:rPr>
              <w:t>2020年7月28日</w:t>
            </w:r>
            <w:r>
              <w:rPr>
                <w:color w:val="000000"/>
              </w:rPr>
              <w:t>)</w:t>
            </w:r>
            <w:r>
              <w:rPr>
                <w:rFonts w:hint="eastAsia"/>
                <w:color w:val="000000"/>
              </w:rPr>
              <w:t>基金份额总额</w:t>
            </w:r>
          </w:p>
        </w:tc>
        <w:tc>
          <w:tcPr>
            <w:tcW w:w="3508" w:type="dxa"/>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spacing w:line="276" w:lineRule="auto"/>
              <w:jc w:val="right"/>
              <w:rPr>
                <w:color w:val="000000"/>
              </w:rPr>
            </w:pPr>
            <w:r>
              <w:rPr>
                <w:color w:val="000000"/>
              </w:rPr>
              <w:t xml:space="preserve">770,084,760.44 </w:t>
            </w:r>
          </w:p>
        </w:tc>
      </w:tr>
      <w:tr w:rsidR="003663E4">
        <w:tc>
          <w:tcPr>
            <w:tcW w:w="5778" w:type="dxa"/>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spacing w:line="276" w:lineRule="auto"/>
              <w:rPr>
                <w:rFonts w:eastAsia="Times New Roman"/>
                <w:color w:val="000000"/>
              </w:rPr>
            </w:pPr>
            <w:r>
              <w:rPr>
                <w:rFonts w:hint="eastAsia"/>
                <w:color w:val="000000"/>
              </w:rPr>
              <w:t>本报告期期初基金份额总额</w:t>
            </w:r>
          </w:p>
        </w:tc>
        <w:tc>
          <w:tcPr>
            <w:tcW w:w="3508" w:type="dxa"/>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spacing w:line="276" w:lineRule="auto"/>
              <w:jc w:val="right"/>
              <w:rPr>
                <w:color w:val="000000"/>
              </w:rPr>
            </w:pPr>
            <w:r>
              <w:rPr>
                <w:color w:val="000000"/>
              </w:rPr>
              <w:t>770,084,760.44</w:t>
            </w:r>
          </w:p>
        </w:tc>
      </w:tr>
      <w:tr w:rsidR="003663E4">
        <w:tc>
          <w:tcPr>
            <w:tcW w:w="5778" w:type="dxa"/>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spacing w:line="276" w:lineRule="auto"/>
              <w:rPr>
                <w:rFonts w:eastAsia="Times New Roman"/>
                <w:color w:val="000000"/>
              </w:rPr>
            </w:pPr>
            <w:r>
              <w:rPr>
                <w:color w:val="000000"/>
              </w:rPr>
              <w:t>基金合同生效日起至报告期期末</w:t>
            </w:r>
            <w:r>
              <w:rPr>
                <w:rFonts w:hint="eastAsia"/>
                <w:color w:val="000000"/>
              </w:rPr>
              <w:t>基金总申购份额</w:t>
            </w:r>
          </w:p>
        </w:tc>
        <w:tc>
          <w:tcPr>
            <w:tcW w:w="3508" w:type="dxa"/>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spacing w:line="276" w:lineRule="auto"/>
              <w:jc w:val="right"/>
              <w:rPr>
                <w:color w:val="000000"/>
              </w:rPr>
            </w:pPr>
            <w:r>
              <w:rPr>
                <w:color w:val="000000"/>
              </w:rPr>
              <w:t>713,783.40</w:t>
            </w:r>
          </w:p>
        </w:tc>
      </w:tr>
      <w:tr w:rsidR="003663E4">
        <w:tc>
          <w:tcPr>
            <w:tcW w:w="5778" w:type="dxa"/>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spacing w:line="276" w:lineRule="auto"/>
              <w:rPr>
                <w:rFonts w:eastAsia="Times New Roman"/>
                <w:color w:val="000000"/>
              </w:rPr>
            </w:pPr>
            <w:r>
              <w:rPr>
                <w:rFonts w:hint="eastAsia"/>
                <w:color w:val="000000"/>
              </w:rPr>
              <w:t>减：</w:t>
            </w:r>
            <w:r>
              <w:rPr>
                <w:color w:val="000000"/>
              </w:rPr>
              <w:t>基金合同生效日起至报告期期末</w:t>
            </w:r>
            <w:r>
              <w:rPr>
                <w:rFonts w:hint="eastAsia"/>
                <w:color w:val="000000"/>
              </w:rPr>
              <w:t>基金总赎回份额</w:t>
            </w:r>
          </w:p>
        </w:tc>
        <w:tc>
          <w:tcPr>
            <w:tcW w:w="3508" w:type="dxa"/>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spacing w:line="276" w:lineRule="auto"/>
              <w:jc w:val="right"/>
              <w:rPr>
                <w:color w:val="000000"/>
              </w:rPr>
            </w:pPr>
            <w:r>
              <w:rPr>
                <w:color w:val="000000"/>
              </w:rPr>
              <w:t>1,285,670.07</w:t>
            </w:r>
          </w:p>
        </w:tc>
      </w:tr>
      <w:tr w:rsidR="003663E4">
        <w:tc>
          <w:tcPr>
            <w:tcW w:w="5778" w:type="dxa"/>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spacing w:line="276" w:lineRule="auto"/>
              <w:rPr>
                <w:rFonts w:eastAsia="Times New Roman"/>
                <w:color w:val="000000"/>
              </w:rPr>
            </w:pPr>
            <w:r>
              <w:rPr>
                <w:color w:val="000000"/>
              </w:rPr>
              <w:t>基金合同生效日起至报告期期末</w:t>
            </w:r>
            <w:r>
              <w:rPr>
                <w:rFonts w:hint="eastAsia"/>
                <w:color w:val="000000"/>
              </w:rPr>
              <w:t>基金拆分变动份额</w:t>
            </w:r>
          </w:p>
        </w:tc>
        <w:tc>
          <w:tcPr>
            <w:tcW w:w="3508" w:type="dxa"/>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spacing w:line="276" w:lineRule="auto"/>
              <w:jc w:val="right"/>
              <w:rPr>
                <w:color w:val="000000"/>
              </w:rPr>
            </w:pPr>
            <w:r>
              <w:rPr>
                <w:color w:val="000000"/>
              </w:rPr>
              <w:t>-</w:t>
            </w:r>
          </w:p>
        </w:tc>
      </w:tr>
      <w:tr w:rsidR="003663E4">
        <w:tc>
          <w:tcPr>
            <w:tcW w:w="5778" w:type="dxa"/>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spacing w:line="276" w:lineRule="auto"/>
              <w:rPr>
                <w:rFonts w:eastAsia="Times New Roman"/>
                <w:color w:val="000000"/>
              </w:rPr>
            </w:pPr>
            <w:r>
              <w:rPr>
                <w:rFonts w:hint="eastAsia"/>
                <w:color w:val="000000"/>
              </w:rPr>
              <w:t>本报告期期末基金份额总额</w:t>
            </w:r>
          </w:p>
        </w:tc>
        <w:tc>
          <w:tcPr>
            <w:tcW w:w="3508" w:type="dxa"/>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spacing w:line="276" w:lineRule="auto"/>
              <w:jc w:val="right"/>
              <w:rPr>
                <w:color w:val="000000"/>
              </w:rPr>
            </w:pPr>
            <w:r>
              <w:rPr>
                <w:color w:val="000000"/>
              </w:rPr>
              <w:t>769,512,873.77</w:t>
            </w:r>
          </w:p>
        </w:tc>
      </w:tr>
    </w:tbl>
    <w:p w:rsidR="003663E4" w:rsidRDefault="00FD3F7D">
      <w:pPr>
        <w:autoSpaceDE w:val="0"/>
        <w:autoSpaceDN w:val="0"/>
        <w:adjustRightInd w:val="0"/>
        <w:spacing w:line="360" w:lineRule="auto"/>
        <w:ind w:firstLineChars="200" w:firstLine="420"/>
        <w:jc w:val="left"/>
        <w:rPr>
          <w:color w:val="000000"/>
        </w:rPr>
      </w:pPr>
      <w:r>
        <w:rPr>
          <w:color w:val="000000"/>
        </w:rPr>
        <w:t>注：</w:t>
      </w:r>
      <w:r>
        <w:rPr>
          <w:color w:val="000000"/>
        </w:rPr>
        <w:t>1</w:t>
      </w:r>
      <w:r>
        <w:rPr>
          <w:color w:val="000000"/>
        </w:rPr>
        <w:t>、上表中</w:t>
      </w:r>
      <w:r>
        <w:rPr>
          <w:color w:val="000000"/>
        </w:rPr>
        <w:t>“</w:t>
      </w:r>
      <w:r>
        <w:rPr>
          <w:color w:val="000000"/>
        </w:rPr>
        <w:t>报告期</w:t>
      </w:r>
      <w:r>
        <w:rPr>
          <w:color w:val="000000"/>
        </w:rPr>
        <w:t>”</w:t>
      </w:r>
      <w:r>
        <w:rPr>
          <w:color w:val="000000"/>
        </w:rPr>
        <w:t>指</w:t>
      </w:r>
      <w:r>
        <w:rPr>
          <w:color w:val="000000"/>
        </w:rPr>
        <w:t>2020</w:t>
      </w:r>
      <w:r>
        <w:rPr>
          <w:color w:val="000000"/>
        </w:rPr>
        <w:t>年</w:t>
      </w:r>
      <w:r>
        <w:rPr>
          <w:color w:val="000000"/>
        </w:rPr>
        <w:t>7</w:t>
      </w:r>
      <w:r>
        <w:rPr>
          <w:color w:val="000000"/>
        </w:rPr>
        <w:t>月</w:t>
      </w:r>
      <w:r>
        <w:rPr>
          <w:color w:val="000000"/>
        </w:rPr>
        <w:t>28</w:t>
      </w:r>
      <w:r>
        <w:rPr>
          <w:color w:val="000000"/>
        </w:rPr>
        <w:t>日至</w:t>
      </w:r>
      <w:r>
        <w:rPr>
          <w:color w:val="000000"/>
        </w:rPr>
        <w:t>2020</w:t>
      </w:r>
      <w:r>
        <w:rPr>
          <w:color w:val="000000"/>
        </w:rPr>
        <w:t>年</w:t>
      </w:r>
      <w:r>
        <w:rPr>
          <w:color w:val="000000"/>
        </w:rPr>
        <w:t>12</w:t>
      </w:r>
      <w:r>
        <w:rPr>
          <w:color w:val="000000"/>
        </w:rPr>
        <w:t>月</w:t>
      </w:r>
      <w:r>
        <w:rPr>
          <w:color w:val="000000"/>
        </w:rPr>
        <w:t>31</w:t>
      </w:r>
      <w:r>
        <w:rPr>
          <w:color w:val="000000"/>
        </w:rPr>
        <w:t>日；</w:t>
      </w:r>
    </w:p>
    <w:p w:rsidR="003663E4" w:rsidRDefault="00FD3F7D">
      <w:pPr>
        <w:autoSpaceDE w:val="0"/>
        <w:autoSpaceDN w:val="0"/>
        <w:adjustRightInd w:val="0"/>
        <w:spacing w:line="360" w:lineRule="auto"/>
        <w:ind w:firstLineChars="200" w:firstLine="420"/>
        <w:jc w:val="left"/>
        <w:rPr>
          <w:color w:val="000000"/>
        </w:rPr>
      </w:pPr>
      <w:r>
        <w:rPr>
          <w:color w:val="000000"/>
        </w:rPr>
        <w:t>2</w:t>
      </w:r>
      <w:r>
        <w:rPr>
          <w:color w:val="000000"/>
        </w:rPr>
        <w:t>、如果本报告期间发生转换入、红利再投业务，则总申购份额中包含该业务；</w:t>
      </w:r>
      <w:r>
        <w:rPr>
          <w:color w:val="000000"/>
        </w:rPr>
        <w:t xml:space="preserve"> </w:t>
      </w:r>
    </w:p>
    <w:p w:rsidR="003663E4" w:rsidRDefault="00FD3F7D">
      <w:pPr>
        <w:autoSpaceDE w:val="0"/>
        <w:autoSpaceDN w:val="0"/>
        <w:adjustRightInd w:val="0"/>
        <w:spacing w:line="360" w:lineRule="auto"/>
        <w:ind w:firstLineChars="200" w:firstLine="420"/>
        <w:jc w:val="left"/>
        <w:rPr>
          <w:color w:val="000000"/>
        </w:rPr>
      </w:pPr>
      <w:r>
        <w:rPr>
          <w:color w:val="000000"/>
        </w:rPr>
        <w:t>3</w:t>
      </w:r>
      <w:r>
        <w:rPr>
          <w:color w:val="000000"/>
        </w:rPr>
        <w:t>、如果本报告期间发生转换出业务，则总赎回份额中包含该业务。</w:t>
      </w:r>
    </w:p>
    <w:p w:rsidR="003663E4" w:rsidRDefault="00FD3F7D">
      <w:pPr>
        <w:autoSpaceDE w:val="0"/>
        <w:autoSpaceDN w:val="0"/>
        <w:adjustRightInd w:val="0"/>
        <w:snapToGrid w:val="0"/>
        <w:spacing w:line="360" w:lineRule="auto"/>
        <w:jc w:val="left"/>
        <w:rPr>
          <w:rFonts w:eastAsiaTheme="minorEastAsia"/>
          <w:b/>
          <w:bCs/>
          <w:kern w:val="0"/>
          <w:szCs w:val="21"/>
        </w:rPr>
      </w:pPr>
      <w:r>
        <w:rPr>
          <w:rFonts w:eastAsiaTheme="minorEastAsia"/>
          <w:b/>
          <w:bCs/>
          <w:kern w:val="0"/>
          <w:szCs w:val="21"/>
        </w:rPr>
        <w:t xml:space="preserve">10.2 </w:t>
      </w:r>
      <w:r>
        <w:rPr>
          <w:rFonts w:eastAsiaTheme="minorEastAsia"/>
          <w:b/>
          <w:bCs/>
          <w:kern w:val="0"/>
          <w:szCs w:val="21"/>
        </w:rPr>
        <w:t>交银施罗德理财</w:t>
      </w:r>
      <w:r>
        <w:rPr>
          <w:rFonts w:eastAsiaTheme="minorEastAsia"/>
          <w:b/>
          <w:bCs/>
          <w:kern w:val="0"/>
          <w:szCs w:val="21"/>
        </w:rPr>
        <w:t>60</w:t>
      </w:r>
      <w:r>
        <w:rPr>
          <w:rFonts w:eastAsiaTheme="minorEastAsia"/>
          <w:b/>
          <w:bCs/>
          <w:kern w:val="0"/>
          <w:szCs w:val="21"/>
        </w:rPr>
        <w:t>天债券型证券投资基金</w:t>
      </w:r>
      <w:bookmarkEnd w:id="304"/>
    </w:p>
    <w:p w:rsidR="003663E4" w:rsidRDefault="00FD3F7D">
      <w:pPr>
        <w:autoSpaceDE w:val="0"/>
        <w:autoSpaceDN w:val="0"/>
        <w:adjustRightInd w:val="0"/>
        <w:snapToGrid w:val="0"/>
        <w:spacing w:line="360" w:lineRule="auto"/>
        <w:jc w:val="left"/>
        <w:rPr>
          <w:rFonts w:eastAsiaTheme="minorEastAsia"/>
          <w:b/>
          <w:bCs/>
          <w:kern w:val="0"/>
          <w:szCs w:val="21"/>
        </w:rPr>
      </w:pPr>
      <w:r>
        <w:rPr>
          <w:rFonts w:eastAsiaTheme="minorEastAsia"/>
          <w:b/>
          <w:bCs/>
          <w:kern w:val="0"/>
          <w:szCs w:val="21"/>
        </w:rPr>
        <w:t>（报告期：</w:t>
      </w:r>
      <w:r>
        <w:rPr>
          <w:rFonts w:eastAsiaTheme="minorEastAsia"/>
          <w:b/>
          <w:bCs/>
          <w:kern w:val="0"/>
          <w:szCs w:val="21"/>
        </w:rPr>
        <w:t>2020</w:t>
      </w:r>
      <w:r>
        <w:rPr>
          <w:rFonts w:eastAsiaTheme="minorEastAsia"/>
          <w:b/>
          <w:bCs/>
          <w:kern w:val="0"/>
          <w:szCs w:val="21"/>
        </w:rPr>
        <w:t>年</w:t>
      </w:r>
      <w:r>
        <w:rPr>
          <w:rFonts w:eastAsiaTheme="minorEastAsia"/>
          <w:b/>
          <w:bCs/>
          <w:kern w:val="0"/>
          <w:szCs w:val="21"/>
        </w:rPr>
        <w:t>1</w:t>
      </w:r>
      <w:r>
        <w:rPr>
          <w:rFonts w:eastAsiaTheme="minorEastAsia"/>
          <w:b/>
          <w:bCs/>
          <w:kern w:val="0"/>
          <w:szCs w:val="21"/>
        </w:rPr>
        <w:t>月</w:t>
      </w:r>
      <w:r>
        <w:rPr>
          <w:rFonts w:eastAsiaTheme="minorEastAsia"/>
          <w:b/>
          <w:bCs/>
          <w:kern w:val="0"/>
          <w:szCs w:val="21"/>
        </w:rPr>
        <w:t>1</w:t>
      </w:r>
      <w:r>
        <w:rPr>
          <w:rFonts w:eastAsiaTheme="minorEastAsia"/>
          <w:b/>
          <w:bCs/>
          <w:kern w:val="0"/>
          <w:szCs w:val="21"/>
        </w:rPr>
        <w:t>日</w:t>
      </w:r>
      <w:r>
        <w:rPr>
          <w:rFonts w:eastAsiaTheme="minorEastAsia"/>
          <w:b/>
          <w:bCs/>
          <w:kern w:val="0"/>
          <w:szCs w:val="21"/>
        </w:rPr>
        <w:t>-2020</w:t>
      </w:r>
      <w:r>
        <w:rPr>
          <w:rFonts w:eastAsiaTheme="minorEastAsia"/>
          <w:b/>
          <w:bCs/>
          <w:kern w:val="0"/>
          <w:szCs w:val="21"/>
        </w:rPr>
        <w:t>年</w:t>
      </w:r>
      <w:r>
        <w:rPr>
          <w:rFonts w:eastAsiaTheme="minorEastAsia"/>
          <w:b/>
          <w:bCs/>
          <w:kern w:val="0"/>
          <w:szCs w:val="21"/>
        </w:rPr>
        <w:t>7</w:t>
      </w:r>
      <w:r>
        <w:rPr>
          <w:rFonts w:eastAsiaTheme="minorEastAsia"/>
          <w:b/>
          <w:bCs/>
          <w:kern w:val="0"/>
          <w:szCs w:val="21"/>
        </w:rPr>
        <w:t>月</w:t>
      </w:r>
      <w:r>
        <w:rPr>
          <w:rFonts w:eastAsiaTheme="minorEastAsia"/>
          <w:b/>
          <w:bCs/>
          <w:kern w:val="0"/>
          <w:szCs w:val="21"/>
        </w:rPr>
        <w:t>27</w:t>
      </w:r>
      <w:r>
        <w:rPr>
          <w:rFonts w:eastAsiaTheme="minorEastAsia"/>
          <w:b/>
          <w:bCs/>
          <w:kern w:val="0"/>
          <w:szCs w:val="21"/>
        </w:rPr>
        <w:t>日）</w:t>
      </w:r>
    </w:p>
    <w:p w:rsidR="003663E4" w:rsidRDefault="00FD3F7D">
      <w:pPr>
        <w:spacing w:line="360" w:lineRule="auto"/>
        <w:jc w:val="right"/>
        <w:rPr>
          <w:color w:val="000000"/>
          <w:szCs w:val="21"/>
        </w:rPr>
      </w:pPr>
      <w:r>
        <w:rPr>
          <w:color w:val="000000"/>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2998"/>
        <w:gridCol w:w="2999"/>
      </w:tblGrid>
      <w:tr w:rsidR="003663E4">
        <w:tc>
          <w:tcPr>
            <w:tcW w:w="1771" w:type="pct"/>
            <w:tcBorders>
              <w:top w:val="single" w:sz="4" w:space="0" w:color="auto"/>
              <w:left w:val="single" w:sz="4" w:space="0" w:color="auto"/>
              <w:bottom w:val="single" w:sz="4" w:space="0" w:color="auto"/>
              <w:right w:val="single" w:sz="4" w:space="0" w:color="auto"/>
              <w:tl2br w:val="nil"/>
              <w:tr2bl w:val="nil"/>
            </w:tcBorders>
          </w:tcPr>
          <w:p w:rsidR="003663E4" w:rsidRDefault="00FD3F7D">
            <w:pPr>
              <w:spacing w:line="360" w:lineRule="auto"/>
              <w:jc w:val="center"/>
              <w:rPr>
                <w:rFonts w:eastAsia="Times New Roman"/>
                <w:color w:val="000000"/>
              </w:rPr>
            </w:pPr>
            <w:bookmarkStart w:id="305" w:name="_Toc23339431"/>
            <w:bookmarkStart w:id="306" w:name="_Toc225500054"/>
            <w:bookmarkStart w:id="307" w:name="_Toc331410116"/>
            <w:r>
              <w:rPr>
                <w:rFonts w:hint="eastAsia"/>
                <w:color w:val="000000"/>
              </w:rPr>
              <w:t>项目</w:t>
            </w:r>
          </w:p>
        </w:tc>
        <w:tc>
          <w:tcPr>
            <w:tcW w:w="1614" w:type="pct"/>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spacing w:line="360" w:lineRule="auto"/>
              <w:jc w:val="center"/>
              <w:rPr>
                <w:color w:val="000000"/>
              </w:rPr>
            </w:pPr>
            <w:r>
              <w:rPr>
                <w:color w:val="000000"/>
              </w:rPr>
              <w:t>交银理财</w:t>
            </w:r>
            <w:r>
              <w:rPr>
                <w:color w:val="000000"/>
              </w:rPr>
              <w:t>60</w:t>
            </w:r>
            <w:r>
              <w:rPr>
                <w:color w:val="000000"/>
              </w:rPr>
              <w:t>天债券</w:t>
            </w:r>
            <w:r>
              <w:rPr>
                <w:color w:val="000000"/>
              </w:rPr>
              <w:t>A</w:t>
            </w:r>
          </w:p>
        </w:tc>
        <w:tc>
          <w:tcPr>
            <w:tcW w:w="1615" w:type="pct"/>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spacing w:line="360" w:lineRule="auto"/>
              <w:jc w:val="center"/>
              <w:rPr>
                <w:color w:val="000000"/>
              </w:rPr>
            </w:pPr>
            <w:r>
              <w:rPr>
                <w:color w:val="000000"/>
              </w:rPr>
              <w:t>交银理财</w:t>
            </w:r>
            <w:r>
              <w:rPr>
                <w:color w:val="000000"/>
              </w:rPr>
              <w:t>60</w:t>
            </w:r>
            <w:r>
              <w:rPr>
                <w:color w:val="000000"/>
              </w:rPr>
              <w:t>天债券</w:t>
            </w:r>
            <w:r>
              <w:rPr>
                <w:color w:val="000000"/>
              </w:rPr>
              <w:t>B</w:t>
            </w:r>
          </w:p>
        </w:tc>
      </w:tr>
      <w:tr w:rsidR="003663E4">
        <w:tc>
          <w:tcPr>
            <w:tcW w:w="1771" w:type="pct"/>
            <w:tcBorders>
              <w:top w:val="single" w:sz="4" w:space="0" w:color="auto"/>
              <w:left w:val="single" w:sz="4" w:space="0" w:color="auto"/>
              <w:bottom w:val="single" w:sz="4" w:space="0" w:color="auto"/>
              <w:right w:val="single" w:sz="4" w:space="0" w:color="auto"/>
              <w:tl2br w:val="nil"/>
              <w:tr2bl w:val="nil"/>
            </w:tcBorders>
          </w:tcPr>
          <w:p w:rsidR="003663E4" w:rsidRDefault="00FD3F7D">
            <w:pPr>
              <w:spacing w:line="360" w:lineRule="auto"/>
              <w:rPr>
                <w:color w:val="000000"/>
              </w:rPr>
            </w:pPr>
            <w:r>
              <w:rPr>
                <w:rFonts w:hint="eastAsia"/>
                <w:color w:val="000000"/>
              </w:rPr>
              <w:t>基金合同生效日（</w:t>
            </w:r>
            <w:r>
              <w:rPr>
                <w:rFonts w:eastAsia="Times New Roman"/>
                <w:color w:val="000000"/>
              </w:rPr>
              <w:t>2013年3月13日</w:t>
            </w:r>
            <w:r>
              <w:rPr>
                <w:rFonts w:hint="eastAsia"/>
                <w:color w:val="000000"/>
              </w:rPr>
              <w:t>）基金份额总额</w:t>
            </w:r>
          </w:p>
        </w:tc>
        <w:tc>
          <w:tcPr>
            <w:tcW w:w="1614" w:type="pct"/>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spacing w:line="360" w:lineRule="auto"/>
              <w:jc w:val="right"/>
              <w:rPr>
                <w:color w:val="000000"/>
              </w:rPr>
            </w:pPr>
            <w:r>
              <w:rPr>
                <w:color w:val="000000"/>
              </w:rPr>
              <w:t>756,744,683.05</w:t>
            </w:r>
          </w:p>
        </w:tc>
        <w:tc>
          <w:tcPr>
            <w:tcW w:w="1615" w:type="pct"/>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spacing w:line="360" w:lineRule="auto"/>
              <w:jc w:val="right"/>
              <w:rPr>
                <w:color w:val="000000"/>
              </w:rPr>
            </w:pPr>
            <w:r>
              <w:rPr>
                <w:color w:val="000000"/>
              </w:rPr>
              <w:t>21,172,518.09</w:t>
            </w:r>
          </w:p>
        </w:tc>
      </w:tr>
      <w:tr w:rsidR="003663E4">
        <w:tc>
          <w:tcPr>
            <w:tcW w:w="1771" w:type="pct"/>
            <w:tcBorders>
              <w:top w:val="single" w:sz="4" w:space="0" w:color="auto"/>
              <w:left w:val="single" w:sz="4" w:space="0" w:color="auto"/>
              <w:bottom w:val="single" w:sz="4" w:space="0" w:color="auto"/>
              <w:right w:val="single" w:sz="4" w:space="0" w:color="auto"/>
              <w:tl2br w:val="nil"/>
              <w:tr2bl w:val="nil"/>
            </w:tcBorders>
          </w:tcPr>
          <w:p w:rsidR="003663E4" w:rsidRDefault="00FD3F7D">
            <w:pPr>
              <w:spacing w:line="360" w:lineRule="auto"/>
              <w:rPr>
                <w:rFonts w:eastAsia="Times New Roman"/>
                <w:color w:val="000000"/>
              </w:rPr>
            </w:pPr>
            <w:r>
              <w:rPr>
                <w:rFonts w:hint="eastAsia"/>
                <w:color w:val="000000"/>
              </w:rPr>
              <w:t>本报告期期初基金份额总额</w:t>
            </w:r>
          </w:p>
        </w:tc>
        <w:tc>
          <w:tcPr>
            <w:tcW w:w="1614" w:type="pct"/>
            <w:tcBorders>
              <w:top w:val="single" w:sz="4" w:space="0" w:color="auto"/>
              <w:left w:val="single" w:sz="4" w:space="0" w:color="auto"/>
              <w:bottom w:val="single" w:sz="4" w:space="0" w:color="auto"/>
              <w:right w:val="single" w:sz="4" w:space="0" w:color="auto"/>
              <w:tl2br w:val="nil"/>
              <w:tr2bl w:val="nil"/>
            </w:tcBorders>
            <w:vAlign w:val="bottom"/>
          </w:tcPr>
          <w:p w:rsidR="003663E4" w:rsidRDefault="00FD3F7D">
            <w:pPr>
              <w:spacing w:line="360" w:lineRule="auto"/>
              <w:jc w:val="right"/>
              <w:rPr>
                <w:color w:val="000000"/>
              </w:rPr>
            </w:pPr>
            <w:r>
              <w:rPr>
                <w:color w:val="000000"/>
              </w:rPr>
              <w:t>5,498,988.29</w:t>
            </w:r>
          </w:p>
        </w:tc>
        <w:tc>
          <w:tcPr>
            <w:tcW w:w="1615" w:type="pct"/>
            <w:tcBorders>
              <w:top w:val="single" w:sz="4" w:space="0" w:color="auto"/>
              <w:left w:val="single" w:sz="4" w:space="0" w:color="auto"/>
              <w:bottom w:val="single" w:sz="4" w:space="0" w:color="auto"/>
              <w:right w:val="single" w:sz="4" w:space="0" w:color="auto"/>
              <w:tl2br w:val="nil"/>
              <w:tr2bl w:val="nil"/>
            </w:tcBorders>
            <w:vAlign w:val="bottom"/>
          </w:tcPr>
          <w:p w:rsidR="003663E4" w:rsidRDefault="00FD3F7D">
            <w:pPr>
              <w:spacing w:line="360" w:lineRule="auto"/>
              <w:jc w:val="right"/>
              <w:rPr>
                <w:color w:val="000000"/>
              </w:rPr>
            </w:pPr>
            <w:r>
              <w:rPr>
                <w:color w:val="000000"/>
              </w:rPr>
              <w:t>7,089,630,685.43</w:t>
            </w:r>
          </w:p>
        </w:tc>
      </w:tr>
      <w:tr w:rsidR="003663E4">
        <w:tc>
          <w:tcPr>
            <w:tcW w:w="1771" w:type="pct"/>
            <w:tcBorders>
              <w:top w:val="single" w:sz="4" w:space="0" w:color="auto"/>
              <w:left w:val="single" w:sz="4" w:space="0" w:color="auto"/>
              <w:bottom w:val="single" w:sz="4" w:space="0" w:color="auto"/>
              <w:right w:val="single" w:sz="4" w:space="0" w:color="auto"/>
              <w:tl2br w:val="nil"/>
              <w:tr2bl w:val="nil"/>
            </w:tcBorders>
          </w:tcPr>
          <w:p w:rsidR="003663E4" w:rsidRDefault="00FD3F7D">
            <w:pPr>
              <w:spacing w:line="360" w:lineRule="auto"/>
              <w:rPr>
                <w:rFonts w:eastAsia="Times New Roman"/>
                <w:color w:val="000000"/>
              </w:rPr>
            </w:pPr>
            <w:r>
              <w:rPr>
                <w:rFonts w:hint="eastAsia"/>
                <w:color w:val="000000"/>
              </w:rPr>
              <w:t>本报告期基金总申购份额</w:t>
            </w:r>
          </w:p>
        </w:tc>
        <w:tc>
          <w:tcPr>
            <w:tcW w:w="1614" w:type="pct"/>
            <w:tcBorders>
              <w:top w:val="single" w:sz="4" w:space="0" w:color="auto"/>
              <w:left w:val="single" w:sz="4" w:space="0" w:color="auto"/>
              <w:bottom w:val="single" w:sz="4" w:space="0" w:color="auto"/>
              <w:right w:val="single" w:sz="4" w:space="0" w:color="auto"/>
              <w:tl2br w:val="nil"/>
              <w:tr2bl w:val="nil"/>
            </w:tcBorders>
            <w:vAlign w:val="bottom"/>
          </w:tcPr>
          <w:p w:rsidR="003663E4" w:rsidRDefault="00FD3F7D">
            <w:pPr>
              <w:spacing w:line="360" w:lineRule="auto"/>
              <w:jc w:val="right"/>
              <w:rPr>
                <w:color w:val="000000"/>
              </w:rPr>
            </w:pPr>
            <w:r>
              <w:rPr>
                <w:color w:val="000000"/>
              </w:rPr>
              <w:t>113,156.57</w:t>
            </w:r>
          </w:p>
        </w:tc>
        <w:tc>
          <w:tcPr>
            <w:tcW w:w="1615" w:type="pct"/>
            <w:tcBorders>
              <w:top w:val="single" w:sz="4" w:space="0" w:color="auto"/>
              <w:left w:val="single" w:sz="4" w:space="0" w:color="auto"/>
              <w:bottom w:val="single" w:sz="4" w:space="0" w:color="auto"/>
              <w:right w:val="single" w:sz="4" w:space="0" w:color="auto"/>
              <w:tl2br w:val="nil"/>
              <w:tr2bl w:val="nil"/>
            </w:tcBorders>
            <w:vAlign w:val="bottom"/>
          </w:tcPr>
          <w:p w:rsidR="003663E4" w:rsidRDefault="00FD3F7D">
            <w:pPr>
              <w:spacing w:line="360" w:lineRule="auto"/>
              <w:jc w:val="right"/>
              <w:rPr>
                <w:color w:val="000000"/>
              </w:rPr>
            </w:pPr>
            <w:r>
              <w:rPr>
                <w:color w:val="000000"/>
              </w:rPr>
              <w:t>113,653,963.51</w:t>
            </w:r>
          </w:p>
        </w:tc>
      </w:tr>
      <w:tr w:rsidR="003663E4">
        <w:tc>
          <w:tcPr>
            <w:tcW w:w="1771" w:type="pct"/>
            <w:tcBorders>
              <w:top w:val="single" w:sz="4" w:space="0" w:color="auto"/>
              <w:left w:val="single" w:sz="4" w:space="0" w:color="auto"/>
              <w:bottom w:val="single" w:sz="4" w:space="0" w:color="auto"/>
              <w:right w:val="single" w:sz="4" w:space="0" w:color="auto"/>
              <w:tl2br w:val="nil"/>
              <w:tr2bl w:val="nil"/>
            </w:tcBorders>
          </w:tcPr>
          <w:p w:rsidR="003663E4" w:rsidRDefault="00FD3F7D">
            <w:pPr>
              <w:spacing w:line="360" w:lineRule="auto"/>
              <w:rPr>
                <w:rFonts w:eastAsia="Times New Roman"/>
                <w:color w:val="000000"/>
              </w:rPr>
            </w:pPr>
            <w:r>
              <w:rPr>
                <w:rFonts w:hint="eastAsia"/>
                <w:color w:val="000000"/>
              </w:rPr>
              <w:t>减：本报告期基金总赎回份额</w:t>
            </w:r>
          </w:p>
        </w:tc>
        <w:tc>
          <w:tcPr>
            <w:tcW w:w="1614" w:type="pct"/>
            <w:tcBorders>
              <w:top w:val="single" w:sz="4" w:space="0" w:color="auto"/>
              <w:left w:val="single" w:sz="4" w:space="0" w:color="auto"/>
              <w:bottom w:val="single" w:sz="4" w:space="0" w:color="auto"/>
              <w:right w:val="single" w:sz="4" w:space="0" w:color="auto"/>
              <w:tl2br w:val="nil"/>
              <w:tr2bl w:val="nil"/>
            </w:tcBorders>
            <w:vAlign w:val="bottom"/>
          </w:tcPr>
          <w:p w:rsidR="003663E4" w:rsidRDefault="00FD3F7D">
            <w:pPr>
              <w:spacing w:line="360" w:lineRule="auto"/>
              <w:jc w:val="right"/>
              <w:rPr>
                <w:color w:val="000000"/>
              </w:rPr>
            </w:pPr>
            <w:r>
              <w:rPr>
                <w:color w:val="000000"/>
              </w:rPr>
              <w:t>2,265,656.92</w:t>
            </w:r>
          </w:p>
        </w:tc>
        <w:tc>
          <w:tcPr>
            <w:tcW w:w="1615" w:type="pct"/>
            <w:tcBorders>
              <w:top w:val="single" w:sz="4" w:space="0" w:color="auto"/>
              <w:left w:val="single" w:sz="4" w:space="0" w:color="auto"/>
              <w:bottom w:val="single" w:sz="4" w:space="0" w:color="auto"/>
              <w:right w:val="single" w:sz="4" w:space="0" w:color="auto"/>
              <w:tl2br w:val="nil"/>
              <w:tr2bl w:val="nil"/>
            </w:tcBorders>
            <w:vAlign w:val="bottom"/>
          </w:tcPr>
          <w:p w:rsidR="003663E4" w:rsidRDefault="00FD3F7D">
            <w:pPr>
              <w:spacing w:line="360" w:lineRule="auto"/>
              <w:jc w:val="right"/>
              <w:rPr>
                <w:color w:val="000000"/>
              </w:rPr>
            </w:pPr>
            <w:r>
              <w:rPr>
                <w:color w:val="000000"/>
              </w:rPr>
              <w:t>6,436,572,136.12</w:t>
            </w:r>
          </w:p>
        </w:tc>
      </w:tr>
      <w:tr w:rsidR="003663E4">
        <w:tc>
          <w:tcPr>
            <w:tcW w:w="1771" w:type="pct"/>
            <w:tcBorders>
              <w:top w:val="single" w:sz="4" w:space="0" w:color="auto"/>
              <w:left w:val="single" w:sz="4" w:space="0" w:color="auto"/>
              <w:bottom w:val="single" w:sz="4" w:space="0" w:color="auto"/>
              <w:right w:val="single" w:sz="4" w:space="0" w:color="auto"/>
              <w:tl2br w:val="nil"/>
              <w:tr2bl w:val="nil"/>
            </w:tcBorders>
          </w:tcPr>
          <w:p w:rsidR="003663E4" w:rsidRDefault="00FD3F7D">
            <w:pPr>
              <w:spacing w:line="360" w:lineRule="auto"/>
              <w:rPr>
                <w:rFonts w:eastAsia="Times New Roman"/>
                <w:color w:val="000000"/>
              </w:rPr>
            </w:pPr>
            <w:r>
              <w:rPr>
                <w:rFonts w:hint="eastAsia"/>
                <w:color w:val="000000"/>
              </w:rPr>
              <w:t>本报告期基金拆分变动份额</w:t>
            </w:r>
          </w:p>
        </w:tc>
        <w:tc>
          <w:tcPr>
            <w:tcW w:w="1614" w:type="pct"/>
            <w:tcBorders>
              <w:top w:val="single" w:sz="4" w:space="0" w:color="auto"/>
              <w:left w:val="single" w:sz="4" w:space="0" w:color="auto"/>
              <w:bottom w:val="single" w:sz="4" w:space="0" w:color="auto"/>
              <w:right w:val="single" w:sz="4" w:space="0" w:color="auto"/>
              <w:tl2br w:val="nil"/>
              <w:tr2bl w:val="nil"/>
            </w:tcBorders>
            <w:vAlign w:val="bottom"/>
          </w:tcPr>
          <w:p w:rsidR="003663E4" w:rsidRDefault="00FD3F7D">
            <w:pPr>
              <w:spacing w:line="360" w:lineRule="auto"/>
              <w:jc w:val="right"/>
              <w:rPr>
                <w:color w:val="000000"/>
              </w:rPr>
            </w:pPr>
            <w:r>
              <w:rPr>
                <w:color w:val="000000"/>
              </w:rPr>
              <w:t>-</w:t>
            </w:r>
          </w:p>
        </w:tc>
        <w:tc>
          <w:tcPr>
            <w:tcW w:w="1615" w:type="pct"/>
            <w:tcBorders>
              <w:top w:val="single" w:sz="4" w:space="0" w:color="auto"/>
              <w:left w:val="single" w:sz="4" w:space="0" w:color="auto"/>
              <w:bottom w:val="single" w:sz="4" w:space="0" w:color="auto"/>
              <w:right w:val="single" w:sz="4" w:space="0" w:color="auto"/>
              <w:tl2br w:val="nil"/>
              <w:tr2bl w:val="nil"/>
            </w:tcBorders>
            <w:vAlign w:val="bottom"/>
          </w:tcPr>
          <w:p w:rsidR="003663E4" w:rsidRDefault="00FD3F7D">
            <w:pPr>
              <w:spacing w:line="360" w:lineRule="auto"/>
              <w:jc w:val="right"/>
              <w:rPr>
                <w:color w:val="000000"/>
              </w:rPr>
            </w:pPr>
            <w:r>
              <w:rPr>
                <w:color w:val="000000"/>
              </w:rPr>
              <w:t>-</w:t>
            </w:r>
          </w:p>
        </w:tc>
      </w:tr>
      <w:tr w:rsidR="003663E4">
        <w:tc>
          <w:tcPr>
            <w:tcW w:w="1771" w:type="pct"/>
            <w:tcBorders>
              <w:top w:val="single" w:sz="4" w:space="0" w:color="auto"/>
              <w:left w:val="single" w:sz="4" w:space="0" w:color="auto"/>
              <w:bottom w:val="single" w:sz="4" w:space="0" w:color="auto"/>
              <w:right w:val="single" w:sz="4" w:space="0" w:color="auto"/>
              <w:tl2br w:val="nil"/>
              <w:tr2bl w:val="nil"/>
            </w:tcBorders>
          </w:tcPr>
          <w:p w:rsidR="003663E4" w:rsidRDefault="00FD3F7D">
            <w:pPr>
              <w:spacing w:line="360" w:lineRule="auto"/>
              <w:rPr>
                <w:rFonts w:eastAsia="Times New Roman"/>
                <w:color w:val="000000"/>
              </w:rPr>
            </w:pPr>
            <w:r>
              <w:rPr>
                <w:rFonts w:hint="eastAsia"/>
                <w:color w:val="000000"/>
              </w:rPr>
              <w:t>本报告期期末基金份额总额</w:t>
            </w:r>
          </w:p>
        </w:tc>
        <w:tc>
          <w:tcPr>
            <w:tcW w:w="1614" w:type="pct"/>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spacing w:line="360" w:lineRule="auto"/>
              <w:jc w:val="right"/>
              <w:rPr>
                <w:color w:val="000000"/>
              </w:rPr>
            </w:pPr>
            <w:r>
              <w:rPr>
                <w:color w:val="000000"/>
              </w:rPr>
              <w:t>3,346,487.94</w:t>
            </w:r>
          </w:p>
        </w:tc>
        <w:tc>
          <w:tcPr>
            <w:tcW w:w="1615" w:type="pct"/>
            <w:tcBorders>
              <w:top w:val="single" w:sz="4" w:space="0" w:color="auto"/>
              <w:left w:val="single" w:sz="4" w:space="0" w:color="auto"/>
              <w:bottom w:val="single" w:sz="4" w:space="0" w:color="auto"/>
              <w:right w:val="single" w:sz="4" w:space="0" w:color="auto"/>
              <w:tl2br w:val="nil"/>
              <w:tr2bl w:val="nil"/>
            </w:tcBorders>
            <w:vAlign w:val="center"/>
          </w:tcPr>
          <w:p w:rsidR="003663E4" w:rsidRDefault="00FD3F7D">
            <w:pPr>
              <w:spacing w:line="360" w:lineRule="auto"/>
              <w:jc w:val="right"/>
              <w:rPr>
                <w:color w:val="000000"/>
              </w:rPr>
            </w:pPr>
            <w:r>
              <w:rPr>
                <w:color w:val="000000"/>
              </w:rPr>
              <w:t>766,712,512.82</w:t>
            </w:r>
          </w:p>
        </w:tc>
      </w:tr>
    </w:tbl>
    <w:p w:rsidR="003663E4" w:rsidRDefault="00FD3F7D">
      <w:pPr>
        <w:autoSpaceDE w:val="0"/>
        <w:autoSpaceDN w:val="0"/>
        <w:adjustRightInd w:val="0"/>
        <w:spacing w:line="360" w:lineRule="auto"/>
        <w:ind w:firstLineChars="200" w:firstLine="420"/>
        <w:jc w:val="left"/>
        <w:rPr>
          <w:color w:val="000000"/>
        </w:rPr>
      </w:pPr>
      <w:r>
        <w:rPr>
          <w:color w:val="000000"/>
        </w:rPr>
        <w:t>注：</w:t>
      </w:r>
      <w:r>
        <w:rPr>
          <w:color w:val="000000"/>
        </w:rPr>
        <w:t>1</w:t>
      </w:r>
      <w:r>
        <w:rPr>
          <w:color w:val="000000"/>
        </w:rPr>
        <w:t>、上表中</w:t>
      </w:r>
      <w:r>
        <w:rPr>
          <w:color w:val="000000"/>
        </w:rPr>
        <w:t>“</w:t>
      </w:r>
      <w:r>
        <w:rPr>
          <w:color w:val="000000"/>
        </w:rPr>
        <w:t>报告期</w:t>
      </w:r>
      <w:r>
        <w:rPr>
          <w:color w:val="000000"/>
        </w:rPr>
        <w:t>”</w:t>
      </w:r>
      <w:r>
        <w:rPr>
          <w:color w:val="000000"/>
        </w:rPr>
        <w:t>指</w:t>
      </w:r>
      <w:r>
        <w:rPr>
          <w:color w:val="000000"/>
        </w:rPr>
        <w:t>2020</w:t>
      </w:r>
      <w:r>
        <w:rPr>
          <w:color w:val="000000"/>
        </w:rPr>
        <w:t>年</w:t>
      </w:r>
      <w:r>
        <w:rPr>
          <w:color w:val="000000"/>
        </w:rPr>
        <w:t>1</w:t>
      </w:r>
      <w:r>
        <w:rPr>
          <w:color w:val="000000"/>
        </w:rPr>
        <w:t>月</w:t>
      </w:r>
      <w:r>
        <w:rPr>
          <w:color w:val="000000"/>
        </w:rPr>
        <w:t>1</w:t>
      </w:r>
      <w:r>
        <w:rPr>
          <w:color w:val="000000"/>
        </w:rPr>
        <w:t>日至</w:t>
      </w:r>
      <w:r>
        <w:rPr>
          <w:color w:val="000000"/>
        </w:rPr>
        <w:t>2020</w:t>
      </w:r>
      <w:r>
        <w:rPr>
          <w:color w:val="000000"/>
        </w:rPr>
        <w:t>年</w:t>
      </w:r>
      <w:r>
        <w:rPr>
          <w:color w:val="000000"/>
        </w:rPr>
        <w:t>7</w:t>
      </w:r>
      <w:r>
        <w:rPr>
          <w:color w:val="000000"/>
        </w:rPr>
        <w:t>月</w:t>
      </w:r>
      <w:r>
        <w:rPr>
          <w:color w:val="000000"/>
        </w:rPr>
        <w:t>27</w:t>
      </w:r>
      <w:r>
        <w:rPr>
          <w:color w:val="000000"/>
        </w:rPr>
        <w:t>日；</w:t>
      </w:r>
    </w:p>
    <w:p w:rsidR="003663E4" w:rsidRDefault="00FD3F7D">
      <w:pPr>
        <w:autoSpaceDE w:val="0"/>
        <w:autoSpaceDN w:val="0"/>
        <w:adjustRightInd w:val="0"/>
        <w:spacing w:line="360" w:lineRule="auto"/>
        <w:ind w:firstLineChars="200" w:firstLine="420"/>
        <w:jc w:val="left"/>
        <w:rPr>
          <w:color w:val="000000"/>
        </w:rPr>
      </w:pPr>
      <w:r>
        <w:rPr>
          <w:color w:val="000000"/>
        </w:rPr>
        <w:t>2</w:t>
      </w:r>
      <w:r>
        <w:rPr>
          <w:color w:val="000000"/>
        </w:rPr>
        <w:t>、如果本报告期间发生转换入、份额类别调整、红利再投业务，则总申购份额中包含该业务；</w:t>
      </w:r>
    </w:p>
    <w:p w:rsidR="003663E4" w:rsidRDefault="00FD3F7D">
      <w:pPr>
        <w:autoSpaceDE w:val="0"/>
        <w:autoSpaceDN w:val="0"/>
        <w:adjustRightInd w:val="0"/>
        <w:spacing w:line="360" w:lineRule="auto"/>
        <w:ind w:firstLineChars="200" w:firstLine="420"/>
        <w:jc w:val="left"/>
        <w:rPr>
          <w:color w:val="000000"/>
        </w:rPr>
      </w:pPr>
      <w:r>
        <w:rPr>
          <w:color w:val="000000"/>
        </w:rPr>
        <w:t>3</w:t>
      </w:r>
      <w:r>
        <w:rPr>
          <w:color w:val="000000"/>
        </w:rPr>
        <w:t>、如果本报告期间发生转换出业务，则总赎回份额中包含该业务。</w:t>
      </w:r>
    </w:p>
    <w:p w:rsidR="003663E4" w:rsidRDefault="00FD3F7D">
      <w:pPr>
        <w:pStyle w:val="1"/>
        <w:keepNext/>
        <w:keepLines/>
        <w:widowControl w:val="0"/>
        <w:spacing w:before="240" w:after="240" w:line="360" w:lineRule="auto"/>
        <w:jc w:val="center"/>
        <w:rPr>
          <w:b/>
          <w:bCs/>
          <w:color w:val="000000"/>
          <w:sz w:val="21"/>
          <w:szCs w:val="21"/>
        </w:rPr>
      </w:pPr>
      <w:bookmarkStart w:id="308" w:name="_Toc13035"/>
      <w:r>
        <w:rPr>
          <w:rFonts w:hint="eastAsia"/>
          <w:b/>
          <w:bCs/>
          <w:color w:val="000000"/>
          <w:sz w:val="21"/>
          <w:szCs w:val="21"/>
        </w:rPr>
        <w:t>§</w:t>
      </w:r>
      <w:r>
        <w:rPr>
          <w:rFonts w:hint="eastAsia"/>
          <w:b/>
          <w:bCs/>
          <w:color w:val="000000"/>
          <w:sz w:val="21"/>
          <w:szCs w:val="21"/>
        </w:rPr>
        <w:t xml:space="preserve">11 </w:t>
      </w:r>
      <w:r>
        <w:rPr>
          <w:rFonts w:hint="eastAsia"/>
          <w:b/>
          <w:bCs/>
          <w:color w:val="000000"/>
          <w:sz w:val="21"/>
          <w:szCs w:val="21"/>
        </w:rPr>
        <w:t>重大事件揭示</w:t>
      </w:r>
      <w:bookmarkEnd w:id="305"/>
      <w:bookmarkEnd w:id="306"/>
      <w:bookmarkEnd w:id="307"/>
      <w:bookmarkEnd w:id="308"/>
    </w:p>
    <w:p w:rsidR="003663E4" w:rsidRDefault="00FD3F7D">
      <w:pPr>
        <w:pStyle w:val="2"/>
        <w:spacing w:before="0" w:after="0"/>
        <w:rPr>
          <w:rFonts w:ascii="Times New Roman" w:hAnsi="Times New Roman"/>
          <w:color w:val="000000"/>
          <w:kern w:val="0"/>
          <w:sz w:val="21"/>
          <w:szCs w:val="21"/>
        </w:rPr>
      </w:pPr>
      <w:bookmarkStart w:id="309" w:name="_Toc361324894"/>
      <w:bookmarkStart w:id="310" w:name="_Toc409100099"/>
      <w:bookmarkStart w:id="311" w:name="_Toc409100462"/>
      <w:bookmarkStart w:id="312" w:name="_Toc23339432"/>
      <w:bookmarkStart w:id="313" w:name="_Toc508540338"/>
      <w:bookmarkStart w:id="314" w:name="_Toc30392"/>
      <w:r>
        <w:rPr>
          <w:rFonts w:ascii="Times New Roman" w:hAnsi="Times New Roman" w:hint="eastAsia"/>
          <w:color w:val="000000"/>
          <w:kern w:val="0"/>
          <w:sz w:val="21"/>
          <w:szCs w:val="21"/>
        </w:rPr>
        <w:t xml:space="preserve">11.1 </w:t>
      </w:r>
      <w:r>
        <w:rPr>
          <w:rFonts w:ascii="Times New Roman" w:hAnsi="Times New Roman"/>
          <w:color w:val="000000"/>
          <w:kern w:val="0"/>
          <w:sz w:val="21"/>
          <w:szCs w:val="21"/>
        </w:rPr>
        <w:t>基金份额持有人大会决议</w:t>
      </w:r>
      <w:bookmarkEnd w:id="309"/>
      <w:bookmarkEnd w:id="310"/>
      <w:bookmarkEnd w:id="311"/>
      <w:bookmarkEnd w:id="312"/>
      <w:bookmarkEnd w:id="313"/>
      <w:bookmarkEnd w:id="314"/>
    </w:p>
    <w:p w:rsidR="003663E4" w:rsidRDefault="00FD3F7D">
      <w:pPr>
        <w:spacing w:line="360" w:lineRule="auto"/>
        <w:ind w:firstLineChars="200" w:firstLine="420"/>
        <w:rPr>
          <w:color w:val="000000"/>
          <w:szCs w:val="21"/>
        </w:rPr>
      </w:pPr>
      <w:r>
        <w:rPr>
          <w:color w:val="000000"/>
          <w:szCs w:val="21"/>
        </w:rPr>
        <w:t>本基金管理人于</w:t>
      </w:r>
      <w:r>
        <w:rPr>
          <w:color w:val="000000"/>
          <w:szCs w:val="21"/>
        </w:rPr>
        <w:t>2020</w:t>
      </w:r>
      <w:r>
        <w:rPr>
          <w:color w:val="000000"/>
          <w:szCs w:val="21"/>
        </w:rPr>
        <w:t>年</w:t>
      </w:r>
      <w:r>
        <w:rPr>
          <w:color w:val="000000"/>
          <w:szCs w:val="21"/>
        </w:rPr>
        <w:t>5</w:t>
      </w:r>
      <w:r>
        <w:rPr>
          <w:color w:val="000000"/>
          <w:szCs w:val="21"/>
        </w:rPr>
        <w:t>月</w:t>
      </w:r>
      <w:r>
        <w:rPr>
          <w:color w:val="000000"/>
          <w:szCs w:val="21"/>
        </w:rPr>
        <w:t>22</w:t>
      </w:r>
      <w:r>
        <w:rPr>
          <w:color w:val="000000"/>
          <w:szCs w:val="21"/>
        </w:rPr>
        <w:t>日起至</w:t>
      </w:r>
      <w:r>
        <w:rPr>
          <w:color w:val="000000"/>
          <w:szCs w:val="21"/>
        </w:rPr>
        <w:t>2020</w:t>
      </w:r>
      <w:r>
        <w:rPr>
          <w:color w:val="000000"/>
          <w:szCs w:val="21"/>
        </w:rPr>
        <w:t>年</w:t>
      </w:r>
      <w:r>
        <w:rPr>
          <w:color w:val="000000"/>
          <w:szCs w:val="21"/>
        </w:rPr>
        <w:t>6</w:t>
      </w:r>
      <w:r>
        <w:rPr>
          <w:color w:val="000000"/>
          <w:szCs w:val="21"/>
        </w:rPr>
        <w:t>月</w:t>
      </w:r>
      <w:r>
        <w:rPr>
          <w:color w:val="000000"/>
          <w:szCs w:val="21"/>
        </w:rPr>
        <w:t>22</w:t>
      </w:r>
      <w:r>
        <w:rPr>
          <w:color w:val="000000"/>
          <w:szCs w:val="21"/>
        </w:rPr>
        <w:t>日</w:t>
      </w:r>
      <w:r>
        <w:rPr>
          <w:color w:val="000000"/>
          <w:szCs w:val="21"/>
        </w:rPr>
        <w:t>17</w:t>
      </w:r>
      <w:r>
        <w:rPr>
          <w:color w:val="000000"/>
          <w:szCs w:val="21"/>
        </w:rPr>
        <w:t>：</w:t>
      </w:r>
      <w:r>
        <w:rPr>
          <w:color w:val="000000"/>
          <w:szCs w:val="21"/>
        </w:rPr>
        <w:t>00</w:t>
      </w:r>
      <w:r>
        <w:rPr>
          <w:color w:val="000000"/>
          <w:szCs w:val="21"/>
        </w:rPr>
        <w:t>止以通讯方式召开本基金的基金份额持有人大会，就本基金转型及基金合同修改有关事项的议案进行表决。本次基金份额持有人大会于</w:t>
      </w:r>
      <w:r>
        <w:rPr>
          <w:color w:val="000000"/>
          <w:szCs w:val="21"/>
        </w:rPr>
        <w:t>2020</w:t>
      </w:r>
      <w:r>
        <w:rPr>
          <w:color w:val="000000"/>
          <w:szCs w:val="21"/>
        </w:rPr>
        <w:t>年</w:t>
      </w:r>
      <w:r>
        <w:rPr>
          <w:color w:val="000000"/>
          <w:szCs w:val="21"/>
        </w:rPr>
        <w:t>6</w:t>
      </w:r>
      <w:r>
        <w:rPr>
          <w:color w:val="000000"/>
          <w:szCs w:val="21"/>
        </w:rPr>
        <w:t>月</w:t>
      </w:r>
      <w:r>
        <w:rPr>
          <w:color w:val="000000"/>
          <w:szCs w:val="21"/>
        </w:rPr>
        <w:t>23</w:t>
      </w:r>
      <w:r>
        <w:rPr>
          <w:color w:val="000000"/>
          <w:szCs w:val="21"/>
        </w:rPr>
        <w:t>日表决通过了《关于交银施罗德理财</w:t>
      </w:r>
      <w:r>
        <w:rPr>
          <w:color w:val="000000"/>
          <w:szCs w:val="21"/>
        </w:rPr>
        <w:t>60</w:t>
      </w:r>
      <w:r>
        <w:rPr>
          <w:color w:val="000000"/>
          <w:szCs w:val="21"/>
        </w:rPr>
        <w:t>天债券型证券投资基金转型及修改基金合同有关事项的议案》，本次基金份额持有人大会决议自该日起生效，正式实施转型日为</w:t>
      </w: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日。详情请查阅本基金管理人于</w:t>
      </w:r>
      <w:r>
        <w:rPr>
          <w:color w:val="000000"/>
          <w:szCs w:val="21"/>
        </w:rPr>
        <w:t>2020</w:t>
      </w:r>
      <w:r>
        <w:rPr>
          <w:color w:val="000000"/>
          <w:szCs w:val="21"/>
        </w:rPr>
        <w:t>年</w:t>
      </w:r>
      <w:r>
        <w:rPr>
          <w:color w:val="000000"/>
          <w:szCs w:val="21"/>
        </w:rPr>
        <w:t>6</w:t>
      </w:r>
      <w:r>
        <w:rPr>
          <w:color w:val="000000"/>
          <w:szCs w:val="21"/>
        </w:rPr>
        <w:t>月</w:t>
      </w:r>
      <w:r>
        <w:rPr>
          <w:color w:val="000000"/>
          <w:szCs w:val="21"/>
        </w:rPr>
        <w:t>24</w:t>
      </w:r>
      <w:r>
        <w:rPr>
          <w:color w:val="000000"/>
          <w:szCs w:val="21"/>
        </w:rPr>
        <w:t>日发布的《交银施罗德基金管理有限公司关于交银施罗德理财</w:t>
      </w:r>
      <w:r>
        <w:rPr>
          <w:color w:val="000000"/>
          <w:szCs w:val="21"/>
        </w:rPr>
        <w:t>60</w:t>
      </w:r>
      <w:r>
        <w:rPr>
          <w:color w:val="000000"/>
          <w:szCs w:val="21"/>
        </w:rPr>
        <w:t>天债券型证券投资基金基金份额持有人大会</w:t>
      </w:r>
      <w:r>
        <w:rPr>
          <w:color w:val="000000"/>
          <w:szCs w:val="21"/>
        </w:rPr>
        <w:t>表决结果暨决议生效的公告》。</w:t>
      </w:r>
    </w:p>
    <w:p w:rsidR="003663E4" w:rsidRDefault="00FD3F7D">
      <w:pPr>
        <w:pStyle w:val="2"/>
        <w:spacing w:before="0" w:after="0"/>
        <w:rPr>
          <w:rFonts w:ascii="Times New Roman" w:hAnsi="Times New Roman"/>
          <w:color w:val="000000"/>
          <w:kern w:val="0"/>
          <w:sz w:val="21"/>
          <w:szCs w:val="21"/>
        </w:rPr>
      </w:pPr>
      <w:bookmarkStart w:id="315" w:name="_Toc409100463"/>
      <w:bookmarkStart w:id="316" w:name="_Toc508540339"/>
      <w:bookmarkStart w:id="317" w:name="_Toc361324895"/>
      <w:bookmarkStart w:id="318" w:name="_Toc23339433"/>
      <w:bookmarkStart w:id="319" w:name="_Toc409100100"/>
      <w:bookmarkStart w:id="320" w:name="_Toc6977"/>
      <w:r>
        <w:rPr>
          <w:rFonts w:ascii="Times New Roman" w:hAnsi="Times New Roman" w:hint="eastAsia"/>
          <w:color w:val="000000"/>
          <w:kern w:val="0"/>
          <w:sz w:val="21"/>
          <w:szCs w:val="21"/>
        </w:rPr>
        <w:t>11.2</w:t>
      </w:r>
      <w:r>
        <w:rPr>
          <w:rFonts w:ascii="Times New Roman" w:hAnsi="Times New Roman"/>
          <w:color w:val="000000"/>
          <w:kern w:val="0"/>
          <w:sz w:val="21"/>
          <w:szCs w:val="21"/>
        </w:rPr>
        <w:t xml:space="preserve"> </w:t>
      </w:r>
      <w:r>
        <w:rPr>
          <w:rFonts w:ascii="Times New Roman" w:hAnsi="Times New Roman"/>
          <w:color w:val="000000"/>
          <w:kern w:val="0"/>
          <w:sz w:val="21"/>
          <w:szCs w:val="21"/>
        </w:rPr>
        <w:t>基金管理人、基金托管人的专门基金托管部门的重大人事变动</w:t>
      </w:r>
      <w:bookmarkEnd w:id="315"/>
      <w:bookmarkEnd w:id="316"/>
      <w:bookmarkEnd w:id="317"/>
      <w:bookmarkEnd w:id="318"/>
      <w:bookmarkEnd w:id="319"/>
      <w:bookmarkEnd w:id="320"/>
    </w:p>
    <w:p w:rsidR="003663E4" w:rsidRDefault="00FD3F7D">
      <w:pPr>
        <w:spacing w:line="360" w:lineRule="auto"/>
        <w:ind w:firstLineChars="200" w:firstLine="420"/>
        <w:rPr>
          <w:color w:val="000000"/>
          <w:szCs w:val="21"/>
        </w:rPr>
      </w:pPr>
      <w:r>
        <w:rPr>
          <w:color w:val="000000"/>
          <w:szCs w:val="21"/>
        </w:rPr>
        <w:t>1</w:t>
      </w:r>
      <w:r>
        <w:rPr>
          <w:color w:val="000000"/>
          <w:szCs w:val="21"/>
        </w:rPr>
        <w:t>、基金管理人的重大人事变动：本报告期内，本基金的基金管理人未发生重大人事变动。</w:t>
      </w:r>
      <w:r>
        <w:rPr>
          <w:color w:val="000000"/>
          <w:szCs w:val="21"/>
        </w:rPr>
        <w:t xml:space="preserve"> </w:t>
      </w:r>
    </w:p>
    <w:p w:rsidR="003663E4" w:rsidRDefault="00FD3F7D">
      <w:pPr>
        <w:spacing w:line="360" w:lineRule="auto"/>
        <w:ind w:firstLineChars="200" w:firstLine="420"/>
        <w:rPr>
          <w:color w:val="000000"/>
          <w:szCs w:val="21"/>
        </w:rPr>
      </w:pPr>
      <w:r>
        <w:rPr>
          <w:color w:val="000000"/>
          <w:szCs w:val="21"/>
        </w:rPr>
        <w:t>2</w:t>
      </w:r>
      <w:r>
        <w:rPr>
          <w:color w:val="000000"/>
          <w:szCs w:val="21"/>
        </w:rPr>
        <w:t>、基金托管人的基金托管部门的重大人事变动：本基金托管人的专门基金托管部门本报告期内未发生重大人事变动。</w:t>
      </w:r>
    </w:p>
    <w:p w:rsidR="003663E4" w:rsidRDefault="00FD3F7D">
      <w:pPr>
        <w:pStyle w:val="2"/>
        <w:spacing w:before="0" w:after="0"/>
        <w:rPr>
          <w:rFonts w:ascii="Times New Roman" w:hAnsi="Times New Roman"/>
          <w:color w:val="000000"/>
          <w:kern w:val="0"/>
          <w:sz w:val="21"/>
          <w:szCs w:val="21"/>
        </w:rPr>
      </w:pPr>
      <w:bookmarkStart w:id="321" w:name="_Toc409100464"/>
      <w:bookmarkStart w:id="322" w:name="_Toc508540340"/>
      <w:bookmarkStart w:id="323" w:name="_Toc361324896"/>
      <w:bookmarkStart w:id="324" w:name="_Toc409100101"/>
      <w:bookmarkStart w:id="325" w:name="_Toc23339434"/>
      <w:bookmarkStart w:id="326" w:name="_Toc19658"/>
      <w:r>
        <w:rPr>
          <w:rFonts w:ascii="Times New Roman" w:hAnsi="Times New Roman" w:hint="eastAsia"/>
          <w:color w:val="000000"/>
          <w:kern w:val="0"/>
          <w:sz w:val="21"/>
          <w:szCs w:val="21"/>
        </w:rPr>
        <w:t>11.3</w:t>
      </w:r>
      <w:r>
        <w:rPr>
          <w:rFonts w:ascii="Times New Roman" w:hAnsi="Times New Roman"/>
          <w:color w:val="000000"/>
          <w:kern w:val="0"/>
          <w:sz w:val="21"/>
          <w:szCs w:val="21"/>
        </w:rPr>
        <w:t xml:space="preserve"> </w:t>
      </w:r>
      <w:r>
        <w:rPr>
          <w:rFonts w:ascii="Times New Roman" w:hAnsi="Times New Roman"/>
          <w:color w:val="000000"/>
          <w:kern w:val="0"/>
          <w:sz w:val="21"/>
          <w:szCs w:val="21"/>
        </w:rPr>
        <w:t>涉及基金管理人、基金财产、基金托管业务的诉讼</w:t>
      </w:r>
      <w:bookmarkEnd w:id="321"/>
      <w:bookmarkEnd w:id="322"/>
      <w:bookmarkEnd w:id="323"/>
      <w:bookmarkEnd w:id="324"/>
      <w:bookmarkEnd w:id="325"/>
      <w:bookmarkEnd w:id="326"/>
    </w:p>
    <w:p w:rsidR="003663E4" w:rsidRDefault="00FD3F7D">
      <w:pPr>
        <w:spacing w:line="360" w:lineRule="auto"/>
        <w:ind w:firstLineChars="200" w:firstLine="420"/>
        <w:rPr>
          <w:color w:val="000000"/>
          <w:szCs w:val="21"/>
        </w:rPr>
      </w:pPr>
      <w:r>
        <w:rPr>
          <w:color w:val="000000"/>
          <w:szCs w:val="21"/>
        </w:rPr>
        <w:t>本报告期内未发生涉及本基金管理人、基金财产、基金托管业务的诉讼事项。</w:t>
      </w:r>
    </w:p>
    <w:p w:rsidR="003663E4" w:rsidRDefault="00FD3F7D">
      <w:pPr>
        <w:pStyle w:val="2"/>
        <w:spacing w:before="0" w:after="0"/>
        <w:rPr>
          <w:rFonts w:ascii="Times New Roman" w:hAnsi="Times New Roman"/>
          <w:color w:val="000000"/>
          <w:kern w:val="0"/>
          <w:sz w:val="21"/>
          <w:szCs w:val="21"/>
        </w:rPr>
      </w:pPr>
      <w:bookmarkStart w:id="327" w:name="_Toc508540341"/>
      <w:bookmarkStart w:id="328" w:name="_Toc23339435"/>
      <w:bookmarkStart w:id="329" w:name="_Toc361324897"/>
      <w:bookmarkStart w:id="330" w:name="_Toc409100102"/>
      <w:bookmarkStart w:id="331" w:name="_Toc409100465"/>
      <w:bookmarkStart w:id="332" w:name="_Toc19956"/>
      <w:r>
        <w:rPr>
          <w:rFonts w:ascii="Times New Roman" w:hAnsi="Times New Roman" w:hint="eastAsia"/>
          <w:color w:val="000000"/>
          <w:kern w:val="0"/>
          <w:sz w:val="21"/>
          <w:szCs w:val="21"/>
        </w:rPr>
        <w:t>11.4</w:t>
      </w:r>
      <w:r>
        <w:rPr>
          <w:rFonts w:ascii="Times New Roman" w:hAnsi="Times New Roman"/>
          <w:color w:val="000000"/>
          <w:kern w:val="0"/>
          <w:sz w:val="21"/>
          <w:szCs w:val="21"/>
        </w:rPr>
        <w:t xml:space="preserve"> </w:t>
      </w:r>
      <w:r>
        <w:rPr>
          <w:rFonts w:ascii="Times New Roman" w:hAnsi="Times New Roman"/>
          <w:color w:val="000000"/>
          <w:kern w:val="0"/>
          <w:sz w:val="21"/>
          <w:szCs w:val="21"/>
        </w:rPr>
        <w:t>基金投资策略的改变</w:t>
      </w:r>
      <w:bookmarkEnd w:id="327"/>
      <w:bookmarkEnd w:id="328"/>
      <w:bookmarkEnd w:id="329"/>
      <w:bookmarkEnd w:id="330"/>
      <w:bookmarkEnd w:id="331"/>
      <w:bookmarkEnd w:id="332"/>
    </w:p>
    <w:p w:rsidR="003663E4" w:rsidRDefault="00FD3F7D">
      <w:pPr>
        <w:spacing w:line="360" w:lineRule="auto"/>
        <w:ind w:firstLineChars="200" w:firstLine="420"/>
        <w:rPr>
          <w:color w:val="000000"/>
          <w:szCs w:val="21"/>
        </w:rPr>
      </w:pPr>
      <w:r>
        <w:rPr>
          <w:color w:val="000000"/>
          <w:szCs w:val="21"/>
        </w:rPr>
        <w:t>交银施罗德理财</w:t>
      </w:r>
      <w:r>
        <w:rPr>
          <w:color w:val="000000"/>
          <w:szCs w:val="21"/>
        </w:rPr>
        <w:t>60</w:t>
      </w:r>
      <w:r>
        <w:rPr>
          <w:color w:val="000000"/>
          <w:szCs w:val="21"/>
        </w:rPr>
        <w:t>天债券型证券投资基金于</w:t>
      </w:r>
      <w:r>
        <w:rPr>
          <w:color w:val="000000"/>
          <w:szCs w:val="21"/>
        </w:rPr>
        <w:t>2020</w:t>
      </w:r>
      <w:r>
        <w:rPr>
          <w:color w:val="000000"/>
          <w:szCs w:val="21"/>
        </w:rPr>
        <w:t>年</w:t>
      </w:r>
      <w:r>
        <w:rPr>
          <w:color w:val="000000"/>
          <w:szCs w:val="21"/>
        </w:rPr>
        <w:t>6</w:t>
      </w:r>
      <w:r>
        <w:rPr>
          <w:color w:val="000000"/>
          <w:szCs w:val="21"/>
        </w:rPr>
        <w:t>月</w:t>
      </w:r>
      <w:r>
        <w:rPr>
          <w:color w:val="000000"/>
          <w:szCs w:val="21"/>
        </w:rPr>
        <w:t>23</w:t>
      </w:r>
      <w:r>
        <w:rPr>
          <w:color w:val="000000"/>
          <w:szCs w:val="21"/>
        </w:rPr>
        <w:t>日召开基金份额持有人大会审议并表决通过了《关于交银施罗德理财</w:t>
      </w:r>
      <w:r>
        <w:rPr>
          <w:color w:val="000000"/>
          <w:szCs w:val="21"/>
        </w:rPr>
        <w:t>60</w:t>
      </w:r>
      <w:r>
        <w:rPr>
          <w:color w:val="000000"/>
          <w:szCs w:val="21"/>
        </w:rPr>
        <w:t>天债券型证券投资基金转型及修改基金合同有关事项的议案》，修订后的《交银施罗德裕惠纯债债券型证券投资基金基金合同》与《交银施罗德裕惠纯债债券型证券投资基金托管协议》自</w:t>
      </w:r>
      <w:r>
        <w:rPr>
          <w:color w:val="000000"/>
          <w:szCs w:val="21"/>
        </w:rPr>
        <w:t>2020</w:t>
      </w:r>
      <w:r>
        <w:rPr>
          <w:color w:val="000000"/>
          <w:szCs w:val="21"/>
        </w:rPr>
        <w:t>年</w:t>
      </w:r>
      <w:r>
        <w:rPr>
          <w:color w:val="000000"/>
          <w:szCs w:val="21"/>
        </w:rPr>
        <w:t>7</w:t>
      </w:r>
      <w:r>
        <w:rPr>
          <w:color w:val="000000"/>
          <w:szCs w:val="21"/>
        </w:rPr>
        <w:t>月</w:t>
      </w:r>
      <w:r>
        <w:rPr>
          <w:color w:val="000000"/>
          <w:szCs w:val="21"/>
        </w:rPr>
        <w:t>28</w:t>
      </w:r>
      <w:r>
        <w:rPr>
          <w:color w:val="000000"/>
          <w:szCs w:val="21"/>
        </w:rPr>
        <w:t>日起生效。基金的基金名称、投资目标、投资范围、投资策略、业绩比较基准、投资限制、基金的估值、基金的费用以及其他部分条款等按照修订后的《交银施罗德裕惠纯债债券型证券投资基金基金合同》相关规定进行运作。前述修改变</w:t>
      </w:r>
      <w:r>
        <w:rPr>
          <w:color w:val="000000"/>
          <w:szCs w:val="21"/>
        </w:rPr>
        <w:t>更事项已按照相关法律法规及基金合同的约定履行相关手续。</w:t>
      </w:r>
    </w:p>
    <w:p w:rsidR="003663E4" w:rsidRDefault="00FD3F7D">
      <w:pPr>
        <w:pStyle w:val="2"/>
        <w:spacing w:before="0" w:after="0"/>
        <w:rPr>
          <w:rFonts w:ascii="Times New Roman" w:hAnsi="Times New Roman"/>
          <w:color w:val="000000"/>
          <w:kern w:val="0"/>
          <w:sz w:val="21"/>
          <w:szCs w:val="21"/>
        </w:rPr>
      </w:pPr>
      <w:bookmarkStart w:id="333" w:name="_Toc409100466"/>
      <w:bookmarkStart w:id="334" w:name="_Toc499640604"/>
      <w:bookmarkStart w:id="335" w:name="_Toc508540343"/>
      <w:bookmarkStart w:id="336" w:name="_Toc409100103"/>
      <w:bookmarkStart w:id="337" w:name="_Toc23339437"/>
      <w:bookmarkStart w:id="338" w:name="_Toc28562"/>
      <w:r>
        <w:rPr>
          <w:rFonts w:ascii="Times New Roman" w:hAnsi="Times New Roman" w:hint="eastAsia"/>
          <w:color w:val="000000"/>
          <w:kern w:val="0"/>
          <w:sz w:val="21"/>
          <w:szCs w:val="21"/>
        </w:rPr>
        <w:t xml:space="preserve">11.5 </w:t>
      </w:r>
      <w:r>
        <w:rPr>
          <w:rFonts w:ascii="Times New Roman" w:hAnsi="Times New Roman"/>
          <w:color w:val="000000"/>
          <w:kern w:val="0"/>
          <w:sz w:val="21"/>
          <w:szCs w:val="21"/>
        </w:rPr>
        <w:t>为基金进行审计的会计师事务所情况</w:t>
      </w:r>
      <w:bookmarkEnd w:id="333"/>
      <w:bookmarkEnd w:id="334"/>
      <w:bookmarkEnd w:id="335"/>
      <w:bookmarkEnd w:id="336"/>
      <w:bookmarkEnd w:id="337"/>
      <w:bookmarkEnd w:id="338"/>
    </w:p>
    <w:p w:rsidR="003663E4" w:rsidRDefault="00FD3F7D">
      <w:pPr>
        <w:spacing w:line="360" w:lineRule="auto"/>
        <w:ind w:firstLineChars="200" w:firstLine="420"/>
        <w:rPr>
          <w:color w:val="000000"/>
          <w:szCs w:val="21"/>
        </w:rPr>
      </w:pPr>
      <w:bookmarkStart w:id="339" w:name="OLE_LINK3"/>
      <w:r>
        <w:rPr>
          <w:color w:val="000000"/>
          <w:szCs w:val="21"/>
        </w:rPr>
        <w:t>本报告期内，为本基金提供审计服务的会计师事务所为普华永道中天会计师事务所（特殊普通合伙），本期审计费用为</w:t>
      </w:r>
      <w:r>
        <w:rPr>
          <w:color w:val="000000"/>
          <w:szCs w:val="21"/>
        </w:rPr>
        <w:t>90,000.00</w:t>
      </w:r>
      <w:r>
        <w:rPr>
          <w:color w:val="000000"/>
          <w:szCs w:val="21"/>
        </w:rPr>
        <w:t>元</w:t>
      </w:r>
      <w:r>
        <w:rPr>
          <w:color w:val="000000"/>
          <w:szCs w:val="21"/>
        </w:rPr>
        <w:t xml:space="preserve"> </w:t>
      </w:r>
      <w:r>
        <w:rPr>
          <w:color w:val="000000"/>
          <w:szCs w:val="21"/>
        </w:rPr>
        <w:t>。自本基金合同生效以来，本基金未改聘为其审计的会计师事务所。</w:t>
      </w:r>
    </w:p>
    <w:p w:rsidR="003663E4" w:rsidRDefault="00FD3F7D">
      <w:pPr>
        <w:pStyle w:val="2"/>
        <w:spacing w:before="0" w:after="0"/>
        <w:rPr>
          <w:rFonts w:ascii="Times New Roman" w:hAnsi="Times New Roman"/>
          <w:color w:val="000000"/>
          <w:kern w:val="0"/>
          <w:sz w:val="21"/>
          <w:szCs w:val="21"/>
        </w:rPr>
      </w:pPr>
      <w:bookmarkStart w:id="340" w:name="_Toc361324899"/>
      <w:bookmarkStart w:id="341" w:name="_Toc409100467"/>
      <w:bookmarkStart w:id="342" w:name="_Toc409100104"/>
      <w:bookmarkStart w:id="343" w:name="_Toc23339438"/>
      <w:bookmarkStart w:id="344" w:name="_Toc508540344"/>
      <w:bookmarkStart w:id="345" w:name="_Toc499640605"/>
      <w:bookmarkStart w:id="346" w:name="_Toc10262"/>
      <w:bookmarkEnd w:id="339"/>
      <w:r>
        <w:rPr>
          <w:rFonts w:ascii="Times New Roman" w:hAnsi="Times New Roman" w:hint="eastAsia"/>
          <w:color w:val="000000"/>
          <w:kern w:val="0"/>
          <w:sz w:val="21"/>
          <w:szCs w:val="21"/>
        </w:rPr>
        <w:t>11.6</w:t>
      </w:r>
      <w:r>
        <w:rPr>
          <w:rFonts w:ascii="Times New Roman" w:hAnsi="Times New Roman"/>
          <w:color w:val="000000"/>
          <w:kern w:val="0"/>
          <w:sz w:val="21"/>
          <w:szCs w:val="21"/>
        </w:rPr>
        <w:t xml:space="preserve"> </w:t>
      </w:r>
      <w:r>
        <w:rPr>
          <w:rFonts w:ascii="Times New Roman" w:hAnsi="Times New Roman"/>
          <w:color w:val="000000"/>
          <w:kern w:val="0"/>
          <w:sz w:val="21"/>
          <w:szCs w:val="21"/>
        </w:rPr>
        <w:t>管理人、托管人及其高级管理人员受稽查或处罚等情况</w:t>
      </w:r>
      <w:bookmarkEnd w:id="340"/>
      <w:bookmarkEnd w:id="341"/>
      <w:bookmarkEnd w:id="342"/>
      <w:bookmarkEnd w:id="343"/>
      <w:bookmarkEnd w:id="344"/>
      <w:bookmarkEnd w:id="345"/>
      <w:bookmarkEnd w:id="346"/>
    </w:p>
    <w:p w:rsidR="003663E4" w:rsidRDefault="00FD3F7D">
      <w:pPr>
        <w:spacing w:line="360" w:lineRule="auto"/>
        <w:ind w:firstLineChars="200" w:firstLine="420"/>
        <w:rPr>
          <w:color w:val="000000"/>
          <w:szCs w:val="21"/>
        </w:rPr>
      </w:pPr>
      <w:r>
        <w:rPr>
          <w:color w:val="000000"/>
          <w:szCs w:val="21"/>
        </w:rPr>
        <w:t>1</w:t>
      </w:r>
      <w:r>
        <w:rPr>
          <w:color w:val="000000"/>
          <w:szCs w:val="21"/>
        </w:rPr>
        <w:t>、管理人及其高级管理人员受稽查或处罚等情况</w:t>
      </w:r>
    </w:p>
    <w:p w:rsidR="003663E4" w:rsidRDefault="00FD3F7D">
      <w:pPr>
        <w:spacing w:line="360" w:lineRule="auto"/>
        <w:ind w:firstLineChars="200" w:firstLine="420"/>
        <w:rPr>
          <w:color w:val="000000"/>
          <w:szCs w:val="21"/>
        </w:rPr>
      </w:pPr>
      <w:r>
        <w:rPr>
          <w:color w:val="000000"/>
          <w:szCs w:val="21"/>
        </w:rPr>
        <w:t>基金管理人及其高级管理人员本报告期内未受监管部门稽查或处罚。</w:t>
      </w:r>
    </w:p>
    <w:p w:rsidR="003663E4" w:rsidRDefault="00FD3F7D">
      <w:pPr>
        <w:spacing w:line="360" w:lineRule="auto"/>
        <w:ind w:firstLineChars="200" w:firstLine="420"/>
        <w:rPr>
          <w:color w:val="000000"/>
          <w:szCs w:val="21"/>
        </w:rPr>
      </w:pPr>
      <w:r>
        <w:rPr>
          <w:color w:val="000000"/>
          <w:szCs w:val="21"/>
        </w:rPr>
        <w:t>2</w:t>
      </w:r>
      <w:r>
        <w:rPr>
          <w:color w:val="000000"/>
          <w:szCs w:val="21"/>
        </w:rPr>
        <w:t>、托管人及其高级管理人员受稽查或处罚等情况</w:t>
      </w:r>
    </w:p>
    <w:p w:rsidR="003663E4" w:rsidRDefault="00FD3F7D">
      <w:pPr>
        <w:spacing w:line="360" w:lineRule="auto"/>
        <w:ind w:firstLineChars="200" w:firstLine="420"/>
        <w:rPr>
          <w:color w:val="000000"/>
          <w:szCs w:val="21"/>
        </w:rPr>
      </w:pPr>
      <w:r>
        <w:rPr>
          <w:color w:val="000000"/>
          <w:szCs w:val="21"/>
        </w:rPr>
        <w:t>基金托管人</w:t>
      </w:r>
      <w:r>
        <w:rPr>
          <w:color w:val="000000"/>
          <w:szCs w:val="21"/>
        </w:rPr>
        <w:t>及其高级管理人员本报告期内未受监管部门稽查或处罚。</w:t>
      </w:r>
    </w:p>
    <w:p w:rsidR="003663E4" w:rsidRDefault="00FD3F7D">
      <w:pPr>
        <w:pStyle w:val="2"/>
        <w:spacing w:before="0" w:after="0"/>
        <w:rPr>
          <w:rFonts w:ascii="Times New Roman" w:hAnsi="Times New Roman"/>
          <w:color w:val="000000"/>
          <w:kern w:val="0"/>
          <w:sz w:val="21"/>
          <w:szCs w:val="21"/>
        </w:rPr>
      </w:pPr>
      <w:bookmarkStart w:id="347" w:name="_Toc499640606"/>
      <w:bookmarkStart w:id="348" w:name="_Toc508540345"/>
      <w:bookmarkStart w:id="349" w:name="_Toc23339439"/>
      <w:bookmarkStart w:id="350" w:name="_Toc361324900"/>
      <w:bookmarkStart w:id="351" w:name="_Toc16481"/>
      <w:bookmarkStart w:id="352" w:name="_Toc249760070"/>
      <w:r>
        <w:rPr>
          <w:rFonts w:ascii="Times New Roman" w:hAnsi="Times New Roman" w:hint="eastAsia"/>
          <w:color w:val="000000"/>
          <w:kern w:val="0"/>
          <w:sz w:val="21"/>
          <w:szCs w:val="21"/>
        </w:rPr>
        <w:t>11.7</w:t>
      </w:r>
      <w:r>
        <w:rPr>
          <w:rFonts w:ascii="Times New Roman" w:hAnsi="Times New Roman"/>
          <w:color w:val="000000"/>
          <w:kern w:val="0"/>
          <w:sz w:val="21"/>
          <w:szCs w:val="21"/>
        </w:rPr>
        <w:t xml:space="preserve"> </w:t>
      </w:r>
      <w:r>
        <w:rPr>
          <w:rFonts w:ascii="Times New Roman" w:hAnsi="Times New Roman"/>
          <w:color w:val="000000"/>
          <w:kern w:val="0"/>
          <w:sz w:val="21"/>
          <w:szCs w:val="21"/>
        </w:rPr>
        <w:t>基金租用证券公司交易单元的有关情况</w:t>
      </w:r>
      <w:bookmarkEnd w:id="347"/>
      <w:bookmarkEnd w:id="348"/>
      <w:bookmarkEnd w:id="349"/>
      <w:bookmarkEnd w:id="350"/>
      <w:bookmarkEnd w:id="351"/>
    </w:p>
    <w:p w:rsidR="003663E4" w:rsidRDefault="00FD3F7D">
      <w:pPr>
        <w:autoSpaceDE w:val="0"/>
        <w:autoSpaceDN w:val="0"/>
        <w:adjustRightInd w:val="0"/>
        <w:snapToGrid w:val="0"/>
        <w:spacing w:line="360" w:lineRule="auto"/>
        <w:jc w:val="left"/>
        <w:rPr>
          <w:rFonts w:eastAsiaTheme="minorEastAsia"/>
          <w:b/>
          <w:bCs/>
          <w:kern w:val="0"/>
          <w:szCs w:val="21"/>
        </w:rPr>
      </w:pPr>
      <w:r>
        <w:rPr>
          <w:rFonts w:eastAsiaTheme="minorEastAsia"/>
          <w:b/>
          <w:bCs/>
          <w:kern w:val="0"/>
          <w:szCs w:val="21"/>
        </w:rPr>
        <w:t>11.7.</w:t>
      </w:r>
      <w:r>
        <w:rPr>
          <w:rFonts w:eastAsiaTheme="minorEastAsia" w:hint="eastAsia"/>
          <w:b/>
          <w:bCs/>
          <w:kern w:val="0"/>
          <w:szCs w:val="21"/>
        </w:rPr>
        <w:t xml:space="preserve">1 </w:t>
      </w:r>
      <w:r>
        <w:rPr>
          <w:rFonts w:eastAsiaTheme="minorEastAsia"/>
          <w:b/>
          <w:bCs/>
          <w:kern w:val="0"/>
          <w:szCs w:val="21"/>
        </w:rPr>
        <w:t>交银施罗德裕惠纯债债券型证券投资基金</w:t>
      </w:r>
    </w:p>
    <w:p w:rsidR="003663E4" w:rsidRDefault="00FD3F7D">
      <w:pPr>
        <w:autoSpaceDE w:val="0"/>
        <w:autoSpaceDN w:val="0"/>
        <w:adjustRightInd w:val="0"/>
        <w:snapToGrid w:val="0"/>
        <w:spacing w:line="360" w:lineRule="auto"/>
        <w:jc w:val="left"/>
        <w:rPr>
          <w:rFonts w:eastAsiaTheme="minorEastAsia"/>
          <w:b/>
          <w:bCs/>
          <w:kern w:val="0"/>
          <w:szCs w:val="21"/>
        </w:rPr>
      </w:pPr>
      <w:r>
        <w:rPr>
          <w:rFonts w:eastAsiaTheme="minorEastAsia"/>
          <w:b/>
          <w:color w:val="000000"/>
          <w:kern w:val="0"/>
          <w:szCs w:val="21"/>
        </w:rPr>
        <w:t>（报告期：</w:t>
      </w:r>
      <w:r>
        <w:rPr>
          <w:rFonts w:eastAsiaTheme="minorEastAsia"/>
          <w:b/>
          <w:color w:val="000000"/>
          <w:kern w:val="0"/>
          <w:szCs w:val="21"/>
        </w:rPr>
        <w:t>2020</w:t>
      </w:r>
      <w:r>
        <w:rPr>
          <w:rFonts w:eastAsiaTheme="minorEastAsia"/>
          <w:b/>
          <w:color w:val="000000"/>
          <w:kern w:val="0"/>
          <w:szCs w:val="21"/>
        </w:rPr>
        <w:t>年</w:t>
      </w:r>
      <w:r>
        <w:rPr>
          <w:rFonts w:eastAsiaTheme="minorEastAsia"/>
          <w:b/>
          <w:color w:val="000000"/>
          <w:kern w:val="0"/>
          <w:szCs w:val="21"/>
        </w:rPr>
        <w:t>7</w:t>
      </w:r>
      <w:r>
        <w:rPr>
          <w:rFonts w:eastAsiaTheme="minorEastAsia"/>
          <w:b/>
          <w:color w:val="000000"/>
          <w:kern w:val="0"/>
          <w:szCs w:val="21"/>
        </w:rPr>
        <w:t>月</w:t>
      </w:r>
      <w:r>
        <w:rPr>
          <w:rFonts w:eastAsiaTheme="minorEastAsia"/>
          <w:b/>
          <w:color w:val="000000"/>
          <w:kern w:val="0"/>
          <w:szCs w:val="21"/>
        </w:rPr>
        <w:t>28</w:t>
      </w:r>
      <w:r>
        <w:rPr>
          <w:rFonts w:eastAsiaTheme="minorEastAsia"/>
          <w:b/>
          <w:color w:val="000000"/>
          <w:kern w:val="0"/>
          <w:szCs w:val="21"/>
        </w:rPr>
        <w:t>日（基金合同生效日）</w:t>
      </w:r>
      <w:r>
        <w:rPr>
          <w:rFonts w:eastAsiaTheme="minorEastAsia"/>
          <w:b/>
          <w:color w:val="000000"/>
          <w:kern w:val="0"/>
          <w:szCs w:val="21"/>
        </w:rPr>
        <w:t>-2020</w:t>
      </w:r>
      <w:r>
        <w:rPr>
          <w:rFonts w:eastAsiaTheme="minorEastAsia"/>
          <w:b/>
          <w:color w:val="000000"/>
          <w:kern w:val="0"/>
          <w:szCs w:val="21"/>
        </w:rPr>
        <w:t>年</w:t>
      </w:r>
      <w:r>
        <w:rPr>
          <w:rFonts w:eastAsiaTheme="minorEastAsia"/>
          <w:b/>
          <w:color w:val="000000"/>
          <w:kern w:val="0"/>
          <w:szCs w:val="21"/>
        </w:rPr>
        <w:t>12</w:t>
      </w:r>
      <w:r>
        <w:rPr>
          <w:rFonts w:eastAsiaTheme="minorEastAsia"/>
          <w:b/>
          <w:color w:val="000000"/>
          <w:kern w:val="0"/>
          <w:szCs w:val="21"/>
        </w:rPr>
        <w:t>月</w:t>
      </w:r>
      <w:r>
        <w:rPr>
          <w:rFonts w:eastAsiaTheme="minorEastAsia"/>
          <w:b/>
          <w:color w:val="000000"/>
          <w:kern w:val="0"/>
          <w:szCs w:val="21"/>
        </w:rPr>
        <w:t>31</w:t>
      </w:r>
      <w:r>
        <w:rPr>
          <w:rFonts w:eastAsiaTheme="minorEastAsia"/>
          <w:b/>
          <w:color w:val="000000"/>
          <w:kern w:val="0"/>
          <w:szCs w:val="21"/>
        </w:rPr>
        <w:t>日</w:t>
      </w:r>
      <w:r>
        <w:rPr>
          <w:rFonts w:eastAsiaTheme="minorEastAsia"/>
          <w:b/>
          <w:color w:val="000000"/>
          <w:szCs w:val="21"/>
        </w:rPr>
        <w:t>）</w:t>
      </w:r>
    </w:p>
    <w:p w:rsidR="003663E4" w:rsidRDefault="00FD3F7D">
      <w:pPr>
        <w:spacing w:line="360" w:lineRule="auto"/>
        <w:rPr>
          <w:b/>
          <w:color w:val="000000"/>
          <w:szCs w:val="21"/>
        </w:rPr>
      </w:pPr>
      <w:r>
        <w:rPr>
          <w:b/>
          <w:color w:val="000000"/>
          <w:szCs w:val="21"/>
        </w:rPr>
        <w:t>11.7.</w:t>
      </w:r>
      <w:r>
        <w:rPr>
          <w:rFonts w:hint="eastAsia"/>
          <w:b/>
          <w:color w:val="000000"/>
          <w:szCs w:val="21"/>
        </w:rPr>
        <w:t>1</w:t>
      </w:r>
      <w:r>
        <w:rPr>
          <w:b/>
          <w:color w:val="000000"/>
          <w:szCs w:val="21"/>
        </w:rPr>
        <w:t>.</w:t>
      </w:r>
      <w:r>
        <w:rPr>
          <w:rFonts w:hint="eastAsia"/>
          <w:b/>
          <w:color w:val="000000"/>
          <w:szCs w:val="21"/>
        </w:rPr>
        <w:t xml:space="preserve">1 </w:t>
      </w:r>
      <w:r>
        <w:rPr>
          <w:b/>
          <w:color w:val="000000"/>
          <w:szCs w:val="21"/>
        </w:rPr>
        <w:t>基金租用证券公司交易单元进行股票投资及佣金支付情况</w:t>
      </w:r>
      <w:bookmarkEnd w:id="352"/>
    </w:p>
    <w:p w:rsidR="003663E4" w:rsidRDefault="00FD3F7D">
      <w:pPr>
        <w:pStyle w:val="a0"/>
        <w:spacing w:line="360" w:lineRule="auto"/>
        <w:ind w:firstLineChars="2600" w:firstLine="5460"/>
        <w:jc w:val="right"/>
        <w:rPr>
          <w:color w:val="000000"/>
          <w:szCs w:val="21"/>
        </w:rPr>
      </w:pPr>
      <w:r>
        <w:rPr>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3663E4">
        <w:tc>
          <w:tcPr>
            <w:tcW w:w="1560" w:type="dxa"/>
            <w:vMerge w:val="restart"/>
            <w:vAlign w:val="center"/>
          </w:tcPr>
          <w:p w:rsidR="003663E4" w:rsidRDefault="00FD3F7D">
            <w:pPr>
              <w:spacing w:line="276" w:lineRule="auto"/>
              <w:jc w:val="center"/>
              <w:rPr>
                <w:color w:val="000000"/>
                <w:szCs w:val="21"/>
              </w:rPr>
            </w:pPr>
            <w:bookmarkStart w:id="353" w:name="_Toc249760071"/>
            <w:r>
              <w:rPr>
                <w:color w:val="000000"/>
                <w:szCs w:val="21"/>
              </w:rPr>
              <w:t>券商名称</w:t>
            </w:r>
          </w:p>
        </w:tc>
        <w:tc>
          <w:tcPr>
            <w:tcW w:w="780" w:type="dxa"/>
            <w:vMerge w:val="restart"/>
            <w:vAlign w:val="center"/>
          </w:tcPr>
          <w:p w:rsidR="003663E4" w:rsidRDefault="00FD3F7D">
            <w:pPr>
              <w:spacing w:line="276" w:lineRule="auto"/>
              <w:jc w:val="center"/>
              <w:rPr>
                <w:color w:val="000000"/>
                <w:szCs w:val="21"/>
              </w:rPr>
            </w:pPr>
            <w:r>
              <w:rPr>
                <w:color w:val="000000"/>
                <w:szCs w:val="21"/>
              </w:rPr>
              <w:t>交易单元数量</w:t>
            </w:r>
          </w:p>
        </w:tc>
        <w:tc>
          <w:tcPr>
            <w:tcW w:w="2880" w:type="dxa"/>
            <w:gridSpan w:val="2"/>
            <w:vAlign w:val="center"/>
          </w:tcPr>
          <w:p w:rsidR="003663E4" w:rsidRDefault="00FD3F7D">
            <w:pPr>
              <w:spacing w:line="276" w:lineRule="auto"/>
              <w:jc w:val="center"/>
              <w:rPr>
                <w:color w:val="000000"/>
                <w:szCs w:val="21"/>
              </w:rPr>
            </w:pPr>
            <w:r>
              <w:rPr>
                <w:color w:val="000000"/>
                <w:szCs w:val="21"/>
              </w:rPr>
              <w:t>股票交易</w:t>
            </w:r>
          </w:p>
        </w:tc>
        <w:tc>
          <w:tcPr>
            <w:tcW w:w="2700" w:type="dxa"/>
            <w:gridSpan w:val="2"/>
            <w:vAlign w:val="center"/>
          </w:tcPr>
          <w:p w:rsidR="003663E4" w:rsidRDefault="00FD3F7D">
            <w:pPr>
              <w:spacing w:line="276" w:lineRule="auto"/>
              <w:jc w:val="center"/>
              <w:rPr>
                <w:color w:val="000000"/>
                <w:szCs w:val="21"/>
              </w:rPr>
            </w:pPr>
            <w:r>
              <w:rPr>
                <w:color w:val="000000"/>
                <w:szCs w:val="21"/>
              </w:rPr>
              <w:t>应支付该券商的佣金</w:t>
            </w:r>
          </w:p>
        </w:tc>
        <w:tc>
          <w:tcPr>
            <w:tcW w:w="1080" w:type="dxa"/>
            <w:vMerge w:val="restart"/>
            <w:vAlign w:val="center"/>
          </w:tcPr>
          <w:p w:rsidR="003663E4" w:rsidRDefault="00FD3F7D">
            <w:pPr>
              <w:spacing w:line="276" w:lineRule="auto"/>
              <w:jc w:val="center"/>
              <w:rPr>
                <w:color w:val="000000"/>
                <w:kern w:val="0"/>
                <w:szCs w:val="21"/>
              </w:rPr>
            </w:pPr>
            <w:r>
              <w:rPr>
                <w:color w:val="000000"/>
                <w:kern w:val="0"/>
                <w:szCs w:val="21"/>
              </w:rPr>
              <w:t>备注</w:t>
            </w:r>
          </w:p>
        </w:tc>
      </w:tr>
      <w:tr w:rsidR="003663E4">
        <w:tc>
          <w:tcPr>
            <w:tcW w:w="1560" w:type="dxa"/>
            <w:vMerge/>
            <w:vAlign w:val="center"/>
          </w:tcPr>
          <w:p w:rsidR="003663E4" w:rsidRDefault="003663E4">
            <w:pPr>
              <w:widowControl/>
              <w:spacing w:line="276" w:lineRule="auto"/>
              <w:jc w:val="left"/>
              <w:rPr>
                <w:color w:val="000000"/>
                <w:szCs w:val="21"/>
              </w:rPr>
            </w:pPr>
          </w:p>
        </w:tc>
        <w:tc>
          <w:tcPr>
            <w:tcW w:w="780" w:type="dxa"/>
            <w:vMerge/>
            <w:vAlign w:val="center"/>
          </w:tcPr>
          <w:p w:rsidR="003663E4" w:rsidRDefault="003663E4">
            <w:pPr>
              <w:widowControl/>
              <w:spacing w:line="276" w:lineRule="auto"/>
              <w:jc w:val="left"/>
              <w:rPr>
                <w:color w:val="000000"/>
                <w:szCs w:val="21"/>
              </w:rPr>
            </w:pPr>
          </w:p>
        </w:tc>
        <w:tc>
          <w:tcPr>
            <w:tcW w:w="1800" w:type="dxa"/>
            <w:vAlign w:val="center"/>
          </w:tcPr>
          <w:p w:rsidR="003663E4" w:rsidRDefault="00FD3F7D">
            <w:pPr>
              <w:spacing w:line="276" w:lineRule="auto"/>
              <w:jc w:val="center"/>
              <w:rPr>
                <w:color w:val="000000"/>
                <w:szCs w:val="21"/>
              </w:rPr>
            </w:pPr>
            <w:r>
              <w:rPr>
                <w:color w:val="000000"/>
                <w:szCs w:val="21"/>
              </w:rPr>
              <w:t>成交金额</w:t>
            </w:r>
          </w:p>
        </w:tc>
        <w:tc>
          <w:tcPr>
            <w:tcW w:w="1080" w:type="dxa"/>
            <w:vAlign w:val="center"/>
          </w:tcPr>
          <w:p w:rsidR="003663E4" w:rsidRDefault="00FD3F7D">
            <w:pPr>
              <w:spacing w:line="276" w:lineRule="auto"/>
              <w:jc w:val="center"/>
              <w:rPr>
                <w:color w:val="000000"/>
                <w:szCs w:val="21"/>
              </w:rPr>
            </w:pPr>
            <w:r>
              <w:rPr>
                <w:color w:val="000000"/>
                <w:szCs w:val="21"/>
              </w:rPr>
              <w:t>占当期股票成交总额的比例</w:t>
            </w:r>
          </w:p>
        </w:tc>
        <w:tc>
          <w:tcPr>
            <w:tcW w:w="1620" w:type="dxa"/>
            <w:vAlign w:val="center"/>
          </w:tcPr>
          <w:p w:rsidR="003663E4" w:rsidRDefault="00FD3F7D">
            <w:pPr>
              <w:spacing w:line="276" w:lineRule="auto"/>
              <w:jc w:val="center"/>
              <w:rPr>
                <w:color w:val="000000"/>
                <w:kern w:val="0"/>
                <w:szCs w:val="21"/>
              </w:rPr>
            </w:pPr>
            <w:r>
              <w:rPr>
                <w:color w:val="000000"/>
                <w:kern w:val="0"/>
                <w:szCs w:val="21"/>
              </w:rPr>
              <w:t>佣金</w:t>
            </w:r>
          </w:p>
        </w:tc>
        <w:tc>
          <w:tcPr>
            <w:tcW w:w="1080" w:type="dxa"/>
            <w:vAlign w:val="center"/>
          </w:tcPr>
          <w:p w:rsidR="003663E4" w:rsidRDefault="00FD3F7D">
            <w:pPr>
              <w:spacing w:line="276" w:lineRule="auto"/>
              <w:jc w:val="center"/>
              <w:rPr>
                <w:color w:val="000000"/>
                <w:szCs w:val="21"/>
              </w:rPr>
            </w:pPr>
            <w:r>
              <w:rPr>
                <w:color w:val="000000"/>
                <w:szCs w:val="21"/>
              </w:rPr>
              <w:t>占当期佣金总量的比例</w:t>
            </w:r>
          </w:p>
        </w:tc>
        <w:tc>
          <w:tcPr>
            <w:tcW w:w="1080" w:type="dxa"/>
            <w:vMerge/>
            <w:vAlign w:val="center"/>
          </w:tcPr>
          <w:p w:rsidR="003663E4" w:rsidRDefault="003663E4">
            <w:pPr>
              <w:widowControl/>
              <w:spacing w:line="276" w:lineRule="auto"/>
              <w:jc w:val="left"/>
              <w:rPr>
                <w:color w:val="000000"/>
                <w:kern w:val="0"/>
                <w:szCs w:val="21"/>
              </w:rPr>
            </w:pPr>
          </w:p>
        </w:tc>
      </w:tr>
      <w:tr w:rsidR="003663E4">
        <w:tc>
          <w:tcPr>
            <w:tcW w:w="1560" w:type="dxa"/>
            <w:vAlign w:val="center"/>
          </w:tcPr>
          <w:p w:rsidR="003663E4" w:rsidRDefault="00FD3F7D">
            <w:pPr>
              <w:jc w:val="left"/>
            </w:pPr>
            <w:r>
              <w:rPr>
                <w:color w:val="000000"/>
                <w:szCs w:val="21"/>
              </w:rPr>
              <w:t>申万宏源证券有限公司</w:t>
            </w:r>
          </w:p>
        </w:tc>
        <w:tc>
          <w:tcPr>
            <w:tcW w:w="780" w:type="dxa"/>
            <w:vAlign w:val="center"/>
          </w:tcPr>
          <w:p w:rsidR="003663E4" w:rsidRDefault="00FD3F7D">
            <w:pPr>
              <w:jc w:val="right"/>
            </w:pPr>
            <w:r>
              <w:rPr>
                <w:color w:val="000000"/>
                <w:szCs w:val="21"/>
              </w:rPr>
              <w:t>1</w:t>
            </w:r>
          </w:p>
        </w:tc>
        <w:tc>
          <w:tcPr>
            <w:tcW w:w="1800" w:type="dxa"/>
            <w:vAlign w:val="center"/>
          </w:tcPr>
          <w:p w:rsidR="003663E4" w:rsidRDefault="00FD3F7D">
            <w:pPr>
              <w:jc w:val="right"/>
            </w:pPr>
            <w:r>
              <w:rPr>
                <w:color w:val="000000"/>
                <w:szCs w:val="21"/>
              </w:rPr>
              <w:t>-</w:t>
            </w:r>
          </w:p>
        </w:tc>
        <w:tc>
          <w:tcPr>
            <w:tcW w:w="1080" w:type="dxa"/>
            <w:vAlign w:val="center"/>
          </w:tcPr>
          <w:p w:rsidR="003663E4" w:rsidRDefault="00FD3F7D">
            <w:pPr>
              <w:jc w:val="right"/>
            </w:pPr>
            <w:r>
              <w:rPr>
                <w:color w:val="000000"/>
                <w:szCs w:val="21"/>
              </w:rPr>
              <w:t>-</w:t>
            </w:r>
          </w:p>
        </w:tc>
        <w:tc>
          <w:tcPr>
            <w:tcW w:w="1620" w:type="dxa"/>
            <w:vAlign w:val="center"/>
          </w:tcPr>
          <w:p w:rsidR="003663E4" w:rsidRDefault="00FD3F7D">
            <w:pPr>
              <w:jc w:val="right"/>
            </w:pPr>
            <w:r>
              <w:rPr>
                <w:color w:val="000000"/>
                <w:szCs w:val="21"/>
              </w:rPr>
              <w:t>-</w:t>
            </w:r>
          </w:p>
        </w:tc>
        <w:tc>
          <w:tcPr>
            <w:tcW w:w="1080" w:type="dxa"/>
            <w:vAlign w:val="center"/>
          </w:tcPr>
          <w:p w:rsidR="003663E4" w:rsidRDefault="00FD3F7D">
            <w:pPr>
              <w:jc w:val="right"/>
            </w:pPr>
            <w:r>
              <w:rPr>
                <w:color w:val="000000"/>
                <w:szCs w:val="21"/>
              </w:rPr>
              <w:t>-</w:t>
            </w:r>
          </w:p>
        </w:tc>
        <w:tc>
          <w:tcPr>
            <w:tcW w:w="1080" w:type="dxa"/>
            <w:vAlign w:val="center"/>
          </w:tcPr>
          <w:p w:rsidR="003663E4" w:rsidRDefault="00FD3F7D">
            <w:pPr>
              <w:jc w:val="left"/>
            </w:pPr>
            <w:r>
              <w:rPr>
                <w:color w:val="000000"/>
                <w:szCs w:val="21"/>
              </w:rPr>
              <w:t>-</w:t>
            </w:r>
          </w:p>
        </w:tc>
      </w:tr>
      <w:tr w:rsidR="003663E4">
        <w:tc>
          <w:tcPr>
            <w:tcW w:w="1560" w:type="dxa"/>
            <w:vAlign w:val="center"/>
          </w:tcPr>
          <w:p w:rsidR="003663E4" w:rsidRDefault="00FD3F7D">
            <w:pPr>
              <w:jc w:val="left"/>
            </w:pPr>
            <w:r>
              <w:rPr>
                <w:color w:val="000000"/>
                <w:szCs w:val="21"/>
              </w:rPr>
              <w:t>中信建投证券股份有限公司</w:t>
            </w:r>
          </w:p>
        </w:tc>
        <w:tc>
          <w:tcPr>
            <w:tcW w:w="780" w:type="dxa"/>
            <w:vAlign w:val="center"/>
          </w:tcPr>
          <w:p w:rsidR="003663E4" w:rsidRDefault="00FD3F7D">
            <w:pPr>
              <w:jc w:val="right"/>
            </w:pPr>
            <w:r>
              <w:rPr>
                <w:color w:val="000000"/>
                <w:szCs w:val="21"/>
              </w:rPr>
              <w:t>1</w:t>
            </w:r>
          </w:p>
        </w:tc>
        <w:tc>
          <w:tcPr>
            <w:tcW w:w="1800" w:type="dxa"/>
            <w:vAlign w:val="center"/>
          </w:tcPr>
          <w:p w:rsidR="003663E4" w:rsidRDefault="00FD3F7D">
            <w:pPr>
              <w:jc w:val="right"/>
            </w:pPr>
            <w:r>
              <w:rPr>
                <w:color w:val="000000"/>
                <w:szCs w:val="21"/>
              </w:rPr>
              <w:t>-</w:t>
            </w:r>
          </w:p>
        </w:tc>
        <w:tc>
          <w:tcPr>
            <w:tcW w:w="1080" w:type="dxa"/>
            <w:vAlign w:val="center"/>
          </w:tcPr>
          <w:p w:rsidR="003663E4" w:rsidRDefault="00FD3F7D">
            <w:pPr>
              <w:jc w:val="right"/>
            </w:pPr>
            <w:r>
              <w:rPr>
                <w:color w:val="000000"/>
                <w:szCs w:val="21"/>
              </w:rPr>
              <w:t>-</w:t>
            </w:r>
          </w:p>
        </w:tc>
        <w:tc>
          <w:tcPr>
            <w:tcW w:w="1620" w:type="dxa"/>
            <w:vAlign w:val="center"/>
          </w:tcPr>
          <w:p w:rsidR="003663E4" w:rsidRDefault="00FD3F7D">
            <w:pPr>
              <w:jc w:val="right"/>
            </w:pPr>
            <w:r>
              <w:rPr>
                <w:color w:val="000000"/>
                <w:szCs w:val="21"/>
              </w:rPr>
              <w:t>-</w:t>
            </w:r>
          </w:p>
        </w:tc>
        <w:tc>
          <w:tcPr>
            <w:tcW w:w="1080" w:type="dxa"/>
            <w:vAlign w:val="center"/>
          </w:tcPr>
          <w:p w:rsidR="003663E4" w:rsidRDefault="00FD3F7D">
            <w:pPr>
              <w:jc w:val="right"/>
            </w:pPr>
            <w:r>
              <w:rPr>
                <w:color w:val="000000"/>
                <w:szCs w:val="21"/>
              </w:rPr>
              <w:t>-</w:t>
            </w:r>
          </w:p>
        </w:tc>
        <w:tc>
          <w:tcPr>
            <w:tcW w:w="1080" w:type="dxa"/>
            <w:vAlign w:val="center"/>
          </w:tcPr>
          <w:p w:rsidR="003663E4" w:rsidRDefault="00FD3F7D">
            <w:pPr>
              <w:jc w:val="left"/>
            </w:pPr>
            <w:r>
              <w:rPr>
                <w:color w:val="000000"/>
                <w:szCs w:val="21"/>
              </w:rPr>
              <w:t>-</w:t>
            </w:r>
          </w:p>
        </w:tc>
      </w:tr>
    </w:tbl>
    <w:p w:rsidR="003663E4" w:rsidRDefault="00FD3F7D">
      <w:pPr>
        <w:spacing w:line="360" w:lineRule="auto"/>
        <w:rPr>
          <w:b/>
          <w:color w:val="000000"/>
          <w:szCs w:val="21"/>
        </w:rPr>
      </w:pPr>
      <w:r>
        <w:rPr>
          <w:b/>
          <w:color w:val="000000"/>
          <w:szCs w:val="21"/>
        </w:rPr>
        <w:t xml:space="preserve">11.7.1.2 </w:t>
      </w:r>
      <w:r>
        <w:rPr>
          <w:b/>
          <w:color w:val="000000"/>
          <w:szCs w:val="21"/>
        </w:rPr>
        <w:t>基金租用证券公司交易单元进行其他证券投资的情况</w:t>
      </w:r>
      <w:bookmarkEnd w:id="353"/>
    </w:p>
    <w:p w:rsidR="003663E4" w:rsidRDefault="00FD3F7D">
      <w:pPr>
        <w:spacing w:line="360" w:lineRule="auto"/>
        <w:ind w:firstLine="420"/>
        <w:jc w:val="right"/>
        <w:rPr>
          <w:color w:val="000000"/>
          <w:szCs w:val="21"/>
        </w:rPr>
      </w:pPr>
      <w:bookmarkStart w:id="354" w:name="_Toc249707408"/>
      <w:r>
        <w:rPr>
          <w:color w:val="000000"/>
          <w:szCs w:val="21"/>
        </w:rPr>
        <w:t>金额单位</w:t>
      </w:r>
      <w:r>
        <w:rPr>
          <w:color w:val="000000"/>
          <w:kern w:val="0"/>
          <w:szCs w:val="21"/>
        </w:rPr>
        <w:t>：</w:t>
      </w:r>
      <w:r>
        <w:rPr>
          <w:color w:val="000000"/>
          <w:kern w:val="0"/>
          <w:szCs w:val="21"/>
          <w:lang w:val="zh-CN"/>
        </w:rPr>
        <w:t>人民币元</w:t>
      </w:r>
      <w:bookmarkEnd w:id="35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3663E4">
        <w:tc>
          <w:tcPr>
            <w:tcW w:w="1560" w:type="dxa"/>
            <w:vMerge w:val="restart"/>
            <w:vAlign w:val="center"/>
          </w:tcPr>
          <w:p w:rsidR="003663E4" w:rsidRDefault="00FD3F7D">
            <w:pPr>
              <w:spacing w:line="276" w:lineRule="auto"/>
              <w:jc w:val="center"/>
              <w:rPr>
                <w:color w:val="000000"/>
                <w:kern w:val="0"/>
                <w:szCs w:val="21"/>
              </w:rPr>
            </w:pPr>
            <w:r>
              <w:rPr>
                <w:color w:val="000000"/>
                <w:szCs w:val="21"/>
              </w:rPr>
              <w:t>券商名称</w:t>
            </w:r>
          </w:p>
        </w:tc>
        <w:tc>
          <w:tcPr>
            <w:tcW w:w="2400" w:type="dxa"/>
            <w:gridSpan w:val="2"/>
            <w:vAlign w:val="center"/>
          </w:tcPr>
          <w:p w:rsidR="003663E4" w:rsidRDefault="00FD3F7D">
            <w:pPr>
              <w:spacing w:line="276" w:lineRule="auto"/>
              <w:jc w:val="center"/>
              <w:rPr>
                <w:color w:val="000000"/>
                <w:szCs w:val="21"/>
              </w:rPr>
            </w:pPr>
            <w:r>
              <w:rPr>
                <w:color w:val="000000"/>
                <w:szCs w:val="21"/>
              </w:rPr>
              <w:t>债券交易</w:t>
            </w:r>
          </w:p>
        </w:tc>
        <w:tc>
          <w:tcPr>
            <w:tcW w:w="2340" w:type="dxa"/>
            <w:gridSpan w:val="2"/>
            <w:vAlign w:val="center"/>
          </w:tcPr>
          <w:p w:rsidR="003663E4" w:rsidRDefault="00FD3F7D">
            <w:pPr>
              <w:spacing w:line="276" w:lineRule="auto"/>
              <w:jc w:val="center"/>
              <w:rPr>
                <w:color w:val="000000"/>
                <w:szCs w:val="21"/>
              </w:rPr>
            </w:pPr>
            <w:r>
              <w:rPr>
                <w:rFonts w:eastAsiaTheme="minorEastAsia" w:hint="eastAsia"/>
                <w:color w:val="000000"/>
                <w:szCs w:val="21"/>
              </w:rPr>
              <w:t>债券</w:t>
            </w:r>
            <w:r>
              <w:rPr>
                <w:color w:val="000000"/>
                <w:szCs w:val="21"/>
              </w:rPr>
              <w:t>回购交易</w:t>
            </w:r>
          </w:p>
        </w:tc>
        <w:tc>
          <w:tcPr>
            <w:tcW w:w="2700" w:type="dxa"/>
            <w:gridSpan w:val="2"/>
            <w:vAlign w:val="center"/>
          </w:tcPr>
          <w:p w:rsidR="003663E4" w:rsidRDefault="00FD3F7D">
            <w:pPr>
              <w:spacing w:line="276" w:lineRule="auto"/>
              <w:jc w:val="center"/>
              <w:rPr>
                <w:color w:val="000000"/>
                <w:szCs w:val="21"/>
              </w:rPr>
            </w:pPr>
            <w:r>
              <w:rPr>
                <w:color w:val="000000"/>
                <w:szCs w:val="21"/>
              </w:rPr>
              <w:t>权证交易</w:t>
            </w:r>
          </w:p>
        </w:tc>
      </w:tr>
      <w:tr w:rsidR="003663E4">
        <w:tc>
          <w:tcPr>
            <w:tcW w:w="1560" w:type="dxa"/>
            <w:vMerge/>
            <w:vAlign w:val="center"/>
          </w:tcPr>
          <w:p w:rsidR="003663E4" w:rsidRDefault="003663E4">
            <w:pPr>
              <w:widowControl/>
              <w:spacing w:line="276" w:lineRule="auto"/>
              <w:jc w:val="left"/>
              <w:rPr>
                <w:color w:val="000000"/>
                <w:kern w:val="0"/>
                <w:szCs w:val="21"/>
              </w:rPr>
            </w:pPr>
          </w:p>
        </w:tc>
        <w:tc>
          <w:tcPr>
            <w:tcW w:w="1320" w:type="dxa"/>
            <w:vAlign w:val="center"/>
          </w:tcPr>
          <w:p w:rsidR="003663E4" w:rsidRDefault="00FD3F7D">
            <w:pPr>
              <w:spacing w:line="276" w:lineRule="auto"/>
              <w:jc w:val="center"/>
              <w:rPr>
                <w:color w:val="000000"/>
                <w:szCs w:val="21"/>
              </w:rPr>
            </w:pPr>
            <w:r>
              <w:rPr>
                <w:color w:val="000000"/>
                <w:szCs w:val="21"/>
              </w:rPr>
              <w:t>成交金额</w:t>
            </w:r>
          </w:p>
        </w:tc>
        <w:tc>
          <w:tcPr>
            <w:tcW w:w="1080" w:type="dxa"/>
            <w:vAlign w:val="center"/>
          </w:tcPr>
          <w:p w:rsidR="003663E4" w:rsidRDefault="00FD3F7D">
            <w:pPr>
              <w:spacing w:line="276" w:lineRule="auto"/>
              <w:jc w:val="center"/>
              <w:rPr>
                <w:color w:val="000000"/>
                <w:szCs w:val="21"/>
              </w:rPr>
            </w:pPr>
            <w:r>
              <w:rPr>
                <w:color w:val="000000"/>
                <w:szCs w:val="21"/>
              </w:rPr>
              <w:t>占当期债券成交总额的比例</w:t>
            </w:r>
          </w:p>
        </w:tc>
        <w:tc>
          <w:tcPr>
            <w:tcW w:w="1143" w:type="dxa"/>
            <w:vAlign w:val="center"/>
          </w:tcPr>
          <w:p w:rsidR="003663E4" w:rsidRDefault="00FD3F7D">
            <w:pPr>
              <w:spacing w:line="276" w:lineRule="auto"/>
              <w:jc w:val="center"/>
              <w:rPr>
                <w:color w:val="000000"/>
                <w:szCs w:val="21"/>
              </w:rPr>
            </w:pPr>
            <w:r>
              <w:rPr>
                <w:color w:val="000000"/>
                <w:szCs w:val="21"/>
              </w:rPr>
              <w:t>成交金额</w:t>
            </w:r>
          </w:p>
        </w:tc>
        <w:tc>
          <w:tcPr>
            <w:tcW w:w="1197" w:type="dxa"/>
            <w:vAlign w:val="center"/>
          </w:tcPr>
          <w:p w:rsidR="003663E4" w:rsidRDefault="00FD3F7D">
            <w:pPr>
              <w:spacing w:line="276" w:lineRule="auto"/>
              <w:jc w:val="center"/>
              <w:rPr>
                <w:color w:val="000000"/>
                <w:szCs w:val="21"/>
              </w:rPr>
            </w:pPr>
            <w:r>
              <w:rPr>
                <w:color w:val="000000"/>
                <w:szCs w:val="21"/>
              </w:rPr>
              <w:t>占当期</w:t>
            </w:r>
            <w:r>
              <w:rPr>
                <w:rFonts w:eastAsiaTheme="minorEastAsia" w:hint="eastAsia"/>
                <w:color w:val="000000"/>
                <w:szCs w:val="21"/>
              </w:rPr>
              <w:t>债券</w:t>
            </w:r>
            <w:r>
              <w:rPr>
                <w:color w:val="000000"/>
                <w:szCs w:val="21"/>
              </w:rPr>
              <w:t>回购成交总额的比例</w:t>
            </w:r>
          </w:p>
        </w:tc>
        <w:tc>
          <w:tcPr>
            <w:tcW w:w="1497" w:type="dxa"/>
            <w:vAlign w:val="center"/>
          </w:tcPr>
          <w:p w:rsidR="003663E4" w:rsidRDefault="00FD3F7D">
            <w:pPr>
              <w:spacing w:line="276" w:lineRule="auto"/>
              <w:jc w:val="center"/>
              <w:rPr>
                <w:color w:val="000000"/>
                <w:szCs w:val="21"/>
              </w:rPr>
            </w:pPr>
            <w:r>
              <w:rPr>
                <w:color w:val="000000"/>
                <w:szCs w:val="21"/>
              </w:rPr>
              <w:t>成交金额</w:t>
            </w:r>
          </w:p>
        </w:tc>
        <w:tc>
          <w:tcPr>
            <w:tcW w:w="1203" w:type="dxa"/>
            <w:vAlign w:val="center"/>
          </w:tcPr>
          <w:p w:rsidR="003663E4" w:rsidRDefault="00FD3F7D">
            <w:pPr>
              <w:spacing w:line="276" w:lineRule="auto"/>
              <w:jc w:val="center"/>
              <w:rPr>
                <w:color w:val="000000"/>
                <w:szCs w:val="21"/>
              </w:rPr>
            </w:pPr>
            <w:r>
              <w:rPr>
                <w:color w:val="000000"/>
                <w:szCs w:val="21"/>
              </w:rPr>
              <w:t>占当期权证成交总额的比例</w:t>
            </w:r>
          </w:p>
        </w:tc>
      </w:tr>
      <w:tr w:rsidR="003663E4">
        <w:tc>
          <w:tcPr>
            <w:tcW w:w="1560" w:type="dxa"/>
            <w:vAlign w:val="center"/>
          </w:tcPr>
          <w:p w:rsidR="003663E4" w:rsidRDefault="00FD3F7D">
            <w:pPr>
              <w:jc w:val="left"/>
            </w:pPr>
            <w:r>
              <w:rPr>
                <w:color w:val="000000"/>
                <w:szCs w:val="21"/>
              </w:rPr>
              <w:t>申万宏源证券有限公司</w:t>
            </w:r>
          </w:p>
        </w:tc>
        <w:tc>
          <w:tcPr>
            <w:tcW w:w="1320" w:type="dxa"/>
            <w:vAlign w:val="center"/>
          </w:tcPr>
          <w:p w:rsidR="003663E4" w:rsidRDefault="00FD3F7D">
            <w:pPr>
              <w:jc w:val="right"/>
            </w:pPr>
            <w:r>
              <w:rPr>
                <w:color w:val="000000"/>
                <w:szCs w:val="21"/>
              </w:rPr>
              <w:t>-</w:t>
            </w:r>
          </w:p>
        </w:tc>
        <w:tc>
          <w:tcPr>
            <w:tcW w:w="1080" w:type="dxa"/>
            <w:vAlign w:val="center"/>
          </w:tcPr>
          <w:p w:rsidR="003663E4" w:rsidRDefault="00FD3F7D">
            <w:pPr>
              <w:jc w:val="right"/>
            </w:pPr>
            <w:r>
              <w:rPr>
                <w:color w:val="000000"/>
                <w:szCs w:val="21"/>
              </w:rPr>
              <w:t>-</w:t>
            </w:r>
          </w:p>
        </w:tc>
        <w:tc>
          <w:tcPr>
            <w:tcW w:w="1143" w:type="dxa"/>
            <w:vAlign w:val="center"/>
          </w:tcPr>
          <w:p w:rsidR="003663E4" w:rsidRDefault="00FD3F7D">
            <w:pPr>
              <w:jc w:val="right"/>
            </w:pPr>
            <w:r>
              <w:rPr>
                <w:color w:val="000000"/>
                <w:szCs w:val="21"/>
              </w:rPr>
              <w:t>537,500,000.00</w:t>
            </w:r>
          </w:p>
        </w:tc>
        <w:tc>
          <w:tcPr>
            <w:tcW w:w="1197" w:type="dxa"/>
            <w:vAlign w:val="center"/>
          </w:tcPr>
          <w:p w:rsidR="003663E4" w:rsidRDefault="00FD3F7D">
            <w:pPr>
              <w:jc w:val="right"/>
            </w:pPr>
            <w:r>
              <w:rPr>
                <w:color w:val="000000"/>
                <w:szCs w:val="21"/>
              </w:rPr>
              <w:t>100.00%</w:t>
            </w:r>
          </w:p>
        </w:tc>
        <w:tc>
          <w:tcPr>
            <w:tcW w:w="1497" w:type="dxa"/>
            <w:vAlign w:val="center"/>
          </w:tcPr>
          <w:p w:rsidR="003663E4" w:rsidRDefault="00FD3F7D">
            <w:pPr>
              <w:jc w:val="right"/>
            </w:pPr>
            <w:r>
              <w:rPr>
                <w:color w:val="000000"/>
                <w:szCs w:val="21"/>
              </w:rPr>
              <w:t>-</w:t>
            </w:r>
          </w:p>
        </w:tc>
        <w:tc>
          <w:tcPr>
            <w:tcW w:w="1203" w:type="dxa"/>
            <w:vAlign w:val="center"/>
          </w:tcPr>
          <w:p w:rsidR="003663E4" w:rsidRDefault="00FD3F7D">
            <w:pPr>
              <w:jc w:val="right"/>
            </w:pPr>
            <w:r>
              <w:rPr>
                <w:color w:val="000000"/>
                <w:szCs w:val="21"/>
              </w:rPr>
              <w:t>-</w:t>
            </w:r>
          </w:p>
        </w:tc>
      </w:tr>
      <w:tr w:rsidR="003663E4">
        <w:tc>
          <w:tcPr>
            <w:tcW w:w="1560" w:type="dxa"/>
            <w:vAlign w:val="center"/>
          </w:tcPr>
          <w:p w:rsidR="003663E4" w:rsidRDefault="00FD3F7D">
            <w:pPr>
              <w:jc w:val="left"/>
            </w:pPr>
            <w:r>
              <w:rPr>
                <w:color w:val="000000"/>
                <w:szCs w:val="21"/>
              </w:rPr>
              <w:t>中信建投证券股份有限公司</w:t>
            </w:r>
          </w:p>
        </w:tc>
        <w:tc>
          <w:tcPr>
            <w:tcW w:w="1320" w:type="dxa"/>
            <w:vAlign w:val="center"/>
          </w:tcPr>
          <w:p w:rsidR="003663E4" w:rsidRDefault="00FD3F7D">
            <w:pPr>
              <w:jc w:val="right"/>
            </w:pPr>
            <w:r>
              <w:rPr>
                <w:color w:val="000000"/>
                <w:szCs w:val="21"/>
              </w:rPr>
              <w:t>-</w:t>
            </w:r>
          </w:p>
        </w:tc>
        <w:tc>
          <w:tcPr>
            <w:tcW w:w="1080" w:type="dxa"/>
            <w:vAlign w:val="center"/>
          </w:tcPr>
          <w:p w:rsidR="003663E4" w:rsidRDefault="00FD3F7D">
            <w:pPr>
              <w:jc w:val="right"/>
            </w:pPr>
            <w:r>
              <w:rPr>
                <w:color w:val="000000"/>
                <w:szCs w:val="21"/>
              </w:rPr>
              <w:t>-</w:t>
            </w:r>
          </w:p>
        </w:tc>
        <w:tc>
          <w:tcPr>
            <w:tcW w:w="1143" w:type="dxa"/>
            <w:vAlign w:val="center"/>
          </w:tcPr>
          <w:p w:rsidR="003663E4" w:rsidRDefault="00FD3F7D">
            <w:pPr>
              <w:jc w:val="right"/>
            </w:pPr>
            <w:r>
              <w:rPr>
                <w:color w:val="000000"/>
                <w:szCs w:val="21"/>
              </w:rPr>
              <w:t>-</w:t>
            </w:r>
          </w:p>
        </w:tc>
        <w:tc>
          <w:tcPr>
            <w:tcW w:w="1197" w:type="dxa"/>
            <w:vAlign w:val="center"/>
          </w:tcPr>
          <w:p w:rsidR="003663E4" w:rsidRDefault="00FD3F7D">
            <w:pPr>
              <w:jc w:val="right"/>
            </w:pPr>
            <w:r>
              <w:rPr>
                <w:color w:val="000000"/>
                <w:szCs w:val="21"/>
              </w:rPr>
              <w:t>-</w:t>
            </w:r>
          </w:p>
        </w:tc>
        <w:tc>
          <w:tcPr>
            <w:tcW w:w="1497" w:type="dxa"/>
            <w:vAlign w:val="center"/>
          </w:tcPr>
          <w:p w:rsidR="003663E4" w:rsidRDefault="00FD3F7D">
            <w:pPr>
              <w:jc w:val="right"/>
            </w:pPr>
            <w:r>
              <w:rPr>
                <w:color w:val="000000"/>
                <w:szCs w:val="21"/>
              </w:rPr>
              <w:t>-</w:t>
            </w:r>
          </w:p>
        </w:tc>
        <w:tc>
          <w:tcPr>
            <w:tcW w:w="1203" w:type="dxa"/>
            <w:vAlign w:val="center"/>
          </w:tcPr>
          <w:p w:rsidR="003663E4" w:rsidRDefault="00FD3F7D">
            <w:pPr>
              <w:jc w:val="right"/>
            </w:pPr>
            <w:r>
              <w:rPr>
                <w:color w:val="000000"/>
                <w:szCs w:val="21"/>
              </w:rPr>
              <w:t>-</w:t>
            </w:r>
          </w:p>
        </w:tc>
      </w:tr>
    </w:tbl>
    <w:p w:rsidR="003663E4" w:rsidRDefault="00FD3F7D">
      <w:pPr>
        <w:spacing w:line="360" w:lineRule="auto"/>
        <w:ind w:firstLineChars="200" w:firstLine="420"/>
        <w:rPr>
          <w:color w:val="000000"/>
          <w:szCs w:val="21"/>
        </w:rPr>
      </w:pPr>
      <w:r>
        <w:rPr>
          <w:color w:val="000000"/>
          <w:szCs w:val="21"/>
        </w:rPr>
        <w:t>注：</w:t>
      </w:r>
      <w:r>
        <w:rPr>
          <w:color w:val="000000"/>
          <w:szCs w:val="21"/>
        </w:rPr>
        <w:t>1</w:t>
      </w:r>
      <w:r>
        <w:rPr>
          <w:color w:val="000000"/>
          <w:szCs w:val="21"/>
        </w:rPr>
        <w:t>、报告期内，本基金交易单元未发生变化；</w:t>
      </w:r>
    </w:p>
    <w:p w:rsidR="003663E4" w:rsidRDefault="00FD3F7D">
      <w:pPr>
        <w:spacing w:line="360" w:lineRule="auto"/>
        <w:ind w:firstLineChars="200" w:firstLine="420"/>
        <w:rPr>
          <w:color w:val="000000"/>
          <w:szCs w:val="21"/>
        </w:rPr>
      </w:pPr>
      <w:r>
        <w:rPr>
          <w:color w:val="000000"/>
          <w:szCs w:val="21"/>
        </w:rPr>
        <w:t>2</w:t>
      </w:r>
      <w:r>
        <w:rPr>
          <w:color w:val="000000"/>
          <w:szCs w:val="21"/>
        </w:rPr>
        <w:t>、租用证券公司交易单元的选择标准主要包括：券商基本面评价（财务状况、经营状况）、券商研究机构评价（报告质量、及时性和数量）、券商每日信息评价（及时性和有效性）和券商协作表现评价等四个方面；</w:t>
      </w:r>
    </w:p>
    <w:p w:rsidR="003663E4" w:rsidRDefault="00FD3F7D">
      <w:pPr>
        <w:spacing w:line="360" w:lineRule="auto"/>
        <w:ind w:firstLineChars="200" w:firstLine="420"/>
        <w:rPr>
          <w:color w:val="000000"/>
          <w:szCs w:val="21"/>
        </w:rPr>
      </w:pPr>
      <w:r>
        <w:rPr>
          <w:color w:val="000000"/>
          <w:szCs w:val="21"/>
        </w:rPr>
        <w:t>3</w:t>
      </w:r>
      <w:r>
        <w:rPr>
          <w:color w:val="000000"/>
          <w:szCs w:val="21"/>
        </w:rPr>
        <w:t>、租用证券公司交易单元的程序：首先根据租用证券公司交易单元的选择标准进行综合评价，然后根据评价选择基金交易单元。研究部提交方案，并上报公司批准。</w:t>
      </w:r>
    </w:p>
    <w:p w:rsidR="003663E4" w:rsidRDefault="00FD3F7D">
      <w:pPr>
        <w:autoSpaceDE w:val="0"/>
        <w:autoSpaceDN w:val="0"/>
        <w:adjustRightInd w:val="0"/>
        <w:snapToGrid w:val="0"/>
        <w:spacing w:line="360" w:lineRule="auto"/>
        <w:jc w:val="left"/>
        <w:rPr>
          <w:rFonts w:eastAsiaTheme="minorEastAsia"/>
          <w:b/>
          <w:bCs/>
          <w:kern w:val="0"/>
          <w:szCs w:val="21"/>
        </w:rPr>
      </w:pPr>
      <w:r>
        <w:rPr>
          <w:rFonts w:eastAsiaTheme="minorEastAsia"/>
          <w:b/>
          <w:bCs/>
          <w:kern w:val="0"/>
          <w:szCs w:val="21"/>
        </w:rPr>
        <w:t>11.</w:t>
      </w:r>
      <w:r>
        <w:rPr>
          <w:rFonts w:eastAsiaTheme="minorEastAsia" w:hint="eastAsia"/>
          <w:b/>
          <w:bCs/>
          <w:kern w:val="0"/>
          <w:szCs w:val="21"/>
        </w:rPr>
        <w:t>7</w:t>
      </w:r>
      <w:r>
        <w:rPr>
          <w:rFonts w:eastAsiaTheme="minorEastAsia"/>
          <w:b/>
          <w:bCs/>
          <w:kern w:val="0"/>
          <w:szCs w:val="21"/>
        </w:rPr>
        <w:t>.</w:t>
      </w:r>
      <w:r>
        <w:rPr>
          <w:rFonts w:eastAsiaTheme="minorEastAsia" w:hint="eastAsia"/>
          <w:b/>
          <w:bCs/>
          <w:kern w:val="0"/>
          <w:szCs w:val="21"/>
        </w:rPr>
        <w:t>2</w:t>
      </w:r>
      <w:r>
        <w:rPr>
          <w:rFonts w:eastAsiaTheme="minorEastAsia"/>
          <w:b/>
          <w:bCs/>
          <w:kern w:val="0"/>
          <w:szCs w:val="21"/>
        </w:rPr>
        <w:t xml:space="preserve"> </w:t>
      </w:r>
      <w:r>
        <w:rPr>
          <w:rFonts w:eastAsiaTheme="minorEastAsia"/>
          <w:b/>
          <w:bCs/>
          <w:kern w:val="0"/>
          <w:szCs w:val="21"/>
        </w:rPr>
        <w:t>交银施罗德理财</w:t>
      </w:r>
      <w:r>
        <w:rPr>
          <w:rFonts w:eastAsiaTheme="minorEastAsia"/>
          <w:b/>
          <w:bCs/>
          <w:kern w:val="0"/>
          <w:szCs w:val="21"/>
        </w:rPr>
        <w:t>60</w:t>
      </w:r>
      <w:r>
        <w:rPr>
          <w:rFonts w:eastAsiaTheme="minorEastAsia"/>
          <w:b/>
          <w:bCs/>
          <w:kern w:val="0"/>
          <w:szCs w:val="21"/>
        </w:rPr>
        <w:t>天债券型证券投资基金</w:t>
      </w:r>
    </w:p>
    <w:p w:rsidR="003663E4" w:rsidRDefault="00FD3F7D">
      <w:pPr>
        <w:autoSpaceDE w:val="0"/>
        <w:autoSpaceDN w:val="0"/>
        <w:adjustRightInd w:val="0"/>
        <w:snapToGrid w:val="0"/>
        <w:spacing w:line="360" w:lineRule="auto"/>
        <w:jc w:val="left"/>
        <w:rPr>
          <w:rFonts w:eastAsiaTheme="minorEastAsia"/>
          <w:b/>
          <w:bCs/>
          <w:kern w:val="0"/>
          <w:szCs w:val="21"/>
        </w:rPr>
      </w:pPr>
      <w:r>
        <w:rPr>
          <w:rFonts w:eastAsiaTheme="minorEastAsia"/>
          <w:b/>
          <w:color w:val="000000"/>
          <w:kern w:val="0"/>
          <w:szCs w:val="21"/>
        </w:rPr>
        <w:t>（报告期：</w:t>
      </w:r>
      <w:r>
        <w:rPr>
          <w:rFonts w:eastAsiaTheme="minorEastAsia"/>
          <w:b/>
          <w:color w:val="000000"/>
          <w:kern w:val="0"/>
          <w:szCs w:val="21"/>
        </w:rPr>
        <w:t>2020</w:t>
      </w:r>
      <w:r>
        <w:rPr>
          <w:rFonts w:eastAsiaTheme="minorEastAsia"/>
          <w:b/>
          <w:color w:val="000000"/>
          <w:kern w:val="0"/>
          <w:szCs w:val="21"/>
        </w:rPr>
        <w:t>年</w:t>
      </w:r>
      <w:r>
        <w:rPr>
          <w:rFonts w:eastAsiaTheme="minorEastAsia"/>
          <w:b/>
          <w:color w:val="000000"/>
          <w:kern w:val="0"/>
          <w:szCs w:val="21"/>
        </w:rPr>
        <w:t>1</w:t>
      </w:r>
      <w:r>
        <w:rPr>
          <w:rFonts w:eastAsiaTheme="minorEastAsia"/>
          <w:b/>
          <w:color w:val="000000"/>
          <w:kern w:val="0"/>
          <w:szCs w:val="21"/>
        </w:rPr>
        <w:t>月</w:t>
      </w:r>
      <w:r>
        <w:rPr>
          <w:rFonts w:eastAsiaTheme="minorEastAsia"/>
          <w:b/>
          <w:color w:val="000000"/>
          <w:kern w:val="0"/>
          <w:szCs w:val="21"/>
        </w:rPr>
        <w:t>1</w:t>
      </w:r>
      <w:r>
        <w:rPr>
          <w:rFonts w:eastAsiaTheme="minorEastAsia"/>
          <w:b/>
          <w:color w:val="000000"/>
          <w:kern w:val="0"/>
          <w:szCs w:val="21"/>
        </w:rPr>
        <w:t>日</w:t>
      </w:r>
      <w:r>
        <w:rPr>
          <w:rFonts w:eastAsiaTheme="minorEastAsia"/>
          <w:b/>
          <w:color w:val="000000"/>
          <w:kern w:val="0"/>
          <w:szCs w:val="21"/>
        </w:rPr>
        <w:t>-</w:t>
      </w:r>
      <w:r>
        <w:rPr>
          <w:rFonts w:eastAsiaTheme="minorEastAsia"/>
          <w:b/>
          <w:color w:val="000000"/>
          <w:szCs w:val="21"/>
        </w:rPr>
        <w:t>2020</w:t>
      </w:r>
      <w:r>
        <w:rPr>
          <w:rFonts w:eastAsiaTheme="minorEastAsia"/>
          <w:b/>
          <w:color w:val="000000"/>
          <w:szCs w:val="21"/>
        </w:rPr>
        <w:t>年</w:t>
      </w:r>
      <w:r>
        <w:rPr>
          <w:rFonts w:eastAsiaTheme="minorEastAsia"/>
          <w:b/>
          <w:color w:val="000000"/>
          <w:szCs w:val="21"/>
        </w:rPr>
        <w:t>7</w:t>
      </w:r>
      <w:r>
        <w:rPr>
          <w:rFonts w:eastAsiaTheme="minorEastAsia"/>
          <w:b/>
          <w:color w:val="000000"/>
          <w:szCs w:val="21"/>
        </w:rPr>
        <w:t>月</w:t>
      </w:r>
      <w:r>
        <w:rPr>
          <w:rFonts w:eastAsiaTheme="minorEastAsia"/>
          <w:b/>
          <w:color w:val="000000"/>
          <w:szCs w:val="21"/>
        </w:rPr>
        <w:t>27</w:t>
      </w:r>
      <w:r>
        <w:rPr>
          <w:rFonts w:eastAsiaTheme="minorEastAsia"/>
          <w:b/>
          <w:color w:val="000000"/>
          <w:szCs w:val="21"/>
        </w:rPr>
        <w:t>日）</w:t>
      </w:r>
    </w:p>
    <w:p w:rsidR="003663E4" w:rsidRDefault="00FD3F7D">
      <w:pPr>
        <w:spacing w:line="360" w:lineRule="auto"/>
        <w:rPr>
          <w:b/>
          <w:color w:val="000000"/>
          <w:szCs w:val="21"/>
        </w:rPr>
      </w:pPr>
      <w:r>
        <w:rPr>
          <w:b/>
          <w:color w:val="000000"/>
          <w:szCs w:val="21"/>
        </w:rPr>
        <w:t>11.7.2.1</w:t>
      </w:r>
      <w:r>
        <w:rPr>
          <w:rFonts w:hint="eastAsia"/>
          <w:b/>
          <w:color w:val="000000"/>
          <w:szCs w:val="21"/>
        </w:rPr>
        <w:t xml:space="preserve"> </w:t>
      </w:r>
      <w:r>
        <w:rPr>
          <w:b/>
          <w:color w:val="000000"/>
          <w:szCs w:val="21"/>
        </w:rPr>
        <w:t>基金租用证券公司交易单元进行股票投资及佣金支付情况</w:t>
      </w:r>
    </w:p>
    <w:p w:rsidR="003663E4" w:rsidRDefault="00FD3F7D">
      <w:pPr>
        <w:pStyle w:val="a0"/>
        <w:spacing w:line="360" w:lineRule="auto"/>
        <w:ind w:firstLineChars="2600" w:firstLine="5460"/>
        <w:jc w:val="right"/>
        <w:rPr>
          <w:color w:val="000000"/>
          <w:szCs w:val="21"/>
        </w:rPr>
      </w:pPr>
      <w:r>
        <w:rPr>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3663E4">
        <w:tc>
          <w:tcPr>
            <w:tcW w:w="1560" w:type="dxa"/>
            <w:vMerge w:val="restart"/>
            <w:vAlign w:val="center"/>
          </w:tcPr>
          <w:p w:rsidR="003663E4" w:rsidRDefault="00FD3F7D">
            <w:pPr>
              <w:spacing w:line="276" w:lineRule="auto"/>
              <w:jc w:val="center"/>
              <w:rPr>
                <w:color w:val="000000"/>
                <w:szCs w:val="21"/>
              </w:rPr>
            </w:pPr>
            <w:r>
              <w:rPr>
                <w:color w:val="000000"/>
                <w:szCs w:val="21"/>
              </w:rPr>
              <w:t>券商名称</w:t>
            </w:r>
          </w:p>
        </w:tc>
        <w:tc>
          <w:tcPr>
            <w:tcW w:w="780" w:type="dxa"/>
            <w:vMerge w:val="restart"/>
            <w:vAlign w:val="center"/>
          </w:tcPr>
          <w:p w:rsidR="003663E4" w:rsidRDefault="00FD3F7D">
            <w:pPr>
              <w:spacing w:line="276" w:lineRule="auto"/>
              <w:jc w:val="center"/>
              <w:rPr>
                <w:color w:val="000000"/>
                <w:szCs w:val="21"/>
              </w:rPr>
            </w:pPr>
            <w:r>
              <w:rPr>
                <w:color w:val="000000"/>
                <w:szCs w:val="21"/>
              </w:rPr>
              <w:t>交易单元数量</w:t>
            </w:r>
          </w:p>
        </w:tc>
        <w:tc>
          <w:tcPr>
            <w:tcW w:w="2880" w:type="dxa"/>
            <w:gridSpan w:val="2"/>
            <w:vAlign w:val="center"/>
          </w:tcPr>
          <w:p w:rsidR="003663E4" w:rsidRDefault="00FD3F7D">
            <w:pPr>
              <w:spacing w:line="276" w:lineRule="auto"/>
              <w:jc w:val="center"/>
              <w:rPr>
                <w:color w:val="000000"/>
                <w:szCs w:val="21"/>
              </w:rPr>
            </w:pPr>
            <w:r>
              <w:rPr>
                <w:color w:val="000000"/>
                <w:szCs w:val="21"/>
              </w:rPr>
              <w:t>股票交易</w:t>
            </w:r>
          </w:p>
        </w:tc>
        <w:tc>
          <w:tcPr>
            <w:tcW w:w="2700" w:type="dxa"/>
            <w:gridSpan w:val="2"/>
            <w:vAlign w:val="center"/>
          </w:tcPr>
          <w:p w:rsidR="003663E4" w:rsidRDefault="00FD3F7D">
            <w:pPr>
              <w:spacing w:line="276" w:lineRule="auto"/>
              <w:jc w:val="center"/>
              <w:rPr>
                <w:color w:val="000000"/>
                <w:szCs w:val="21"/>
              </w:rPr>
            </w:pPr>
            <w:r>
              <w:rPr>
                <w:color w:val="000000"/>
                <w:szCs w:val="21"/>
              </w:rPr>
              <w:t>应支付该券商的佣金</w:t>
            </w:r>
          </w:p>
        </w:tc>
        <w:tc>
          <w:tcPr>
            <w:tcW w:w="1080" w:type="dxa"/>
            <w:vMerge w:val="restart"/>
            <w:vAlign w:val="center"/>
          </w:tcPr>
          <w:p w:rsidR="003663E4" w:rsidRDefault="00FD3F7D">
            <w:pPr>
              <w:spacing w:line="276" w:lineRule="auto"/>
              <w:jc w:val="center"/>
              <w:rPr>
                <w:color w:val="000000"/>
                <w:kern w:val="0"/>
                <w:szCs w:val="21"/>
              </w:rPr>
            </w:pPr>
            <w:r>
              <w:rPr>
                <w:color w:val="000000"/>
                <w:kern w:val="0"/>
                <w:szCs w:val="21"/>
              </w:rPr>
              <w:t>备注</w:t>
            </w:r>
          </w:p>
        </w:tc>
      </w:tr>
      <w:tr w:rsidR="003663E4">
        <w:tc>
          <w:tcPr>
            <w:tcW w:w="1560" w:type="dxa"/>
            <w:vMerge/>
            <w:vAlign w:val="center"/>
          </w:tcPr>
          <w:p w:rsidR="003663E4" w:rsidRDefault="003663E4">
            <w:pPr>
              <w:widowControl/>
              <w:spacing w:line="276" w:lineRule="auto"/>
              <w:jc w:val="left"/>
              <w:rPr>
                <w:color w:val="000000"/>
                <w:szCs w:val="21"/>
              </w:rPr>
            </w:pPr>
          </w:p>
        </w:tc>
        <w:tc>
          <w:tcPr>
            <w:tcW w:w="780" w:type="dxa"/>
            <w:vMerge/>
            <w:vAlign w:val="center"/>
          </w:tcPr>
          <w:p w:rsidR="003663E4" w:rsidRDefault="003663E4">
            <w:pPr>
              <w:widowControl/>
              <w:spacing w:line="276" w:lineRule="auto"/>
              <w:jc w:val="left"/>
              <w:rPr>
                <w:color w:val="000000"/>
                <w:szCs w:val="21"/>
              </w:rPr>
            </w:pPr>
          </w:p>
        </w:tc>
        <w:tc>
          <w:tcPr>
            <w:tcW w:w="1800" w:type="dxa"/>
            <w:vAlign w:val="center"/>
          </w:tcPr>
          <w:p w:rsidR="003663E4" w:rsidRDefault="00FD3F7D">
            <w:pPr>
              <w:spacing w:line="276" w:lineRule="auto"/>
              <w:jc w:val="center"/>
              <w:rPr>
                <w:color w:val="000000"/>
                <w:szCs w:val="21"/>
              </w:rPr>
            </w:pPr>
            <w:r>
              <w:rPr>
                <w:color w:val="000000"/>
                <w:szCs w:val="21"/>
              </w:rPr>
              <w:t>成交金额</w:t>
            </w:r>
          </w:p>
        </w:tc>
        <w:tc>
          <w:tcPr>
            <w:tcW w:w="1080" w:type="dxa"/>
            <w:vAlign w:val="center"/>
          </w:tcPr>
          <w:p w:rsidR="003663E4" w:rsidRDefault="00FD3F7D">
            <w:pPr>
              <w:spacing w:line="276" w:lineRule="auto"/>
              <w:jc w:val="center"/>
              <w:rPr>
                <w:color w:val="000000"/>
                <w:szCs w:val="21"/>
              </w:rPr>
            </w:pPr>
            <w:r>
              <w:rPr>
                <w:color w:val="000000"/>
                <w:szCs w:val="21"/>
              </w:rPr>
              <w:t>占当期股票成交总额的比例</w:t>
            </w:r>
          </w:p>
        </w:tc>
        <w:tc>
          <w:tcPr>
            <w:tcW w:w="1620" w:type="dxa"/>
            <w:vAlign w:val="center"/>
          </w:tcPr>
          <w:p w:rsidR="003663E4" w:rsidRDefault="00FD3F7D">
            <w:pPr>
              <w:spacing w:line="276" w:lineRule="auto"/>
              <w:jc w:val="center"/>
              <w:rPr>
                <w:color w:val="000000"/>
                <w:kern w:val="0"/>
                <w:szCs w:val="21"/>
              </w:rPr>
            </w:pPr>
            <w:r>
              <w:rPr>
                <w:color w:val="000000"/>
                <w:kern w:val="0"/>
                <w:szCs w:val="21"/>
              </w:rPr>
              <w:t>佣金</w:t>
            </w:r>
          </w:p>
        </w:tc>
        <w:tc>
          <w:tcPr>
            <w:tcW w:w="1080" w:type="dxa"/>
            <w:vAlign w:val="center"/>
          </w:tcPr>
          <w:p w:rsidR="003663E4" w:rsidRDefault="00FD3F7D">
            <w:pPr>
              <w:spacing w:line="276" w:lineRule="auto"/>
              <w:jc w:val="center"/>
              <w:rPr>
                <w:color w:val="000000"/>
                <w:szCs w:val="21"/>
              </w:rPr>
            </w:pPr>
            <w:r>
              <w:rPr>
                <w:color w:val="000000"/>
                <w:szCs w:val="21"/>
              </w:rPr>
              <w:t>占当期佣金总量的比例</w:t>
            </w:r>
          </w:p>
        </w:tc>
        <w:tc>
          <w:tcPr>
            <w:tcW w:w="1080" w:type="dxa"/>
            <w:vMerge/>
            <w:vAlign w:val="center"/>
          </w:tcPr>
          <w:p w:rsidR="003663E4" w:rsidRDefault="003663E4">
            <w:pPr>
              <w:widowControl/>
              <w:spacing w:line="276" w:lineRule="auto"/>
              <w:jc w:val="left"/>
              <w:rPr>
                <w:color w:val="000000"/>
                <w:kern w:val="0"/>
                <w:szCs w:val="21"/>
              </w:rPr>
            </w:pPr>
          </w:p>
        </w:tc>
      </w:tr>
      <w:tr w:rsidR="003663E4">
        <w:tc>
          <w:tcPr>
            <w:tcW w:w="1560" w:type="dxa"/>
            <w:vAlign w:val="center"/>
          </w:tcPr>
          <w:p w:rsidR="003663E4" w:rsidRDefault="00FD3F7D">
            <w:pPr>
              <w:jc w:val="left"/>
            </w:pPr>
            <w:r>
              <w:rPr>
                <w:color w:val="000000"/>
                <w:szCs w:val="21"/>
              </w:rPr>
              <w:t>申万宏源证券有限公司</w:t>
            </w:r>
          </w:p>
        </w:tc>
        <w:tc>
          <w:tcPr>
            <w:tcW w:w="780" w:type="dxa"/>
            <w:vAlign w:val="center"/>
          </w:tcPr>
          <w:p w:rsidR="003663E4" w:rsidRDefault="00FD3F7D">
            <w:pPr>
              <w:jc w:val="right"/>
            </w:pPr>
            <w:r>
              <w:rPr>
                <w:color w:val="000000"/>
                <w:szCs w:val="21"/>
              </w:rPr>
              <w:t>1</w:t>
            </w:r>
          </w:p>
        </w:tc>
        <w:tc>
          <w:tcPr>
            <w:tcW w:w="1800" w:type="dxa"/>
            <w:vAlign w:val="center"/>
          </w:tcPr>
          <w:p w:rsidR="003663E4" w:rsidRDefault="00FD3F7D">
            <w:pPr>
              <w:jc w:val="right"/>
            </w:pPr>
            <w:r>
              <w:rPr>
                <w:color w:val="000000"/>
                <w:szCs w:val="21"/>
              </w:rPr>
              <w:t>-</w:t>
            </w:r>
          </w:p>
        </w:tc>
        <w:tc>
          <w:tcPr>
            <w:tcW w:w="1080" w:type="dxa"/>
            <w:vAlign w:val="center"/>
          </w:tcPr>
          <w:p w:rsidR="003663E4" w:rsidRDefault="00FD3F7D">
            <w:pPr>
              <w:jc w:val="right"/>
            </w:pPr>
            <w:r>
              <w:rPr>
                <w:color w:val="000000"/>
                <w:szCs w:val="21"/>
              </w:rPr>
              <w:t>-</w:t>
            </w:r>
          </w:p>
        </w:tc>
        <w:tc>
          <w:tcPr>
            <w:tcW w:w="1620" w:type="dxa"/>
            <w:vAlign w:val="center"/>
          </w:tcPr>
          <w:p w:rsidR="003663E4" w:rsidRDefault="00FD3F7D">
            <w:pPr>
              <w:jc w:val="right"/>
            </w:pPr>
            <w:r>
              <w:rPr>
                <w:color w:val="000000"/>
                <w:szCs w:val="21"/>
              </w:rPr>
              <w:t>-</w:t>
            </w:r>
          </w:p>
        </w:tc>
        <w:tc>
          <w:tcPr>
            <w:tcW w:w="1080" w:type="dxa"/>
            <w:vAlign w:val="center"/>
          </w:tcPr>
          <w:p w:rsidR="003663E4" w:rsidRDefault="00FD3F7D">
            <w:pPr>
              <w:jc w:val="right"/>
            </w:pPr>
            <w:r>
              <w:rPr>
                <w:color w:val="000000"/>
                <w:szCs w:val="21"/>
              </w:rPr>
              <w:t>-</w:t>
            </w:r>
          </w:p>
        </w:tc>
        <w:tc>
          <w:tcPr>
            <w:tcW w:w="1080" w:type="dxa"/>
            <w:vAlign w:val="center"/>
          </w:tcPr>
          <w:p w:rsidR="003663E4" w:rsidRDefault="00FD3F7D">
            <w:pPr>
              <w:jc w:val="left"/>
            </w:pPr>
            <w:r>
              <w:rPr>
                <w:color w:val="000000"/>
                <w:szCs w:val="21"/>
              </w:rPr>
              <w:t>-</w:t>
            </w:r>
          </w:p>
        </w:tc>
      </w:tr>
      <w:tr w:rsidR="003663E4">
        <w:tc>
          <w:tcPr>
            <w:tcW w:w="1560" w:type="dxa"/>
            <w:vAlign w:val="center"/>
          </w:tcPr>
          <w:p w:rsidR="003663E4" w:rsidRDefault="00FD3F7D">
            <w:pPr>
              <w:jc w:val="left"/>
            </w:pPr>
            <w:r>
              <w:rPr>
                <w:color w:val="000000"/>
                <w:szCs w:val="21"/>
              </w:rPr>
              <w:t>中信建投证券股份有限公司</w:t>
            </w:r>
          </w:p>
        </w:tc>
        <w:tc>
          <w:tcPr>
            <w:tcW w:w="780" w:type="dxa"/>
            <w:vAlign w:val="center"/>
          </w:tcPr>
          <w:p w:rsidR="003663E4" w:rsidRDefault="00FD3F7D">
            <w:pPr>
              <w:jc w:val="right"/>
            </w:pPr>
            <w:r>
              <w:rPr>
                <w:color w:val="000000"/>
                <w:szCs w:val="21"/>
              </w:rPr>
              <w:t>1</w:t>
            </w:r>
          </w:p>
        </w:tc>
        <w:tc>
          <w:tcPr>
            <w:tcW w:w="1800" w:type="dxa"/>
            <w:vAlign w:val="center"/>
          </w:tcPr>
          <w:p w:rsidR="003663E4" w:rsidRDefault="00FD3F7D">
            <w:pPr>
              <w:jc w:val="right"/>
            </w:pPr>
            <w:r>
              <w:rPr>
                <w:color w:val="000000"/>
                <w:szCs w:val="21"/>
              </w:rPr>
              <w:t>-</w:t>
            </w:r>
          </w:p>
        </w:tc>
        <w:tc>
          <w:tcPr>
            <w:tcW w:w="1080" w:type="dxa"/>
            <w:vAlign w:val="center"/>
          </w:tcPr>
          <w:p w:rsidR="003663E4" w:rsidRDefault="00FD3F7D">
            <w:pPr>
              <w:jc w:val="right"/>
            </w:pPr>
            <w:r>
              <w:rPr>
                <w:color w:val="000000"/>
                <w:szCs w:val="21"/>
              </w:rPr>
              <w:t>-</w:t>
            </w:r>
          </w:p>
        </w:tc>
        <w:tc>
          <w:tcPr>
            <w:tcW w:w="1620" w:type="dxa"/>
            <w:vAlign w:val="center"/>
          </w:tcPr>
          <w:p w:rsidR="003663E4" w:rsidRDefault="00FD3F7D">
            <w:pPr>
              <w:jc w:val="right"/>
            </w:pPr>
            <w:r>
              <w:rPr>
                <w:color w:val="000000"/>
                <w:szCs w:val="21"/>
              </w:rPr>
              <w:t>-</w:t>
            </w:r>
          </w:p>
        </w:tc>
        <w:tc>
          <w:tcPr>
            <w:tcW w:w="1080" w:type="dxa"/>
            <w:vAlign w:val="center"/>
          </w:tcPr>
          <w:p w:rsidR="003663E4" w:rsidRDefault="00FD3F7D">
            <w:pPr>
              <w:jc w:val="right"/>
            </w:pPr>
            <w:r>
              <w:rPr>
                <w:color w:val="000000"/>
                <w:szCs w:val="21"/>
              </w:rPr>
              <w:t>-</w:t>
            </w:r>
          </w:p>
        </w:tc>
        <w:tc>
          <w:tcPr>
            <w:tcW w:w="1080" w:type="dxa"/>
            <w:vAlign w:val="center"/>
          </w:tcPr>
          <w:p w:rsidR="003663E4" w:rsidRDefault="00FD3F7D">
            <w:pPr>
              <w:jc w:val="left"/>
            </w:pPr>
            <w:r>
              <w:rPr>
                <w:color w:val="000000"/>
                <w:szCs w:val="21"/>
              </w:rPr>
              <w:t>-</w:t>
            </w:r>
          </w:p>
        </w:tc>
      </w:tr>
    </w:tbl>
    <w:p w:rsidR="003663E4" w:rsidRDefault="00FD3F7D">
      <w:pPr>
        <w:spacing w:beforeLines="50" w:before="156" w:line="360" w:lineRule="auto"/>
        <w:rPr>
          <w:b/>
          <w:color w:val="000000"/>
          <w:szCs w:val="21"/>
        </w:rPr>
      </w:pPr>
      <w:r>
        <w:rPr>
          <w:b/>
          <w:color w:val="000000"/>
          <w:szCs w:val="21"/>
        </w:rPr>
        <w:t>11.7.2.2</w:t>
      </w:r>
      <w:r>
        <w:rPr>
          <w:rFonts w:hint="eastAsia"/>
          <w:b/>
          <w:color w:val="000000"/>
          <w:szCs w:val="21"/>
        </w:rPr>
        <w:t xml:space="preserve"> </w:t>
      </w:r>
      <w:r>
        <w:rPr>
          <w:b/>
          <w:color w:val="000000"/>
          <w:szCs w:val="21"/>
        </w:rPr>
        <w:t>基金租用证券公司交易单元进行其他证券投资的情况</w:t>
      </w:r>
    </w:p>
    <w:p w:rsidR="003663E4" w:rsidRDefault="00FD3F7D">
      <w:pPr>
        <w:spacing w:line="360" w:lineRule="auto"/>
        <w:ind w:firstLine="420"/>
        <w:jc w:val="right"/>
        <w:rPr>
          <w:color w:val="000000"/>
          <w:szCs w:val="21"/>
        </w:rPr>
      </w:pPr>
      <w:r>
        <w:rPr>
          <w:color w:val="000000"/>
          <w:szCs w:val="21"/>
        </w:rPr>
        <w:t>金额单位</w:t>
      </w:r>
      <w:r>
        <w:rPr>
          <w:color w:val="000000"/>
          <w:kern w:val="0"/>
          <w:szCs w:val="21"/>
        </w:rPr>
        <w:t>：</w:t>
      </w:r>
      <w:r>
        <w:rPr>
          <w:color w:val="000000"/>
          <w:kern w:val="0"/>
          <w:szCs w:val="21"/>
          <w:lang w:val="zh-CN"/>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3663E4">
        <w:tc>
          <w:tcPr>
            <w:tcW w:w="1560" w:type="dxa"/>
            <w:vMerge w:val="restart"/>
            <w:vAlign w:val="center"/>
          </w:tcPr>
          <w:p w:rsidR="003663E4" w:rsidRDefault="00FD3F7D">
            <w:pPr>
              <w:spacing w:line="276" w:lineRule="auto"/>
              <w:jc w:val="center"/>
              <w:rPr>
                <w:color w:val="000000"/>
                <w:kern w:val="0"/>
                <w:szCs w:val="21"/>
              </w:rPr>
            </w:pPr>
            <w:r>
              <w:rPr>
                <w:color w:val="000000"/>
                <w:szCs w:val="21"/>
              </w:rPr>
              <w:t>券商名称</w:t>
            </w:r>
          </w:p>
        </w:tc>
        <w:tc>
          <w:tcPr>
            <w:tcW w:w="2400" w:type="dxa"/>
            <w:gridSpan w:val="2"/>
            <w:vAlign w:val="center"/>
          </w:tcPr>
          <w:p w:rsidR="003663E4" w:rsidRDefault="00FD3F7D">
            <w:pPr>
              <w:spacing w:line="276" w:lineRule="auto"/>
              <w:jc w:val="center"/>
              <w:rPr>
                <w:color w:val="000000"/>
                <w:szCs w:val="21"/>
              </w:rPr>
            </w:pPr>
            <w:r>
              <w:rPr>
                <w:color w:val="000000"/>
                <w:szCs w:val="21"/>
              </w:rPr>
              <w:t>债券交易</w:t>
            </w:r>
          </w:p>
        </w:tc>
        <w:tc>
          <w:tcPr>
            <w:tcW w:w="2340" w:type="dxa"/>
            <w:gridSpan w:val="2"/>
            <w:vAlign w:val="center"/>
          </w:tcPr>
          <w:p w:rsidR="003663E4" w:rsidRDefault="00FD3F7D">
            <w:pPr>
              <w:spacing w:line="276" w:lineRule="auto"/>
              <w:jc w:val="center"/>
              <w:rPr>
                <w:color w:val="000000"/>
                <w:szCs w:val="21"/>
              </w:rPr>
            </w:pPr>
            <w:r>
              <w:rPr>
                <w:rFonts w:eastAsiaTheme="minorEastAsia" w:hint="eastAsia"/>
                <w:color w:val="000000"/>
                <w:szCs w:val="21"/>
              </w:rPr>
              <w:t>债券</w:t>
            </w:r>
            <w:r>
              <w:rPr>
                <w:color w:val="000000"/>
                <w:szCs w:val="21"/>
              </w:rPr>
              <w:t>回购交易</w:t>
            </w:r>
          </w:p>
        </w:tc>
        <w:tc>
          <w:tcPr>
            <w:tcW w:w="2700" w:type="dxa"/>
            <w:gridSpan w:val="2"/>
            <w:vAlign w:val="center"/>
          </w:tcPr>
          <w:p w:rsidR="003663E4" w:rsidRDefault="00FD3F7D">
            <w:pPr>
              <w:spacing w:line="276" w:lineRule="auto"/>
              <w:jc w:val="center"/>
              <w:rPr>
                <w:color w:val="000000"/>
                <w:szCs w:val="21"/>
              </w:rPr>
            </w:pPr>
            <w:r>
              <w:rPr>
                <w:color w:val="000000"/>
                <w:szCs w:val="21"/>
              </w:rPr>
              <w:t>权证交易</w:t>
            </w:r>
          </w:p>
        </w:tc>
      </w:tr>
      <w:tr w:rsidR="003663E4">
        <w:tc>
          <w:tcPr>
            <w:tcW w:w="1560" w:type="dxa"/>
            <w:vMerge/>
            <w:vAlign w:val="center"/>
          </w:tcPr>
          <w:p w:rsidR="003663E4" w:rsidRDefault="003663E4">
            <w:pPr>
              <w:widowControl/>
              <w:spacing w:line="276" w:lineRule="auto"/>
              <w:jc w:val="left"/>
              <w:rPr>
                <w:color w:val="000000"/>
                <w:kern w:val="0"/>
                <w:szCs w:val="21"/>
              </w:rPr>
            </w:pPr>
          </w:p>
        </w:tc>
        <w:tc>
          <w:tcPr>
            <w:tcW w:w="1320" w:type="dxa"/>
            <w:vAlign w:val="center"/>
          </w:tcPr>
          <w:p w:rsidR="003663E4" w:rsidRDefault="00FD3F7D">
            <w:pPr>
              <w:spacing w:line="276" w:lineRule="auto"/>
              <w:jc w:val="center"/>
              <w:rPr>
                <w:color w:val="000000"/>
                <w:szCs w:val="21"/>
              </w:rPr>
            </w:pPr>
            <w:r>
              <w:rPr>
                <w:color w:val="000000"/>
                <w:szCs w:val="21"/>
              </w:rPr>
              <w:t>成交金额</w:t>
            </w:r>
          </w:p>
        </w:tc>
        <w:tc>
          <w:tcPr>
            <w:tcW w:w="1080" w:type="dxa"/>
            <w:vAlign w:val="center"/>
          </w:tcPr>
          <w:p w:rsidR="003663E4" w:rsidRDefault="00FD3F7D">
            <w:pPr>
              <w:spacing w:line="276" w:lineRule="auto"/>
              <w:jc w:val="center"/>
              <w:rPr>
                <w:color w:val="000000"/>
                <w:szCs w:val="21"/>
              </w:rPr>
            </w:pPr>
            <w:r>
              <w:rPr>
                <w:color w:val="000000"/>
                <w:szCs w:val="21"/>
              </w:rPr>
              <w:t>占当期债券成交总额的比例</w:t>
            </w:r>
          </w:p>
        </w:tc>
        <w:tc>
          <w:tcPr>
            <w:tcW w:w="1143" w:type="dxa"/>
            <w:vAlign w:val="center"/>
          </w:tcPr>
          <w:p w:rsidR="003663E4" w:rsidRDefault="00FD3F7D">
            <w:pPr>
              <w:spacing w:line="276" w:lineRule="auto"/>
              <w:jc w:val="center"/>
              <w:rPr>
                <w:color w:val="000000"/>
                <w:szCs w:val="21"/>
              </w:rPr>
            </w:pPr>
            <w:r>
              <w:rPr>
                <w:color w:val="000000"/>
                <w:szCs w:val="21"/>
              </w:rPr>
              <w:t>成交金额</w:t>
            </w:r>
          </w:p>
        </w:tc>
        <w:tc>
          <w:tcPr>
            <w:tcW w:w="1197" w:type="dxa"/>
            <w:vAlign w:val="center"/>
          </w:tcPr>
          <w:p w:rsidR="003663E4" w:rsidRDefault="00FD3F7D">
            <w:pPr>
              <w:spacing w:line="276" w:lineRule="auto"/>
              <w:jc w:val="center"/>
              <w:rPr>
                <w:color w:val="000000"/>
                <w:szCs w:val="21"/>
              </w:rPr>
            </w:pPr>
            <w:r>
              <w:rPr>
                <w:color w:val="000000"/>
                <w:szCs w:val="21"/>
              </w:rPr>
              <w:t>占当期</w:t>
            </w:r>
            <w:r>
              <w:rPr>
                <w:rFonts w:eastAsiaTheme="minorEastAsia" w:hint="eastAsia"/>
                <w:color w:val="000000"/>
                <w:szCs w:val="21"/>
              </w:rPr>
              <w:t>债券</w:t>
            </w:r>
            <w:r>
              <w:rPr>
                <w:color w:val="000000"/>
                <w:szCs w:val="21"/>
              </w:rPr>
              <w:t>回购成交总额的比例</w:t>
            </w:r>
          </w:p>
        </w:tc>
        <w:tc>
          <w:tcPr>
            <w:tcW w:w="1497" w:type="dxa"/>
            <w:vAlign w:val="center"/>
          </w:tcPr>
          <w:p w:rsidR="003663E4" w:rsidRDefault="00FD3F7D">
            <w:pPr>
              <w:spacing w:line="276" w:lineRule="auto"/>
              <w:jc w:val="center"/>
              <w:rPr>
                <w:color w:val="000000"/>
                <w:szCs w:val="21"/>
              </w:rPr>
            </w:pPr>
            <w:r>
              <w:rPr>
                <w:color w:val="000000"/>
                <w:szCs w:val="21"/>
              </w:rPr>
              <w:t>成交金额</w:t>
            </w:r>
          </w:p>
        </w:tc>
        <w:tc>
          <w:tcPr>
            <w:tcW w:w="1203" w:type="dxa"/>
            <w:vAlign w:val="center"/>
          </w:tcPr>
          <w:p w:rsidR="003663E4" w:rsidRDefault="00FD3F7D">
            <w:pPr>
              <w:spacing w:line="276" w:lineRule="auto"/>
              <w:jc w:val="center"/>
              <w:rPr>
                <w:color w:val="000000"/>
                <w:szCs w:val="21"/>
              </w:rPr>
            </w:pPr>
            <w:r>
              <w:rPr>
                <w:color w:val="000000"/>
                <w:szCs w:val="21"/>
              </w:rPr>
              <w:t>占当期权证成交总额的比例</w:t>
            </w:r>
          </w:p>
        </w:tc>
      </w:tr>
      <w:tr w:rsidR="003663E4">
        <w:tc>
          <w:tcPr>
            <w:tcW w:w="1560" w:type="dxa"/>
            <w:vAlign w:val="center"/>
          </w:tcPr>
          <w:p w:rsidR="003663E4" w:rsidRDefault="00FD3F7D">
            <w:pPr>
              <w:jc w:val="left"/>
            </w:pPr>
            <w:r>
              <w:rPr>
                <w:color w:val="000000"/>
                <w:szCs w:val="21"/>
              </w:rPr>
              <w:t>申万宏源证券有限公司</w:t>
            </w:r>
          </w:p>
        </w:tc>
        <w:tc>
          <w:tcPr>
            <w:tcW w:w="1320" w:type="dxa"/>
            <w:vAlign w:val="center"/>
          </w:tcPr>
          <w:p w:rsidR="003663E4" w:rsidRDefault="00FD3F7D">
            <w:pPr>
              <w:jc w:val="right"/>
            </w:pPr>
            <w:r>
              <w:rPr>
                <w:color w:val="000000"/>
                <w:szCs w:val="21"/>
              </w:rPr>
              <w:t>-</w:t>
            </w:r>
          </w:p>
        </w:tc>
        <w:tc>
          <w:tcPr>
            <w:tcW w:w="1080" w:type="dxa"/>
            <w:vAlign w:val="center"/>
          </w:tcPr>
          <w:p w:rsidR="003663E4" w:rsidRDefault="00FD3F7D">
            <w:pPr>
              <w:jc w:val="right"/>
            </w:pPr>
            <w:r>
              <w:rPr>
                <w:color w:val="000000"/>
                <w:szCs w:val="21"/>
              </w:rPr>
              <w:t>-</w:t>
            </w:r>
          </w:p>
        </w:tc>
        <w:tc>
          <w:tcPr>
            <w:tcW w:w="1143" w:type="dxa"/>
            <w:vAlign w:val="center"/>
          </w:tcPr>
          <w:p w:rsidR="003663E4" w:rsidRDefault="00FD3F7D">
            <w:pPr>
              <w:jc w:val="right"/>
            </w:pPr>
            <w:r>
              <w:rPr>
                <w:color w:val="000000"/>
                <w:szCs w:val="21"/>
              </w:rPr>
              <w:t>68,000,000.00</w:t>
            </w:r>
          </w:p>
        </w:tc>
        <w:tc>
          <w:tcPr>
            <w:tcW w:w="1197" w:type="dxa"/>
            <w:vAlign w:val="center"/>
          </w:tcPr>
          <w:p w:rsidR="003663E4" w:rsidRDefault="00FD3F7D">
            <w:pPr>
              <w:jc w:val="right"/>
            </w:pPr>
            <w:r>
              <w:rPr>
                <w:color w:val="000000"/>
                <w:szCs w:val="21"/>
              </w:rPr>
              <w:t>100.00%</w:t>
            </w:r>
          </w:p>
        </w:tc>
        <w:tc>
          <w:tcPr>
            <w:tcW w:w="1497" w:type="dxa"/>
            <w:vAlign w:val="center"/>
          </w:tcPr>
          <w:p w:rsidR="003663E4" w:rsidRDefault="00FD3F7D">
            <w:pPr>
              <w:jc w:val="right"/>
            </w:pPr>
            <w:r>
              <w:rPr>
                <w:color w:val="000000"/>
                <w:szCs w:val="21"/>
              </w:rPr>
              <w:t>-</w:t>
            </w:r>
          </w:p>
        </w:tc>
        <w:tc>
          <w:tcPr>
            <w:tcW w:w="1203" w:type="dxa"/>
            <w:vAlign w:val="center"/>
          </w:tcPr>
          <w:p w:rsidR="003663E4" w:rsidRDefault="00FD3F7D">
            <w:pPr>
              <w:jc w:val="right"/>
            </w:pPr>
            <w:r>
              <w:rPr>
                <w:color w:val="000000"/>
                <w:szCs w:val="21"/>
              </w:rPr>
              <w:t>-</w:t>
            </w:r>
          </w:p>
        </w:tc>
      </w:tr>
      <w:tr w:rsidR="003663E4">
        <w:tc>
          <w:tcPr>
            <w:tcW w:w="1560" w:type="dxa"/>
            <w:vAlign w:val="center"/>
          </w:tcPr>
          <w:p w:rsidR="003663E4" w:rsidRDefault="00FD3F7D">
            <w:pPr>
              <w:jc w:val="left"/>
            </w:pPr>
            <w:r>
              <w:rPr>
                <w:color w:val="000000"/>
                <w:szCs w:val="21"/>
              </w:rPr>
              <w:t>中信建投证券股份有限公司</w:t>
            </w:r>
          </w:p>
        </w:tc>
        <w:tc>
          <w:tcPr>
            <w:tcW w:w="1320" w:type="dxa"/>
            <w:vAlign w:val="center"/>
          </w:tcPr>
          <w:p w:rsidR="003663E4" w:rsidRDefault="00FD3F7D">
            <w:pPr>
              <w:jc w:val="right"/>
            </w:pPr>
            <w:r>
              <w:rPr>
                <w:color w:val="000000"/>
                <w:szCs w:val="21"/>
              </w:rPr>
              <w:t>-</w:t>
            </w:r>
          </w:p>
        </w:tc>
        <w:tc>
          <w:tcPr>
            <w:tcW w:w="1080" w:type="dxa"/>
            <w:vAlign w:val="center"/>
          </w:tcPr>
          <w:p w:rsidR="003663E4" w:rsidRDefault="00FD3F7D">
            <w:pPr>
              <w:jc w:val="right"/>
            </w:pPr>
            <w:r>
              <w:rPr>
                <w:color w:val="000000"/>
                <w:szCs w:val="21"/>
              </w:rPr>
              <w:t>-</w:t>
            </w:r>
          </w:p>
        </w:tc>
        <w:tc>
          <w:tcPr>
            <w:tcW w:w="1143" w:type="dxa"/>
            <w:vAlign w:val="center"/>
          </w:tcPr>
          <w:p w:rsidR="003663E4" w:rsidRDefault="00FD3F7D">
            <w:pPr>
              <w:jc w:val="right"/>
            </w:pPr>
            <w:r>
              <w:rPr>
                <w:color w:val="000000"/>
                <w:szCs w:val="21"/>
              </w:rPr>
              <w:t>-</w:t>
            </w:r>
          </w:p>
        </w:tc>
        <w:tc>
          <w:tcPr>
            <w:tcW w:w="1197" w:type="dxa"/>
            <w:vAlign w:val="center"/>
          </w:tcPr>
          <w:p w:rsidR="003663E4" w:rsidRDefault="00FD3F7D">
            <w:pPr>
              <w:jc w:val="right"/>
            </w:pPr>
            <w:r>
              <w:rPr>
                <w:color w:val="000000"/>
                <w:szCs w:val="21"/>
              </w:rPr>
              <w:t>-</w:t>
            </w:r>
          </w:p>
        </w:tc>
        <w:tc>
          <w:tcPr>
            <w:tcW w:w="1497" w:type="dxa"/>
            <w:vAlign w:val="center"/>
          </w:tcPr>
          <w:p w:rsidR="003663E4" w:rsidRDefault="00FD3F7D">
            <w:pPr>
              <w:jc w:val="right"/>
            </w:pPr>
            <w:r>
              <w:rPr>
                <w:color w:val="000000"/>
                <w:szCs w:val="21"/>
              </w:rPr>
              <w:t>-</w:t>
            </w:r>
          </w:p>
        </w:tc>
        <w:tc>
          <w:tcPr>
            <w:tcW w:w="1203" w:type="dxa"/>
            <w:vAlign w:val="center"/>
          </w:tcPr>
          <w:p w:rsidR="003663E4" w:rsidRDefault="00FD3F7D">
            <w:pPr>
              <w:jc w:val="right"/>
            </w:pPr>
            <w:r>
              <w:rPr>
                <w:color w:val="000000"/>
                <w:szCs w:val="21"/>
              </w:rPr>
              <w:t>-</w:t>
            </w:r>
          </w:p>
        </w:tc>
      </w:tr>
    </w:tbl>
    <w:p w:rsidR="003663E4" w:rsidRDefault="00FD3F7D">
      <w:pPr>
        <w:spacing w:line="360" w:lineRule="auto"/>
        <w:ind w:firstLineChars="200" w:firstLine="420"/>
        <w:rPr>
          <w:rFonts w:eastAsiaTheme="minorEastAsia"/>
          <w:kern w:val="0"/>
          <w:szCs w:val="21"/>
        </w:rPr>
      </w:pPr>
      <w:r>
        <w:rPr>
          <w:color w:val="000000"/>
          <w:szCs w:val="21"/>
        </w:rPr>
        <w:t>注：</w:t>
      </w:r>
      <w:r>
        <w:rPr>
          <w:color w:val="000000"/>
          <w:szCs w:val="21"/>
        </w:rPr>
        <w:t>1</w:t>
      </w:r>
      <w:r>
        <w:rPr>
          <w:color w:val="000000"/>
          <w:szCs w:val="21"/>
        </w:rPr>
        <w:t>、报告期内，本基金交易单元未发生变化；</w:t>
      </w:r>
    </w:p>
    <w:p w:rsidR="003663E4" w:rsidRDefault="00FD3F7D">
      <w:pPr>
        <w:spacing w:line="360" w:lineRule="auto"/>
        <w:ind w:firstLineChars="200" w:firstLine="420"/>
        <w:rPr>
          <w:rFonts w:eastAsiaTheme="minorEastAsia"/>
          <w:kern w:val="0"/>
          <w:szCs w:val="21"/>
        </w:rPr>
      </w:pPr>
      <w:r>
        <w:rPr>
          <w:color w:val="000000"/>
          <w:szCs w:val="21"/>
        </w:rPr>
        <w:t>2</w:t>
      </w:r>
      <w:r>
        <w:rPr>
          <w:color w:val="000000"/>
          <w:szCs w:val="21"/>
        </w:rPr>
        <w:t>、租用证券公司交易单元的选择标准主要包括：券商基本面评价（财务状况、经营状况）、券商研究机构评价（报告质量、及时性和数量）、券商每日信息评价（及时性和有效性）和券商协作表现评价等四个方面；</w:t>
      </w:r>
    </w:p>
    <w:p w:rsidR="003663E4" w:rsidRDefault="00FD3F7D">
      <w:pPr>
        <w:spacing w:line="360" w:lineRule="auto"/>
        <w:ind w:firstLineChars="200" w:firstLine="420"/>
        <w:rPr>
          <w:color w:val="000000"/>
          <w:szCs w:val="21"/>
        </w:rPr>
      </w:pPr>
      <w:r>
        <w:rPr>
          <w:color w:val="000000"/>
          <w:szCs w:val="21"/>
        </w:rPr>
        <w:t>3</w:t>
      </w:r>
      <w:r>
        <w:rPr>
          <w:color w:val="000000"/>
          <w:szCs w:val="21"/>
        </w:rPr>
        <w:t>、租用证券公司交易单元的程序：首先根据租用证券公司交易单元的选择标准进行综合评价，然后根据评价选择基金交易单元。研究部提交方案，并上报公司批准。</w:t>
      </w:r>
    </w:p>
    <w:p w:rsidR="003663E4" w:rsidRDefault="00FD3F7D">
      <w:pPr>
        <w:pStyle w:val="2"/>
        <w:spacing w:before="0" w:after="0"/>
        <w:rPr>
          <w:color w:val="000000"/>
          <w:kern w:val="0"/>
          <w:szCs w:val="21"/>
        </w:rPr>
      </w:pPr>
      <w:bookmarkStart w:id="355" w:name="_Toc9260"/>
      <w:r>
        <w:rPr>
          <w:rFonts w:ascii="Times New Roman" w:hAnsi="Times New Roman"/>
          <w:color w:val="000000"/>
          <w:kern w:val="0"/>
          <w:sz w:val="21"/>
          <w:szCs w:val="21"/>
        </w:rPr>
        <w:t xml:space="preserve">11.8 </w:t>
      </w:r>
      <w:r>
        <w:rPr>
          <w:rFonts w:ascii="Times New Roman" w:hAnsi="Times New Roman" w:hint="eastAsia"/>
          <w:color w:val="000000"/>
          <w:kern w:val="0"/>
          <w:sz w:val="21"/>
          <w:szCs w:val="21"/>
        </w:rPr>
        <w:t>偏离度绝对值超过</w:t>
      </w:r>
      <w:r>
        <w:rPr>
          <w:rFonts w:ascii="Times New Roman" w:hAnsi="Times New Roman"/>
          <w:color w:val="000000"/>
          <w:kern w:val="0"/>
          <w:sz w:val="21"/>
          <w:szCs w:val="21"/>
        </w:rPr>
        <w:t>0.5%</w:t>
      </w:r>
      <w:r>
        <w:rPr>
          <w:rFonts w:ascii="Times New Roman" w:hAnsi="Times New Roman" w:hint="eastAsia"/>
          <w:color w:val="000000"/>
          <w:kern w:val="0"/>
          <w:sz w:val="21"/>
          <w:szCs w:val="21"/>
        </w:rPr>
        <w:t>的情况</w:t>
      </w:r>
      <w:bookmarkEnd w:id="355"/>
    </w:p>
    <w:p w:rsidR="003663E4" w:rsidRDefault="00FD3F7D">
      <w:pPr>
        <w:spacing w:line="360" w:lineRule="auto"/>
        <w:ind w:firstLineChars="200" w:firstLine="420"/>
        <w:rPr>
          <w:rFonts w:eastAsiaTheme="minorEastAsia"/>
          <w:kern w:val="0"/>
          <w:szCs w:val="21"/>
        </w:rPr>
      </w:pPr>
      <w:r>
        <w:rPr>
          <w:rFonts w:hint="eastAsia"/>
        </w:rPr>
        <w:t>本基金本报告期内不存在偏离度绝对值超过</w:t>
      </w:r>
      <w:r>
        <w:rPr>
          <w:rFonts w:hint="eastAsia"/>
        </w:rPr>
        <w:t>0</w:t>
      </w:r>
      <w:r>
        <w:t>.5</w:t>
      </w:r>
      <w:r>
        <w:rPr>
          <w:rFonts w:hint="eastAsia"/>
        </w:rPr>
        <w:t>%</w:t>
      </w:r>
      <w:r>
        <w:rPr>
          <w:rFonts w:hint="eastAsia"/>
        </w:rPr>
        <w:t>的情况。</w:t>
      </w:r>
    </w:p>
    <w:p w:rsidR="003663E4" w:rsidRDefault="00FD3F7D">
      <w:pPr>
        <w:pStyle w:val="2"/>
        <w:spacing w:before="0" w:after="0"/>
        <w:rPr>
          <w:rFonts w:ascii="Times New Roman" w:hAnsi="Times New Roman"/>
          <w:color w:val="000000"/>
          <w:kern w:val="0"/>
          <w:sz w:val="21"/>
          <w:szCs w:val="21"/>
        </w:rPr>
      </w:pPr>
      <w:bookmarkStart w:id="356" w:name="_Toc331410124"/>
      <w:bookmarkStart w:id="357" w:name="_Toc23339441"/>
      <w:bookmarkStart w:id="358" w:name="_Toc23606"/>
      <w:r>
        <w:rPr>
          <w:rFonts w:ascii="Times New Roman" w:hAnsi="Times New Roman" w:hint="eastAsia"/>
          <w:color w:val="000000"/>
          <w:kern w:val="0"/>
          <w:sz w:val="21"/>
          <w:szCs w:val="21"/>
        </w:rPr>
        <w:t xml:space="preserve">11.9 </w:t>
      </w:r>
      <w:r>
        <w:rPr>
          <w:rFonts w:ascii="Times New Roman" w:hAnsi="Times New Roman" w:hint="eastAsia"/>
          <w:color w:val="000000"/>
          <w:kern w:val="0"/>
          <w:sz w:val="21"/>
          <w:szCs w:val="21"/>
        </w:rPr>
        <w:t>其他重大事件</w:t>
      </w:r>
      <w:bookmarkEnd w:id="356"/>
      <w:bookmarkEnd w:id="357"/>
      <w:bookmarkEnd w:id="35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3663E4">
        <w:tc>
          <w:tcPr>
            <w:tcW w:w="720" w:type="dxa"/>
            <w:vAlign w:val="center"/>
          </w:tcPr>
          <w:p w:rsidR="003663E4" w:rsidRDefault="00FD3F7D">
            <w:pPr>
              <w:spacing w:line="360" w:lineRule="auto"/>
              <w:jc w:val="center"/>
              <w:rPr>
                <w:rFonts w:eastAsiaTheme="minorEastAsia"/>
                <w:szCs w:val="21"/>
              </w:rPr>
            </w:pPr>
            <w:r>
              <w:rPr>
                <w:rFonts w:eastAsiaTheme="minorEastAsia"/>
                <w:szCs w:val="21"/>
              </w:rPr>
              <w:t>序号</w:t>
            </w:r>
          </w:p>
        </w:tc>
        <w:tc>
          <w:tcPr>
            <w:tcW w:w="4320" w:type="dxa"/>
            <w:vAlign w:val="center"/>
          </w:tcPr>
          <w:p w:rsidR="003663E4" w:rsidRDefault="00FD3F7D">
            <w:pPr>
              <w:spacing w:line="360" w:lineRule="auto"/>
              <w:jc w:val="center"/>
              <w:rPr>
                <w:rFonts w:eastAsiaTheme="minorEastAsia"/>
                <w:szCs w:val="21"/>
              </w:rPr>
            </w:pPr>
            <w:r>
              <w:rPr>
                <w:rFonts w:eastAsiaTheme="minorEastAsia"/>
                <w:szCs w:val="21"/>
              </w:rPr>
              <w:t>公告事项</w:t>
            </w:r>
          </w:p>
        </w:tc>
        <w:tc>
          <w:tcPr>
            <w:tcW w:w="2520" w:type="dxa"/>
            <w:vAlign w:val="center"/>
          </w:tcPr>
          <w:p w:rsidR="003663E4" w:rsidRDefault="00FD3F7D">
            <w:pPr>
              <w:spacing w:line="360" w:lineRule="auto"/>
              <w:jc w:val="center"/>
              <w:rPr>
                <w:rFonts w:eastAsiaTheme="minorEastAsia"/>
                <w:szCs w:val="21"/>
              </w:rPr>
            </w:pPr>
            <w:r>
              <w:rPr>
                <w:rFonts w:eastAsiaTheme="minorEastAsia"/>
                <w:szCs w:val="21"/>
              </w:rPr>
              <w:t>法定披露方式</w:t>
            </w:r>
          </w:p>
        </w:tc>
        <w:tc>
          <w:tcPr>
            <w:tcW w:w="1440" w:type="dxa"/>
            <w:vAlign w:val="center"/>
          </w:tcPr>
          <w:p w:rsidR="003663E4" w:rsidRDefault="00FD3F7D">
            <w:pPr>
              <w:spacing w:line="360" w:lineRule="auto"/>
              <w:jc w:val="center"/>
              <w:rPr>
                <w:rFonts w:eastAsiaTheme="minorEastAsia"/>
                <w:szCs w:val="21"/>
              </w:rPr>
            </w:pPr>
            <w:r>
              <w:rPr>
                <w:rFonts w:eastAsiaTheme="minorEastAsia"/>
                <w:szCs w:val="21"/>
              </w:rPr>
              <w:t>法定披露日期</w:t>
            </w:r>
          </w:p>
        </w:tc>
      </w:tr>
      <w:tr w:rsidR="003663E4">
        <w:tc>
          <w:tcPr>
            <w:tcW w:w="720" w:type="dxa"/>
            <w:vAlign w:val="center"/>
          </w:tcPr>
          <w:p w:rsidR="003663E4" w:rsidRDefault="00FD3F7D">
            <w:pPr>
              <w:jc w:val="center"/>
            </w:pPr>
            <w:r>
              <w:rPr>
                <w:rFonts w:eastAsiaTheme="minorEastAsia"/>
                <w:szCs w:val="21"/>
              </w:rPr>
              <w:t>1</w:t>
            </w:r>
          </w:p>
        </w:tc>
        <w:tc>
          <w:tcPr>
            <w:tcW w:w="4320" w:type="dxa"/>
            <w:vAlign w:val="center"/>
          </w:tcPr>
          <w:p w:rsidR="003663E4" w:rsidRDefault="00FD3F7D">
            <w:pPr>
              <w:jc w:val="left"/>
            </w:pPr>
            <w:r>
              <w:rPr>
                <w:rFonts w:eastAsiaTheme="minorEastAsia"/>
                <w:szCs w:val="21"/>
              </w:rPr>
              <w:t>交银施罗德理财</w:t>
            </w:r>
            <w:r>
              <w:rPr>
                <w:rFonts w:eastAsiaTheme="minorEastAsia"/>
                <w:szCs w:val="21"/>
              </w:rPr>
              <w:t>60</w:t>
            </w:r>
            <w:r>
              <w:rPr>
                <w:rFonts w:eastAsiaTheme="minorEastAsia"/>
                <w:szCs w:val="21"/>
              </w:rPr>
              <w:t>天债券型证券投资基金</w:t>
            </w:r>
            <w:r>
              <w:rPr>
                <w:rFonts w:eastAsiaTheme="minorEastAsia"/>
                <w:szCs w:val="21"/>
              </w:rPr>
              <w:t>2019</w:t>
            </w:r>
            <w:r>
              <w:rPr>
                <w:rFonts w:eastAsiaTheme="minorEastAsia"/>
                <w:szCs w:val="21"/>
              </w:rPr>
              <w:t>年第</w:t>
            </w:r>
            <w:r>
              <w:rPr>
                <w:rFonts w:eastAsiaTheme="minorEastAsia"/>
                <w:szCs w:val="21"/>
              </w:rPr>
              <w:t>4</w:t>
            </w:r>
            <w:r>
              <w:rPr>
                <w:rFonts w:eastAsiaTheme="minorEastAsia"/>
                <w:szCs w:val="21"/>
              </w:rPr>
              <w:t>季度报告</w:t>
            </w:r>
          </w:p>
        </w:tc>
        <w:tc>
          <w:tcPr>
            <w:tcW w:w="2520" w:type="dxa"/>
            <w:vAlign w:val="center"/>
          </w:tcPr>
          <w:p w:rsidR="003663E4" w:rsidRDefault="00FD3F7D">
            <w:pPr>
              <w:jc w:val="center"/>
            </w:pPr>
            <w:r>
              <w:rPr>
                <w:rFonts w:eastAsiaTheme="minorEastAsia"/>
                <w:szCs w:val="21"/>
              </w:rPr>
              <w:t>公司网站</w:t>
            </w:r>
          </w:p>
        </w:tc>
        <w:tc>
          <w:tcPr>
            <w:tcW w:w="1440" w:type="dxa"/>
            <w:vAlign w:val="center"/>
          </w:tcPr>
          <w:p w:rsidR="003663E4" w:rsidRDefault="00FD3F7D">
            <w:pPr>
              <w:jc w:val="center"/>
            </w:pPr>
            <w:r>
              <w:rPr>
                <w:rFonts w:eastAsiaTheme="minorEastAsia"/>
                <w:szCs w:val="21"/>
              </w:rPr>
              <w:t>2020-01-21</w:t>
            </w:r>
          </w:p>
        </w:tc>
      </w:tr>
      <w:tr w:rsidR="003663E4">
        <w:tc>
          <w:tcPr>
            <w:tcW w:w="720" w:type="dxa"/>
            <w:vAlign w:val="center"/>
          </w:tcPr>
          <w:p w:rsidR="003663E4" w:rsidRDefault="00FD3F7D">
            <w:pPr>
              <w:jc w:val="center"/>
            </w:pPr>
            <w:r>
              <w:rPr>
                <w:rFonts w:eastAsiaTheme="minorEastAsia"/>
                <w:szCs w:val="21"/>
              </w:rPr>
              <w:t>2</w:t>
            </w:r>
          </w:p>
        </w:tc>
        <w:tc>
          <w:tcPr>
            <w:tcW w:w="4320" w:type="dxa"/>
            <w:vAlign w:val="center"/>
          </w:tcPr>
          <w:p w:rsidR="003663E4" w:rsidRDefault="00FD3F7D">
            <w:pPr>
              <w:jc w:val="left"/>
            </w:pPr>
            <w:r>
              <w:rPr>
                <w:rFonts w:eastAsiaTheme="minorEastAsia"/>
                <w:szCs w:val="21"/>
              </w:rPr>
              <w:t>交银施罗德基金管理有限公司关于春节假期调整延期办理有关业务的公告</w:t>
            </w:r>
          </w:p>
        </w:tc>
        <w:tc>
          <w:tcPr>
            <w:tcW w:w="2520" w:type="dxa"/>
            <w:vAlign w:val="center"/>
          </w:tcPr>
          <w:p w:rsidR="003663E4" w:rsidRDefault="00FD3F7D">
            <w:pPr>
              <w:jc w:val="center"/>
            </w:pPr>
            <w:r>
              <w:rPr>
                <w:rFonts w:eastAsiaTheme="minorEastAsia"/>
                <w:szCs w:val="21"/>
              </w:rPr>
              <w:t>中国证券报、上海证券报、证券时报、公司网站</w:t>
            </w:r>
          </w:p>
        </w:tc>
        <w:tc>
          <w:tcPr>
            <w:tcW w:w="1440" w:type="dxa"/>
            <w:vAlign w:val="center"/>
          </w:tcPr>
          <w:p w:rsidR="003663E4" w:rsidRDefault="00FD3F7D">
            <w:pPr>
              <w:jc w:val="center"/>
            </w:pPr>
            <w:r>
              <w:rPr>
                <w:rFonts w:eastAsiaTheme="minorEastAsia"/>
                <w:szCs w:val="21"/>
              </w:rPr>
              <w:t>2020-01-31</w:t>
            </w:r>
          </w:p>
        </w:tc>
      </w:tr>
      <w:tr w:rsidR="003663E4">
        <w:tc>
          <w:tcPr>
            <w:tcW w:w="720" w:type="dxa"/>
            <w:vAlign w:val="center"/>
          </w:tcPr>
          <w:p w:rsidR="003663E4" w:rsidRDefault="00FD3F7D">
            <w:pPr>
              <w:jc w:val="center"/>
            </w:pPr>
            <w:r>
              <w:rPr>
                <w:rFonts w:eastAsiaTheme="minorEastAsia"/>
                <w:szCs w:val="21"/>
              </w:rPr>
              <w:t>3</w:t>
            </w:r>
          </w:p>
        </w:tc>
        <w:tc>
          <w:tcPr>
            <w:tcW w:w="4320" w:type="dxa"/>
            <w:vAlign w:val="center"/>
          </w:tcPr>
          <w:p w:rsidR="003663E4" w:rsidRDefault="00FD3F7D">
            <w:pPr>
              <w:jc w:val="left"/>
            </w:pPr>
            <w:r>
              <w:rPr>
                <w:rFonts w:eastAsiaTheme="minorEastAsia"/>
                <w:szCs w:val="21"/>
              </w:rPr>
              <w:t>交银施罗德理财</w:t>
            </w:r>
            <w:r>
              <w:rPr>
                <w:rFonts w:eastAsiaTheme="minorEastAsia"/>
                <w:szCs w:val="21"/>
              </w:rPr>
              <w:t>60</w:t>
            </w:r>
            <w:r>
              <w:rPr>
                <w:rFonts w:eastAsiaTheme="minorEastAsia"/>
                <w:szCs w:val="21"/>
              </w:rPr>
              <w:t>天债券型证券投资基金（更新）招募说明书摘要（</w:t>
            </w:r>
            <w:r>
              <w:rPr>
                <w:rFonts w:eastAsiaTheme="minorEastAsia"/>
                <w:szCs w:val="21"/>
              </w:rPr>
              <w:t>2019</w:t>
            </w:r>
            <w:r>
              <w:rPr>
                <w:rFonts w:eastAsiaTheme="minorEastAsia"/>
                <w:szCs w:val="21"/>
              </w:rPr>
              <w:t>年第</w:t>
            </w:r>
            <w:r>
              <w:rPr>
                <w:rFonts w:eastAsiaTheme="minorEastAsia"/>
                <w:szCs w:val="21"/>
              </w:rPr>
              <w:t>3</w:t>
            </w:r>
            <w:r>
              <w:rPr>
                <w:rFonts w:eastAsiaTheme="minorEastAsia"/>
                <w:szCs w:val="21"/>
              </w:rPr>
              <w:t>号）</w:t>
            </w:r>
          </w:p>
        </w:tc>
        <w:tc>
          <w:tcPr>
            <w:tcW w:w="2520" w:type="dxa"/>
            <w:vAlign w:val="center"/>
          </w:tcPr>
          <w:p w:rsidR="003663E4" w:rsidRDefault="00FD3F7D">
            <w:pPr>
              <w:jc w:val="center"/>
            </w:pPr>
            <w:r>
              <w:rPr>
                <w:rFonts w:eastAsiaTheme="minorEastAsia"/>
                <w:szCs w:val="21"/>
              </w:rPr>
              <w:t>公司网站</w:t>
            </w:r>
          </w:p>
        </w:tc>
        <w:tc>
          <w:tcPr>
            <w:tcW w:w="1440" w:type="dxa"/>
            <w:vAlign w:val="center"/>
          </w:tcPr>
          <w:p w:rsidR="003663E4" w:rsidRDefault="00FD3F7D">
            <w:pPr>
              <w:jc w:val="center"/>
            </w:pPr>
            <w:r>
              <w:rPr>
                <w:rFonts w:eastAsiaTheme="minorEastAsia"/>
                <w:szCs w:val="21"/>
              </w:rPr>
              <w:t>2020-02-15</w:t>
            </w:r>
          </w:p>
        </w:tc>
      </w:tr>
      <w:tr w:rsidR="003663E4">
        <w:tc>
          <w:tcPr>
            <w:tcW w:w="720" w:type="dxa"/>
            <w:vAlign w:val="center"/>
          </w:tcPr>
          <w:p w:rsidR="003663E4" w:rsidRDefault="00FD3F7D">
            <w:pPr>
              <w:jc w:val="center"/>
            </w:pPr>
            <w:r>
              <w:rPr>
                <w:rFonts w:eastAsiaTheme="minorEastAsia"/>
                <w:szCs w:val="21"/>
              </w:rPr>
              <w:t>4</w:t>
            </w:r>
          </w:p>
        </w:tc>
        <w:tc>
          <w:tcPr>
            <w:tcW w:w="4320" w:type="dxa"/>
            <w:vAlign w:val="center"/>
          </w:tcPr>
          <w:p w:rsidR="003663E4" w:rsidRDefault="00FD3F7D">
            <w:pPr>
              <w:jc w:val="left"/>
            </w:pPr>
            <w:r>
              <w:rPr>
                <w:rFonts w:eastAsiaTheme="minorEastAsia"/>
                <w:szCs w:val="21"/>
              </w:rPr>
              <w:t>交银施罗德理财</w:t>
            </w:r>
            <w:r>
              <w:rPr>
                <w:rFonts w:eastAsiaTheme="minorEastAsia"/>
                <w:szCs w:val="21"/>
              </w:rPr>
              <w:t>60</w:t>
            </w:r>
            <w:r>
              <w:rPr>
                <w:rFonts w:eastAsiaTheme="minorEastAsia"/>
                <w:szCs w:val="21"/>
              </w:rPr>
              <w:t>天债券型证券投资基金（更新）招募说明书（</w:t>
            </w:r>
            <w:r>
              <w:rPr>
                <w:rFonts w:eastAsiaTheme="minorEastAsia"/>
                <w:szCs w:val="21"/>
              </w:rPr>
              <w:t>2019</w:t>
            </w:r>
            <w:r>
              <w:rPr>
                <w:rFonts w:eastAsiaTheme="minorEastAsia"/>
                <w:szCs w:val="21"/>
              </w:rPr>
              <w:t>年第</w:t>
            </w:r>
            <w:r>
              <w:rPr>
                <w:rFonts w:eastAsiaTheme="minorEastAsia"/>
                <w:szCs w:val="21"/>
              </w:rPr>
              <w:t>3</w:t>
            </w:r>
            <w:r>
              <w:rPr>
                <w:rFonts w:eastAsiaTheme="minorEastAsia"/>
                <w:szCs w:val="21"/>
              </w:rPr>
              <w:t>号）</w:t>
            </w:r>
          </w:p>
        </w:tc>
        <w:tc>
          <w:tcPr>
            <w:tcW w:w="2520" w:type="dxa"/>
            <w:vAlign w:val="center"/>
          </w:tcPr>
          <w:p w:rsidR="003663E4" w:rsidRDefault="00FD3F7D">
            <w:pPr>
              <w:jc w:val="center"/>
            </w:pPr>
            <w:r>
              <w:rPr>
                <w:rFonts w:eastAsiaTheme="minorEastAsia"/>
                <w:szCs w:val="21"/>
              </w:rPr>
              <w:t>公司网站</w:t>
            </w:r>
          </w:p>
        </w:tc>
        <w:tc>
          <w:tcPr>
            <w:tcW w:w="1440" w:type="dxa"/>
            <w:vAlign w:val="center"/>
          </w:tcPr>
          <w:p w:rsidR="003663E4" w:rsidRDefault="00FD3F7D">
            <w:pPr>
              <w:jc w:val="center"/>
            </w:pPr>
            <w:r>
              <w:rPr>
                <w:rFonts w:eastAsiaTheme="minorEastAsia"/>
                <w:szCs w:val="21"/>
              </w:rPr>
              <w:t>2020-02-15</w:t>
            </w:r>
          </w:p>
        </w:tc>
      </w:tr>
      <w:tr w:rsidR="003663E4">
        <w:tc>
          <w:tcPr>
            <w:tcW w:w="720" w:type="dxa"/>
            <w:vAlign w:val="center"/>
          </w:tcPr>
          <w:p w:rsidR="003663E4" w:rsidRDefault="00FD3F7D">
            <w:pPr>
              <w:jc w:val="center"/>
            </w:pPr>
            <w:r>
              <w:rPr>
                <w:rFonts w:eastAsiaTheme="minorEastAsia"/>
                <w:szCs w:val="21"/>
              </w:rPr>
              <w:t>5</w:t>
            </w:r>
          </w:p>
        </w:tc>
        <w:tc>
          <w:tcPr>
            <w:tcW w:w="4320" w:type="dxa"/>
            <w:vAlign w:val="center"/>
          </w:tcPr>
          <w:p w:rsidR="003663E4" w:rsidRDefault="00FD3F7D">
            <w:pPr>
              <w:jc w:val="left"/>
            </w:pPr>
            <w:r>
              <w:rPr>
                <w:rFonts w:eastAsiaTheme="minorEastAsia"/>
                <w:szCs w:val="21"/>
              </w:rPr>
              <w:t>交银施罗德理财</w:t>
            </w:r>
            <w:r>
              <w:rPr>
                <w:rFonts w:eastAsiaTheme="minorEastAsia"/>
                <w:szCs w:val="21"/>
              </w:rPr>
              <w:t>60</w:t>
            </w:r>
            <w:r>
              <w:rPr>
                <w:rFonts w:eastAsiaTheme="minorEastAsia"/>
                <w:szCs w:val="21"/>
              </w:rPr>
              <w:t>天债券型证券投资基金</w:t>
            </w:r>
            <w:r>
              <w:rPr>
                <w:rFonts w:eastAsiaTheme="minorEastAsia"/>
                <w:szCs w:val="21"/>
              </w:rPr>
              <w:t>2019</w:t>
            </w:r>
            <w:r>
              <w:rPr>
                <w:rFonts w:eastAsiaTheme="minorEastAsia"/>
                <w:szCs w:val="21"/>
              </w:rPr>
              <w:t>年年度报告</w:t>
            </w:r>
          </w:p>
        </w:tc>
        <w:tc>
          <w:tcPr>
            <w:tcW w:w="2520" w:type="dxa"/>
            <w:vAlign w:val="center"/>
          </w:tcPr>
          <w:p w:rsidR="003663E4" w:rsidRDefault="00FD3F7D">
            <w:pPr>
              <w:jc w:val="center"/>
            </w:pPr>
            <w:r>
              <w:rPr>
                <w:rFonts w:eastAsiaTheme="minorEastAsia"/>
                <w:szCs w:val="21"/>
              </w:rPr>
              <w:t>公司网站</w:t>
            </w:r>
          </w:p>
        </w:tc>
        <w:tc>
          <w:tcPr>
            <w:tcW w:w="1440" w:type="dxa"/>
            <w:vAlign w:val="center"/>
          </w:tcPr>
          <w:p w:rsidR="003663E4" w:rsidRDefault="00FD3F7D">
            <w:pPr>
              <w:jc w:val="center"/>
            </w:pPr>
            <w:r>
              <w:rPr>
                <w:rFonts w:eastAsiaTheme="minorEastAsia"/>
                <w:szCs w:val="21"/>
              </w:rPr>
              <w:t>2020-03-30</w:t>
            </w:r>
          </w:p>
        </w:tc>
      </w:tr>
      <w:tr w:rsidR="003663E4">
        <w:tc>
          <w:tcPr>
            <w:tcW w:w="720" w:type="dxa"/>
            <w:vAlign w:val="center"/>
          </w:tcPr>
          <w:p w:rsidR="003663E4" w:rsidRDefault="00FD3F7D">
            <w:pPr>
              <w:jc w:val="center"/>
            </w:pPr>
            <w:r>
              <w:rPr>
                <w:rFonts w:eastAsiaTheme="minorEastAsia"/>
                <w:szCs w:val="21"/>
              </w:rPr>
              <w:t>6</w:t>
            </w:r>
          </w:p>
        </w:tc>
        <w:tc>
          <w:tcPr>
            <w:tcW w:w="4320" w:type="dxa"/>
            <w:vAlign w:val="center"/>
          </w:tcPr>
          <w:p w:rsidR="003663E4" w:rsidRDefault="00FD3F7D">
            <w:pPr>
              <w:jc w:val="left"/>
            </w:pPr>
            <w:r>
              <w:rPr>
                <w:rFonts w:eastAsiaTheme="minorEastAsia"/>
                <w:szCs w:val="21"/>
              </w:rPr>
              <w:t>交银施罗德理财</w:t>
            </w:r>
            <w:r>
              <w:rPr>
                <w:rFonts w:eastAsiaTheme="minorEastAsia"/>
                <w:szCs w:val="21"/>
              </w:rPr>
              <w:t>60</w:t>
            </w:r>
            <w:r>
              <w:rPr>
                <w:rFonts w:eastAsiaTheme="minorEastAsia"/>
                <w:szCs w:val="21"/>
              </w:rPr>
              <w:t>天债券型证券投资基金</w:t>
            </w:r>
            <w:r>
              <w:rPr>
                <w:rFonts w:eastAsiaTheme="minorEastAsia"/>
                <w:szCs w:val="21"/>
              </w:rPr>
              <w:t>2020</w:t>
            </w:r>
            <w:r>
              <w:rPr>
                <w:rFonts w:eastAsiaTheme="minorEastAsia"/>
                <w:szCs w:val="21"/>
              </w:rPr>
              <w:t>年第</w:t>
            </w:r>
            <w:r>
              <w:rPr>
                <w:rFonts w:eastAsiaTheme="minorEastAsia"/>
                <w:szCs w:val="21"/>
              </w:rPr>
              <w:t>1</w:t>
            </w:r>
            <w:r>
              <w:rPr>
                <w:rFonts w:eastAsiaTheme="minorEastAsia"/>
                <w:szCs w:val="21"/>
              </w:rPr>
              <w:t>季度报告</w:t>
            </w:r>
          </w:p>
        </w:tc>
        <w:tc>
          <w:tcPr>
            <w:tcW w:w="2520" w:type="dxa"/>
            <w:vAlign w:val="center"/>
          </w:tcPr>
          <w:p w:rsidR="003663E4" w:rsidRDefault="00FD3F7D">
            <w:pPr>
              <w:jc w:val="center"/>
            </w:pPr>
            <w:r>
              <w:rPr>
                <w:rFonts w:eastAsiaTheme="minorEastAsia"/>
                <w:szCs w:val="21"/>
              </w:rPr>
              <w:t>公司网站</w:t>
            </w:r>
          </w:p>
        </w:tc>
        <w:tc>
          <w:tcPr>
            <w:tcW w:w="1440" w:type="dxa"/>
            <w:vAlign w:val="center"/>
          </w:tcPr>
          <w:p w:rsidR="003663E4" w:rsidRDefault="00FD3F7D">
            <w:pPr>
              <w:jc w:val="center"/>
            </w:pPr>
            <w:r>
              <w:rPr>
                <w:rFonts w:eastAsiaTheme="minorEastAsia"/>
                <w:szCs w:val="21"/>
              </w:rPr>
              <w:t>2020-04-22</w:t>
            </w:r>
          </w:p>
        </w:tc>
      </w:tr>
      <w:tr w:rsidR="003663E4">
        <w:tc>
          <w:tcPr>
            <w:tcW w:w="720" w:type="dxa"/>
            <w:vAlign w:val="center"/>
          </w:tcPr>
          <w:p w:rsidR="003663E4" w:rsidRDefault="00FD3F7D">
            <w:pPr>
              <w:jc w:val="center"/>
            </w:pPr>
            <w:r>
              <w:rPr>
                <w:rFonts w:eastAsiaTheme="minorEastAsia"/>
                <w:szCs w:val="21"/>
              </w:rPr>
              <w:t>7</w:t>
            </w:r>
          </w:p>
        </w:tc>
        <w:tc>
          <w:tcPr>
            <w:tcW w:w="4320" w:type="dxa"/>
            <w:vAlign w:val="center"/>
          </w:tcPr>
          <w:p w:rsidR="003663E4" w:rsidRDefault="00FD3F7D">
            <w:pPr>
              <w:jc w:val="left"/>
            </w:pPr>
            <w:r>
              <w:rPr>
                <w:rFonts w:eastAsiaTheme="minorEastAsia"/>
                <w:szCs w:val="21"/>
              </w:rPr>
              <w:t>交银施罗德基金管理有限公司关于以通讯方式召开交银施罗德理财</w:t>
            </w:r>
            <w:r>
              <w:rPr>
                <w:rFonts w:eastAsiaTheme="minorEastAsia"/>
                <w:szCs w:val="21"/>
              </w:rPr>
              <w:t>60</w:t>
            </w:r>
            <w:r>
              <w:rPr>
                <w:rFonts w:eastAsiaTheme="minorEastAsia"/>
                <w:szCs w:val="21"/>
              </w:rPr>
              <w:t>天债券型证券投资基金基金份额持有人大会的公告</w:t>
            </w:r>
          </w:p>
        </w:tc>
        <w:tc>
          <w:tcPr>
            <w:tcW w:w="2520" w:type="dxa"/>
            <w:vAlign w:val="center"/>
          </w:tcPr>
          <w:p w:rsidR="003663E4" w:rsidRDefault="00FD3F7D">
            <w:pPr>
              <w:jc w:val="center"/>
            </w:pPr>
            <w:r>
              <w:rPr>
                <w:rFonts w:eastAsiaTheme="minorEastAsia"/>
                <w:szCs w:val="21"/>
              </w:rPr>
              <w:t>中国证券报、公司网站</w:t>
            </w:r>
          </w:p>
        </w:tc>
        <w:tc>
          <w:tcPr>
            <w:tcW w:w="1440" w:type="dxa"/>
            <w:vAlign w:val="center"/>
          </w:tcPr>
          <w:p w:rsidR="003663E4" w:rsidRDefault="00FD3F7D">
            <w:pPr>
              <w:jc w:val="center"/>
            </w:pPr>
            <w:r>
              <w:rPr>
                <w:rFonts w:eastAsiaTheme="minorEastAsia"/>
                <w:szCs w:val="21"/>
              </w:rPr>
              <w:t>2020-05-21</w:t>
            </w:r>
          </w:p>
        </w:tc>
      </w:tr>
      <w:tr w:rsidR="003663E4">
        <w:tc>
          <w:tcPr>
            <w:tcW w:w="720" w:type="dxa"/>
            <w:vAlign w:val="center"/>
          </w:tcPr>
          <w:p w:rsidR="003663E4" w:rsidRDefault="00FD3F7D">
            <w:pPr>
              <w:jc w:val="center"/>
            </w:pPr>
            <w:r>
              <w:rPr>
                <w:rFonts w:eastAsiaTheme="minorEastAsia"/>
                <w:szCs w:val="21"/>
              </w:rPr>
              <w:t>8</w:t>
            </w:r>
          </w:p>
        </w:tc>
        <w:tc>
          <w:tcPr>
            <w:tcW w:w="4320" w:type="dxa"/>
            <w:vAlign w:val="center"/>
          </w:tcPr>
          <w:p w:rsidR="003663E4" w:rsidRDefault="00FD3F7D">
            <w:pPr>
              <w:jc w:val="left"/>
            </w:pPr>
            <w:r>
              <w:rPr>
                <w:rFonts w:eastAsiaTheme="minorEastAsia"/>
                <w:szCs w:val="21"/>
              </w:rPr>
              <w:t>交银施罗德基金管理有限公司关于以通讯方式召开交银施罗德理财</w:t>
            </w:r>
            <w:r>
              <w:rPr>
                <w:rFonts w:eastAsiaTheme="minorEastAsia"/>
                <w:szCs w:val="21"/>
              </w:rPr>
              <w:t>60</w:t>
            </w:r>
            <w:r>
              <w:rPr>
                <w:rFonts w:eastAsiaTheme="minorEastAsia"/>
                <w:szCs w:val="21"/>
              </w:rPr>
              <w:t>天债券型证券投资基金基金份额持有人大会的第一次提示性公告</w:t>
            </w:r>
          </w:p>
        </w:tc>
        <w:tc>
          <w:tcPr>
            <w:tcW w:w="2520" w:type="dxa"/>
            <w:vAlign w:val="center"/>
          </w:tcPr>
          <w:p w:rsidR="003663E4" w:rsidRDefault="00FD3F7D">
            <w:pPr>
              <w:jc w:val="center"/>
            </w:pPr>
            <w:r>
              <w:rPr>
                <w:rFonts w:eastAsiaTheme="minorEastAsia"/>
                <w:szCs w:val="21"/>
              </w:rPr>
              <w:t>中国证券报、公司网站</w:t>
            </w:r>
          </w:p>
        </w:tc>
        <w:tc>
          <w:tcPr>
            <w:tcW w:w="1440" w:type="dxa"/>
            <w:vAlign w:val="center"/>
          </w:tcPr>
          <w:p w:rsidR="003663E4" w:rsidRDefault="00FD3F7D">
            <w:pPr>
              <w:jc w:val="center"/>
            </w:pPr>
            <w:r>
              <w:rPr>
                <w:rFonts w:eastAsiaTheme="minorEastAsia"/>
                <w:szCs w:val="21"/>
              </w:rPr>
              <w:t>2020-05-22</w:t>
            </w:r>
          </w:p>
        </w:tc>
      </w:tr>
      <w:tr w:rsidR="003663E4">
        <w:tc>
          <w:tcPr>
            <w:tcW w:w="720" w:type="dxa"/>
            <w:vAlign w:val="center"/>
          </w:tcPr>
          <w:p w:rsidR="003663E4" w:rsidRDefault="00FD3F7D">
            <w:pPr>
              <w:jc w:val="center"/>
            </w:pPr>
            <w:r>
              <w:rPr>
                <w:rFonts w:eastAsiaTheme="minorEastAsia"/>
                <w:szCs w:val="21"/>
              </w:rPr>
              <w:t>9</w:t>
            </w:r>
          </w:p>
        </w:tc>
        <w:tc>
          <w:tcPr>
            <w:tcW w:w="4320" w:type="dxa"/>
            <w:vAlign w:val="center"/>
          </w:tcPr>
          <w:p w:rsidR="003663E4" w:rsidRDefault="00FD3F7D">
            <w:pPr>
              <w:jc w:val="left"/>
            </w:pPr>
            <w:r>
              <w:rPr>
                <w:rFonts w:eastAsiaTheme="minorEastAsia"/>
                <w:szCs w:val="21"/>
              </w:rPr>
              <w:t>交银施罗德基金管理有限公司关于以通讯方式召开交银施罗德理财</w:t>
            </w:r>
            <w:r>
              <w:rPr>
                <w:rFonts w:eastAsiaTheme="minorEastAsia"/>
                <w:szCs w:val="21"/>
              </w:rPr>
              <w:t>60</w:t>
            </w:r>
            <w:r>
              <w:rPr>
                <w:rFonts w:eastAsiaTheme="minorEastAsia"/>
                <w:szCs w:val="21"/>
              </w:rPr>
              <w:t>天债券型证券投资基金基金份额持有人大会的第二次提示性公告</w:t>
            </w:r>
          </w:p>
        </w:tc>
        <w:tc>
          <w:tcPr>
            <w:tcW w:w="2520" w:type="dxa"/>
            <w:vAlign w:val="center"/>
          </w:tcPr>
          <w:p w:rsidR="003663E4" w:rsidRDefault="00FD3F7D">
            <w:pPr>
              <w:jc w:val="center"/>
            </w:pPr>
            <w:r>
              <w:rPr>
                <w:rFonts w:eastAsiaTheme="minorEastAsia"/>
                <w:szCs w:val="21"/>
              </w:rPr>
              <w:t>中国证券报、公司网站</w:t>
            </w:r>
          </w:p>
        </w:tc>
        <w:tc>
          <w:tcPr>
            <w:tcW w:w="1440" w:type="dxa"/>
            <w:vAlign w:val="center"/>
          </w:tcPr>
          <w:p w:rsidR="003663E4" w:rsidRDefault="00FD3F7D">
            <w:pPr>
              <w:jc w:val="center"/>
            </w:pPr>
            <w:r>
              <w:rPr>
                <w:rFonts w:eastAsiaTheme="minorEastAsia"/>
                <w:szCs w:val="21"/>
              </w:rPr>
              <w:t>2020-05-23</w:t>
            </w:r>
          </w:p>
        </w:tc>
      </w:tr>
      <w:tr w:rsidR="003663E4">
        <w:tc>
          <w:tcPr>
            <w:tcW w:w="720" w:type="dxa"/>
            <w:vAlign w:val="center"/>
          </w:tcPr>
          <w:p w:rsidR="003663E4" w:rsidRDefault="00FD3F7D">
            <w:pPr>
              <w:jc w:val="center"/>
            </w:pPr>
            <w:r>
              <w:rPr>
                <w:rFonts w:eastAsiaTheme="minorEastAsia"/>
                <w:szCs w:val="21"/>
              </w:rPr>
              <w:t>10</w:t>
            </w:r>
          </w:p>
        </w:tc>
        <w:tc>
          <w:tcPr>
            <w:tcW w:w="4320" w:type="dxa"/>
            <w:vAlign w:val="center"/>
          </w:tcPr>
          <w:p w:rsidR="003663E4" w:rsidRDefault="00FD3F7D">
            <w:pPr>
              <w:jc w:val="left"/>
            </w:pPr>
            <w:r>
              <w:rPr>
                <w:rFonts w:eastAsiaTheme="minorEastAsia"/>
                <w:szCs w:val="21"/>
              </w:rPr>
              <w:t>交银施罗德基金管理有限公司关于交银施罗德理财</w:t>
            </w:r>
            <w:r>
              <w:rPr>
                <w:rFonts w:eastAsiaTheme="minorEastAsia"/>
                <w:szCs w:val="21"/>
              </w:rPr>
              <w:t>60</w:t>
            </w:r>
            <w:r>
              <w:rPr>
                <w:rFonts w:eastAsiaTheme="minorEastAsia"/>
                <w:szCs w:val="21"/>
              </w:rPr>
              <w:t>天债券型证券投资基金暂停及恢复赎回业务的公告</w:t>
            </w:r>
          </w:p>
        </w:tc>
        <w:tc>
          <w:tcPr>
            <w:tcW w:w="2520" w:type="dxa"/>
            <w:vAlign w:val="center"/>
          </w:tcPr>
          <w:p w:rsidR="003663E4" w:rsidRDefault="00FD3F7D">
            <w:pPr>
              <w:jc w:val="center"/>
            </w:pPr>
            <w:r>
              <w:rPr>
                <w:rFonts w:eastAsiaTheme="minorEastAsia"/>
                <w:szCs w:val="21"/>
              </w:rPr>
              <w:t>中国证券报、公司网站</w:t>
            </w:r>
          </w:p>
        </w:tc>
        <w:tc>
          <w:tcPr>
            <w:tcW w:w="1440" w:type="dxa"/>
            <w:vAlign w:val="center"/>
          </w:tcPr>
          <w:p w:rsidR="003663E4" w:rsidRDefault="00FD3F7D">
            <w:pPr>
              <w:jc w:val="center"/>
            </w:pPr>
            <w:r>
              <w:rPr>
                <w:rFonts w:eastAsiaTheme="minorEastAsia"/>
                <w:szCs w:val="21"/>
              </w:rPr>
              <w:t>2020-06-19</w:t>
            </w:r>
          </w:p>
        </w:tc>
      </w:tr>
      <w:tr w:rsidR="003663E4">
        <w:tc>
          <w:tcPr>
            <w:tcW w:w="720" w:type="dxa"/>
            <w:vAlign w:val="center"/>
          </w:tcPr>
          <w:p w:rsidR="003663E4" w:rsidRDefault="00FD3F7D">
            <w:pPr>
              <w:jc w:val="center"/>
            </w:pPr>
            <w:r>
              <w:rPr>
                <w:rFonts w:eastAsiaTheme="minorEastAsia"/>
                <w:szCs w:val="21"/>
              </w:rPr>
              <w:t>11</w:t>
            </w:r>
          </w:p>
        </w:tc>
        <w:tc>
          <w:tcPr>
            <w:tcW w:w="4320" w:type="dxa"/>
            <w:vAlign w:val="center"/>
          </w:tcPr>
          <w:p w:rsidR="003663E4" w:rsidRDefault="00FD3F7D">
            <w:pPr>
              <w:jc w:val="left"/>
            </w:pPr>
            <w:r>
              <w:rPr>
                <w:rFonts w:eastAsiaTheme="minorEastAsia"/>
                <w:szCs w:val="21"/>
              </w:rPr>
              <w:t>交银施罗德裕惠纯债债券型证券投资基金招募说明书</w:t>
            </w:r>
          </w:p>
        </w:tc>
        <w:tc>
          <w:tcPr>
            <w:tcW w:w="2520" w:type="dxa"/>
            <w:vAlign w:val="center"/>
          </w:tcPr>
          <w:p w:rsidR="003663E4" w:rsidRDefault="00FD3F7D">
            <w:pPr>
              <w:jc w:val="center"/>
            </w:pPr>
            <w:r>
              <w:rPr>
                <w:rFonts w:eastAsiaTheme="minorEastAsia"/>
                <w:szCs w:val="21"/>
              </w:rPr>
              <w:t>公司网站</w:t>
            </w:r>
          </w:p>
        </w:tc>
        <w:tc>
          <w:tcPr>
            <w:tcW w:w="1440" w:type="dxa"/>
            <w:vAlign w:val="center"/>
          </w:tcPr>
          <w:p w:rsidR="003663E4" w:rsidRDefault="00FD3F7D">
            <w:pPr>
              <w:jc w:val="center"/>
            </w:pPr>
            <w:r>
              <w:rPr>
                <w:rFonts w:eastAsiaTheme="minorEastAsia"/>
                <w:szCs w:val="21"/>
              </w:rPr>
              <w:t>2020-06-24</w:t>
            </w:r>
          </w:p>
        </w:tc>
      </w:tr>
      <w:tr w:rsidR="003663E4">
        <w:tc>
          <w:tcPr>
            <w:tcW w:w="720" w:type="dxa"/>
            <w:vAlign w:val="center"/>
          </w:tcPr>
          <w:p w:rsidR="003663E4" w:rsidRDefault="00FD3F7D">
            <w:pPr>
              <w:jc w:val="center"/>
            </w:pPr>
            <w:r>
              <w:rPr>
                <w:rFonts w:eastAsiaTheme="minorEastAsia"/>
                <w:szCs w:val="21"/>
              </w:rPr>
              <w:t>12</w:t>
            </w:r>
          </w:p>
        </w:tc>
        <w:tc>
          <w:tcPr>
            <w:tcW w:w="4320" w:type="dxa"/>
            <w:vAlign w:val="center"/>
          </w:tcPr>
          <w:p w:rsidR="003663E4" w:rsidRDefault="00FD3F7D">
            <w:pPr>
              <w:jc w:val="left"/>
            </w:pPr>
            <w:r>
              <w:rPr>
                <w:rFonts w:eastAsiaTheme="minorEastAsia"/>
                <w:szCs w:val="21"/>
              </w:rPr>
              <w:t>交银施罗德裕惠纯债债券型证券投资基金托管协议</w:t>
            </w:r>
          </w:p>
        </w:tc>
        <w:tc>
          <w:tcPr>
            <w:tcW w:w="2520" w:type="dxa"/>
            <w:vAlign w:val="center"/>
          </w:tcPr>
          <w:p w:rsidR="003663E4" w:rsidRDefault="00FD3F7D">
            <w:pPr>
              <w:jc w:val="center"/>
            </w:pPr>
            <w:r>
              <w:rPr>
                <w:rFonts w:eastAsiaTheme="minorEastAsia"/>
                <w:szCs w:val="21"/>
              </w:rPr>
              <w:t>公司网站</w:t>
            </w:r>
          </w:p>
        </w:tc>
        <w:tc>
          <w:tcPr>
            <w:tcW w:w="1440" w:type="dxa"/>
            <w:vAlign w:val="center"/>
          </w:tcPr>
          <w:p w:rsidR="003663E4" w:rsidRDefault="00FD3F7D">
            <w:pPr>
              <w:jc w:val="center"/>
            </w:pPr>
            <w:r>
              <w:rPr>
                <w:rFonts w:eastAsiaTheme="minorEastAsia"/>
                <w:szCs w:val="21"/>
              </w:rPr>
              <w:t>2020-06-24</w:t>
            </w:r>
          </w:p>
        </w:tc>
      </w:tr>
      <w:tr w:rsidR="003663E4">
        <w:tc>
          <w:tcPr>
            <w:tcW w:w="720" w:type="dxa"/>
            <w:vAlign w:val="center"/>
          </w:tcPr>
          <w:p w:rsidR="003663E4" w:rsidRDefault="00FD3F7D">
            <w:pPr>
              <w:jc w:val="center"/>
            </w:pPr>
            <w:r>
              <w:rPr>
                <w:rFonts w:eastAsiaTheme="minorEastAsia"/>
                <w:szCs w:val="21"/>
              </w:rPr>
              <w:t>13</w:t>
            </w:r>
          </w:p>
        </w:tc>
        <w:tc>
          <w:tcPr>
            <w:tcW w:w="4320" w:type="dxa"/>
            <w:vAlign w:val="center"/>
          </w:tcPr>
          <w:p w:rsidR="003663E4" w:rsidRDefault="00FD3F7D">
            <w:pPr>
              <w:jc w:val="left"/>
            </w:pPr>
            <w:r>
              <w:rPr>
                <w:rFonts w:eastAsiaTheme="minorEastAsia"/>
                <w:szCs w:val="21"/>
              </w:rPr>
              <w:t>交银施罗德裕惠纯债债券型证券投资基金基金合同摘要</w:t>
            </w:r>
          </w:p>
        </w:tc>
        <w:tc>
          <w:tcPr>
            <w:tcW w:w="2520" w:type="dxa"/>
            <w:vAlign w:val="center"/>
          </w:tcPr>
          <w:p w:rsidR="003663E4" w:rsidRDefault="00FD3F7D">
            <w:pPr>
              <w:jc w:val="center"/>
            </w:pPr>
            <w:r>
              <w:rPr>
                <w:rFonts w:eastAsiaTheme="minorEastAsia"/>
                <w:szCs w:val="21"/>
              </w:rPr>
              <w:t>公司网站</w:t>
            </w:r>
          </w:p>
        </w:tc>
        <w:tc>
          <w:tcPr>
            <w:tcW w:w="1440" w:type="dxa"/>
            <w:vAlign w:val="center"/>
          </w:tcPr>
          <w:p w:rsidR="003663E4" w:rsidRDefault="00FD3F7D">
            <w:pPr>
              <w:jc w:val="center"/>
            </w:pPr>
            <w:r>
              <w:rPr>
                <w:rFonts w:eastAsiaTheme="minorEastAsia"/>
                <w:szCs w:val="21"/>
              </w:rPr>
              <w:t>2020-06-24</w:t>
            </w:r>
          </w:p>
        </w:tc>
      </w:tr>
      <w:tr w:rsidR="003663E4">
        <w:tc>
          <w:tcPr>
            <w:tcW w:w="720" w:type="dxa"/>
            <w:vAlign w:val="center"/>
          </w:tcPr>
          <w:p w:rsidR="003663E4" w:rsidRDefault="00FD3F7D">
            <w:pPr>
              <w:jc w:val="center"/>
            </w:pPr>
            <w:r>
              <w:rPr>
                <w:rFonts w:eastAsiaTheme="minorEastAsia"/>
                <w:szCs w:val="21"/>
              </w:rPr>
              <w:t>14</w:t>
            </w:r>
          </w:p>
        </w:tc>
        <w:tc>
          <w:tcPr>
            <w:tcW w:w="4320" w:type="dxa"/>
            <w:vAlign w:val="center"/>
          </w:tcPr>
          <w:p w:rsidR="003663E4" w:rsidRDefault="00FD3F7D">
            <w:pPr>
              <w:jc w:val="left"/>
            </w:pPr>
            <w:r>
              <w:rPr>
                <w:rFonts w:eastAsiaTheme="minorEastAsia"/>
                <w:szCs w:val="21"/>
              </w:rPr>
              <w:t>交银施罗德裕惠纯债债券型证券投资基金基金合同</w:t>
            </w:r>
          </w:p>
        </w:tc>
        <w:tc>
          <w:tcPr>
            <w:tcW w:w="2520" w:type="dxa"/>
            <w:vAlign w:val="center"/>
          </w:tcPr>
          <w:p w:rsidR="003663E4" w:rsidRDefault="00FD3F7D">
            <w:pPr>
              <w:jc w:val="center"/>
            </w:pPr>
            <w:r>
              <w:rPr>
                <w:rFonts w:eastAsiaTheme="minorEastAsia"/>
                <w:szCs w:val="21"/>
              </w:rPr>
              <w:t>公司网站</w:t>
            </w:r>
          </w:p>
        </w:tc>
        <w:tc>
          <w:tcPr>
            <w:tcW w:w="1440" w:type="dxa"/>
            <w:vAlign w:val="center"/>
          </w:tcPr>
          <w:p w:rsidR="003663E4" w:rsidRDefault="00FD3F7D">
            <w:pPr>
              <w:jc w:val="center"/>
            </w:pPr>
            <w:r>
              <w:rPr>
                <w:rFonts w:eastAsiaTheme="minorEastAsia"/>
                <w:szCs w:val="21"/>
              </w:rPr>
              <w:t>2020-06-24</w:t>
            </w:r>
          </w:p>
        </w:tc>
      </w:tr>
      <w:tr w:rsidR="003663E4">
        <w:tc>
          <w:tcPr>
            <w:tcW w:w="720" w:type="dxa"/>
            <w:vAlign w:val="center"/>
          </w:tcPr>
          <w:p w:rsidR="003663E4" w:rsidRDefault="00FD3F7D">
            <w:pPr>
              <w:jc w:val="center"/>
            </w:pPr>
            <w:r>
              <w:rPr>
                <w:rFonts w:eastAsiaTheme="minorEastAsia"/>
                <w:szCs w:val="21"/>
              </w:rPr>
              <w:t>15</w:t>
            </w:r>
          </w:p>
        </w:tc>
        <w:tc>
          <w:tcPr>
            <w:tcW w:w="4320" w:type="dxa"/>
            <w:vAlign w:val="center"/>
          </w:tcPr>
          <w:p w:rsidR="003663E4" w:rsidRDefault="00FD3F7D">
            <w:pPr>
              <w:jc w:val="left"/>
            </w:pPr>
            <w:r>
              <w:rPr>
                <w:rFonts w:eastAsiaTheme="minorEastAsia"/>
                <w:szCs w:val="21"/>
              </w:rPr>
              <w:t>交银施罗德裕惠纯债债券型证券投资基金基金合同及招募说明书提示性公告</w:t>
            </w:r>
          </w:p>
        </w:tc>
        <w:tc>
          <w:tcPr>
            <w:tcW w:w="2520" w:type="dxa"/>
            <w:vAlign w:val="center"/>
          </w:tcPr>
          <w:p w:rsidR="003663E4" w:rsidRDefault="00FD3F7D">
            <w:pPr>
              <w:jc w:val="center"/>
            </w:pPr>
            <w:r>
              <w:rPr>
                <w:rFonts w:eastAsiaTheme="minorEastAsia"/>
                <w:szCs w:val="21"/>
              </w:rPr>
              <w:t>中国证券报、公司网站</w:t>
            </w:r>
          </w:p>
        </w:tc>
        <w:tc>
          <w:tcPr>
            <w:tcW w:w="1440" w:type="dxa"/>
            <w:vAlign w:val="center"/>
          </w:tcPr>
          <w:p w:rsidR="003663E4" w:rsidRDefault="00FD3F7D">
            <w:pPr>
              <w:jc w:val="center"/>
            </w:pPr>
            <w:r>
              <w:rPr>
                <w:rFonts w:eastAsiaTheme="minorEastAsia"/>
                <w:szCs w:val="21"/>
              </w:rPr>
              <w:t>2020-06-24</w:t>
            </w:r>
          </w:p>
        </w:tc>
      </w:tr>
      <w:tr w:rsidR="003663E4">
        <w:tc>
          <w:tcPr>
            <w:tcW w:w="720" w:type="dxa"/>
            <w:vAlign w:val="center"/>
          </w:tcPr>
          <w:p w:rsidR="003663E4" w:rsidRDefault="00FD3F7D">
            <w:pPr>
              <w:jc w:val="center"/>
            </w:pPr>
            <w:r>
              <w:rPr>
                <w:rFonts w:eastAsiaTheme="minorEastAsia"/>
                <w:szCs w:val="21"/>
              </w:rPr>
              <w:t>16</w:t>
            </w:r>
          </w:p>
        </w:tc>
        <w:tc>
          <w:tcPr>
            <w:tcW w:w="4320" w:type="dxa"/>
            <w:vAlign w:val="center"/>
          </w:tcPr>
          <w:p w:rsidR="003663E4" w:rsidRDefault="00FD3F7D">
            <w:pPr>
              <w:jc w:val="left"/>
            </w:pPr>
            <w:r>
              <w:rPr>
                <w:rFonts w:eastAsiaTheme="minorEastAsia"/>
                <w:szCs w:val="21"/>
              </w:rPr>
              <w:t>交银施罗德基金管理有限公司关于交银施罗德理财</w:t>
            </w:r>
            <w:r>
              <w:rPr>
                <w:rFonts w:eastAsiaTheme="minorEastAsia"/>
                <w:szCs w:val="21"/>
              </w:rPr>
              <w:t>60</w:t>
            </w:r>
            <w:r>
              <w:rPr>
                <w:rFonts w:eastAsiaTheme="minorEastAsia"/>
                <w:szCs w:val="21"/>
              </w:rPr>
              <w:t>天债券型证券投资基金基金份额持有人大会表决结果暨决议生效的公告</w:t>
            </w:r>
          </w:p>
        </w:tc>
        <w:tc>
          <w:tcPr>
            <w:tcW w:w="2520" w:type="dxa"/>
            <w:vAlign w:val="center"/>
          </w:tcPr>
          <w:p w:rsidR="003663E4" w:rsidRDefault="00FD3F7D">
            <w:pPr>
              <w:jc w:val="center"/>
            </w:pPr>
            <w:r>
              <w:rPr>
                <w:rFonts w:eastAsiaTheme="minorEastAsia"/>
                <w:szCs w:val="21"/>
              </w:rPr>
              <w:t>中国证券报、公司网站</w:t>
            </w:r>
          </w:p>
        </w:tc>
        <w:tc>
          <w:tcPr>
            <w:tcW w:w="1440" w:type="dxa"/>
            <w:vAlign w:val="center"/>
          </w:tcPr>
          <w:p w:rsidR="003663E4" w:rsidRDefault="00FD3F7D">
            <w:pPr>
              <w:jc w:val="center"/>
            </w:pPr>
            <w:r>
              <w:rPr>
                <w:rFonts w:eastAsiaTheme="minorEastAsia"/>
                <w:szCs w:val="21"/>
              </w:rPr>
              <w:t>2020-06-24</w:t>
            </w:r>
          </w:p>
        </w:tc>
      </w:tr>
      <w:tr w:rsidR="003663E4">
        <w:tc>
          <w:tcPr>
            <w:tcW w:w="720" w:type="dxa"/>
            <w:vAlign w:val="center"/>
          </w:tcPr>
          <w:p w:rsidR="003663E4" w:rsidRDefault="00FD3F7D">
            <w:pPr>
              <w:jc w:val="center"/>
            </w:pPr>
            <w:r>
              <w:rPr>
                <w:rFonts w:eastAsiaTheme="minorEastAsia"/>
                <w:szCs w:val="21"/>
              </w:rPr>
              <w:t>17</w:t>
            </w:r>
          </w:p>
        </w:tc>
        <w:tc>
          <w:tcPr>
            <w:tcW w:w="4320" w:type="dxa"/>
            <w:vAlign w:val="center"/>
          </w:tcPr>
          <w:p w:rsidR="003663E4" w:rsidRDefault="00FD3F7D">
            <w:pPr>
              <w:jc w:val="left"/>
            </w:pPr>
            <w:r>
              <w:rPr>
                <w:rFonts w:eastAsiaTheme="minorEastAsia"/>
                <w:szCs w:val="21"/>
              </w:rPr>
              <w:t>交银施罗德理财</w:t>
            </w:r>
            <w:r>
              <w:rPr>
                <w:rFonts w:eastAsiaTheme="minorEastAsia"/>
                <w:szCs w:val="21"/>
              </w:rPr>
              <w:t>60</w:t>
            </w:r>
            <w:r>
              <w:rPr>
                <w:rFonts w:eastAsiaTheme="minorEastAsia"/>
                <w:szCs w:val="21"/>
              </w:rPr>
              <w:t>天债券型证券投资基金</w:t>
            </w:r>
            <w:r>
              <w:rPr>
                <w:rFonts w:eastAsiaTheme="minorEastAsia"/>
                <w:szCs w:val="21"/>
              </w:rPr>
              <w:t>2020</w:t>
            </w:r>
            <w:r>
              <w:rPr>
                <w:rFonts w:eastAsiaTheme="minorEastAsia"/>
                <w:szCs w:val="21"/>
              </w:rPr>
              <w:t>年第</w:t>
            </w:r>
            <w:r>
              <w:rPr>
                <w:rFonts w:eastAsiaTheme="minorEastAsia"/>
                <w:szCs w:val="21"/>
              </w:rPr>
              <w:t>2</w:t>
            </w:r>
            <w:r>
              <w:rPr>
                <w:rFonts w:eastAsiaTheme="minorEastAsia"/>
                <w:szCs w:val="21"/>
              </w:rPr>
              <w:t>季度报告</w:t>
            </w:r>
          </w:p>
        </w:tc>
        <w:tc>
          <w:tcPr>
            <w:tcW w:w="2520" w:type="dxa"/>
            <w:vAlign w:val="center"/>
          </w:tcPr>
          <w:p w:rsidR="003663E4" w:rsidRDefault="00FD3F7D">
            <w:pPr>
              <w:jc w:val="center"/>
            </w:pPr>
            <w:r>
              <w:rPr>
                <w:rFonts w:eastAsiaTheme="minorEastAsia"/>
                <w:szCs w:val="21"/>
              </w:rPr>
              <w:t>公司网站</w:t>
            </w:r>
          </w:p>
        </w:tc>
        <w:tc>
          <w:tcPr>
            <w:tcW w:w="1440" w:type="dxa"/>
            <w:vAlign w:val="center"/>
          </w:tcPr>
          <w:p w:rsidR="003663E4" w:rsidRDefault="00FD3F7D">
            <w:pPr>
              <w:jc w:val="center"/>
            </w:pPr>
            <w:r>
              <w:rPr>
                <w:rFonts w:eastAsiaTheme="minorEastAsia"/>
                <w:szCs w:val="21"/>
              </w:rPr>
              <w:t>2020-07-21</w:t>
            </w:r>
          </w:p>
        </w:tc>
      </w:tr>
      <w:tr w:rsidR="003663E4">
        <w:tc>
          <w:tcPr>
            <w:tcW w:w="720" w:type="dxa"/>
            <w:vAlign w:val="center"/>
          </w:tcPr>
          <w:p w:rsidR="003663E4" w:rsidRDefault="00FD3F7D">
            <w:pPr>
              <w:jc w:val="center"/>
            </w:pPr>
            <w:r>
              <w:rPr>
                <w:rFonts w:eastAsiaTheme="minorEastAsia"/>
                <w:szCs w:val="21"/>
              </w:rPr>
              <w:t>18</w:t>
            </w:r>
          </w:p>
        </w:tc>
        <w:tc>
          <w:tcPr>
            <w:tcW w:w="4320" w:type="dxa"/>
            <w:vAlign w:val="center"/>
          </w:tcPr>
          <w:p w:rsidR="003663E4" w:rsidRDefault="00FD3F7D">
            <w:pPr>
              <w:jc w:val="left"/>
            </w:pPr>
            <w:r>
              <w:rPr>
                <w:rFonts w:eastAsiaTheme="minorEastAsia"/>
                <w:szCs w:val="21"/>
              </w:rPr>
              <w:t>交银施罗德基金管理有限公司关于交银施罗德裕惠纯债债券型证券投资基金基金合同生效暨开放日常申购、赎回、定期定额投资业务的公告</w:t>
            </w:r>
          </w:p>
        </w:tc>
        <w:tc>
          <w:tcPr>
            <w:tcW w:w="2520" w:type="dxa"/>
            <w:vAlign w:val="center"/>
          </w:tcPr>
          <w:p w:rsidR="003663E4" w:rsidRDefault="00FD3F7D">
            <w:pPr>
              <w:jc w:val="center"/>
            </w:pPr>
            <w:r>
              <w:rPr>
                <w:rFonts w:eastAsiaTheme="minorEastAsia"/>
                <w:szCs w:val="21"/>
              </w:rPr>
              <w:t>中国证券报、公司网站</w:t>
            </w:r>
          </w:p>
        </w:tc>
        <w:tc>
          <w:tcPr>
            <w:tcW w:w="1440" w:type="dxa"/>
            <w:vAlign w:val="center"/>
          </w:tcPr>
          <w:p w:rsidR="003663E4" w:rsidRDefault="00FD3F7D">
            <w:pPr>
              <w:jc w:val="center"/>
            </w:pPr>
            <w:r>
              <w:rPr>
                <w:rFonts w:eastAsiaTheme="minorEastAsia"/>
                <w:szCs w:val="21"/>
              </w:rPr>
              <w:t>2020-07-28</w:t>
            </w:r>
          </w:p>
        </w:tc>
      </w:tr>
      <w:tr w:rsidR="003663E4">
        <w:tc>
          <w:tcPr>
            <w:tcW w:w="720" w:type="dxa"/>
            <w:vAlign w:val="center"/>
          </w:tcPr>
          <w:p w:rsidR="003663E4" w:rsidRDefault="00FD3F7D">
            <w:pPr>
              <w:jc w:val="center"/>
            </w:pPr>
            <w:r>
              <w:rPr>
                <w:rFonts w:eastAsiaTheme="minorEastAsia"/>
                <w:szCs w:val="21"/>
              </w:rPr>
              <w:t>19</w:t>
            </w:r>
          </w:p>
        </w:tc>
        <w:tc>
          <w:tcPr>
            <w:tcW w:w="4320" w:type="dxa"/>
            <w:vAlign w:val="center"/>
          </w:tcPr>
          <w:p w:rsidR="003663E4" w:rsidRDefault="00FD3F7D">
            <w:pPr>
              <w:jc w:val="left"/>
            </w:pPr>
            <w:r>
              <w:rPr>
                <w:rFonts w:eastAsiaTheme="minorEastAsia"/>
                <w:szCs w:val="21"/>
              </w:rPr>
              <w:t>交银施罗德基金管理有限公司关于交银施罗德裕惠纯债债券型证券投资基金开放日常转换业务的公告</w:t>
            </w:r>
          </w:p>
        </w:tc>
        <w:tc>
          <w:tcPr>
            <w:tcW w:w="2520" w:type="dxa"/>
            <w:vAlign w:val="center"/>
          </w:tcPr>
          <w:p w:rsidR="003663E4" w:rsidRDefault="00FD3F7D">
            <w:pPr>
              <w:jc w:val="center"/>
            </w:pPr>
            <w:r>
              <w:rPr>
                <w:rFonts w:eastAsiaTheme="minorEastAsia"/>
                <w:szCs w:val="21"/>
              </w:rPr>
              <w:t>中国证券报、公司网站</w:t>
            </w:r>
          </w:p>
        </w:tc>
        <w:tc>
          <w:tcPr>
            <w:tcW w:w="1440" w:type="dxa"/>
            <w:vAlign w:val="center"/>
          </w:tcPr>
          <w:p w:rsidR="003663E4" w:rsidRDefault="00FD3F7D">
            <w:pPr>
              <w:jc w:val="center"/>
            </w:pPr>
            <w:r>
              <w:rPr>
                <w:rFonts w:eastAsiaTheme="minorEastAsia"/>
                <w:szCs w:val="21"/>
              </w:rPr>
              <w:t>2020-08-24</w:t>
            </w:r>
          </w:p>
        </w:tc>
      </w:tr>
      <w:tr w:rsidR="003663E4">
        <w:tc>
          <w:tcPr>
            <w:tcW w:w="720" w:type="dxa"/>
            <w:vAlign w:val="center"/>
          </w:tcPr>
          <w:p w:rsidR="003663E4" w:rsidRDefault="00FD3F7D">
            <w:pPr>
              <w:jc w:val="center"/>
            </w:pPr>
            <w:r>
              <w:rPr>
                <w:rFonts w:eastAsiaTheme="minorEastAsia"/>
                <w:szCs w:val="21"/>
              </w:rPr>
              <w:t>20</w:t>
            </w:r>
          </w:p>
        </w:tc>
        <w:tc>
          <w:tcPr>
            <w:tcW w:w="4320" w:type="dxa"/>
            <w:vAlign w:val="center"/>
          </w:tcPr>
          <w:p w:rsidR="003663E4" w:rsidRDefault="00FD3F7D">
            <w:pPr>
              <w:jc w:val="left"/>
            </w:pPr>
            <w:r>
              <w:rPr>
                <w:rFonts w:eastAsiaTheme="minorEastAsia"/>
                <w:szCs w:val="21"/>
              </w:rPr>
              <w:t>交银施罗德理财</w:t>
            </w:r>
            <w:r>
              <w:rPr>
                <w:rFonts w:eastAsiaTheme="minorEastAsia"/>
                <w:szCs w:val="21"/>
              </w:rPr>
              <w:t>60</w:t>
            </w:r>
            <w:r>
              <w:rPr>
                <w:rFonts w:eastAsiaTheme="minorEastAsia"/>
                <w:szCs w:val="21"/>
              </w:rPr>
              <w:t>天债券型证券投资基金</w:t>
            </w:r>
            <w:r>
              <w:rPr>
                <w:rFonts w:eastAsiaTheme="minorEastAsia"/>
                <w:szCs w:val="21"/>
              </w:rPr>
              <w:t>2020</w:t>
            </w:r>
            <w:r>
              <w:rPr>
                <w:rFonts w:eastAsiaTheme="minorEastAsia"/>
                <w:szCs w:val="21"/>
              </w:rPr>
              <w:t>年中期报告</w:t>
            </w:r>
          </w:p>
        </w:tc>
        <w:tc>
          <w:tcPr>
            <w:tcW w:w="2520" w:type="dxa"/>
            <w:vAlign w:val="center"/>
          </w:tcPr>
          <w:p w:rsidR="003663E4" w:rsidRDefault="00FD3F7D">
            <w:pPr>
              <w:jc w:val="center"/>
            </w:pPr>
            <w:r>
              <w:rPr>
                <w:rFonts w:eastAsiaTheme="minorEastAsia"/>
                <w:szCs w:val="21"/>
              </w:rPr>
              <w:t>公司网站</w:t>
            </w:r>
          </w:p>
        </w:tc>
        <w:tc>
          <w:tcPr>
            <w:tcW w:w="1440" w:type="dxa"/>
            <w:vAlign w:val="center"/>
          </w:tcPr>
          <w:p w:rsidR="003663E4" w:rsidRDefault="00FD3F7D">
            <w:pPr>
              <w:jc w:val="center"/>
            </w:pPr>
            <w:r>
              <w:rPr>
                <w:rFonts w:eastAsiaTheme="minorEastAsia"/>
                <w:szCs w:val="21"/>
              </w:rPr>
              <w:t>2020-08-29</w:t>
            </w:r>
          </w:p>
        </w:tc>
      </w:tr>
      <w:tr w:rsidR="003663E4">
        <w:tc>
          <w:tcPr>
            <w:tcW w:w="720" w:type="dxa"/>
            <w:vAlign w:val="center"/>
          </w:tcPr>
          <w:p w:rsidR="003663E4" w:rsidRDefault="00FD3F7D">
            <w:pPr>
              <w:jc w:val="center"/>
            </w:pPr>
            <w:r>
              <w:rPr>
                <w:rFonts w:eastAsiaTheme="minorEastAsia"/>
                <w:szCs w:val="21"/>
              </w:rPr>
              <w:t>21</w:t>
            </w:r>
          </w:p>
        </w:tc>
        <w:tc>
          <w:tcPr>
            <w:tcW w:w="4320" w:type="dxa"/>
            <w:vAlign w:val="center"/>
          </w:tcPr>
          <w:p w:rsidR="003663E4" w:rsidRDefault="00FD3F7D">
            <w:pPr>
              <w:jc w:val="left"/>
            </w:pPr>
            <w:r>
              <w:rPr>
                <w:rFonts w:eastAsiaTheme="minorEastAsia"/>
                <w:szCs w:val="21"/>
              </w:rPr>
              <w:t>交银施罗德裕惠纯债债券型证券投资基金基金产品资料概要</w:t>
            </w:r>
          </w:p>
        </w:tc>
        <w:tc>
          <w:tcPr>
            <w:tcW w:w="2520" w:type="dxa"/>
            <w:vAlign w:val="center"/>
          </w:tcPr>
          <w:p w:rsidR="003663E4" w:rsidRDefault="00FD3F7D">
            <w:pPr>
              <w:jc w:val="center"/>
            </w:pPr>
            <w:r>
              <w:rPr>
                <w:rFonts w:eastAsiaTheme="minorEastAsia"/>
                <w:szCs w:val="21"/>
              </w:rPr>
              <w:t>公司网站</w:t>
            </w:r>
          </w:p>
        </w:tc>
        <w:tc>
          <w:tcPr>
            <w:tcW w:w="1440" w:type="dxa"/>
            <w:vAlign w:val="center"/>
          </w:tcPr>
          <w:p w:rsidR="003663E4" w:rsidRDefault="00FD3F7D">
            <w:pPr>
              <w:jc w:val="center"/>
            </w:pPr>
            <w:r>
              <w:rPr>
                <w:rFonts w:eastAsiaTheme="minorEastAsia"/>
                <w:szCs w:val="21"/>
              </w:rPr>
              <w:t>2020-08-31</w:t>
            </w:r>
          </w:p>
        </w:tc>
      </w:tr>
      <w:tr w:rsidR="003663E4">
        <w:tc>
          <w:tcPr>
            <w:tcW w:w="720" w:type="dxa"/>
            <w:vAlign w:val="center"/>
          </w:tcPr>
          <w:p w:rsidR="003663E4" w:rsidRDefault="00FD3F7D">
            <w:pPr>
              <w:jc w:val="center"/>
            </w:pPr>
            <w:r>
              <w:rPr>
                <w:rFonts w:eastAsiaTheme="minorEastAsia"/>
                <w:szCs w:val="21"/>
              </w:rPr>
              <w:t>22</w:t>
            </w:r>
          </w:p>
        </w:tc>
        <w:tc>
          <w:tcPr>
            <w:tcW w:w="4320" w:type="dxa"/>
            <w:vAlign w:val="center"/>
          </w:tcPr>
          <w:p w:rsidR="003663E4" w:rsidRDefault="00FD3F7D">
            <w:pPr>
              <w:jc w:val="left"/>
            </w:pPr>
            <w:r>
              <w:rPr>
                <w:rFonts w:eastAsiaTheme="minorEastAsia"/>
                <w:szCs w:val="21"/>
              </w:rPr>
              <w:t>交银施罗德基金管理有限公司关于暂停上海凯石财富基金销售有限公司办理相关销售业务的公告</w:t>
            </w:r>
          </w:p>
        </w:tc>
        <w:tc>
          <w:tcPr>
            <w:tcW w:w="2520" w:type="dxa"/>
            <w:vAlign w:val="center"/>
          </w:tcPr>
          <w:p w:rsidR="003663E4" w:rsidRDefault="00FD3F7D">
            <w:pPr>
              <w:jc w:val="center"/>
            </w:pPr>
            <w:r>
              <w:rPr>
                <w:rFonts w:eastAsiaTheme="minorEastAsia"/>
                <w:szCs w:val="21"/>
              </w:rPr>
              <w:t>中国证券报、上海证券报、证券时报、公司网站</w:t>
            </w:r>
          </w:p>
        </w:tc>
        <w:tc>
          <w:tcPr>
            <w:tcW w:w="1440" w:type="dxa"/>
            <w:vAlign w:val="center"/>
          </w:tcPr>
          <w:p w:rsidR="003663E4" w:rsidRDefault="00FD3F7D">
            <w:pPr>
              <w:jc w:val="center"/>
            </w:pPr>
            <w:r>
              <w:rPr>
                <w:rFonts w:eastAsiaTheme="minorEastAsia"/>
                <w:szCs w:val="21"/>
              </w:rPr>
              <w:t>2020-09-29</w:t>
            </w:r>
          </w:p>
        </w:tc>
      </w:tr>
      <w:tr w:rsidR="003663E4">
        <w:tc>
          <w:tcPr>
            <w:tcW w:w="720" w:type="dxa"/>
            <w:vAlign w:val="center"/>
          </w:tcPr>
          <w:p w:rsidR="003663E4" w:rsidRDefault="00FD3F7D">
            <w:pPr>
              <w:jc w:val="center"/>
            </w:pPr>
            <w:r>
              <w:rPr>
                <w:rFonts w:eastAsiaTheme="minorEastAsia"/>
                <w:szCs w:val="21"/>
              </w:rPr>
              <w:t>23</w:t>
            </w:r>
          </w:p>
        </w:tc>
        <w:tc>
          <w:tcPr>
            <w:tcW w:w="4320" w:type="dxa"/>
            <w:vAlign w:val="center"/>
          </w:tcPr>
          <w:p w:rsidR="003663E4" w:rsidRDefault="00FD3F7D">
            <w:pPr>
              <w:jc w:val="left"/>
            </w:pPr>
            <w:r>
              <w:rPr>
                <w:rFonts w:eastAsiaTheme="minorEastAsia"/>
                <w:szCs w:val="21"/>
              </w:rPr>
              <w:t>交银施罗德裕惠纯债债券型证券投资基金</w:t>
            </w:r>
            <w:r>
              <w:rPr>
                <w:rFonts w:eastAsiaTheme="minorEastAsia"/>
                <w:szCs w:val="21"/>
              </w:rPr>
              <w:t>(</w:t>
            </w:r>
            <w:r>
              <w:rPr>
                <w:rFonts w:eastAsiaTheme="minorEastAsia"/>
                <w:szCs w:val="21"/>
              </w:rPr>
              <w:t>原交银施罗德理财</w:t>
            </w:r>
            <w:r>
              <w:rPr>
                <w:rFonts w:eastAsiaTheme="minorEastAsia"/>
                <w:szCs w:val="21"/>
              </w:rPr>
              <w:t>60</w:t>
            </w:r>
            <w:r>
              <w:rPr>
                <w:rFonts w:eastAsiaTheme="minorEastAsia"/>
                <w:szCs w:val="21"/>
              </w:rPr>
              <w:t>天债券型证券投资基金转型</w:t>
            </w:r>
            <w:r>
              <w:rPr>
                <w:rFonts w:eastAsiaTheme="minorEastAsia"/>
                <w:szCs w:val="21"/>
              </w:rPr>
              <w:t>)2020</w:t>
            </w:r>
            <w:r>
              <w:rPr>
                <w:rFonts w:eastAsiaTheme="minorEastAsia"/>
                <w:szCs w:val="21"/>
              </w:rPr>
              <w:t>年第</w:t>
            </w:r>
            <w:r>
              <w:rPr>
                <w:rFonts w:eastAsiaTheme="minorEastAsia"/>
                <w:szCs w:val="21"/>
              </w:rPr>
              <w:t>3</w:t>
            </w:r>
            <w:r>
              <w:rPr>
                <w:rFonts w:eastAsiaTheme="minorEastAsia"/>
                <w:szCs w:val="21"/>
              </w:rPr>
              <w:t>季度报告</w:t>
            </w:r>
          </w:p>
        </w:tc>
        <w:tc>
          <w:tcPr>
            <w:tcW w:w="2520" w:type="dxa"/>
            <w:vAlign w:val="center"/>
          </w:tcPr>
          <w:p w:rsidR="003663E4" w:rsidRDefault="00FD3F7D">
            <w:pPr>
              <w:jc w:val="center"/>
            </w:pPr>
            <w:r>
              <w:rPr>
                <w:rFonts w:eastAsiaTheme="minorEastAsia"/>
                <w:szCs w:val="21"/>
              </w:rPr>
              <w:t>公司网站</w:t>
            </w:r>
          </w:p>
        </w:tc>
        <w:tc>
          <w:tcPr>
            <w:tcW w:w="1440" w:type="dxa"/>
            <w:vAlign w:val="center"/>
          </w:tcPr>
          <w:p w:rsidR="003663E4" w:rsidRDefault="00FD3F7D">
            <w:pPr>
              <w:jc w:val="center"/>
            </w:pPr>
            <w:r>
              <w:rPr>
                <w:rFonts w:eastAsiaTheme="minorEastAsia"/>
                <w:szCs w:val="21"/>
              </w:rPr>
              <w:t>2020-10-28</w:t>
            </w:r>
          </w:p>
        </w:tc>
      </w:tr>
      <w:tr w:rsidR="003663E4">
        <w:tc>
          <w:tcPr>
            <w:tcW w:w="720" w:type="dxa"/>
            <w:vAlign w:val="center"/>
          </w:tcPr>
          <w:p w:rsidR="003663E4" w:rsidRDefault="00FD3F7D">
            <w:pPr>
              <w:jc w:val="center"/>
            </w:pPr>
            <w:r>
              <w:rPr>
                <w:rFonts w:eastAsiaTheme="minorEastAsia"/>
                <w:szCs w:val="21"/>
              </w:rPr>
              <w:t>24</w:t>
            </w:r>
          </w:p>
        </w:tc>
        <w:tc>
          <w:tcPr>
            <w:tcW w:w="4320" w:type="dxa"/>
            <w:vAlign w:val="center"/>
          </w:tcPr>
          <w:p w:rsidR="003663E4" w:rsidRDefault="00FD3F7D">
            <w:pPr>
              <w:jc w:val="left"/>
            </w:pPr>
            <w:r>
              <w:rPr>
                <w:rFonts w:eastAsiaTheme="minorEastAsia"/>
                <w:szCs w:val="21"/>
              </w:rPr>
              <w:t>交银施罗德基金管理有限公司关于旗下部分基金参加交通银行股份有限公司手机银行基金前端申购（含定期定额投资）费率优惠活动的公告</w:t>
            </w:r>
          </w:p>
        </w:tc>
        <w:tc>
          <w:tcPr>
            <w:tcW w:w="2520" w:type="dxa"/>
            <w:vAlign w:val="center"/>
          </w:tcPr>
          <w:p w:rsidR="003663E4" w:rsidRDefault="00FD3F7D">
            <w:pPr>
              <w:jc w:val="center"/>
            </w:pPr>
            <w:r>
              <w:rPr>
                <w:rFonts w:eastAsiaTheme="minorEastAsia"/>
                <w:szCs w:val="21"/>
              </w:rPr>
              <w:t>中国证券报、上海证券报、证券时报、公司网站</w:t>
            </w:r>
          </w:p>
        </w:tc>
        <w:tc>
          <w:tcPr>
            <w:tcW w:w="1440" w:type="dxa"/>
            <w:vAlign w:val="center"/>
          </w:tcPr>
          <w:p w:rsidR="003663E4" w:rsidRDefault="00FD3F7D">
            <w:pPr>
              <w:jc w:val="center"/>
            </w:pPr>
            <w:r>
              <w:rPr>
                <w:rFonts w:eastAsiaTheme="minorEastAsia"/>
                <w:szCs w:val="21"/>
              </w:rPr>
              <w:t>2020-12-31</w:t>
            </w:r>
          </w:p>
        </w:tc>
      </w:tr>
    </w:tbl>
    <w:p w:rsidR="003663E4" w:rsidRDefault="00FD3F7D">
      <w:pPr>
        <w:pStyle w:val="1"/>
        <w:keepNext/>
        <w:keepLines/>
        <w:widowControl w:val="0"/>
        <w:spacing w:before="240" w:after="240" w:line="360" w:lineRule="auto"/>
        <w:jc w:val="center"/>
        <w:rPr>
          <w:b/>
          <w:bCs/>
          <w:color w:val="000000"/>
          <w:sz w:val="21"/>
          <w:szCs w:val="21"/>
        </w:rPr>
      </w:pPr>
      <w:bookmarkStart w:id="359" w:name="_Toc331410125"/>
      <w:bookmarkStart w:id="360" w:name="_Toc23339442"/>
      <w:bookmarkStart w:id="361" w:name="_Toc3457"/>
      <w:r>
        <w:rPr>
          <w:rFonts w:hint="eastAsia"/>
          <w:b/>
          <w:bCs/>
          <w:color w:val="000000"/>
          <w:sz w:val="21"/>
          <w:szCs w:val="21"/>
        </w:rPr>
        <w:t>§</w:t>
      </w:r>
      <w:r>
        <w:rPr>
          <w:rFonts w:hint="eastAsia"/>
          <w:b/>
          <w:bCs/>
          <w:color w:val="000000"/>
          <w:sz w:val="21"/>
          <w:szCs w:val="21"/>
        </w:rPr>
        <w:t xml:space="preserve">12 </w:t>
      </w:r>
      <w:r>
        <w:rPr>
          <w:rFonts w:hint="eastAsia"/>
          <w:b/>
          <w:bCs/>
          <w:color w:val="000000"/>
          <w:sz w:val="21"/>
          <w:szCs w:val="21"/>
        </w:rPr>
        <w:t>影响投资者决策的其他重要信息</w:t>
      </w:r>
      <w:bookmarkEnd w:id="359"/>
      <w:bookmarkEnd w:id="360"/>
      <w:bookmarkEnd w:id="361"/>
    </w:p>
    <w:p w:rsidR="003663E4" w:rsidRDefault="00FD3F7D">
      <w:pPr>
        <w:pStyle w:val="2"/>
        <w:spacing w:before="0" w:after="0"/>
        <w:rPr>
          <w:rFonts w:ascii="Times New Roman" w:hAnsi="Times New Roman"/>
          <w:color w:val="000000"/>
          <w:kern w:val="0"/>
          <w:sz w:val="21"/>
          <w:szCs w:val="21"/>
        </w:rPr>
      </w:pPr>
      <w:bookmarkStart w:id="362" w:name="_Toc23339443"/>
      <w:bookmarkStart w:id="363" w:name="_Toc8791"/>
      <w:r>
        <w:rPr>
          <w:rFonts w:ascii="Times New Roman" w:hAnsi="Times New Roman"/>
          <w:color w:val="000000"/>
          <w:kern w:val="0"/>
          <w:sz w:val="21"/>
          <w:szCs w:val="21"/>
        </w:rPr>
        <w:t xml:space="preserve">12.1 </w:t>
      </w:r>
      <w:r>
        <w:rPr>
          <w:rFonts w:ascii="Times New Roman" w:hAnsi="Times New Roman"/>
          <w:color w:val="000000"/>
          <w:kern w:val="0"/>
          <w:sz w:val="21"/>
          <w:szCs w:val="21"/>
        </w:rPr>
        <w:t>交银施罗德裕惠纯债债券型证券投资基金</w:t>
      </w:r>
      <w:bookmarkEnd w:id="362"/>
      <w:bookmarkEnd w:id="363"/>
    </w:p>
    <w:p w:rsidR="003663E4" w:rsidRDefault="00FD3F7D">
      <w:pPr>
        <w:pStyle w:val="3"/>
        <w:spacing w:beforeLines="50" w:before="156" w:after="0" w:line="360" w:lineRule="auto"/>
        <w:rPr>
          <w:color w:val="000000"/>
          <w:kern w:val="0"/>
          <w:sz w:val="21"/>
          <w:szCs w:val="21"/>
        </w:rPr>
      </w:pPr>
      <w:bookmarkStart w:id="364" w:name="_Toc23339444"/>
      <w:bookmarkStart w:id="365" w:name="_Toc2785"/>
      <w:r>
        <w:rPr>
          <w:color w:val="000000"/>
          <w:kern w:val="0"/>
          <w:sz w:val="21"/>
          <w:szCs w:val="21"/>
        </w:rPr>
        <w:t>12.1.1</w:t>
      </w:r>
      <w:r>
        <w:rPr>
          <w:color w:val="000000"/>
          <w:kern w:val="0"/>
          <w:sz w:val="21"/>
          <w:szCs w:val="21"/>
        </w:rPr>
        <w:t xml:space="preserve"> </w:t>
      </w:r>
      <w:r>
        <w:rPr>
          <w:color w:val="000000"/>
          <w:kern w:val="0"/>
          <w:sz w:val="21"/>
          <w:szCs w:val="21"/>
        </w:rPr>
        <w:t>报告期内单一投资者持有基金份额比例达到或超过</w:t>
      </w:r>
      <w:r>
        <w:rPr>
          <w:color w:val="000000"/>
          <w:kern w:val="0"/>
          <w:sz w:val="21"/>
          <w:szCs w:val="21"/>
        </w:rPr>
        <w:t>20%</w:t>
      </w:r>
      <w:r>
        <w:rPr>
          <w:color w:val="000000"/>
          <w:kern w:val="0"/>
          <w:sz w:val="21"/>
          <w:szCs w:val="21"/>
        </w:rPr>
        <w:t>的情况</w:t>
      </w:r>
      <w:bookmarkEnd w:id="364"/>
      <w:bookmarkEnd w:id="365"/>
    </w:p>
    <w:tbl>
      <w:tblPr>
        <w:tblW w:w="921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663E4">
        <w:tc>
          <w:tcPr>
            <w:tcW w:w="993" w:type="dxa"/>
            <w:vMerge w:val="restart"/>
            <w:shd w:val="clear" w:color="auto" w:fill="auto"/>
            <w:vAlign w:val="center"/>
          </w:tcPr>
          <w:p w:rsidR="003663E4" w:rsidRDefault="00FD3F7D">
            <w:pPr>
              <w:autoSpaceDE w:val="0"/>
              <w:autoSpaceDN w:val="0"/>
              <w:adjustRightInd w:val="0"/>
              <w:jc w:val="center"/>
              <w:rPr>
                <w:b/>
                <w:bCs/>
                <w:color w:val="000000"/>
              </w:rPr>
            </w:pPr>
            <w:r>
              <w:rPr>
                <w:color w:val="000000"/>
              </w:rPr>
              <w:t>投资者类别</w:t>
            </w:r>
            <w:r>
              <w:rPr>
                <w:color w:val="000000"/>
              </w:rPr>
              <w:t xml:space="preserve">  </w:t>
            </w:r>
          </w:p>
        </w:tc>
        <w:tc>
          <w:tcPr>
            <w:tcW w:w="5670" w:type="dxa"/>
            <w:gridSpan w:val="5"/>
            <w:shd w:val="clear" w:color="auto" w:fill="auto"/>
            <w:vAlign w:val="center"/>
          </w:tcPr>
          <w:p w:rsidR="003663E4" w:rsidRDefault="00FD3F7D">
            <w:pPr>
              <w:autoSpaceDE w:val="0"/>
              <w:autoSpaceDN w:val="0"/>
              <w:adjustRightInd w:val="0"/>
              <w:jc w:val="center"/>
              <w:rPr>
                <w:b/>
                <w:bCs/>
                <w:color w:val="000000"/>
              </w:rPr>
            </w:pPr>
            <w:r>
              <w:rPr>
                <w:color w:val="000000"/>
              </w:rPr>
              <w:t>报告期内持有基金份额变化情况</w:t>
            </w:r>
          </w:p>
        </w:tc>
        <w:tc>
          <w:tcPr>
            <w:tcW w:w="2549" w:type="dxa"/>
            <w:gridSpan w:val="2"/>
            <w:shd w:val="clear" w:color="auto" w:fill="auto"/>
            <w:vAlign w:val="center"/>
          </w:tcPr>
          <w:p w:rsidR="003663E4" w:rsidRDefault="00FD3F7D">
            <w:pPr>
              <w:autoSpaceDE w:val="0"/>
              <w:autoSpaceDN w:val="0"/>
              <w:adjustRightInd w:val="0"/>
              <w:jc w:val="center"/>
              <w:rPr>
                <w:b/>
                <w:bCs/>
                <w:color w:val="000000"/>
              </w:rPr>
            </w:pPr>
            <w:r>
              <w:rPr>
                <w:color w:val="000000"/>
              </w:rPr>
              <w:t>报告期末持有基金情况</w:t>
            </w:r>
          </w:p>
        </w:tc>
      </w:tr>
      <w:tr w:rsidR="003663E4">
        <w:tc>
          <w:tcPr>
            <w:tcW w:w="993" w:type="dxa"/>
            <w:vMerge/>
            <w:shd w:val="clear" w:color="auto" w:fill="auto"/>
            <w:vAlign w:val="center"/>
          </w:tcPr>
          <w:p w:rsidR="003663E4" w:rsidRDefault="003663E4">
            <w:pPr>
              <w:autoSpaceDE w:val="0"/>
              <w:autoSpaceDN w:val="0"/>
              <w:adjustRightInd w:val="0"/>
              <w:jc w:val="center"/>
              <w:rPr>
                <w:b/>
                <w:bCs/>
                <w:color w:val="000000"/>
              </w:rPr>
            </w:pPr>
          </w:p>
        </w:tc>
        <w:tc>
          <w:tcPr>
            <w:tcW w:w="992" w:type="dxa"/>
            <w:shd w:val="clear" w:color="auto" w:fill="auto"/>
            <w:vAlign w:val="center"/>
          </w:tcPr>
          <w:p w:rsidR="003663E4" w:rsidRDefault="00FD3F7D">
            <w:pPr>
              <w:autoSpaceDE w:val="0"/>
              <w:autoSpaceDN w:val="0"/>
              <w:adjustRightInd w:val="0"/>
              <w:jc w:val="center"/>
              <w:rPr>
                <w:b/>
                <w:bCs/>
                <w:color w:val="000000"/>
              </w:rPr>
            </w:pPr>
            <w:r>
              <w:rPr>
                <w:color w:val="000000"/>
              </w:rPr>
              <w:t>序号</w:t>
            </w:r>
          </w:p>
        </w:tc>
        <w:tc>
          <w:tcPr>
            <w:tcW w:w="1843" w:type="dxa"/>
            <w:shd w:val="clear" w:color="auto" w:fill="auto"/>
            <w:vAlign w:val="center"/>
          </w:tcPr>
          <w:p w:rsidR="003663E4" w:rsidRDefault="00FD3F7D">
            <w:pPr>
              <w:autoSpaceDE w:val="0"/>
              <w:autoSpaceDN w:val="0"/>
              <w:adjustRightInd w:val="0"/>
              <w:jc w:val="center"/>
              <w:rPr>
                <w:b/>
                <w:bCs/>
                <w:color w:val="000000"/>
              </w:rPr>
            </w:pPr>
            <w:r>
              <w:rPr>
                <w:color w:val="000000"/>
              </w:rPr>
              <w:t>持有基金份额比例达到或者超过</w:t>
            </w:r>
            <w:r>
              <w:rPr>
                <w:color w:val="000000"/>
              </w:rPr>
              <w:t>20%</w:t>
            </w:r>
            <w:r>
              <w:rPr>
                <w:color w:val="000000"/>
              </w:rPr>
              <w:t>的时间区间</w:t>
            </w:r>
          </w:p>
        </w:tc>
        <w:tc>
          <w:tcPr>
            <w:tcW w:w="851" w:type="dxa"/>
            <w:shd w:val="clear" w:color="auto" w:fill="auto"/>
            <w:vAlign w:val="center"/>
          </w:tcPr>
          <w:p w:rsidR="003663E4" w:rsidRDefault="00FD3F7D">
            <w:pPr>
              <w:widowControl/>
              <w:jc w:val="center"/>
              <w:rPr>
                <w:b/>
                <w:bCs/>
                <w:color w:val="000000"/>
              </w:rPr>
            </w:pPr>
            <w:r>
              <w:rPr>
                <w:color w:val="000000"/>
              </w:rPr>
              <w:t>期初份额</w:t>
            </w:r>
          </w:p>
        </w:tc>
        <w:tc>
          <w:tcPr>
            <w:tcW w:w="850" w:type="dxa"/>
            <w:shd w:val="clear" w:color="auto" w:fill="auto"/>
            <w:vAlign w:val="center"/>
          </w:tcPr>
          <w:p w:rsidR="003663E4" w:rsidRDefault="00FD3F7D">
            <w:pPr>
              <w:widowControl/>
              <w:jc w:val="center"/>
              <w:rPr>
                <w:b/>
                <w:bCs/>
                <w:color w:val="000000"/>
              </w:rPr>
            </w:pPr>
            <w:r>
              <w:rPr>
                <w:color w:val="000000"/>
              </w:rPr>
              <w:t>申购份额</w:t>
            </w:r>
          </w:p>
        </w:tc>
        <w:tc>
          <w:tcPr>
            <w:tcW w:w="1134" w:type="dxa"/>
            <w:shd w:val="clear" w:color="auto" w:fill="auto"/>
            <w:vAlign w:val="center"/>
          </w:tcPr>
          <w:p w:rsidR="003663E4" w:rsidRDefault="00FD3F7D">
            <w:pPr>
              <w:widowControl/>
              <w:jc w:val="center"/>
              <w:rPr>
                <w:b/>
                <w:bCs/>
                <w:color w:val="000000"/>
              </w:rPr>
            </w:pPr>
            <w:r>
              <w:rPr>
                <w:color w:val="000000"/>
              </w:rPr>
              <w:t>赎回份额</w:t>
            </w:r>
          </w:p>
        </w:tc>
        <w:tc>
          <w:tcPr>
            <w:tcW w:w="1419" w:type="dxa"/>
            <w:shd w:val="clear" w:color="auto" w:fill="auto"/>
            <w:vAlign w:val="center"/>
          </w:tcPr>
          <w:p w:rsidR="003663E4" w:rsidRDefault="00FD3F7D">
            <w:pPr>
              <w:autoSpaceDE w:val="0"/>
              <w:autoSpaceDN w:val="0"/>
              <w:adjustRightInd w:val="0"/>
              <w:jc w:val="center"/>
              <w:rPr>
                <w:b/>
                <w:bCs/>
                <w:color w:val="000000"/>
              </w:rPr>
            </w:pPr>
            <w:r>
              <w:rPr>
                <w:color w:val="000000"/>
              </w:rPr>
              <w:t>持有份额</w:t>
            </w:r>
          </w:p>
        </w:tc>
        <w:tc>
          <w:tcPr>
            <w:tcW w:w="1130" w:type="dxa"/>
            <w:shd w:val="clear" w:color="auto" w:fill="auto"/>
            <w:vAlign w:val="center"/>
          </w:tcPr>
          <w:p w:rsidR="003663E4" w:rsidRDefault="00FD3F7D">
            <w:pPr>
              <w:autoSpaceDE w:val="0"/>
              <w:autoSpaceDN w:val="0"/>
              <w:adjustRightInd w:val="0"/>
              <w:jc w:val="center"/>
              <w:rPr>
                <w:b/>
                <w:bCs/>
                <w:color w:val="000000"/>
              </w:rPr>
            </w:pPr>
            <w:r>
              <w:rPr>
                <w:color w:val="000000"/>
              </w:rPr>
              <w:t>份额占比</w:t>
            </w:r>
          </w:p>
        </w:tc>
      </w:tr>
      <w:tr w:rsidR="003663E4">
        <w:tc>
          <w:tcPr>
            <w:tcW w:w="993" w:type="dxa"/>
            <w:vMerge w:val="restart"/>
          </w:tcPr>
          <w:p w:rsidR="003663E4" w:rsidRDefault="003663E4"/>
          <w:p w:rsidR="003663E4" w:rsidRDefault="00FD3F7D">
            <w:r>
              <w:rPr>
                <w:bCs/>
                <w:color w:val="000000"/>
              </w:rPr>
              <w:t>机构</w:t>
            </w:r>
          </w:p>
        </w:tc>
        <w:tc>
          <w:tcPr>
            <w:tcW w:w="992" w:type="dxa"/>
            <w:vAlign w:val="center"/>
          </w:tcPr>
          <w:p w:rsidR="003663E4" w:rsidRDefault="00FD3F7D">
            <w:pPr>
              <w:jc w:val="center"/>
            </w:pPr>
            <w:r>
              <w:rPr>
                <w:color w:val="000000"/>
              </w:rPr>
              <w:t>1</w:t>
            </w:r>
          </w:p>
        </w:tc>
        <w:tc>
          <w:tcPr>
            <w:tcW w:w="1843" w:type="dxa"/>
            <w:vAlign w:val="center"/>
          </w:tcPr>
          <w:p w:rsidR="003663E4" w:rsidRDefault="00FD3F7D">
            <w:pPr>
              <w:jc w:val="center"/>
            </w:pPr>
            <w:r>
              <w:rPr>
                <w:color w:val="000000"/>
              </w:rPr>
              <w:t>2020/7/28-2020/12/31</w:t>
            </w:r>
          </w:p>
        </w:tc>
        <w:tc>
          <w:tcPr>
            <w:tcW w:w="851" w:type="dxa"/>
            <w:vAlign w:val="center"/>
          </w:tcPr>
          <w:p w:rsidR="003663E4" w:rsidRDefault="00FD3F7D">
            <w:pPr>
              <w:jc w:val="center"/>
            </w:pPr>
            <w:r>
              <w:rPr>
                <w:color w:val="000000"/>
              </w:rPr>
              <w:t>544,890,864.30</w:t>
            </w:r>
          </w:p>
        </w:tc>
        <w:tc>
          <w:tcPr>
            <w:tcW w:w="850" w:type="dxa"/>
            <w:vAlign w:val="center"/>
          </w:tcPr>
          <w:p w:rsidR="003663E4" w:rsidRDefault="00FD3F7D">
            <w:pPr>
              <w:jc w:val="center"/>
            </w:pPr>
            <w:r>
              <w:rPr>
                <w:color w:val="000000"/>
              </w:rPr>
              <w:t>18,264.37</w:t>
            </w:r>
          </w:p>
        </w:tc>
        <w:tc>
          <w:tcPr>
            <w:tcW w:w="1134" w:type="dxa"/>
            <w:vAlign w:val="center"/>
          </w:tcPr>
          <w:p w:rsidR="003663E4" w:rsidRDefault="00FD3F7D">
            <w:pPr>
              <w:jc w:val="center"/>
            </w:pPr>
            <w:r>
              <w:rPr>
                <w:color w:val="000000"/>
              </w:rPr>
              <w:t>18,264.37</w:t>
            </w:r>
          </w:p>
        </w:tc>
        <w:tc>
          <w:tcPr>
            <w:tcW w:w="1419" w:type="dxa"/>
            <w:vAlign w:val="center"/>
          </w:tcPr>
          <w:p w:rsidR="003663E4" w:rsidRDefault="00FD3F7D">
            <w:pPr>
              <w:jc w:val="center"/>
            </w:pPr>
            <w:r>
              <w:rPr>
                <w:color w:val="000000"/>
              </w:rPr>
              <w:t>544,890,864.30</w:t>
            </w:r>
          </w:p>
        </w:tc>
        <w:tc>
          <w:tcPr>
            <w:tcW w:w="1130" w:type="dxa"/>
            <w:vAlign w:val="center"/>
          </w:tcPr>
          <w:p w:rsidR="003663E4" w:rsidRDefault="00FD3F7D">
            <w:pPr>
              <w:jc w:val="center"/>
            </w:pPr>
            <w:r>
              <w:rPr>
                <w:color w:val="000000"/>
              </w:rPr>
              <w:t>70.81%</w:t>
            </w:r>
          </w:p>
        </w:tc>
      </w:tr>
      <w:tr w:rsidR="003663E4">
        <w:tc>
          <w:tcPr>
            <w:tcW w:w="993" w:type="dxa"/>
            <w:vMerge/>
          </w:tcPr>
          <w:p w:rsidR="003663E4" w:rsidRDefault="003663E4"/>
        </w:tc>
        <w:tc>
          <w:tcPr>
            <w:tcW w:w="992" w:type="dxa"/>
            <w:vAlign w:val="center"/>
          </w:tcPr>
          <w:p w:rsidR="003663E4" w:rsidRDefault="00FD3F7D">
            <w:pPr>
              <w:jc w:val="center"/>
            </w:pPr>
            <w:r>
              <w:rPr>
                <w:color w:val="000000"/>
              </w:rPr>
              <w:t>2</w:t>
            </w:r>
          </w:p>
        </w:tc>
        <w:tc>
          <w:tcPr>
            <w:tcW w:w="1843" w:type="dxa"/>
            <w:vAlign w:val="center"/>
          </w:tcPr>
          <w:p w:rsidR="003663E4" w:rsidRDefault="00FD3F7D">
            <w:pPr>
              <w:jc w:val="center"/>
            </w:pPr>
            <w:r>
              <w:rPr>
                <w:color w:val="000000"/>
              </w:rPr>
              <w:t>2020/7/28-2020/12/31</w:t>
            </w:r>
          </w:p>
        </w:tc>
        <w:tc>
          <w:tcPr>
            <w:tcW w:w="851" w:type="dxa"/>
            <w:vAlign w:val="center"/>
          </w:tcPr>
          <w:p w:rsidR="003663E4" w:rsidRDefault="00FD3F7D">
            <w:pPr>
              <w:jc w:val="center"/>
            </w:pPr>
            <w:r>
              <w:rPr>
                <w:color w:val="000000"/>
              </w:rPr>
              <w:t>214,170,434.58</w:t>
            </w:r>
          </w:p>
        </w:tc>
        <w:tc>
          <w:tcPr>
            <w:tcW w:w="850" w:type="dxa"/>
            <w:vAlign w:val="center"/>
          </w:tcPr>
          <w:p w:rsidR="003663E4" w:rsidRDefault="00FD3F7D">
            <w:pPr>
              <w:jc w:val="center"/>
            </w:pPr>
            <w:r>
              <w:rPr>
                <w:color w:val="000000"/>
              </w:rPr>
              <w:t>7,178.85</w:t>
            </w:r>
          </w:p>
        </w:tc>
        <w:tc>
          <w:tcPr>
            <w:tcW w:w="1134" w:type="dxa"/>
            <w:vAlign w:val="center"/>
          </w:tcPr>
          <w:p w:rsidR="003663E4" w:rsidRDefault="00FD3F7D">
            <w:pPr>
              <w:jc w:val="center"/>
            </w:pPr>
            <w:r>
              <w:rPr>
                <w:color w:val="000000"/>
              </w:rPr>
              <w:t>7,178.85</w:t>
            </w:r>
          </w:p>
        </w:tc>
        <w:tc>
          <w:tcPr>
            <w:tcW w:w="1419" w:type="dxa"/>
            <w:vAlign w:val="center"/>
          </w:tcPr>
          <w:p w:rsidR="003663E4" w:rsidRDefault="00FD3F7D">
            <w:pPr>
              <w:jc w:val="center"/>
            </w:pPr>
            <w:r>
              <w:rPr>
                <w:color w:val="000000"/>
              </w:rPr>
              <w:t>214,170,434.58</w:t>
            </w:r>
          </w:p>
        </w:tc>
        <w:tc>
          <w:tcPr>
            <w:tcW w:w="1130" w:type="dxa"/>
            <w:vAlign w:val="center"/>
          </w:tcPr>
          <w:p w:rsidR="003663E4" w:rsidRDefault="00FD3F7D">
            <w:pPr>
              <w:jc w:val="center"/>
            </w:pPr>
            <w:r>
              <w:rPr>
                <w:color w:val="000000"/>
              </w:rPr>
              <w:t>27.83%</w:t>
            </w:r>
          </w:p>
        </w:tc>
      </w:tr>
      <w:tr w:rsidR="003663E4">
        <w:tc>
          <w:tcPr>
            <w:tcW w:w="9212" w:type="dxa"/>
            <w:gridSpan w:val="8"/>
            <w:shd w:val="clear" w:color="auto" w:fill="auto"/>
            <w:vAlign w:val="center"/>
          </w:tcPr>
          <w:p w:rsidR="003663E4" w:rsidRDefault="00FD3F7D">
            <w:pPr>
              <w:autoSpaceDE w:val="0"/>
              <w:autoSpaceDN w:val="0"/>
              <w:adjustRightInd w:val="0"/>
              <w:jc w:val="center"/>
            </w:pPr>
            <w:r>
              <w:rPr>
                <w:color w:val="000000"/>
              </w:rPr>
              <w:t>产品特有风险</w:t>
            </w:r>
          </w:p>
        </w:tc>
      </w:tr>
      <w:tr w:rsidR="003663E4">
        <w:tc>
          <w:tcPr>
            <w:tcW w:w="9212" w:type="dxa"/>
            <w:gridSpan w:val="8"/>
            <w:shd w:val="clear" w:color="auto" w:fill="auto"/>
            <w:vAlign w:val="center"/>
          </w:tcPr>
          <w:p w:rsidR="003663E4" w:rsidRDefault="00FD3F7D">
            <w:pPr>
              <w:autoSpaceDE w:val="0"/>
              <w:autoSpaceDN w:val="0"/>
              <w:adjustRightInd w:val="0"/>
              <w:jc w:val="left"/>
            </w:pPr>
            <w:r>
              <w:t>本基金本报告期内出现单一投资者持有基金份额比例超过基金总份额</w:t>
            </w:r>
            <w:r>
              <w:t>20%</w:t>
            </w:r>
            <w:r>
              <w:t>的情况。如该类投资者集中赎回，可能会对本基金带来流动性冲击，从而影响基金的投资运作和收益水平。基金管理人将加强流动性管理，防范相关风险，保护持有人利益。</w:t>
            </w:r>
          </w:p>
        </w:tc>
      </w:tr>
    </w:tbl>
    <w:p w:rsidR="003663E4" w:rsidRDefault="00FD3F7D">
      <w:pPr>
        <w:pStyle w:val="2"/>
        <w:spacing w:before="0" w:after="0"/>
        <w:rPr>
          <w:rFonts w:ascii="Times New Roman" w:hAnsi="Times New Roman"/>
          <w:color w:val="000000"/>
          <w:kern w:val="0"/>
          <w:sz w:val="21"/>
          <w:szCs w:val="21"/>
        </w:rPr>
      </w:pPr>
      <w:bookmarkStart w:id="366" w:name="_Toc23339445"/>
      <w:bookmarkStart w:id="367" w:name="_Toc14479"/>
      <w:r>
        <w:rPr>
          <w:rFonts w:ascii="Times New Roman" w:hAnsi="Times New Roman"/>
          <w:color w:val="000000"/>
          <w:kern w:val="0"/>
          <w:sz w:val="21"/>
          <w:szCs w:val="21"/>
        </w:rPr>
        <w:t xml:space="preserve">12.2 </w:t>
      </w:r>
      <w:r>
        <w:rPr>
          <w:rFonts w:ascii="Times New Roman" w:hAnsi="Times New Roman"/>
          <w:color w:val="000000"/>
          <w:kern w:val="0"/>
          <w:sz w:val="21"/>
          <w:szCs w:val="21"/>
        </w:rPr>
        <w:t>交银施罗德理财</w:t>
      </w:r>
      <w:r>
        <w:rPr>
          <w:rFonts w:ascii="Times New Roman" w:hAnsi="Times New Roman"/>
          <w:color w:val="000000"/>
          <w:kern w:val="0"/>
          <w:sz w:val="21"/>
          <w:szCs w:val="21"/>
        </w:rPr>
        <w:t>60</w:t>
      </w:r>
      <w:r>
        <w:rPr>
          <w:rFonts w:ascii="Times New Roman" w:hAnsi="Times New Roman"/>
          <w:color w:val="000000"/>
          <w:kern w:val="0"/>
          <w:sz w:val="21"/>
          <w:szCs w:val="21"/>
        </w:rPr>
        <w:t>天债券型证券投资基金</w:t>
      </w:r>
      <w:bookmarkEnd w:id="366"/>
      <w:bookmarkEnd w:id="367"/>
    </w:p>
    <w:p w:rsidR="003663E4" w:rsidRDefault="00FD3F7D">
      <w:pPr>
        <w:pStyle w:val="3"/>
        <w:spacing w:beforeLines="50" w:before="156" w:after="0" w:line="360" w:lineRule="auto"/>
        <w:rPr>
          <w:color w:val="000000"/>
          <w:kern w:val="0"/>
          <w:sz w:val="21"/>
          <w:szCs w:val="21"/>
        </w:rPr>
      </w:pPr>
      <w:bookmarkStart w:id="368" w:name="_Toc23339446"/>
      <w:bookmarkStart w:id="369" w:name="_Toc9300"/>
      <w:r>
        <w:rPr>
          <w:color w:val="000000"/>
          <w:kern w:val="0"/>
          <w:sz w:val="21"/>
          <w:szCs w:val="21"/>
        </w:rPr>
        <w:t xml:space="preserve">12.2.1 </w:t>
      </w:r>
      <w:r>
        <w:rPr>
          <w:color w:val="000000"/>
          <w:kern w:val="0"/>
          <w:sz w:val="21"/>
          <w:szCs w:val="21"/>
        </w:rPr>
        <w:t>报告期内单一投资者持有基金份额比例达到或超过</w:t>
      </w:r>
      <w:r>
        <w:rPr>
          <w:color w:val="000000"/>
          <w:kern w:val="0"/>
          <w:sz w:val="21"/>
          <w:szCs w:val="21"/>
        </w:rPr>
        <w:t>20%</w:t>
      </w:r>
      <w:r>
        <w:rPr>
          <w:color w:val="000000"/>
          <w:kern w:val="0"/>
          <w:sz w:val="21"/>
          <w:szCs w:val="21"/>
        </w:rPr>
        <w:t>的情况</w:t>
      </w:r>
      <w:bookmarkEnd w:id="368"/>
      <w:bookmarkEnd w:id="369"/>
    </w:p>
    <w:tbl>
      <w:tblPr>
        <w:tblW w:w="921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663E4">
        <w:tc>
          <w:tcPr>
            <w:tcW w:w="993" w:type="dxa"/>
            <w:vMerge w:val="restart"/>
            <w:shd w:val="clear" w:color="auto" w:fill="auto"/>
            <w:vAlign w:val="center"/>
          </w:tcPr>
          <w:p w:rsidR="003663E4" w:rsidRDefault="00FD3F7D">
            <w:pPr>
              <w:autoSpaceDE w:val="0"/>
              <w:autoSpaceDN w:val="0"/>
              <w:adjustRightInd w:val="0"/>
              <w:jc w:val="center"/>
              <w:rPr>
                <w:b/>
                <w:bCs/>
                <w:color w:val="000000"/>
              </w:rPr>
            </w:pPr>
            <w:r>
              <w:rPr>
                <w:color w:val="000000"/>
              </w:rPr>
              <w:t>投资者类别</w:t>
            </w:r>
            <w:r>
              <w:rPr>
                <w:color w:val="000000"/>
              </w:rPr>
              <w:t xml:space="preserve">  </w:t>
            </w:r>
          </w:p>
        </w:tc>
        <w:tc>
          <w:tcPr>
            <w:tcW w:w="5670" w:type="dxa"/>
            <w:gridSpan w:val="5"/>
            <w:shd w:val="clear" w:color="auto" w:fill="auto"/>
            <w:vAlign w:val="center"/>
          </w:tcPr>
          <w:p w:rsidR="003663E4" w:rsidRDefault="00FD3F7D">
            <w:pPr>
              <w:autoSpaceDE w:val="0"/>
              <w:autoSpaceDN w:val="0"/>
              <w:adjustRightInd w:val="0"/>
              <w:jc w:val="center"/>
              <w:rPr>
                <w:b/>
                <w:bCs/>
                <w:color w:val="000000"/>
              </w:rPr>
            </w:pPr>
            <w:r>
              <w:rPr>
                <w:color w:val="000000"/>
              </w:rPr>
              <w:t>报告期内持有基金份额变化情况</w:t>
            </w:r>
          </w:p>
        </w:tc>
        <w:tc>
          <w:tcPr>
            <w:tcW w:w="2549" w:type="dxa"/>
            <w:gridSpan w:val="2"/>
            <w:shd w:val="clear" w:color="auto" w:fill="auto"/>
            <w:vAlign w:val="center"/>
          </w:tcPr>
          <w:p w:rsidR="003663E4" w:rsidRDefault="00FD3F7D">
            <w:pPr>
              <w:autoSpaceDE w:val="0"/>
              <w:autoSpaceDN w:val="0"/>
              <w:adjustRightInd w:val="0"/>
              <w:jc w:val="center"/>
              <w:rPr>
                <w:b/>
                <w:bCs/>
                <w:color w:val="000000"/>
              </w:rPr>
            </w:pPr>
            <w:r>
              <w:rPr>
                <w:color w:val="000000"/>
              </w:rPr>
              <w:t>报告期末持有基金情况</w:t>
            </w:r>
          </w:p>
        </w:tc>
      </w:tr>
      <w:tr w:rsidR="003663E4">
        <w:tc>
          <w:tcPr>
            <w:tcW w:w="993" w:type="dxa"/>
            <w:vMerge/>
            <w:shd w:val="clear" w:color="auto" w:fill="auto"/>
            <w:vAlign w:val="center"/>
          </w:tcPr>
          <w:p w:rsidR="003663E4" w:rsidRDefault="003663E4">
            <w:pPr>
              <w:autoSpaceDE w:val="0"/>
              <w:autoSpaceDN w:val="0"/>
              <w:adjustRightInd w:val="0"/>
              <w:jc w:val="center"/>
              <w:rPr>
                <w:b/>
                <w:bCs/>
                <w:color w:val="000000"/>
              </w:rPr>
            </w:pPr>
          </w:p>
        </w:tc>
        <w:tc>
          <w:tcPr>
            <w:tcW w:w="992" w:type="dxa"/>
            <w:shd w:val="clear" w:color="auto" w:fill="auto"/>
            <w:vAlign w:val="center"/>
          </w:tcPr>
          <w:p w:rsidR="003663E4" w:rsidRDefault="00FD3F7D">
            <w:pPr>
              <w:autoSpaceDE w:val="0"/>
              <w:autoSpaceDN w:val="0"/>
              <w:adjustRightInd w:val="0"/>
              <w:jc w:val="center"/>
              <w:rPr>
                <w:b/>
                <w:bCs/>
                <w:color w:val="000000"/>
              </w:rPr>
            </w:pPr>
            <w:r>
              <w:rPr>
                <w:color w:val="000000"/>
              </w:rPr>
              <w:t>序号</w:t>
            </w:r>
          </w:p>
        </w:tc>
        <w:tc>
          <w:tcPr>
            <w:tcW w:w="1843" w:type="dxa"/>
            <w:shd w:val="clear" w:color="auto" w:fill="auto"/>
            <w:vAlign w:val="center"/>
          </w:tcPr>
          <w:p w:rsidR="003663E4" w:rsidRDefault="00FD3F7D">
            <w:pPr>
              <w:autoSpaceDE w:val="0"/>
              <w:autoSpaceDN w:val="0"/>
              <w:adjustRightInd w:val="0"/>
              <w:jc w:val="center"/>
              <w:rPr>
                <w:b/>
                <w:bCs/>
                <w:color w:val="000000"/>
              </w:rPr>
            </w:pPr>
            <w:r>
              <w:rPr>
                <w:color w:val="000000"/>
              </w:rPr>
              <w:t>持有基金份额比例达到或者超过</w:t>
            </w:r>
            <w:r>
              <w:rPr>
                <w:color w:val="000000"/>
              </w:rPr>
              <w:t>20%</w:t>
            </w:r>
            <w:r>
              <w:rPr>
                <w:color w:val="000000"/>
              </w:rPr>
              <w:t>的时间区间</w:t>
            </w:r>
          </w:p>
        </w:tc>
        <w:tc>
          <w:tcPr>
            <w:tcW w:w="851" w:type="dxa"/>
            <w:shd w:val="clear" w:color="auto" w:fill="auto"/>
            <w:vAlign w:val="center"/>
          </w:tcPr>
          <w:p w:rsidR="003663E4" w:rsidRDefault="00FD3F7D">
            <w:pPr>
              <w:widowControl/>
              <w:jc w:val="center"/>
              <w:rPr>
                <w:b/>
                <w:bCs/>
                <w:color w:val="000000"/>
              </w:rPr>
            </w:pPr>
            <w:r>
              <w:rPr>
                <w:color w:val="000000"/>
              </w:rPr>
              <w:t>期初份额</w:t>
            </w:r>
          </w:p>
        </w:tc>
        <w:tc>
          <w:tcPr>
            <w:tcW w:w="850" w:type="dxa"/>
            <w:shd w:val="clear" w:color="auto" w:fill="auto"/>
            <w:vAlign w:val="center"/>
          </w:tcPr>
          <w:p w:rsidR="003663E4" w:rsidRDefault="00FD3F7D">
            <w:pPr>
              <w:widowControl/>
              <w:jc w:val="center"/>
              <w:rPr>
                <w:b/>
                <w:bCs/>
                <w:color w:val="000000"/>
              </w:rPr>
            </w:pPr>
            <w:r>
              <w:rPr>
                <w:color w:val="000000"/>
              </w:rPr>
              <w:t>申购份额</w:t>
            </w:r>
          </w:p>
        </w:tc>
        <w:tc>
          <w:tcPr>
            <w:tcW w:w="1134" w:type="dxa"/>
            <w:shd w:val="clear" w:color="auto" w:fill="auto"/>
            <w:vAlign w:val="center"/>
          </w:tcPr>
          <w:p w:rsidR="003663E4" w:rsidRDefault="00FD3F7D">
            <w:pPr>
              <w:widowControl/>
              <w:jc w:val="center"/>
              <w:rPr>
                <w:b/>
                <w:bCs/>
                <w:color w:val="000000"/>
              </w:rPr>
            </w:pPr>
            <w:r>
              <w:rPr>
                <w:color w:val="000000"/>
              </w:rPr>
              <w:t>赎回份额</w:t>
            </w:r>
          </w:p>
        </w:tc>
        <w:tc>
          <w:tcPr>
            <w:tcW w:w="1419" w:type="dxa"/>
            <w:shd w:val="clear" w:color="auto" w:fill="auto"/>
            <w:vAlign w:val="center"/>
          </w:tcPr>
          <w:p w:rsidR="003663E4" w:rsidRDefault="00FD3F7D">
            <w:pPr>
              <w:autoSpaceDE w:val="0"/>
              <w:autoSpaceDN w:val="0"/>
              <w:adjustRightInd w:val="0"/>
              <w:jc w:val="center"/>
              <w:rPr>
                <w:b/>
                <w:bCs/>
                <w:color w:val="000000"/>
              </w:rPr>
            </w:pPr>
            <w:r>
              <w:rPr>
                <w:color w:val="000000"/>
              </w:rPr>
              <w:t>持有份额</w:t>
            </w:r>
          </w:p>
        </w:tc>
        <w:tc>
          <w:tcPr>
            <w:tcW w:w="1130" w:type="dxa"/>
            <w:shd w:val="clear" w:color="auto" w:fill="auto"/>
            <w:vAlign w:val="center"/>
          </w:tcPr>
          <w:p w:rsidR="003663E4" w:rsidRDefault="00FD3F7D">
            <w:pPr>
              <w:autoSpaceDE w:val="0"/>
              <w:autoSpaceDN w:val="0"/>
              <w:adjustRightInd w:val="0"/>
              <w:jc w:val="center"/>
              <w:rPr>
                <w:b/>
                <w:bCs/>
                <w:color w:val="000000"/>
              </w:rPr>
            </w:pPr>
            <w:r>
              <w:rPr>
                <w:color w:val="000000"/>
              </w:rPr>
              <w:t>份额占比</w:t>
            </w:r>
          </w:p>
        </w:tc>
      </w:tr>
      <w:tr w:rsidR="003663E4">
        <w:tc>
          <w:tcPr>
            <w:tcW w:w="993" w:type="dxa"/>
            <w:vMerge w:val="restart"/>
          </w:tcPr>
          <w:p w:rsidR="003663E4" w:rsidRDefault="003663E4"/>
          <w:p w:rsidR="003663E4" w:rsidRDefault="00FD3F7D">
            <w:r>
              <w:rPr>
                <w:bCs/>
                <w:color w:val="000000"/>
              </w:rPr>
              <w:t>机构</w:t>
            </w:r>
          </w:p>
        </w:tc>
        <w:tc>
          <w:tcPr>
            <w:tcW w:w="992" w:type="dxa"/>
            <w:vAlign w:val="center"/>
          </w:tcPr>
          <w:p w:rsidR="003663E4" w:rsidRDefault="00FD3F7D">
            <w:pPr>
              <w:jc w:val="center"/>
            </w:pPr>
            <w:r>
              <w:rPr>
                <w:color w:val="000000"/>
              </w:rPr>
              <w:t>1</w:t>
            </w:r>
          </w:p>
        </w:tc>
        <w:tc>
          <w:tcPr>
            <w:tcW w:w="1843" w:type="dxa"/>
            <w:vAlign w:val="center"/>
          </w:tcPr>
          <w:p w:rsidR="003663E4" w:rsidRDefault="00FD3F7D">
            <w:pPr>
              <w:jc w:val="center"/>
            </w:pPr>
            <w:r>
              <w:rPr>
                <w:color w:val="000000"/>
              </w:rPr>
              <w:t>2020/1/1-2020/7/27</w:t>
            </w:r>
          </w:p>
        </w:tc>
        <w:tc>
          <w:tcPr>
            <w:tcW w:w="851" w:type="dxa"/>
            <w:vAlign w:val="center"/>
          </w:tcPr>
          <w:p w:rsidR="003663E4" w:rsidRDefault="00FD3F7D">
            <w:pPr>
              <w:jc w:val="center"/>
            </w:pPr>
            <w:r>
              <w:rPr>
                <w:color w:val="000000"/>
              </w:rPr>
              <w:t>1,687,007.44</w:t>
            </w:r>
          </w:p>
        </w:tc>
        <w:tc>
          <w:tcPr>
            <w:tcW w:w="850" w:type="dxa"/>
            <w:vAlign w:val="center"/>
          </w:tcPr>
          <w:p w:rsidR="003663E4" w:rsidRDefault="00FD3F7D">
            <w:pPr>
              <w:jc w:val="center"/>
            </w:pPr>
            <w:r>
              <w:rPr>
                <w:color w:val="000000"/>
              </w:rPr>
              <w:t>13,098.29</w:t>
            </w:r>
          </w:p>
        </w:tc>
        <w:tc>
          <w:tcPr>
            <w:tcW w:w="1134" w:type="dxa"/>
            <w:vAlign w:val="center"/>
          </w:tcPr>
          <w:p w:rsidR="003663E4" w:rsidRDefault="00FD3F7D">
            <w:pPr>
              <w:jc w:val="center"/>
            </w:pPr>
            <w:r>
              <w:rPr>
                <w:color w:val="000000"/>
              </w:rPr>
              <w:t>1,700,105.73</w:t>
            </w:r>
          </w:p>
        </w:tc>
        <w:tc>
          <w:tcPr>
            <w:tcW w:w="1419" w:type="dxa"/>
            <w:vAlign w:val="center"/>
          </w:tcPr>
          <w:p w:rsidR="003663E4" w:rsidRDefault="00FD3F7D">
            <w:pPr>
              <w:jc w:val="center"/>
            </w:pPr>
            <w:r>
              <w:rPr>
                <w:color w:val="000000"/>
              </w:rPr>
              <w:t>-</w:t>
            </w:r>
          </w:p>
        </w:tc>
        <w:tc>
          <w:tcPr>
            <w:tcW w:w="1130" w:type="dxa"/>
            <w:vAlign w:val="center"/>
          </w:tcPr>
          <w:p w:rsidR="003663E4" w:rsidRDefault="00FD3F7D">
            <w:pPr>
              <w:jc w:val="center"/>
            </w:pPr>
            <w:r>
              <w:rPr>
                <w:color w:val="000000"/>
              </w:rPr>
              <w:t>-</w:t>
            </w:r>
          </w:p>
        </w:tc>
      </w:tr>
      <w:tr w:rsidR="003663E4">
        <w:tc>
          <w:tcPr>
            <w:tcW w:w="993" w:type="dxa"/>
            <w:vMerge/>
          </w:tcPr>
          <w:p w:rsidR="003663E4" w:rsidRDefault="003663E4"/>
        </w:tc>
        <w:tc>
          <w:tcPr>
            <w:tcW w:w="992" w:type="dxa"/>
            <w:vAlign w:val="center"/>
          </w:tcPr>
          <w:p w:rsidR="003663E4" w:rsidRDefault="00FD3F7D">
            <w:pPr>
              <w:jc w:val="center"/>
            </w:pPr>
            <w:r>
              <w:rPr>
                <w:color w:val="000000"/>
              </w:rPr>
              <w:t>2</w:t>
            </w:r>
          </w:p>
        </w:tc>
        <w:tc>
          <w:tcPr>
            <w:tcW w:w="1843" w:type="dxa"/>
            <w:vAlign w:val="center"/>
          </w:tcPr>
          <w:p w:rsidR="003663E4" w:rsidRDefault="00FD3F7D">
            <w:pPr>
              <w:jc w:val="center"/>
            </w:pPr>
            <w:r>
              <w:rPr>
                <w:color w:val="000000"/>
              </w:rPr>
              <w:t>2020/1/1-2020/7/27</w:t>
            </w:r>
          </w:p>
        </w:tc>
        <w:tc>
          <w:tcPr>
            <w:tcW w:w="851" w:type="dxa"/>
            <w:vAlign w:val="center"/>
          </w:tcPr>
          <w:p w:rsidR="003663E4" w:rsidRDefault="00FD3F7D">
            <w:pPr>
              <w:jc w:val="center"/>
            </w:pPr>
            <w:r>
              <w:rPr>
                <w:color w:val="000000"/>
              </w:rPr>
              <w:t>1,613,848,842.60</w:t>
            </w:r>
          </w:p>
        </w:tc>
        <w:tc>
          <w:tcPr>
            <w:tcW w:w="850" w:type="dxa"/>
            <w:vAlign w:val="center"/>
          </w:tcPr>
          <w:p w:rsidR="003663E4" w:rsidRDefault="00FD3F7D">
            <w:pPr>
              <w:jc w:val="center"/>
            </w:pPr>
            <w:r>
              <w:rPr>
                <w:color w:val="000000"/>
              </w:rPr>
              <w:t>27,106,625.43</w:t>
            </w:r>
          </w:p>
        </w:tc>
        <w:tc>
          <w:tcPr>
            <w:tcW w:w="1134" w:type="dxa"/>
            <w:vAlign w:val="center"/>
          </w:tcPr>
          <w:p w:rsidR="003663E4" w:rsidRDefault="00FD3F7D">
            <w:pPr>
              <w:jc w:val="center"/>
            </w:pPr>
            <w:r>
              <w:rPr>
                <w:color w:val="000000"/>
              </w:rPr>
              <w:t>1,640,955,468.03</w:t>
            </w:r>
          </w:p>
        </w:tc>
        <w:tc>
          <w:tcPr>
            <w:tcW w:w="1419" w:type="dxa"/>
            <w:vAlign w:val="center"/>
          </w:tcPr>
          <w:p w:rsidR="003663E4" w:rsidRDefault="00FD3F7D">
            <w:pPr>
              <w:jc w:val="center"/>
            </w:pPr>
            <w:r>
              <w:rPr>
                <w:color w:val="000000"/>
              </w:rPr>
              <w:t>-</w:t>
            </w:r>
          </w:p>
        </w:tc>
        <w:tc>
          <w:tcPr>
            <w:tcW w:w="1130" w:type="dxa"/>
            <w:vAlign w:val="center"/>
          </w:tcPr>
          <w:p w:rsidR="003663E4" w:rsidRDefault="00FD3F7D">
            <w:pPr>
              <w:jc w:val="center"/>
            </w:pPr>
            <w:r>
              <w:rPr>
                <w:color w:val="000000"/>
              </w:rPr>
              <w:t>-</w:t>
            </w:r>
          </w:p>
        </w:tc>
      </w:tr>
      <w:tr w:rsidR="003663E4">
        <w:tc>
          <w:tcPr>
            <w:tcW w:w="993" w:type="dxa"/>
            <w:vMerge/>
          </w:tcPr>
          <w:p w:rsidR="003663E4" w:rsidRDefault="003663E4"/>
        </w:tc>
        <w:tc>
          <w:tcPr>
            <w:tcW w:w="992" w:type="dxa"/>
            <w:vAlign w:val="center"/>
          </w:tcPr>
          <w:p w:rsidR="003663E4" w:rsidRDefault="00FD3F7D">
            <w:pPr>
              <w:jc w:val="center"/>
            </w:pPr>
            <w:r>
              <w:rPr>
                <w:color w:val="000000"/>
              </w:rPr>
              <w:t>3</w:t>
            </w:r>
          </w:p>
        </w:tc>
        <w:tc>
          <w:tcPr>
            <w:tcW w:w="1843" w:type="dxa"/>
            <w:vAlign w:val="center"/>
          </w:tcPr>
          <w:p w:rsidR="003663E4" w:rsidRDefault="00FD3F7D">
            <w:pPr>
              <w:jc w:val="center"/>
            </w:pPr>
            <w:r>
              <w:rPr>
                <w:color w:val="000000"/>
              </w:rPr>
              <w:t>2020/1/1-2020/7/27</w:t>
            </w:r>
          </w:p>
        </w:tc>
        <w:tc>
          <w:tcPr>
            <w:tcW w:w="851" w:type="dxa"/>
            <w:vAlign w:val="center"/>
          </w:tcPr>
          <w:p w:rsidR="003663E4" w:rsidRDefault="00FD3F7D">
            <w:pPr>
              <w:jc w:val="center"/>
            </w:pPr>
            <w:r>
              <w:rPr>
                <w:color w:val="000000"/>
              </w:rPr>
              <w:t>2,125,624,801.38</w:t>
            </w:r>
          </w:p>
        </w:tc>
        <w:tc>
          <w:tcPr>
            <w:tcW w:w="850" w:type="dxa"/>
            <w:vAlign w:val="center"/>
          </w:tcPr>
          <w:p w:rsidR="003663E4" w:rsidRDefault="00FD3F7D">
            <w:pPr>
              <w:jc w:val="center"/>
            </w:pPr>
            <w:r>
              <w:rPr>
                <w:color w:val="000000"/>
              </w:rPr>
              <w:t>35,410,122.48</w:t>
            </w:r>
          </w:p>
        </w:tc>
        <w:tc>
          <w:tcPr>
            <w:tcW w:w="1134" w:type="dxa"/>
            <w:vAlign w:val="center"/>
          </w:tcPr>
          <w:p w:rsidR="003663E4" w:rsidRDefault="00FD3F7D">
            <w:pPr>
              <w:jc w:val="center"/>
            </w:pPr>
            <w:r>
              <w:rPr>
                <w:color w:val="000000"/>
              </w:rPr>
              <w:t>2,161,034,923.86</w:t>
            </w:r>
          </w:p>
        </w:tc>
        <w:tc>
          <w:tcPr>
            <w:tcW w:w="1419" w:type="dxa"/>
            <w:vAlign w:val="center"/>
          </w:tcPr>
          <w:p w:rsidR="003663E4" w:rsidRDefault="00FD3F7D">
            <w:pPr>
              <w:jc w:val="center"/>
            </w:pPr>
            <w:r>
              <w:rPr>
                <w:color w:val="000000"/>
              </w:rPr>
              <w:t>-</w:t>
            </w:r>
          </w:p>
        </w:tc>
        <w:tc>
          <w:tcPr>
            <w:tcW w:w="1130" w:type="dxa"/>
            <w:vAlign w:val="center"/>
          </w:tcPr>
          <w:p w:rsidR="003663E4" w:rsidRDefault="00FD3F7D">
            <w:pPr>
              <w:jc w:val="center"/>
            </w:pPr>
            <w:r>
              <w:rPr>
                <w:color w:val="000000"/>
              </w:rPr>
              <w:t>-</w:t>
            </w:r>
          </w:p>
        </w:tc>
      </w:tr>
      <w:tr w:rsidR="003663E4">
        <w:tc>
          <w:tcPr>
            <w:tcW w:w="993" w:type="dxa"/>
            <w:vMerge/>
          </w:tcPr>
          <w:p w:rsidR="003663E4" w:rsidRDefault="003663E4"/>
        </w:tc>
        <w:tc>
          <w:tcPr>
            <w:tcW w:w="992" w:type="dxa"/>
            <w:vAlign w:val="center"/>
          </w:tcPr>
          <w:p w:rsidR="003663E4" w:rsidRDefault="00FD3F7D">
            <w:pPr>
              <w:jc w:val="center"/>
            </w:pPr>
            <w:r>
              <w:rPr>
                <w:color w:val="000000"/>
              </w:rPr>
              <w:t>4</w:t>
            </w:r>
          </w:p>
        </w:tc>
        <w:tc>
          <w:tcPr>
            <w:tcW w:w="1843" w:type="dxa"/>
            <w:vAlign w:val="center"/>
          </w:tcPr>
          <w:p w:rsidR="003663E4" w:rsidRDefault="00FD3F7D">
            <w:pPr>
              <w:jc w:val="center"/>
            </w:pPr>
            <w:r>
              <w:rPr>
                <w:color w:val="000000"/>
              </w:rPr>
              <w:t>2020/1/1-2020/7/27</w:t>
            </w:r>
          </w:p>
        </w:tc>
        <w:tc>
          <w:tcPr>
            <w:tcW w:w="851" w:type="dxa"/>
            <w:vAlign w:val="center"/>
          </w:tcPr>
          <w:p w:rsidR="003663E4" w:rsidRDefault="00FD3F7D">
            <w:pPr>
              <w:jc w:val="center"/>
            </w:pPr>
            <w:r>
              <w:rPr>
                <w:color w:val="000000"/>
              </w:rPr>
              <w:t>535,284,697.39</w:t>
            </w:r>
          </w:p>
        </w:tc>
        <w:tc>
          <w:tcPr>
            <w:tcW w:w="850" w:type="dxa"/>
            <w:vAlign w:val="center"/>
          </w:tcPr>
          <w:p w:rsidR="003663E4" w:rsidRDefault="00FD3F7D">
            <w:pPr>
              <w:jc w:val="center"/>
            </w:pPr>
            <w:r>
              <w:rPr>
                <w:color w:val="000000"/>
              </w:rPr>
              <w:t>9,587,902.54</w:t>
            </w:r>
          </w:p>
        </w:tc>
        <w:tc>
          <w:tcPr>
            <w:tcW w:w="1134" w:type="dxa"/>
            <w:vAlign w:val="center"/>
          </w:tcPr>
          <w:p w:rsidR="003663E4" w:rsidRDefault="00FD3F7D">
            <w:pPr>
              <w:jc w:val="center"/>
            </w:pPr>
            <w:r>
              <w:rPr>
                <w:color w:val="000000"/>
              </w:rPr>
              <w:t>-</w:t>
            </w:r>
          </w:p>
        </w:tc>
        <w:tc>
          <w:tcPr>
            <w:tcW w:w="1419" w:type="dxa"/>
            <w:vAlign w:val="center"/>
          </w:tcPr>
          <w:p w:rsidR="003663E4" w:rsidRDefault="00FD3F7D">
            <w:pPr>
              <w:jc w:val="center"/>
            </w:pPr>
            <w:r>
              <w:rPr>
                <w:color w:val="000000"/>
              </w:rPr>
              <w:t>544,872,599.93</w:t>
            </w:r>
          </w:p>
        </w:tc>
        <w:tc>
          <w:tcPr>
            <w:tcW w:w="1130" w:type="dxa"/>
            <w:vAlign w:val="center"/>
          </w:tcPr>
          <w:p w:rsidR="003663E4" w:rsidRDefault="00FD3F7D">
            <w:pPr>
              <w:jc w:val="center"/>
            </w:pPr>
            <w:r>
              <w:rPr>
                <w:color w:val="000000"/>
              </w:rPr>
              <w:t>70.76%</w:t>
            </w:r>
          </w:p>
        </w:tc>
      </w:tr>
      <w:tr w:rsidR="003663E4">
        <w:tc>
          <w:tcPr>
            <w:tcW w:w="993" w:type="dxa"/>
            <w:vMerge/>
          </w:tcPr>
          <w:p w:rsidR="003663E4" w:rsidRDefault="003663E4"/>
        </w:tc>
        <w:tc>
          <w:tcPr>
            <w:tcW w:w="992" w:type="dxa"/>
            <w:vAlign w:val="center"/>
          </w:tcPr>
          <w:p w:rsidR="003663E4" w:rsidRDefault="00FD3F7D">
            <w:pPr>
              <w:jc w:val="center"/>
            </w:pPr>
            <w:r>
              <w:rPr>
                <w:color w:val="000000"/>
              </w:rPr>
              <w:t>5</w:t>
            </w:r>
          </w:p>
        </w:tc>
        <w:tc>
          <w:tcPr>
            <w:tcW w:w="1843" w:type="dxa"/>
            <w:vAlign w:val="center"/>
          </w:tcPr>
          <w:p w:rsidR="003663E4" w:rsidRDefault="00FD3F7D">
            <w:pPr>
              <w:jc w:val="center"/>
            </w:pPr>
            <w:r>
              <w:rPr>
                <w:color w:val="000000"/>
              </w:rPr>
              <w:t>2020/1/1-2020/7/27</w:t>
            </w:r>
          </w:p>
        </w:tc>
        <w:tc>
          <w:tcPr>
            <w:tcW w:w="851" w:type="dxa"/>
            <w:vAlign w:val="center"/>
          </w:tcPr>
          <w:p w:rsidR="003663E4" w:rsidRDefault="00FD3F7D">
            <w:pPr>
              <w:jc w:val="center"/>
            </w:pPr>
            <w:r>
              <w:rPr>
                <w:color w:val="000000"/>
              </w:rPr>
              <w:t>210,178,830.11</w:t>
            </w:r>
          </w:p>
        </w:tc>
        <w:tc>
          <w:tcPr>
            <w:tcW w:w="850" w:type="dxa"/>
            <w:vAlign w:val="center"/>
          </w:tcPr>
          <w:p w:rsidR="003663E4" w:rsidRDefault="00FD3F7D">
            <w:pPr>
              <w:jc w:val="center"/>
            </w:pPr>
            <w:r>
              <w:rPr>
                <w:color w:val="000000"/>
              </w:rPr>
              <w:t>3,984,425.62</w:t>
            </w:r>
          </w:p>
        </w:tc>
        <w:tc>
          <w:tcPr>
            <w:tcW w:w="1134" w:type="dxa"/>
            <w:vAlign w:val="center"/>
          </w:tcPr>
          <w:p w:rsidR="003663E4" w:rsidRDefault="00FD3F7D">
            <w:pPr>
              <w:jc w:val="center"/>
            </w:pPr>
            <w:r>
              <w:rPr>
                <w:color w:val="000000"/>
              </w:rPr>
              <w:t>-</w:t>
            </w:r>
          </w:p>
        </w:tc>
        <w:tc>
          <w:tcPr>
            <w:tcW w:w="1419" w:type="dxa"/>
            <w:vAlign w:val="center"/>
          </w:tcPr>
          <w:p w:rsidR="003663E4" w:rsidRDefault="00FD3F7D">
            <w:pPr>
              <w:jc w:val="center"/>
            </w:pPr>
            <w:r>
              <w:rPr>
                <w:color w:val="000000"/>
              </w:rPr>
              <w:t>214,163,255.73</w:t>
            </w:r>
          </w:p>
        </w:tc>
        <w:tc>
          <w:tcPr>
            <w:tcW w:w="1130" w:type="dxa"/>
            <w:vAlign w:val="center"/>
          </w:tcPr>
          <w:p w:rsidR="003663E4" w:rsidRDefault="00FD3F7D">
            <w:pPr>
              <w:jc w:val="center"/>
            </w:pPr>
            <w:r>
              <w:rPr>
                <w:color w:val="000000"/>
              </w:rPr>
              <w:t>27.81%</w:t>
            </w:r>
          </w:p>
        </w:tc>
      </w:tr>
      <w:tr w:rsidR="003663E4">
        <w:tc>
          <w:tcPr>
            <w:tcW w:w="993" w:type="dxa"/>
          </w:tcPr>
          <w:p w:rsidR="003663E4" w:rsidRDefault="003663E4"/>
          <w:p w:rsidR="003663E4" w:rsidRDefault="00FD3F7D">
            <w:r>
              <w:rPr>
                <w:bCs/>
                <w:color w:val="000000"/>
              </w:rPr>
              <w:t>个人</w:t>
            </w:r>
          </w:p>
        </w:tc>
        <w:tc>
          <w:tcPr>
            <w:tcW w:w="992" w:type="dxa"/>
            <w:vAlign w:val="center"/>
          </w:tcPr>
          <w:p w:rsidR="003663E4" w:rsidRDefault="00FD3F7D">
            <w:pPr>
              <w:jc w:val="center"/>
            </w:pPr>
            <w:r>
              <w:t>1</w:t>
            </w:r>
          </w:p>
        </w:tc>
        <w:tc>
          <w:tcPr>
            <w:tcW w:w="1843" w:type="dxa"/>
            <w:vAlign w:val="center"/>
          </w:tcPr>
          <w:p w:rsidR="003663E4" w:rsidRDefault="00FD3F7D">
            <w:pPr>
              <w:jc w:val="center"/>
            </w:pPr>
            <w:r>
              <w:t>2020/1/1-2020/7/27</w:t>
            </w:r>
          </w:p>
        </w:tc>
        <w:tc>
          <w:tcPr>
            <w:tcW w:w="851" w:type="dxa"/>
            <w:vAlign w:val="center"/>
          </w:tcPr>
          <w:p w:rsidR="003663E4" w:rsidRDefault="00FD3F7D">
            <w:pPr>
              <w:jc w:val="center"/>
            </w:pPr>
            <w:r>
              <w:t>1,053,890.99</w:t>
            </w:r>
          </w:p>
        </w:tc>
        <w:tc>
          <w:tcPr>
            <w:tcW w:w="850" w:type="dxa"/>
            <w:vAlign w:val="center"/>
          </w:tcPr>
          <w:p w:rsidR="003663E4" w:rsidRDefault="00FD3F7D">
            <w:pPr>
              <w:jc w:val="center"/>
            </w:pPr>
            <w:r>
              <w:t>15,345.23</w:t>
            </w:r>
          </w:p>
        </w:tc>
        <w:tc>
          <w:tcPr>
            <w:tcW w:w="1134" w:type="dxa"/>
            <w:vAlign w:val="center"/>
          </w:tcPr>
          <w:p w:rsidR="003663E4" w:rsidRDefault="00FD3F7D">
            <w:pPr>
              <w:jc w:val="center"/>
            </w:pPr>
            <w:r>
              <w:t>-</w:t>
            </w:r>
          </w:p>
        </w:tc>
        <w:tc>
          <w:tcPr>
            <w:tcW w:w="1419" w:type="dxa"/>
            <w:vAlign w:val="center"/>
          </w:tcPr>
          <w:p w:rsidR="003663E4" w:rsidRDefault="00FD3F7D">
            <w:pPr>
              <w:jc w:val="center"/>
            </w:pPr>
            <w:r>
              <w:t>1,069,236.22</w:t>
            </w:r>
          </w:p>
        </w:tc>
        <w:tc>
          <w:tcPr>
            <w:tcW w:w="1130" w:type="dxa"/>
            <w:vAlign w:val="center"/>
          </w:tcPr>
          <w:p w:rsidR="003663E4" w:rsidRDefault="00FD3F7D">
            <w:pPr>
              <w:jc w:val="center"/>
            </w:pPr>
            <w:r>
              <w:t>0.14%</w:t>
            </w:r>
          </w:p>
        </w:tc>
      </w:tr>
      <w:tr w:rsidR="003663E4">
        <w:tc>
          <w:tcPr>
            <w:tcW w:w="9212" w:type="dxa"/>
            <w:gridSpan w:val="8"/>
            <w:shd w:val="clear" w:color="auto" w:fill="auto"/>
            <w:vAlign w:val="center"/>
          </w:tcPr>
          <w:p w:rsidR="003663E4" w:rsidRDefault="00FD3F7D">
            <w:pPr>
              <w:autoSpaceDE w:val="0"/>
              <w:autoSpaceDN w:val="0"/>
              <w:adjustRightInd w:val="0"/>
              <w:jc w:val="center"/>
            </w:pPr>
            <w:r>
              <w:rPr>
                <w:color w:val="000000"/>
              </w:rPr>
              <w:t>产品特有风险</w:t>
            </w:r>
          </w:p>
        </w:tc>
      </w:tr>
      <w:tr w:rsidR="003663E4">
        <w:tc>
          <w:tcPr>
            <w:tcW w:w="9212" w:type="dxa"/>
            <w:gridSpan w:val="8"/>
            <w:shd w:val="clear" w:color="auto" w:fill="auto"/>
            <w:vAlign w:val="center"/>
          </w:tcPr>
          <w:p w:rsidR="003663E4" w:rsidRDefault="00FD3F7D">
            <w:pPr>
              <w:autoSpaceDE w:val="0"/>
              <w:autoSpaceDN w:val="0"/>
              <w:adjustRightInd w:val="0"/>
              <w:jc w:val="left"/>
            </w:pPr>
            <w:r>
              <w:t>本基金本报告期内出现单一投资者持有基金份额比例超过基金总份额</w:t>
            </w:r>
            <w:r>
              <w:t>20%</w:t>
            </w:r>
            <w:r>
              <w:t>的情况。如该类投资者集中赎回，可能会对本基金带来流动性冲击，从而影响基金的投资运作和收益水平。基金管理人将加强流动性管理，防范相关风险，保护持有人利益。</w:t>
            </w:r>
          </w:p>
        </w:tc>
      </w:tr>
    </w:tbl>
    <w:p w:rsidR="003663E4" w:rsidRDefault="00FD3F7D">
      <w:pPr>
        <w:pStyle w:val="1"/>
        <w:keepNext/>
        <w:keepLines/>
        <w:widowControl w:val="0"/>
        <w:spacing w:before="240" w:after="240" w:line="360" w:lineRule="auto"/>
        <w:jc w:val="center"/>
        <w:rPr>
          <w:b/>
          <w:bCs/>
          <w:color w:val="000000"/>
          <w:sz w:val="21"/>
          <w:szCs w:val="21"/>
        </w:rPr>
      </w:pPr>
      <w:bookmarkStart w:id="370" w:name="_Toc331410126"/>
      <w:bookmarkStart w:id="371" w:name="_Toc225500055"/>
      <w:bookmarkStart w:id="372" w:name="_Toc23339448"/>
      <w:bookmarkStart w:id="373" w:name="_Toc17031"/>
      <w:r>
        <w:rPr>
          <w:rFonts w:hint="eastAsia"/>
          <w:b/>
          <w:bCs/>
          <w:color w:val="000000"/>
          <w:sz w:val="21"/>
          <w:szCs w:val="21"/>
        </w:rPr>
        <w:t>§</w:t>
      </w:r>
      <w:r>
        <w:rPr>
          <w:rFonts w:hint="eastAsia"/>
          <w:b/>
          <w:bCs/>
          <w:color w:val="000000"/>
          <w:sz w:val="21"/>
          <w:szCs w:val="21"/>
        </w:rPr>
        <w:t xml:space="preserve">13 </w:t>
      </w:r>
      <w:r>
        <w:rPr>
          <w:rFonts w:hint="eastAsia"/>
          <w:b/>
          <w:bCs/>
          <w:color w:val="000000"/>
          <w:sz w:val="21"/>
          <w:szCs w:val="21"/>
        </w:rPr>
        <w:t>备查文件目录</w:t>
      </w:r>
      <w:bookmarkEnd w:id="370"/>
      <w:bookmarkEnd w:id="371"/>
      <w:bookmarkEnd w:id="372"/>
      <w:bookmarkEnd w:id="373"/>
    </w:p>
    <w:p w:rsidR="003663E4" w:rsidRDefault="00FD3F7D">
      <w:pPr>
        <w:pStyle w:val="2"/>
        <w:spacing w:before="0" w:after="0"/>
        <w:rPr>
          <w:rFonts w:ascii="Times New Roman" w:hAnsi="Times New Roman"/>
          <w:color w:val="000000"/>
          <w:kern w:val="0"/>
          <w:sz w:val="21"/>
          <w:szCs w:val="21"/>
        </w:rPr>
      </w:pPr>
      <w:bookmarkStart w:id="374" w:name="_Toc23339449"/>
      <w:bookmarkStart w:id="375" w:name="_Toc331410127"/>
      <w:bookmarkStart w:id="376" w:name="_Toc17303"/>
      <w:r>
        <w:rPr>
          <w:rFonts w:ascii="Times New Roman" w:hAnsi="Times New Roman" w:hint="eastAsia"/>
          <w:color w:val="000000"/>
          <w:kern w:val="0"/>
          <w:sz w:val="21"/>
          <w:szCs w:val="21"/>
        </w:rPr>
        <w:t xml:space="preserve">13.1 </w:t>
      </w:r>
      <w:r>
        <w:rPr>
          <w:rFonts w:ascii="Times New Roman" w:hAnsi="Times New Roman" w:hint="eastAsia"/>
          <w:color w:val="000000"/>
          <w:kern w:val="0"/>
          <w:sz w:val="21"/>
          <w:szCs w:val="21"/>
        </w:rPr>
        <w:t>备查文件目录</w:t>
      </w:r>
      <w:bookmarkEnd w:id="374"/>
      <w:bookmarkEnd w:id="375"/>
      <w:bookmarkEnd w:id="376"/>
    </w:p>
    <w:p w:rsidR="003663E4" w:rsidRDefault="00FD3F7D">
      <w:pPr>
        <w:spacing w:line="360" w:lineRule="auto"/>
        <w:ind w:firstLineChars="200" w:firstLine="420"/>
        <w:rPr>
          <w:rFonts w:eastAsiaTheme="minorEastAsia"/>
          <w:szCs w:val="21"/>
        </w:rPr>
      </w:pPr>
      <w:r>
        <w:rPr>
          <w:rFonts w:eastAsiaTheme="minorEastAsia"/>
          <w:szCs w:val="21"/>
        </w:rPr>
        <w:t>1</w:t>
      </w:r>
      <w:r>
        <w:rPr>
          <w:rFonts w:eastAsiaTheme="minorEastAsia"/>
          <w:szCs w:val="21"/>
        </w:rPr>
        <w:t>、中国证监会批准交银施罗德理财</w:t>
      </w:r>
      <w:r>
        <w:rPr>
          <w:rFonts w:eastAsiaTheme="minorEastAsia"/>
          <w:szCs w:val="21"/>
        </w:rPr>
        <w:t>60</w:t>
      </w:r>
      <w:r>
        <w:rPr>
          <w:rFonts w:eastAsiaTheme="minorEastAsia"/>
          <w:szCs w:val="21"/>
        </w:rPr>
        <w:t>天债券型证券投资基金募集的文件；</w:t>
      </w:r>
      <w:r>
        <w:rPr>
          <w:rFonts w:eastAsiaTheme="minorEastAsia"/>
          <w:szCs w:val="21"/>
        </w:rPr>
        <w:t xml:space="preserve"> </w:t>
      </w:r>
    </w:p>
    <w:p w:rsidR="003663E4" w:rsidRDefault="00FD3F7D">
      <w:pPr>
        <w:spacing w:line="360" w:lineRule="auto"/>
        <w:ind w:firstLineChars="200" w:firstLine="420"/>
        <w:rPr>
          <w:rFonts w:eastAsiaTheme="minorEastAsia"/>
          <w:szCs w:val="21"/>
        </w:rPr>
      </w:pPr>
      <w:r>
        <w:rPr>
          <w:rFonts w:eastAsiaTheme="minorEastAsia"/>
          <w:szCs w:val="21"/>
        </w:rPr>
        <w:t>2</w:t>
      </w:r>
      <w:r>
        <w:rPr>
          <w:rFonts w:eastAsiaTheme="minorEastAsia"/>
          <w:szCs w:val="21"/>
        </w:rPr>
        <w:t>、《交银施罗德裕惠纯债债券型证券投资基金基金合同》；</w:t>
      </w:r>
      <w:r>
        <w:rPr>
          <w:rFonts w:eastAsiaTheme="minorEastAsia"/>
          <w:szCs w:val="21"/>
        </w:rPr>
        <w:t xml:space="preserve"> </w:t>
      </w:r>
    </w:p>
    <w:p w:rsidR="003663E4" w:rsidRDefault="00FD3F7D">
      <w:pPr>
        <w:spacing w:line="360" w:lineRule="auto"/>
        <w:ind w:firstLineChars="200" w:firstLine="420"/>
        <w:rPr>
          <w:rFonts w:eastAsiaTheme="minorEastAsia"/>
          <w:szCs w:val="21"/>
        </w:rPr>
      </w:pPr>
      <w:r>
        <w:rPr>
          <w:rFonts w:eastAsiaTheme="minorEastAsia"/>
          <w:szCs w:val="21"/>
        </w:rPr>
        <w:t>3</w:t>
      </w:r>
      <w:r>
        <w:rPr>
          <w:rFonts w:eastAsiaTheme="minorEastAsia"/>
          <w:szCs w:val="21"/>
        </w:rPr>
        <w:t>、《交银施罗德裕惠纯债债券型证券投资基金招募说明书》；</w:t>
      </w:r>
      <w:r>
        <w:rPr>
          <w:rFonts w:eastAsiaTheme="minorEastAsia"/>
          <w:szCs w:val="21"/>
        </w:rPr>
        <w:t xml:space="preserve"> </w:t>
      </w:r>
    </w:p>
    <w:p w:rsidR="003663E4" w:rsidRDefault="00FD3F7D">
      <w:pPr>
        <w:spacing w:line="360" w:lineRule="auto"/>
        <w:ind w:firstLineChars="200" w:firstLine="420"/>
        <w:rPr>
          <w:rFonts w:eastAsiaTheme="minorEastAsia"/>
          <w:szCs w:val="21"/>
        </w:rPr>
      </w:pPr>
      <w:r>
        <w:rPr>
          <w:rFonts w:eastAsiaTheme="minorEastAsia"/>
          <w:szCs w:val="21"/>
        </w:rPr>
        <w:t>4</w:t>
      </w:r>
      <w:r>
        <w:rPr>
          <w:rFonts w:eastAsiaTheme="minorEastAsia"/>
          <w:szCs w:val="21"/>
        </w:rPr>
        <w:t>、《交银施罗德裕惠纯债债券型证券投资基金托管协议》；</w:t>
      </w:r>
      <w:r>
        <w:rPr>
          <w:rFonts w:eastAsiaTheme="minorEastAsia"/>
          <w:szCs w:val="21"/>
        </w:rPr>
        <w:t xml:space="preserve"> </w:t>
      </w:r>
    </w:p>
    <w:p w:rsidR="003663E4" w:rsidRDefault="00FD3F7D">
      <w:pPr>
        <w:spacing w:line="360" w:lineRule="auto"/>
        <w:ind w:firstLineChars="200" w:firstLine="420"/>
        <w:rPr>
          <w:rFonts w:eastAsiaTheme="minorEastAsia"/>
          <w:szCs w:val="21"/>
        </w:rPr>
      </w:pPr>
      <w:r>
        <w:rPr>
          <w:rFonts w:eastAsiaTheme="minorEastAsia"/>
          <w:szCs w:val="21"/>
        </w:rPr>
        <w:t>5</w:t>
      </w:r>
      <w:r>
        <w:rPr>
          <w:rFonts w:eastAsiaTheme="minorEastAsia"/>
          <w:szCs w:val="21"/>
        </w:rPr>
        <w:t>、《交银施罗德理财</w:t>
      </w:r>
      <w:r>
        <w:rPr>
          <w:rFonts w:eastAsiaTheme="minorEastAsia"/>
          <w:szCs w:val="21"/>
        </w:rPr>
        <w:t>60</w:t>
      </w:r>
      <w:r>
        <w:rPr>
          <w:rFonts w:eastAsiaTheme="minorEastAsia"/>
          <w:szCs w:val="21"/>
        </w:rPr>
        <w:t>天债券型证券投资基金基金合同》；</w:t>
      </w:r>
      <w:r>
        <w:rPr>
          <w:rFonts w:eastAsiaTheme="minorEastAsia"/>
          <w:szCs w:val="21"/>
        </w:rPr>
        <w:t xml:space="preserve"> </w:t>
      </w:r>
    </w:p>
    <w:p w:rsidR="003663E4" w:rsidRDefault="00FD3F7D">
      <w:pPr>
        <w:spacing w:line="360" w:lineRule="auto"/>
        <w:ind w:firstLineChars="200" w:firstLine="420"/>
        <w:rPr>
          <w:rFonts w:eastAsiaTheme="minorEastAsia"/>
          <w:szCs w:val="21"/>
        </w:rPr>
      </w:pPr>
      <w:r>
        <w:rPr>
          <w:rFonts w:eastAsiaTheme="minorEastAsia"/>
          <w:szCs w:val="21"/>
        </w:rPr>
        <w:t>6</w:t>
      </w:r>
      <w:r>
        <w:rPr>
          <w:rFonts w:eastAsiaTheme="minorEastAsia"/>
          <w:szCs w:val="21"/>
        </w:rPr>
        <w:t>、《交银施罗德理财</w:t>
      </w:r>
      <w:r>
        <w:rPr>
          <w:rFonts w:eastAsiaTheme="minorEastAsia"/>
          <w:szCs w:val="21"/>
        </w:rPr>
        <w:t>60</w:t>
      </w:r>
      <w:r>
        <w:rPr>
          <w:rFonts w:eastAsiaTheme="minorEastAsia"/>
          <w:szCs w:val="21"/>
        </w:rPr>
        <w:t>天债券型证券投资基金招募说明书》；</w:t>
      </w:r>
      <w:r>
        <w:rPr>
          <w:rFonts w:eastAsiaTheme="minorEastAsia"/>
          <w:szCs w:val="21"/>
        </w:rPr>
        <w:t xml:space="preserve"> </w:t>
      </w:r>
    </w:p>
    <w:p w:rsidR="003663E4" w:rsidRDefault="00FD3F7D">
      <w:pPr>
        <w:spacing w:line="360" w:lineRule="auto"/>
        <w:ind w:firstLineChars="200" w:firstLine="420"/>
        <w:rPr>
          <w:rFonts w:eastAsiaTheme="minorEastAsia"/>
          <w:szCs w:val="21"/>
        </w:rPr>
      </w:pPr>
      <w:r>
        <w:rPr>
          <w:rFonts w:eastAsiaTheme="minorEastAsia"/>
          <w:szCs w:val="21"/>
        </w:rPr>
        <w:t>7</w:t>
      </w:r>
      <w:r>
        <w:rPr>
          <w:rFonts w:eastAsiaTheme="minorEastAsia"/>
          <w:szCs w:val="21"/>
        </w:rPr>
        <w:t>、《交银施罗德理财</w:t>
      </w:r>
      <w:r>
        <w:rPr>
          <w:rFonts w:eastAsiaTheme="minorEastAsia"/>
          <w:szCs w:val="21"/>
        </w:rPr>
        <w:t>60</w:t>
      </w:r>
      <w:r>
        <w:rPr>
          <w:rFonts w:eastAsiaTheme="minorEastAsia"/>
          <w:szCs w:val="21"/>
        </w:rPr>
        <w:t>天债券型证券投资基金托管协议》；</w:t>
      </w:r>
      <w:r>
        <w:rPr>
          <w:rFonts w:eastAsiaTheme="minorEastAsia"/>
          <w:szCs w:val="21"/>
        </w:rPr>
        <w:t xml:space="preserve"> </w:t>
      </w:r>
    </w:p>
    <w:p w:rsidR="003663E4" w:rsidRDefault="00FD3F7D">
      <w:pPr>
        <w:spacing w:line="360" w:lineRule="auto"/>
        <w:ind w:firstLineChars="200" w:firstLine="420"/>
        <w:rPr>
          <w:rFonts w:eastAsiaTheme="minorEastAsia"/>
          <w:szCs w:val="21"/>
        </w:rPr>
      </w:pPr>
      <w:r>
        <w:rPr>
          <w:rFonts w:eastAsiaTheme="minorEastAsia"/>
          <w:szCs w:val="21"/>
        </w:rPr>
        <w:t>8</w:t>
      </w:r>
      <w:r>
        <w:rPr>
          <w:rFonts w:eastAsiaTheme="minorEastAsia"/>
          <w:szCs w:val="21"/>
        </w:rPr>
        <w:t>、基金管理人业务资格批件、营业执照；</w:t>
      </w:r>
      <w:r>
        <w:rPr>
          <w:rFonts w:eastAsiaTheme="minorEastAsia"/>
          <w:szCs w:val="21"/>
        </w:rPr>
        <w:t xml:space="preserve"> </w:t>
      </w:r>
    </w:p>
    <w:p w:rsidR="003663E4" w:rsidRDefault="00FD3F7D">
      <w:pPr>
        <w:spacing w:line="360" w:lineRule="auto"/>
        <w:ind w:firstLineChars="200" w:firstLine="420"/>
        <w:rPr>
          <w:rFonts w:eastAsiaTheme="minorEastAsia"/>
          <w:szCs w:val="21"/>
        </w:rPr>
      </w:pPr>
      <w:r>
        <w:rPr>
          <w:rFonts w:eastAsiaTheme="minorEastAsia"/>
          <w:szCs w:val="21"/>
        </w:rPr>
        <w:t>9</w:t>
      </w:r>
      <w:r>
        <w:rPr>
          <w:rFonts w:eastAsiaTheme="minorEastAsia"/>
          <w:szCs w:val="21"/>
        </w:rPr>
        <w:t>、基金托管人业务资格批件、营业执照；</w:t>
      </w:r>
      <w:r>
        <w:rPr>
          <w:rFonts w:eastAsiaTheme="minorEastAsia"/>
          <w:szCs w:val="21"/>
        </w:rPr>
        <w:t xml:space="preserve"> </w:t>
      </w:r>
    </w:p>
    <w:p w:rsidR="003663E4" w:rsidRDefault="00FD3F7D">
      <w:pPr>
        <w:spacing w:line="360" w:lineRule="auto"/>
        <w:ind w:firstLineChars="200" w:firstLine="420"/>
        <w:rPr>
          <w:rFonts w:eastAsiaTheme="minorEastAsia"/>
          <w:szCs w:val="21"/>
        </w:rPr>
      </w:pPr>
      <w:r>
        <w:rPr>
          <w:rFonts w:eastAsiaTheme="minorEastAsia"/>
          <w:szCs w:val="21"/>
        </w:rPr>
        <w:t>10</w:t>
      </w:r>
      <w:r>
        <w:rPr>
          <w:rFonts w:eastAsiaTheme="minorEastAsia"/>
          <w:szCs w:val="21"/>
        </w:rPr>
        <w:t>、关于申请募集交银施罗德理财</w:t>
      </w:r>
      <w:r>
        <w:rPr>
          <w:rFonts w:eastAsiaTheme="minorEastAsia"/>
          <w:szCs w:val="21"/>
        </w:rPr>
        <w:t>60</w:t>
      </w:r>
      <w:r>
        <w:rPr>
          <w:rFonts w:eastAsiaTheme="minorEastAsia"/>
          <w:szCs w:val="21"/>
        </w:rPr>
        <w:t>天债券型证券投资基金之法律意见书；</w:t>
      </w:r>
      <w:r>
        <w:rPr>
          <w:rFonts w:eastAsiaTheme="minorEastAsia"/>
          <w:szCs w:val="21"/>
        </w:rPr>
        <w:t xml:space="preserve"> </w:t>
      </w:r>
    </w:p>
    <w:p w:rsidR="003663E4" w:rsidRDefault="00FD3F7D">
      <w:pPr>
        <w:spacing w:line="360" w:lineRule="auto"/>
        <w:ind w:firstLineChars="200" w:firstLine="420"/>
        <w:rPr>
          <w:rFonts w:eastAsiaTheme="minorEastAsia"/>
          <w:szCs w:val="21"/>
        </w:rPr>
      </w:pPr>
      <w:r>
        <w:rPr>
          <w:rFonts w:eastAsiaTheme="minorEastAsia"/>
          <w:szCs w:val="21"/>
        </w:rPr>
        <w:t>11</w:t>
      </w:r>
      <w:r>
        <w:rPr>
          <w:rFonts w:eastAsiaTheme="minorEastAsia"/>
          <w:szCs w:val="21"/>
        </w:rPr>
        <w:t>、关于修改《交银施罗德理财</w:t>
      </w:r>
      <w:r>
        <w:rPr>
          <w:rFonts w:eastAsiaTheme="minorEastAsia"/>
          <w:szCs w:val="21"/>
        </w:rPr>
        <w:t>60</w:t>
      </w:r>
      <w:r>
        <w:rPr>
          <w:rFonts w:eastAsiaTheme="minorEastAsia"/>
          <w:szCs w:val="21"/>
        </w:rPr>
        <w:t>天债券型证券投资基金基金合同》的法律意见书</w:t>
      </w:r>
    </w:p>
    <w:p w:rsidR="003663E4" w:rsidRDefault="00FD3F7D">
      <w:pPr>
        <w:spacing w:line="360" w:lineRule="auto"/>
        <w:ind w:firstLineChars="200" w:firstLine="420"/>
        <w:rPr>
          <w:rFonts w:eastAsiaTheme="minorEastAsia"/>
          <w:szCs w:val="21"/>
        </w:rPr>
      </w:pPr>
      <w:r>
        <w:rPr>
          <w:rFonts w:eastAsiaTheme="minorEastAsia"/>
          <w:szCs w:val="21"/>
        </w:rPr>
        <w:t>12</w:t>
      </w:r>
      <w:r>
        <w:rPr>
          <w:rFonts w:eastAsiaTheme="minorEastAsia"/>
          <w:szCs w:val="21"/>
        </w:rPr>
        <w:t>、报告期内交银施罗德理财</w:t>
      </w:r>
      <w:r>
        <w:rPr>
          <w:rFonts w:eastAsiaTheme="minorEastAsia"/>
          <w:szCs w:val="21"/>
        </w:rPr>
        <w:t>60</w:t>
      </w:r>
      <w:r>
        <w:rPr>
          <w:rFonts w:eastAsiaTheme="minorEastAsia"/>
          <w:szCs w:val="21"/>
        </w:rPr>
        <w:t>天债</w:t>
      </w:r>
      <w:r>
        <w:rPr>
          <w:rFonts w:eastAsiaTheme="minorEastAsia"/>
          <w:szCs w:val="21"/>
        </w:rPr>
        <w:t>券型证券投资基金、交银施罗德裕惠纯债债券型证券投资基金在指定报刊上各项公告的原稿。</w:t>
      </w:r>
    </w:p>
    <w:p w:rsidR="003663E4" w:rsidRDefault="00FD3F7D">
      <w:pPr>
        <w:pStyle w:val="2"/>
        <w:spacing w:before="0" w:after="0"/>
        <w:rPr>
          <w:rFonts w:ascii="Times New Roman" w:hAnsi="Times New Roman"/>
          <w:color w:val="000000"/>
          <w:kern w:val="0"/>
          <w:sz w:val="21"/>
          <w:szCs w:val="21"/>
        </w:rPr>
      </w:pPr>
      <w:bookmarkStart w:id="377" w:name="_Toc23339450"/>
      <w:bookmarkStart w:id="378" w:name="_Toc331410128"/>
      <w:bookmarkStart w:id="379" w:name="_Toc27869"/>
      <w:r>
        <w:rPr>
          <w:rFonts w:ascii="Times New Roman" w:hAnsi="Times New Roman" w:hint="eastAsia"/>
          <w:color w:val="000000"/>
          <w:kern w:val="0"/>
          <w:sz w:val="21"/>
          <w:szCs w:val="21"/>
        </w:rPr>
        <w:t xml:space="preserve">13.2 </w:t>
      </w:r>
      <w:r>
        <w:rPr>
          <w:rFonts w:ascii="Times New Roman" w:hAnsi="Times New Roman" w:hint="eastAsia"/>
          <w:color w:val="000000"/>
          <w:kern w:val="0"/>
          <w:sz w:val="21"/>
          <w:szCs w:val="21"/>
        </w:rPr>
        <w:t>存放地点</w:t>
      </w:r>
      <w:bookmarkEnd w:id="377"/>
      <w:bookmarkEnd w:id="378"/>
      <w:bookmarkEnd w:id="379"/>
    </w:p>
    <w:p w:rsidR="003663E4" w:rsidRDefault="00FD3F7D">
      <w:pPr>
        <w:spacing w:line="360" w:lineRule="auto"/>
        <w:ind w:firstLineChars="200" w:firstLine="420"/>
        <w:rPr>
          <w:rFonts w:eastAsiaTheme="minorEastAsia"/>
          <w:szCs w:val="21"/>
        </w:rPr>
      </w:pPr>
      <w:r>
        <w:rPr>
          <w:rFonts w:eastAsiaTheme="minorEastAsia"/>
          <w:szCs w:val="21"/>
        </w:rPr>
        <w:t>备查文件存放于基金管理人的办公场所。</w:t>
      </w:r>
    </w:p>
    <w:p w:rsidR="003663E4" w:rsidRDefault="00FD3F7D">
      <w:pPr>
        <w:pStyle w:val="2"/>
        <w:spacing w:before="0" w:after="0"/>
        <w:rPr>
          <w:rFonts w:ascii="Times New Roman" w:hAnsi="Times New Roman"/>
          <w:color w:val="000000"/>
          <w:kern w:val="0"/>
          <w:sz w:val="21"/>
          <w:szCs w:val="21"/>
        </w:rPr>
      </w:pPr>
      <w:bookmarkStart w:id="380" w:name="_Toc23339451"/>
      <w:bookmarkStart w:id="381" w:name="_Toc331410129"/>
      <w:bookmarkStart w:id="382" w:name="_Toc27996"/>
      <w:r>
        <w:rPr>
          <w:rFonts w:ascii="Times New Roman" w:hAnsi="Times New Roman" w:hint="eastAsia"/>
          <w:color w:val="000000"/>
          <w:kern w:val="0"/>
          <w:sz w:val="21"/>
          <w:szCs w:val="21"/>
        </w:rPr>
        <w:t xml:space="preserve">13.3 </w:t>
      </w:r>
      <w:r>
        <w:rPr>
          <w:rFonts w:ascii="Times New Roman" w:hAnsi="Times New Roman" w:hint="eastAsia"/>
          <w:color w:val="000000"/>
          <w:kern w:val="0"/>
          <w:sz w:val="21"/>
          <w:szCs w:val="21"/>
        </w:rPr>
        <w:t>查阅方式</w:t>
      </w:r>
      <w:bookmarkEnd w:id="380"/>
      <w:bookmarkEnd w:id="381"/>
      <w:bookmarkEnd w:id="382"/>
    </w:p>
    <w:p w:rsidR="003663E4" w:rsidRDefault="00FD3F7D">
      <w:pPr>
        <w:spacing w:line="360" w:lineRule="auto"/>
        <w:ind w:firstLineChars="200" w:firstLine="420"/>
        <w:rPr>
          <w:rFonts w:eastAsiaTheme="minorEastAsia"/>
          <w:szCs w:val="21"/>
        </w:rPr>
      </w:pPr>
      <w:r>
        <w:rPr>
          <w:rFonts w:eastAsiaTheme="minorEastAsia"/>
          <w:szCs w:val="21"/>
        </w:rPr>
        <w:t>投资者可在办公时间内至基金管理人的办公场所免费查阅备查文件，或者登录基金管理人的网站</w:t>
      </w:r>
      <w:r>
        <w:rPr>
          <w:rFonts w:eastAsiaTheme="minorEastAsia"/>
          <w:szCs w:val="21"/>
        </w:rPr>
        <w:t>(www.fund001.com)</w:t>
      </w:r>
      <w:r>
        <w:rPr>
          <w:rFonts w:eastAsiaTheme="minorEastAsia"/>
          <w:szCs w:val="21"/>
        </w:rPr>
        <w:t>查阅。在支付工本费后，投资者可在合理时间内取得上述文件的复制件或复印件。</w:t>
      </w:r>
      <w:r>
        <w:rPr>
          <w:rFonts w:eastAsiaTheme="minorEastAsia"/>
          <w:szCs w:val="21"/>
        </w:rPr>
        <w:t xml:space="preserve"> </w:t>
      </w:r>
    </w:p>
    <w:p w:rsidR="003663E4" w:rsidRDefault="00FD3F7D">
      <w:pPr>
        <w:spacing w:line="360" w:lineRule="auto"/>
        <w:ind w:firstLineChars="200" w:firstLine="420"/>
        <w:rPr>
          <w:rFonts w:eastAsiaTheme="minorEastAsia"/>
          <w:szCs w:val="21"/>
        </w:rPr>
      </w:pPr>
      <w:r>
        <w:rPr>
          <w:rFonts w:eastAsiaTheme="minorEastAsia"/>
          <w:szCs w:val="21"/>
        </w:rPr>
        <w:t>投资者对本报告书如有疑问，可咨询本基金管理人交银施罗德基金管理有限公司。本公司客户服务中心电话：</w:t>
      </w:r>
      <w:r>
        <w:rPr>
          <w:rFonts w:eastAsiaTheme="minorEastAsia"/>
          <w:szCs w:val="21"/>
        </w:rPr>
        <w:t>400-700-5000</w:t>
      </w:r>
      <w:r>
        <w:rPr>
          <w:rFonts w:eastAsiaTheme="minorEastAsia"/>
          <w:szCs w:val="21"/>
        </w:rPr>
        <w:t>（免长途话费），</w:t>
      </w:r>
      <w:r>
        <w:rPr>
          <w:rFonts w:eastAsiaTheme="minorEastAsia"/>
          <w:szCs w:val="21"/>
        </w:rPr>
        <w:t>021-61055000</w:t>
      </w:r>
      <w:r>
        <w:rPr>
          <w:rFonts w:eastAsiaTheme="minorEastAsia"/>
          <w:szCs w:val="21"/>
        </w:rPr>
        <w:t>，电子邮件：</w:t>
      </w:r>
      <w:r>
        <w:rPr>
          <w:rFonts w:eastAsiaTheme="minorEastAsia"/>
          <w:szCs w:val="21"/>
        </w:rPr>
        <w:t>services@jysld.com</w:t>
      </w:r>
      <w:r>
        <w:rPr>
          <w:rFonts w:eastAsiaTheme="minorEastAsia"/>
          <w:szCs w:val="21"/>
        </w:rPr>
        <w:t>。</w:t>
      </w:r>
    </w:p>
    <w:p w:rsidR="003663E4" w:rsidRDefault="003663E4">
      <w:pPr>
        <w:spacing w:line="360" w:lineRule="auto"/>
        <w:ind w:firstLineChars="150" w:firstLine="315"/>
        <w:rPr>
          <w:rFonts w:asciiTheme="minorEastAsia" w:eastAsiaTheme="minorEastAsia" w:hAnsiTheme="minorEastAsia"/>
          <w:bCs/>
          <w:szCs w:val="21"/>
        </w:rPr>
      </w:pPr>
    </w:p>
    <w:p w:rsidR="003663E4" w:rsidRDefault="003663E4">
      <w:pPr>
        <w:spacing w:line="360" w:lineRule="auto"/>
        <w:ind w:firstLineChars="150" w:firstLine="315"/>
        <w:rPr>
          <w:rFonts w:asciiTheme="minorEastAsia" w:eastAsiaTheme="minorEastAsia" w:hAnsiTheme="minorEastAsia"/>
          <w:bCs/>
          <w:szCs w:val="21"/>
        </w:rPr>
      </w:pPr>
    </w:p>
    <w:p w:rsidR="003663E4" w:rsidRDefault="003663E4">
      <w:pPr>
        <w:spacing w:line="360" w:lineRule="auto"/>
        <w:ind w:firstLineChars="150" w:firstLine="315"/>
        <w:rPr>
          <w:rFonts w:asciiTheme="minorEastAsia" w:eastAsiaTheme="minorEastAsia" w:hAnsiTheme="minorEastAsia"/>
          <w:bCs/>
          <w:szCs w:val="21"/>
        </w:rPr>
      </w:pPr>
    </w:p>
    <w:p w:rsidR="003663E4" w:rsidRDefault="003663E4">
      <w:pPr>
        <w:spacing w:line="360" w:lineRule="auto"/>
        <w:ind w:firstLineChars="150" w:firstLine="315"/>
        <w:rPr>
          <w:rFonts w:asciiTheme="minorEastAsia" w:eastAsiaTheme="minorEastAsia" w:hAnsiTheme="minorEastAsia"/>
          <w:bCs/>
          <w:szCs w:val="21"/>
        </w:rPr>
      </w:pPr>
    </w:p>
    <w:p w:rsidR="003663E4" w:rsidRDefault="003663E4">
      <w:pPr>
        <w:spacing w:line="360" w:lineRule="auto"/>
        <w:ind w:firstLineChars="150" w:firstLine="315"/>
        <w:rPr>
          <w:rFonts w:asciiTheme="minorEastAsia" w:eastAsiaTheme="minorEastAsia" w:hAnsiTheme="minorEastAsia"/>
          <w:bCs/>
          <w:szCs w:val="21"/>
        </w:rPr>
      </w:pPr>
    </w:p>
    <w:p w:rsidR="003663E4" w:rsidRDefault="003663E4">
      <w:pPr>
        <w:spacing w:line="360" w:lineRule="auto"/>
        <w:ind w:firstLineChars="150" w:firstLine="315"/>
        <w:rPr>
          <w:rFonts w:asciiTheme="minorEastAsia" w:eastAsiaTheme="minorEastAsia" w:hAnsiTheme="minorEastAsia"/>
          <w:bCs/>
          <w:szCs w:val="21"/>
        </w:rPr>
      </w:pPr>
    </w:p>
    <w:p w:rsidR="003663E4" w:rsidRDefault="003663E4">
      <w:pPr>
        <w:spacing w:line="360" w:lineRule="auto"/>
        <w:ind w:firstLineChars="150" w:firstLine="315"/>
        <w:rPr>
          <w:rFonts w:asciiTheme="minorEastAsia" w:eastAsiaTheme="minorEastAsia" w:hAnsiTheme="minorEastAsia"/>
          <w:bCs/>
          <w:szCs w:val="21"/>
        </w:rPr>
      </w:pPr>
    </w:p>
    <w:p w:rsidR="003663E4" w:rsidRDefault="00FD3F7D">
      <w:pPr>
        <w:spacing w:line="360" w:lineRule="auto"/>
        <w:ind w:left="839"/>
        <w:jc w:val="right"/>
        <w:rPr>
          <w:rFonts w:asciiTheme="minorEastAsia" w:eastAsiaTheme="minorEastAsia" w:hAnsiTheme="minorEastAsia"/>
          <w:b/>
          <w:bCs/>
          <w:szCs w:val="21"/>
        </w:rPr>
      </w:pPr>
      <w:r>
        <w:rPr>
          <w:rFonts w:asciiTheme="minorEastAsia" w:eastAsiaTheme="minorEastAsia" w:hAnsiTheme="minorEastAsia" w:cs="宋体" w:hint="eastAsia"/>
          <w:b/>
          <w:bCs/>
          <w:szCs w:val="21"/>
        </w:rPr>
        <w:t>交银施罗德基金管理有限公司</w:t>
      </w:r>
    </w:p>
    <w:p w:rsidR="003663E4" w:rsidRDefault="00FD3F7D">
      <w:pPr>
        <w:autoSpaceDE w:val="0"/>
        <w:autoSpaceDN w:val="0"/>
        <w:adjustRightInd w:val="0"/>
        <w:spacing w:line="360" w:lineRule="auto"/>
        <w:jc w:val="right"/>
        <w:rPr>
          <w:rFonts w:asciiTheme="minorEastAsia" w:eastAsiaTheme="minorEastAsia" w:hAnsiTheme="minorEastAsia"/>
          <w:szCs w:val="21"/>
        </w:rPr>
      </w:pPr>
      <w:r>
        <w:rPr>
          <w:rFonts w:asciiTheme="minorEastAsia" w:eastAsiaTheme="minorEastAsia" w:hAnsiTheme="minorEastAsia"/>
          <w:b/>
          <w:szCs w:val="21"/>
        </w:rPr>
        <w:t>二〇二一年三月三十日</w:t>
      </w:r>
    </w:p>
    <w:sectPr w:rsidR="003663E4">
      <w:footerReference w:type="even" r:id="rId15"/>
      <w:footerReference w:type="default" r:id="rId16"/>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D3F7D">
      <w:r>
        <w:separator/>
      </w:r>
    </w:p>
  </w:endnote>
  <w:endnote w:type="continuationSeparator" w:id="0">
    <w:p w:rsidR="00000000" w:rsidRDefault="00FD3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Malgun Gothic Semilight"/>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3E4" w:rsidRDefault="00FD3F7D">
    <w:pPr>
      <w:pStyle w:val="af2"/>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3663E4" w:rsidRDefault="003663E4">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3E4" w:rsidRDefault="00FD3F7D">
    <w:pPr>
      <w:pStyle w:val="af2"/>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84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noProof/>
        <w:kern w:val="0"/>
        <w:szCs w:val="21"/>
      </w:rPr>
      <w:t>92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D3F7D">
      <w:r>
        <w:separator/>
      </w:r>
    </w:p>
  </w:footnote>
  <w:footnote w:type="continuationSeparator" w:id="0">
    <w:p w:rsidR="00000000" w:rsidRDefault="00FD3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3E4" w:rsidRDefault="00FD3F7D">
    <w:pPr>
      <w:pStyle w:val="af4"/>
      <w:pBdr>
        <w:bottom w:val="single" w:sz="6" w:space="0" w:color="auto"/>
      </w:pBdr>
      <w:jc w:val="right"/>
    </w:pPr>
    <w:r>
      <w:rPr>
        <w:rFonts w:hint="eastAsia"/>
      </w:rPr>
      <w:t>交银施罗德裕惠纯债债券型证券投资基金</w:t>
    </w:r>
    <w:r>
      <w:rPr>
        <w:rFonts w:hint="eastAsia"/>
      </w:rPr>
      <w:t>(</w:t>
    </w:r>
    <w:r>
      <w:rPr>
        <w:rFonts w:hint="eastAsia"/>
      </w:rPr>
      <w:t>原交银施罗德理财</w:t>
    </w:r>
    <w:r>
      <w:rPr>
        <w:rFonts w:hint="eastAsia"/>
      </w:rPr>
      <w:t>60</w:t>
    </w:r>
    <w:r>
      <w:rPr>
        <w:rFonts w:hint="eastAsia"/>
      </w:rPr>
      <w:t>天债券型证券投资基金转型</w:t>
    </w:r>
    <w:r>
      <w:rPr>
        <w:rFonts w:hint="eastAsia"/>
      </w:rPr>
      <w:t>)2020</w:t>
    </w:r>
    <w:r>
      <w:rPr>
        <w:rFonts w:hint="eastAsia"/>
      </w:rPr>
      <w:t>年年度报告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EBD"/>
    <w:rsid w:val="00001099"/>
    <w:rsid w:val="000019B6"/>
    <w:rsid w:val="00001B39"/>
    <w:rsid w:val="00001F77"/>
    <w:rsid w:val="00002599"/>
    <w:rsid w:val="00002644"/>
    <w:rsid w:val="00003577"/>
    <w:rsid w:val="00003C43"/>
    <w:rsid w:val="0000403B"/>
    <w:rsid w:val="00004337"/>
    <w:rsid w:val="00004574"/>
    <w:rsid w:val="00005172"/>
    <w:rsid w:val="0000551D"/>
    <w:rsid w:val="000057BC"/>
    <w:rsid w:val="00005911"/>
    <w:rsid w:val="00005BA1"/>
    <w:rsid w:val="00006632"/>
    <w:rsid w:val="000068FA"/>
    <w:rsid w:val="00007864"/>
    <w:rsid w:val="000102A7"/>
    <w:rsid w:val="000108F8"/>
    <w:rsid w:val="00010918"/>
    <w:rsid w:val="00010A83"/>
    <w:rsid w:val="00010A8E"/>
    <w:rsid w:val="00010AC3"/>
    <w:rsid w:val="00010C1F"/>
    <w:rsid w:val="00010F11"/>
    <w:rsid w:val="00011081"/>
    <w:rsid w:val="00011EB5"/>
    <w:rsid w:val="0001280C"/>
    <w:rsid w:val="00013CAE"/>
    <w:rsid w:val="00013DC3"/>
    <w:rsid w:val="000162AF"/>
    <w:rsid w:val="000163FA"/>
    <w:rsid w:val="000173D1"/>
    <w:rsid w:val="00017581"/>
    <w:rsid w:val="0001767C"/>
    <w:rsid w:val="000176E8"/>
    <w:rsid w:val="00020583"/>
    <w:rsid w:val="00020BB8"/>
    <w:rsid w:val="0002112D"/>
    <w:rsid w:val="00021813"/>
    <w:rsid w:val="00021BC9"/>
    <w:rsid w:val="00021DD4"/>
    <w:rsid w:val="000221FE"/>
    <w:rsid w:val="0002281A"/>
    <w:rsid w:val="0002381A"/>
    <w:rsid w:val="00023BE7"/>
    <w:rsid w:val="000242E1"/>
    <w:rsid w:val="0002453B"/>
    <w:rsid w:val="00024C15"/>
    <w:rsid w:val="00024C62"/>
    <w:rsid w:val="00024CA0"/>
    <w:rsid w:val="00024F04"/>
    <w:rsid w:val="0002542D"/>
    <w:rsid w:val="00026AFD"/>
    <w:rsid w:val="000272EE"/>
    <w:rsid w:val="00027337"/>
    <w:rsid w:val="000274FE"/>
    <w:rsid w:val="000276AF"/>
    <w:rsid w:val="000276C9"/>
    <w:rsid w:val="0003080F"/>
    <w:rsid w:val="00031987"/>
    <w:rsid w:val="0003228A"/>
    <w:rsid w:val="000322D5"/>
    <w:rsid w:val="0003271C"/>
    <w:rsid w:val="000327EB"/>
    <w:rsid w:val="00032853"/>
    <w:rsid w:val="00032ADD"/>
    <w:rsid w:val="00032FE1"/>
    <w:rsid w:val="000331EA"/>
    <w:rsid w:val="000337A0"/>
    <w:rsid w:val="00033EC1"/>
    <w:rsid w:val="0003401E"/>
    <w:rsid w:val="0003459B"/>
    <w:rsid w:val="00034BA5"/>
    <w:rsid w:val="000358FE"/>
    <w:rsid w:val="00035C12"/>
    <w:rsid w:val="00035C54"/>
    <w:rsid w:val="000363DB"/>
    <w:rsid w:val="00037267"/>
    <w:rsid w:val="00037741"/>
    <w:rsid w:val="000378BC"/>
    <w:rsid w:val="00037CF2"/>
    <w:rsid w:val="00037FCF"/>
    <w:rsid w:val="00040F16"/>
    <w:rsid w:val="000415E6"/>
    <w:rsid w:val="00041BC8"/>
    <w:rsid w:val="00041CE7"/>
    <w:rsid w:val="000421B8"/>
    <w:rsid w:val="000429DF"/>
    <w:rsid w:val="00042AAD"/>
    <w:rsid w:val="000430CA"/>
    <w:rsid w:val="00043218"/>
    <w:rsid w:val="000432EA"/>
    <w:rsid w:val="0004381B"/>
    <w:rsid w:val="00043ABF"/>
    <w:rsid w:val="00044158"/>
    <w:rsid w:val="000445E4"/>
    <w:rsid w:val="000469B8"/>
    <w:rsid w:val="000471B4"/>
    <w:rsid w:val="0004775A"/>
    <w:rsid w:val="00050260"/>
    <w:rsid w:val="000510AB"/>
    <w:rsid w:val="000514E0"/>
    <w:rsid w:val="00052F4A"/>
    <w:rsid w:val="0005346A"/>
    <w:rsid w:val="000534CD"/>
    <w:rsid w:val="00053EED"/>
    <w:rsid w:val="00054067"/>
    <w:rsid w:val="0005448A"/>
    <w:rsid w:val="00055AF1"/>
    <w:rsid w:val="00055CEF"/>
    <w:rsid w:val="000573B5"/>
    <w:rsid w:val="00060597"/>
    <w:rsid w:val="00060A2C"/>
    <w:rsid w:val="00060CB4"/>
    <w:rsid w:val="00061167"/>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CD1"/>
    <w:rsid w:val="00071022"/>
    <w:rsid w:val="000716BB"/>
    <w:rsid w:val="0007171B"/>
    <w:rsid w:val="000717A1"/>
    <w:rsid w:val="000718C5"/>
    <w:rsid w:val="00071E39"/>
    <w:rsid w:val="00072DE0"/>
    <w:rsid w:val="00073DB1"/>
    <w:rsid w:val="00073F87"/>
    <w:rsid w:val="00074968"/>
    <w:rsid w:val="00076397"/>
    <w:rsid w:val="000764CB"/>
    <w:rsid w:val="00076CC5"/>
    <w:rsid w:val="000801F4"/>
    <w:rsid w:val="00080423"/>
    <w:rsid w:val="0008141B"/>
    <w:rsid w:val="00081582"/>
    <w:rsid w:val="00081A3D"/>
    <w:rsid w:val="00081D05"/>
    <w:rsid w:val="00081F3F"/>
    <w:rsid w:val="0008226A"/>
    <w:rsid w:val="00082F45"/>
    <w:rsid w:val="00083BAF"/>
    <w:rsid w:val="00084ADE"/>
    <w:rsid w:val="0008506D"/>
    <w:rsid w:val="00085F3E"/>
    <w:rsid w:val="000861D6"/>
    <w:rsid w:val="0008624A"/>
    <w:rsid w:val="000863CA"/>
    <w:rsid w:val="00086622"/>
    <w:rsid w:val="000866EC"/>
    <w:rsid w:val="00087011"/>
    <w:rsid w:val="000874BC"/>
    <w:rsid w:val="00087CF7"/>
    <w:rsid w:val="00087D8D"/>
    <w:rsid w:val="0009000C"/>
    <w:rsid w:val="000902FF"/>
    <w:rsid w:val="000908ED"/>
    <w:rsid w:val="0009091B"/>
    <w:rsid w:val="0009142E"/>
    <w:rsid w:val="000917D5"/>
    <w:rsid w:val="000919B7"/>
    <w:rsid w:val="00094876"/>
    <w:rsid w:val="00094FB5"/>
    <w:rsid w:val="000951F7"/>
    <w:rsid w:val="00095912"/>
    <w:rsid w:val="00095CE0"/>
    <w:rsid w:val="00096933"/>
    <w:rsid w:val="00096995"/>
    <w:rsid w:val="00096B18"/>
    <w:rsid w:val="00097230"/>
    <w:rsid w:val="000A0B69"/>
    <w:rsid w:val="000A0BCF"/>
    <w:rsid w:val="000A1448"/>
    <w:rsid w:val="000A1B30"/>
    <w:rsid w:val="000A1BD6"/>
    <w:rsid w:val="000A1BFB"/>
    <w:rsid w:val="000A3022"/>
    <w:rsid w:val="000A31FC"/>
    <w:rsid w:val="000A38DE"/>
    <w:rsid w:val="000A457E"/>
    <w:rsid w:val="000A4672"/>
    <w:rsid w:val="000A4F15"/>
    <w:rsid w:val="000A4FEF"/>
    <w:rsid w:val="000A53FD"/>
    <w:rsid w:val="000A549A"/>
    <w:rsid w:val="000A578A"/>
    <w:rsid w:val="000A6038"/>
    <w:rsid w:val="000A72F2"/>
    <w:rsid w:val="000A7402"/>
    <w:rsid w:val="000A7996"/>
    <w:rsid w:val="000B0C56"/>
    <w:rsid w:val="000B1FF6"/>
    <w:rsid w:val="000B27A8"/>
    <w:rsid w:val="000B2B57"/>
    <w:rsid w:val="000B2C8D"/>
    <w:rsid w:val="000B36CC"/>
    <w:rsid w:val="000B37B4"/>
    <w:rsid w:val="000B3D18"/>
    <w:rsid w:val="000B3E43"/>
    <w:rsid w:val="000B417C"/>
    <w:rsid w:val="000B4365"/>
    <w:rsid w:val="000B4BB2"/>
    <w:rsid w:val="000B5CC0"/>
    <w:rsid w:val="000C01F9"/>
    <w:rsid w:val="000C0871"/>
    <w:rsid w:val="000C0CA5"/>
    <w:rsid w:val="000C0F55"/>
    <w:rsid w:val="000C127D"/>
    <w:rsid w:val="000C15BE"/>
    <w:rsid w:val="000C1723"/>
    <w:rsid w:val="000C1B20"/>
    <w:rsid w:val="000C224F"/>
    <w:rsid w:val="000C2333"/>
    <w:rsid w:val="000C3350"/>
    <w:rsid w:val="000C39E8"/>
    <w:rsid w:val="000C3FD9"/>
    <w:rsid w:val="000C4107"/>
    <w:rsid w:val="000C45E7"/>
    <w:rsid w:val="000C45F5"/>
    <w:rsid w:val="000C5E98"/>
    <w:rsid w:val="000C698D"/>
    <w:rsid w:val="000C705C"/>
    <w:rsid w:val="000C7AE4"/>
    <w:rsid w:val="000D01F4"/>
    <w:rsid w:val="000D0B89"/>
    <w:rsid w:val="000D1519"/>
    <w:rsid w:val="000D2491"/>
    <w:rsid w:val="000D24F0"/>
    <w:rsid w:val="000D3145"/>
    <w:rsid w:val="000D36D1"/>
    <w:rsid w:val="000D3F95"/>
    <w:rsid w:val="000D4AAD"/>
    <w:rsid w:val="000D52DC"/>
    <w:rsid w:val="000D5971"/>
    <w:rsid w:val="000D6054"/>
    <w:rsid w:val="000D619B"/>
    <w:rsid w:val="000D77A6"/>
    <w:rsid w:val="000D788B"/>
    <w:rsid w:val="000E34ED"/>
    <w:rsid w:val="000E4456"/>
    <w:rsid w:val="000E5776"/>
    <w:rsid w:val="000E6184"/>
    <w:rsid w:val="000E67FE"/>
    <w:rsid w:val="000E70E3"/>
    <w:rsid w:val="000E7712"/>
    <w:rsid w:val="000F0927"/>
    <w:rsid w:val="000F0C0A"/>
    <w:rsid w:val="000F14E1"/>
    <w:rsid w:val="000F175F"/>
    <w:rsid w:val="000F17D1"/>
    <w:rsid w:val="000F1F86"/>
    <w:rsid w:val="000F27B9"/>
    <w:rsid w:val="000F2C75"/>
    <w:rsid w:val="000F3506"/>
    <w:rsid w:val="000F440F"/>
    <w:rsid w:val="000F593E"/>
    <w:rsid w:val="000F60F3"/>
    <w:rsid w:val="000F60FF"/>
    <w:rsid w:val="000F635F"/>
    <w:rsid w:val="000F6BFA"/>
    <w:rsid w:val="000F6C61"/>
    <w:rsid w:val="000F7DAB"/>
    <w:rsid w:val="001005F3"/>
    <w:rsid w:val="00100A59"/>
    <w:rsid w:val="00100C12"/>
    <w:rsid w:val="001013A8"/>
    <w:rsid w:val="001013C3"/>
    <w:rsid w:val="00102CC8"/>
    <w:rsid w:val="001030B5"/>
    <w:rsid w:val="0010352B"/>
    <w:rsid w:val="001049B6"/>
    <w:rsid w:val="00104DE3"/>
    <w:rsid w:val="001051C6"/>
    <w:rsid w:val="0010577B"/>
    <w:rsid w:val="00105C9C"/>
    <w:rsid w:val="001069ED"/>
    <w:rsid w:val="00106C1F"/>
    <w:rsid w:val="001074A3"/>
    <w:rsid w:val="00107CA8"/>
    <w:rsid w:val="0011115A"/>
    <w:rsid w:val="001116BA"/>
    <w:rsid w:val="0011177A"/>
    <w:rsid w:val="0011179E"/>
    <w:rsid w:val="00111C71"/>
    <w:rsid w:val="00112BB2"/>
    <w:rsid w:val="001141C0"/>
    <w:rsid w:val="001146B2"/>
    <w:rsid w:val="00114CF6"/>
    <w:rsid w:val="00114E25"/>
    <w:rsid w:val="00115520"/>
    <w:rsid w:val="001169C1"/>
    <w:rsid w:val="00116E31"/>
    <w:rsid w:val="00120825"/>
    <w:rsid w:val="0012088C"/>
    <w:rsid w:val="00120993"/>
    <w:rsid w:val="00120E14"/>
    <w:rsid w:val="00120EED"/>
    <w:rsid w:val="00120F47"/>
    <w:rsid w:val="0012104D"/>
    <w:rsid w:val="001212B4"/>
    <w:rsid w:val="001224BE"/>
    <w:rsid w:val="0012304E"/>
    <w:rsid w:val="001239C8"/>
    <w:rsid w:val="00123A56"/>
    <w:rsid w:val="00124420"/>
    <w:rsid w:val="001248EF"/>
    <w:rsid w:val="00124A23"/>
    <w:rsid w:val="00125489"/>
    <w:rsid w:val="001257C7"/>
    <w:rsid w:val="00126502"/>
    <w:rsid w:val="00126AF2"/>
    <w:rsid w:val="00126DCD"/>
    <w:rsid w:val="00126DDF"/>
    <w:rsid w:val="00126E20"/>
    <w:rsid w:val="001270BF"/>
    <w:rsid w:val="00127BAC"/>
    <w:rsid w:val="00127FF5"/>
    <w:rsid w:val="001310A4"/>
    <w:rsid w:val="0013144F"/>
    <w:rsid w:val="00131D38"/>
    <w:rsid w:val="00131EC2"/>
    <w:rsid w:val="00132E82"/>
    <w:rsid w:val="0013374F"/>
    <w:rsid w:val="001340F3"/>
    <w:rsid w:val="00135467"/>
    <w:rsid w:val="0013548F"/>
    <w:rsid w:val="001364D3"/>
    <w:rsid w:val="001366C4"/>
    <w:rsid w:val="0013686A"/>
    <w:rsid w:val="0013718B"/>
    <w:rsid w:val="00137703"/>
    <w:rsid w:val="00137BB5"/>
    <w:rsid w:val="00137BB9"/>
    <w:rsid w:val="00137D50"/>
    <w:rsid w:val="00140036"/>
    <w:rsid w:val="00140038"/>
    <w:rsid w:val="00140517"/>
    <w:rsid w:val="001415E5"/>
    <w:rsid w:val="00142280"/>
    <w:rsid w:val="0014241E"/>
    <w:rsid w:val="001424C6"/>
    <w:rsid w:val="00142A56"/>
    <w:rsid w:val="001432A7"/>
    <w:rsid w:val="00143BE5"/>
    <w:rsid w:val="00144944"/>
    <w:rsid w:val="00144AAD"/>
    <w:rsid w:val="00144DF5"/>
    <w:rsid w:val="001455C7"/>
    <w:rsid w:val="00145A97"/>
    <w:rsid w:val="00146485"/>
    <w:rsid w:val="00146A28"/>
    <w:rsid w:val="00146CD7"/>
    <w:rsid w:val="00146ED0"/>
    <w:rsid w:val="00147492"/>
    <w:rsid w:val="00147D41"/>
    <w:rsid w:val="0015080E"/>
    <w:rsid w:val="00150AD6"/>
    <w:rsid w:val="0015173F"/>
    <w:rsid w:val="00151B23"/>
    <w:rsid w:val="00151D13"/>
    <w:rsid w:val="00151EE7"/>
    <w:rsid w:val="00152B88"/>
    <w:rsid w:val="001535AE"/>
    <w:rsid w:val="00153B40"/>
    <w:rsid w:val="00153BCF"/>
    <w:rsid w:val="00154ADA"/>
    <w:rsid w:val="00154B06"/>
    <w:rsid w:val="00154B08"/>
    <w:rsid w:val="0015531A"/>
    <w:rsid w:val="00155480"/>
    <w:rsid w:val="00156E9B"/>
    <w:rsid w:val="00157418"/>
    <w:rsid w:val="00157B5A"/>
    <w:rsid w:val="0016050B"/>
    <w:rsid w:val="001618D4"/>
    <w:rsid w:val="00161E5F"/>
    <w:rsid w:val="0016380C"/>
    <w:rsid w:val="00163816"/>
    <w:rsid w:val="00163B27"/>
    <w:rsid w:val="00163C3F"/>
    <w:rsid w:val="00163C67"/>
    <w:rsid w:val="0016425E"/>
    <w:rsid w:val="00164BF7"/>
    <w:rsid w:val="00165317"/>
    <w:rsid w:val="001657AB"/>
    <w:rsid w:val="0017073D"/>
    <w:rsid w:val="00170D38"/>
    <w:rsid w:val="00171484"/>
    <w:rsid w:val="00171BAD"/>
    <w:rsid w:val="00171F2C"/>
    <w:rsid w:val="001725F1"/>
    <w:rsid w:val="00172837"/>
    <w:rsid w:val="00172A27"/>
    <w:rsid w:val="00172A52"/>
    <w:rsid w:val="00173AF1"/>
    <w:rsid w:val="001744B4"/>
    <w:rsid w:val="00174910"/>
    <w:rsid w:val="001751EF"/>
    <w:rsid w:val="001756A1"/>
    <w:rsid w:val="00175A6B"/>
    <w:rsid w:val="001761EE"/>
    <w:rsid w:val="00176403"/>
    <w:rsid w:val="00176EAA"/>
    <w:rsid w:val="00177030"/>
    <w:rsid w:val="0017725A"/>
    <w:rsid w:val="0017753E"/>
    <w:rsid w:val="00177C4B"/>
    <w:rsid w:val="00177CD0"/>
    <w:rsid w:val="00177F6A"/>
    <w:rsid w:val="00180984"/>
    <w:rsid w:val="0018179F"/>
    <w:rsid w:val="00181A1B"/>
    <w:rsid w:val="00182A38"/>
    <w:rsid w:val="0018325A"/>
    <w:rsid w:val="00183D7A"/>
    <w:rsid w:val="00184CAE"/>
    <w:rsid w:val="001851CC"/>
    <w:rsid w:val="00186199"/>
    <w:rsid w:val="00186F7A"/>
    <w:rsid w:val="00190AE2"/>
    <w:rsid w:val="00190E27"/>
    <w:rsid w:val="0019215E"/>
    <w:rsid w:val="0019272B"/>
    <w:rsid w:val="001928E4"/>
    <w:rsid w:val="001928F7"/>
    <w:rsid w:val="00193182"/>
    <w:rsid w:val="00193575"/>
    <w:rsid w:val="001936A9"/>
    <w:rsid w:val="0019389D"/>
    <w:rsid w:val="001939E6"/>
    <w:rsid w:val="00193B62"/>
    <w:rsid w:val="0019415A"/>
    <w:rsid w:val="00194537"/>
    <w:rsid w:val="0019470E"/>
    <w:rsid w:val="0019563C"/>
    <w:rsid w:val="001956CA"/>
    <w:rsid w:val="00195B79"/>
    <w:rsid w:val="00196D7B"/>
    <w:rsid w:val="001A088E"/>
    <w:rsid w:val="001A0F4A"/>
    <w:rsid w:val="001A1B13"/>
    <w:rsid w:val="001A1D38"/>
    <w:rsid w:val="001A21A9"/>
    <w:rsid w:val="001A22C6"/>
    <w:rsid w:val="001A2A97"/>
    <w:rsid w:val="001A304C"/>
    <w:rsid w:val="001A364F"/>
    <w:rsid w:val="001A375E"/>
    <w:rsid w:val="001A39B7"/>
    <w:rsid w:val="001A414F"/>
    <w:rsid w:val="001A42FA"/>
    <w:rsid w:val="001A4AEC"/>
    <w:rsid w:val="001A59D8"/>
    <w:rsid w:val="001A5A6A"/>
    <w:rsid w:val="001A5FA6"/>
    <w:rsid w:val="001A668F"/>
    <w:rsid w:val="001A71CC"/>
    <w:rsid w:val="001A7F30"/>
    <w:rsid w:val="001B218E"/>
    <w:rsid w:val="001B2BF6"/>
    <w:rsid w:val="001B2F0C"/>
    <w:rsid w:val="001B30CA"/>
    <w:rsid w:val="001B3513"/>
    <w:rsid w:val="001B353A"/>
    <w:rsid w:val="001B3D3E"/>
    <w:rsid w:val="001B3EFA"/>
    <w:rsid w:val="001B50CD"/>
    <w:rsid w:val="001B52FE"/>
    <w:rsid w:val="001B73D3"/>
    <w:rsid w:val="001B7890"/>
    <w:rsid w:val="001B7B7F"/>
    <w:rsid w:val="001C005A"/>
    <w:rsid w:val="001C00CF"/>
    <w:rsid w:val="001C0806"/>
    <w:rsid w:val="001C0D44"/>
    <w:rsid w:val="001C2813"/>
    <w:rsid w:val="001C2F9C"/>
    <w:rsid w:val="001C3399"/>
    <w:rsid w:val="001C37F6"/>
    <w:rsid w:val="001C3934"/>
    <w:rsid w:val="001C3C9B"/>
    <w:rsid w:val="001C45FF"/>
    <w:rsid w:val="001C4D9F"/>
    <w:rsid w:val="001C5289"/>
    <w:rsid w:val="001C6288"/>
    <w:rsid w:val="001C62CE"/>
    <w:rsid w:val="001C67A1"/>
    <w:rsid w:val="001C7C6D"/>
    <w:rsid w:val="001D0538"/>
    <w:rsid w:val="001D0634"/>
    <w:rsid w:val="001D0BD2"/>
    <w:rsid w:val="001D0F6A"/>
    <w:rsid w:val="001D21BC"/>
    <w:rsid w:val="001D24AB"/>
    <w:rsid w:val="001D2E47"/>
    <w:rsid w:val="001D2FA5"/>
    <w:rsid w:val="001D35E0"/>
    <w:rsid w:val="001D4934"/>
    <w:rsid w:val="001D5045"/>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56FF"/>
    <w:rsid w:val="001E59B6"/>
    <w:rsid w:val="001E5C6B"/>
    <w:rsid w:val="001E5F1F"/>
    <w:rsid w:val="001E6BCE"/>
    <w:rsid w:val="001E6EBF"/>
    <w:rsid w:val="001F0307"/>
    <w:rsid w:val="001F03E1"/>
    <w:rsid w:val="001F0EFA"/>
    <w:rsid w:val="001F221F"/>
    <w:rsid w:val="001F2270"/>
    <w:rsid w:val="001F2EA0"/>
    <w:rsid w:val="001F2EBE"/>
    <w:rsid w:val="001F3CC6"/>
    <w:rsid w:val="001F3F50"/>
    <w:rsid w:val="001F41C2"/>
    <w:rsid w:val="001F4530"/>
    <w:rsid w:val="001F478B"/>
    <w:rsid w:val="001F5CE2"/>
    <w:rsid w:val="001F5DBA"/>
    <w:rsid w:val="001F5DE3"/>
    <w:rsid w:val="001F5E2E"/>
    <w:rsid w:val="001F5F74"/>
    <w:rsid w:val="001F70EF"/>
    <w:rsid w:val="002000A1"/>
    <w:rsid w:val="002009B6"/>
    <w:rsid w:val="002010DE"/>
    <w:rsid w:val="00201962"/>
    <w:rsid w:val="00201AB9"/>
    <w:rsid w:val="00201B58"/>
    <w:rsid w:val="00201F80"/>
    <w:rsid w:val="0020202C"/>
    <w:rsid w:val="00202546"/>
    <w:rsid w:val="00202968"/>
    <w:rsid w:val="00202C32"/>
    <w:rsid w:val="00203973"/>
    <w:rsid w:val="00203AEF"/>
    <w:rsid w:val="00203E53"/>
    <w:rsid w:val="00206699"/>
    <w:rsid w:val="00206F2D"/>
    <w:rsid w:val="00211A26"/>
    <w:rsid w:val="00212249"/>
    <w:rsid w:val="002125F7"/>
    <w:rsid w:val="00212DEF"/>
    <w:rsid w:val="002135D0"/>
    <w:rsid w:val="0021397C"/>
    <w:rsid w:val="00214463"/>
    <w:rsid w:val="00214756"/>
    <w:rsid w:val="002149C3"/>
    <w:rsid w:val="0021527E"/>
    <w:rsid w:val="00215CF2"/>
    <w:rsid w:val="00215D9F"/>
    <w:rsid w:val="00216310"/>
    <w:rsid w:val="00216419"/>
    <w:rsid w:val="00216842"/>
    <w:rsid w:val="00216BCE"/>
    <w:rsid w:val="002176BB"/>
    <w:rsid w:val="00217867"/>
    <w:rsid w:val="002178A3"/>
    <w:rsid w:val="00220542"/>
    <w:rsid w:val="00220D7F"/>
    <w:rsid w:val="002210EB"/>
    <w:rsid w:val="00221174"/>
    <w:rsid w:val="00221DF6"/>
    <w:rsid w:val="00222DE3"/>
    <w:rsid w:val="002233F0"/>
    <w:rsid w:val="00223DFB"/>
    <w:rsid w:val="00224932"/>
    <w:rsid w:val="0022498A"/>
    <w:rsid w:val="00224D34"/>
    <w:rsid w:val="00225756"/>
    <w:rsid w:val="002257AE"/>
    <w:rsid w:val="00225ADC"/>
    <w:rsid w:val="00225CEB"/>
    <w:rsid w:val="00226774"/>
    <w:rsid w:val="0022692D"/>
    <w:rsid w:val="00227FC4"/>
    <w:rsid w:val="002313DE"/>
    <w:rsid w:val="002318F3"/>
    <w:rsid w:val="00231DCD"/>
    <w:rsid w:val="00232D5A"/>
    <w:rsid w:val="0023323F"/>
    <w:rsid w:val="00234202"/>
    <w:rsid w:val="002359EB"/>
    <w:rsid w:val="00235A62"/>
    <w:rsid w:val="002363AB"/>
    <w:rsid w:val="00236933"/>
    <w:rsid w:val="0023727B"/>
    <w:rsid w:val="00237579"/>
    <w:rsid w:val="00237675"/>
    <w:rsid w:val="00237C6D"/>
    <w:rsid w:val="0024096B"/>
    <w:rsid w:val="00240B64"/>
    <w:rsid w:val="00241575"/>
    <w:rsid w:val="00241582"/>
    <w:rsid w:val="00241B45"/>
    <w:rsid w:val="00241DD9"/>
    <w:rsid w:val="002424D7"/>
    <w:rsid w:val="0024260D"/>
    <w:rsid w:val="00242657"/>
    <w:rsid w:val="002428F6"/>
    <w:rsid w:val="00242FA2"/>
    <w:rsid w:val="00243613"/>
    <w:rsid w:val="00245012"/>
    <w:rsid w:val="0024504E"/>
    <w:rsid w:val="0024518E"/>
    <w:rsid w:val="00245252"/>
    <w:rsid w:val="00245761"/>
    <w:rsid w:val="0024583E"/>
    <w:rsid w:val="00245B25"/>
    <w:rsid w:val="0024651F"/>
    <w:rsid w:val="00247729"/>
    <w:rsid w:val="00250504"/>
    <w:rsid w:val="00250A79"/>
    <w:rsid w:val="00251346"/>
    <w:rsid w:val="0025158D"/>
    <w:rsid w:val="00251C7E"/>
    <w:rsid w:val="002523B6"/>
    <w:rsid w:val="00252697"/>
    <w:rsid w:val="00252778"/>
    <w:rsid w:val="0025281A"/>
    <w:rsid w:val="002529D9"/>
    <w:rsid w:val="002530A0"/>
    <w:rsid w:val="00253196"/>
    <w:rsid w:val="00253D3C"/>
    <w:rsid w:val="002544D7"/>
    <w:rsid w:val="00254770"/>
    <w:rsid w:val="00254DA8"/>
    <w:rsid w:val="00255292"/>
    <w:rsid w:val="00257578"/>
    <w:rsid w:val="00260200"/>
    <w:rsid w:val="00260867"/>
    <w:rsid w:val="00260B06"/>
    <w:rsid w:val="0026106D"/>
    <w:rsid w:val="00261617"/>
    <w:rsid w:val="00261B3A"/>
    <w:rsid w:val="00261D36"/>
    <w:rsid w:val="00261D93"/>
    <w:rsid w:val="00262029"/>
    <w:rsid w:val="002628CE"/>
    <w:rsid w:val="00262D4E"/>
    <w:rsid w:val="00263BBD"/>
    <w:rsid w:val="002648D8"/>
    <w:rsid w:val="00264B53"/>
    <w:rsid w:val="00264C6C"/>
    <w:rsid w:val="00265AFB"/>
    <w:rsid w:val="0026664E"/>
    <w:rsid w:val="00267EE3"/>
    <w:rsid w:val="00267F59"/>
    <w:rsid w:val="002700E9"/>
    <w:rsid w:val="002709FD"/>
    <w:rsid w:val="00270CE9"/>
    <w:rsid w:val="002712C4"/>
    <w:rsid w:val="00271A5F"/>
    <w:rsid w:val="0027235A"/>
    <w:rsid w:val="00273F86"/>
    <w:rsid w:val="002740E8"/>
    <w:rsid w:val="002741BE"/>
    <w:rsid w:val="00274E00"/>
    <w:rsid w:val="002752EA"/>
    <w:rsid w:val="00275EAD"/>
    <w:rsid w:val="00275FC8"/>
    <w:rsid w:val="002769FB"/>
    <w:rsid w:val="00276B03"/>
    <w:rsid w:val="002773FB"/>
    <w:rsid w:val="002774F0"/>
    <w:rsid w:val="00277722"/>
    <w:rsid w:val="00277749"/>
    <w:rsid w:val="002807B1"/>
    <w:rsid w:val="002813C5"/>
    <w:rsid w:val="00282616"/>
    <w:rsid w:val="00282C23"/>
    <w:rsid w:val="0028315D"/>
    <w:rsid w:val="00283885"/>
    <w:rsid w:val="002839A4"/>
    <w:rsid w:val="00284139"/>
    <w:rsid w:val="0028459B"/>
    <w:rsid w:val="0028495E"/>
    <w:rsid w:val="00284C5F"/>
    <w:rsid w:val="0028507E"/>
    <w:rsid w:val="00285242"/>
    <w:rsid w:val="00285B34"/>
    <w:rsid w:val="00286183"/>
    <w:rsid w:val="002873F0"/>
    <w:rsid w:val="00287762"/>
    <w:rsid w:val="00287BA5"/>
    <w:rsid w:val="00290793"/>
    <w:rsid w:val="00290F2F"/>
    <w:rsid w:val="002916E3"/>
    <w:rsid w:val="00291A70"/>
    <w:rsid w:val="00291E25"/>
    <w:rsid w:val="00291F6F"/>
    <w:rsid w:val="00292586"/>
    <w:rsid w:val="0029379A"/>
    <w:rsid w:val="00293C97"/>
    <w:rsid w:val="002942CB"/>
    <w:rsid w:val="0029430E"/>
    <w:rsid w:val="00294CFA"/>
    <w:rsid w:val="00294D8F"/>
    <w:rsid w:val="00295D5A"/>
    <w:rsid w:val="00295E0F"/>
    <w:rsid w:val="002962F1"/>
    <w:rsid w:val="002964F9"/>
    <w:rsid w:val="0029690F"/>
    <w:rsid w:val="002969CC"/>
    <w:rsid w:val="00297572"/>
    <w:rsid w:val="00297766"/>
    <w:rsid w:val="00297BC2"/>
    <w:rsid w:val="00297D85"/>
    <w:rsid w:val="002A07F4"/>
    <w:rsid w:val="002A090A"/>
    <w:rsid w:val="002A094C"/>
    <w:rsid w:val="002A0B47"/>
    <w:rsid w:val="002A1381"/>
    <w:rsid w:val="002A1F14"/>
    <w:rsid w:val="002A2678"/>
    <w:rsid w:val="002A2E01"/>
    <w:rsid w:val="002A2FF5"/>
    <w:rsid w:val="002A32E5"/>
    <w:rsid w:val="002A398F"/>
    <w:rsid w:val="002A3A93"/>
    <w:rsid w:val="002A3DFD"/>
    <w:rsid w:val="002A46A7"/>
    <w:rsid w:val="002A53D7"/>
    <w:rsid w:val="002A5C6B"/>
    <w:rsid w:val="002A5D31"/>
    <w:rsid w:val="002A6036"/>
    <w:rsid w:val="002A6ED7"/>
    <w:rsid w:val="002A714F"/>
    <w:rsid w:val="002A75D7"/>
    <w:rsid w:val="002B09C0"/>
    <w:rsid w:val="002B1329"/>
    <w:rsid w:val="002B1851"/>
    <w:rsid w:val="002B27FF"/>
    <w:rsid w:val="002B2F4E"/>
    <w:rsid w:val="002B310F"/>
    <w:rsid w:val="002B4982"/>
    <w:rsid w:val="002B59FB"/>
    <w:rsid w:val="002B5C8E"/>
    <w:rsid w:val="002B6793"/>
    <w:rsid w:val="002B75CE"/>
    <w:rsid w:val="002B780B"/>
    <w:rsid w:val="002C1260"/>
    <w:rsid w:val="002C1726"/>
    <w:rsid w:val="002C1B3F"/>
    <w:rsid w:val="002C21A6"/>
    <w:rsid w:val="002C233F"/>
    <w:rsid w:val="002C26D5"/>
    <w:rsid w:val="002C375A"/>
    <w:rsid w:val="002C3BA9"/>
    <w:rsid w:val="002C4715"/>
    <w:rsid w:val="002C4E82"/>
    <w:rsid w:val="002C5777"/>
    <w:rsid w:val="002C5889"/>
    <w:rsid w:val="002C62A8"/>
    <w:rsid w:val="002C65FA"/>
    <w:rsid w:val="002C661D"/>
    <w:rsid w:val="002C7254"/>
    <w:rsid w:val="002C7C89"/>
    <w:rsid w:val="002D0054"/>
    <w:rsid w:val="002D1486"/>
    <w:rsid w:val="002D1A0F"/>
    <w:rsid w:val="002D22BF"/>
    <w:rsid w:val="002D237C"/>
    <w:rsid w:val="002D32E3"/>
    <w:rsid w:val="002D33F1"/>
    <w:rsid w:val="002D353D"/>
    <w:rsid w:val="002D3BA0"/>
    <w:rsid w:val="002D52AD"/>
    <w:rsid w:val="002D5810"/>
    <w:rsid w:val="002D58D8"/>
    <w:rsid w:val="002D5EB1"/>
    <w:rsid w:val="002D67CD"/>
    <w:rsid w:val="002D67EF"/>
    <w:rsid w:val="002D758D"/>
    <w:rsid w:val="002D78F0"/>
    <w:rsid w:val="002E0394"/>
    <w:rsid w:val="002E0644"/>
    <w:rsid w:val="002E0FEB"/>
    <w:rsid w:val="002E171B"/>
    <w:rsid w:val="002E23F6"/>
    <w:rsid w:val="002E2E3E"/>
    <w:rsid w:val="002E319D"/>
    <w:rsid w:val="002E4AD5"/>
    <w:rsid w:val="002E4C2D"/>
    <w:rsid w:val="002F099C"/>
    <w:rsid w:val="002F0F79"/>
    <w:rsid w:val="002F16F6"/>
    <w:rsid w:val="002F1B72"/>
    <w:rsid w:val="002F1C9E"/>
    <w:rsid w:val="002F1EB2"/>
    <w:rsid w:val="002F24EF"/>
    <w:rsid w:val="002F25C3"/>
    <w:rsid w:val="002F280E"/>
    <w:rsid w:val="002F2AB4"/>
    <w:rsid w:val="002F2CBB"/>
    <w:rsid w:val="002F3470"/>
    <w:rsid w:val="002F3709"/>
    <w:rsid w:val="002F3A6C"/>
    <w:rsid w:val="002F4296"/>
    <w:rsid w:val="002F5777"/>
    <w:rsid w:val="002F60EA"/>
    <w:rsid w:val="002F680E"/>
    <w:rsid w:val="002F69E4"/>
    <w:rsid w:val="002F72F2"/>
    <w:rsid w:val="00300951"/>
    <w:rsid w:val="00300E8A"/>
    <w:rsid w:val="003023C9"/>
    <w:rsid w:val="00302CA8"/>
    <w:rsid w:val="00302DE9"/>
    <w:rsid w:val="00304860"/>
    <w:rsid w:val="00304E23"/>
    <w:rsid w:val="00305084"/>
    <w:rsid w:val="003051A8"/>
    <w:rsid w:val="00305298"/>
    <w:rsid w:val="00306408"/>
    <w:rsid w:val="00306FD3"/>
    <w:rsid w:val="00307249"/>
    <w:rsid w:val="00307297"/>
    <w:rsid w:val="003111B6"/>
    <w:rsid w:val="00312C47"/>
    <w:rsid w:val="00312DAE"/>
    <w:rsid w:val="003132DB"/>
    <w:rsid w:val="00313336"/>
    <w:rsid w:val="003137CA"/>
    <w:rsid w:val="00313918"/>
    <w:rsid w:val="00314D1A"/>
    <w:rsid w:val="00314FF8"/>
    <w:rsid w:val="00315263"/>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AE8"/>
    <w:rsid w:val="00323B32"/>
    <w:rsid w:val="00324548"/>
    <w:rsid w:val="003251F4"/>
    <w:rsid w:val="00325408"/>
    <w:rsid w:val="00326927"/>
    <w:rsid w:val="003275D6"/>
    <w:rsid w:val="003302B7"/>
    <w:rsid w:val="003303E3"/>
    <w:rsid w:val="0033057D"/>
    <w:rsid w:val="00330651"/>
    <w:rsid w:val="003307CA"/>
    <w:rsid w:val="00330E0F"/>
    <w:rsid w:val="00331178"/>
    <w:rsid w:val="003319A2"/>
    <w:rsid w:val="00331A88"/>
    <w:rsid w:val="003329EA"/>
    <w:rsid w:val="00332C6E"/>
    <w:rsid w:val="00332D73"/>
    <w:rsid w:val="003330E4"/>
    <w:rsid w:val="003338BE"/>
    <w:rsid w:val="00335147"/>
    <w:rsid w:val="003364DC"/>
    <w:rsid w:val="003367A1"/>
    <w:rsid w:val="00336AA2"/>
    <w:rsid w:val="00337B1B"/>
    <w:rsid w:val="00340436"/>
    <w:rsid w:val="003405DA"/>
    <w:rsid w:val="003407A5"/>
    <w:rsid w:val="0034096C"/>
    <w:rsid w:val="003409F7"/>
    <w:rsid w:val="00340A1F"/>
    <w:rsid w:val="00340A84"/>
    <w:rsid w:val="003410A1"/>
    <w:rsid w:val="00341188"/>
    <w:rsid w:val="0034147B"/>
    <w:rsid w:val="00341DC8"/>
    <w:rsid w:val="003424CB"/>
    <w:rsid w:val="0034354B"/>
    <w:rsid w:val="0034399E"/>
    <w:rsid w:val="003439DB"/>
    <w:rsid w:val="00344CF8"/>
    <w:rsid w:val="00344FBE"/>
    <w:rsid w:val="00346759"/>
    <w:rsid w:val="00350238"/>
    <w:rsid w:val="003502AD"/>
    <w:rsid w:val="003504A4"/>
    <w:rsid w:val="00350F6C"/>
    <w:rsid w:val="0035109C"/>
    <w:rsid w:val="00351438"/>
    <w:rsid w:val="00351752"/>
    <w:rsid w:val="00351F0A"/>
    <w:rsid w:val="00352648"/>
    <w:rsid w:val="003532B2"/>
    <w:rsid w:val="00353AC6"/>
    <w:rsid w:val="003542B7"/>
    <w:rsid w:val="0035432B"/>
    <w:rsid w:val="00354765"/>
    <w:rsid w:val="00354E10"/>
    <w:rsid w:val="00355B17"/>
    <w:rsid w:val="003564E6"/>
    <w:rsid w:val="00357B15"/>
    <w:rsid w:val="00357BB3"/>
    <w:rsid w:val="0036005C"/>
    <w:rsid w:val="003602EA"/>
    <w:rsid w:val="00360CB2"/>
    <w:rsid w:val="00360F81"/>
    <w:rsid w:val="00361ACA"/>
    <w:rsid w:val="00361E48"/>
    <w:rsid w:val="00361E7E"/>
    <w:rsid w:val="00362519"/>
    <w:rsid w:val="003648F2"/>
    <w:rsid w:val="00364FA1"/>
    <w:rsid w:val="0036607D"/>
    <w:rsid w:val="00366154"/>
    <w:rsid w:val="003663E4"/>
    <w:rsid w:val="00366B02"/>
    <w:rsid w:val="003671F5"/>
    <w:rsid w:val="00370AA4"/>
    <w:rsid w:val="003711F2"/>
    <w:rsid w:val="003717FC"/>
    <w:rsid w:val="00371FF4"/>
    <w:rsid w:val="00372039"/>
    <w:rsid w:val="003723C2"/>
    <w:rsid w:val="0037275D"/>
    <w:rsid w:val="00372797"/>
    <w:rsid w:val="0037470E"/>
    <w:rsid w:val="003755C5"/>
    <w:rsid w:val="00375CC4"/>
    <w:rsid w:val="00376103"/>
    <w:rsid w:val="00376673"/>
    <w:rsid w:val="003767B3"/>
    <w:rsid w:val="00376B49"/>
    <w:rsid w:val="00376FC5"/>
    <w:rsid w:val="003774E9"/>
    <w:rsid w:val="00377520"/>
    <w:rsid w:val="003779E6"/>
    <w:rsid w:val="00377C7B"/>
    <w:rsid w:val="00380D36"/>
    <w:rsid w:val="00380F49"/>
    <w:rsid w:val="00382195"/>
    <w:rsid w:val="003822D3"/>
    <w:rsid w:val="0038480C"/>
    <w:rsid w:val="00384DC9"/>
    <w:rsid w:val="0038566E"/>
    <w:rsid w:val="00385C66"/>
    <w:rsid w:val="00386630"/>
    <w:rsid w:val="00386A6C"/>
    <w:rsid w:val="00386D99"/>
    <w:rsid w:val="00386E60"/>
    <w:rsid w:val="00387876"/>
    <w:rsid w:val="00390379"/>
    <w:rsid w:val="00390741"/>
    <w:rsid w:val="003909FB"/>
    <w:rsid w:val="00390B25"/>
    <w:rsid w:val="00390DD9"/>
    <w:rsid w:val="00391520"/>
    <w:rsid w:val="00392958"/>
    <w:rsid w:val="00392AA0"/>
    <w:rsid w:val="00392AE5"/>
    <w:rsid w:val="0039335F"/>
    <w:rsid w:val="003936C5"/>
    <w:rsid w:val="00393933"/>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255"/>
    <w:rsid w:val="003A7DF2"/>
    <w:rsid w:val="003A7E6F"/>
    <w:rsid w:val="003B05F2"/>
    <w:rsid w:val="003B1639"/>
    <w:rsid w:val="003B2249"/>
    <w:rsid w:val="003B2F13"/>
    <w:rsid w:val="003B3353"/>
    <w:rsid w:val="003B405E"/>
    <w:rsid w:val="003B4500"/>
    <w:rsid w:val="003B4712"/>
    <w:rsid w:val="003B47EB"/>
    <w:rsid w:val="003B48BA"/>
    <w:rsid w:val="003B57D3"/>
    <w:rsid w:val="003B59CA"/>
    <w:rsid w:val="003B6067"/>
    <w:rsid w:val="003B6FCF"/>
    <w:rsid w:val="003B7144"/>
    <w:rsid w:val="003B7204"/>
    <w:rsid w:val="003B757F"/>
    <w:rsid w:val="003C0892"/>
    <w:rsid w:val="003C08E3"/>
    <w:rsid w:val="003C09B5"/>
    <w:rsid w:val="003C0F62"/>
    <w:rsid w:val="003C1126"/>
    <w:rsid w:val="003C1176"/>
    <w:rsid w:val="003C1D9A"/>
    <w:rsid w:val="003C1F58"/>
    <w:rsid w:val="003C3086"/>
    <w:rsid w:val="003C3508"/>
    <w:rsid w:val="003C48B1"/>
    <w:rsid w:val="003C57A7"/>
    <w:rsid w:val="003C5C2B"/>
    <w:rsid w:val="003C6855"/>
    <w:rsid w:val="003C6943"/>
    <w:rsid w:val="003C6BD2"/>
    <w:rsid w:val="003C7294"/>
    <w:rsid w:val="003C792F"/>
    <w:rsid w:val="003C7ABD"/>
    <w:rsid w:val="003C7C3D"/>
    <w:rsid w:val="003D08F8"/>
    <w:rsid w:val="003D124B"/>
    <w:rsid w:val="003D18F3"/>
    <w:rsid w:val="003D2CC1"/>
    <w:rsid w:val="003D37D5"/>
    <w:rsid w:val="003D4FFC"/>
    <w:rsid w:val="003D51ED"/>
    <w:rsid w:val="003D569B"/>
    <w:rsid w:val="003D78B5"/>
    <w:rsid w:val="003E099F"/>
    <w:rsid w:val="003E19FF"/>
    <w:rsid w:val="003E244F"/>
    <w:rsid w:val="003E26A6"/>
    <w:rsid w:val="003E3371"/>
    <w:rsid w:val="003E37AE"/>
    <w:rsid w:val="003E5165"/>
    <w:rsid w:val="003E57D6"/>
    <w:rsid w:val="003E5CC8"/>
    <w:rsid w:val="003E62A6"/>
    <w:rsid w:val="003E695F"/>
    <w:rsid w:val="003E6C9B"/>
    <w:rsid w:val="003E6D39"/>
    <w:rsid w:val="003E709C"/>
    <w:rsid w:val="003E712E"/>
    <w:rsid w:val="003E726D"/>
    <w:rsid w:val="003E7B55"/>
    <w:rsid w:val="003E7B89"/>
    <w:rsid w:val="003F0B30"/>
    <w:rsid w:val="003F0FA3"/>
    <w:rsid w:val="003F276B"/>
    <w:rsid w:val="003F3205"/>
    <w:rsid w:val="003F4241"/>
    <w:rsid w:val="003F4B2E"/>
    <w:rsid w:val="003F4B8A"/>
    <w:rsid w:val="003F62BB"/>
    <w:rsid w:val="003F6FEC"/>
    <w:rsid w:val="003F737A"/>
    <w:rsid w:val="003F7C45"/>
    <w:rsid w:val="00400241"/>
    <w:rsid w:val="0040132C"/>
    <w:rsid w:val="004019B7"/>
    <w:rsid w:val="00401A6A"/>
    <w:rsid w:val="0040231A"/>
    <w:rsid w:val="004025ED"/>
    <w:rsid w:val="00403316"/>
    <w:rsid w:val="004049BD"/>
    <w:rsid w:val="00404EB5"/>
    <w:rsid w:val="00405085"/>
    <w:rsid w:val="00405D28"/>
    <w:rsid w:val="004066FC"/>
    <w:rsid w:val="00406C07"/>
    <w:rsid w:val="00406FD6"/>
    <w:rsid w:val="00407481"/>
    <w:rsid w:val="00407C10"/>
    <w:rsid w:val="00407E90"/>
    <w:rsid w:val="0041023A"/>
    <w:rsid w:val="004105D5"/>
    <w:rsid w:val="00410BEC"/>
    <w:rsid w:val="004113B4"/>
    <w:rsid w:val="004129D7"/>
    <w:rsid w:val="00413323"/>
    <w:rsid w:val="00413BAE"/>
    <w:rsid w:val="00414120"/>
    <w:rsid w:val="00414503"/>
    <w:rsid w:val="00414827"/>
    <w:rsid w:val="004153B3"/>
    <w:rsid w:val="00415772"/>
    <w:rsid w:val="004163FD"/>
    <w:rsid w:val="0041649A"/>
    <w:rsid w:val="0041683D"/>
    <w:rsid w:val="00416C10"/>
    <w:rsid w:val="00417976"/>
    <w:rsid w:val="00417A0E"/>
    <w:rsid w:val="00417BC6"/>
    <w:rsid w:val="0042053A"/>
    <w:rsid w:val="004213D6"/>
    <w:rsid w:val="00421C75"/>
    <w:rsid w:val="00422440"/>
    <w:rsid w:val="00422916"/>
    <w:rsid w:val="00423BA3"/>
    <w:rsid w:val="00423D98"/>
    <w:rsid w:val="00424213"/>
    <w:rsid w:val="00424EF3"/>
    <w:rsid w:val="00425064"/>
    <w:rsid w:val="00425C18"/>
    <w:rsid w:val="004267DB"/>
    <w:rsid w:val="004268BB"/>
    <w:rsid w:val="00426A4B"/>
    <w:rsid w:val="00426D02"/>
    <w:rsid w:val="00427F61"/>
    <w:rsid w:val="00430045"/>
    <w:rsid w:val="004305C9"/>
    <w:rsid w:val="00430724"/>
    <w:rsid w:val="00431047"/>
    <w:rsid w:val="00431391"/>
    <w:rsid w:val="004315F9"/>
    <w:rsid w:val="00431B86"/>
    <w:rsid w:val="004339AD"/>
    <w:rsid w:val="00433DE0"/>
    <w:rsid w:val="00433EED"/>
    <w:rsid w:val="004378AF"/>
    <w:rsid w:val="00437C96"/>
    <w:rsid w:val="00437DD4"/>
    <w:rsid w:val="004408EC"/>
    <w:rsid w:val="004416A4"/>
    <w:rsid w:val="00441E6A"/>
    <w:rsid w:val="00442AEE"/>
    <w:rsid w:val="00443C8F"/>
    <w:rsid w:val="00444C60"/>
    <w:rsid w:val="00444E35"/>
    <w:rsid w:val="0044502D"/>
    <w:rsid w:val="00445F6B"/>
    <w:rsid w:val="00447CEF"/>
    <w:rsid w:val="00447E28"/>
    <w:rsid w:val="00450BA9"/>
    <w:rsid w:val="00451C9B"/>
    <w:rsid w:val="00452481"/>
    <w:rsid w:val="004528FA"/>
    <w:rsid w:val="00453042"/>
    <w:rsid w:val="00453065"/>
    <w:rsid w:val="00453477"/>
    <w:rsid w:val="00453DC8"/>
    <w:rsid w:val="00455165"/>
    <w:rsid w:val="00455F9A"/>
    <w:rsid w:val="00457804"/>
    <w:rsid w:val="00460672"/>
    <w:rsid w:val="00460AEF"/>
    <w:rsid w:val="00460C52"/>
    <w:rsid w:val="00460FCA"/>
    <w:rsid w:val="00462279"/>
    <w:rsid w:val="004646BF"/>
    <w:rsid w:val="00464744"/>
    <w:rsid w:val="004665E3"/>
    <w:rsid w:val="0046760F"/>
    <w:rsid w:val="0047095C"/>
    <w:rsid w:val="0047237D"/>
    <w:rsid w:val="00472561"/>
    <w:rsid w:val="004731F1"/>
    <w:rsid w:val="004737DE"/>
    <w:rsid w:val="00473D73"/>
    <w:rsid w:val="00473EB5"/>
    <w:rsid w:val="004741F6"/>
    <w:rsid w:val="0047456B"/>
    <w:rsid w:val="00475251"/>
    <w:rsid w:val="00475D0F"/>
    <w:rsid w:val="00477400"/>
    <w:rsid w:val="004808C9"/>
    <w:rsid w:val="00480BC8"/>
    <w:rsid w:val="00481265"/>
    <w:rsid w:val="0048141C"/>
    <w:rsid w:val="004814BF"/>
    <w:rsid w:val="00481742"/>
    <w:rsid w:val="00482649"/>
    <w:rsid w:val="00483630"/>
    <w:rsid w:val="004836EA"/>
    <w:rsid w:val="00483ECB"/>
    <w:rsid w:val="00483F72"/>
    <w:rsid w:val="00485215"/>
    <w:rsid w:val="00485340"/>
    <w:rsid w:val="00485680"/>
    <w:rsid w:val="0048587E"/>
    <w:rsid w:val="00487215"/>
    <w:rsid w:val="00487865"/>
    <w:rsid w:val="00487AB1"/>
    <w:rsid w:val="00487C2B"/>
    <w:rsid w:val="004900FF"/>
    <w:rsid w:val="0049125B"/>
    <w:rsid w:val="00491C58"/>
    <w:rsid w:val="00491FAB"/>
    <w:rsid w:val="00492081"/>
    <w:rsid w:val="0049227D"/>
    <w:rsid w:val="0049297D"/>
    <w:rsid w:val="004929F2"/>
    <w:rsid w:val="00492F5E"/>
    <w:rsid w:val="004946F2"/>
    <w:rsid w:val="004955CF"/>
    <w:rsid w:val="00495A03"/>
    <w:rsid w:val="00495E28"/>
    <w:rsid w:val="00496B6C"/>
    <w:rsid w:val="00497079"/>
    <w:rsid w:val="00497450"/>
    <w:rsid w:val="00497F49"/>
    <w:rsid w:val="004A11D8"/>
    <w:rsid w:val="004A1BBA"/>
    <w:rsid w:val="004A23C2"/>
    <w:rsid w:val="004A2B61"/>
    <w:rsid w:val="004A3336"/>
    <w:rsid w:val="004A3E3C"/>
    <w:rsid w:val="004A4069"/>
    <w:rsid w:val="004A484E"/>
    <w:rsid w:val="004A6513"/>
    <w:rsid w:val="004A7307"/>
    <w:rsid w:val="004B0E6D"/>
    <w:rsid w:val="004B16E8"/>
    <w:rsid w:val="004B171B"/>
    <w:rsid w:val="004B25E2"/>
    <w:rsid w:val="004B2CA5"/>
    <w:rsid w:val="004B36C2"/>
    <w:rsid w:val="004B3D72"/>
    <w:rsid w:val="004B412E"/>
    <w:rsid w:val="004B5B92"/>
    <w:rsid w:val="004B6250"/>
    <w:rsid w:val="004B625D"/>
    <w:rsid w:val="004B66F3"/>
    <w:rsid w:val="004B76B1"/>
    <w:rsid w:val="004B7800"/>
    <w:rsid w:val="004C0057"/>
    <w:rsid w:val="004C0084"/>
    <w:rsid w:val="004C0541"/>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A02"/>
    <w:rsid w:val="004D0213"/>
    <w:rsid w:val="004D047F"/>
    <w:rsid w:val="004D0C17"/>
    <w:rsid w:val="004D1529"/>
    <w:rsid w:val="004D29F1"/>
    <w:rsid w:val="004D29F3"/>
    <w:rsid w:val="004D2E95"/>
    <w:rsid w:val="004D3D96"/>
    <w:rsid w:val="004D40BB"/>
    <w:rsid w:val="004D4B49"/>
    <w:rsid w:val="004D5316"/>
    <w:rsid w:val="004D575C"/>
    <w:rsid w:val="004D5BC7"/>
    <w:rsid w:val="004D606D"/>
    <w:rsid w:val="004D650F"/>
    <w:rsid w:val="004D7269"/>
    <w:rsid w:val="004D74EE"/>
    <w:rsid w:val="004D7F01"/>
    <w:rsid w:val="004D7F54"/>
    <w:rsid w:val="004E08FC"/>
    <w:rsid w:val="004E0B6E"/>
    <w:rsid w:val="004E0D53"/>
    <w:rsid w:val="004E0F74"/>
    <w:rsid w:val="004E2133"/>
    <w:rsid w:val="004E2BD2"/>
    <w:rsid w:val="004E358C"/>
    <w:rsid w:val="004E395B"/>
    <w:rsid w:val="004E3E27"/>
    <w:rsid w:val="004E501E"/>
    <w:rsid w:val="004E55C1"/>
    <w:rsid w:val="004E5EDB"/>
    <w:rsid w:val="004E60FB"/>
    <w:rsid w:val="004E73A5"/>
    <w:rsid w:val="004E758A"/>
    <w:rsid w:val="004E7BA7"/>
    <w:rsid w:val="004F0066"/>
    <w:rsid w:val="004F1ABC"/>
    <w:rsid w:val="004F1C42"/>
    <w:rsid w:val="004F21B8"/>
    <w:rsid w:val="004F23CE"/>
    <w:rsid w:val="004F2C5A"/>
    <w:rsid w:val="004F31EA"/>
    <w:rsid w:val="004F3D47"/>
    <w:rsid w:val="004F4601"/>
    <w:rsid w:val="004F5A51"/>
    <w:rsid w:val="004F779C"/>
    <w:rsid w:val="004F7846"/>
    <w:rsid w:val="004F78B6"/>
    <w:rsid w:val="004F7C19"/>
    <w:rsid w:val="004F7EBF"/>
    <w:rsid w:val="005000A6"/>
    <w:rsid w:val="005000D4"/>
    <w:rsid w:val="005004EE"/>
    <w:rsid w:val="00500580"/>
    <w:rsid w:val="005007AB"/>
    <w:rsid w:val="00500B1E"/>
    <w:rsid w:val="00500B24"/>
    <w:rsid w:val="00500C17"/>
    <w:rsid w:val="00502416"/>
    <w:rsid w:val="005027F4"/>
    <w:rsid w:val="005036C2"/>
    <w:rsid w:val="00503EE8"/>
    <w:rsid w:val="0050492E"/>
    <w:rsid w:val="005051C9"/>
    <w:rsid w:val="00506389"/>
    <w:rsid w:val="005065DC"/>
    <w:rsid w:val="00507000"/>
    <w:rsid w:val="00507FC5"/>
    <w:rsid w:val="00510A69"/>
    <w:rsid w:val="00510CAF"/>
    <w:rsid w:val="0051114C"/>
    <w:rsid w:val="00511597"/>
    <w:rsid w:val="00511915"/>
    <w:rsid w:val="00511ED9"/>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6E9"/>
    <w:rsid w:val="00517917"/>
    <w:rsid w:val="005179DD"/>
    <w:rsid w:val="00517E07"/>
    <w:rsid w:val="00517FB9"/>
    <w:rsid w:val="0052009E"/>
    <w:rsid w:val="005200F7"/>
    <w:rsid w:val="00520AB5"/>
    <w:rsid w:val="00521596"/>
    <w:rsid w:val="00522066"/>
    <w:rsid w:val="005222FA"/>
    <w:rsid w:val="00522959"/>
    <w:rsid w:val="00522A4E"/>
    <w:rsid w:val="00525740"/>
    <w:rsid w:val="00525E59"/>
    <w:rsid w:val="0052789E"/>
    <w:rsid w:val="005278EE"/>
    <w:rsid w:val="00530A21"/>
    <w:rsid w:val="005310DD"/>
    <w:rsid w:val="00531851"/>
    <w:rsid w:val="005318CC"/>
    <w:rsid w:val="0053199E"/>
    <w:rsid w:val="00531A9B"/>
    <w:rsid w:val="00531D65"/>
    <w:rsid w:val="00532E2E"/>
    <w:rsid w:val="005334E4"/>
    <w:rsid w:val="005349B1"/>
    <w:rsid w:val="00534EF4"/>
    <w:rsid w:val="005354DF"/>
    <w:rsid w:val="00535AA4"/>
    <w:rsid w:val="00535DA3"/>
    <w:rsid w:val="005364A6"/>
    <w:rsid w:val="005364AE"/>
    <w:rsid w:val="0053652C"/>
    <w:rsid w:val="0053659B"/>
    <w:rsid w:val="005368A0"/>
    <w:rsid w:val="005374BC"/>
    <w:rsid w:val="0054178E"/>
    <w:rsid w:val="00541A95"/>
    <w:rsid w:val="005427DC"/>
    <w:rsid w:val="00543188"/>
    <w:rsid w:val="005432F0"/>
    <w:rsid w:val="00543367"/>
    <w:rsid w:val="0054384E"/>
    <w:rsid w:val="00543BFA"/>
    <w:rsid w:val="00543EF8"/>
    <w:rsid w:val="00544616"/>
    <w:rsid w:val="00544DD1"/>
    <w:rsid w:val="005454C9"/>
    <w:rsid w:val="00545CB7"/>
    <w:rsid w:val="005463CC"/>
    <w:rsid w:val="0054655E"/>
    <w:rsid w:val="00546601"/>
    <w:rsid w:val="0054768B"/>
    <w:rsid w:val="00547D9C"/>
    <w:rsid w:val="00547DA1"/>
    <w:rsid w:val="005501BC"/>
    <w:rsid w:val="005505B8"/>
    <w:rsid w:val="0055068D"/>
    <w:rsid w:val="00551BAB"/>
    <w:rsid w:val="00551C53"/>
    <w:rsid w:val="0055221B"/>
    <w:rsid w:val="005526DC"/>
    <w:rsid w:val="005535B7"/>
    <w:rsid w:val="005547DB"/>
    <w:rsid w:val="00554CAC"/>
    <w:rsid w:val="0055513C"/>
    <w:rsid w:val="0055637C"/>
    <w:rsid w:val="00556B00"/>
    <w:rsid w:val="00556F1B"/>
    <w:rsid w:val="0055753F"/>
    <w:rsid w:val="00557618"/>
    <w:rsid w:val="00557782"/>
    <w:rsid w:val="00560AD0"/>
    <w:rsid w:val="00560C94"/>
    <w:rsid w:val="00560EA8"/>
    <w:rsid w:val="00560FD5"/>
    <w:rsid w:val="0056126F"/>
    <w:rsid w:val="00561C0A"/>
    <w:rsid w:val="005620D3"/>
    <w:rsid w:val="00562765"/>
    <w:rsid w:val="0056283B"/>
    <w:rsid w:val="0056291C"/>
    <w:rsid w:val="00562EA3"/>
    <w:rsid w:val="00562F8B"/>
    <w:rsid w:val="00563516"/>
    <w:rsid w:val="00563A1F"/>
    <w:rsid w:val="00563E82"/>
    <w:rsid w:val="00563EA9"/>
    <w:rsid w:val="005646BB"/>
    <w:rsid w:val="005646FA"/>
    <w:rsid w:val="005647F9"/>
    <w:rsid w:val="00564B19"/>
    <w:rsid w:val="00564C4B"/>
    <w:rsid w:val="00565A63"/>
    <w:rsid w:val="00565BAA"/>
    <w:rsid w:val="00566588"/>
    <w:rsid w:val="0056662E"/>
    <w:rsid w:val="00566A26"/>
    <w:rsid w:val="00566F6B"/>
    <w:rsid w:val="00567012"/>
    <w:rsid w:val="005671B8"/>
    <w:rsid w:val="00567EA5"/>
    <w:rsid w:val="00570050"/>
    <w:rsid w:val="00570373"/>
    <w:rsid w:val="00570514"/>
    <w:rsid w:val="005715D5"/>
    <w:rsid w:val="00571A41"/>
    <w:rsid w:val="005721D0"/>
    <w:rsid w:val="0057275D"/>
    <w:rsid w:val="00572919"/>
    <w:rsid w:val="0057347D"/>
    <w:rsid w:val="00574103"/>
    <w:rsid w:val="00575B68"/>
    <w:rsid w:val="00575DA6"/>
    <w:rsid w:val="0057737F"/>
    <w:rsid w:val="00577AEC"/>
    <w:rsid w:val="005800A9"/>
    <w:rsid w:val="00580488"/>
    <w:rsid w:val="0058074D"/>
    <w:rsid w:val="00580FD1"/>
    <w:rsid w:val="0058145E"/>
    <w:rsid w:val="00582FAD"/>
    <w:rsid w:val="00583489"/>
    <w:rsid w:val="0058391F"/>
    <w:rsid w:val="00583A80"/>
    <w:rsid w:val="00584188"/>
    <w:rsid w:val="005843FE"/>
    <w:rsid w:val="00584E33"/>
    <w:rsid w:val="00584F6A"/>
    <w:rsid w:val="0058598D"/>
    <w:rsid w:val="00585AD4"/>
    <w:rsid w:val="00585E14"/>
    <w:rsid w:val="0058626E"/>
    <w:rsid w:val="00586819"/>
    <w:rsid w:val="005868EC"/>
    <w:rsid w:val="00586922"/>
    <w:rsid w:val="00586E9A"/>
    <w:rsid w:val="00587419"/>
    <w:rsid w:val="005874CA"/>
    <w:rsid w:val="005908AE"/>
    <w:rsid w:val="00590FE4"/>
    <w:rsid w:val="00591D9C"/>
    <w:rsid w:val="0059282D"/>
    <w:rsid w:val="005932C1"/>
    <w:rsid w:val="00593440"/>
    <w:rsid w:val="005936BF"/>
    <w:rsid w:val="00593DE5"/>
    <w:rsid w:val="00594EBA"/>
    <w:rsid w:val="0059592B"/>
    <w:rsid w:val="00596617"/>
    <w:rsid w:val="00596CC4"/>
    <w:rsid w:val="00597057"/>
    <w:rsid w:val="005972B8"/>
    <w:rsid w:val="005973A6"/>
    <w:rsid w:val="0059760A"/>
    <w:rsid w:val="00597AAB"/>
    <w:rsid w:val="00597D8B"/>
    <w:rsid w:val="005A0742"/>
    <w:rsid w:val="005A1C30"/>
    <w:rsid w:val="005A2DDA"/>
    <w:rsid w:val="005A31C9"/>
    <w:rsid w:val="005A3295"/>
    <w:rsid w:val="005A46FF"/>
    <w:rsid w:val="005A4AFF"/>
    <w:rsid w:val="005A65F0"/>
    <w:rsid w:val="005A7758"/>
    <w:rsid w:val="005B011E"/>
    <w:rsid w:val="005B028B"/>
    <w:rsid w:val="005B2E84"/>
    <w:rsid w:val="005B352F"/>
    <w:rsid w:val="005B3E66"/>
    <w:rsid w:val="005B3FE8"/>
    <w:rsid w:val="005B4215"/>
    <w:rsid w:val="005B436C"/>
    <w:rsid w:val="005B47A5"/>
    <w:rsid w:val="005B4B67"/>
    <w:rsid w:val="005B4F97"/>
    <w:rsid w:val="005B52A4"/>
    <w:rsid w:val="005B565E"/>
    <w:rsid w:val="005B5CA4"/>
    <w:rsid w:val="005B5E76"/>
    <w:rsid w:val="005B6E01"/>
    <w:rsid w:val="005B7476"/>
    <w:rsid w:val="005B7688"/>
    <w:rsid w:val="005B7849"/>
    <w:rsid w:val="005B7B0E"/>
    <w:rsid w:val="005C054E"/>
    <w:rsid w:val="005C0DFA"/>
    <w:rsid w:val="005C0FF0"/>
    <w:rsid w:val="005C1632"/>
    <w:rsid w:val="005C219B"/>
    <w:rsid w:val="005C492F"/>
    <w:rsid w:val="005C4B4C"/>
    <w:rsid w:val="005C5409"/>
    <w:rsid w:val="005C55EF"/>
    <w:rsid w:val="005C628C"/>
    <w:rsid w:val="005C6765"/>
    <w:rsid w:val="005C69AC"/>
    <w:rsid w:val="005C6F14"/>
    <w:rsid w:val="005C722E"/>
    <w:rsid w:val="005C7576"/>
    <w:rsid w:val="005C7590"/>
    <w:rsid w:val="005C7759"/>
    <w:rsid w:val="005D0197"/>
    <w:rsid w:val="005D01A4"/>
    <w:rsid w:val="005D11BE"/>
    <w:rsid w:val="005D15AE"/>
    <w:rsid w:val="005D1A7B"/>
    <w:rsid w:val="005D1EDD"/>
    <w:rsid w:val="005D23AE"/>
    <w:rsid w:val="005D28AC"/>
    <w:rsid w:val="005D3D1A"/>
    <w:rsid w:val="005D456F"/>
    <w:rsid w:val="005D45B3"/>
    <w:rsid w:val="005D4AB3"/>
    <w:rsid w:val="005D4CEB"/>
    <w:rsid w:val="005D5344"/>
    <w:rsid w:val="005D5DA8"/>
    <w:rsid w:val="005D61EB"/>
    <w:rsid w:val="005E0AE0"/>
    <w:rsid w:val="005E0D33"/>
    <w:rsid w:val="005E6573"/>
    <w:rsid w:val="005F00FA"/>
    <w:rsid w:val="005F04E6"/>
    <w:rsid w:val="005F1667"/>
    <w:rsid w:val="005F17EC"/>
    <w:rsid w:val="005F1C2F"/>
    <w:rsid w:val="005F25BD"/>
    <w:rsid w:val="005F2D68"/>
    <w:rsid w:val="005F39D5"/>
    <w:rsid w:val="005F3AB5"/>
    <w:rsid w:val="005F3CE2"/>
    <w:rsid w:val="005F3E05"/>
    <w:rsid w:val="005F4160"/>
    <w:rsid w:val="005F43B9"/>
    <w:rsid w:val="005F55D6"/>
    <w:rsid w:val="005F5CA9"/>
    <w:rsid w:val="005F68CB"/>
    <w:rsid w:val="005F6BDE"/>
    <w:rsid w:val="005F6CCB"/>
    <w:rsid w:val="00600242"/>
    <w:rsid w:val="0060205D"/>
    <w:rsid w:val="006033E3"/>
    <w:rsid w:val="00604AF1"/>
    <w:rsid w:val="00605A44"/>
    <w:rsid w:val="00605FC7"/>
    <w:rsid w:val="00606218"/>
    <w:rsid w:val="0060631B"/>
    <w:rsid w:val="00606CA3"/>
    <w:rsid w:val="00606E91"/>
    <w:rsid w:val="00607018"/>
    <w:rsid w:val="006077ED"/>
    <w:rsid w:val="0060794E"/>
    <w:rsid w:val="00610687"/>
    <w:rsid w:val="00610954"/>
    <w:rsid w:val="00610CBE"/>
    <w:rsid w:val="00610E1F"/>
    <w:rsid w:val="00611467"/>
    <w:rsid w:val="006124F3"/>
    <w:rsid w:val="00612908"/>
    <w:rsid w:val="0061321C"/>
    <w:rsid w:val="006142CC"/>
    <w:rsid w:val="00614CA1"/>
    <w:rsid w:val="0061513E"/>
    <w:rsid w:val="006151B8"/>
    <w:rsid w:val="00615C2C"/>
    <w:rsid w:val="00617D8A"/>
    <w:rsid w:val="0062038A"/>
    <w:rsid w:val="006203A8"/>
    <w:rsid w:val="00620E59"/>
    <w:rsid w:val="00621132"/>
    <w:rsid w:val="006216B9"/>
    <w:rsid w:val="00621821"/>
    <w:rsid w:val="0062203B"/>
    <w:rsid w:val="00622656"/>
    <w:rsid w:val="0062386E"/>
    <w:rsid w:val="00623D9A"/>
    <w:rsid w:val="00623EBC"/>
    <w:rsid w:val="00623F01"/>
    <w:rsid w:val="006242FB"/>
    <w:rsid w:val="00624738"/>
    <w:rsid w:val="006251B3"/>
    <w:rsid w:val="006256A9"/>
    <w:rsid w:val="00626E2D"/>
    <w:rsid w:val="00627263"/>
    <w:rsid w:val="006272DE"/>
    <w:rsid w:val="00627857"/>
    <w:rsid w:val="00627D94"/>
    <w:rsid w:val="0063033A"/>
    <w:rsid w:val="006304D3"/>
    <w:rsid w:val="00630AB9"/>
    <w:rsid w:val="00630B42"/>
    <w:rsid w:val="0063104D"/>
    <w:rsid w:val="006310FC"/>
    <w:rsid w:val="0063121D"/>
    <w:rsid w:val="00631688"/>
    <w:rsid w:val="006320D8"/>
    <w:rsid w:val="00632540"/>
    <w:rsid w:val="00632E88"/>
    <w:rsid w:val="00634079"/>
    <w:rsid w:val="0063454C"/>
    <w:rsid w:val="00634DBB"/>
    <w:rsid w:val="00636D16"/>
    <w:rsid w:val="00637C26"/>
    <w:rsid w:val="006403B8"/>
    <w:rsid w:val="00640732"/>
    <w:rsid w:val="00640D3A"/>
    <w:rsid w:val="00642072"/>
    <w:rsid w:val="006440ED"/>
    <w:rsid w:val="0064467C"/>
    <w:rsid w:val="00644AB5"/>
    <w:rsid w:val="00645213"/>
    <w:rsid w:val="00645293"/>
    <w:rsid w:val="006468CB"/>
    <w:rsid w:val="006479DC"/>
    <w:rsid w:val="0065076D"/>
    <w:rsid w:val="00651B78"/>
    <w:rsid w:val="0065203B"/>
    <w:rsid w:val="00652263"/>
    <w:rsid w:val="0065238F"/>
    <w:rsid w:val="00652881"/>
    <w:rsid w:val="00652985"/>
    <w:rsid w:val="0065332B"/>
    <w:rsid w:val="006533AE"/>
    <w:rsid w:val="006538FD"/>
    <w:rsid w:val="0065472B"/>
    <w:rsid w:val="006551AE"/>
    <w:rsid w:val="006577E5"/>
    <w:rsid w:val="00657D7F"/>
    <w:rsid w:val="00657F9C"/>
    <w:rsid w:val="00661974"/>
    <w:rsid w:val="00662275"/>
    <w:rsid w:val="006623E2"/>
    <w:rsid w:val="006624E3"/>
    <w:rsid w:val="0066355F"/>
    <w:rsid w:val="006640F9"/>
    <w:rsid w:val="00664551"/>
    <w:rsid w:val="00664685"/>
    <w:rsid w:val="00664B95"/>
    <w:rsid w:val="00665D5F"/>
    <w:rsid w:val="0066672D"/>
    <w:rsid w:val="00666B5B"/>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77BD0"/>
    <w:rsid w:val="006800E3"/>
    <w:rsid w:val="00680DA1"/>
    <w:rsid w:val="006819BE"/>
    <w:rsid w:val="006821D7"/>
    <w:rsid w:val="00682EFD"/>
    <w:rsid w:val="00683F61"/>
    <w:rsid w:val="00684316"/>
    <w:rsid w:val="00686A36"/>
    <w:rsid w:val="00686C8F"/>
    <w:rsid w:val="00687AD5"/>
    <w:rsid w:val="00690AAA"/>
    <w:rsid w:val="0069211A"/>
    <w:rsid w:val="00692B81"/>
    <w:rsid w:val="00692C4F"/>
    <w:rsid w:val="00692D2F"/>
    <w:rsid w:val="006931C3"/>
    <w:rsid w:val="0069423F"/>
    <w:rsid w:val="00694557"/>
    <w:rsid w:val="00694795"/>
    <w:rsid w:val="00694940"/>
    <w:rsid w:val="006949D2"/>
    <w:rsid w:val="00694C5F"/>
    <w:rsid w:val="00695251"/>
    <w:rsid w:val="006953EF"/>
    <w:rsid w:val="00695689"/>
    <w:rsid w:val="00695ADE"/>
    <w:rsid w:val="00695C0D"/>
    <w:rsid w:val="00695CAE"/>
    <w:rsid w:val="00696356"/>
    <w:rsid w:val="006966F5"/>
    <w:rsid w:val="006968EA"/>
    <w:rsid w:val="006A015D"/>
    <w:rsid w:val="006A028E"/>
    <w:rsid w:val="006A2028"/>
    <w:rsid w:val="006A2EA3"/>
    <w:rsid w:val="006A3278"/>
    <w:rsid w:val="006A3CC1"/>
    <w:rsid w:val="006A4899"/>
    <w:rsid w:val="006A6142"/>
    <w:rsid w:val="006A6192"/>
    <w:rsid w:val="006A62E1"/>
    <w:rsid w:val="006A6566"/>
    <w:rsid w:val="006A6BEB"/>
    <w:rsid w:val="006A72C6"/>
    <w:rsid w:val="006A7310"/>
    <w:rsid w:val="006B02DA"/>
    <w:rsid w:val="006B08FB"/>
    <w:rsid w:val="006B0C48"/>
    <w:rsid w:val="006B121E"/>
    <w:rsid w:val="006B2065"/>
    <w:rsid w:val="006B275B"/>
    <w:rsid w:val="006B30BF"/>
    <w:rsid w:val="006B38C6"/>
    <w:rsid w:val="006B3940"/>
    <w:rsid w:val="006B45A6"/>
    <w:rsid w:val="006B5406"/>
    <w:rsid w:val="006B5CC7"/>
    <w:rsid w:val="006B62F0"/>
    <w:rsid w:val="006B6A5D"/>
    <w:rsid w:val="006B6C6B"/>
    <w:rsid w:val="006C09B6"/>
    <w:rsid w:val="006C0B70"/>
    <w:rsid w:val="006C168D"/>
    <w:rsid w:val="006C1AEA"/>
    <w:rsid w:val="006C2BF5"/>
    <w:rsid w:val="006C43D4"/>
    <w:rsid w:val="006C4A40"/>
    <w:rsid w:val="006C4E56"/>
    <w:rsid w:val="006C564F"/>
    <w:rsid w:val="006C61CD"/>
    <w:rsid w:val="006C642C"/>
    <w:rsid w:val="006C6B88"/>
    <w:rsid w:val="006C6FC6"/>
    <w:rsid w:val="006C7830"/>
    <w:rsid w:val="006C7BB9"/>
    <w:rsid w:val="006C7D50"/>
    <w:rsid w:val="006D141C"/>
    <w:rsid w:val="006D1C26"/>
    <w:rsid w:val="006D23CD"/>
    <w:rsid w:val="006D2425"/>
    <w:rsid w:val="006D2CF3"/>
    <w:rsid w:val="006D2D08"/>
    <w:rsid w:val="006D2F35"/>
    <w:rsid w:val="006D3228"/>
    <w:rsid w:val="006D349E"/>
    <w:rsid w:val="006D37A2"/>
    <w:rsid w:val="006D3BD0"/>
    <w:rsid w:val="006D3D2A"/>
    <w:rsid w:val="006D41EF"/>
    <w:rsid w:val="006D4A94"/>
    <w:rsid w:val="006D5351"/>
    <w:rsid w:val="006D53AA"/>
    <w:rsid w:val="006D5CCC"/>
    <w:rsid w:val="006D64C2"/>
    <w:rsid w:val="006D6993"/>
    <w:rsid w:val="006D7DF8"/>
    <w:rsid w:val="006E0154"/>
    <w:rsid w:val="006E0D09"/>
    <w:rsid w:val="006E1371"/>
    <w:rsid w:val="006E2117"/>
    <w:rsid w:val="006E241F"/>
    <w:rsid w:val="006E24EE"/>
    <w:rsid w:val="006E25BD"/>
    <w:rsid w:val="006E28A9"/>
    <w:rsid w:val="006E2D3F"/>
    <w:rsid w:val="006E3379"/>
    <w:rsid w:val="006E34B7"/>
    <w:rsid w:val="006E3691"/>
    <w:rsid w:val="006E36B8"/>
    <w:rsid w:val="006E3874"/>
    <w:rsid w:val="006E440A"/>
    <w:rsid w:val="006E4C40"/>
    <w:rsid w:val="006E5585"/>
    <w:rsid w:val="006E5E32"/>
    <w:rsid w:val="006E6142"/>
    <w:rsid w:val="006E633A"/>
    <w:rsid w:val="006E6A14"/>
    <w:rsid w:val="006E6B16"/>
    <w:rsid w:val="006E6DE8"/>
    <w:rsid w:val="006E780C"/>
    <w:rsid w:val="006F0BA7"/>
    <w:rsid w:val="006F0F01"/>
    <w:rsid w:val="006F1281"/>
    <w:rsid w:val="006F174D"/>
    <w:rsid w:val="006F1F41"/>
    <w:rsid w:val="006F3292"/>
    <w:rsid w:val="006F32EF"/>
    <w:rsid w:val="006F3615"/>
    <w:rsid w:val="006F3A6F"/>
    <w:rsid w:val="006F3C54"/>
    <w:rsid w:val="006F4CD8"/>
    <w:rsid w:val="006F53D9"/>
    <w:rsid w:val="006F5812"/>
    <w:rsid w:val="006F609A"/>
    <w:rsid w:val="007004DC"/>
    <w:rsid w:val="00700970"/>
    <w:rsid w:val="00700D9F"/>
    <w:rsid w:val="00701093"/>
    <w:rsid w:val="00701145"/>
    <w:rsid w:val="00701844"/>
    <w:rsid w:val="007022C4"/>
    <w:rsid w:val="007026E9"/>
    <w:rsid w:val="007031AF"/>
    <w:rsid w:val="00703C8B"/>
    <w:rsid w:val="00703E8A"/>
    <w:rsid w:val="00703F06"/>
    <w:rsid w:val="00704A57"/>
    <w:rsid w:val="00704F60"/>
    <w:rsid w:val="00705C9F"/>
    <w:rsid w:val="00706C1F"/>
    <w:rsid w:val="00706EA3"/>
    <w:rsid w:val="007078BE"/>
    <w:rsid w:val="00710BF6"/>
    <w:rsid w:val="007112BE"/>
    <w:rsid w:val="00711522"/>
    <w:rsid w:val="007118A6"/>
    <w:rsid w:val="00711C48"/>
    <w:rsid w:val="007124FE"/>
    <w:rsid w:val="00712533"/>
    <w:rsid w:val="00712644"/>
    <w:rsid w:val="0071300D"/>
    <w:rsid w:val="00713186"/>
    <w:rsid w:val="00713757"/>
    <w:rsid w:val="00713758"/>
    <w:rsid w:val="007137D8"/>
    <w:rsid w:val="007139DC"/>
    <w:rsid w:val="00713F1C"/>
    <w:rsid w:val="00714064"/>
    <w:rsid w:val="0071409E"/>
    <w:rsid w:val="00714496"/>
    <w:rsid w:val="00716B07"/>
    <w:rsid w:val="00716B1B"/>
    <w:rsid w:val="00717772"/>
    <w:rsid w:val="007200E5"/>
    <w:rsid w:val="00720C17"/>
    <w:rsid w:val="00721532"/>
    <w:rsid w:val="007215EC"/>
    <w:rsid w:val="00721AF1"/>
    <w:rsid w:val="0072280F"/>
    <w:rsid w:val="00722B5E"/>
    <w:rsid w:val="007235F5"/>
    <w:rsid w:val="00723B2C"/>
    <w:rsid w:val="00724F7C"/>
    <w:rsid w:val="007253CC"/>
    <w:rsid w:val="00725719"/>
    <w:rsid w:val="00726F5A"/>
    <w:rsid w:val="0072708F"/>
    <w:rsid w:val="00730E81"/>
    <w:rsid w:val="00731000"/>
    <w:rsid w:val="00731204"/>
    <w:rsid w:val="00731228"/>
    <w:rsid w:val="0073136D"/>
    <w:rsid w:val="007319BC"/>
    <w:rsid w:val="0073222B"/>
    <w:rsid w:val="00732582"/>
    <w:rsid w:val="0073258A"/>
    <w:rsid w:val="00732D1D"/>
    <w:rsid w:val="007332C4"/>
    <w:rsid w:val="00734381"/>
    <w:rsid w:val="00734B0E"/>
    <w:rsid w:val="00736034"/>
    <w:rsid w:val="0073681C"/>
    <w:rsid w:val="00736A4A"/>
    <w:rsid w:val="0073725B"/>
    <w:rsid w:val="00737895"/>
    <w:rsid w:val="0074033C"/>
    <w:rsid w:val="0074050E"/>
    <w:rsid w:val="00740B66"/>
    <w:rsid w:val="00741AF8"/>
    <w:rsid w:val="00741EBE"/>
    <w:rsid w:val="00742181"/>
    <w:rsid w:val="00742319"/>
    <w:rsid w:val="007424EC"/>
    <w:rsid w:val="00742590"/>
    <w:rsid w:val="00742B8F"/>
    <w:rsid w:val="00742BDF"/>
    <w:rsid w:val="00742EDA"/>
    <w:rsid w:val="007440FA"/>
    <w:rsid w:val="00744201"/>
    <w:rsid w:val="00745604"/>
    <w:rsid w:val="00745FCE"/>
    <w:rsid w:val="00746130"/>
    <w:rsid w:val="00746A40"/>
    <w:rsid w:val="00746E6A"/>
    <w:rsid w:val="007472AA"/>
    <w:rsid w:val="00747598"/>
    <w:rsid w:val="00750358"/>
    <w:rsid w:val="007520A3"/>
    <w:rsid w:val="007526F5"/>
    <w:rsid w:val="0075382A"/>
    <w:rsid w:val="00754717"/>
    <w:rsid w:val="00754836"/>
    <w:rsid w:val="00754FB9"/>
    <w:rsid w:val="007550EC"/>
    <w:rsid w:val="0075587B"/>
    <w:rsid w:val="00755CDF"/>
    <w:rsid w:val="00757042"/>
    <w:rsid w:val="0075711B"/>
    <w:rsid w:val="007578C3"/>
    <w:rsid w:val="00757A4C"/>
    <w:rsid w:val="00760895"/>
    <w:rsid w:val="0076114E"/>
    <w:rsid w:val="0076225A"/>
    <w:rsid w:val="00762ABF"/>
    <w:rsid w:val="0076353E"/>
    <w:rsid w:val="00764A94"/>
    <w:rsid w:val="00764B26"/>
    <w:rsid w:val="00764EA6"/>
    <w:rsid w:val="007651A9"/>
    <w:rsid w:val="007651E5"/>
    <w:rsid w:val="0076524F"/>
    <w:rsid w:val="0076544B"/>
    <w:rsid w:val="00765477"/>
    <w:rsid w:val="00765584"/>
    <w:rsid w:val="007665B2"/>
    <w:rsid w:val="007665F2"/>
    <w:rsid w:val="00766B2F"/>
    <w:rsid w:val="007670DC"/>
    <w:rsid w:val="00767356"/>
    <w:rsid w:val="007700C0"/>
    <w:rsid w:val="00770F2A"/>
    <w:rsid w:val="0077111A"/>
    <w:rsid w:val="007717CD"/>
    <w:rsid w:val="0077213A"/>
    <w:rsid w:val="00772272"/>
    <w:rsid w:val="00772823"/>
    <w:rsid w:val="00772D4F"/>
    <w:rsid w:val="0077369F"/>
    <w:rsid w:val="00773D9D"/>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F9E"/>
    <w:rsid w:val="0078533C"/>
    <w:rsid w:val="007857FB"/>
    <w:rsid w:val="00786053"/>
    <w:rsid w:val="00786799"/>
    <w:rsid w:val="007870FC"/>
    <w:rsid w:val="0078717D"/>
    <w:rsid w:val="00787CD0"/>
    <w:rsid w:val="007905A2"/>
    <w:rsid w:val="00791053"/>
    <w:rsid w:val="00791261"/>
    <w:rsid w:val="007917ED"/>
    <w:rsid w:val="007918FE"/>
    <w:rsid w:val="00791A3A"/>
    <w:rsid w:val="0079262D"/>
    <w:rsid w:val="00792A53"/>
    <w:rsid w:val="00792DCE"/>
    <w:rsid w:val="00794091"/>
    <w:rsid w:val="00794196"/>
    <w:rsid w:val="00794C47"/>
    <w:rsid w:val="00794FFF"/>
    <w:rsid w:val="00796D4D"/>
    <w:rsid w:val="007971B8"/>
    <w:rsid w:val="00797637"/>
    <w:rsid w:val="007976C4"/>
    <w:rsid w:val="00797E87"/>
    <w:rsid w:val="007A0018"/>
    <w:rsid w:val="007A07D1"/>
    <w:rsid w:val="007A0ADE"/>
    <w:rsid w:val="007A1B35"/>
    <w:rsid w:val="007A1F10"/>
    <w:rsid w:val="007A2EA0"/>
    <w:rsid w:val="007A35E4"/>
    <w:rsid w:val="007A3680"/>
    <w:rsid w:val="007A380E"/>
    <w:rsid w:val="007A3BCD"/>
    <w:rsid w:val="007A5214"/>
    <w:rsid w:val="007A59B8"/>
    <w:rsid w:val="007A65AF"/>
    <w:rsid w:val="007A6682"/>
    <w:rsid w:val="007A7508"/>
    <w:rsid w:val="007A7682"/>
    <w:rsid w:val="007A7957"/>
    <w:rsid w:val="007A7F42"/>
    <w:rsid w:val="007B2862"/>
    <w:rsid w:val="007B2D91"/>
    <w:rsid w:val="007B2FD8"/>
    <w:rsid w:val="007B33E3"/>
    <w:rsid w:val="007B3968"/>
    <w:rsid w:val="007B3C8C"/>
    <w:rsid w:val="007B45AF"/>
    <w:rsid w:val="007B4DD0"/>
    <w:rsid w:val="007B60DC"/>
    <w:rsid w:val="007B611E"/>
    <w:rsid w:val="007B662A"/>
    <w:rsid w:val="007B6FAD"/>
    <w:rsid w:val="007B71DC"/>
    <w:rsid w:val="007B7343"/>
    <w:rsid w:val="007B7743"/>
    <w:rsid w:val="007C04F4"/>
    <w:rsid w:val="007C0BA1"/>
    <w:rsid w:val="007C0FCB"/>
    <w:rsid w:val="007C2139"/>
    <w:rsid w:val="007C27A1"/>
    <w:rsid w:val="007C27DE"/>
    <w:rsid w:val="007C299E"/>
    <w:rsid w:val="007C525F"/>
    <w:rsid w:val="007C5321"/>
    <w:rsid w:val="007C53BC"/>
    <w:rsid w:val="007C5E8A"/>
    <w:rsid w:val="007C5F4B"/>
    <w:rsid w:val="007C6AAB"/>
    <w:rsid w:val="007C747A"/>
    <w:rsid w:val="007C7B84"/>
    <w:rsid w:val="007D0C4D"/>
    <w:rsid w:val="007D1FE9"/>
    <w:rsid w:val="007D28C9"/>
    <w:rsid w:val="007D326B"/>
    <w:rsid w:val="007D38F0"/>
    <w:rsid w:val="007D3CC8"/>
    <w:rsid w:val="007D430A"/>
    <w:rsid w:val="007D4756"/>
    <w:rsid w:val="007D47FB"/>
    <w:rsid w:val="007D4DD3"/>
    <w:rsid w:val="007D576A"/>
    <w:rsid w:val="007D62F9"/>
    <w:rsid w:val="007D63A4"/>
    <w:rsid w:val="007D6542"/>
    <w:rsid w:val="007D663C"/>
    <w:rsid w:val="007E06E7"/>
    <w:rsid w:val="007E0A47"/>
    <w:rsid w:val="007E1AA2"/>
    <w:rsid w:val="007E1F2C"/>
    <w:rsid w:val="007E279D"/>
    <w:rsid w:val="007E2D69"/>
    <w:rsid w:val="007E3B9A"/>
    <w:rsid w:val="007E3EEF"/>
    <w:rsid w:val="007E46E8"/>
    <w:rsid w:val="007E470F"/>
    <w:rsid w:val="007E4C1F"/>
    <w:rsid w:val="007E570A"/>
    <w:rsid w:val="007E5F72"/>
    <w:rsid w:val="007E77ED"/>
    <w:rsid w:val="007E7DD2"/>
    <w:rsid w:val="007F01DE"/>
    <w:rsid w:val="007F0759"/>
    <w:rsid w:val="007F0BCC"/>
    <w:rsid w:val="007F156E"/>
    <w:rsid w:val="007F1CF3"/>
    <w:rsid w:val="007F25C0"/>
    <w:rsid w:val="007F2661"/>
    <w:rsid w:val="007F30BB"/>
    <w:rsid w:val="007F5F52"/>
    <w:rsid w:val="007F672A"/>
    <w:rsid w:val="007F6A1D"/>
    <w:rsid w:val="007F77C6"/>
    <w:rsid w:val="007F79D4"/>
    <w:rsid w:val="007F7F72"/>
    <w:rsid w:val="008003A1"/>
    <w:rsid w:val="008006B7"/>
    <w:rsid w:val="00800FDB"/>
    <w:rsid w:val="00802081"/>
    <w:rsid w:val="008020F6"/>
    <w:rsid w:val="0080298E"/>
    <w:rsid w:val="00803833"/>
    <w:rsid w:val="008039DA"/>
    <w:rsid w:val="00804316"/>
    <w:rsid w:val="008044F8"/>
    <w:rsid w:val="00806461"/>
    <w:rsid w:val="008064C1"/>
    <w:rsid w:val="008077B1"/>
    <w:rsid w:val="0081096D"/>
    <w:rsid w:val="00810EAD"/>
    <w:rsid w:val="00810F3E"/>
    <w:rsid w:val="00811833"/>
    <w:rsid w:val="008128AE"/>
    <w:rsid w:val="00814BDE"/>
    <w:rsid w:val="00814DBC"/>
    <w:rsid w:val="00816FAD"/>
    <w:rsid w:val="0081708F"/>
    <w:rsid w:val="008174D4"/>
    <w:rsid w:val="0082002E"/>
    <w:rsid w:val="0082083C"/>
    <w:rsid w:val="00820C54"/>
    <w:rsid w:val="00820F37"/>
    <w:rsid w:val="00820FE6"/>
    <w:rsid w:val="00821A66"/>
    <w:rsid w:val="00821DBF"/>
    <w:rsid w:val="00822476"/>
    <w:rsid w:val="00822882"/>
    <w:rsid w:val="00822A1E"/>
    <w:rsid w:val="008238C7"/>
    <w:rsid w:val="008246F1"/>
    <w:rsid w:val="00824DEC"/>
    <w:rsid w:val="00825268"/>
    <w:rsid w:val="0082571C"/>
    <w:rsid w:val="00825A7F"/>
    <w:rsid w:val="00825B94"/>
    <w:rsid w:val="00825BB4"/>
    <w:rsid w:val="00825F68"/>
    <w:rsid w:val="00826686"/>
    <w:rsid w:val="00827030"/>
    <w:rsid w:val="008273D2"/>
    <w:rsid w:val="00827EC3"/>
    <w:rsid w:val="00830E92"/>
    <w:rsid w:val="008315BB"/>
    <w:rsid w:val="008320ED"/>
    <w:rsid w:val="00832A0F"/>
    <w:rsid w:val="00832E40"/>
    <w:rsid w:val="008336E4"/>
    <w:rsid w:val="008353D5"/>
    <w:rsid w:val="00835408"/>
    <w:rsid w:val="008358A2"/>
    <w:rsid w:val="008359DA"/>
    <w:rsid w:val="00836E44"/>
    <w:rsid w:val="00837CEF"/>
    <w:rsid w:val="00837E2F"/>
    <w:rsid w:val="00840035"/>
    <w:rsid w:val="00842661"/>
    <w:rsid w:val="008428A9"/>
    <w:rsid w:val="00844112"/>
    <w:rsid w:val="00844911"/>
    <w:rsid w:val="00844D3D"/>
    <w:rsid w:val="008456C9"/>
    <w:rsid w:val="008456DB"/>
    <w:rsid w:val="0084611D"/>
    <w:rsid w:val="00846177"/>
    <w:rsid w:val="00846182"/>
    <w:rsid w:val="0084654D"/>
    <w:rsid w:val="00846C9F"/>
    <w:rsid w:val="00846D60"/>
    <w:rsid w:val="008474FB"/>
    <w:rsid w:val="008479F1"/>
    <w:rsid w:val="00847BD6"/>
    <w:rsid w:val="00847D43"/>
    <w:rsid w:val="00850137"/>
    <w:rsid w:val="00850C62"/>
    <w:rsid w:val="00851284"/>
    <w:rsid w:val="008515E6"/>
    <w:rsid w:val="0085174C"/>
    <w:rsid w:val="008527D2"/>
    <w:rsid w:val="00852B48"/>
    <w:rsid w:val="0085322E"/>
    <w:rsid w:val="008544DB"/>
    <w:rsid w:val="0085474D"/>
    <w:rsid w:val="0085592A"/>
    <w:rsid w:val="00856481"/>
    <w:rsid w:val="008567A2"/>
    <w:rsid w:val="00856E6C"/>
    <w:rsid w:val="00857DE1"/>
    <w:rsid w:val="00860793"/>
    <w:rsid w:val="00862319"/>
    <w:rsid w:val="00862510"/>
    <w:rsid w:val="0086274D"/>
    <w:rsid w:val="00863011"/>
    <w:rsid w:val="0086334C"/>
    <w:rsid w:val="00863C5B"/>
    <w:rsid w:val="00863D2E"/>
    <w:rsid w:val="00864E32"/>
    <w:rsid w:val="00865075"/>
    <w:rsid w:val="00865CA5"/>
    <w:rsid w:val="0086615F"/>
    <w:rsid w:val="0086748F"/>
    <w:rsid w:val="008677A6"/>
    <w:rsid w:val="0087030E"/>
    <w:rsid w:val="0087188C"/>
    <w:rsid w:val="00872757"/>
    <w:rsid w:val="00872CE4"/>
    <w:rsid w:val="00872DF5"/>
    <w:rsid w:val="008735F0"/>
    <w:rsid w:val="00873671"/>
    <w:rsid w:val="00873AA4"/>
    <w:rsid w:val="00873CA8"/>
    <w:rsid w:val="00873D14"/>
    <w:rsid w:val="00873F5D"/>
    <w:rsid w:val="008746FB"/>
    <w:rsid w:val="00874784"/>
    <w:rsid w:val="0087494A"/>
    <w:rsid w:val="00874B65"/>
    <w:rsid w:val="00874C73"/>
    <w:rsid w:val="0087570C"/>
    <w:rsid w:val="00876136"/>
    <w:rsid w:val="00876C23"/>
    <w:rsid w:val="008773BA"/>
    <w:rsid w:val="00877B62"/>
    <w:rsid w:val="00881015"/>
    <w:rsid w:val="008810B0"/>
    <w:rsid w:val="0088157D"/>
    <w:rsid w:val="00881665"/>
    <w:rsid w:val="008819B6"/>
    <w:rsid w:val="00881AAC"/>
    <w:rsid w:val="00881D92"/>
    <w:rsid w:val="00882135"/>
    <w:rsid w:val="0088353F"/>
    <w:rsid w:val="008836B7"/>
    <w:rsid w:val="00883F7C"/>
    <w:rsid w:val="008841D3"/>
    <w:rsid w:val="00884350"/>
    <w:rsid w:val="00884987"/>
    <w:rsid w:val="00884BE0"/>
    <w:rsid w:val="00885EE8"/>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124"/>
    <w:rsid w:val="00895389"/>
    <w:rsid w:val="00895815"/>
    <w:rsid w:val="0089667E"/>
    <w:rsid w:val="0089690B"/>
    <w:rsid w:val="00896A5F"/>
    <w:rsid w:val="0089728F"/>
    <w:rsid w:val="008976C0"/>
    <w:rsid w:val="00897708"/>
    <w:rsid w:val="00897D88"/>
    <w:rsid w:val="008A09A8"/>
    <w:rsid w:val="008A0BBC"/>
    <w:rsid w:val="008A13D3"/>
    <w:rsid w:val="008A17AF"/>
    <w:rsid w:val="008A1ED9"/>
    <w:rsid w:val="008A28D4"/>
    <w:rsid w:val="008A2C65"/>
    <w:rsid w:val="008A2C8A"/>
    <w:rsid w:val="008A2F16"/>
    <w:rsid w:val="008A3285"/>
    <w:rsid w:val="008A36AE"/>
    <w:rsid w:val="008A4418"/>
    <w:rsid w:val="008A48C3"/>
    <w:rsid w:val="008A4A2B"/>
    <w:rsid w:val="008A4E18"/>
    <w:rsid w:val="008A520C"/>
    <w:rsid w:val="008A5493"/>
    <w:rsid w:val="008A596C"/>
    <w:rsid w:val="008A5BC0"/>
    <w:rsid w:val="008A64C4"/>
    <w:rsid w:val="008A6BF7"/>
    <w:rsid w:val="008A6C54"/>
    <w:rsid w:val="008A6CC1"/>
    <w:rsid w:val="008A7063"/>
    <w:rsid w:val="008A72FB"/>
    <w:rsid w:val="008A75CA"/>
    <w:rsid w:val="008A7F03"/>
    <w:rsid w:val="008B0233"/>
    <w:rsid w:val="008B0EA9"/>
    <w:rsid w:val="008B1823"/>
    <w:rsid w:val="008B1B4E"/>
    <w:rsid w:val="008B212B"/>
    <w:rsid w:val="008B2451"/>
    <w:rsid w:val="008B298F"/>
    <w:rsid w:val="008B2BDF"/>
    <w:rsid w:val="008B2F1C"/>
    <w:rsid w:val="008B4198"/>
    <w:rsid w:val="008B523A"/>
    <w:rsid w:val="008B586A"/>
    <w:rsid w:val="008B63E6"/>
    <w:rsid w:val="008B64AC"/>
    <w:rsid w:val="008B65D1"/>
    <w:rsid w:val="008B6651"/>
    <w:rsid w:val="008B6E16"/>
    <w:rsid w:val="008B7031"/>
    <w:rsid w:val="008B7110"/>
    <w:rsid w:val="008B783B"/>
    <w:rsid w:val="008B7A20"/>
    <w:rsid w:val="008C0DF9"/>
    <w:rsid w:val="008C1F28"/>
    <w:rsid w:val="008C2029"/>
    <w:rsid w:val="008C267C"/>
    <w:rsid w:val="008C2E44"/>
    <w:rsid w:val="008C3427"/>
    <w:rsid w:val="008C3BC2"/>
    <w:rsid w:val="008C40A4"/>
    <w:rsid w:val="008C4F76"/>
    <w:rsid w:val="008C5150"/>
    <w:rsid w:val="008C55AD"/>
    <w:rsid w:val="008C5774"/>
    <w:rsid w:val="008C61D6"/>
    <w:rsid w:val="008C62C3"/>
    <w:rsid w:val="008C649D"/>
    <w:rsid w:val="008C64F1"/>
    <w:rsid w:val="008C6BA8"/>
    <w:rsid w:val="008C6E80"/>
    <w:rsid w:val="008C77AA"/>
    <w:rsid w:val="008C7C1A"/>
    <w:rsid w:val="008D0DC1"/>
    <w:rsid w:val="008D0FCE"/>
    <w:rsid w:val="008D1BB0"/>
    <w:rsid w:val="008D20FF"/>
    <w:rsid w:val="008D2B9A"/>
    <w:rsid w:val="008D35D1"/>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10"/>
    <w:rsid w:val="008E2450"/>
    <w:rsid w:val="008E2C23"/>
    <w:rsid w:val="008E3F27"/>
    <w:rsid w:val="008E47EF"/>
    <w:rsid w:val="008E4E6E"/>
    <w:rsid w:val="008E5DB7"/>
    <w:rsid w:val="008E61EB"/>
    <w:rsid w:val="008E717F"/>
    <w:rsid w:val="008E7896"/>
    <w:rsid w:val="008E79C7"/>
    <w:rsid w:val="008E7B6F"/>
    <w:rsid w:val="008E7C9D"/>
    <w:rsid w:val="008E7D8A"/>
    <w:rsid w:val="008F0A50"/>
    <w:rsid w:val="008F14C7"/>
    <w:rsid w:val="008F18CE"/>
    <w:rsid w:val="008F1E9E"/>
    <w:rsid w:val="008F2165"/>
    <w:rsid w:val="008F2456"/>
    <w:rsid w:val="008F2477"/>
    <w:rsid w:val="008F3879"/>
    <w:rsid w:val="008F3BAB"/>
    <w:rsid w:val="008F51AA"/>
    <w:rsid w:val="008F5442"/>
    <w:rsid w:val="008F619D"/>
    <w:rsid w:val="008F6504"/>
    <w:rsid w:val="008F653E"/>
    <w:rsid w:val="008F7769"/>
    <w:rsid w:val="009004FE"/>
    <w:rsid w:val="00900EEF"/>
    <w:rsid w:val="00901014"/>
    <w:rsid w:val="009010F0"/>
    <w:rsid w:val="00901162"/>
    <w:rsid w:val="00901B53"/>
    <w:rsid w:val="0090223A"/>
    <w:rsid w:val="009028E2"/>
    <w:rsid w:val="009039FE"/>
    <w:rsid w:val="00903E9A"/>
    <w:rsid w:val="00904813"/>
    <w:rsid w:val="009048A5"/>
    <w:rsid w:val="00905404"/>
    <w:rsid w:val="00906478"/>
    <w:rsid w:val="00906753"/>
    <w:rsid w:val="00907264"/>
    <w:rsid w:val="0090765F"/>
    <w:rsid w:val="00907818"/>
    <w:rsid w:val="009112FE"/>
    <w:rsid w:val="00911305"/>
    <w:rsid w:val="0091194F"/>
    <w:rsid w:val="00912590"/>
    <w:rsid w:val="00912C8C"/>
    <w:rsid w:val="00913200"/>
    <w:rsid w:val="0091322E"/>
    <w:rsid w:val="009132CE"/>
    <w:rsid w:val="00914AD9"/>
    <w:rsid w:val="00914EAB"/>
    <w:rsid w:val="009151AE"/>
    <w:rsid w:val="009152D8"/>
    <w:rsid w:val="00915A1D"/>
    <w:rsid w:val="00916FB3"/>
    <w:rsid w:val="00917CF8"/>
    <w:rsid w:val="00920125"/>
    <w:rsid w:val="009206E8"/>
    <w:rsid w:val="00920B8C"/>
    <w:rsid w:val="00922567"/>
    <w:rsid w:val="009228DB"/>
    <w:rsid w:val="00922D49"/>
    <w:rsid w:val="009236B9"/>
    <w:rsid w:val="00925E37"/>
    <w:rsid w:val="00925EDD"/>
    <w:rsid w:val="00925F20"/>
    <w:rsid w:val="0092733D"/>
    <w:rsid w:val="00927899"/>
    <w:rsid w:val="00927D0E"/>
    <w:rsid w:val="00927E26"/>
    <w:rsid w:val="009309DA"/>
    <w:rsid w:val="00931040"/>
    <w:rsid w:val="00931663"/>
    <w:rsid w:val="00931D22"/>
    <w:rsid w:val="00932CC7"/>
    <w:rsid w:val="00933FB7"/>
    <w:rsid w:val="00934578"/>
    <w:rsid w:val="00935306"/>
    <w:rsid w:val="00936688"/>
    <w:rsid w:val="009367F5"/>
    <w:rsid w:val="00937683"/>
    <w:rsid w:val="009376A6"/>
    <w:rsid w:val="009379D2"/>
    <w:rsid w:val="00937AC9"/>
    <w:rsid w:val="00937CFA"/>
    <w:rsid w:val="00940291"/>
    <w:rsid w:val="009403A6"/>
    <w:rsid w:val="009406B3"/>
    <w:rsid w:val="009416E1"/>
    <w:rsid w:val="00942286"/>
    <w:rsid w:val="00943748"/>
    <w:rsid w:val="00943CEE"/>
    <w:rsid w:val="009444F4"/>
    <w:rsid w:val="00944674"/>
    <w:rsid w:val="00944A64"/>
    <w:rsid w:val="00945A70"/>
    <w:rsid w:val="00945CC4"/>
    <w:rsid w:val="00945CF5"/>
    <w:rsid w:val="0094691C"/>
    <w:rsid w:val="009477E9"/>
    <w:rsid w:val="00947C95"/>
    <w:rsid w:val="00947EED"/>
    <w:rsid w:val="009500A1"/>
    <w:rsid w:val="0095037E"/>
    <w:rsid w:val="009510D0"/>
    <w:rsid w:val="009511C9"/>
    <w:rsid w:val="00951648"/>
    <w:rsid w:val="00951D41"/>
    <w:rsid w:val="00951D97"/>
    <w:rsid w:val="00952230"/>
    <w:rsid w:val="00952266"/>
    <w:rsid w:val="00952AAD"/>
    <w:rsid w:val="00953B2B"/>
    <w:rsid w:val="00954567"/>
    <w:rsid w:val="009547B3"/>
    <w:rsid w:val="00954A89"/>
    <w:rsid w:val="00956671"/>
    <w:rsid w:val="00957466"/>
    <w:rsid w:val="009576F7"/>
    <w:rsid w:val="00960722"/>
    <w:rsid w:val="00961356"/>
    <w:rsid w:val="00961B90"/>
    <w:rsid w:val="00962401"/>
    <w:rsid w:val="00962510"/>
    <w:rsid w:val="0096260B"/>
    <w:rsid w:val="0096275C"/>
    <w:rsid w:val="009627FF"/>
    <w:rsid w:val="00962A27"/>
    <w:rsid w:val="00962B9D"/>
    <w:rsid w:val="00962EDC"/>
    <w:rsid w:val="00964E3D"/>
    <w:rsid w:val="009664D5"/>
    <w:rsid w:val="0096705C"/>
    <w:rsid w:val="009670B3"/>
    <w:rsid w:val="009670C1"/>
    <w:rsid w:val="00967111"/>
    <w:rsid w:val="00967657"/>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E7C"/>
    <w:rsid w:val="00977134"/>
    <w:rsid w:val="00980013"/>
    <w:rsid w:val="00980E65"/>
    <w:rsid w:val="00981242"/>
    <w:rsid w:val="00981963"/>
    <w:rsid w:val="009831B9"/>
    <w:rsid w:val="0098346C"/>
    <w:rsid w:val="00983C82"/>
    <w:rsid w:val="009844D6"/>
    <w:rsid w:val="00984520"/>
    <w:rsid w:val="0098521C"/>
    <w:rsid w:val="0098545C"/>
    <w:rsid w:val="00985990"/>
    <w:rsid w:val="00985B68"/>
    <w:rsid w:val="009862F1"/>
    <w:rsid w:val="009871EA"/>
    <w:rsid w:val="00991675"/>
    <w:rsid w:val="00991A56"/>
    <w:rsid w:val="00992BA2"/>
    <w:rsid w:val="00992F83"/>
    <w:rsid w:val="0099344F"/>
    <w:rsid w:val="00993A3C"/>
    <w:rsid w:val="009945D1"/>
    <w:rsid w:val="0099508A"/>
    <w:rsid w:val="009974EB"/>
    <w:rsid w:val="00997A12"/>
    <w:rsid w:val="00997C5A"/>
    <w:rsid w:val="009A1126"/>
    <w:rsid w:val="009A1191"/>
    <w:rsid w:val="009A12C1"/>
    <w:rsid w:val="009A22B5"/>
    <w:rsid w:val="009A2CC5"/>
    <w:rsid w:val="009A3662"/>
    <w:rsid w:val="009A5020"/>
    <w:rsid w:val="009A5564"/>
    <w:rsid w:val="009A7106"/>
    <w:rsid w:val="009A7469"/>
    <w:rsid w:val="009B07EE"/>
    <w:rsid w:val="009B1584"/>
    <w:rsid w:val="009B1B32"/>
    <w:rsid w:val="009B21A1"/>
    <w:rsid w:val="009B21CA"/>
    <w:rsid w:val="009B2600"/>
    <w:rsid w:val="009B2648"/>
    <w:rsid w:val="009B424E"/>
    <w:rsid w:val="009B4317"/>
    <w:rsid w:val="009B4EBB"/>
    <w:rsid w:val="009B529C"/>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2CE"/>
    <w:rsid w:val="009C5A4C"/>
    <w:rsid w:val="009C5F6C"/>
    <w:rsid w:val="009C5FDB"/>
    <w:rsid w:val="009C693E"/>
    <w:rsid w:val="009C6AE9"/>
    <w:rsid w:val="009C6B2C"/>
    <w:rsid w:val="009C6ED6"/>
    <w:rsid w:val="009C7012"/>
    <w:rsid w:val="009C70CB"/>
    <w:rsid w:val="009C7623"/>
    <w:rsid w:val="009D14EB"/>
    <w:rsid w:val="009D16DB"/>
    <w:rsid w:val="009D1B18"/>
    <w:rsid w:val="009D1E70"/>
    <w:rsid w:val="009D1EA4"/>
    <w:rsid w:val="009D27AA"/>
    <w:rsid w:val="009D2B99"/>
    <w:rsid w:val="009D2BFD"/>
    <w:rsid w:val="009D2FF8"/>
    <w:rsid w:val="009D33DF"/>
    <w:rsid w:val="009D357C"/>
    <w:rsid w:val="009D3F20"/>
    <w:rsid w:val="009D428F"/>
    <w:rsid w:val="009D4991"/>
    <w:rsid w:val="009D50E6"/>
    <w:rsid w:val="009D5222"/>
    <w:rsid w:val="009D52F9"/>
    <w:rsid w:val="009D597B"/>
    <w:rsid w:val="009D5BB5"/>
    <w:rsid w:val="009D5DCF"/>
    <w:rsid w:val="009D62BB"/>
    <w:rsid w:val="009D683D"/>
    <w:rsid w:val="009D696D"/>
    <w:rsid w:val="009D6993"/>
    <w:rsid w:val="009D6D63"/>
    <w:rsid w:val="009D6ED2"/>
    <w:rsid w:val="009D793C"/>
    <w:rsid w:val="009D7C40"/>
    <w:rsid w:val="009E08B3"/>
    <w:rsid w:val="009E0F1A"/>
    <w:rsid w:val="009E140D"/>
    <w:rsid w:val="009E14C7"/>
    <w:rsid w:val="009E43DD"/>
    <w:rsid w:val="009E4465"/>
    <w:rsid w:val="009E5318"/>
    <w:rsid w:val="009E53A7"/>
    <w:rsid w:val="009E5947"/>
    <w:rsid w:val="009E5ABE"/>
    <w:rsid w:val="009E6401"/>
    <w:rsid w:val="009E6A27"/>
    <w:rsid w:val="009E6C54"/>
    <w:rsid w:val="009E6F0C"/>
    <w:rsid w:val="009F04C8"/>
    <w:rsid w:val="009F0812"/>
    <w:rsid w:val="009F0E02"/>
    <w:rsid w:val="009F248B"/>
    <w:rsid w:val="009F2952"/>
    <w:rsid w:val="009F2A25"/>
    <w:rsid w:val="009F2DEF"/>
    <w:rsid w:val="009F366C"/>
    <w:rsid w:val="009F3A1A"/>
    <w:rsid w:val="009F4C7D"/>
    <w:rsid w:val="009F5235"/>
    <w:rsid w:val="009F531A"/>
    <w:rsid w:val="009F6344"/>
    <w:rsid w:val="009F6550"/>
    <w:rsid w:val="009F6B65"/>
    <w:rsid w:val="009F7021"/>
    <w:rsid w:val="009F720E"/>
    <w:rsid w:val="009F7809"/>
    <w:rsid w:val="009F786E"/>
    <w:rsid w:val="00A00034"/>
    <w:rsid w:val="00A0014F"/>
    <w:rsid w:val="00A00902"/>
    <w:rsid w:val="00A0098B"/>
    <w:rsid w:val="00A02388"/>
    <w:rsid w:val="00A0294E"/>
    <w:rsid w:val="00A039FF"/>
    <w:rsid w:val="00A03EFB"/>
    <w:rsid w:val="00A040E0"/>
    <w:rsid w:val="00A043CB"/>
    <w:rsid w:val="00A04524"/>
    <w:rsid w:val="00A05365"/>
    <w:rsid w:val="00A05ACE"/>
    <w:rsid w:val="00A10D65"/>
    <w:rsid w:val="00A114B9"/>
    <w:rsid w:val="00A11C85"/>
    <w:rsid w:val="00A136E8"/>
    <w:rsid w:val="00A13A65"/>
    <w:rsid w:val="00A14589"/>
    <w:rsid w:val="00A14AE3"/>
    <w:rsid w:val="00A16675"/>
    <w:rsid w:val="00A201B5"/>
    <w:rsid w:val="00A20268"/>
    <w:rsid w:val="00A21955"/>
    <w:rsid w:val="00A22CD6"/>
    <w:rsid w:val="00A234EC"/>
    <w:rsid w:val="00A23F83"/>
    <w:rsid w:val="00A23FE8"/>
    <w:rsid w:val="00A24128"/>
    <w:rsid w:val="00A2417A"/>
    <w:rsid w:val="00A2469D"/>
    <w:rsid w:val="00A25642"/>
    <w:rsid w:val="00A25760"/>
    <w:rsid w:val="00A26668"/>
    <w:rsid w:val="00A2681F"/>
    <w:rsid w:val="00A274F4"/>
    <w:rsid w:val="00A27804"/>
    <w:rsid w:val="00A27C85"/>
    <w:rsid w:val="00A3276D"/>
    <w:rsid w:val="00A334D1"/>
    <w:rsid w:val="00A336F1"/>
    <w:rsid w:val="00A337D0"/>
    <w:rsid w:val="00A34257"/>
    <w:rsid w:val="00A34ABB"/>
    <w:rsid w:val="00A35BF0"/>
    <w:rsid w:val="00A3655D"/>
    <w:rsid w:val="00A36822"/>
    <w:rsid w:val="00A36AB5"/>
    <w:rsid w:val="00A374FD"/>
    <w:rsid w:val="00A3754B"/>
    <w:rsid w:val="00A378AC"/>
    <w:rsid w:val="00A402DD"/>
    <w:rsid w:val="00A4069E"/>
    <w:rsid w:val="00A40BBF"/>
    <w:rsid w:val="00A411D1"/>
    <w:rsid w:val="00A41502"/>
    <w:rsid w:val="00A425B5"/>
    <w:rsid w:val="00A42C2D"/>
    <w:rsid w:val="00A43389"/>
    <w:rsid w:val="00A434A7"/>
    <w:rsid w:val="00A43B98"/>
    <w:rsid w:val="00A43E71"/>
    <w:rsid w:val="00A44ADB"/>
    <w:rsid w:val="00A45468"/>
    <w:rsid w:val="00A45753"/>
    <w:rsid w:val="00A457B8"/>
    <w:rsid w:val="00A47B15"/>
    <w:rsid w:val="00A5094A"/>
    <w:rsid w:val="00A51502"/>
    <w:rsid w:val="00A5153D"/>
    <w:rsid w:val="00A51708"/>
    <w:rsid w:val="00A52F84"/>
    <w:rsid w:val="00A53135"/>
    <w:rsid w:val="00A533CC"/>
    <w:rsid w:val="00A5358C"/>
    <w:rsid w:val="00A54284"/>
    <w:rsid w:val="00A5465A"/>
    <w:rsid w:val="00A54FB5"/>
    <w:rsid w:val="00A56655"/>
    <w:rsid w:val="00A56B05"/>
    <w:rsid w:val="00A56C06"/>
    <w:rsid w:val="00A56E50"/>
    <w:rsid w:val="00A5726C"/>
    <w:rsid w:val="00A57678"/>
    <w:rsid w:val="00A57972"/>
    <w:rsid w:val="00A579F5"/>
    <w:rsid w:val="00A57F83"/>
    <w:rsid w:val="00A60E2F"/>
    <w:rsid w:val="00A60FAC"/>
    <w:rsid w:val="00A61372"/>
    <w:rsid w:val="00A627AD"/>
    <w:rsid w:val="00A62B1F"/>
    <w:rsid w:val="00A63246"/>
    <w:rsid w:val="00A63284"/>
    <w:rsid w:val="00A63458"/>
    <w:rsid w:val="00A6372D"/>
    <w:rsid w:val="00A64CB8"/>
    <w:rsid w:val="00A64FF2"/>
    <w:rsid w:val="00A6576D"/>
    <w:rsid w:val="00A66065"/>
    <w:rsid w:val="00A660AE"/>
    <w:rsid w:val="00A66291"/>
    <w:rsid w:val="00A66437"/>
    <w:rsid w:val="00A66BB5"/>
    <w:rsid w:val="00A66BDE"/>
    <w:rsid w:val="00A67018"/>
    <w:rsid w:val="00A671D2"/>
    <w:rsid w:val="00A67289"/>
    <w:rsid w:val="00A672F3"/>
    <w:rsid w:val="00A673DC"/>
    <w:rsid w:val="00A67E73"/>
    <w:rsid w:val="00A7076E"/>
    <w:rsid w:val="00A709BE"/>
    <w:rsid w:val="00A70D85"/>
    <w:rsid w:val="00A7162E"/>
    <w:rsid w:val="00A71948"/>
    <w:rsid w:val="00A720A4"/>
    <w:rsid w:val="00A72308"/>
    <w:rsid w:val="00A724ED"/>
    <w:rsid w:val="00A72D71"/>
    <w:rsid w:val="00A73112"/>
    <w:rsid w:val="00A73617"/>
    <w:rsid w:val="00A747D2"/>
    <w:rsid w:val="00A74EFD"/>
    <w:rsid w:val="00A75123"/>
    <w:rsid w:val="00A75705"/>
    <w:rsid w:val="00A75F35"/>
    <w:rsid w:val="00A7638B"/>
    <w:rsid w:val="00A765A9"/>
    <w:rsid w:val="00A7712B"/>
    <w:rsid w:val="00A77C69"/>
    <w:rsid w:val="00A807D9"/>
    <w:rsid w:val="00A812B1"/>
    <w:rsid w:val="00A82C61"/>
    <w:rsid w:val="00A8301B"/>
    <w:rsid w:val="00A83049"/>
    <w:rsid w:val="00A8368D"/>
    <w:rsid w:val="00A83945"/>
    <w:rsid w:val="00A83953"/>
    <w:rsid w:val="00A83B69"/>
    <w:rsid w:val="00A83CD7"/>
    <w:rsid w:val="00A8400B"/>
    <w:rsid w:val="00A8416A"/>
    <w:rsid w:val="00A846DA"/>
    <w:rsid w:val="00A853D8"/>
    <w:rsid w:val="00A855EC"/>
    <w:rsid w:val="00A8661E"/>
    <w:rsid w:val="00A8695A"/>
    <w:rsid w:val="00A86ACF"/>
    <w:rsid w:val="00A8708E"/>
    <w:rsid w:val="00A90204"/>
    <w:rsid w:val="00A903B6"/>
    <w:rsid w:val="00A90F4F"/>
    <w:rsid w:val="00A910B1"/>
    <w:rsid w:val="00A923DA"/>
    <w:rsid w:val="00A92579"/>
    <w:rsid w:val="00A93614"/>
    <w:rsid w:val="00A936F9"/>
    <w:rsid w:val="00A947AA"/>
    <w:rsid w:val="00A94888"/>
    <w:rsid w:val="00A95B10"/>
    <w:rsid w:val="00A9681C"/>
    <w:rsid w:val="00A96867"/>
    <w:rsid w:val="00A96B3D"/>
    <w:rsid w:val="00AA0467"/>
    <w:rsid w:val="00AA1B53"/>
    <w:rsid w:val="00AA1DEA"/>
    <w:rsid w:val="00AA256D"/>
    <w:rsid w:val="00AA311D"/>
    <w:rsid w:val="00AA3556"/>
    <w:rsid w:val="00AA35FD"/>
    <w:rsid w:val="00AA39F5"/>
    <w:rsid w:val="00AA3DB7"/>
    <w:rsid w:val="00AA40FC"/>
    <w:rsid w:val="00AA41D3"/>
    <w:rsid w:val="00AA64AF"/>
    <w:rsid w:val="00AA6733"/>
    <w:rsid w:val="00AB0039"/>
    <w:rsid w:val="00AB0D96"/>
    <w:rsid w:val="00AB15A3"/>
    <w:rsid w:val="00AB177A"/>
    <w:rsid w:val="00AB1BE2"/>
    <w:rsid w:val="00AB216D"/>
    <w:rsid w:val="00AB3012"/>
    <w:rsid w:val="00AB321C"/>
    <w:rsid w:val="00AB473F"/>
    <w:rsid w:val="00AB4C91"/>
    <w:rsid w:val="00AB4E3B"/>
    <w:rsid w:val="00AB5381"/>
    <w:rsid w:val="00AB6118"/>
    <w:rsid w:val="00AB688F"/>
    <w:rsid w:val="00AB75EA"/>
    <w:rsid w:val="00AB7AA2"/>
    <w:rsid w:val="00AC0A22"/>
    <w:rsid w:val="00AC0FAA"/>
    <w:rsid w:val="00AC1515"/>
    <w:rsid w:val="00AC2234"/>
    <w:rsid w:val="00AC3FF3"/>
    <w:rsid w:val="00AC4B8A"/>
    <w:rsid w:val="00AC4BC1"/>
    <w:rsid w:val="00AC5715"/>
    <w:rsid w:val="00AC5A4D"/>
    <w:rsid w:val="00AD04BD"/>
    <w:rsid w:val="00AD0765"/>
    <w:rsid w:val="00AD0F00"/>
    <w:rsid w:val="00AD3D82"/>
    <w:rsid w:val="00AD4D1D"/>
    <w:rsid w:val="00AD55A8"/>
    <w:rsid w:val="00AD5CA4"/>
    <w:rsid w:val="00AD5CCC"/>
    <w:rsid w:val="00AD5EB5"/>
    <w:rsid w:val="00AD6A91"/>
    <w:rsid w:val="00AD6B02"/>
    <w:rsid w:val="00AD7214"/>
    <w:rsid w:val="00AE00D1"/>
    <w:rsid w:val="00AE04DB"/>
    <w:rsid w:val="00AE1066"/>
    <w:rsid w:val="00AE14DD"/>
    <w:rsid w:val="00AE289A"/>
    <w:rsid w:val="00AE297B"/>
    <w:rsid w:val="00AE2FA5"/>
    <w:rsid w:val="00AE3A4F"/>
    <w:rsid w:val="00AE3E30"/>
    <w:rsid w:val="00AE4518"/>
    <w:rsid w:val="00AE5D7F"/>
    <w:rsid w:val="00AE76F8"/>
    <w:rsid w:val="00AE79F0"/>
    <w:rsid w:val="00AF07B0"/>
    <w:rsid w:val="00AF08D5"/>
    <w:rsid w:val="00AF109C"/>
    <w:rsid w:val="00AF130E"/>
    <w:rsid w:val="00AF14CE"/>
    <w:rsid w:val="00AF1752"/>
    <w:rsid w:val="00AF20DA"/>
    <w:rsid w:val="00AF22DB"/>
    <w:rsid w:val="00AF40F4"/>
    <w:rsid w:val="00AF42FC"/>
    <w:rsid w:val="00AF4AC5"/>
    <w:rsid w:val="00AF4C2C"/>
    <w:rsid w:val="00AF597D"/>
    <w:rsid w:val="00AF5FD2"/>
    <w:rsid w:val="00AF6EC1"/>
    <w:rsid w:val="00AF784D"/>
    <w:rsid w:val="00AF7CE9"/>
    <w:rsid w:val="00B0022B"/>
    <w:rsid w:val="00B00331"/>
    <w:rsid w:val="00B014A1"/>
    <w:rsid w:val="00B01A80"/>
    <w:rsid w:val="00B02043"/>
    <w:rsid w:val="00B02DEC"/>
    <w:rsid w:val="00B02F9C"/>
    <w:rsid w:val="00B043B8"/>
    <w:rsid w:val="00B046AF"/>
    <w:rsid w:val="00B052B4"/>
    <w:rsid w:val="00B06036"/>
    <w:rsid w:val="00B061B4"/>
    <w:rsid w:val="00B06D1F"/>
    <w:rsid w:val="00B07C27"/>
    <w:rsid w:val="00B07DCF"/>
    <w:rsid w:val="00B07FB2"/>
    <w:rsid w:val="00B10017"/>
    <w:rsid w:val="00B1004A"/>
    <w:rsid w:val="00B101CE"/>
    <w:rsid w:val="00B109D0"/>
    <w:rsid w:val="00B10DE1"/>
    <w:rsid w:val="00B10FF8"/>
    <w:rsid w:val="00B11C74"/>
    <w:rsid w:val="00B11E02"/>
    <w:rsid w:val="00B12C50"/>
    <w:rsid w:val="00B12F0D"/>
    <w:rsid w:val="00B13A85"/>
    <w:rsid w:val="00B13BC7"/>
    <w:rsid w:val="00B13CD4"/>
    <w:rsid w:val="00B153D8"/>
    <w:rsid w:val="00B154DE"/>
    <w:rsid w:val="00B15814"/>
    <w:rsid w:val="00B1591D"/>
    <w:rsid w:val="00B15AA4"/>
    <w:rsid w:val="00B17514"/>
    <w:rsid w:val="00B17B14"/>
    <w:rsid w:val="00B203C4"/>
    <w:rsid w:val="00B20643"/>
    <w:rsid w:val="00B20863"/>
    <w:rsid w:val="00B20BEC"/>
    <w:rsid w:val="00B20CDD"/>
    <w:rsid w:val="00B22683"/>
    <w:rsid w:val="00B22BC9"/>
    <w:rsid w:val="00B22E81"/>
    <w:rsid w:val="00B232FE"/>
    <w:rsid w:val="00B23996"/>
    <w:rsid w:val="00B23A8A"/>
    <w:rsid w:val="00B23CB2"/>
    <w:rsid w:val="00B24085"/>
    <w:rsid w:val="00B240CC"/>
    <w:rsid w:val="00B24E14"/>
    <w:rsid w:val="00B2561A"/>
    <w:rsid w:val="00B256C1"/>
    <w:rsid w:val="00B25A64"/>
    <w:rsid w:val="00B25B94"/>
    <w:rsid w:val="00B26F7C"/>
    <w:rsid w:val="00B271F2"/>
    <w:rsid w:val="00B2752A"/>
    <w:rsid w:val="00B31884"/>
    <w:rsid w:val="00B31D19"/>
    <w:rsid w:val="00B3267D"/>
    <w:rsid w:val="00B32AB3"/>
    <w:rsid w:val="00B32C27"/>
    <w:rsid w:val="00B32DAE"/>
    <w:rsid w:val="00B32F23"/>
    <w:rsid w:val="00B3351C"/>
    <w:rsid w:val="00B33825"/>
    <w:rsid w:val="00B34BB2"/>
    <w:rsid w:val="00B34E7C"/>
    <w:rsid w:val="00B35AF6"/>
    <w:rsid w:val="00B36228"/>
    <w:rsid w:val="00B36353"/>
    <w:rsid w:val="00B366A3"/>
    <w:rsid w:val="00B368EA"/>
    <w:rsid w:val="00B37EEF"/>
    <w:rsid w:val="00B40B16"/>
    <w:rsid w:val="00B418AD"/>
    <w:rsid w:val="00B41C70"/>
    <w:rsid w:val="00B42F1A"/>
    <w:rsid w:val="00B43790"/>
    <w:rsid w:val="00B443D9"/>
    <w:rsid w:val="00B44531"/>
    <w:rsid w:val="00B449AC"/>
    <w:rsid w:val="00B45120"/>
    <w:rsid w:val="00B46521"/>
    <w:rsid w:val="00B46587"/>
    <w:rsid w:val="00B4746D"/>
    <w:rsid w:val="00B47AD2"/>
    <w:rsid w:val="00B47CF7"/>
    <w:rsid w:val="00B50686"/>
    <w:rsid w:val="00B50C50"/>
    <w:rsid w:val="00B5134D"/>
    <w:rsid w:val="00B513C0"/>
    <w:rsid w:val="00B53708"/>
    <w:rsid w:val="00B53DCB"/>
    <w:rsid w:val="00B5428F"/>
    <w:rsid w:val="00B54370"/>
    <w:rsid w:val="00B54852"/>
    <w:rsid w:val="00B54DEA"/>
    <w:rsid w:val="00B55185"/>
    <w:rsid w:val="00B55C03"/>
    <w:rsid w:val="00B55F0B"/>
    <w:rsid w:val="00B560EB"/>
    <w:rsid w:val="00B56A70"/>
    <w:rsid w:val="00B56BD2"/>
    <w:rsid w:val="00B604CE"/>
    <w:rsid w:val="00B60638"/>
    <w:rsid w:val="00B606F8"/>
    <w:rsid w:val="00B61923"/>
    <w:rsid w:val="00B61D88"/>
    <w:rsid w:val="00B621D6"/>
    <w:rsid w:val="00B62EDA"/>
    <w:rsid w:val="00B63AF2"/>
    <w:rsid w:val="00B65747"/>
    <w:rsid w:val="00B65D6F"/>
    <w:rsid w:val="00B65FAD"/>
    <w:rsid w:val="00B66063"/>
    <w:rsid w:val="00B66174"/>
    <w:rsid w:val="00B66292"/>
    <w:rsid w:val="00B671D4"/>
    <w:rsid w:val="00B67824"/>
    <w:rsid w:val="00B67B37"/>
    <w:rsid w:val="00B67C23"/>
    <w:rsid w:val="00B7079B"/>
    <w:rsid w:val="00B70DC7"/>
    <w:rsid w:val="00B721A4"/>
    <w:rsid w:val="00B72B5B"/>
    <w:rsid w:val="00B72EFF"/>
    <w:rsid w:val="00B7354F"/>
    <w:rsid w:val="00B74A92"/>
    <w:rsid w:val="00B750C2"/>
    <w:rsid w:val="00B756CB"/>
    <w:rsid w:val="00B75735"/>
    <w:rsid w:val="00B759F3"/>
    <w:rsid w:val="00B75D07"/>
    <w:rsid w:val="00B77142"/>
    <w:rsid w:val="00B80879"/>
    <w:rsid w:val="00B80A2C"/>
    <w:rsid w:val="00B80D3B"/>
    <w:rsid w:val="00B8135C"/>
    <w:rsid w:val="00B814BB"/>
    <w:rsid w:val="00B81730"/>
    <w:rsid w:val="00B81F60"/>
    <w:rsid w:val="00B82106"/>
    <w:rsid w:val="00B82123"/>
    <w:rsid w:val="00B823D4"/>
    <w:rsid w:val="00B82A9C"/>
    <w:rsid w:val="00B8314A"/>
    <w:rsid w:val="00B841AC"/>
    <w:rsid w:val="00B85873"/>
    <w:rsid w:val="00B85E95"/>
    <w:rsid w:val="00B865B0"/>
    <w:rsid w:val="00B865DC"/>
    <w:rsid w:val="00B870E8"/>
    <w:rsid w:val="00B875E3"/>
    <w:rsid w:val="00B87C29"/>
    <w:rsid w:val="00B90780"/>
    <w:rsid w:val="00B90968"/>
    <w:rsid w:val="00B91BC2"/>
    <w:rsid w:val="00B9240D"/>
    <w:rsid w:val="00B93CC5"/>
    <w:rsid w:val="00B94173"/>
    <w:rsid w:val="00B94960"/>
    <w:rsid w:val="00B95EAF"/>
    <w:rsid w:val="00B96F6E"/>
    <w:rsid w:val="00BA22A8"/>
    <w:rsid w:val="00BA309F"/>
    <w:rsid w:val="00BA3E48"/>
    <w:rsid w:val="00BA4905"/>
    <w:rsid w:val="00BA4BD3"/>
    <w:rsid w:val="00BA5C25"/>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C013A"/>
    <w:rsid w:val="00BC0863"/>
    <w:rsid w:val="00BC15EE"/>
    <w:rsid w:val="00BC162A"/>
    <w:rsid w:val="00BC2343"/>
    <w:rsid w:val="00BC5824"/>
    <w:rsid w:val="00BC702F"/>
    <w:rsid w:val="00BD0ECF"/>
    <w:rsid w:val="00BD2220"/>
    <w:rsid w:val="00BD30C8"/>
    <w:rsid w:val="00BD38F4"/>
    <w:rsid w:val="00BD3C4A"/>
    <w:rsid w:val="00BD3EB4"/>
    <w:rsid w:val="00BD4C5B"/>
    <w:rsid w:val="00BD5359"/>
    <w:rsid w:val="00BD5C65"/>
    <w:rsid w:val="00BD5EFA"/>
    <w:rsid w:val="00BD7BCC"/>
    <w:rsid w:val="00BE0717"/>
    <w:rsid w:val="00BE08BB"/>
    <w:rsid w:val="00BE16E9"/>
    <w:rsid w:val="00BE1D2A"/>
    <w:rsid w:val="00BE1FEF"/>
    <w:rsid w:val="00BE2730"/>
    <w:rsid w:val="00BE2A17"/>
    <w:rsid w:val="00BE31BE"/>
    <w:rsid w:val="00BE38C3"/>
    <w:rsid w:val="00BE3A1D"/>
    <w:rsid w:val="00BE3B92"/>
    <w:rsid w:val="00BE4167"/>
    <w:rsid w:val="00BE487E"/>
    <w:rsid w:val="00BE547E"/>
    <w:rsid w:val="00BE6018"/>
    <w:rsid w:val="00BE7086"/>
    <w:rsid w:val="00BE7278"/>
    <w:rsid w:val="00BF1F57"/>
    <w:rsid w:val="00BF20FD"/>
    <w:rsid w:val="00BF2239"/>
    <w:rsid w:val="00BF22C6"/>
    <w:rsid w:val="00BF268D"/>
    <w:rsid w:val="00BF2CD7"/>
    <w:rsid w:val="00BF34C2"/>
    <w:rsid w:val="00BF3804"/>
    <w:rsid w:val="00BF3B4E"/>
    <w:rsid w:val="00BF4086"/>
    <w:rsid w:val="00BF426C"/>
    <w:rsid w:val="00BF4594"/>
    <w:rsid w:val="00BF58D0"/>
    <w:rsid w:val="00BF591C"/>
    <w:rsid w:val="00BF6027"/>
    <w:rsid w:val="00BF60A0"/>
    <w:rsid w:val="00BF6702"/>
    <w:rsid w:val="00BF7952"/>
    <w:rsid w:val="00BF7D6A"/>
    <w:rsid w:val="00C0021D"/>
    <w:rsid w:val="00C00300"/>
    <w:rsid w:val="00C00A6C"/>
    <w:rsid w:val="00C00B8B"/>
    <w:rsid w:val="00C01213"/>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71A4"/>
    <w:rsid w:val="00C0721D"/>
    <w:rsid w:val="00C07FE8"/>
    <w:rsid w:val="00C10086"/>
    <w:rsid w:val="00C104CC"/>
    <w:rsid w:val="00C11521"/>
    <w:rsid w:val="00C13632"/>
    <w:rsid w:val="00C14195"/>
    <w:rsid w:val="00C142AD"/>
    <w:rsid w:val="00C142C1"/>
    <w:rsid w:val="00C14A30"/>
    <w:rsid w:val="00C152FE"/>
    <w:rsid w:val="00C15D1B"/>
    <w:rsid w:val="00C16739"/>
    <w:rsid w:val="00C168DD"/>
    <w:rsid w:val="00C176CC"/>
    <w:rsid w:val="00C20C8F"/>
    <w:rsid w:val="00C21031"/>
    <w:rsid w:val="00C21134"/>
    <w:rsid w:val="00C219EF"/>
    <w:rsid w:val="00C221B9"/>
    <w:rsid w:val="00C225EA"/>
    <w:rsid w:val="00C22CCE"/>
    <w:rsid w:val="00C232BC"/>
    <w:rsid w:val="00C23606"/>
    <w:rsid w:val="00C23BA2"/>
    <w:rsid w:val="00C2485F"/>
    <w:rsid w:val="00C248B1"/>
    <w:rsid w:val="00C24B63"/>
    <w:rsid w:val="00C25C14"/>
    <w:rsid w:val="00C262A0"/>
    <w:rsid w:val="00C26A4E"/>
    <w:rsid w:val="00C27082"/>
    <w:rsid w:val="00C27387"/>
    <w:rsid w:val="00C31195"/>
    <w:rsid w:val="00C31774"/>
    <w:rsid w:val="00C3180E"/>
    <w:rsid w:val="00C32AF2"/>
    <w:rsid w:val="00C33051"/>
    <w:rsid w:val="00C33204"/>
    <w:rsid w:val="00C338EB"/>
    <w:rsid w:val="00C33C34"/>
    <w:rsid w:val="00C34389"/>
    <w:rsid w:val="00C3465D"/>
    <w:rsid w:val="00C347D5"/>
    <w:rsid w:val="00C35ACE"/>
    <w:rsid w:val="00C36D6C"/>
    <w:rsid w:val="00C37139"/>
    <w:rsid w:val="00C371C9"/>
    <w:rsid w:val="00C37434"/>
    <w:rsid w:val="00C379E9"/>
    <w:rsid w:val="00C403CD"/>
    <w:rsid w:val="00C408E9"/>
    <w:rsid w:val="00C40ACD"/>
    <w:rsid w:val="00C42041"/>
    <w:rsid w:val="00C42AF6"/>
    <w:rsid w:val="00C43934"/>
    <w:rsid w:val="00C439FB"/>
    <w:rsid w:val="00C43AA8"/>
    <w:rsid w:val="00C43F23"/>
    <w:rsid w:val="00C441A4"/>
    <w:rsid w:val="00C44D8A"/>
    <w:rsid w:val="00C463C9"/>
    <w:rsid w:val="00C46A0B"/>
    <w:rsid w:val="00C46C24"/>
    <w:rsid w:val="00C47648"/>
    <w:rsid w:val="00C47852"/>
    <w:rsid w:val="00C47C29"/>
    <w:rsid w:val="00C50011"/>
    <w:rsid w:val="00C5254B"/>
    <w:rsid w:val="00C55D39"/>
    <w:rsid w:val="00C55FBF"/>
    <w:rsid w:val="00C57E68"/>
    <w:rsid w:val="00C601C9"/>
    <w:rsid w:val="00C6112C"/>
    <w:rsid w:val="00C61B3C"/>
    <w:rsid w:val="00C623C6"/>
    <w:rsid w:val="00C63094"/>
    <w:rsid w:val="00C631D3"/>
    <w:rsid w:val="00C645E6"/>
    <w:rsid w:val="00C64813"/>
    <w:rsid w:val="00C64D80"/>
    <w:rsid w:val="00C64D82"/>
    <w:rsid w:val="00C64FBC"/>
    <w:rsid w:val="00C650BF"/>
    <w:rsid w:val="00C65A83"/>
    <w:rsid w:val="00C66A00"/>
    <w:rsid w:val="00C66CBE"/>
    <w:rsid w:val="00C67118"/>
    <w:rsid w:val="00C67276"/>
    <w:rsid w:val="00C67770"/>
    <w:rsid w:val="00C67DDD"/>
    <w:rsid w:val="00C70139"/>
    <w:rsid w:val="00C70BC0"/>
    <w:rsid w:val="00C7191D"/>
    <w:rsid w:val="00C72C6F"/>
    <w:rsid w:val="00C74453"/>
    <w:rsid w:val="00C7473A"/>
    <w:rsid w:val="00C75AB0"/>
    <w:rsid w:val="00C76166"/>
    <w:rsid w:val="00C76B11"/>
    <w:rsid w:val="00C76B7B"/>
    <w:rsid w:val="00C76BBD"/>
    <w:rsid w:val="00C76DE2"/>
    <w:rsid w:val="00C772BA"/>
    <w:rsid w:val="00C802D1"/>
    <w:rsid w:val="00C8036C"/>
    <w:rsid w:val="00C805AB"/>
    <w:rsid w:val="00C80CD8"/>
    <w:rsid w:val="00C80F23"/>
    <w:rsid w:val="00C80F52"/>
    <w:rsid w:val="00C81151"/>
    <w:rsid w:val="00C82CC6"/>
    <w:rsid w:val="00C839CB"/>
    <w:rsid w:val="00C841E0"/>
    <w:rsid w:val="00C84593"/>
    <w:rsid w:val="00C850A3"/>
    <w:rsid w:val="00C85C32"/>
    <w:rsid w:val="00C85F45"/>
    <w:rsid w:val="00C86197"/>
    <w:rsid w:val="00C86C8C"/>
    <w:rsid w:val="00C87568"/>
    <w:rsid w:val="00C87FD0"/>
    <w:rsid w:val="00C90DB6"/>
    <w:rsid w:val="00C92166"/>
    <w:rsid w:val="00C92603"/>
    <w:rsid w:val="00C92652"/>
    <w:rsid w:val="00C928B9"/>
    <w:rsid w:val="00C92E31"/>
    <w:rsid w:val="00C9394F"/>
    <w:rsid w:val="00C93B1A"/>
    <w:rsid w:val="00C9444E"/>
    <w:rsid w:val="00C96AB2"/>
    <w:rsid w:val="00C96F5F"/>
    <w:rsid w:val="00C97055"/>
    <w:rsid w:val="00CA165C"/>
    <w:rsid w:val="00CA194C"/>
    <w:rsid w:val="00CA2B4F"/>
    <w:rsid w:val="00CA305B"/>
    <w:rsid w:val="00CA30C3"/>
    <w:rsid w:val="00CA3BE0"/>
    <w:rsid w:val="00CA3CD8"/>
    <w:rsid w:val="00CA4AB3"/>
    <w:rsid w:val="00CA5927"/>
    <w:rsid w:val="00CA635E"/>
    <w:rsid w:val="00CA6BB0"/>
    <w:rsid w:val="00CA70CE"/>
    <w:rsid w:val="00CA79EC"/>
    <w:rsid w:val="00CB002C"/>
    <w:rsid w:val="00CB059E"/>
    <w:rsid w:val="00CB1E4B"/>
    <w:rsid w:val="00CB21C1"/>
    <w:rsid w:val="00CB259F"/>
    <w:rsid w:val="00CB3137"/>
    <w:rsid w:val="00CB3295"/>
    <w:rsid w:val="00CB39C2"/>
    <w:rsid w:val="00CB3B29"/>
    <w:rsid w:val="00CB4105"/>
    <w:rsid w:val="00CB44E4"/>
    <w:rsid w:val="00CB4C8C"/>
    <w:rsid w:val="00CB4CF2"/>
    <w:rsid w:val="00CB4E90"/>
    <w:rsid w:val="00CB5035"/>
    <w:rsid w:val="00CB5651"/>
    <w:rsid w:val="00CB5850"/>
    <w:rsid w:val="00CB5C99"/>
    <w:rsid w:val="00CB633B"/>
    <w:rsid w:val="00CB6782"/>
    <w:rsid w:val="00CB6E3E"/>
    <w:rsid w:val="00CB7960"/>
    <w:rsid w:val="00CC049B"/>
    <w:rsid w:val="00CC080A"/>
    <w:rsid w:val="00CC0D0F"/>
    <w:rsid w:val="00CC1275"/>
    <w:rsid w:val="00CC12EE"/>
    <w:rsid w:val="00CC3767"/>
    <w:rsid w:val="00CC42B1"/>
    <w:rsid w:val="00CC4BF1"/>
    <w:rsid w:val="00CC5100"/>
    <w:rsid w:val="00CC5767"/>
    <w:rsid w:val="00CC5D2F"/>
    <w:rsid w:val="00CC68CC"/>
    <w:rsid w:val="00CC701E"/>
    <w:rsid w:val="00CC710F"/>
    <w:rsid w:val="00CC7735"/>
    <w:rsid w:val="00CD0121"/>
    <w:rsid w:val="00CD0160"/>
    <w:rsid w:val="00CD0310"/>
    <w:rsid w:val="00CD2E48"/>
    <w:rsid w:val="00CD4826"/>
    <w:rsid w:val="00CD4B1D"/>
    <w:rsid w:val="00CD4E19"/>
    <w:rsid w:val="00CD6219"/>
    <w:rsid w:val="00CD700F"/>
    <w:rsid w:val="00CD7319"/>
    <w:rsid w:val="00CD7706"/>
    <w:rsid w:val="00CE0837"/>
    <w:rsid w:val="00CE148E"/>
    <w:rsid w:val="00CE14E6"/>
    <w:rsid w:val="00CE208D"/>
    <w:rsid w:val="00CE2453"/>
    <w:rsid w:val="00CE32C9"/>
    <w:rsid w:val="00CE356D"/>
    <w:rsid w:val="00CE3FA4"/>
    <w:rsid w:val="00CE44F8"/>
    <w:rsid w:val="00CE4726"/>
    <w:rsid w:val="00CE5277"/>
    <w:rsid w:val="00CE571B"/>
    <w:rsid w:val="00CE5A63"/>
    <w:rsid w:val="00CE5B4D"/>
    <w:rsid w:val="00CE6075"/>
    <w:rsid w:val="00CE6358"/>
    <w:rsid w:val="00CE6686"/>
    <w:rsid w:val="00CE6E97"/>
    <w:rsid w:val="00CE77DD"/>
    <w:rsid w:val="00CE7868"/>
    <w:rsid w:val="00CE796C"/>
    <w:rsid w:val="00CF0C7E"/>
    <w:rsid w:val="00CF1B70"/>
    <w:rsid w:val="00CF1DD1"/>
    <w:rsid w:val="00CF2161"/>
    <w:rsid w:val="00CF2307"/>
    <w:rsid w:val="00CF26AE"/>
    <w:rsid w:val="00CF2D41"/>
    <w:rsid w:val="00CF2D54"/>
    <w:rsid w:val="00CF311F"/>
    <w:rsid w:val="00CF441F"/>
    <w:rsid w:val="00CF4F4B"/>
    <w:rsid w:val="00CF5047"/>
    <w:rsid w:val="00CF512F"/>
    <w:rsid w:val="00CF55FB"/>
    <w:rsid w:val="00CF5616"/>
    <w:rsid w:val="00CF74F6"/>
    <w:rsid w:val="00D0018A"/>
    <w:rsid w:val="00D009DC"/>
    <w:rsid w:val="00D0125C"/>
    <w:rsid w:val="00D01344"/>
    <w:rsid w:val="00D01A73"/>
    <w:rsid w:val="00D01B90"/>
    <w:rsid w:val="00D02224"/>
    <w:rsid w:val="00D024CD"/>
    <w:rsid w:val="00D03082"/>
    <w:rsid w:val="00D0328F"/>
    <w:rsid w:val="00D034DA"/>
    <w:rsid w:val="00D03538"/>
    <w:rsid w:val="00D03D28"/>
    <w:rsid w:val="00D0421D"/>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D1"/>
    <w:rsid w:val="00D11C5B"/>
    <w:rsid w:val="00D12453"/>
    <w:rsid w:val="00D1293B"/>
    <w:rsid w:val="00D129A8"/>
    <w:rsid w:val="00D12FB9"/>
    <w:rsid w:val="00D13184"/>
    <w:rsid w:val="00D135F2"/>
    <w:rsid w:val="00D13D00"/>
    <w:rsid w:val="00D147C0"/>
    <w:rsid w:val="00D14B4E"/>
    <w:rsid w:val="00D15696"/>
    <w:rsid w:val="00D15847"/>
    <w:rsid w:val="00D15C51"/>
    <w:rsid w:val="00D16A42"/>
    <w:rsid w:val="00D16C68"/>
    <w:rsid w:val="00D16DCA"/>
    <w:rsid w:val="00D200BD"/>
    <w:rsid w:val="00D201AA"/>
    <w:rsid w:val="00D204A7"/>
    <w:rsid w:val="00D20AA5"/>
    <w:rsid w:val="00D22399"/>
    <w:rsid w:val="00D23059"/>
    <w:rsid w:val="00D2662C"/>
    <w:rsid w:val="00D27FA3"/>
    <w:rsid w:val="00D30A44"/>
    <w:rsid w:val="00D3176C"/>
    <w:rsid w:val="00D31B3F"/>
    <w:rsid w:val="00D31F31"/>
    <w:rsid w:val="00D33751"/>
    <w:rsid w:val="00D35D4A"/>
    <w:rsid w:val="00D36F6E"/>
    <w:rsid w:val="00D372B0"/>
    <w:rsid w:val="00D37343"/>
    <w:rsid w:val="00D37E75"/>
    <w:rsid w:val="00D40B1A"/>
    <w:rsid w:val="00D41C8E"/>
    <w:rsid w:val="00D4205E"/>
    <w:rsid w:val="00D44E14"/>
    <w:rsid w:val="00D454A1"/>
    <w:rsid w:val="00D47399"/>
    <w:rsid w:val="00D47BB2"/>
    <w:rsid w:val="00D47D04"/>
    <w:rsid w:val="00D504B9"/>
    <w:rsid w:val="00D5056A"/>
    <w:rsid w:val="00D50963"/>
    <w:rsid w:val="00D50DCD"/>
    <w:rsid w:val="00D510A0"/>
    <w:rsid w:val="00D522CB"/>
    <w:rsid w:val="00D527EE"/>
    <w:rsid w:val="00D529C4"/>
    <w:rsid w:val="00D53929"/>
    <w:rsid w:val="00D539D0"/>
    <w:rsid w:val="00D540DC"/>
    <w:rsid w:val="00D54C0F"/>
    <w:rsid w:val="00D54EB2"/>
    <w:rsid w:val="00D55616"/>
    <w:rsid w:val="00D5574C"/>
    <w:rsid w:val="00D55DAC"/>
    <w:rsid w:val="00D6153F"/>
    <w:rsid w:val="00D61982"/>
    <w:rsid w:val="00D61EA9"/>
    <w:rsid w:val="00D61EFF"/>
    <w:rsid w:val="00D62655"/>
    <w:rsid w:val="00D6267A"/>
    <w:rsid w:val="00D62998"/>
    <w:rsid w:val="00D62CF8"/>
    <w:rsid w:val="00D631C2"/>
    <w:rsid w:val="00D63790"/>
    <w:rsid w:val="00D644CE"/>
    <w:rsid w:val="00D647DE"/>
    <w:rsid w:val="00D6501F"/>
    <w:rsid w:val="00D65347"/>
    <w:rsid w:val="00D65ACA"/>
    <w:rsid w:val="00D665F7"/>
    <w:rsid w:val="00D67062"/>
    <w:rsid w:val="00D67113"/>
    <w:rsid w:val="00D67D12"/>
    <w:rsid w:val="00D67DE1"/>
    <w:rsid w:val="00D701D7"/>
    <w:rsid w:val="00D705FF"/>
    <w:rsid w:val="00D70B0C"/>
    <w:rsid w:val="00D7145C"/>
    <w:rsid w:val="00D721D2"/>
    <w:rsid w:val="00D744BC"/>
    <w:rsid w:val="00D7585A"/>
    <w:rsid w:val="00D76D36"/>
    <w:rsid w:val="00D77C53"/>
    <w:rsid w:val="00D77E96"/>
    <w:rsid w:val="00D80618"/>
    <w:rsid w:val="00D807DF"/>
    <w:rsid w:val="00D81DA0"/>
    <w:rsid w:val="00D82339"/>
    <w:rsid w:val="00D82494"/>
    <w:rsid w:val="00D82FF2"/>
    <w:rsid w:val="00D83774"/>
    <w:rsid w:val="00D84A4B"/>
    <w:rsid w:val="00D858F9"/>
    <w:rsid w:val="00D85976"/>
    <w:rsid w:val="00D85CFA"/>
    <w:rsid w:val="00D864AE"/>
    <w:rsid w:val="00D878E1"/>
    <w:rsid w:val="00D90A81"/>
    <w:rsid w:val="00D90B7D"/>
    <w:rsid w:val="00D90DCE"/>
    <w:rsid w:val="00D91258"/>
    <w:rsid w:val="00D92168"/>
    <w:rsid w:val="00D922E2"/>
    <w:rsid w:val="00D9231C"/>
    <w:rsid w:val="00D9233E"/>
    <w:rsid w:val="00D92456"/>
    <w:rsid w:val="00D92A5E"/>
    <w:rsid w:val="00D935BD"/>
    <w:rsid w:val="00D940B5"/>
    <w:rsid w:val="00D94ACB"/>
    <w:rsid w:val="00D94D85"/>
    <w:rsid w:val="00D953F0"/>
    <w:rsid w:val="00D9582D"/>
    <w:rsid w:val="00D95CB0"/>
    <w:rsid w:val="00D960DF"/>
    <w:rsid w:val="00D9654F"/>
    <w:rsid w:val="00D966FE"/>
    <w:rsid w:val="00D968B9"/>
    <w:rsid w:val="00D977C0"/>
    <w:rsid w:val="00D97E14"/>
    <w:rsid w:val="00DA00A3"/>
    <w:rsid w:val="00DA0727"/>
    <w:rsid w:val="00DA08BD"/>
    <w:rsid w:val="00DA0C5B"/>
    <w:rsid w:val="00DA13F3"/>
    <w:rsid w:val="00DA2353"/>
    <w:rsid w:val="00DA2615"/>
    <w:rsid w:val="00DA2DE3"/>
    <w:rsid w:val="00DA3633"/>
    <w:rsid w:val="00DA3D19"/>
    <w:rsid w:val="00DA400B"/>
    <w:rsid w:val="00DA442F"/>
    <w:rsid w:val="00DA6443"/>
    <w:rsid w:val="00DA6B5E"/>
    <w:rsid w:val="00DA7146"/>
    <w:rsid w:val="00DA716A"/>
    <w:rsid w:val="00DA7B82"/>
    <w:rsid w:val="00DB1297"/>
    <w:rsid w:val="00DB1391"/>
    <w:rsid w:val="00DB1F4F"/>
    <w:rsid w:val="00DB2CD0"/>
    <w:rsid w:val="00DB354F"/>
    <w:rsid w:val="00DB37EE"/>
    <w:rsid w:val="00DB3C56"/>
    <w:rsid w:val="00DB401F"/>
    <w:rsid w:val="00DB4450"/>
    <w:rsid w:val="00DB4EE7"/>
    <w:rsid w:val="00DB521D"/>
    <w:rsid w:val="00DB58B9"/>
    <w:rsid w:val="00DB5971"/>
    <w:rsid w:val="00DB5D51"/>
    <w:rsid w:val="00DB5F53"/>
    <w:rsid w:val="00DB6705"/>
    <w:rsid w:val="00DB6804"/>
    <w:rsid w:val="00DB6B6A"/>
    <w:rsid w:val="00DB6C1C"/>
    <w:rsid w:val="00DB6DB0"/>
    <w:rsid w:val="00DB7B69"/>
    <w:rsid w:val="00DC0040"/>
    <w:rsid w:val="00DC0A2F"/>
    <w:rsid w:val="00DC0DBE"/>
    <w:rsid w:val="00DC136C"/>
    <w:rsid w:val="00DC234A"/>
    <w:rsid w:val="00DC41E4"/>
    <w:rsid w:val="00DC496E"/>
    <w:rsid w:val="00DC5116"/>
    <w:rsid w:val="00DC531C"/>
    <w:rsid w:val="00DC7C77"/>
    <w:rsid w:val="00DC7FD5"/>
    <w:rsid w:val="00DD02FF"/>
    <w:rsid w:val="00DD0581"/>
    <w:rsid w:val="00DD19EA"/>
    <w:rsid w:val="00DD246F"/>
    <w:rsid w:val="00DD24F9"/>
    <w:rsid w:val="00DD26EC"/>
    <w:rsid w:val="00DD2DFB"/>
    <w:rsid w:val="00DD3190"/>
    <w:rsid w:val="00DD3604"/>
    <w:rsid w:val="00DD388E"/>
    <w:rsid w:val="00DD3F4D"/>
    <w:rsid w:val="00DD50BB"/>
    <w:rsid w:val="00DD6F2E"/>
    <w:rsid w:val="00DD72E1"/>
    <w:rsid w:val="00DD7A65"/>
    <w:rsid w:val="00DD7EA2"/>
    <w:rsid w:val="00DE00F2"/>
    <w:rsid w:val="00DE117F"/>
    <w:rsid w:val="00DE1F4D"/>
    <w:rsid w:val="00DE2C4B"/>
    <w:rsid w:val="00DE2D17"/>
    <w:rsid w:val="00DE2F5F"/>
    <w:rsid w:val="00DE353C"/>
    <w:rsid w:val="00DE3783"/>
    <w:rsid w:val="00DE401C"/>
    <w:rsid w:val="00DE4222"/>
    <w:rsid w:val="00DE5038"/>
    <w:rsid w:val="00DE5BB5"/>
    <w:rsid w:val="00DE6E2F"/>
    <w:rsid w:val="00DE6F47"/>
    <w:rsid w:val="00DE7D13"/>
    <w:rsid w:val="00DF007B"/>
    <w:rsid w:val="00DF1EAE"/>
    <w:rsid w:val="00DF380E"/>
    <w:rsid w:val="00DF3816"/>
    <w:rsid w:val="00DF3818"/>
    <w:rsid w:val="00DF3F94"/>
    <w:rsid w:val="00DF4369"/>
    <w:rsid w:val="00DF4DC0"/>
    <w:rsid w:val="00DF57EF"/>
    <w:rsid w:val="00DF5970"/>
    <w:rsid w:val="00DF5B14"/>
    <w:rsid w:val="00DF63FA"/>
    <w:rsid w:val="00DF66E2"/>
    <w:rsid w:val="00DF7F54"/>
    <w:rsid w:val="00E001FD"/>
    <w:rsid w:val="00E00A1C"/>
    <w:rsid w:val="00E00D60"/>
    <w:rsid w:val="00E0119E"/>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3F6"/>
    <w:rsid w:val="00E1043E"/>
    <w:rsid w:val="00E104FA"/>
    <w:rsid w:val="00E1082A"/>
    <w:rsid w:val="00E10956"/>
    <w:rsid w:val="00E110B5"/>
    <w:rsid w:val="00E11166"/>
    <w:rsid w:val="00E12818"/>
    <w:rsid w:val="00E12D39"/>
    <w:rsid w:val="00E13182"/>
    <w:rsid w:val="00E14305"/>
    <w:rsid w:val="00E14523"/>
    <w:rsid w:val="00E14972"/>
    <w:rsid w:val="00E14CB9"/>
    <w:rsid w:val="00E151F2"/>
    <w:rsid w:val="00E15383"/>
    <w:rsid w:val="00E15C82"/>
    <w:rsid w:val="00E1738C"/>
    <w:rsid w:val="00E17ADC"/>
    <w:rsid w:val="00E201C0"/>
    <w:rsid w:val="00E2031A"/>
    <w:rsid w:val="00E21ABD"/>
    <w:rsid w:val="00E22775"/>
    <w:rsid w:val="00E22D28"/>
    <w:rsid w:val="00E22F81"/>
    <w:rsid w:val="00E22F87"/>
    <w:rsid w:val="00E230E3"/>
    <w:rsid w:val="00E23C97"/>
    <w:rsid w:val="00E24727"/>
    <w:rsid w:val="00E2635C"/>
    <w:rsid w:val="00E265A7"/>
    <w:rsid w:val="00E267FF"/>
    <w:rsid w:val="00E27123"/>
    <w:rsid w:val="00E2782A"/>
    <w:rsid w:val="00E27B80"/>
    <w:rsid w:val="00E30EDF"/>
    <w:rsid w:val="00E3101A"/>
    <w:rsid w:val="00E31B43"/>
    <w:rsid w:val="00E31FBA"/>
    <w:rsid w:val="00E32C18"/>
    <w:rsid w:val="00E3320C"/>
    <w:rsid w:val="00E33290"/>
    <w:rsid w:val="00E33513"/>
    <w:rsid w:val="00E33603"/>
    <w:rsid w:val="00E33A4F"/>
    <w:rsid w:val="00E33B50"/>
    <w:rsid w:val="00E33D76"/>
    <w:rsid w:val="00E33F3E"/>
    <w:rsid w:val="00E341E5"/>
    <w:rsid w:val="00E34315"/>
    <w:rsid w:val="00E34347"/>
    <w:rsid w:val="00E34F7C"/>
    <w:rsid w:val="00E35CE4"/>
    <w:rsid w:val="00E35FBC"/>
    <w:rsid w:val="00E36AAE"/>
    <w:rsid w:val="00E37198"/>
    <w:rsid w:val="00E3774C"/>
    <w:rsid w:val="00E41313"/>
    <w:rsid w:val="00E41773"/>
    <w:rsid w:val="00E41ACD"/>
    <w:rsid w:val="00E42FE6"/>
    <w:rsid w:val="00E43327"/>
    <w:rsid w:val="00E44370"/>
    <w:rsid w:val="00E45899"/>
    <w:rsid w:val="00E45E8E"/>
    <w:rsid w:val="00E460B6"/>
    <w:rsid w:val="00E46BD2"/>
    <w:rsid w:val="00E473D4"/>
    <w:rsid w:val="00E474CF"/>
    <w:rsid w:val="00E477BA"/>
    <w:rsid w:val="00E513F6"/>
    <w:rsid w:val="00E51EC6"/>
    <w:rsid w:val="00E52B4E"/>
    <w:rsid w:val="00E52F3B"/>
    <w:rsid w:val="00E52F80"/>
    <w:rsid w:val="00E53D94"/>
    <w:rsid w:val="00E53DEA"/>
    <w:rsid w:val="00E5424B"/>
    <w:rsid w:val="00E544BA"/>
    <w:rsid w:val="00E55B64"/>
    <w:rsid w:val="00E560DF"/>
    <w:rsid w:val="00E5623F"/>
    <w:rsid w:val="00E564F4"/>
    <w:rsid w:val="00E571BC"/>
    <w:rsid w:val="00E61088"/>
    <w:rsid w:val="00E616DB"/>
    <w:rsid w:val="00E62442"/>
    <w:rsid w:val="00E627A4"/>
    <w:rsid w:val="00E630ED"/>
    <w:rsid w:val="00E637C5"/>
    <w:rsid w:val="00E6437C"/>
    <w:rsid w:val="00E65237"/>
    <w:rsid w:val="00E66376"/>
    <w:rsid w:val="00E6732C"/>
    <w:rsid w:val="00E67862"/>
    <w:rsid w:val="00E70068"/>
    <w:rsid w:val="00E70ACF"/>
    <w:rsid w:val="00E70D46"/>
    <w:rsid w:val="00E712A9"/>
    <w:rsid w:val="00E7132A"/>
    <w:rsid w:val="00E713BC"/>
    <w:rsid w:val="00E72444"/>
    <w:rsid w:val="00E728E9"/>
    <w:rsid w:val="00E7410F"/>
    <w:rsid w:val="00E74EC5"/>
    <w:rsid w:val="00E75AD1"/>
    <w:rsid w:val="00E763A2"/>
    <w:rsid w:val="00E76B86"/>
    <w:rsid w:val="00E8080F"/>
    <w:rsid w:val="00E809F3"/>
    <w:rsid w:val="00E80C21"/>
    <w:rsid w:val="00E81796"/>
    <w:rsid w:val="00E820BD"/>
    <w:rsid w:val="00E82179"/>
    <w:rsid w:val="00E8227B"/>
    <w:rsid w:val="00E825C0"/>
    <w:rsid w:val="00E829FE"/>
    <w:rsid w:val="00E8342F"/>
    <w:rsid w:val="00E84210"/>
    <w:rsid w:val="00E844CD"/>
    <w:rsid w:val="00E847A7"/>
    <w:rsid w:val="00E84F54"/>
    <w:rsid w:val="00E84FE5"/>
    <w:rsid w:val="00E86682"/>
    <w:rsid w:val="00E86E79"/>
    <w:rsid w:val="00E879B9"/>
    <w:rsid w:val="00E906B4"/>
    <w:rsid w:val="00E9095B"/>
    <w:rsid w:val="00E90B13"/>
    <w:rsid w:val="00E90D3D"/>
    <w:rsid w:val="00E9145E"/>
    <w:rsid w:val="00E91B24"/>
    <w:rsid w:val="00E9229C"/>
    <w:rsid w:val="00E926B8"/>
    <w:rsid w:val="00E927BF"/>
    <w:rsid w:val="00E936DA"/>
    <w:rsid w:val="00E9399B"/>
    <w:rsid w:val="00E939A7"/>
    <w:rsid w:val="00E94008"/>
    <w:rsid w:val="00E94762"/>
    <w:rsid w:val="00E951B8"/>
    <w:rsid w:val="00E956BA"/>
    <w:rsid w:val="00E96B52"/>
    <w:rsid w:val="00E97DAC"/>
    <w:rsid w:val="00EA0018"/>
    <w:rsid w:val="00EA0512"/>
    <w:rsid w:val="00EA08BE"/>
    <w:rsid w:val="00EA0A85"/>
    <w:rsid w:val="00EA0EAC"/>
    <w:rsid w:val="00EA14B0"/>
    <w:rsid w:val="00EA2244"/>
    <w:rsid w:val="00EA4DDC"/>
    <w:rsid w:val="00EA6FA7"/>
    <w:rsid w:val="00EA7958"/>
    <w:rsid w:val="00EB05F6"/>
    <w:rsid w:val="00EB067F"/>
    <w:rsid w:val="00EB17BE"/>
    <w:rsid w:val="00EB1A1B"/>
    <w:rsid w:val="00EB1F02"/>
    <w:rsid w:val="00EB2E64"/>
    <w:rsid w:val="00EB3290"/>
    <w:rsid w:val="00EB33EB"/>
    <w:rsid w:val="00EB359C"/>
    <w:rsid w:val="00EB4483"/>
    <w:rsid w:val="00EB53FB"/>
    <w:rsid w:val="00EB56A1"/>
    <w:rsid w:val="00EB5BC5"/>
    <w:rsid w:val="00EB6097"/>
    <w:rsid w:val="00EB6212"/>
    <w:rsid w:val="00EB6431"/>
    <w:rsid w:val="00EB6BB5"/>
    <w:rsid w:val="00EB6E30"/>
    <w:rsid w:val="00EB7618"/>
    <w:rsid w:val="00EB7B51"/>
    <w:rsid w:val="00EB7CD7"/>
    <w:rsid w:val="00EB7F93"/>
    <w:rsid w:val="00EC0036"/>
    <w:rsid w:val="00EC034B"/>
    <w:rsid w:val="00EC086C"/>
    <w:rsid w:val="00EC0E8B"/>
    <w:rsid w:val="00EC1720"/>
    <w:rsid w:val="00EC17E3"/>
    <w:rsid w:val="00EC2CC3"/>
    <w:rsid w:val="00EC2DB7"/>
    <w:rsid w:val="00EC337D"/>
    <w:rsid w:val="00EC3538"/>
    <w:rsid w:val="00EC3F10"/>
    <w:rsid w:val="00EC42D0"/>
    <w:rsid w:val="00EC5F3E"/>
    <w:rsid w:val="00EC638F"/>
    <w:rsid w:val="00EC7927"/>
    <w:rsid w:val="00ED095E"/>
    <w:rsid w:val="00ED1A0B"/>
    <w:rsid w:val="00ED1EF0"/>
    <w:rsid w:val="00ED27DD"/>
    <w:rsid w:val="00ED29FF"/>
    <w:rsid w:val="00ED3706"/>
    <w:rsid w:val="00ED3FF2"/>
    <w:rsid w:val="00ED5162"/>
    <w:rsid w:val="00ED5669"/>
    <w:rsid w:val="00ED697C"/>
    <w:rsid w:val="00ED763A"/>
    <w:rsid w:val="00EE06CA"/>
    <w:rsid w:val="00EE17AA"/>
    <w:rsid w:val="00EE1CF9"/>
    <w:rsid w:val="00EE2314"/>
    <w:rsid w:val="00EE3F69"/>
    <w:rsid w:val="00EE43AD"/>
    <w:rsid w:val="00EE4874"/>
    <w:rsid w:val="00EE48D6"/>
    <w:rsid w:val="00EE4A6E"/>
    <w:rsid w:val="00EE4BAB"/>
    <w:rsid w:val="00EE5181"/>
    <w:rsid w:val="00EE62F4"/>
    <w:rsid w:val="00EE701E"/>
    <w:rsid w:val="00EE7598"/>
    <w:rsid w:val="00EE7922"/>
    <w:rsid w:val="00EE79A6"/>
    <w:rsid w:val="00EE7EB7"/>
    <w:rsid w:val="00EF11DF"/>
    <w:rsid w:val="00EF130D"/>
    <w:rsid w:val="00EF288A"/>
    <w:rsid w:val="00EF30E0"/>
    <w:rsid w:val="00EF3D05"/>
    <w:rsid w:val="00EF42CF"/>
    <w:rsid w:val="00EF5403"/>
    <w:rsid w:val="00EF567D"/>
    <w:rsid w:val="00EF5F11"/>
    <w:rsid w:val="00EF5F7D"/>
    <w:rsid w:val="00EF6111"/>
    <w:rsid w:val="00EF62D0"/>
    <w:rsid w:val="00EF6760"/>
    <w:rsid w:val="00F005A0"/>
    <w:rsid w:val="00F01835"/>
    <w:rsid w:val="00F01DE9"/>
    <w:rsid w:val="00F0229D"/>
    <w:rsid w:val="00F02B1B"/>
    <w:rsid w:val="00F032BB"/>
    <w:rsid w:val="00F032C8"/>
    <w:rsid w:val="00F03567"/>
    <w:rsid w:val="00F0362D"/>
    <w:rsid w:val="00F03C8C"/>
    <w:rsid w:val="00F03DD3"/>
    <w:rsid w:val="00F044C6"/>
    <w:rsid w:val="00F04BBE"/>
    <w:rsid w:val="00F051AC"/>
    <w:rsid w:val="00F053C1"/>
    <w:rsid w:val="00F0646B"/>
    <w:rsid w:val="00F06616"/>
    <w:rsid w:val="00F06AAE"/>
    <w:rsid w:val="00F06C43"/>
    <w:rsid w:val="00F07485"/>
    <w:rsid w:val="00F07622"/>
    <w:rsid w:val="00F10BC6"/>
    <w:rsid w:val="00F11352"/>
    <w:rsid w:val="00F11AD0"/>
    <w:rsid w:val="00F12313"/>
    <w:rsid w:val="00F1254C"/>
    <w:rsid w:val="00F13D34"/>
    <w:rsid w:val="00F14602"/>
    <w:rsid w:val="00F1498D"/>
    <w:rsid w:val="00F14DDF"/>
    <w:rsid w:val="00F150F9"/>
    <w:rsid w:val="00F152AD"/>
    <w:rsid w:val="00F15BA3"/>
    <w:rsid w:val="00F15BB3"/>
    <w:rsid w:val="00F15C96"/>
    <w:rsid w:val="00F163BF"/>
    <w:rsid w:val="00F165B7"/>
    <w:rsid w:val="00F170B2"/>
    <w:rsid w:val="00F17D79"/>
    <w:rsid w:val="00F20C9C"/>
    <w:rsid w:val="00F21827"/>
    <w:rsid w:val="00F21999"/>
    <w:rsid w:val="00F21A00"/>
    <w:rsid w:val="00F21F54"/>
    <w:rsid w:val="00F21FBE"/>
    <w:rsid w:val="00F2285F"/>
    <w:rsid w:val="00F22C7B"/>
    <w:rsid w:val="00F23155"/>
    <w:rsid w:val="00F23EE4"/>
    <w:rsid w:val="00F24236"/>
    <w:rsid w:val="00F24551"/>
    <w:rsid w:val="00F24E0E"/>
    <w:rsid w:val="00F25707"/>
    <w:rsid w:val="00F25AE7"/>
    <w:rsid w:val="00F25E46"/>
    <w:rsid w:val="00F26693"/>
    <w:rsid w:val="00F26963"/>
    <w:rsid w:val="00F26A13"/>
    <w:rsid w:val="00F27D3B"/>
    <w:rsid w:val="00F31261"/>
    <w:rsid w:val="00F3163E"/>
    <w:rsid w:val="00F31BB3"/>
    <w:rsid w:val="00F31C67"/>
    <w:rsid w:val="00F323C3"/>
    <w:rsid w:val="00F3278E"/>
    <w:rsid w:val="00F32A15"/>
    <w:rsid w:val="00F32EE6"/>
    <w:rsid w:val="00F32F3C"/>
    <w:rsid w:val="00F339EC"/>
    <w:rsid w:val="00F34078"/>
    <w:rsid w:val="00F3443B"/>
    <w:rsid w:val="00F34FDD"/>
    <w:rsid w:val="00F350BF"/>
    <w:rsid w:val="00F35279"/>
    <w:rsid w:val="00F35D4B"/>
    <w:rsid w:val="00F35F1A"/>
    <w:rsid w:val="00F36130"/>
    <w:rsid w:val="00F3644F"/>
    <w:rsid w:val="00F36B71"/>
    <w:rsid w:val="00F373AE"/>
    <w:rsid w:val="00F4032F"/>
    <w:rsid w:val="00F40360"/>
    <w:rsid w:val="00F40444"/>
    <w:rsid w:val="00F40CE6"/>
    <w:rsid w:val="00F41B59"/>
    <w:rsid w:val="00F41C28"/>
    <w:rsid w:val="00F42099"/>
    <w:rsid w:val="00F423BD"/>
    <w:rsid w:val="00F428DA"/>
    <w:rsid w:val="00F431C5"/>
    <w:rsid w:val="00F432FF"/>
    <w:rsid w:val="00F43915"/>
    <w:rsid w:val="00F4446C"/>
    <w:rsid w:val="00F456D2"/>
    <w:rsid w:val="00F45B08"/>
    <w:rsid w:val="00F46407"/>
    <w:rsid w:val="00F46431"/>
    <w:rsid w:val="00F469AD"/>
    <w:rsid w:val="00F46F8B"/>
    <w:rsid w:val="00F4715C"/>
    <w:rsid w:val="00F473C6"/>
    <w:rsid w:val="00F47C9F"/>
    <w:rsid w:val="00F50A6F"/>
    <w:rsid w:val="00F50CE8"/>
    <w:rsid w:val="00F51361"/>
    <w:rsid w:val="00F52330"/>
    <w:rsid w:val="00F5364B"/>
    <w:rsid w:val="00F54603"/>
    <w:rsid w:val="00F54772"/>
    <w:rsid w:val="00F54869"/>
    <w:rsid w:val="00F549DA"/>
    <w:rsid w:val="00F556B2"/>
    <w:rsid w:val="00F565E8"/>
    <w:rsid w:val="00F56CB4"/>
    <w:rsid w:val="00F5754B"/>
    <w:rsid w:val="00F576DE"/>
    <w:rsid w:val="00F57747"/>
    <w:rsid w:val="00F578BC"/>
    <w:rsid w:val="00F57D63"/>
    <w:rsid w:val="00F63289"/>
    <w:rsid w:val="00F633F1"/>
    <w:rsid w:val="00F63BF7"/>
    <w:rsid w:val="00F6453E"/>
    <w:rsid w:val="00F65003"/>
    <w:rsid w:val="00F65215"/>
    <w:rsid w:val="00F65617"/>
    <w:rsid w:val="00F65A88"/>
    <w:rsid w:val="00F66494"/>
    <w:rsid w:val="00F669C5"/>
    <w:rsid w:val="00F67D12"/>
    <w:rsid w:val="00F708B2"/>
    <w:rsid w:val="00F710BE"/>
    <w:rsid w:val="00F71D7B"/>
    <w:rsid w:val="00F72016"/>
    <w:rsid w:val="00F72684"/>
    <w:rsid w:val="00F72DAD"/>
    <w:rsid w:val="00F736D2"/>
    <w:rsid w:val="00F7564C"/>
    <w:rsid w:val="00F7579A"/>
    <w:rsid w:val="00F76220"/>
    <w:rsid w:val="00F7660B"/>
    <w:rsid w:val="00F769BE"/>
    <w:rsid w:val="00F76BBF"/>
    <w:rsid w:val="00F7735C"/>
    <w:rsid w:val="00F77BD5"/>
    <w:rsid w:val="00F77BE8"/>
    <w:rsid w:val="00F77DF9"/>
    <w:rsid w:val="00F829D2"/>
    <w:rsid w:val="00F82E6B"/>
    <w:rsid w:val="00F83662"/>
    <w:rsid w:val="00F838C0"/>
    <w:rsid w:val="00F859FC"/>
    <w:rsid w:val="00F85F83"/>
    <w:rsid w:val="00F860BC"/>
    <w:rsid w:val="00F87790"/>
    <w:rsid w:val="00F90A2C"/>
    <w:rsid w:val="00F9116C"/>
    <w:rsid w:val="00F912FD"/>
    <w:rsid w:val="00F91CBC"/>
    <w:rsid w:val="00F91D43"/>
    <w:rsid w:val="00F929E2"/>
    <w:rsid w:val="00F9367F"/>
    <w:rsid w:val="00F94318"/>
    <w:rsid w:val="00F95411"/>
    <w:rsid w:val="00F95642"/>
    <w:rsid w:val="00F96339"/>
    <w:rsid w:val="00F966EC"/>
    <w:rsid w:val="00F966F7"/>
    <w:rsid w:val="00F9759A"/>
    <w:rsid w:val="00F97859"/>
    <w:rsid w:val="00F97973"/>
    <w:rsid w:val="00F97B71"/>
    <w:rsid w:val="00FA06A3"/>
    <w:rsid w:val="00FA2943"/>
    <w:rsid w:val="00FA2CFC"/>
    <w:rsid w:val="00FA2DDA"/>
    <w:rsid w:val="00FA34CA"/>
    <w:rsid w:val="00FA3E3E"/>
    <w:rsid w:val="00FA4A55"/>
    <w:rsid w:val="00FA4D4F"/>
    <w:rsid w:val="00FA54E8"/>
    <w:rsid w:val="00FA5FE8"/>
    <w:rsid w:val="00FA6350"/>
    <w:rsid w:val="00FA668B"/>
    <w:rsid w:val="00FA67CF"/>
    <w:rsid w:val="00FA71BD"/>
    <w:rsid w:val="00FA7EA7"/>
    <w:rsid w:val="00FB1958"/>
    <w:rsid w:val="00FB2D17"/>
    <w:rsid w:val="00FB2F69"/>
    <w:rsid w:val="00FB368B"/>
    <w:rsid w:val="00FB3A3A"/>
    <w:rsid w:val="00FB4217"/>
    <w:rsid w:val="00FB4379"/>
    <w:rsid w:val="00FB45FF"/>
    <w:rsid w:val="00FB4DDB"/>
    <w:rsid w:val="00FB5D97"/>
    <w:rsid w:val="00FB61EA"/>
    <w:rsid w:val="00FB62B6"/>
    <w:rsid w:val="00FB67D0"/>
    <w:rsid w:val="00FB6C7A"/>
    <w:rsid w:val="00FB732E"/>
    <w:rsid w:val="00FB7760"/>
    <w:rsid w:val="00FB79F7"/>
    <w:rsid w:val="00FC09E7"/>
    <w:rsid w:val="00FC17CB"/>
    <w:rsid w:val="00FC1CA5"/>
    <w:rsid w:val="00FC1D8E"/>
    <w:rsid w:val="00FC261C"/>
    <w:rsid w:val="00FC2733"/>
    <w:rsid w:val="00FC276D"/>
    <w:rsid w:val="00FC2979"/>
    <w:rsid w:val="00FC3963"/>
    <w:rsid w:val="00FC48D3"/>
    <w:rsid w:val="00FC4D4C"/>
    <w:rsid w:val="00FC5E58"/>
    <w:rsid w:val="00FC6013"/>
    <w:rsid w:val="00FC6D6C"/>
    <w:rsid w:val="00FD02F6"/>
    <w:rsid w:val="00FD1C3C"/>
    <w:rsid w:val="00FD1E2D"/>
    <w:rsid w:val="00FD24F6"/>
    <w:rsid w:val="00FD27FD"/>
    <w:rsid w:val="00FD2DB1"/>
    <w:rsid w:val="00FD38A8"/>
    <w:rsid w:val="00FD3F7D"/>
    <w:rsid w:val="00FD567C"/>
    <w:rsid w:val="00FD6AC8"/>
    <w:rsid w:val="00FD75F8"/>
    <w:rsid w:val="00FE0A6C"/>
    <w:rsid w:val="00FE0FE5"/>
    <w:rsid w:val="00FE1727"/>
    <w:rsid w:val="00FE2742"/>
    <w:rsid w:val="00FE3638"/>
    <w:rsid w:val="00FE3A67"/>
    <w:rsid w:val="00FE3EA1"/>
    <w:rsid w:val="00FE4818"/>
    <w:rsid w:val="00FE4CA4"/>
    <w:rsid w:val="00FE5AE4"/>
    <w:rsid w:val="00FE5D80"/>
    <w:rsid w:val="00FE637F"/>
    <w:rsid w:val="00FE64EE"/>
    <w:rsid w:val="00FE6A29"/>
    <w:rsid w:val="00FE73F7"/>
    <w:rsid w:val="00FE745E"/>
    <w:rsid w:val="00FE7865"/>
    <w:rsid w:val="00FF06A0"/>
    <w:rsid w:val="00FF0BB0"/>
    <w:rsid w:val="00FF1342"/>
    <w:rsid w:val="00FF1513"/>
    <w:rsid w:val="00FF1577"/>
    <w:rsid w:val="00FF200B"/>
    <w:rsid w:val="00FF2145"/>
    <w:rsid w:val="00FF3081"/>
    <w:rsid w:val="00FF3334"/>
    <w:rsid w:val="00FF59BB"/>
    <w:rsid w:val="00FF59BE"/>
    <w:rsid w:val="00FF6ADB"/>
    <w:rsid w:val="00FF6C36"/>
    <w:rsid w:val="00FF744E"/>
    <w:rsid w:val="00FF7A31"/>
    <w:rsid w:val="00FF7F1B"/>
    <w:rsid w:val="0659482A"/>
    <w:rsid w:val="0B833306"/>
    <w:rsid w:val="16933E87"/>
    <w:rsid w:val="25355DB3"/>
    <w:rsid w:val="262B61DD"/>
    <w:rsid w:val="283F44F9"/>
    <w:rsid w:val="2A727DE7"/>
    <w:rsid w:val="32683538"/>
    <w:rsid w:val="38215878"/>
    <w:rsid w:val="3BAC7453"/>
    <w:rsid w:val="405C39D0"/>
    <w:rsid w:val="40F74E24"/>
    <w:rsid w:val="444C0699"/>
    <w:rsid w:val="4EDD3640"/>
    <w:rsid w:val="4FFC4B75"/>
    <w:rsid w:val="5D044F78"/>
    <w:rsid w:val="6158436B"/>
    <w:rsid w:val="6530106A"/>
    <w:rsid w:val="6A7527DF"/>
    <w:rsid w:val="723E0FB2"/>
    <w:rsid w:val="758406F8"/>
    <w:rsid w:val="77242BFE"/>
    <w:rsid w:val="7B94514A"/>
    <w:rsid w:val="7E48298F"/>
    <w:rsid w:val="7FDF1BD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55B8A1"/>
  <w15:docId w15:val="{D5AB4B8A-CFEB-4F94-9598-471EB54B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99" w:qFormat="1"/>
    <w:lsdException w:name="footnote text" w:qFormat="1"/>
    <w:lsdException w:name="annotation text" w:semiHidden="1"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uiPriority="9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uiPriority="99" w:qFormat="1"/>
    <w:lsdException w:name="Block Text" w:semiHidden="1" w:unhideWhenUsed="1"/>
    <w:lsdException w:name="Hyperlink" w:uiPriority="99" w:qFormat="1"/>
    <w:lsdException w:name="FollowedHyperlink" w:uiPriority="99" w:qFormat="1"/>
    <w:lsdException w:name="Strong" w:uiPriority="22" w:qFormat="1"/>
    <w:lsdException w:name="Emphasis" w:qFormat="1"/>
    <w:lsdException w:name="Document Map" w:semiHidden="1" w:uiPriority="99"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9"/>
    <w:qFormat/>
    <w:pPr>
      <w:widowControl/>
      <w:jc w:val="left"/>
      <w:outlineLvl w:val="0"/>
    </w:pPr>
    <w:rPr>
      <w:kern w:val="0"/>
      <w:sz w:val="24"/>
      <w:szCs w:val="20"/>
      <w:lang w:val="en-GB"/>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7">
    <w:name w:val="toc 7"/>
    <w:basedOn w:val="a"/>
    <w:next w:val="a"/>
    <w:uiPriority w:val="39"/>
    <w:unhideWhenUsed/>
    <w:qFormat/>
    <w:pPr>
      <w:ind w:leftChars="1200" w:left="2520"/>
    </w:pPr>
    <w:rPr>
      <w:rFonts w:asciiTheme="minorHAnsi" w:eastAsiaTheme="minorEastAsia" w:hAnsiTheme="minorHAnsi" w:cstheme="minorBidi"/>
      <w:szCs w:val="22"/>
    </w:rPr>
  </w:style>
  <w:style w:type="paragraph" w:styleId="a4">
    <w:name w:val="Document Map"/>
    <w:basedOn w:val="a"/>
    <w:link w:val="a5"/>
    <w:uiPriority w:val="99"/>
    <w:semiHidden/>
    <w:qFormat/>
    <w:pPr>
      <w:shd w:val="clear" w:color="auto" w:fill="000080"/>
    </w:pPr>
  </w:style>
  <w:style w:type="paragraph" w:styleId="a6">
    <w:name w:val="annotation text"/>
    <w:basedOn w:val="a"/>
    <w:link w:val="a7"/>
    <w:uiPriority w:val="99"/>
    <w:semiHidden/>
    <w:qFormat/>
    <w:pPr>
      <w:jc w:val="left"/>
    </w:pPr>
  </w:style>
  <w:style w:type="paragraph" w:styleId="a8">
    <w:name w:val="Body Text"/>
    <w:basedOn w:val="a"/>
    <w:link w:val="a9"/>
    <w:uiPriority w:val="99"/>
    <w:qFormat/>
    <w:pPr>
      <w:spacing w:after="120"/>
    </w:pPr>
  </w:style>
  <w:style w:type="paragraph" w:styleId="aa">
    <w:name w:val="Body Text Indent"/>
    <w:basedOn w:val="a"/>
    <w:link w:val="ab"/>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5">
    <w:name w:val="toc 5"/>
    <w:basedOn w:val="a"/>
    <w:next w:val="a"/>
    <w:uiPriority w:val="39"/>
    <w:unhideWhenUsed/>
    <w:qFormat/>
    <w:pPr>
      <w:ind w:leftChars="800" w:left="1680"/>
    </w:pPr>
    <w:rPr>
      <w:rFonts w:asciiTheme="minorHAnsi" w:eastAsiaTheme="minorEastAsia" w:hAnsiTheme="minorHAnsi" w:cstheme="minorBidi"/>
      <w:szCs w:val="22"/>
    </w:rPr>
  </w:style>
  <w:style w:type="paragraph" w:styleId="31">
    <w:name w:val="toc 3"/>
    <w:basedOn w:val="a"/>
    <w:next w:val="a"/>
    <w:uiPriority w:val="39"/>
    <w:qFormat/>
    <w:pPr>
      <w:ind w:leftChars="400" w:left="400"/>
    </w:pPr>
  </w:style>
  <w:style w:type="paragraph" w:styleId="ac">
    <w:name w:val="Plain Text"/>
    <w:basedOn w:val="a"/>
    <w:link w:val="ad"/>
    <w:qFormat/>
    <w:rPr>
      <w:rFonts w:ascii="宋体" w:hAnsi="Courier New"/>
      <w:szCs w:val="21"/>
    </w:rPr>
  </w:style>
  <w:style w:type="paragraph" w:styleId="8">
    <w:name w:val="toc 8"/>
    <w:basedOn w:val="a"/>
    <w:next w:val="a"/>
    <w:uiPriority w:val="39"/>
    <w:unhideWhenUsed/>
    <w:qFormat/>
    <w:pPr>
      <w:ind w:leftChars="1400" w:left="2940"/>
    </w:pPr>
    <w:rPr>
      <w:rFonts w:asciiTheme="minorHAnsi" w:eastAsiaTheme="minorEastAsia" w:hAnsiTheme="minorHAnsi" w:cstheme="minorBidi"/>
      <w:szCs w:val="22"/>
    </w:rPr>
  </w:style>
  <w:style w:type="paragraph" w:styleId="ae">
    <w:name w:val="Date"/>
    <w:basedOn w:val="a"/>
    <w:next w:val="a"/>
    <w:link w:val="af"/>
    <w:uiPriority w:val="99"/>
    <w:qFormat/>
    <w:rPr>
      <w:sz w:val="24"/>
      <w:szCs w:val="20"/>
    </w:rPr>
  </w:style>
  <w:style w:type="paragraph" w:styleId="21">
    <w:name w:val="Body Text Indent 2"/>
    <w:basedOn w:val="a"/>
    <w:link w:val="22"/>
    <w:qFormat/>
    <w:pPr>
      <w:spacing w:line="560" w:lineRule="exact"/>
      <w:ind w:firstLineChars="200" w:firstLine="480"/>
    </w:pPr>
    <w:rPr>
      <w:rFonts w:ascii="宋体" w:hAnsi="宋体"/>
      <w:color w:val="FF0000"/>
      <w:sz w:val="24"/>
    </w:rPr>
  </w:style>
  <w:style w:type="paragraph" w:styleId="af0">
    <w:name w:val="Balloon Text"/>
    <w:basedOn w:val="a"/>
    <w:link w:val="af1"/>
    <w:uiPriority w:val="99"/>
    <w:semiHidden/>
    <w:qFormat/>
    <w:rPr>
      <w:sz w:val="18"/>
      <w:szCs w:val="18"/>
    </w:rPr>
  </w:style>
  <w:style w:type="paragraph" w:styleId="af2">
    <w:name w:val="footer"/>
    <w:basedOn w:val="a"/>
    <w:link w:val="af3"/>
    <w:uiPriority w:val="99"/>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9072"/>
      </w:tabs>
      <w:jc w:val="left"/>
    </w:pPr>
  </w:style>
  <w:style w:type="paragraph" w:styleId="4">
    <w:name w:val="toc 4"/>
    <w:basedOn w:val="a"/>
    <w:next w:val="a"/>
    <w:uiPriority w:val="39"/>
    <w:unhideWhenUsed/>
    <w:qFormat/>
    <w:pPr>
      <w:ind w:leftChars="600" w:left="1260"/>
    </w:pPr>
    <w:rPr>
      <w:rFonts w:asciiTheme="minorHAnsi" w:eastAsiaTheme="minorEastAsia" w:hAnsiTheme="minorHAnsi" w:cstheme="minorBidi"/>
      <w:szCs w:val="22"/>
    </w:rPr>
  </w:style>
  <w:style w:type="paragraph" w:styleId="af6">
    <w:name w:val="List"/>
    <w:basedOn w:val="a8"/>
    <w:uiPriority w:val="99"/>
    <w:qFormat/>
    <w:pPr>
      <w:spacing w:after="220" w:line="220" w:lineRule="atLeast"/>
      <w:ind w:left="1440" w:hanging="360"/>
    </w:pPr>
    <w:rPr>
      <w:szCs w:val="20"/>
    </w:rPr>
  </w:style>
  <w:style w:type="paragraph" w:styleId="af7">
    <w:name w:val="footnote text"/>
    <w:basedOn w:val="a"/>
    <w:link w:val="af8"/>
    <w:qFormat/>
    <w:pPr>
      <w:snapToGrid w:val="0"/>
      <w:jc w:val="left"/>
    </w:pPr>
    <w:rPr>
      <w:sz w:val="18"/>
      <w:szCs w:val="18"/>
    </w:rPr>
  </w:style>
  <w:style w:type="paragraph" w:styleId="6">
    <w:name w:val="toc 6"/>
    <w:basedOn w:val="a"/>
    <w:next w:val="a"/>
    <w:uiPriority w:val="39"/>
    <w:unhideWhenUsed/>
    <w:qFormat/>
    <w:pPr>
      <w:ind w:leftChars="1000" w:left="2100"/>
    </w:pPr>
    <w:rPr>
      <w:rFonts w:asciiTheme="minorHAnsi" w:eastAsiaTheme="minorEastAsia" w:hAnsiTheme="minorHAnsi" w:cstheme="minorBidi"/>
      <w:szCs w:val="22"/>
    </w:rPr>
  </w:style>
  <w:style w:type="paragraph" w:styleId="32">
    <w:name w:val="Body Text Indent 3"/>
    <w:basedOn w:val="a"/>
    <w:link w:val="33"/>
    <w:uiPriority w:val="99"/>
    <w:qFormat/>
    <w:pPr>
      <w:spacing w:line="560" w:lineRule="exact"/>
      <w:ind w:firstLineChars="200" w:firstLine="420"/>
    </w:pPr>
    <w:rPr>
      <w:rFonts w:ascii="Arial" w:hAnsi="Arial" w:cs="Arial"/>
      <w:color w:val="FF0000"/>
    </w:rPr>
  </w:style>
  <w:style w:type="paragraph" w:styleId="23">
    <w:name w:val="toc 2"/>
    <w:basedOn w:val="a"/>
    <w:next w:val="a"/>
    <w:uiPriority w:val="39"/>
    <w:qFormat/>
    <w:pPr>
      <w:tabs>
        <w:tab w:val="right" w:leader="dot" w:pos="9072"/>
      </w:tabs>
      <w:ind w:leftChars="200" w:left="420"/>
    </w:pPr>
    <w:rPr>
      <w:kern w:val="0"/>
      <w:szCs w:val="21"/>
    </w:rPr>
  </w:style>
  <w:style w:type="paragraph" w:styleId="9">
    <w:name w:val="toc 9"/>
    <w:basedOn w:val="a"/>
    <w:next w:val="a"/>
    <w:uiPriority w:val="39"/>
    <w:unhideWhenUsed/>
    <w:qFormat/>
    <w:pPr>
      <w:ind w:leftChars="1600" w:left="3360"/>
    </w:pPr>
    <w:rPr>
      <w:rFonts w:asciiTheme="minorHAnsi" w:eastAsiaTheme="minorEastAsia" w:hAnsiTheme="minorHAnsi" w:cstheme="minorBidi"/>
      <w:szCs w:val="22"/>
    </w:rPr>
  </w:style>
  <w:style w:type="paragraph" w:styleId="af9">
    <w:name w:val="Normal (Web)"/>
    <w:basedOn w:val="a"/>
    <w:uiPriority w:val="99"/>
    <w:qFormat/>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pPr>
      <w:jc w:val="right"/>
    </w:pPr>
    <w:rPr>
      <w:color w:val="008000"/>
    </w:rPr>
  </w:style>
  <w:style w:type="paragraph" w:styleId="afa">
    <w:name w:val="annotation subject"/>
    <w:basedOn w:val="a6"/>
    <w:next w:val="a6"/>
    <w:link w:val="afb"/>
    <w:uiPriority w:val="99"/>
    <w:semiHidden/>
    <w:qFormat/>
    <w:rPr>
      <w:b/>
      <w:bCs/>
    </w:rPr>
  </w:style>
  <w:style w:type="table" w:styleId="afc">
    <w:name w:val="Table Grid"/>
    <w:basedOn w:val="a2"/>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1"/>
    <w:uiPriority w:val="22"/>
    <w:qFormat/>
    <w:rPr>
      <w:b/>
      <w:bCs/>
    </w:rPr>
  </w:style>
  <w:style w:type="character" w:styleId="afe">
    <w:name w:val="page number"/>
    <w:basedOn w:val="a1"/>
    <w:uiPriority w:val="99"/>
    <w:qFormat/>
  </w:style>
  <w:style w:type="character" w:styleId="aff">
    <w:name w:val="FollowedHyperlink"/>
    <w:uiPriority w:val="99"/>
    <w:qFormat/>
    <w:rPr>
      <w:color w:val="800080"/>
      <w:u w:val="single"/>
    </w:rPr>
  </w:style>
  <w:style w:type="character" w:styleId="aff0">
    <w:name w:val="Hyperlink"/>
    <w:uiPriority w:val="99"/>
    <w:qFormat/>
    <w:rPr>
      <w:color w:val="0000FF"/>
      <w:u w:val="single"/>
    </w:rPr>
  </w:style>
  <w:style w:type="character" w:styleId="aff1">
    <w:name w:val="annotation reference"/>
    <w:uiPriority w:val="99"/>
    <w:semiHidden/>
    <w:qFormat/>
    <w:rPr>
      <w:sz w:val="21"/>
      <w:szCs w:val="21"/>
    </w:rPr>
  </w:style>
  <w:style w:type="character" w:styleId="aff2">
    <w:name w:val="footnote reference"/>
    <w:qFormat/>
    <w:rPr>
      <w:vertAlign w:val="superscript"/>
    </w:rPr>
  </w:style>
  <w:style w:type="character" w:customStyle="1" w:styleId="c1">
    <w:name w:val="c1"/>
    <w:uiPriority w:val="99"/>
    <w:qFormat/>
    <w:rPr>
      <w:color w:val="000000"/>
      <w:spacing w:val="3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uiPriority w:val="99"/>
    <w:qFormat/>
  </w:style>
  <w:style w:type="paragraph" w:customStyle="1" w:styleId="aff3">
    <w:name w:val="正文 + (符号) 宋体"/>
    <w:basedOn w:val="a"/>
    <w:uiPriority w:val="99"/>
    <w:qFormat/>
    <w:pPr>
      <w:autoSpaceDE w:val="0"/>
      <w:autoSpaceDN w:val="0"/>
      <w:adjustRightInd w:val="0"/>
      <w:ind w:rightChars="671" w:right="1409" w:firstLineChars="512" w:firstLine="1229"/>
      <w:jc w:val="distribute"/>
    </w:pPr>
    <w:rPr>
      <w:sz w:val="24"/>
    </w:rPr>
  </w:style>
  <w:style w:type="paragraph" w:customStyle="1" w:styleId="Char1">
    <w:name w:val="Char1"/>
    <w:basedOn w:val="a"/>
    <w:uiPriority w:val="99"/>
    <w:qFormat/>
  </w:style>
  <w:style w:type="paragraph" w:customStyle="1" w:styleId="CharCharCharCharCharChar1CharCharChar">
    <w:name w:val="Char Char Char Char Char Char1 Char Char Char"/>
    <w:basedOn w:val="a"/>
    <w:uiPriority w:val="99"/>
    <w:qFormat/>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pPr>
      <w:tabs>
        <w:tab w:val="left" w:pos="840"/>
      </w:tabs>
      <w:adjustRightInd w:val="0"/>
      <w:spacing w:line="360" w:lineRule="atLeast"/>
      <w:ind w:left="840" w:hanging="360"/>
      <w:textAlignment w:val="baseline"/>
    </w:pPr>
    <w:rPr>
      <w:sz w:val="24"/>
    </w:rPr>
  </w:style>
  <w:style w:type="character" w:customStyle="1" w:styleId="20">
    <w:name w:val="标题 2 字符"/>
    <w:link w:val="2"/>
    <w:uiPriority w:val="99"/>
    <w:qFormat/>
    <w:rPr>
      <w:rFonts w:ascii="Arial" w:hAnsi="Arial" w:cs="Arial"/>
      <w:b/>
      <w:bCs/>
      <w:kern w:val="2"/>
      <w:sz w:val="24"/>
      <w:szCs w:val="28"/>
    </w:rPr>
  </w:style>
  <w:style w:type="character" w:customStyle="1" w:styleId="ad">
    <w:name w:val="纯文本 字符"/>
    <w:link w:val="ac"/>
    <w:qFormat/>
    <w:rPr>
      <w:rFonts w:ascii="宋体" w:hAnsi="Courier New"/>
      <w:kern w:val="2"/>
      <w:sz w:val="21"/>
      <w:szCs w:val="21"/>
    </w:rPr>
  </w:style>
  <w:style w:type="paragraph" w:customStyle="1" w:styleId="CharCharCharCharCharChar1CharCharChar1">
    <w:name w:val="Char Char Char Char Char Char1 Char Char Char1"/>
    <w:basedOn w:val="a"/>
    <w:uiPriority w:val="99"/>
    <w:qFormat/>
    <w:pPr>
      <w:autoSpaceDE w:val="0"/>
      <w:autoSpaceDN w:val="0"/>
      <w:adjustRightInd w:val="0"/>
      <w:jc w:val="left"/>
      <w:textAlignment w:val="baseline"/>
    </w:pPr>
    <w:rPr>
      <w:rFonts w:ascii="宋体"/>
      <w:kern w:val="0"/>
      <w:sz w:val="34"/>
      <w:szCs w:val="20"/>
    </w:rPr>
  </w:style>
  <w:style w:type="character" w:customStyle="1" w:styleId="10">
    <w:name w:val="标题 1 字符"/>
    <w:basedOn w:val="a1"/>
    <w:link w:val="1"/>
    <w:uiPriority w:val="99"/>
    <w:qFormat/>
    <w:rPr>
      <w:sz w:val="24"/>
      <w:lang w:val="en-GB"/>
    </w:rPr>
  </w:style>
  <w:style w:type="character" w:customStyle="1" w:styleId="30">
    <w:name w:val="标题 3 字符"/>
    <w:basedOn w:val="a1"/>
    <w:link w:val="3"/>
    <w:uiPriority w:val="99"/>
    <w:qFormat/>
    <w:rPr>
      <w:b/>
      <w:bCs/>
      <w:kern w:val="2"/>
      <w:sz w:val="32"/>
      <w:szCs w:val="32"/>
    </w:rPr>
  </w:style>
  <w:style w:type="character" w:customStyle="1" w:styleId="af8">
    <w:name w:val="脚注文本 字符"/>
    <w:basedOn w:val="a1"/>
    <w:link w:val="af7"/>
    <w:qFormat/>
    <w:rPr>
      <w:kern w:val="2"/>
      <w:sz w:val="18"/>
      <w:szCs w:val="18"/>
    </w:rPr>
  </w:style>
  <w:style w:type="character" w:customStyle="1" w:styleId="a7">
    <w:name w:val="批注文字 字符"/>
    <w:basedOn w:val="a1"/>
    <w:link w:val="a6"/>
    <w:uiPriority w:val="99"/>
    <w:semiHidden/>
    <w:qFormat/>
    <w:rPr>
      <w:kern w:val="2"/>
      <w:sz w:val="21"/>
      <w:szCs w:val="24"/>
    </w:rPr>
  </w:style>
  <w:style w:type="character" w:customStyle="1" w:styleId="af5">
    <w:name w:val="页眉 字符"/>
    <w:basedOn w:val="a1"/>
    <w:link w:val="af4"/>
    <w:uiPriority w:val="99"/>
    <w:qFormat/>
    <w:rPr>
      <w:kern w:val="2"/>
      <w:sz w:val="18"/>
      <w:szCs w:val="18"/>
    </w:rPr>
  </w:style>
  <w:style w:type="character" w:customStyle="1" w:styleId="af3">
    <w:name w:val="页脚 字符"/>
    <w:basedOn w:val="a1"/>
    <w:link w:val="af2"/>
    <w:uiPriority w:val="99"/>
    <w:qFormat/>
    <w:rPr>
      <w:kern w:val="2"/>
      <w:sz w:val="18"/>
      <w:szCs w:val="18"/>
    </w:rPr>
  </w:style>
  <w:style w:type="character" w:customStyle="1" w:styleId="a9">
    <w:name w:val="正文文本 字符"/>
    <w:basedOn w:val="a1"/>
    <w:link w:val="a8"/>
    <w:uiPriority w:val="99"/>
    <w:qFormat/>
    <w:rPr>
      <w:kern w:val="2"/>
      <w:sz w:val="21"/>
      <w:szCs w:val="24"/>
    </w:rPr>
  </w:style>
  <w:style w:type="character" w:customStyle="1" w:styleId="ab">
    <w:name w:val="正文文本缩进 字符"/>
    <w:basedOn w:val="a1"/>
    <w:link w:val="aa"/>
    <w:uiPriority w:val="99"/>
    <w:qFormat/>
    <w:rPr>
      <w:rFonts w:ascii="Arial Unicode MS" w:eastAsia="Arial Unicode MS" w:hAnsi="Arial Unicode MS" w:cs="Arial Unicode MS"/>
      <w:sz w:val="24"/>
      <w:szCs w:val="24"/>
    </w:rPr>
  </w:style>
  <w:style w:type="character" w:customStyle="1" w:styleId="Char0">
    <w:name w:val="日期 Char"/>
    <w:basedOn w:val="a1"/>
    <w:uiPriority w:val="99"/>
    <w:qFormat/>
    <w:rPr>
      <w:kern w:val="2"/>
      <w:sz w:val="24"/>
    </w:rPr>
  </w:style>
  <w:style w:type="character" w:customStyle="1" w:styleId="22">
    <w:name w:val="正文文本缩进 2 字符"/>
    <w:basedOn w:val="a1"/>
    <w:link w:val="21"/>
    <w:qFormat/>
    <w:rPr>
      <w:rFonts w:ascii="宋体" w:hAnsi="宋体"/>
      <w:color w:val="FF0000"/>
      <w:kern w:val="2"/>
      <w:sz w:val="24"/>
      <w:szCs w:val="24"/>
    </w:rPr>
  </w:style>
  <w:style w:type="character" w:customStyle="1" w:styleId="33">
    <w:name w:val="正文文本缩进 3 字符"/>
    <w:basedOn w:val="a1"/>
    <w:link w:val="32"/>
    <w:uiPriority w:val="99"/>
    <w:qFormat/>
    <w:rPr>
      <w:rFonts w:ascii="Arial" w:hAnsi="Arial" w:cs="Arial"/>
      <w:color w:val="FF0000"/>
      <w:kern w:val="2"/>
      <w:sz w:val="21"/>
      <w:szCs w:val="24"/>
    </w:rPr>
  </w:style>
  <w:style w:type="character" w:customStyle="1" w:styleId="a5">
    <w:name w:val="文档结构图 字符"/>
    <w:basedOn w:val="a1"/>
    <w:link w:val="a4"/>
    <w:uiPriority w:val="99"/>
    <w:semiHidden/>
    <w:qFormat/>
    <w:rPr>
      <w:kern w:val="2"/>
      <w:sz w:val="21"/>
      <w:szCs w:val="24"/>
      <w:shd w:val="clear" w:color="auto" w:fill="000080"/>
    </w:rPr>
  </w:style>
  <w:style w:type="character" w:customStyle="1" w:styleId="afb">
    <w:name w:val="批注主题 字符"/>
    <w:basedOn w:val="a7"/>
    <w:link w:val="afa"/>
    <w:uiPriority w:val="99"/>
    <w:semiHidden/>
    <w:qFormat/>
    <w:rPr>
      <w:b/>
      <w:bCs/>
      <w:kern w:val="2"/>
      <w:sz w:val="21"/>
      <w:szCs w:val="24"/>
    </w:rPr>
  </w:style>
  <w:style w:type="character" w:customStyle="1" w:styleId="af1">
    <w:name w:val="批注框文本 字符"/>
    <w:basedOn w:val="a1"/>
    <w:link w:val="af0"/>
    <w:uiPriority w:val="99"/>
    <w:semiHidden/>
    <w:qFormat/>
    <w:rPr>
      <w:kern w:val="2"/>
      <w:sz w:val="18"/>
      <w:szCs w:val="18"/>
    </w:rPr>
  </w:style>
  <w:style w:type="paragraph" w:customStyle="1" w:styleId="Default">
    <w:name w:val="Default"/>
    <w:qFormat/>
    <w:pPr>
      <w:widowControl w:val="0"/>
      <w:autoSpaceDE w:val="0"/>
      <w:autoSpaceDN w:val="0"/>
      <w:adjustRightInd w:val="0"/>
    </w:pPr>
    <w:rPr>
      <w:rFonts w:ascii="仿宋" w:hAnsi="仿宋" w:cs="仿宋"/>
      <w:color w:val="000000"/>
      <w:sz w:val="24"/>
      <w:szCs w:val="24"/>
    </w:rPr>
  </w:style>
  <w:style w:type="paragraph" w:styleId="aff4">
    <w:name w:val="List Paragraph"/>
    <w:basedOn w:val="a"/>
    <w:uiPriority w:val="34"/>
    <w:qFormat/>
    <w:pPr>
      <w:ind w:firstLineChars="200" w:firstLine="420"/>
    </w:pPr>
  </w:style>
  <w:style w:type="character" w:customStyle="1" w:styleId="af">
    <w:name w:val="日期 字符"/>
    <w:basedOn w:val="a1"/>
    <w:link w:val="ae"/>
    <w:uiPriority w:val="99"/>
    <w:unhideWhenUsed/>
    <w:qFormat/>
    <w:rPr>
      <w:rFonts w:ascii="Times New Roman" w:hint="default"/>
      <w:kern w:val="2"/>
      <w:sz w:val="24"/>
    </w:rPr>
  </w:style>
  <w:style w:type="paragraph" w:customStyle="1" w:styleId="13">
    <w:name w:val="修订1"/>
    <w:hidden/>
    <w:uiPriority w:val="99"/>
    <w:semiHidden/>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5C77B8-0113-4838-BB58-1E4E31251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92</Pages>
  <Words>11821</Words>
  <Characters>67384</Characters>
  <Application>Microsoft Office Word</Application>
  <DocSecurity>0</DocSecurity>
  <Lines>561</Lines>
  <Paragraphs>158</Paragraphs>
  <ScaleCrop>false</ScaleCrop>
  <Company/>
  <LinksUpToDate>false</LinksUpToDate>
  <CharactersWithSpaces>79047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杨梦瑶</cp:lastModifiedBy>
  <cp:revision>888</cp:revision>
  <cp:lastPrinted>2007-07-19T00:46:00Z</cp:lastPrinted>
  <dcterms:created xsi:type="dcterms:W3CDTF">2013-06-22T02:32:00Z</dcterms:created>
  <dcterms:modified xsi:type="dcterms:W3CDTF">2021-03-31T04:42:00Z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