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D67E" w14:textId="77777777" w:rsidR="00A2434A" w:rsidRDefault="00A3697C">
      <w:pPr>
        <w:spacing w:line="360" w:lineRule="auto"/>
        <w:jc w:val="left"/>
        <w:rPr>
          <w:rFonts w:ascii="仿宋" w:eastAsia="仿宋" w:hAnsi="仿宋"/>
          <w:b/>
          <w:color w:val="000000"/>
          <w:sz w:val="24"/>
          <w:szCs w:val="24"/>
        </w:rPr>
      </w:pPr>
      <w:r>
        <w:rPr>
          <w:rFonts w:ascii="宋体" w:hAnsi="宋体" w:hint="eastAsia"/>
          <w:sz w:val="24"/>
          <w:szCs w:val="24"/>
        </w:rPr>
        <w:t>合同编码:光银托管2020J055</w:t>
      </w:r>
    </w:p>
    <w:p w14:paraId="465B9C9B" w14:textId="77777777" w:rsidR="00A2434A" w:rsidRDefault="00A2434A">
      <w:pPr>
        <w:spacing w:line="360" w:lineRule="auto"/>
        <w:jc w:val="center"/>
        <w:rPr>
          <w:rFonts w:ascii="仿宋" w:eastAsia="仿宋" w:hAnsi="仿宋"/>
          <w:b/>
          <w:color w:val="000000"/>
          <w:sz w:val="32"/>
        </w:rPr>
      </w:pPr>
    </w:p>
    <w:p w14:paraId="4393B176" w14:textId="77777777" w:rsidR="00A2434A" w:rsidRDefault="00A2434A">
      <w:pPr>
        <w:spacing w:line="360" w:lineRule="auto"/>
        <w:rPr>
          <w:rFonts w:ascii="仿宋" w:eastAsia="仿宋" w:hAnsi="仿宋"/>
          <w:b/>
          <w:color w:val="000000"/>
          <w:sz w:val="32"/>
        </w:rPr>
      </w:pPr>
    </w:p>
    <w:p w14:paraId="140BDCD4" w14:textId="77777777" w:rsidR="00A2434A" w:rsidRDefault="00A3697C">
      <w:pPr>
        <w:spacing w:line="360" w:lineRule="auto"/>
        <w:jc w:val="center"/>
        <w:rPr>
          <w:rFonts w:ascii="宋体" w:hAnsi="宋体" w:cs="宋体"/>
          <w:b/>
          <w:color w:val="000000"/>
          <w:sz w:val="44"/>
          <w:szCs w:val="44"/>
        </w:rPr>
      </w:pPr>
      <w:r>
        <w:rPr>
          <w:rFonts w:ascii="宋体" w:hAnsi="宋体" w:cs="宋体" w:hint="eastAsia"/>
          <w:b/>
          <w:color w:val="000000"/>
          <w:sz w:val="44"/>
          <w:szCs w:val="44"/>
        </w:rPr>
        <w:t>交银施罗德鸿光一年持有期混合型</w:t>
      </w:r>
    </w:p>
    <w:p w14:paraId="26236624" w14:textId="16E2501C" w:rsidR="00A2434A" w:rsidRDefault="00A3697C">
      <w:pPr>
        <w:spacing w:line="360" w:lineRule="auto"/>
        <w:jc w:val="center"/>
        <w:rPr>
          <w:rFonts w:ascii="宋体" w:hAnsi="宋体" w:cs="宋体"/>
          <w:b/>
          <w:color w:val="000000"/>
          <w:sz w:val="44"/>
          <w:szCs w:val="44"/>
        </w:rPr>
      </w:pPr>
      <w:r>
        <w:rPr>
          <w:rFonts w:ascii="宋体" w:hAnsi="宋体" w:cs="宋体" w:hint="eastAsia"/>
          <w:b/>
          <w:color w:val="000000"/>
          <w:sz w:val="44"/>
          <w:szCs w:val="44"/>
        </w:rPr>
        <w:t>证券投资基金托管协议</w:t>
      </w:r>
    </w:p>
    <w:p w14:paraId="52DE9366" w14:textId="77777777" w:rsidR="00A2434A" w:rsidRDefault="00A2434A">
      <w:pPr>
        <w:spacing w:line="360" w:lineRule="auto"/>
        <w:jc w:val="center"/>
        <w:rPr>
          <w:rFonts w:ascii="仿宋" w:eastAsia="仿宋" w:hAnsi="仿宋"/>
          <w:color w:val="000000"/>
          <w:sz w:val="30"/>
        </w:rPr>
      </w:pPr>
    </w:p>
    <w:p w14:paraId="3FC98686" w14:textId="77777777" w:rsidR="00A2434A" w:rsidRDefault="00A2434A">
      <w:pPr>
        <w:spacing w:line="360" w:lineRule="auto"/>
        <w:jc w:val="center"/>
        <w:rPr>
          <w:rFonts w:ascii="仿宋" w:eastAsia="仿宋" w:hAnsi="仿宋"/>
          <w:color w:val="000000"/>
          <w:sz w:val="30"/>
        </w:rPr>
      </w:pPr>
    </w:p>
    <w:p w14:paraId="313A8DAF" w14:textId="77777777" w:rsidR="00A2434A" w:rsidRDefault="00A2434A">
      <w:pPr>
        <w:spacing w:line="360" w:lineRule="auto"/>
        <w:jc w:val="center"/>
        <w:rPr>
          <w:rFonts w:ascii="仿宋" w:eastAsia="仿宋" w:hAnsi="仿宋"/>
          <w:color w:val="000000"/>
          <w:sz w:val="30"/>
        </w:rPr>
      </w:pPr>
    </w:p>
    <w:p w14:paraId="2E5A4599" w14:textId="77777777" w:rsidR="00A2434A" w:rsidRDefault="00A2434A">
      <w:pPr>
        <w:spacing w:line="360" w:lineRule="auto"/>
        <w:jc w:val="center"/>
        <w:rPr>
          <w:rFonts w:ascii="仿宋" w:eastAsia="仿宋" w:hAnsi="仿宋"/>
          <w:color w:val="000000"/>
          <w:sz w:val="30"/>
        </w:rPr>
      </w:pPr>
    </w:p>
    <w:p w14:paraId="582CBBF2" w14:textId="77777777" w:rsidR="00A2434A" w:rsidRDefault="00A2434A">
      <w:pPr>
        <w:spacing w:line="360" w:lineRule="auto"/>
        <w:jc w:val="center"/>
        <w:rPr>
          <w:rFonts w:ascii="仿宋" w:eastAsia="仿宋" w:hAnsi="仿宋"/>
          <w:color w:val="000000"/>
          <w:sz w:val="30"/>
        </w:rPr>
      </w:pPr>
    </w:p>
    <w:p w14:paraId="47332A0D" w14:textId="77777777" w:rsidR="00A2434A" w:rsidRDefault="00A2434A">
      <w:pPr>
        <w:spacing w:line="360" w:lineRule="auto"/>
        <w:jc w:val="center"/>
        <w:rPr>
          <w:rFonts w:ascii="仿宋" w:eastAsia="仿宋" w:hAnsi="仿宋"/>
          <w:color w:val="000000"/>
          <w:sz w:val="30"/>
        </w:rPr>
      </w:pPr>
    </w:p>
    <w:p w14:paraId="10E10739" w14:textId="77777777" w:rsidR="00A2434A" w:rsidRDefault="00A2434A">
      <w:pPr>
        <w:spacing w:line="360" w:lineRule="auto"/>
        <w:jc w:val="center"/>
        <w:rPr>
          <w:rFonts w:ascii="仿宋" w:eastAsia="仿宋" w:hAnsi="仿宋"/>
          <w:color w:val="000000"/>
          <w:sz w:val="30"/>
        </w:rPr>
      </w:pPr>
    </w:p>
    <w:p w14:paraId="23DEC8A9" w14:textId="77777777" w:rsidR="00A2434A" w:rsidRDefault="00A2434A">
      <w:pPr>
        <w:spacing w:line="360" w:lineRule="auto"/>
        <w:jc w:val="center"/>
        <w:rPr>
          <w:rFonts w:ascii="仿宋" w:eastAsia="仿宋" w:hAnsi="仿宋"/>
          <w:color w:val="000000"/>
          <w:sz w:val="30"/>
        </w:rPr>
      </w:pPr>
    </w:p>
    <w:p w14:paraId="34C4C2A7" w14:textId="77777777" w:rsidR="00A2434A" w:rsidRDefault="00A2434A">
      <w:pPr>
        <w:spacing w:line="360" w:lineRule="auto"/>
        <w:jc w:val="center"/>
        <w:rPr>
          <w:rFonts w:ascii="仿宋" w:eastAsia="仿宋" w:hAnsi="仿宋"/>
          <w:color w:val="000000"/>
          <w:sz w:val="30"/>
        </w:rPr>
      </w:pPr>
    </w:p>
    <w:p w14:paraId="7B6C508A" w14:textId="0327EFA8" w:rsidR="00A2434A" w:rsidRDefault="00A3697C">
      <w:pPr>
        <w:spacing w:line="360" w:lineRule="auto"/>
        <w:jc w:val="center"/>
        <w:rPr>
          <w:rFonts w:ascii="宋体" w:hAnsi="宋体"/>
          <w:b/>
          <w:sz w:val="28"/>
          <w:szCs w:val="28"/>
        </w:rPr>
      </w:pPr>
      <w:bookmarkStart w:id="0" w:name="_Toc322632716"/>
      <w:r>
        <w:rPr>
          <w:rFonts w:ascii="宋体" w:hAnsi="宋体" w:hint="eastAsia"/>
          <w:b/>
          <w:sz w:val="28"/>
          <w:szCs w:val="28"/>
        </w:rPr>
        <w:t>基金管理人：</w:t>
      </w:r>
      <w:bookmarkStart w:id="1" w:name="_Toc322632717"/>
      <w:bookmarkEnd w:id="0"/>
      <w:r>
        <w:rPr>
          <w:rFonts w:ascii="宋体" w:hAnsi="宋体" w:hint="eastAsia"/>
          <w:b/>
          <w:sz w:val="28"/>
          <w:szCs w:val="28"/>
        </w:rPr>
        <w:t>交银施罗德基金管理有限公司</w:t>
      </w:r>
    </w:p>
    <w:p w14:paraId="055AB01A" w14:textId="77777777" w:rsidR="00A2434A" w:rsidRDefault="00A3697C">
      <w:pPr>
        <w:spacing w:line="360" w:lineRule="auto"/>
        <w:jc w:val="center"/>
        <w:rPr>
          <w:rFonts w:ascii="宋体" w:hAnsi="宋体"/>
          <w:b/>
          <w:sz w:val="28"/>
          <w:szCs w:val="28"/>
        </w:rPr>
      </w:pPr>
      <w:r>
        <w:rPr>
          <w:rFonts w:ascii="宋体" w:hAnsi="宋体" w:hint="eastAsia"/>
          <w:b/>
          <w:sz w:val="28"/>
          <w:szCs w:val="28"/>
        </w:rPr>
        <w:t xml:space="preserve">   基金托管人：中国光大银行股份有限公司</w:t>
      </w:r>
      <w:bookmarkEnd w:id="1"/>
    </w:p>
    <w:p w14:paraId="03229391" w14:textId="77777777" w:rsidR="00A2434A" w:rsidRDefault="00A2434A">
      <w:pPr>
        <w:spacing w:line="360" w:lineRule="auto"/>
        <w:ind w:left="2698" w:hanging="2698"/>
        <w:outlineLvl w:val="0"/>
        <w:rPr>
          <w:rFonts w:ascii="宋体" w:hAnsi="宋体"/>
          <w:b/>
          <w:color w:val="000000"/>
          <w:sz w:val="28"/>
          <w:szCs w:val="28"/>
        </w:rPr>
      </w:pPr>
    </w:p>
    <w:p w14:paraId="6083C50A" w14:textId="73AB2F22" w:rsidR="00A2434A" w:rsidRDefault="00255D24">
      <w:pPr>
        <w:spacing w:line="360" w:lineRule="auto"/>
        <w:jc w:val="center"/>
        <w:rPr>
          <w:rFonts w:ascii="宋体" w:hAnsi="宋体"/>
          <w:b/>
          <w:sz w:val="30"/>
          <w:szCs w:val="30"/>
        </w:rPr>
        <w:sectPr w:rsidR="00A2434A">
          <w:pgSz w:w="11906" w:h="16838"/>
          <w:pgMar w:top="1440" w:right="1800" w:bottom="1440" w:left="1800" w:header="851" w:footer="992" w:gutter="0"/>
          <w:cols w:space="425"/>
          <w:titlePg/>
          <w:docGrid w:type="lines" w:linePitch="312"/>
        </w:sectPr>
      </w:pPr>
      <w:r>
        <w:rPr>
          <w:rFonts w:ascii="宋体" w:hAnsi="宋体" w:hint="eastAsia"/>
          <w:b/>
          <w:sz w:val="28"/>
          <w:szCs w:val="28"/>
        </w:rPr>
        <w:t>二〇二一年三月</w:t>
      </w:r>
    </w:p>
    <w:p w14:paraId="3A2B06A6" w14:textId="77777777" w:rsidR="00A2434A" w:rsidRDefault="00A3697C">
      <w:pPr>
        <w:spacing w:line="360" w:lineRule="auto"/>
        <w:jc w:val="center"/>
        <w:rPr>
          <w:rFonts w:ascii="宋体" w:hAnsi="宋体"/>
          <w:b/>
          <w:sz w:val="30"/>
          <w:szCs w:val="30"/>
        </w:rPr>
      </w:pPr>
      <w:r>
        <w:rPr>
          <w:rFonts w:ascii="宋体" w:hAnsi="宋体" w:hint="eastAsia"/>
          <w:b/>
          <w:sz w:val="30"/>
          <w:szCs w:val="30"/>
        </w:rPr>
        <w:lastRenderedPageBreak/>
        <w:t>目  录</w:t>
      </w:r>
    </w:p>
    <w:p w14:paraId="1FAADC02" w14:textId="77777777" w:rsidR="00A2434A" w:rsidRDefault="00A2434A">
      <w:pPr>
        <w:spacing w:line="360" w:lineRule="auto"/>
        <w:jc w:val="center"/>
        <w:rPr>
          <w:rFonts w:ascii="仿宋" w:eastAsia="仿宋" w:hAnsi="仿宋"/>
          <w:b/>
          <w:color w:val="000000"/>
          <w:sz w:val="28"/>
          <w:szCs w:val="28"/>
        </w:rPr>
      </w:pPr>
    </w:p>
    <w:p w14:paraId="78C6FA10" w14:textId="77777777" w:rsidR="00A2434A" w:rsidRPr="00BE66BC" w:rsidRDefault="00A3697C">
      <w:pPr>
        <w:pStyle w:val="10"/>
        <w:tabs>
          <w:tab w:val="right" w:leader="hyphen" w:pos="8296"/>
        </w:tabs>
        <w:spacing w:line="360" w:lineRule="auto"/>
        <w:rPr>
          <w:rFonts w:ascii="宋体" w:hAnsi="宋体"/>
          <w:noProof/>
          <w:sz w:val="24"/>
          <w:szCs w:val="24"/>
        </w:rPr>
      </w:pPr>
      <w:r>
        <w:rPr>
          <w:rFonts w:ascii="宋体" w:hAnsi="宋体" w:cs="宋体" w:hint="eastAsia"/>
          <w:color w:val="000000"/>
          <w:sz w:val="24"/>
          <w:szCs w:val="24"/>
        </w:rPr>
        <w:fldChar w:fldCharType="begin"/>
      </w:r>
      <w:r>
        <w:rPr>
          <w:rFonts w:ascii="宋体" w:hAnsi="宋体" w:cs="宋体" w:hint="eastAsia"/>
          <w:color w:val="000000"/>
          <w:sz w:val="24"/>
          <w:szCs w:val="24"/>
        </w:rPr>
        <w:instrText xml:space="preserve"> TOC \o "1-1" \h \z \u </w:instrText>
      </w:r>
      <w:r>
        <w:rPr>
          <w:rFonts w:ascii="宋体" w:hAnsi="宋体" w:cs="宋体" w:hint="eastAsia"/>
          <w:color w:val="000000"/>
          <w:sz w:val="24"/>
          <w:szCs w:val="24"/>
        </w:rPr>
        <w:fldChar w:fldCharType="separate"/>
      </w:r>
      <w:hyperlink r:id="rId10" w:anchor="_Toc264617141" w:history="1">
        <w:r>
          <w:rPr>
            <w:rFonts w:ascii="宋体" w:hAnsi="宋体"/>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_Toc264617141 \h </w:instrText>
        </w:r>
        <w:r>
          <w:rPr>
            <w:rFonts w:ascii="宋体" w:hAnsi="宋体"/>
            <w:noProof/>
            <w:sz w:val="24"/>
            <w:szCs w:val="24"/>
          </w:rPr>
        </w:r>
        <w:r>
          <w:rPr>
            <w:rFonts w:ascii="宋体" w:hAnsi="宋体"/>
            <w:noProof/>
            <w:sz w:val="24"/>
            <w:szCs w:val="24"/>
          </w:rPr>
          <w:fldChar w:fldCharType="separate"/>
        </w:r>
        <w:r w:rsidR="005B43C8">
          <w:rPr>
            <w:rFonts w:ascii="宋体" w:hAnsi="宋体"/>
            <w:noProof/>
            <w:sz w:val="24"/>
            <w:szCs w:val="24"/>
          </w:rPr>
          <w:t>1</w:t>
        </w:r>
        <w:r>
          <w:rPr>
            <w:rFonts w:ascii="宋体" w:hAnsi="宋体"/>
            <w:noProof/>
            <w:sz w:val="24"/>
            <w:szCs w:val="24"/>
          </w:rPr>
          <w:fldChar w:fldCharType="end"/>
        </w:r>
      </w:hyperlink>
    </w:p>
    <w:p w14:paraId="047420A4" w14:textId="77777777" w:rsidR="00A2434A" w:rsidRPr="00BE66BC" w:rsidRDefault="00ED4425">
      <w:pPr>
        <w:pStyle w:val="10"/>
        <w:tabs>
          <w:tab w:val="right" w:leader="hyphen" w:pos="8296"/>
        </w:tabs>
        <w:spacing w:line="360" w:lineRule="auto"/>
        <w:rPr>
          <w:rFonts w:ascii="宋体" w:hAnsi="宋体"/>
          <w:noProof/>
          <w:sz w:val="24"/>
          <w:szCs w:val="24"/>
        </w:rPr>
      </w:pPr>
      <w:hyperlink r:id="rId11" w:anchor="_Toc264617142" w:history="1">
        <w:r w:rsidR="00A3697C">
          <w:rPr>
            <w:rFonts w:ascii="宋体" w:hAnsi="宋体"/>
            <w:noProof/>
            <w:sz w:val="24"/>
            <w:szCs w:val="24"/>
          </w:rPr>
          <w:t>二、基金托管协议的依据、目的、原则和解释</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_Toc264617142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2</w:t>
        </w:r>
        <w:r w:rsidR="00A3697C">
          <w:rPr>
            <w:rFonts w:ascii="宋体" w:hAnsi="宋体"/>
            <w:noProof/>
            <w:sz w:val="24"/>
            <w:szCs w:val="24"/>
          </w:rPr>
          <w:fldChar w:fldCharType="end"/>
        </w:r>
      </w:hyperlink>
    </w:p>
    <w:p w14:paraId="7614EB8C" w14:textId="77777777" w:rsidR="00A2434A" w:rsidRDefault="00ED4425" w:rsidP="00BE66BC">
      <w:pPr>
        <w:pStyle w:val="10"/>
        <w:tabs>
          <w:tab w:val="right" w:leader="hyphen" w:pos="8296"/>
        </w:tabs>
        <w:spacing w:line="360" w:lineRule="auto"/>
        <w:rPr>
          <w:rFonts w:ascii="宋体" w:hAnsi="宋体"/>
          <w:noProof/>
          <w:sz w:val="24"/>
          <w:szCs w:val="24"/>
        </w:rPr>
      </w:pPr>
      <w:hyperlink r:id="rId12" w:anchor="_Toc264617143" w:history="1">
        <w:r w:rsidR="00A3697C">
          <w:rPr>
            <w:rFonts w:ascii="宋体" w:hAnsi="宋体"/>
            <w:noProof/>
            <w:sz w:val="24"/>
            <w:szCs w:val="24"/>
          </w:rPr>
          <w:t>三、基金托管人对基金管理人的业务监督和核查</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_Toc264617143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3</w:t>
        </w:r>
        <w:r w:rsidR="00A3697C">
          <w:rPr>
            <w:rFonts w:ascii="宋体" w:hAnsi="宋体"/>
            <w:noProof/>
            <w:sz w:val="24"/>
            <w:szCs w:val="24"/>
          </w:rPr>
          <w:fldChar w:fldCharType="end"/>
        </w:r>
      </w:hyperlink>
    </w:p>
    <w:p w14:paraId="1B9D4E00" w14:textId="35D563A0" w:rsidR="00A2434A" w:rsidRDefault="00ED4425" w:rsidP="00BE66BC">
      <w:pPr>
        <w:pStyle w:val="10"/>
        <w:tabs>
          <w:tab w:val="right" w:leader="hyphen" w:pos="8296"/>
        </w:tabs>
        <w:spacing w:line="360" w:lineRule="auto"/>
        <w:rPr>
          <w:rFonts w:ascii="宋体" w:hAnsi="宋体"/>
          <w:noProof/>
          <w:sz w:val="24"/>
          <w:szCs w:val="24"/>
        </w:rPr>
      </w:pPr>
      <w:hyperlink r:id="rId13" w:anchor="_Toc264617144" w:history="1">
        <w:r w:rsidR="00A3697C">
          <w:rPr>
            <w:rFonts w:ascii="宋体" w:hAnsi="宋体"/>
            <w:noProof/>
            <w:sz w:val="24"/>
            <w:szCs w:val="24"/>
          </w:rPr>
          <w:t>四、基金管理人对基金托管人的业务核查</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_Toc264617144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11</w:t>
        </w:r>
        <w:r w:rsidR="00A3697C">
          <w:rPr>
            <w:rFonts w:ascii="宋体" w:hAnsi="宋体"/>
            <w:noProof/>
            <w:sz w:val="24"/>
            <w:szCs w:val="24"/>
          </w:rPr>
          <w:fldChar w:fldCharType="end"/>
        </w:r>
      </w:hyperlink>
    </w:p>
    <w:p w14:paraId="7CC61E74" w14:textId="565BD228" w:rsidR="00A2434A" w:rsidRDefault="00ED4425" w:rsidP="00BE66BC">
      <w:pPr>
        <w:pStyle w:val="10"/>
        <w:tabs>
          <w:tab w:val="right" w:leader="hyphen" w:pos="8296"/>
        </w:tabs>
        <w:spacing w:line="360" w:lineRule="auto"/>
        <w:rPr>
          <w:rFonts w:ascii="宋体" w:hAnsi="宋体"/>
          <w:noProof/>
          <w:sz w:val="24"/>
          <w:szCs w:val="24"/>
        </w:rPr>
      </w:pPr>
      <w:hyperlink r:id="rId14" w:anchor="_Toc264617145" w:history="1">
        <w:r w:rsidR="00A3697C">
          <w:rPr>
            <w:rFonts w:ascii="宋体" w:hAnsi="宋体"/>
            <w:noProof/>
            <w:sz w:val="24"/>
            <w:szCs w:val="24"/>
          </w:rPr>
          <w:t>五、基金财产的保管</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_Toc264617145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12</w:t>
        </w:r>
        <w:r w:rsidR="00A3697C">
          <w:rPr>
            <w:rFonts w:ascii="宋体" w:hAnsi="宋体"/>
            <w:noProof/>
            <w:sz w:val="24"/>
            <w:szCs w:val="24"/>
          </w:rPr>
          <w:fldChar w:fldCharType="end"/>
        </w:r>
      </w:hyperlink>
    </w:p>
    <w:p w14:paraId="578B3AC8" w14:textId="1B9A2AFD" w:rsidR="00A2434A" w:rsidRPr="00BE66BC" w:rsidRDefault="00ED4425">
      <w:pPr>
        <w:pStyle w:val="10"/>
        <w:tabs>
          <w:tab w:val="right" w:leader="hyphen" w:pos="8296"/>
        </w:tabs>
        <w:spacing w:line="360" w:lineRule="auto"/>
        <w:rPr>
          <w:rFonts w:ascii="宋体" w:hAnsi="宋体"/>
          <w:noProof/>
          <w:sz w:val="24"/>
          <w:szCs w:val="24"/>
        </w:rPr>
      </w:pPr>
      <w:hyperlink r:id="rId15" w:anchor="_Toc264617146" w:history="1">
        <w:r w:rsidR="00A3697C">
          <w:rPr>
            <w:rFonts w:ascii="宋体" w:hAnsi="宋体"/>
            <w:noProof/>
            <w:sz w:val="24"/>
            <w:szCs w:val="24"/>
          </w:rPr>
          <w:t>六、指令的发送、确认及执行</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_Toc264617146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16</w:t>
        </w:r>
        <w:r w:rsidR="00A3697C">
          <w:rPr>
            <w:rFonts w:ascii="宋体" w:hAnsi="宋体"/>
            <w:noProof/>
            <w:sz w:val="24"/>
            <w:szCs w:val="24"/>
          </w:rPr>
          <w:fldChar w:fldCharType="end"/>
        </w:r>
      </w:hyperlink>
    </w:p>
    <w:p w14:paraId="135AE134" w14:textId="046FF951" w:rsidR="00A2434A" w:rsidRDefault="00ED4425" w:rsidP="00BE66BC">
      <w:pPr>
        <w:pStyle w:val="10"/>
        <w:tabs>
          <w:tab w:val="right" w:leader="hyphen" w:pos="8296"/>
        </w:tabs>
        <w:spacing w:line="360" w:lineRule="auto"/>
        <w:rPr>
          <w:rFonts w:ascii="宋体" w:hAnsi="宋体"/>
          <w:noProof/>
          <w:sz w:val="24"/>
          <w:szCs w:val="24"/>
        </w:rPr>
      </w:pPr>
      <w:hyperlink r:id="rId16" w:anchor="_Toc264617147" w:history="1">
        <w:r w:rsidR="00A3697C">
          <w:rPr>
            <w:rFonts w:ascii="宋体" w:hAnsi="宋体"/>
            <w:noProof/>
            <w:sz w:val="24"/>
            <w:szCs w:val="24"/>
          </w:rPr>
          <w:t>七、交易及清算交收安排</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_Toc264617147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19</w:t>
        </w:r>
        <w:r w:rsidR="00A3697C">
          <w:rPr>
            <w:rFonts w:ascii="宋体" w:hAnsi="宋体"/>
            <w:noProof/>
            <w:sz w:val="24"/>
            <w:szCs w:val="24"/>
          </w:rPr>
          <w:fldChar w:fldCharType="end"/>
        </w:r>
      </w:hyperlink>
    </w:p>
    <w:p w14:paraId="207E3380" w14:textId="56BC3DE4" w:rsidR="00A2434A" w:rsidRDefault="00ED4425" w:rsidP="00BE66BC">
      <w:pPr>
        <w:pStyle w:val="10"/>
        <w:tabs>
          <w:tab w:val="right" w:leader="hyphen" w:pos="8296"/>
        </w:tabs>
        <w:spacing w:line="360" w:lineRule="auto"/>
        <w:rPr>
          <w:rFonts w:ascii="宋体" w:hAnsi="宋体"/>
          <w:noProof/>
          <w:sz w:val="24"/>
          <w:szCs w:val="24"/>
        </w:rPr>
      </w:pPr>
      <w:hyperlink r:id="rId17" w:anchor="_Toc264617148" w:history="1">
        <w:r w:rsidR="00A3697C">
          <w:rPr>
            <w:rFonts w:ascii="宋体" w:hAnsi="宋体"/>
            <w:noProof/>
            <w:sz w:val="24"/>
            <w:szCs w:val="24"/>
          </w:rPr>
          <w:t>八、基金资产净值计算和会计核算</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_Toc264617148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25</w:t>
        </w:r>
        <w:r w:rsidR="00A3697C">
          <w:rPr>
            <w:rFonts w:ascii="宋体" w:hAnsi="宋体"/>
            <w:noProof/>
            <w:sz w:val="24"/>
            <w:szCs w:val="24"/>
          </w:rPr>
          <w:fldChar w:fldCharType="end"/>
        </w:r>
      </w:hyperlink>
    </w:p>
    <w:p w14:paraId="248A8467" w14:textId="0E9F26C7" w:rsidR="00A2434A" w:rsidRDefault="00ED4425" w:rsidP="00BE66BC">
      <w:pPr>
        <w:pStyle w:val="10"/>
        <w:tabs>
          <w:tab w:val="right" w:leader="hyphen" w:pos="8296"/>
        </w:tabs>
        <w:spacing w:line="360" w:lineRule="auto"/>
        <w:rPr>
          <w:rFonts w:ascii="宋体" w:hAnsi="宋体"/>
          <w:noProof/>
          <w:sz w:val="24"/>
          <w:szCs w:val="24"/>
        </w:rPr>
      </w:pPr>
      <w:hyperlink r:id="rId18" w:anchor="_Toc264617149" w:history="1">
        <w:r w:rsidR="00A3697C">
          <w:rPr>
            <w:rFonts w:ascii="宋体" w:hAnsi="宋体"/>
            <w:noProof/>
            <w:sz w:val="24"/>
            <w:szCs w:val="24"/>
          </w:rPr>
          <w:t>九、基金收益分配</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_Toc264617149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32</w:t>
        </w:r>
        <w:r w:rsidR="00A3697C">
          <w:rPr>
            <w:rFonts w:ascii="宋体" w:hAnsi="宋体"/>
            <w:noProof/>
            <w:sz w:val="24"/>
            <w:szCs w:val="24"/>
          </w:rPr>
          <w:fldChar w:fldCharType="end"/>
        </w:r>
      </w:hyperlink>
    </w:p>
    <w:p w14:paraId="71062128" w14:textId="0A9F56B2" w:rsidR="00A2434A" w:rsidRPr="00BE66BC" w:rsidRDefault="00ED4425">
      <w:pPr>
        <w:pStyle w:val="10"/>
        <w:tabs>
          <w:tab w:val="right" w:leader="hyphen" w:pos="8296"/>
        </w:tabs>
        <w:spacing w:line="360" w:lineRule="auto"/>
        <w:rPr>
          <w:rFonts w:ascii="宋体" w:hAnsi="宋体"/>
          <w:noProof/>
          <w:sz w:val="24"/>
          <w:szCs w:val="24"/>
        </w:rPr>
      </w:pPr>
      <w:hyperlink r:id="rId19" w:anchor="_Toc264617150" w:history="1">
        <w:r w:rsidR="00A3697C">
          <w:rPr>
            <w:rFonts w:ascii="宋体" w:hAnsi="宋体"/>
            <w:noProof/>
            <w:sz w:val="24"/>
            <w:szCs w:val="24"/>
          </w:rPr>
          <w:t>十、基金信息披露</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_Toc264617150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33</w:t>
        </w:r>
        <w:r w:rsidR="00A3697C">
          <w:rPr>
            <w:rFonts w:ascii="宋体" w:hAnsi="宋体"/>
            <w:noProof/>
            <w:sz w:val="24"/>
            <w:szCs w:val="24"/>
          </w:rPr>
          <w:fldChar w:fldCharType="end"/>
        </w:r>
      </w:hyperlink>
    </w:p>
    <w:p w14:paraId="1332EF26" w14:textId="1DCD9932" w:rsidR="00A2434A" w:rsidRDefault="00ED4425" w:rsidP="00BE66BC">
      <w:pPr>
        <w:pStyle w:val="10"/>
        <w:tabs>
          <w:tab w:val="right" w:leader="hyphen" w:pos="8296"/>
        </w:tabs>
        <w:spacing w:line="360" w:lineRule="auto"/>
        <w:rPr>
          <w:rFonts w:ascii="宋体" w:hAnsi="宋体"/>
          <w:noProof/>
          <w:sz w:val="24"/>
          <w:szCs w:val="24"/>
        </w:rPr>
      </w:pPr>
      <w:hyperlink r:id="rId20" w:anchor="_Toc264617151" w:history="1">
        <w:r w:rsidR="00A3697C">
          <w:rPr>
            <w:rFonts w:ascii="宋体" w:hAnsi="宋体"/>
            <w:noProof/>
            <w:sz w:val="24"/>
            <w:szCs w:val="24"/>
          </w:rPr>
          <w:t>十一、基金费用</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_Toc264617151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35</w:t>
        </w:r>
        <w:r w:rsidR="00A3697C">
          <w:rPr>
            <w:rFonts w:ascii="宋体" w:hAnsi="宋体"/>
            <w:noProof/>
            <w:sz w:val="24"/>
            <w:szCs w:val="24"/>
          </w:rPr>
          <w:fldChar w:fldCharType="end"/>
        </w:r>
      </w:hyperlink>
    </w:p>
    <w:p w14:paraId="240D42C6" w14:textId="737AE548" w:rsidR="00A2434A" w:rsidRDefault="00ED4425" w:rsidP="00BE66BC">
      <w:pPr>
        <w:pStyle w:val="10"/>
        <w:tabs>
          <w:tab w:val="right" w:leader="hyphen" w:pos="8296"/>
        </w:tabs>
        <w:spacing w:line="360" w:lineRule="auto"/>
        <w:rPr>
          <w:rFonts w:ascii="宋体" w:hAnsi="宋体"/>
          <w:noProof/>
          <w:sz w:val="24"/>
          <w:szCs w:val="24"/>
        </w:rPr>
      </w:pPr>
      <w:hyperlink r:id="rId21" w:anchor="_Toc264617152" w:history="1">
        <w:r w:rsidR="00A3697C">
          <w:rPr>
            <w:rFonts w:ascii="宋体" w:hAnsi="宋体"/>
            <w:noProof/>
            <w:sz w:val="24"/>
            <w:szCs w:val="24"/>
          </w:rPr>
          <w:t>十二、基金份额持有人名册的保管</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_Toc264617152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38</w:t>
        </w:r>
        <w:r w:rsidR="00A3697C">
          <w:rPr>
            <w:rFonts w:ascii="宋体" w:hAnsi="宋体"/>
            <w:noProof/>
            <w:sz w:val="24"/>
            <w:szCs w:val="24"/>
          </w:rPr>
          <w:fldChar w:fldCharType="end"/>
        </w:r>
      </w:hyperlink>
    </w:p>
    <w:p w14:paraId="2BC761B9" w14:textId="4CBAFE5B" w:rsidR="00A2434A" w:rsidRDefault="00ED4425" w:rsidP="00BE66BC">
      <w:pPr>
        <w:pStyle w:val="10"/>
        <w:tabs>
          <w:tab w:val="right" w:leader="hyphen" w:pos="8296"/>
        </w:tabs>
        <w:spacing w:line="360" w:lineRule="auto"/>
        <w:rPr>
          <w:rFonts w:ascii="宋体" w:hAnsi="宋体"/>
          <w:noProof/>
          <w:sz w:val="24"/>
          <w:szCs w:val="24"/>
        </w:rPr>
      </w:pPr>
      <w:hyperlink r:id="rId22" w:anchor="_Toc264617153" w:history="1">
        <w:r w:rsidR="00A3697C">
          <w:rPr>
            <w:rFonts w:ascii="宋体" w:hAnsi="宋体"/>
            <w:noProof/>
            <w:sz w:val="24"/>
            <w:szCs w:val="24"/>
          </w:rPr>
          <w:t>十三、基金有关文件档案的保存</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_Toc264617153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39</w:t>
        </w:r>
        <w:r w:rsidR="00A3697C">
          <w:rPr>
            <w:rFonts w:ascii="宋体" w:hAnsi="宋体"/>
            <w:noProof/>
            <w:sz w:val="24"/>
            <w:szCs w:val="24"/>
          </w:rPr>
          <w:fldChar w:fldCharType="end"/>
        </w:r>
      </w:hyperlink>
    </w:p>
    <w:p w14:paraId="1AFCCE1A" w14:textId="3CBCC4FF" w:rsidR="00A2434A" w:rsidRDefault="00ED4425" w:rsidP="00BE66BC">
      <w:pPr>
        <w:pStyle w:val="10"/>
        <w:tabs>
          <w:tab w:val="right" w:leader="hyphen" w:pos="8296"/>
        </w:tabs>
        <w:spacing w:line="360" w:lineRule="auto"/>
        <w:rPr>
          <w:rFonts w:ascii="宋体" w:hAnsi="宋体"/>
          <w:noProof/>
          <w:sz w:val="24"/>
          <w:szCs w:val="24"/>
        </w:rPr>
      </w:pPr>
      <w:hyperlink r:id="rId23" w:anchor="_Toc264617154" w:history="1">
        <w:r w:rsidR="00A3697C">
          <w:rPr>
            <w:rFonts w:ascii="宋体" w:hAnsi="宋体"/>
            <w:noProof/>
            <w:sz w:val="24"/>
            <w:szCs w:val="24"/>
          </w:rPr>
          <w:t>十四、基金管理人和基金托管人的更换</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_Toc264617154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40</w:t>
        </w:r>
        <w:r w:rsidR="00A3697C">
          <w:rPr>
            <w:rFonts w:ascii="宋体" w:hAnsi="宋体"/>
            <w:noProof/>
            <w:sz w:val="24"/>
            <w:szCs w:val="24"/>
          </w:rPr>
          <w:fldChar w:fldCharType="end"/>
        </w:r>
      </w:hyperlink>
    </w:p>
    <w:p w14:paraId="6F7B7164" w14:textId="30DE3F9B" w:rsidR="00A2434A" w:rsidRDefault="00ED4425" w:rsidP="00BE66BC">
      <w:pPr>
        <w:pStyle w:val="10"/>
        <w:tabs>
          <w:tab w:val="right" w:leader="hyphen" w:pos="8296"/>
        </w:tabs>
        <w:spacing w:line="360" w:lineRule="auto"/>
        <w:rPr>
          <w:rFonts w:ascii="宋体" w:hAnsi="宋体"/>
          <w:noProof/>
          <w:sz w:val="24"/>
          <w:szCs w:val="24"/>
        </w:rPr>
      </w:pPr>
      <w:hyperlink r:id="rId24" w:anchor="_Toc264617155" w:history="1">
        <w:r w:rsidR="00A3697C">
          <w:rPr>
            <w:rFonts w:ascii="宋体" w:hAnsi="宋体"/>
            <w:noProof/>
            <w:sz w:val="24"/>
            <w:szCs w:val="24"/>
          </w:rPr>
          <w:t>十五、禁止行为</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_Toc264617155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43</w:t>
        </w:r>
        <w:r w:rsidR="00A3697C">
          <w:rPr>
            <w:rFonts w:ascii="宋体" w:hAnsi="宋体"/>
            <w:noProof/>
            <w:sz w:val="24"/>
            <w:szCs w:val="24"/>
          </w:rPr>
          <w:fldChar w:fldCharType="end"/>
        </w:r>
      </w:hyperlink>
    </w:p>
    <w:p w14:paraId="6DBA0123" w14:textId="593AF666" w:rsidR="00A2434A" w:rsidRDefault="00ED4425" w:rsidP="00BE66BC">
      <w:pPr>
        <w:pStyle w:val="10"/>
        <w:tabs>
          <w:tab w:val="right" w:leader="hyphen" w:pos="8296"/>
        </w:tabs>
        <w:spacing w:line="360" w:lineRule="auto"/>
        <w:rPr>
          <w:rFonts w:ascii="宋体" w:hAnsi="宋体"/>
          <w:noProof/>
          <w:sz w:val="24"/>
          <w:szCs w:val="24"/>
        </w:rPr>
      </w:pPr>
      <w:hyperlink r:id="rId25" w:anchor="_Toc264617156" w:history="1">
        <w:r w:rsidR="00A3697C">
          <w:rPr>
            <w:rFonts w:ascii="宋体" w:hAnsi="宋体"/>
            <w:noProof/>
            <w:sz w:val="24"/>
            <w:szCs w:val="24"/>
          </w:rPr>
          <w:t>十六、托管协议的变更、终止与基金财产的</w:t>
        </w:r>
        <w:bookmarkStart w:id="2" w:name="_GoBack"/>
        <w:bookmarkEnd w:id="2"/>
        <w:r w:rsidR="00A3697C">
          <w:rPr>
            <w:rFonts w:ascii="宋体" w:hAnsi="宋体"/>
            <w:noProof/>
            <w:sz w:val="24"/>
            <w:szCs w:val="24"/>
          </w:rPr>
          <w:t>清算</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_Toc264617156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45</w:t>
        </w:r>
        <w:r w:rsidR="00A3697C">
          <w:rPr>
            <w:rFonts w:ascii="宋体" w:hAnsi="宋体"/>
            <w:noProof/>
            <w:sz w:val="24"/>
            <w:szCs w:val="24"/>
          </w:rPr>
          <w:fldChar w:fldCharType="end"/>
        </w:r>
      </w:hyperlink>
    </w:p>
    <w:p w14:paraId="13CA86A4" w14:textId="460B7FC5" w:rsidR="00A2434A" w:rsidRPr="00BE66BC" w:rsidRDefault="00ED4425" w:rsidP="00BE66BC">
      <w:pPr>
        <w:pStyle w:val="10"/>
        <w:tabs>
          <w:tab w:val="right" w:leader="hyphen" w:pos="8296"/>
        </w:tabs>
        <w:spacing w:line="360" w:lineRule="auto"/>
        <w:rPr>
          <w:rFonts w:ascii="宋体" w:hAnsi="宋体"/>
          <w:noProof/>
          <w:sz w:val="24"/>
          <w:szCs w:val="24"/>
        </w:rPr>
      </w:pPr>
      <w:hyperlink r:id="rId26" w:anchor="_Toc264617157" w:history="1">
        <w:r w:rsidR="00A3697C">
          <w:rPr>
            <w:rFonts w:ascii="宋体" w:hAnsi="宋体"/>
            <w:noProof/>
            <w:sz w:val="24"/>
            <w:szCs w:val="24"/>
          </w:rPr>
          <w:t>十七、违约责任</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_Toc264617157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47</w:t>
        </w:r>
        <w:r w:rsidR="00A3697C">
          <w:rPr>
            <w:rFonts w:ascii="宋体" w:hAnsi="宋体"/>
            <w:noProof/>
            <w:sz w:val="24"/>
            <w:szCs w:val="24"/>
          </w:rPr>
          <w:fldChar w:fldCharType="end"/>
        </w:r>
      </w:hyperlink>
    </w:p>
    <w:p w14:paraId="5B9BFCD8" w14:textId="423184CE" w:rsidR="00A2434A" w:rsidRDefault="00ED4425" w:rsidP="00BE66BC">
      <w:pPr>
        <w:pStyle w:val="10"/>
        <w:tabs>
          <w:tab w:val="right" w:leader="hyphen" w:pos="8296"/>
        </w:tabs>
        <w:spacing w:line="360" w:lineRule="auto"/>
        <w:rPr>
          <w:rFonts w:ascii="宋体" w:hAnsi="宋体"/>
          <w:noProof/>
          <w:sz w:val="24"/>
          <w:szCs w:val="24"/>
        </w:rPr>
      </w:pPr>
      <w:hyperlink r:id="rId27" w:anchor="_Toc264617158" w:history="1">
        <w:r w:rsidR="00A3697C">
          <w:rPr>
            <w:rFonts w:ascii="宋体" w:hAnsi="宋体"/>
            <w:noProof/>
            <w:sz w:val="24"/>
            <w:szCs w:val="24"/>
          </w:rPr>
          <w:t>十八、争议解决方式</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_Toc264617158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48</w:t>
        </w:r>
        <w:r w:rsidR="00A3697C">
          <w:rPr>
            <w:rFonts w:ascii="宋体" w:hAnsi="宋体"/>
            <w:noProof/>
            <w:sz w:val="24"/>
            <w:szCs w:val="24"/>
          </w:rPr>
          <w:fldChar w:fldCharType="end"/>
        </w:r>
      </w:hyperlink>
    </w:p>
    <w:p w14:paraId="0A3FDE50" w14:textId="00C09D52" w:rsidR="00A2434A" w:rsidRDefault="00ED4425" w:rsidP="00BE66BC">
      <w:pPr>
        <w:pStyle w:val="10"/>
        <w:tabs>
          <w:tab w:val="right" w:leader="hyphen" w:pos="8296"/>
        </w:tabs>
        <w:spacing w:line="360" w:lineRule="auto"/>
        <w:rPr>
          <w:rFonts w:ascii="宋体" w:hAnsi="宋体"/>
          <w:noProof/>
          <w:sz w:val="24"/>
          <w:szCs w:val="24"/>
        </w:rPr>
      </w:pPr>
      <w:hyperlink r:id="rId28" w:anchor="_Toc264617159" w:history="1">
        <w:r w:rsidR="00A3697C">
          <w:rPr>
            <w:rFonts w:ascii="宋体" w:hAnsi="宋体"/>
            <w:noProof/>
            <w:sz w:val="24"/>
            <w:szCs w:val="24"/>
          </w:rPr>
          <w:t>十九、托管协议的效力</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_Toc264617159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49</w:t>
        </w:r>
        <w:r w:rsidR="00A3697C">
          <w:rPr>
            <w:rFonts w:ascii="宋体" w:hAnsi="宋体"/>
            <w:noProof/>
            <w:sz w:val="24"/>
            <w:szCs w:val="24"/>
          </w:rPr>
          <w:fldChar w:fldCharType="end"/>
        </w:r>
      </w:hyperlink>
    </w:p>
    <w:p w14:paraId="4F404F7F" w14:textId="785FF507" w:rsidR="00A2434A" w:rsidRPr="00BE66BC" w:rsidRDefault="00ED4425">
      <w:pPr>
        <w:pStyle w:val="10"/>
        <w:tabs>
          <w:tab w:val="right" w:leader="hyphen" w:pos="8296"/>
        </w:tabs>
        <w:spacing w:line="360" w:lineRule="auto"/>
        <w:rPr>
          <w:rFonts w:ascii="宋体" w:hAnsi="宋体"/>
          <w:noProof/>
          <w:sz w:val="24"/>
          <w:szCs w:val="24"/>
        </w:rPr>
      </w:pPr>
      <w:hyperlink r:id="rId29" w:anchor="_Toc264617160" w:history="1">
        <w:r w:rsidR="00A3697C">
          <w:rPr>
            <w:rFonts w:ascii="宋体" w:hAnsi="宋体"/>
            <w:noProof/>
            <w:sz w:val="24"/>
            <w:szCs w:val="24"/>
          </w:rPr>
          <w:t>二十、其他事项</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_Toc264617160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50</w:t>
        </w:r>
        <w:r w:rsidR="00A3697C">
          <w:rPr>
            <w:rFonts w:ascii="宋体" w:hAnsi="宋体"/>
            <w:noProof/>
            <w:sz w:val="24"/>
            <w:szCs w:val="24"/>
          </w:rPr>
          <w:fldChar w:fldCharType="end"/>
        </w:r>
      </w:hyperlink>
    </w:p>
    <w:p w14:paraId="713689F5" w14:textId="14480E20" w:rsidR="00A2434A" w:rsidRDefault="00ED4425">
      <w:pPr>
        <w:pStyle w:val="10"/>
        <w:tabs>
          <w:tab w:val="right" w:leader="hyphen" w:pos="8296"/>
        </w:tabs>
        <w:spacing w:line="360" w:lineRule="auto"/>
        <w:rPr>
          <w:rFonts w:ascii="宋体" w:hAnsi="宋体" w:cs="宋体"/>
          <w:noProof/>
          <w:color w:val="000000"/>
          <w:kern w:val="2"/>
          <w:sz w:val="24"/>
          <w:szCs w:val="24"/>
        </w:rPr>
      </w:pPr>
      <w:hyperlink r:id="rId30" w:anchor="_Toc264617161" w:history="1">
        <w:r w:rsidR="00A3697C">
          <w:rPr>
            <w:rFonts w:ascii="宋体" w:hAnsi="宋体"/>
            <w:noProof/>
            <w:sz w:val="24"/>
            <w:szCs w:val="24"/>
          </w:rPr>
          <w:t>二十一、托管协议</w:t>
        </w:r>
        <w:bookmarkStart w:id="3" w:name="_Hlt322636246"/>
        <w:bookmarkStart w:id="4" w:name="_Hlt322636245"/>
        <w:r w:rsidR="00A3697C">
          <w:rPr>
            <w:rFonts w:ascii="宋体" w:hAnsi="宋体"/>
            <w:noProof/>
            <w:sz w:val="24"/>
            <w:szCs w:val="24"/>
          </w:rPr>
          <w:t>的</w:t>
        </w:r>
        <w:bookmarkEnd w:id="3"/>
        <w:bookmarkEnd w:id="4"/>
        <w:r w:rsidR="00A3697C">
          <w:rPr>
            <w:rFonts w:ascii="宋体" w:hAnsi="宋体"/>
            <w:noProof/>
            <w:sz w:val="24"/>
            <w:szCs w:val="24"/>
          </w:rPr>
          <w:t>签订</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_Toc264617161 \h </w:instrText>
        </w:r>
        <w:r w:rsidR="00A3697C">
          <w:rPr>
            <w:rFonts w:ascii="宋体" w:hAnsi="宋体"/>
            <w:noProof/>
            <w:sz w:val="24"/>
            <w:szCs w:val="24"/>
          </w:rPr>
        </w:r>
        <w:r w:rsidR="00A3697C">
          <w:rPr>
            <w:rFonts w:ascii="宋体" w:hAnsi="宋体"/>
            <w:noProof/>
            <w:sz w:val="24"/>
            <w:szCs w:val="24"/>
          </w:rPr>
          <w:fldChar w:fldCharType="separate"/>
        </w:r>
        <w:r w:rsidR="005B43C8">
          <w:rPr>
            <w:rFonts w:ascii="宋体" w:hAnsi="宋体"/>
            <w:noProof/>
            <w:sz w:val="24"/>
            <w:szCs w:val="24"/>
          </w:rPr>
          <w:t>51</w:t>
        </w:r>
        <w:r w:rsidR="00A3697C">
          <w:rPr>
            <w:rFonts w:ascii="宋体" w:hAnsi="宋体"/>
            <w:noProof/>
            <w:sz w:val="24"/>
            <w:szCs w:val="24"/>
          </w:rPr>
          <w:fldChar w:fldCharType="end"/>
        </w:r>
      </w:hyperlink>
    </w:p>
    <w:p w14:paraId="54577F81" w14:textId="77777777"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fldChar w:fldCharType="end"/>
      </w:r>
    </w:p>
    <w:p w14:paraId="3BC34950" w14:textId="77777777" w:rsidR="00A2434A" w:rsidRDefault="00A2434A">
      <w:pPr>
        <w:spacing w:line="360" w:lineRule="auto"/>
        <w:ind w:firstLineChars="200" w:firstLine="480"/>
        <w:rPr>
          <w:rFonts w:ascii="仿宋" w:eastAsia="仿宋" w:hAnsi="仿宋"/>
          <w:color w:val="000000"/>
          <w:sz w:val="24"/>
          <w:szCs w:val="24"/>
        </w:rPr>
        <w:sectPr w:rsidR="00A2434A">
          <w:pgSz w:w="11906" w:h="16838"/>
          <w:pgMar w:top="1440" w:right="1800" w:bottom="1440" w:left="1800" w:header="851" w:footer="992" w:gutter="0"/>
          <w:cols w:space="425"/>
          <w:docGrid w:type="lines" w:linePitch="312"/>
        </w:sectPr>
      </w:pPr>
    </w:p>
    <w:p w14:paraId="4DE0468C" w14:textId="57C0BE46" w:rsidR="00A2434A" w:rsidRDefault="00A3697C">
      <w:pPr>
        <w:spacing w:line="360" w:lineRule="auto"/>
        <w:ind w:firstLineChars="200" w:firstLine="480"/>
        <w:rPr>
          <w:rFonts w:ascii="宋体" w:hAnsi="宋体"/>
          <w:sz w:val="24"/>
          <w:szCs w:val="24"/>
        </w:rPr>
      </w:pPr>
      <w:r>
        <w:rPr>
          <w:rFonts w:ascii="宋体" w:hAnsi="宋体" w:hint="eastAsia"/>
          <w:sz w:val="24"/>
          <w:szCs w:val="24"/>
        </w:rPr>
        <w:lastRenderedPageBreak/>
        <w:t>鉴于交银施罗德基金管理有限公司系一家依照中国法律合法成立并有效存续的有限责任公司，按照相关法律法规的规定具备担任基金管理人的资格和能力；</w:t>
      </w:r>
    </w:p>
    <w:p w14:paraId="2FFF4373"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鉴于中国光大银行股份有限公司系一家依照中国法律合法成立并有效存续的银行，按照相关法律法规的规定具备担任基金托管人的资格和能力；</w:t>
      </w:r>
    </w:p>
    <w:p w14:paraId="6ECB5D67" w14:textId="0D54E855" w:rsidR="00A2434A" w:rsidRDefault="00A3697C">
      <w:pPr>
        <w:spacing w:line="360" w:lineRule="auto"/>
        <w:ind w:firstLineChars="200" w:firstLine="480"/>
        <w:rPr>
          <w:rFonts w:ascii="宋体" w:hAnsi="宋体"/>
          <w:sz w:val="24"/>
          <w:szCs w:val="24"/>
        </w:rPr>
      </w:pPr>
      <w:r>
        <w:rPr>
          <w:rFonts w:ascii="宋体" w:hAnsi="宋体" w:hint="eastAsia"/>
          <w:sz w:val="24"/>
          <w:szCs w:val="24"/>
        </w:rPr>
        <w:t>鉴于交银施罗德基金管理有限公司拟担任交银施罗德鸿光一年持有期混合型证券投资基金的基金管理人，中国光大银行股份有限公司拟担任交银施罗德鸿光一年持有期混合型证券投资基金的基金托管人；</w:t>
      </w:r>
    </w:p>
    <w:p w14:paraId="0ACB3554" w14:textId="7923CA24" w:rsidR="00A2434A" w:rsidRDefault="00A3697C">
      <w:pPr>
        <w:spacing w:line="360" w:lineRule="auto"/>
        <w:ind w:firstLineChars="200" w:firstLine="480"/>
        <w:rPr>
          <w:rFonts w:ascii="宋体" w:hAnsi="宋体"/>
          <w:sz w:val="24"/>
          <w:szCs w:val="24"/>
        </w:rPr>
      </w:pPr>
      <w:r>
        <w:rPr>
          <w:rFonts w:ascii="宋体" w:hAnsi="宋体" w:hint="eastAsia"/>
          <w:sz w:val="24"/>
          <w:szCs w:val="24"/>
        </w:rPr>
        <w:t>为明确交银施罗德鸿光一年持有期混合型证券投资基金的基金管理人和基金托管人之间的权利义务关系，特制订本托管协议；</w:t>
      </w:r>
    </w:p>
    <w:p w14:paraId="30C98333" w14:textId="6A143181" w:rsidR="00A2434A" w:rsidRDefault="00A3697C">
      <w:pPr>
        <w:spacing w:line="360" w:lineRule="auto"/>
        <w:ind w:firstLineChars="200" w:firstLine="480"/>
        <w:rPr>
          <w:rFonts w:ascii="宋体" w:hAnsi="宋体"/>
          <w:sz w:val="24"/>
          <w:szCs w:val="24"/>
        </w:rPr>
      </w:pPr>
      <w:r>
        <w:rPr>
          <w:rFonts w:ascii="宋体" w:hAnsi="宋体" w:hint="eastAsia"/>
          <w:sz w:val="24"/>
          <w:szCs w:val="24"/>
        </w:rPr>
        <w:t>除非另有约定，《交银施罗德鸿光一年持有期混合型证券投资基金基金合同》(以下简称“基金合同”)中定义的术语在用于本托管协议时应具有相同的含义；若有抵触应以基金合同为准，并依其条款解释。</w:t>
      </w:r>
    </w:p>
    <w:p w14:paraId="3DBB1165"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若本基金实施侧袋机制的，侧袋机制实施期间的相关安排见基金合同和招募说明书的规定。</w:t>
      </w:r>
    </w:p>
    <w:p w14:paraId="4C972FAD" w14:textId="77777777" w:rsidR="00A2434A" w:rsidRDefault="00A2434A">
      <w:pPr>
        <w:pStyle w:val="aa"/>
        <w:jc w:val="both"/>
        <w:rPr>
          <w:b w:val="0"/>
          <w:bCs w:val="0"/>
          <w:sz w:val="24"/>
          <w:szCs w:val="24"/>
        </w:rPr>
        <w:sectPr w:rsidR="00A2434A">
          <w:pgSz w:w="11906" w:h="16838"/>
          <w:pgMar w:top="1440" w:right="1800" w:bottom="1440" w:left="1800" w:header="851" w:footer="992" w:gutter="0"/>
          <w:cols w:space="425"/>
          <w:titlePg/>
          <w:docGrid w:type="lines" w:linePitch="312"/>
        </w:sectPr>
      </w:pPr>
      <w:bookmarkStart w:id="5" w:name="_Toc264617141"/>
    </w:p>
    <w:p w14:paraId="5F0CCD79" w14:textId="77777777" w:rsidR="00A2434A" w:rsidRDefault="00A3697C">
      <w:pPr>
        <w:pStyle w:val="aa"/>
        <w:rPr>
          <w:rFonts w:ascii="宋体" w:hAnsi="宋体" w:cs="宋体"/>
          <w:sz w:val="30"/>
          <w:szCs w:val="30"/>
        </w:rPr>
      </w:pPr>
      <w:r>
        <w:rPr>
          <w:rFonts w:ascii="宋体" w:hAnsi="宋体" w:cs="宋体" w:hint="eastAsia"/>
          <w:sz w:val="30"/>
          <w:szCs w:val="30"/>
        </w:rPr>
        <w:lastRenderedPageBreak/>
        <w:t>一、基金托管协议当事人</w:t>
      </w:r>
      <w:bookmarkEnd w:id="5"/>
    </w:p>
    <w:p w14:paraId="09337BB1" w14:textId="77777777" w:rsidR="00A2434A" w:rsidRDefault="00A3697C">
      <w:pPr>
        <w:spacing w:line="360" w:lineRule="auto"/>
        <w:ind w:firstLineChars="200" w:firstLine="480"/>
        <w:rPr>
          <w:rFonts w:ascii="宋体" w:hAnsi="宋体"/>
          <w:sz w:val="24"/>
          <w:szCs w:val="24"/>
          <w:highlight w:val="yellow"/>
        </w:rPr>
      </w:pPr>
      <w:r>
        <w:rPr>
          <w:rFonts w:ascii="宋体" w:hAnsi="宋体" w:hint="eastAsia"/>
          <w:sz w:val="24"/>
          <w:szCs w:val="24"/>
        </w:rPr>
        <w:t>（一）基金管理人</w:t>
      </w:r>
    </w:p>
    <w:p w14:paraId="171CFBE3" w14:textId="0356F925" w:rsidR="00A2434A" w:rsidRDefault="00A3697C">
      <w:pPr>
        <w:spacing w:line="360" w:lineRule="auto"/>
        <w:ind w:firstLineChars="200" w:firstLine="480"/>
        <w:rPr>
          <w:rFonts w:ascii="宋体" w:hAnsi="宋体"/>
          <w:sz w:val="24"/>
          <w:szCs w:val="24"/>
        </w:rPr>
      </w:pPr>
      <w:r>
        <w:rPr>
          <w:rFonts w:ascii="宋体" w:hAnsi="宋体" w:hint="eastAsia"/>
          <w:sz w:val="24"/>
          <w:szCs w:val="24"/>
        </w:rPr>
        <w:t>名称：交银施罗德基金管理有限公司</w:t>
      </w:r>
    </w:p>
    <w:p w14:paraId="4DF7EAFC"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住所：中国（上海）自由贸易试验区银城中路188号交通银行大楼二层（裙）</w:t>
      </w:r>
    </w:p>
    <w:p w14:paraId="3AFEB63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办公地址：上海市浦东新区世纪大道8号国金中心二期21-22楼</w:t>
      </w:r>
    </w:p>
    <w:p w14:paraId="58A22331"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邮政编码：</w:t>
      </w:r>
      <w:r>
        <w:rPr>
          <w:rFonts w:ascii="宋体" w:hAnsi="宋体"/>
          <w:sz w:val="24"/>
          <w:szCs w:val="24"/>
        </w:rPr>
        <w:t>200120</w:t>
      </w:r>
    </w:p>
    <w:p w14:paraId="5F2CF141"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法定代表人：阮红</w:t>
      </w:r>
    </w:p>
    <w:p w14:paraId="5A303E60"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成立日期：2005年8月4日</w:t>
      </w:r>
    </w:p>
    <w:p w14:paraId="07D5DB12" w14:textId="3AA0B651" w:rsidR="00A2434A" w:rsidRDefault="00A3697C">
      <w:pPr>
        <w:spacing w:line="360" w:lineRule="auto"/>
        <w:ind w:firstLineChars="200" w:firstLine="480"/>
        <w:rPr>
          <w:rFonts w:ascii="宋体" w:hAnsi="宋体"/>
          <w:sz w:val="24"/>
          <w:szCs w:val="24"/>
        </w:rPr>
      </w:pPr>
      <w:r>
        <w:rPr>
          <w:rFonts w:ascii="宋体" w:hAnsi="宋体" w:hint="eastAsia"/>
          <w:sz w:val="24"/>
          <w:szCs w:val="24"/>
        </w:rPr>
        <w:t>批准设立机关及批准设立文号：中国证监会证监基金字</w:t>
      </w:r>
      <w:r>
        <w:rPr>
          <w:rFonts w:ascii="宋体" w:hAnsi="宋体"/>
          <w:sz w:val="24"/>
          <w:szCs w:val="24"/>
        </w:rPr>
        <w:t>[2005]128</w:t>
      </w:r>
      <w:r>
        <w:rPr>
          <w:rFonts w:ascii="宋体" w:hAnsi="宋体" w:hint="eastAsia"/>
          <w:sz w:val="24"/>
          <w:szCs w:val="24"/>
        </w:rPr>
        <w:t>号</w:t>
      </w:r>
    </w:p>
    <w:p w14:paraId="3241EE1F"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组织形式：有限责任公司</w:t>
      </w:r>
    </w:p>
    <w:p w14:paraId="2658F806" w14:textId="1EF88BE4" w:rsidR="00A2434A" w:rsidRDefault="00A3697C">
      <w:pPr>
        <w:spacing w:line="360" w:lineRule="auto"/>
        <w:ind w:firstLineChars="200" w:firstLine="480"/>
        <w:rPr>
          <w:rFonts w:ascii="宋体" w:hAnsi="宋体"/>
          <w:sz w:val="24"/>
          <w:szCs w:val="24"/>
        </w:rPr>
      </w:pPr>
      <w:r>
        <w:rPr>
          <w:rFonts w:ascii="宋体" w:hAnsi="宋体" w:hint="eastAsia"/>
          <w:sz w:val="24"/>
          <w:szCs w:val="24"/>
        </w:rPr>
        <w:t>注册资本：2亿元人民币</w:t>
      </w:r>
    </w:p>
    <w:p w14:paraId="3E2FD313"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存续期间：持续经营</w:t>
      </w:r>
    </w:p>
    <w:p w14:paraId="4BC15206" w14:textId="77777777" w:rsidR="00A2434A" w:rsidRDefault="00A2434A">
      <w:pPr>
        <w:spacing w:line="360" w:lineRule="auto"/>
        <w:ind w:firstLineChars="200" w:firstLine="480"/>
        <w:rPr>
          <w:rFonts w:ascii="宋体" w:hAnsi="宋体"/>
          <w:sz w:val="24"/>
          <w:szCs w:val="24"/>
        </w:rPr>
      </w:pPr>
    </w:p>
    <w:p w14:paraId="52748D04"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（二）基金托管人</w:t>
      </w:r>
    </w:p>
    <w:p w14:paraId="5C52AE50"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名称：中国光大银行股份有限公司</w:t>
      </w:r>
    </w:p>
    <w:p w14:paraId="6AF6276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住所：北京市西城区太平桥大街25 号、甲25 号中国光大中心</w:t>
      </w:r>
    </w:p>
    <w:p w14:paraId="00535DD0"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邮政编码：100033</w:t>
      </w:r>
    </w:p>
    <w:p w14:paraId="1942A68B"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法定代表人：李晓鹏</w:t>
      </w:r>
    </w:p>
    <w:p w14:paraId="2CFBDBE5"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成立日期：1992年6月18日</w:t>
      </w:r>
    </w:p>
    <w:p w14:paraId="552FA747"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批准设立机关和批准设立文号：国务院、国函[1992]7号</w:t>
      </w:r>
    </w:p>
    <w:p w14:paraId="20313EF6"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组织形式：股份有限公司</w:t>
      </w:r>
    </w:p>
    <w:p w14:paraId="1C4939F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注册资本：466.79095亿元人民币</w:t>
      </w:r>
    </w:p>
    <w:p w14:paraId="4042517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存续期间：持续经营</w:t>
      </w:r>
    </w:p>
    <w:p w14:paraId="4B3CF330" w14:textId="77777777" w:rsidR="00A2434A" w:rsidRDefault="00A3697C">
      <w:pPr>
        <w:spacing w:line="360" w:lineRule="auto"/>
        <w:ind w:firstLineChars="200" w:firstLine="480"/>
        <w:rPr>
          <w:rFonts w:ascii="宋体" w:hAnsi="宋体"/>
          <w:sz w:val="24"/>
          <w:szCs w:val="24"/>
        </w:rPr>
      </w:pPr>
      <w:r>
        <w:rPr>
          <w:rFonts w:ascii="宋体" w:hAnsi="宋体" w:hint="eastAsia"/>
          <w:color w:val="000000"/>
          <w:sz w:val="24"/>
        </w:rPr>
        <w:t>基金托管资格批文及文号：证监基金字[2002]75号</w:t>
      </w:r>
    </w:p>
    <w:p w14:paraId="7C4A5CEA" w14:textId="77777777" w:rsidR="00A2434A" w:rsidRDefault="00A3697C">
      <w:pPr>
        <w:spacing w:line="360" w:lineRule="auto"/>
        <w:ind w:firstLineChars="200" w:firstLine="480"/>
        <w:jc w:val="center"/>
        <w:rPr>
          <w:rFonts w:ascii="宋体" w:hAnsi="宋体" w:cs="宋体"/>
          <w:bCs/>
          <w:color w:val="000000"/>
          <w:sz w:val="30"/>
          <w:szCs w:val="30"/>
        </w:rPr>
      </w:pPr>
      <w:r>
        <w:rPr>
          <w:rFonts w:ascii="仿宋" w:eastAsia="仿宋" w:hAnsi="仿宋" w:hint="eastAsia"/>
          <w:color w:val="000000"/>
          <w:sz w:val="24"/>
          <w:szCs w:val="24"/>
        </w:rPr>
        <w:br w:type="page"/>
      </w:r>
      <w:bookmarkStart w:id="6" w:name="_Toc264617142"/>
      <w:r>
        <w:rPr>
          <w:rFonts w:ascii="宋体" w:hAnsi="宋体" w:cs="宋体" w:hint="eastAsia"/>
          <w:b/>
          <w:bCs/>
          <w:sz w:val="30"/>
          <w:szCs w:val="30"/>
        </w:rPr>
        <w:lastRenderedPageBreak/>
        <w:t>二、基金托管协议的依据、目的、原则和解释</w:t>
      </w:r>
      <w:bookmarkEnd w:id="6"/>
    </w:p>
    <w:p w14:paraId="4BDB6D1A" w14:textId="77777777" w:rsidR="00A2434A" w:rsidRDefault="00A2434A">
      <w:pPr>
        <w:spacing w:line="360" w:lineRule="auto"/>
        <w:ind w:firstLineChars="200" w:firstLine="480"/>
        <w:rPr>
          <w:rFonts w:ascii="仿宋" w:eastAsia="仿宋" w:hAnsi="仿宋"/>
          <w:color w:val="000000"/>
          <w:sz w:val="24"/>
          <w:szCs w:val="24"/>
        </w:rPr>
      </w:pPr>
    </w:p>
    <w:p w14:paraId="3BF54E1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（一）订立托管协议的依据</w:t>
      </w:r>
    </w:p>
    <w:p w14:paraId="4CC1CBC7" w14:textId="74E5AA5C"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本协议依据《中华人民共和国合同法》、《中华人民共和国证券投资基金法》(以下简称“《基金法》”) 《公开募集证券投资基金运作管理办法》（以下称“《运作办法》”）、《公开募集证券投资基金信息披露管理办法》（以下称“《信息披露办法》”）、《公开募集开放式证券投资基金流动性风险管理规定》（以下称“《流动性风险管理规定》”）等有关法律法规、《交银施罗德鸿光一年持有期混合型证券投资基金基金合同》（ 以下称“基金合同”）及其他有关规定制订。</w:t>
      </w:r>
    </w:p>
    <w:p w14:paraId="41B382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（二）订立托管协议的目的</w:t>
      </w:r>
    </w:p>
    <w:p w14:paraId="1E91617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A54571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（三）订立托管协议的原则</w:t>
      </w:r>
    </w:p>
    <w:p w14:paraId="209EC15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基金管理人和基金托管人本着平等自愿、诚实信用、充分保护基金份额持有人合法权益的原则，经协商一致，签订本协议。</w:t>
      </w:r>
    </w:p>
    <w:p w14:paraId="056AE25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（四）解释</w:t>
      </w:r>
    </w:p>
    <w:p w14:paraId="707B14D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除非文义另有所指，本托管协议的所有术语与基金合同的相应术语具有相同含义；若有抵触应以基金合同为准，并依其条款解释。</w:t>
      </w:r>
    </w:p>
    <w:p w14:paraId="3CDBCDD5" w14:textId="77777777" w:rsidR="00A2434A" w:rsidRDefault="00A2434A">
      <w:pPr>
        <w:spacing w:line="360" w:lineRule="auto"/>
        <w:ind w:firstLineChars="200" w:firstLine="480"/>
        <w:rPr>
          <w:rFonts w:ascii="仿宋" w:eastAsia="仿宋" w:hAnsi="仿宋"/>
          <w:color w:val="000000"/>
          <w:sz w:val="24"/>
          <w:szCs w:val="24"/>
        </w:rPr>
      </w:pPr>
    </w:p>
    <w:p w14:paraId="577427BD" w14:textId="77777777" w:rsidR="00A2434A" w:rsidRDefault="00A3697C">
      <w:pPr>
        <w:pStyle w:val="2"/>
        <w:spacing w:line="360" w:lineRule="auto"/>
        <w:jc w:val="center"/>
        <w:rPr>
          <w:rFonts w:ascii="宋体" w:hAnsi="宋体"/>
          <w:color w:val="000000"/>
        </w:rPr>
      </w:pPr>
      <w:r>
        <w:rPr>
          <w:rFonts w:ascii="仿宋" w:eastAsia="仿宋" w:hAnsi="仿宋" w:hint="eastAsia"/>
          <w:b w:val="0"/>
          <w:bCs w:val="0"/>
          <w:color w:val="000000"/>
        </w:rPr>
        <w:br w:type="page"/>
      </w:r>
      <w:bookmarkStart w:id="7" w:name="_Toc264617143"/>
      <w:r>
        <w:rPr>
          <w:rFonts w:ascii="宋体" w:hAnsi="宋体" w:hint="eastAsia"/>
          <w:sz w:val="30"/>
          <w:szCs w:val="30"/>
        </w:rPr>
        <w:lastRenderedPageBreak/>
        <w:t>三、基金托管人对基金管理人的业务监督和核查</w:t>
      </w:r>
      <w:bookmarkEnd w:id="7"/>
    </w:p>
    <w:p w14:paraId="1E2562D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（一）基金托管人根据有关法律法规的规定及基金合同的约定，对基金投资范围、投资比例进行监督。</w:t>
      </w:r>
    </w:p>
    <w:p w14:paraId="1B4CA7A5" w14:textId="65B85015"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本基金的投资范围为具有良好流动性的金融工具，包括国内依法发行上市的股票（含中小板、创业板及其他经中国证监会核准或注册上市的股票</w:t>
      </w:r>
      <w:r w:rsidR="00255D24" w:rsidRPr="00255D24">
        <w:rPr>
          <w:rFonts w:ascii="宋体" w:hAnsi="宋体" w:cs="宋体" w:hint="eastAsia"/>
          <w:color w:val="000000"/>
          <w:sz w:val="24"/>
          <w:szCs w:val="24"/>
        </w:rPr>
        <w:t>、存托凭证</w:t>
      </w:r>
      <w:r>
        <w:rPr>
          <w:rFonts w:ascii="宋体" w:hAnsi="宋体" w:cs="宋体" w:hint="eastAsia"/>
          <w:color w:val="000000"/>
          <w:sz w:val="24"/>
          <w:szCs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29C73FB8" w14:textId="3F2FB273"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如法律法规或监管机构以后允许基金投资其他品种，基金管理人在履行适当程序后，可以将其纳入投资范围。</w:t>
      </w:r>
    </w:p>
    <w:p w14:paraId="5F816D60" w14:textId="2CFA8E1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基金的投资组合比例为：股票投资</w:t>
      </w:r>
      <w:r w:rsidR="00255D24" w:rsidRPr="00255D24">
        <w:rPr>
          <w:rFonts w:ascii="宋体" w:hAnsi="宋体" w:cs="宋体" w:hint="eastAsia"/>
          <w:color w:val="000000"/>
          <w:sz w:val="24"/>
          <w:szCs w:val="24"/>
        </w:rPr>
        <w:t>（含存托凭证）</w:t>
      </w:r>
      <w:r>
        <w:rPr>
          <w:rFonts w:ascii="宋体" w:hAnsi="宋体" w:cs="宋体" w:hint="eastAsia"/>
          <w:color w:val="000000"/>
          <w:sz w:val="24"/>
          <w:szCs w:val="24"/>
        </w:rPr>
        <w:t>占基金资产的比例为0%-40%（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34DEB1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如果法律法规或中国证监会变更投资品种的投资比例限制，基金管理人在履行适当程序后，可以调整上述投资品种的投资比例。</w:t>
      </w:r>
    </w:p>
    <w:p w14:paraId="2FA65766"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（二）基金托管人根据有关法律法规的规定及基金合同的约定，对基金投资比例进行监督。基金托管人按下述比例和调整期限进行监督：</w:t>
      </w:r>
    </w:p>
    <w:p w14:paraId="1B73C0F8" w14:textId="6E03866E" w:rsidR="00A2434A" w:rsidRDefault="00A3697C">
      <w:pPr>
        <w:spacing w:line="360" w:lineRule="auto"/>
        <w:ind w:firstLineChars="200" w:firstLine="480"/>
        <w:rPr>
          <w:rFonts w:ascii="宋体" w:hAnsi="宋体" w:cs="宋体"/>
          <w:bCs/>
          <w:sz w:val="24"/>
        </w:rPr>
      </w:pPr>
      <w:r>
        <w:rPr>
          <w:rFonts w:ascii="宋体" w:hAnsi="宋体" w:cs="宋体" w:hint="eastAsia"/>
          <w:bCs/>
          <w:sz w:val="24"/>
        </w:rPr>
        <w:t>1、股票投资</w:t>
      </w:r>
      <w:r w:rsidR="00255D24" w:rsidRPr="00255D24">
        <w:rPr>
          <w:rFonts w:ascii="宋体" w:hAnsi="宋体" w:cs="宋体" w:hint="eastAsia"/>
          <w:bCs/>
          <w:sz w:val="24"/>
        </w:rPr>
        <w:t>（含存托凭证）</w:t>
      </w:r>
      <w:r>
        <w:rPr>
          <w:rFonts w:ascii="宋体" w:hAnsi="宋体" w:cs="宋体" w:hint="eastAsia"/>
          <w:bCs/>
          <w:sz w:val="24"/>
        </w:rPr>
        <w:t>占基金资产的比例为0%-40%（其中投资于港股通标的股票的比例占股票资产的0%-50%），同业存单投资占基金资产的比例不超过20%；</w:t>
      </w:r>
    </w:p>
    <w:p w14:paraId="42BEA690"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14:paraId="2708AC3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lastRenderedPageBreak/>
        <w:t>3、本基金持有一家公司发行的证券（同一家公司在内地和香港同时上市的A+H股合计计算），其市值不超过基金资产净值的10％；</w:t>
      </w:r>
    </w:p>
    <w:p w14:paraId="12C2B16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521BF7C8"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5、本基金投资于同一原始权益人的各类资产支持证券的比例，不得超过基金资产净值的10％；</w:t>
      </w:r>
    </w:p>
    <w:p w14:paraId="15FDA52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6、本基金持有的全部资产支持证券，其市值不得超过基金资产净值的20％；</w:t>
      </w:r>
    </w:p>
    <w:p w14:paraId="3EB669F1"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7、本基金持有的同一(指同一信用级别)资产支持证券的比例，不得超过该资产支持证券规模的10％；</w:t>
      </w:r>
    </w:p>
    <w:p w14:paraId="770B1E09"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8、本基金管理人管理的全部基金投资于同一原始权益人的各类资产支持证券，不得超过其各类资产支持证券合计规模的10％；</w:t>
      </w:r>
    </w:p>
    <w:p w14:paraId="008C3729"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1E2CC4F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10、基金财产参与股票发行申购，本基金所申报的金额不超过本基金的总资产，本基金所申报的股票数量不超过拟发行股票公司本次发行股票的总量；</w:t>
      </w:r>
    </w:p>
    <w:p w14:paraId="368DCE0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11、本基金进入全国银行间同业市场进行债券回购的资金余额不得超过基金资产净值的40%，进入全国银行间同业市场进行债券回购的最长期限为1年，债券回购到期后不得展期；</w:t>
      </w:r>
    </w:p>
    <w:p w14:paraId="792545F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5F9A9B6"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w:t>
      </w:r>
      <w:r>
        <w:rPr>
          <w:rFonts w:ascii="宋体" w:hAnsi="宋体" w:cs="宋体" w:hint="eastAsia"/>
          <w:bCs/>
          <w:sz w:val="24"/>
        </w:rPr>
        <w:lastRenderedPageBreak/>
        <w:t>投资；</w:t>
      </w:r>
    </w:p>
    <w:p w14:paraId="75F07F8F" w14:textId="02D85F84" w:rsidR="00A2434A" w:rsidRDefault="00A3697C">
      <w:pPr>
        <w:spacing w:line="360" w:lineRule="auto"/>
        <w:ind w:firstLineChars="200" w:firstLine="480"/>
        <w:rPr>
          <w:rFonts w:ascii="宋体" w:hAnsi="宋体" w:cs="宋体"/>
          <w:bCs/>
          <w:sz w:val="24"/>
        </w:rPr>
      </w:pPr>
      <w:r>
        <w:rPr>
          <w:rFonts w:ascii="宋体" w:hAnsi="宋体" w:cs="宋体" w:hint="eastAsia"/>
          <w:bCs/>
          <w:sz w:val="24"/>
        </w:rPr>
        <w:t>14、本基金与私募类证券资管产品及中国证监会认定的其他主体为交易对手开展逆回购交易的，可接受质押品的资质要求应当与基金合同约定的投资范围保持一致；</w:t>
      </w:r>
    </w:p>
    <w:p w14:paraId="265A85F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15、本基金参与股指期货交易，则：</w:t>
      </w:r>
    </w:p>
    <w:p w14:paraId="79D30A4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（1）本基金在任何交易日日终，持有的买入股指期货合约价值，不得超过基金资产净值的10%；</w:t>
      </w:r>
    </w:p>
    <w:p w14:paraId="303D6D87"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3F9FAF15"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（3）本基金在任何交易日日终，持有的卖出股指期货合约价值不得超过基金持有的股票总市值的20%；</w:t>
      </w:r>
    </w:p>
    <w:p w14:paraId="6C0C86B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（4）本基金所持有的股票市值和买入、卖出股指期货合约价值，合计（轧差计算）应当符合基金合同关于股票投资比例的有关约定；</w:t>
      </w:r>
    </w:p>
    <w:p w14:paraId="722F3455" w14:textId="27059FCB" w:rsidR="00A2434A" w:rsidRDefault="00A3697C" w:rsidP="00951058">
      <w:pPr>
        <w:spacing w:line="360" w:lineRule="auto"/>
        <w:ind w:firstLineChars="200" w:firstLine="480"/>
        <w:rPr>
          <w:rFonts w:ascii="宋体" w:hAnsi="宋体" w:cs="宋体"/>
          <w:bCs/>
          <w:sz w:val="24"/>
        </w:rPr>
      </w:pPr>
      <w:r>
        <w:rPr>
          <w:rFonts w:ascii="宋体" w:hAnsi="宋体" w:cs="宋体" w:hint="eastAsia"/>
          <w:bCs/>
          <w:sz w:val="24"/>
        </w:rPr>
        <w:t>（5）本基金在任何交易日内交易（不包括平仓）的股指期货合约的成交金额不得超过上一交易日基金资产净值的20%；</w:t>
      </w:r>
    </w:p>
    <w:p w14:paraId="17F787FC" w14:textId="4E87AF74" w:rsidR="00A2434A" w:rsidRDefault="00951058">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6</w:t>
      </w:r>
      <w:r w:rsidR="00A3697C">
        <w:rPr>
          <w:rFonts w:ascii="宋体" w:hAnsi="宋体" w:cs="宋体" w:hint="eastAsia"/>
          <w:bCs/>
          <w:sz w:val="24"/>
        </w:rPr>
        <w:t>、本基金资产总值不超过基金资产净值的140%；</w:t>
      </w:r>
    </w:p>
    <w:p w14:paraId="1D584898" w14:textId="14FC12FB" w:rsidR="00255D24" w:rsidRDefault="00255D24">
      <w:pPr>
        <w:spacing w:line="360" w:lineRule="auto"/>
        <w:ind w:firstLineChars="200" w:firstLine="480"/>
        <w:rPr>
          <w:rFonts w:ascii="宋体" w:hAnsi="宋体" w:cs="宋体"/>
          <w:bCs/>
          <w:sz w:val="24"/>
        </w:rPr>
      </w:pPr>
      <w:r w:rsidRPr="00255D24">
        <w:rPr>
          <w:rFonts w:ascii="宋体" w:hAnsi="宋体" w:cs="宋体" w:hint="eastAsia"/>
          <w:bCs/>
          <w:sz w:val="24"/>
        </w:rPr>
        <w:t>17</w:t>
      </w:r>
      <w:r>
        <w:rPr>
          <w:rFonts w:ascii="宋体" w:hAnsi="宋体" w:cs="宋体" w:hint="eastAsia"/>
          <w:bCs/>
          <w:sz w:val="24"/>
        </w:rPr>
        <w:t>、</w:t>
      </w:r>
      <w:r w:rsidRPr="00255D24">
        <w:rPr>
          <w:rFonts w:ascii="宋体" w:hAnsi="宋体" w:cs="宋体" w:hint="eastAsia"/>
          <w:bCs/>
          <w:sz w:val="24"/>
        </w:rPr>
        <w:t>本基金投资存托凭证的比例限制依照境内上市交易的股票执行；</w:t>
      </w:r>
    </w:p>
    <w:p w14:paraId="0E287FA1" w14:textId="2586EFD9" w:rsidR="00A2434A" w:rsidRDefault="00255D24">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8</w:t>
      </w:r>
      <w:r w:rsidR="00A3697C">
        <w:rPr>
          <w:rFonts w:ascii="宋体" w:hAnsi="宋体" w:cs="宋体" w:hint="eastAsia"/>
          <w:bCs/>
          <w:sz w:val="24"/>
        </w:rPr>
        <w:t>、法律法规及中国证监会规定的和《基金合同》约定的其他投资限制。</w:t>
      </w:r>
    </w:p>
    <w:p w14:paraId="42B4F5F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34DD516"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BF46F3A"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法律法规对上述投资组合比例限制进行变更的，以变更后的规定为准。法律</w:t>
      </w:r>
      <w:r>
        <w:rPr>
          <w:rFonts w:ascii="宋体" w:hAnsi="宋体" w:cs="宋体" w:hint="eastAsia"/>
          <w:bCs/>
          <w:sz w:val="24"/>
        </w:rPr>
        <w:lastRenderedPageBreak/>
        <w:t>法规或监管部门取消上述限制，如适用于本基金，基金管理人在履行适当程序后，则本基金投资不再受相关限制。</w:t>
      </w:r>
    </w:p>
    <w:p w14:paraId="5B4923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（三）基金托管人根据有关法律法规的规定及基金合同的约定，对本托管协议第十五条第（十二）款基金投资禁止行为进行监督。</w:t>
      </w:r>
    </w:p>
    <w:p w14:paraId="1FD8865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0A77D0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如法律、行政法规或监管部门取消上述规定，如适用于本基金，基金管理人在履行适当程序后，本基金可不受上述规定的限制。</w:t>
      </w:r>
    </w:p>
    <w:p w14:paraId="4473FD7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（四）基金托管人根据有关法律法规的规定及基金合同的约定，对基金管理人参与银行间债券市场进行监督。</w:t>
      </w:r>
    </w:p>
    <w:p w14:paraId="30D061A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53E2053" w14:textId="3A5A832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7B6AEAE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（五）基金托管人根据有关法律法规的规定及基金合同的约定，对基金投资流通受限证券进行监督。</w:t>
      </w:r>
    </w:p>
    <w:p w14:paraId="4FC2056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1．基金投资流通受限证券，应遵守《关于基金投资非公开发行股票等流通受限证券有关问题的通知》等有关法律法规规定。</w:t>
      </w:r>
    </w:p>
    <w:p w14:paraId="6155C22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205BF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2199754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1734E07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6292F2A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3A736222" w14:textId="3D664DF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基金管理人应在基金投资非公开发行股票后两个交易日内，在中国证监会规定媒介披露所投资非公开发行股票的名称、数量、总成本、账面价值，以及总成本和账面价值占基金资产净值的比例、锁定期等信息。</w:t>
      </w:r>
    </w:p>
    <w:p w14:paraId="7788830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7．基金托管人</w:t>
      </w:r>
      <w:r>
        <w:rPr>
          <w:rFonts w:ascii="宋体" w:hAnsi="宋体" w:hint="eastAsia"/>
          <w:sz w:val="24"/>
          <w:szCs w:val="24"/>
        </w:rPr>
        <w:t>在力所能及的范围内</w:t>
      </w:r>
      <w:r>
        <w:rPr>
          <w:rFonts w:ascii="宋体" w:hAnsi="宋体" w:cs="宋体" w:hint="eastAsia"/>
          <w:color w:val="000000"/>
          <w:sz w:val="24"/>
          <w:szCs w:val="24"/>
        </w:rPr>
        <w:t>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4B185540" w14:textId="64122790" w:rsidR="00A2434A" w:rsidRDefault="00A3697C">
      <w:pPr>
        <w:spacing w:line="360" w:lineRule="auto"/>
        <w:ind w:firstLineChars="200" w:firstLine="480"/>
        <w:rPr>
          <w:rFonts w:ascii="宋体" w:hAnsi="宋体"/>
          <w:sz w:val="24"/>
          <w:szCs w:val="24"/>
        </w:rPr>
      </w:pPr>
      <w:r>
        <w:rPr>
          <w:rFonts w:ascii="宋体" w:hAnsi="宋体" w:cs="宋体" w:hint="eastAsia"/>
          <w:color w:val="000000"/>
          <w:sz w:val="24"/>
          <w:szCs w:val="24"/>
        </w:rPr>
        <w:t>（六）</w:t>
      </w:r>
      <w:r>
        <w:rPr>
          <w:rFonts w:ascii="宋体" w:hAnsi="宋体" w:hint="eastAsia"/>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7F8B55A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F6307D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如果基金管理人未经基金托管人的审核擅自将不实的业绩表现数据印制在宣传推介材料上，则基金托管人对此不承担任何责任，并将在发现后立即报告中国证监会。</w:t>
      </w:r>
    </w:p>
    <w:p w14:paraId="352FD6D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（八）基金托管人发现基金管理人的上述事项及投资指令或实际投资运作违反法律法规、基金合同和本托管协议的规定，应及时以电话提醒或书面提示等方式通知基金管理人限期纠正。</w:t>
      </w:r>
    </w:p>
    <w:p w14:paraId="0751978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02EC9F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（九）基金管理人有义务配合和协助基金托管人依照法律法规、基金合同和本托管协议对基金业务执行核查。</w:t>
      </w:r>
    </w:p>
    <w:p w14:paraId="7E0704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6E3972A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（十）若基金托管人发现基金管理人依据交易程序已经生效的指令违反法律、行政法规和其他有关规定，或者违反基金合同约定的，应当立即通知基金管理人。</w:t>
      </w:r>
    </w:p>
    <w:p w14:paraId="2CEFF47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（十一）基金托管人发现基金管理人有重大违规行为，应及时报告中国证监会，同时通知基金管理人限期纠正，并将纠正结果报告中国证监会。</w:t>
      </w:r>
    </w:p>
    <w:p w14:paraId="0C83437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2BF0C56"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（十二）侧袋机制的实施和投资运作安排</w:t>
      </w:r>
    </w:p>
    <w:p w14:paraId="16490142"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9C1F56E" w14:textId="2A6C1FDC"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lastRenderedPageBreak/>
        <w:t>侧袋机制实施期间，本部分约定的投资组合比例、组合限制等约定仅适用于主袋账户。</w:t>
      </w:r>
    </w:p>
    <w:p w14:paraId="70F13621"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侧袋账户的实施条件、实施程序、运作安排、投资安排、特定资产的处置变现和支付等对投资者权益有重大影响的事项详见招募说明书的规定。</w:t>
      </w:r>
    </w:p>
    <w:p w14:paraId="70B68087"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8" w:name="_Toc264617144"/>
      <w:r>
        <w:rPr>
          <w:rFonts w:ascii="宋体" w:hAnsi="宋体" w:hint="eastAsia"/>
          <w:sz w:val="30"/>
          <w:szCs w:val="30"/>
        </w:rPr>
        <w:lastRenderedPageBreak/>
        <w:t>四、基金管理人对基金托管人的业务核查</w:t>
      </w:r>
      <w:bookmarkEnd w:id="8"/>
    </w:p>
    <w:p w14:paraId="246DB4A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对基金托管人履行托管职责情况进行核查，核查事项包括基金托管人安全保管基金财产、开设基金财产的资金账户、证券账户、期货账户以及投资所需的其他专用账户、复核基金管理人计算的各类基金份额的基金资产净值和基金份额净值、根据基金管理人指令办理清算交收、相关信息披露和监督基金投资运作等行为。</w:t>
      </w:r>
    </w:p>
    <w:p w14:paraId="1FB83D0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A098DD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B92F3E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（三）基金管理人发现基金托管人有重大违规行为，应及时报告中国证监会，同时通知基金托管人限期纠正，并将纠正结果报告中国证监会。</w:t>
      </w:r>
    </w:p>
    <w:p w14:paraId="2FA2CDF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13C349CE" w14:textId="77777777" w:rsidR="00A2434A" w:rsidRDefault="00A2434A">
      <w:pPr>
        <w:spacing w:line="360" w:lineRule="auto"/>
        <w:ind w:firstLineChars="200" w:firstLine="480"/>
        <w:rPr>
          <w:rFonts w:ascii="仿宋" w:eastAsia="仿宋" w:hAnsi="仿宋"/>
          <w:color w:val="000000"/>
          <w:sz w:val="24"/>
          <w:szCs w:val="24"/>
        </w:rPr>
      </w:pPr>
    </w:p>
    <w:p w14:paraId="45F3209A"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9" w:name="_Toc264617145"/>
      <w:r>
        <w:rPr>
          <w:rFonts w:ascii="宋体" w:hAnsi="宋体" w:hint="eastAsia"/>
          <w:color w:val="000000"/>
          <w:sz w:val="30"/>
          <w:szCs w:val="30"/>
        </w:rPr>
        <w:lastRenderedPageBreak/>
        <w:t>五、基金财产的保管</w:t>
      </w:r>
      <w:bookmarkEnd w:id="9"/>
    </w:p>
    <w:p w14:paraId="1B3699B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（一）基金财产保管的原则</w:t>
      </w:r>
    </w:p>
    <w:p w14:paraId="18B3352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1．基金财产应独立于基金管理人、基金托管人的固有财产；</w:t>
      </w:r>
    </w:p>
    <w:p w14:paraId="2E0A094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2．基金托管人应安全保管基金财产；</w:t>
      </w:r>
    </w:p>
    <w:p w14:paraId="5213D8C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3．基金托管人按照规定开设基金财产的资金账户、证券账户、期货账户以及投资所需的其他专用账户；</w:t>
      </w:r>
    </w:p>
    <w:p w14:paraId="5E6FB27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4．基金托管人对所托管的不同基金财产分别设置账户，确保基金财产的完整与独立； </w:t>
      </w:r>
    </w:p>
    <w:p w14:paraId="7E1E62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5．基金托管人根据基金管理人的指令，按照基金合同和本协议的约定保管基金财产，如有特殊情况双方可另行协商解决；</w:t>
      </w:r>
    </w:p>
    <w:p w14:paraId="6EAA896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1F673CA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7．除依据法律法规和基金合同的规定外，基金托管人不得委托第三人托管基金财产。</w:t>
      </w:r>
    </w:p>
    <w:p w14:paraId="568F41C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（二）基金募集期间及募集资金的验资</w:t>
      </w:r>
    </w:p>
    <w:p w14:paraId="50DAC74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1．基金募集期间募集的资金应存于基金管理人开立的“基金募集专户”。该账户由基金管理人开立并管理。</w:t>
      </w:r>
    </w:p>
    <w:p w14:paraId="741BEF24" w14:textId="110F0840"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6EB23E0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3．若基金募集期限届满或基金停止募集时，未能达到基金合同生效的条件，由基金管理人按规定办理退款等事宜，基金托管人应提供充分协助。</w:t>
      </w:r>
    </w:p>
    <w:p w14:paraId="470349D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（三）基金托管专户的开立和管理</w:t>
      </w:r>
    </w:p>
    <w:p w14:paraId="6435BF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1．基金托管人以基金的名义在其营业机构开设基金托管专户，保管基金的银行存款。本基金的一切货币收支活动，包括但不限于投资、支付赎回金额、支付基金收益、收取申购款，均需通过基金托管专户进行。</w:t>
      </w:r>
    </w:p>
    <w:p w14:paraId="0CAD5F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723E8A6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3．基金托管专户的开立和管理应符合有关法律法规以及银行业监督管理机构的其他有关规定。</w:t>
      </w:r>
    </w:p>
    <w:p w14:paraId="6450B33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（四）基金证券账户和结算备付金账户的开立和管理</w:t>
      </w:r>
    </w:p>
    <w:p w14:paraId="06F7189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1．基金托管人在中国证券登记结算有限责任公司上海分公司、深圳分公司为基金开立基金托管人与基金联名的证券账户。</w:t>
      </w:r>
    </w:p>
    <w:p w14:paraId="5076749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64106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3．基金证券账户的开立和证券账户卡的保管由基金托管人负责，账户资产的管理和运用由基金管理人负责。</w:t>
      </w:r>
    </w:p>
    <w:p w14:paraId="78D7600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798B76A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653F8F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（五）银行间债券托管专户的开设和管理</w:t>
      </w:r>
    </w:p>
    <w:p w14:paraId="0E826E1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w:t>
      </w:r>
      <w:r>
        <w:rPr>
          <w:rFonts w:ascii="宋体" w:hAnsi="宋体" w:cs="宋体" w:hint="eastAsia"/>
          <w:color w:val="000000"/>
          <w:sz w:val="24"/>
          <w:szCs w:val="24"/>
        </w:rPr>
        <w:lastRenderedPageBreak/>
        <w:t>基金管理人和基金托管人共同代表基金签订全国银行间债券市场债券回购主协议，基金托管人保管协议正本，基金管理人保存协议副本。</w:t>
      </w:r>
    </w:p>
    <w:p w14:paraId="3CC69D9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（六）期货账户的开立和管理</w:t>
      </w:r>
    </w:p>
    <w:p w14:paraId="2A992C0F" w14:textId="77777777"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基金托管人与基金管理人应依据相关期货交易所或期货公司的相关规定开立和管理期货账户。</w:t>
      </w:r>
    </w:p>
    <w:p w14:paraId="513C12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（七）其他账户的开立和管理</w:t>
      </w:r>
    </w:p>
    <w:p w14:paraId="08A7CDF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894D5B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法律法规等有关规定对相关账户的开立和管理另有规定的，从其规定办理。</w:t>
      </w:r>
    </w:p>
    <w:p w14:paraId="70D6CF2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（八）基金财产投资的有关有价凭证等的保管</w:t>
      </w:r>
    </w:p>
    <w:p w14:paraId="7BD5DB9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56551FC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（九）与基金财产有关的重大合同的保管</w:t>
      </w:r>
    </w:p>
    <w:p w14:paraId="1AB0972B" w14:textId="411741AF"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不低于法律法规规定的最低期限。</w:t>
      </w:r>
    </w:p>
    <w:p w14:paraId="03A414DB" w14:textId="77777777"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 xml:space="preserve"> 对于无法取得二份以上正本的，基金管理人应向基金托管人提供与合同原</w:t>
      </w:r>
      <w:r>
        <w:rPr>
          <w:rFonts w:ascii="宋体" w:hAnsi="宋体" w:cs="宋体" w:hint="eastAsia"/>
          <w:color w:val="000000"/>
          <w:sz w:val="24"/>
          <w:szCs w:val="24"/>
        </w:rPr>
        <w:lastRenderedPageBreak/>
        <w:t>件核对一致的加盖公章的合同传真件或复印件，未经双方协商一致或未在合同约定范围内，合同原件不得转移。</w:t>
      </w:r>
    </w:p>
    <w:p w14:paraId="48C0CCEE" w14:textId="77777777" w:rsidR="00A2434A" w:rsidRDefault="00A2434A">
      <w:pPr>
        <w:spacing w:line="360" w:lineRule="auto"/>
        <w:ind w:firstLineChars="200" w:firstLine="480"/>
        <w:rPr>
          <w:rFonts w:ascii="仿宋" w:eastAsia="仿宋" w:hAnsi="仿宋"/>
          <w:color w:val="000000"/>
          <w:sz w:val="24"/>
          <w:szCs w:val="24"/>
        </w:rPr>
      </w:pPr>
    </w:p>
    <w:p w14:paraId="2782A938" w14:textId="77777777" w:rsidR="00A2434A" w:rsidRDefault="00A2434A">
      <w:pPr>
        <w:spacing w:line="360" w:lineRule="auto"/>
        <w:ind w:firstLineChars="200" w:firstLine="480"/>
        <w:rPr>
          <w:rFonts w:ascii="仿宋" w:eastAsia="仿宋" w:hAnsi="仿宋"/>
          <w:color w:val="000000"/>
          <w:sz w:val="24"/>
          <w:szCs w:val="24"/>
        </w:rPr>
      </w:pPr>
    </w:p>
    <w:p w14:paraId="5AA28C41" w14:textId="77777777" w:rsidR="00A2434A" w:rsidRDefault="00A2434A">
      <w:pPr>
        <w:spacing w:line="360" w:lineRule="auto"/>
        <w:ind w:firstLineChars="200" w:firstLine="480"/>
        <w:rPr>
          <w:rFonts w:ascii="仿宋" w:eastAsia="仿宋" w:hAnsi="仿宋"/>
          <w:color w:val="000000"/>
          <w:sz w:val="24"/>
          <w:szCs w:val="24"/>
        </w:rPr>
      </w:pPr>
    </w:p>
    <w:p w14:paraId="28EB7B52" w14:textId="77777777" w:rsidR="00A2434A" w:rsidRDefault="00A2434A">
      <w:pPr>
        <w:spacing w:line="360" w:lineRule="auto"/>
        <w:ind w:firstLineChars="200" w:firstLine="480"/>
        <w:rPr>
          <w:rFonts w:ascii="仿宋" w:eastAsia="仿宋" w:hAnsi="仿宋"/>
          <w:color w:val="000000"/>
          <w:sz w:val="24"/>
          <w:szCs w:val="24"/>
        </w:rPr>
      </w:pPr>
    </w:p>
    <w:p w14:paraId="6CE6CD3B" w14:textId="77777777" w:rsidR="00A2434A" w:rsidRDefault="00A2434A">
      <w:pPr>
        <w:spacing w:line="360" w:lineRule="auto"/>
        <w:ind w:firstLineChars="200" w:firstLine="480"/>
        <w:rPr>
          <w:rFonts w:ascii="仿宋" w:eastAsia="仿宋" w:hAnsi="仿宋"/>
          <w:color w:val="000000"/>
          <w:sz w:val="24"/>
          <w:szCs w:val="24"/>
        </w:rPr>
      </w:pPr>
    </w:p>
    <w:p w14:paraId="6D5C4578" w14:textId="77777777" w:rsidR="00A2434A" w:rsidRDefault="00A2434A">
      <w:pPr>
        <w:pStyle w:val="2"/>
        <w:spacing w:line="360" w:lineRule="auto"/>
        <w:jc w:val="center"/>
        <w:rPr>
          <w:rFonts w:ascii="宋体" w:hAnsi="宋体"/>
          <w:color w:val="000000"/>
          <w:sz w:val="30"/>
          <w:szCs w:val="30"/>
        </w:rPr>
      </w:pPr>
      <w:bookmarkStart w:id="10" w:name="_Toc264617146"/>
    </w:p>
    <w:p w14:paraId="07E2024F" w14:textId="77777777" w:rsidR="00A2434A" w:rsidRDefault="00A2434A">
      <w:pPr>
        <w:rPr>
          <w:rFonts w:ascii="宋体" w:hAnsi="宋体"/>
          <w:color w:val="000000"/>
          <w:sz w:val="30"/>
          <w:szCs w:val="30"/>
        </w:rPr>
      </w:pPr>
    </w:p>
    <w:p w14:paraId="047F51F7" w14:textId="77777777" w:rsidR="00A2434A" w:rsidRDefault="00A2434A">
      <w:pPr>
        <w:rPr>
          <w:rFonts w:ascii="宋体" w:hAnsi="宋体"/>
          <w:color w:val="000000"/>
          <w:sz w:val="30"/>
          <w:szCs w:val="30"/>
        </w:rPr>
      </w:pPr>
    </w:p>
    <w:p w14:paraId="23782C3A" w14:textId="77777777" w:rsidR="00A2434A" w:rsidRDefault="00A2434A">
      <w:pPr>
        <w:rPr>
          <w:rFonts w:ascii="宋体" w:hAnsi="宋体"/>
          <w:color w:val="000000"/>
          <w:sz w:val="30"/>
          <w:szCs w:val="30"/>
        </w:rPr>
      </w:pPr>
    </w:p>
    <w:p w14:paraId="54456916" w14:textId="77777777" w:rsidR="00A2434A" w:rsidRDefault="00A2434A">
      <w:pPr>
        <w:rPr>
          <w:rFonts w:ascii="宋体" w:hAnsi="宋体"/>
          <w:color w:val="000000"/>
          <w:sz w:val="30"/>
          <w:szCs w:val="30"/>
        </w:rPr>
      </w:pPr>
    </w:p>
    <w:p w14:paraId="05DD5DCB" w14:textId="77777777" w:rsidR="00A2434A" w:rsidRDefault="00A2434A">
      <w:pPr>
        <w:rPr>
          <w:rFonts w:ascii="宋体" w:hAnsi="宋体"/>
          <w:color w:val="000000"/>
          <w:sz w:val="30"/>
          <w:szCs w:val="30"/>
        </w:rPr>
      </w:pPr>
    </w:p>
    <w:p w14:paraId="1863DE56" w14:textId="77777777" w:rsidR="00A2434A" w:rsidRDefault="00A2434A">
      <w:pPr>
        <w:rPr>
          <w:rFonts w:ascii="宋体" w:hAnsi="宋体"/>
          <w:color w:val="000000"/>
          <w:sz w:val="30"/>
          <w:szCs w:val="30"/>
        </w:rPr>
      </w:pPr>
    </w:p>
    <w:p w14:paraId="4A553573" w14:textId="77777777" w:rsidR="00A2434A" w:rsidRDefault="00A2434A">
      <w:pPr>
        <w:rPr>
          <w:rFonts w:ascii="宋体" w:hAnsi="宋体"/>
          <w:color w:val="000000"/>
          <w:sz w:val="30"/>
          <w:szCs w:val="30"/>
        </w:rPr>
      </w:pPr>
    </w:p>
    <w:p w14:paraId="41F05D0F" w14:textId="77777777" w:rsidR="00A2434A" w:rsidRDefault="00A2434A">
      <w:pPr>
        <w:rPr>
          <w:rFonts w:ascii="宋体" w:hAnsi="宋体"/>
          <w:color w:val="000000"/>
          <w:sz w:val="30"/>
          <w:szCs w:val="30"/>
        </w:rPr>
      </w:pPr>
    </w:p>
    <w:p w14:paraId="3D2EF1F3" w14:textId="77777777" w:rsidR="00A2434A" w:rsidRDefault="00A2434A">
      <w:pPr>
        <w:rPr>
          <w:rFonts w:ascii="宋体" w:hAnsi="宋体"/>
          <w:color w:val="000000"/>
          <w:sz w:val="30"/>
          <w:szCs w:val="30"/>
        </w:rPr>
      </w:pPr>
    </w:p>
    <w:p w14:paraId="4D04C786" w14:textId="77777777" w:rsidR="00A2434A" w:rsidRDefault="00A2434A">
      <w:pPr>
        <w:rPr>
          <w:rFonts w:ascii="宋体" w:hAnsi="宋体"/>
          <w:color w:val="000000"/>
          <w:sz w:val="30"/>
          <w:szCs w:val="30"/>
        </w:rPr>
      </w:pPr>
    </w:p>
    <w:p w14:paraId="4B674E20" w14:textId="77777777" w:rsidR="00A2434A" w:rsidRDefault="00A2434A">
      <w:pPr>
        <w:rPr>
          <w:rFonts w:ascii="宋体" w:hAnsi="宋体"/>
          <w:color w:val="000000"/>
          <w:sz w:val="30"/>
          <w:szCs w:val="30"/>
        </w:rPr>
      </w:pPr>
    </w:p>
    <w:p w14:paraId="552CF16C" w14:textId="77777777" w:rsidR="00A2434A" w:rsidRDefault="00A2434A">
      <w:pPr>
        <w:rPr>
          <w:rFonts w:ascii="宋体" w:hAnsi="宋体"/>
          <w:color w:val="000000"/>
          <w:sz w:val="30"/>
          <w:szCs w:val="30"/>
        </w:rPr>
      </w:pPr>
    </w:p>
    <w:p w14:paraId="3836A73C" w14:textId="77777777" w:rsidR="00A2434A" w:rsidRDefault="00A2434A">
      <w:pPr>
        <w:rPr>
          <w:rFonts w:ascii="宋体" w:hAnsi="宋体"/>
          <w:color w:val="000000"/>
          <w:sz w:val="30"/>
          <w:szCs w:val="30"/>
        </w:rPr>
      </w:pPr>
    </w:p>
    <w:p w14:paraId="23BA6AF6" w14:textId="77777777" w:rsidR="00A2434A" w:rsidRDefault="00A3697C">
      <w:pPr>
        <w:pStyle w:val="2"/>
        <w:spacing w:line="360" w:lineRule="auto"/>
        <w:jc w:val="center"/>
        <w:rPr>
          <w:rFonts w:ascii="宋体" w:hAnsi="宋体"/>
          <w:color w:val="000000"/>
          <w:sz w:val="30"/>
          <w:szCs w:val="30"/>
        </w:rPr>
      </w:pPr>
      <w:r>
        <w:rPr>
          <w:rFonts w:ascii="宋体" w:hAnsi="宋体" w:hint="eastAsia"/>
          <w:color w:val="000000"/>
          <w:sz w:val="30"/>
          <w:szCs w:val="30"/>
        </w:rPr>
        <w:lastRenderedPageBreak/>
        <w:t>六、指令的发送、确认及执行</w:t>
      </w:r>
      <w:bookmarkEnd w:id="10"/>
    </w:p>
    <w:p w14:paraId="41A621C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基金管理人在运用基金财产时向基金托管人发送资金划拨及其他款项付款指令，基金托管人执行基金管理人的指令、办理基金名下的资金往来等有关事项。</w:t>
      </w:r>
    </w:p>
    <w:p w14:paraId="1D69C06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（一）基金管理人对发送指令人员的书面授权</w:t>
      </w:r>
    </w:p>
    <w:p w14:paraId="7D0720B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1．基金管理人应指定专人向基金托管人发送指令。</w:t>
      </w:r>
    </w:p>
    <w:p w14:paraId="157EB2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2．基金管理人应向基金托管人提供书面授权文件，内容包括被授权人名单、预留印鉴及被授权人签字样本，授权文件应注明被授权人相应的权限</w:t>
      </w:r>
      <w:r>
        <w:rPr>
          <w:rFonts w:ascii="宋体" w:hAnsi="宋体" w:hint="eastAsia"/>
          <w:sz w:val="24"/>
          <w:szCs w:val="24"/>
        </w:rPr>
        <w:t>及授权时间</w:t>
      </w:r>
      <w:r>
        <w:rPr>
          <w:rFonts w:ascii="宋体" w:hAnsi="宋体" w:cs="宋体" w:hint="eastAsia"/>
          <w:color w:val="000000"/>
          <w:sz w:val="24"/>
          <w:szCs w:val="24"/>
        </w:rPr>
        <w:t>。</w:t>
      </w:r>
    </w:p>
    <w:p w14:paraId="3886038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842E93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4．基金管理人和基金托管人对授权文件负有保密义务，其内容不得向被授权人及相关操作人员以外的任何人泄漏。但法律法规规定或有权机关要求的除外。</w:t>
      </w:r>
    </w:p>
    <w:p w14:paraId="09FA27F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（二）指令的内容</w:t>
      </w:r>
    </w:p>
    <w:p w14:paraId="5CDC1D0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1．指令包括赎回、分红付款指令、回购到期付款指令、与投资有关的付款指令、实物债券出入库指令以及其他资金划拨指令等。</w:t>
      </w:r>
    </w:p>
    <w:p w14:paraId="0352576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2．基金管理人发给基金托管人的指令应写明款项事由、支付时间、到账时间、金额、账户等，加盖预留印鉴并由被授权人签字或盖章。</w:t>
      </w:r>
    </w:p>
    <w:p w14:paraId="08EFFDA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（三）指令的发送、确认及执行的时间和程序</w:t>
      </w:r>
    </w:p>
    <w:p w14:paraId="79E2FDC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1．指令的发送</w:t>
      </w:r>
    </w:p>
    <w:p w14:paraId="142FCEA0" w14:textId="343FA0D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基金管理人发送指令应采用传真、深证通、托管网银电子指令方式或双方协商一致的其他方式。</w:t>
      </w:r>
    </w:p>
    <w:p w14:paraId="091691F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41EB63C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指令发出后，基金管理人应及时以电话方式或双方认可的其他方式向基金托</w:t>
      </w:r>
      <w:r>
        <w:rPr>
          <w:rFonts w:ascii="宋体" w:hAnsi="宋体" w:cs="宋体" w:hint="eastAsia"/>
          <w:color w:val="000000"/>
          <w:sz w:val="24"/>
          <w:szCs w:val="24"/>
        </w:rPr>
        <w:lastRenderedPageBreak/>
        <w:t>管人确认。</w:t>
      </w:r>
    </w:p>
    <w:p w14:paraId="7E5FFDC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14:paraId="4398448A" w14:textId="23974279"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Pr>
          <w:rFonts w:ascii="宋体" w:hAnsi="宋体" w:cs="宋体" w:hint="eastAsia"/>
          <w:color w:val="000000"/>
          <w:sz w:val="24"/>
        </w:rPr>
        <w:t>（该必需的时间不长于正常情况下基金托管人日常处理该指令所用的平均时间）</w:t>
      </w:r>
      <w:r>
        <w:rPr>
          <w:rFonts w:ascii="宋体" w:hAnsi="宋体" w:cs="宋体"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由于基金管理人原因导致的指令传输不及时、未能留出足够的划款时间，致使资金未能及时到账所造成的损失由基金管理人承担。</w:t>
      </w:r>
      <w:r>
        <w:rPr>
          <w:rFonts w:ascii="宋体" w:hAnsi="宋体" w:cs="宋体" w:hint="eastAsia"/>
          <w:color w:val="000000"/>
          <w:sz w:val="24"/>
        </w:rPr>
        <w:t>由于基金托管人原因导致资金未能及时到账所造成的损失由基金托管人承担。</w:t>
      </w:r>
    </w:p>
    <w:p w14:paraId="438A3C4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2．指令的确认</w:t>
      </w:r>
    </w:p>
    <w:p w14:paraId="2937109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40851FF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3．指令的时间和执行</w:t>
      </w:r>
    </w:p>
    <w:p w14:paraId="4E27304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基金托管人对指令验证</w:t>
      </w:r>
      <w:r>
        <w:rPr>
          <w:rFonts w:ascii="宋体" w:hAnsi="宋体" w:hint="eastAsia"/>
          <w:sz w:val="24"/>
          <w:szCs w:val="24"/>
        </w:rPr>
        <w:t>通过</w:t>
      </w:r>
      <w:r>
        <w:rPr>
          <w:rFonts w:ascii="宋体" w:hAnsi="宋体" w:cs="宋体" w:hint="eastAsia"/>
          <w:color w:val="000000"/>
          <w:sz w:val="24"/>
          <w:szCs w:val="24"/>
        </w:rPr>
        <w:t>后，应及时办理。指令执行完毕后，基金托管人应及时通知基金管理人。</w:t>
      </w:r>
    </w:p>
    <w:p w14:paraId="5073D17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14:paraId="0637622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（四）基金管理人发送错误指令的情形和处理程序</w:t>
      </w:r>
    </w:p>
    <w:p w14:paraId="15BD342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基金管理人发送错误指令的情形包括指令违反法律法规和基金合同，指令发送人员无权或超越权限发送指令。</w:t>
      </w:r>
    </w:p>
    <w:p w14:paraId="1687A38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14:paraId="6C992B3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（五）基金托管人依照法律法规暂缓、拒绝执行指令的情形和处理程序</w:t>
      </w:r>
    </w:p>
    <w:p w14:paraId="4B1BA72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若基金托管人发现基金管理人的指令违反法律法规，或者违反基金合同约定的，应当视情况暂缓或拒绝执行，并立即通知基金管理人。</w:t>
      </w:r>
    </w:p>
    <w:p w14:paraId="7EE8A32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（六）基金托管人未按照基金管理人指令执行的处理方法</w:t>
      </w:r>
    </w:p>
    <w:p w14:paraId="3DC76E5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基金托管人由于自身原因，未按照基金管理人发送的</w:t>
      </w:r>
      <w:r>
        <w:rPr>
          <w:rFonts w:ascii="宋体" w:hAnsi="宋体" w:hint="eastAsia"/>
          <w:sz w:val="24"/>
          <w:szCs w:val="24"/>
        </w:rPr>
        <w:t>符合法律法规、基金合同、本协议的</w:t>
      </w:r>
      <w:r>
        <w:rPr>
          <w:rFonts w:ascii="宋体" w:hAnsi="宋体" w:cs="宋体" w:hint="eastAsia"/>
          <w:color w:val="000000"/>
          <w:sz w:val="24"/>
          <w:szCs w:val="24"/>
        </w:rPr>
        <w:t>指令执行并对基金管理人、基金财产或投资人造成的损失，由基金托管人承担相应的责任。</w:t>
      </w:r>
    </w:p>
    <w:p w14:paraId="26E1374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（七）更换被授权人员的程序</w:t>
      </w:r>
    </w:p>
    <w:p w14:paraId="29119A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基金管理人更换被授权人、更改或终止对被授权人的授权，应当至少提前一个工作日</w:t>
      </w:r>
      <w:r>
        <w:rPr>
          <w:rFonts w:ascii="宋体" w:hAnsi="宋体" w:hint="eastAsia"/>
          <w:sz w:val="24"/>
          <w:szCs w:val="24"/>
        </w:rPr>
        <w:t>书面</w:t>
      </w:r>
      <w:r>
        <w:rPr>
          <w:rFonts w:ascii="宋体" w:hAnsi="宋体" w:cs="宋体" w:hint="eastAsia"/>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14:paraId="2354507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基金托管人更换接受基金管理人指令的人员，应提前书面通知基金管理人并电话确认。</w:t>
      </w:r>
    </w:p>
    <w:p w14:paraId="74A0C8B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（八）其他事项</w:t>
      </w:r>
    </w:p>
    <w:p w14:paraId="573FFCC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w:t>
      </w:r>
      <w:r>
        <w:rPr>
          <w:rFonts w:ascii="宋体" w:hAnsi="宋体" w:hint="eastAsia"/>
          <w:sz w:val="24"/>
          <w:szCs w:val="24"/>
        </w:rPr>
        <w:t>无正当理由</w:t>
      </w:r>
      <w:r>
        <w:rPr>
          <w:rFonts w:ascii="宋体" w:hAnsi="宋体" w:cs="宋体" w:hint="eastAsia"/>
          <w:color w:val="000000"/>
          <w:sz w:val="24"/>
          <w:szCs w:val="24"/>
        </w:rPr>
        <w:t>未执行或未及时执行基金管理人的合法指令，导致基金财产遭受损失的，由基金托管人赔偿由此造成的直接损失。</w:t>
      </w:r>
    </w:p>
    <w:p w14:paraId="4CD0327B" w14:textId="77777777" w:rsidR="00A2434A" w:rsidRDefault="00A2434A">
      <w:pPr>
        <w:spacing w:line="360" w:lineRule="auto"/>
        <w:ind w:firstLineChars="200" w:firstLine="480"/>
        <w:rPr>
          <w:rFonts w:ascii="仿宋" w:eastAsia="仿宋" w:hAnsi="仿宋"/>
          <w:color w:val="000000"/>
          <w:sz w:val="24"/>
          <w:szCs w:val="24"/>
        </w:rPr>
      </w:pPr>
    </w:p>
    <w:p w14:paraId="6A2D85A1"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1" w:name="_Toc264617147"/>
      <w:r>
        <w:rPr>
          <w:rFonts w:ascii="宋体" w:hAnsi="宋体" w:hint="eastAsia"/>
          <w:bCs w:val="0"/>
          <w:color w:val="000000"/>
          <w:sz w:val="30"/>
          <w:szCs w:val="30"/>
        </w:rPr>
        <w:lastRenderedPageBreak/>
        <w:t>七、交易及清算交收安排</w:t>
      </w:r>
      <w:bookmarkEnd w:id="11"/>
    </w:p>
    <w:p w14:paraId="6F6C4F5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（一）选择代理证券、期货买卖的证券、期货经营机构</w:t>
      </w:r>
    </w:p>
    <w:p w14:paraId="292DE0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Pr>
          <w:rFonts w:ascii="宋体" w:hAnsi="宋体" w:hint="eastAsia"/>
          <w:sz w:val="24"/>
          <w:szCs w:val="24"/>
        </w:rPr>
        <w:t>中期</w:t>
      </w:r>
      <w:r>
        <w:rPr>
          <w:rFonts w:ascii="宋体" w:hAnsi="宋体" w:cs="宋体" w:hint="eastAsia"/>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5FFF0BEC" w14:textId="7CDDDC1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56793F3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（二）基金投资证券/期货后的清算交收安排</w:t>
      </w:r>
    </w:p>
    <w:p w14:paraId="047A08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1．清算与交割</w:t>
      </w:r>
    </w:p>
    <w:p w14:paraId="58997E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国证券登记结算有限责任公司结算备付金管理办法》，在每月前2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14:paraId="139F2BC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国证券登记结算有限责任公司证券结算保证金管理办法》，在每月前2个营业日内，中国证券登记结算有限责任公司对结算参与人的结算保证金进行调整，基金托管人在调整当日，在资金流量表中反映结算保证金的调整情况，基金管理人应预留足够头寸。</w:t>
      </w:r>
    </w:p>
    <w:p w14:paraId="5C5FC12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0817D55" w14:textId="77777777" w:rsidR="00A2434A" w:rsidRDefault="00A3697C">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交收日11点前完成融资，</w:t>
      </w:r>
      <w:r>
        <w:rPr>
          <w:rFonts w:ascii="Arial" w:hAnsi="Arial" w:cs="Arial"/>
          <w:sz w:val="24"/>
        </w:rPr>
        <w:t>并及时补足欠库券</w:t>
      </w:r>
      <w:r>
        <w:rPr>
          <w:rFonts w:ascii="Arial" w:hAnsi="Arial" w:cs="Arial" w:hint="eastAsia"/>
          <w:sz w:val="24"/>
        </w:rPr>
        <w:t>,</w:t>
      </w:r>
      <w:r>
        <w:rPr>
          <w:rFonts w:ascii="宋体" w:hAnsi="宋体" w:cs="宋体" w:hint="eastAsia"/>
          <w:color w:val="000000"/>
          <w:sz w:val="24"/>
          <w:szCs w:val="24"/>
        </w:rPr>
        <w:t>用以完成清算交收，基金托管人应给予必要的配合，由此给基金托管人、本基金造成的直接损失由基金管理人承担。</w:t>
      </w:r>
    </w:p>
    <w:p w14:paraId="62B21E5D" w14:textId="66517CA4" w:rsidR="00A2434A" w:rsidRDefault="00A3697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基金管理人应采取合理措施，确保在T+1日上午1</w:t>
      </w:r>
      <w:r>
        <w:rPr>
          <w:rFonts w:ascii="宋体" w:hAnsi="宋体" w:cs="宋体"/>
          <w:color w:val="000000"/>
          <w:kern w:val="0"/>
          <w:sz w:val="24"/>
          <w:szCs w:val="24"/>
        </w:rPr>
        <w:t>2</w:t>
      </w:r>
      <w:r>
        <w:rPr>
          <w:rFonts w:ascii="宋体" w:hAnsi="宋体" w:cs="宋体" w:hint="eastAsia"/>
          <w:color w:val="000000"/>
          <w:kern w:val="0"/>
          <w:sz w:val="24"/>
          <w:szCs w:val="24"/>
        </w:rPr>
        <w:t>:00前有足够的资金头寸用于中国证券登记结算有限责任公司上海分公司和深圳分公司的资金结算。</w:t>
      </w:r>
    </w:p>
    <w:p w14:paraId="6643B29F" w14:textId="77777777" w:rsidR="00A2434A" w:rsidRDefault="00A3697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中国证券登记结算有限责任公司上海分公司目前实行</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0</w:t>
      </w:r>
      <w:r>
        <w:rPr>
          <w:rFonts w:ascii="宋体" w:hAnsi="宋体" w:cs="宋体" w:hint="eastAsia"/>
          <w:color w:val="000000"/>
          <w:kern w:val="0"/>
          <w:sz w:val="24"/>
          <w:szCs w:val="24"/>
        </w:rPr>
        <w:t>预交收制度，因此基金管理人须于</w:t>
      </w:r>
      <w:r>
        <w:rPr>
          <w:rFonts w:ascii="宋体" w:hAnsi="宋体" w:cs="宋体"/>
          <w:color w:val="000000"/>
          <w:kern w:val="0"/>
          <w:sz w:val="24"/>
          <w:szCs w:val="24"/>
        </w:rPr>
        <w:t>T</w:t>
      </w:r>
      <w:r>
        <w:rPr>
          <w:rFonts w:ascii="宋体" w:hAnsi="宋体" w:cs="宋体" w:hint="eastAsia"/>
          <w:color w:val="000000"/>
          <w:kern w:val="0"/>
          <w:sz w:val="24"/>
          <w:szCs w:val="24"/>
        </w:rPr>
        <w:t>日</w:t>
      </w:r>
      <w:r>
        <w:rPr>
          <w:rFonts w:ascii="宋体" w:hAnsi="宋体" w:cs="宋体"/>
          <w:color w:val="000000"/>
          <w:kern w:val="0"/>
          <w:sz w:val="24"/>
          <w:szCs w:val="24"/>
        </w:rPr>
        <w:t>15</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之前备足当日上海市场交易担保交收需支付的资金头寸，以便基金托管人履行</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0</w:t>
      </w:r>
      <w:r>
        <w:rPr>
          <w:rFonts w:ascii="宋体" w:hAnsi="宋体" w:cs="宋体" w:hint="eastAsia"/>
          <w:color w:val="000000"/>
          <w:kern w:val="0"/>
          <w:sz w:val="24"/>
          <w:szCs w:val="24"/>
        </w:rPr>
        <w:t>预交收职责；若有大宗交易，基金管理人还需于</w:t>
      </w:r>
      <w:r>
        <w:rPr>
          <w:rFonts w:ascii="宋体" w:hAnsi="宋体" w:cs="宋体"/>
          <w:color w:val="000000"/>
          <w:kern w:val="0"/>
          <w:sz w:val="24"/>
          <w:szCs w:val="24"/>
        </w:rPr>
        <w:t>T</w:t>
      </w:r>
      <w:r>
        <w:rPr>
          <w:rFonts w:ascii="宋体" w:hAnsi="宋体" w:cs="宋体" w:hint="eastAsia"/>
          <w:color w:val="000000"/>
          <w:kern w:val="0"/>
          <w:sz w:val="24"/>
          <w:szCs w:val="24"/>
        </w:rPr>
        <w:t>日</w:t>
      </w:r>
      <w:r>
        <w:rPr>
          <w:rFonts w:ascii="宋体" w:hAnsi="宋体" w:cs="宋体"/>
          <w:color w:val="000000"/>
          <w:kern w:val="0"/>
          <w:sz w:val="24"/>
          <w:szCs w:val="24"/>
        </w:rPr>
        <w:t>15</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之前通知基金托管人交易金额。若由于基金管理人的原因导致预交收失败，由此引起的后果由基金管理人承担。基金管理人应采取合理措施，确保在</w:t>
      </w:r>
      <w:r>
        <w:rPr>
          <w:rFonts w:ascii="宋体" w:hAnsi="宋体" w:cs="宋体"/>
          <w:color w:val="000000"/>
          <w:kern w:val="0"/>
          <w:sz w:val="24"/>
          <w:szCs w:val="24"/>
        </w:rPr>
        <w:t>T</w:t>
      </w:r>
      <w:r>
        <w:rPr>
          <w:rFonts w:ascii="宋体" w:hAnsi="宋体" w:cs="宋体" w:hint="eastAsia"/>
          <w:color w:val="000000"/>
          <w:kern w:val="0"/>
          <w:sz w:val="24"/>
          <w:szCs w:val="24"/>
        </w:rPr>
        <w:t>日日终有足够的资金头寸用于</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作出相应变动，基金管理人应配合基金托管人为完成交收提供必要的帮助。</w:t>
      </w:r>
    </w:p>
    <w:p w14:paraId="4E2859A0" w14:textId="09ABC110" w:rsidR="00A2434A" w:rsidRDefault="00A3697C">
      <w:pPr>
        <w:spacing w:line="360" w:lineRule="auto"/>
        <w:ind w:firstLine="480"/>
        <w:rPr>
          <w:rFonts w:ascii="宋体" w:hAnsi="宋体" w:cs="宋体"/>
          <w:color w:val="000000"/>
          <w:sz w:val="24"/>
          <w:szCs w:val="24"/>
        </w:rPr>
      </w:pPr>
      <w:r>
        <w:rPr>
          <w:rFonts w:ascii="宋体" w:hAnsi="宋体" w:cs="宋体" w:hint="eastAsia"/>
          <w:color w:val="000000"/>
          <w:sz w:val="24"/>
          <w:szCs w:val="24"/>
        </w:rPr>
        <w:t>非担保交收业务的交易告知。非担保交收业务是指中国结算上海分公司组织交易双方根据业务规则规定或双方约定的结算模式完成交收，中国结算不作为双方的共同对手方，不提供交收担保。为确保非担保交收业务的正常交收，投资管理人务必高度重视此类业务交易告知的重要性，即于发生国债买断式回购到期购回、大宗专场、专项资产管理计划转让以及部分发行类业务（股配债、老股东配售的增发、公司债场内分销）以及通过上交所固定收益证券综合电子平台达成的私募债券转让和通过深圳综合协议平台的公司债、私募债转让等非担保交收业务，管理人应于交易当日及时将该交易书面告知托管人并进行电话确认。其中通过上</w:t>
      </w:r>
      <w:r>
        <w:rPr>
          <w:rFonts w:ascii="宋体" w:hAnsi="宋体" w:cs="宋体" w:hint="eastAsia"/>
          <w:color w:val="000000"/>
          <w:sz w:val="24"/>
          <w:szCs w:val="24"/>
        </w:rPr>
        <w:lastRenderedPageBreak/>
        <w:t>交所固收平台达成的私募债转让交易告知截止时点为申报当日15：00；通过深圳综合协议平台达成的公司债、私募债转让交易告知时间为申报当日15:30；其余产品非担保交易告知截止时点为交易当日17:00。</w:t>
      </w:r>
    </w:p>
    <w:p w14:paraId="7D031D1F" w14:textId="77777777" w:rsidR="00A2434A" w:rsidRDefault="00A3697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通过上交所固定收益证券综合电子平台达成的私募债券转让，中国证券登记结算公司上海分公司根据证券交易所发送的转让成交结果办理实时逐笔全额结算（RTGS）。RTGS的最终交收时点为T日的15:30分，为保证RTGS交易成功，管理人应于交易T日的15:00之前，将买入私募债券的指令传真至托管人。</w:t>
      </w:r>
    </w:p>
    <w:p w14:paraId="7B8131D5" w14:textId="77777777" w:rsidR="00A2434A" w:rsidRDefault="00A3697C">
      <w:pPr>
        <w:spacing w:line="360" w:lineRule="auto"/>
        <w:ind w:firstLineChars="200" w:firstLine="480"/>
        <w:rPr>
          <w:rFonts w:ascii="宋体" w:hAnsi="宋体" w:cs="宋体"/>
          <w:kern w:val="0"/>
          <w:sz w:val="24"/>
          <w:szCs w:val="24"/>
        </w:rPr>
      </w:pPr>
      <w:r>
        <w:rPr>
          <w:rFonts w:ascii="宋体" w:hAnsi="宋体" w:cs="宋体" w:hint="eastAsia"/>
          <w:color w:val="000000"/>
          <w:kern w:val="0"/>
          <w:sz w:val="24"/>
          <w:szCs w:val="24"/>
        </w:rPr>
        <w:t>通过深圳综合协议平台的公司债、私募债，结算方式为逐笔全额非担保交收，最终交收时点为T日16:00，因此管理人应于T日15:30分之前向托管人发送非担保交收债券的买入指令。</w:t>
      </w:r>
    </w:p>
    <w:p w14:paraId="2661B71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保证基金托管人在执行基金管理人发送的划款指令时，基金托管专户或资金交收账户（除登记公司收保或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基金合同、本协议的指令不得拖延或拒绝执行。</w:t>
      </w:r>
    </w:p>
    <w:p w14:paraId="0DB9807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若由于结算机构的交收规则发生变化，基金托管人和基金管理人应根据新的交收规则作出相应变动，基金管理人应配合基金托管人为完成交收提供必要的帮助。</w:t>
      </w:r>
    </w:p>
    <w:p w14:paraId="208214E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2．交易记录、资金和证券账目核对的时间和方式</w:t>
      </w:r>
    </w:p>
    <w:p w14:paraId="3969645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（1）交易记录的核对</w:t>
      </w:r>
    </w:p>
    <w:p w14:paraId="1B3B702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14:paraId="524AE02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（2）资金账目的核对</w:t>
      </w:r>
    </w:p>
    <w:p w14:paraId="1D875E9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资金账目按日核实。</w:t>
      </w:r>
    </w:p>
    <w:p w14:paraId="6D458A5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（3）证券账目的核对</w:t>
      </w:r>
    </w:p>
    <w:p w14:paraId="1FD84B1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基金管理人和基金托管人每交易日结束后核对基金证券账目，确保双方账目相符。基金管理人和基金托管人每月月末核对实物证券账目。</w:t>
      </w:r>
    </w:p>
    <w:p w14:paraId="47C5D9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（三）基金申购和赎回业务处理的基本规定</w:t>
      </w:r>
    </w:p>
    <w:p w14:paraId="0C3E474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1．基金份额申购、赎回的确认、清算由基金管理人或其委托的登记机构负责。</w:t>
      </w:r>
    </w:p>
    <w:p w14:paraId="4C423E8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466581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3．基金管理人应保证本基金的登记机构在工作日15:00前向基金托管人发送前一开放日上述有关数据，并保证相关数据的准确、完整。</w:t>
      </w:r>
    </w:p>
    <w:p w14:paraId="054DBB3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1214703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5．关于清算专用账户的设立和管理</w:t>
      </w:r>
    </w:p>
    <w:p w14:paraId="3522E20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为满足申购、赎回及分红资金汇划的需要，由基金管理人开立资金清算的专用账户，该账户由登记机构管理。</w:t>
      </w:r>
    </w:p>
    <w:p w14:paraId="1644EDE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14:paraId="6D683AF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7．赎回和分红资金划拨规定</w:t>
      </w:r>
    </w:p>
    <w:p w14:paraId="52AC0E5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拨付赎回款或进行基金分红时，如基金资金账户有足够的资金，基金托管人应按时拨付；因基金资金账户没有足够的资金，导致基金托管人不能按时拨付，基金托管人不承担垫款义务。</w:t>
      </w:r>
    </w:p>
    <w:p w14:paraId="2DAE36E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8．资金指令</w:t>
      </w:r>
    </w:p>
    <w:p w14:paraId="0F7E2BD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除申购款项到达基金资金账户需双方按约定方式对账外，回购到期付款和与</w:t>
      </w:r>
      <w:r>
        <w:rPr>
          <w:rFonts w:ascii="宋体" w:hAnsi="宋体" w:cs="宋体" w:hint="eastAsia"/>
          <w:color w:val="000000"/>
          <w:sz w:val="24"/>
          <w:szCs w:val="24"/>
        </w:rPr>
        <w:lastRenderedPageBreak/>
        <w:t>投资有关的付款、赎回和分红资金划拨时，基金管理人需向基金托管人下达指令。</w:t>
      </w:r>
    </w:p>
    <w:p w14:paraId="7663C53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资金指令的格式、内容、发送、接收和确认方式等与投资指令相同。</w:t>
      </w:r>
    </w:p>
    <w:p w14:paraId="6C91DC71" w14:textId="1D1A34A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（四）开放式基金申购、赎回和基金转换的资金清算</w:t>
      </w:r>
    </w:p>
    <w:p w14:paraId="32C2D8DB" w14:textId="0B97C7BD"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账户与基金管理人开立的“基金清算账户”间的资金结算遵循“全额清算、净额交收”的原则，每个开放日按照托管账户应收资金与应付资金的差额来确定托管账户净应收额或净应付额，以此确定资金交收额。当存在托管账户净应收额时，基金管理人应在交收日15:00之前从基金清算账户划到基金托管账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交收日12:00之前划往基金清算账户，基金托管人在资金划出后立即通知基金管理人，并将有关书面凭证交给基金管理人进行账务管理。</w:t>
      </w:r>
    </w:p>
    <w:p w14:paraId="7806227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14:paraId="1E66534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（五）基金转换</w:t>
      </w:r>
    </w:p>
    <w:p w14:paraId="5695AF6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1．在本基金与基金管理人管理的其它基金开展转换业务之前，基金管理人应函告基金托管人并就相关事宜进行协商。</w:t>
      </w:r>
    </w:p>
    <w:p w14:paraId="477799E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2．基金托管人将根据基金管理人传送的基金转换数据进行账务处理，具体资金清算和数据传递的时间、程序及托管协议当事人承担的权责按基金管理人届时的公告执行。</w:t>
      </w:r>
    </w:p>
    <w:p w14:paraId="5257FA5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3．本基金开展基金转换业务应按相关法律法规规定及基金合同的约定进行公告。</w:t>
      </w:r>
    </w:p>
    <w:p w14:paraId="142B1FF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（六）基金现金分红</w:t>
      </w:r>
    </w:p>
    <w:p w14:paraId="55760A17" w14:textId="58D65A80"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1．基金管理人确定分红方案通知基金托管人，双方核定后，</w:t>
      </w:r>
      <w:r>
        <w:rPr>
          <w:rFonts w:ascii="宋体" w:hAnsi="宋体"/>
          <w:sz w:val="24"/>
          <w:szCs w:val="24"/>
        </w:rPr>
        <w:t>基金管理人</w:t>
      </w:r>
      <w:r>
        <w:rPr>
          <w:rFonts w:ascii="宋体" w:hAnsi="宋体" w:cs="宋体" w:hint="eastAsia"/>
          <w:color w:val="000000"/>
          <w:sz w:val="24"/>
          <w:szCs w:val="24"/>
        </w:rPr>
        <w:t>依照《信息披露办法》的有关规定在中国证监会规定媒介上公告。</w:t>
      </w:r>
    </w:p>
    <w:p w14:paraId="2C6DF983" w14:textId="325ACD3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2．基金托管人和基金管理人对基金分红进行账务处理并核对后，基金管理人向基金托管人发送现金红利的划款指令，基金托管人应在交收日12:00之前将资金划入专用账户。</w:t>
      </w:r>
    </w:p>
    <w:p w14:paraId="1209D250" w14:textId="77777777"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lastRenderedPageBreak/>
        <w:t>3．基金管理人在下达指令时，应给基金托管人留出必需的划款时间。</w:t>
      </w:r>
    </w:p>
    <w:p w14:paraId="1DD5F1A0" w14:textId="77777777" w:rsidR="00A2434A" w:rsidRDefault="00A2434A">
      <w:pPr>
        <w:spacing w:line="360" w:lineRule="auto"/>
        <w:ind w:firstLineChars="200" w:firstLine="480"/>
        <w:rPr>
          <w:rFonts w:ascii="仿宋" w:eastAsia="仿宋" w:hAnsi="仿宋"/>
          <w:color w:val="000000"/>
          <w:sz w:val="24"/>
          <w:szCs w:val="24"/>
        </w:rPr>
      </w:pPr>
    </w:p>
    <w:p w14:paraId="33A34132"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2" w:name="_Toc264617148"/>
      <w:r>
        <w:rPr>
          <w:rFonts w:ascii="宋体" w:hAnsi="宋体" w:hint="eastAsia"/>
          <w:bCs w:val="0"/>
          <w:color w:val="000000"/>
          <w:sz w:val="30"/>
          <w:szCs w:val="30"/>
        </w:rPr>
        <w:lastRenderedPageBreak/>
        <w:t>八、基金资产净值计算和会计核算</w:t>
      </w:r>
      <w:bookmarkEnd w:id="12"/>
    </w:p>
    <w:p w14:paraId="1908EC3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（一）基金资产净值的计算、复核与完成的时间及程序</w:t>
      </w:r>
    </w:p>
    <w:p w14:paraId="065BA8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1．基金资产净值</w:t>
      </w:r>
    </w:p>
    <w:p w14:paraId="054F4275" w14:textId="77777777" w:rsidR="00A2434A" w:rsidRDefault="00A3697C">
      <w:pPr>
        <w:widowControl/>
        <w:adjustRightInd w:val="0"/>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rPr>
        <w:t>基金资产净值是指基金资产总值减去负债后的价值。各类基金份额净值是指计算日该类基金资产净值除以计算日该类基金份额总数后的数值。</w:t>
      </w:r>
    </w:p>
    <w:p w14:paraId="4CB524E5" w14:textId="1169410A" w:rsidR="00A2434A" w:rsidRDefault="00A3697C">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各类基金份额的基金份额净值是按照每个工作日闭市后，该类基金份额的基金资产净值除以当日该类基金份额的余额数量计算，精确到0.0001 元，小数点后第</w:t>
      </w:r>
      <w:r>
        <w:rPr>
          <w:rFonts w:ascii="宋体" w:hAnsi="宋体" w:cs="宋体" w:hint="eastAsia"/>
          <w:color w:val="000000"/>
          <w:sz w:val="24"/>
          <w:szCs w:val="24"/>
        </w:rPr>
        <w:t>5</w:t>
      </w:r>
      <w:r>
        <w:rPr>
          <w:rFonts w:ascii="宋体" w:hAnsi="宋体" w:cs="宋体" w:hint="eastAsia"/>
          <w:color w:val="000000"/>
          <w:kern w:val="0"/>
          <w:sz w:val="24"/>
        </w:rPr>
        <w:t>位四舍五入。基金管理人可以设立大额赎回情形下的净值精度应急调整机制，具体可参见相关公告。国家另有规定的，从其规定。</w:t>
      </w:r>
    </w:p>
    <w:p w14:paraId="5C554D57" w14:textId="0DF0CB04" w:rsidR="00A2434A" w:rsidRDefault="00A3697C">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基金管理人于每个工作日计算各类基金份额的基金资产净值及基金份额净值，并按规定公告。如遇特殊情况，经履行适当程序，可以适当延迟计算或公告。</w:t>
      </w:r>
    </w:p>
    <w:p w14:paraId="4F84EEE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2．复核程序</w:t>
      </w:r>
    </w:p>
    <w:p w14:paraId="39CCF346" w14:textId="3545DE5C" w:rsidR="00A2434A" w:rsidRDefault="00A3697C">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069D8D7D" w14:textId="71FF694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w:t>
      </w:r>
      <w:r>
        <w:rPr>
          <w:rFonts w:ascii="宋体" w:hAnsi="宋体" w:cs="宋体" w:hint="eastAsia"/>
          <w:bCs/>
          <w:color w:val="000000"/>
          <w:sz w:val="24"/>
          <w:szCs w:val="24"/>
        </w:rPr>
        <w:t>净值信息</w:t>
      </w:r>
      <w:r>
        <w:rPr>
          <w:rFonts w:ascii="宋体" w:hAnsi="宋体" w:cs="宋体" w:hint="eastAsia"/>
          <w:color w:val="000000"/>
          <w:sz w:val="24"/>
          <w:szCs w:val="24"/>
        </w:rPr>
        <w:t>的计算结果对外予以公布。</w:t>
      </w:r>
    </w:p>
    <w:p w14:paraId="6549ABB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（二）基金资产估值方法和特殊情形的处理</w:t>
      </w:r>
    </w:p>
    <w:p w14:paraId="564D1A8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1．估值对象</w:t>
      </w:r>
    </w:p>
    <w:p w14:paraId="67000D87" w14:textId="6E771079"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基金所拥有的股票、债券、</w:t>
      </w:r>
      <w:r>
        <w:rPr>
          <w:rFonts w:ascii="宋体" w:hAnsi="宋体" w:cs="宋体" w:hint="eastAsia"/>
          <w:bCs/>
          <w:color w:val="000000"/>
          <w:sz w:val="24"/>
          <w:szCs w:val="24"/>
        </w:rPr>
        <w:t>资产支持证券</w:t>
      </w:r>
      <w:r>
        <w:rPr>
          <w:rFonts w:ascii="宋体" w:hAnsi="宋体" w:cs="宋体" w:hint="eastAsia"/>
          <w:color w:val="000000"/>
          <w:sz w:val="24"/>
          <w:szCs w:val="24"/>
        </w:rPr>
        <w:t>、衍生工具和其他投资等持续以公允价值计量的金融资产及负债。</w:t>
      </w:r>
    </w:p>
    <w:p w14:paraId="0813D56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2．估值方法</w:t>
      </w:r>
    </w:p>
    <w:p w14:paraId="7BED9BD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（1）证券交易所上市的有价证券的估值</w:t>
      </w:r>
    </w:p>
    <w:p w14:paraId="65806A6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w:t>
      </w:r>
      <w:r>
        <w:rPr>
          <w:rFonts w:ascii="宋体" w:hAnsi="宋体" w:cs="宋体" w:hint="eastAsia"/>
          <w:color w:val="000000"/>
          <w:sz w:val="24"/>
          <w:szCs w:val="24"/>
        </w:rPr>
        <w:lastRenderedPageBreak/>
        <w:t>盘价）估值；如最近交易日后经济环境发生了重大变化或证券发行机构发生影响证券价格的重大事件的，可参考类似投资品种的现行市价及重大变化因素，调整最近交易市价，确定公允价格；</w:t>
      </w:r>
    </w:p>
    <w:p w14:paraId="0A7E255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2）交易所上市交易或挂牌转让的固定收益品种（另有规定的除外），选取估值日第三方估值机构提供的相应品种当日的估值净价进行估值；</w:t>
      </w:r>
    </w:p>
    <w:p w14:paraId="246C52F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AB813C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4）交易所上市实行全价交易的债券（可转债除外），选取第三方估值机构提供的估值全价减去估值全价中所含的债券（税后）应收利息得到的净价进行估值；</w:t>
      </w:r>
    </w:p>
    <w:p w14:paraId="32DB22F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5）交易所上市不存在活跃市场的有价证券，采用估值技术确定公允价值。交易所市场挂牌转让的资产支持证券，采用估值技术确定公允价值；</w:t>
      </w:r>
    </w:p>
    <w:p w14:paraId="1BD932A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677F63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（2）处于未上市期间的有价证券应区分如下情况处理：</w:t>
      </w:r>
    </w:p>
    <w:p w14:paraId="732EAB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1）送股、转增股、配股和公开增发的新股，按估值日在证券交易所挂牌的同一股票的估值方法估值；该日无交易的，以最近一日的市价（收盘价）估值；</w:t>
      </w:r>
    </w:p>
    <w:p w14:paraId="607EB42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2）首次公开发行未上市的股票和债券，采用估值技术确定公允价值，在估值技术难以可靠计量公允价值的情况下，按成本估值；</w:t>
      </w:r>
    </w:p>
    <w:p w14:paraId="77D1C47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6BA91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43458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（4）本基金投资股指期货合约，一般以估值当日结算价进行估值，估值当日无结算价的，且最近交易日后经济环境未发生重大变化的，采用最近交易日结算价估值。</w:t>
      </w:r>
    </w:p>
    <w:p w14:paraId="05D01CC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（5）同一股票同时在两个或两个以上市场交易的，按股票所处的市场分别估值。</w:t>
      </w:r>
    </w:p>
    <w:p w14:paraId="1BEC96A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估值计算中涉及港币对人民币汇率的，将依据下列信息提供机构所提供的汇率为基准：当日中国人民银行或其授权机构公布的人民币汇率中间价。</w:t>
      </w:r>
    </w:p>
    <w:p w14:paraId="5E5C130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D53D52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（6）如有确凿证据表明按上述方法进行估值不能客观反映其公允价值的，基金管理人可根据具体情况与基金托管人商定后，按最能反映公允价值的价格估值。</w:t>
      </w:r>
    </w:p>
    <w:p w14:paraId="6424330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（7）当发生大额申购或赎回情形时，基金管理人可以采用摆动定价机制，以确保基金估值的公平性。</w:t>
      </w:r>
    </w:p>
    <w:p w14:paraId="0E3AFE78" w14:textId="5DC30F92" w:rsidR="00255D24" w:rsidRDefault="00255D24">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sidRPr="00255D24">
        <w:rPr>
          <w:rFonts w:ascii="宋体" w:hAnsi="宋体" w:cs="宋体" w:hint="eastAsia"/>
          <w:color w:val="000000"/>
          <w:sz w:val="24"/>
          <w:szCs w:val="24"/>
        </w:rPr>
        <w:t>8</w:t>
      </w:r>
      <w:r>
        <w:rPr>
          <w:rFonts w:ascii="宋体" w:hAnsi="宋体" w:cs="宋体" w:hint="eastAsia"/>
          <w:color w:val="000000"/>
          <w:sz w:val="24"/>
          <w:szCs w:val="24"/>
        </w:rPr>
        <w:t>）</w:t>
      </w:r>
      <w:r w:rsidRPr="00255D24">
        <w:rPr>
          <w:rFonts w:ascii="宋体" w:hAnsi="宋体" w:cs="宋体" w:hint="eastAsia"/>
          <w:color w:val="000000"/>
          <w:sz w:val="24"/>
          <w:szCs w:val="24"/>
        </w:rPr>
        <w:t>本基金投资存托凭证的估值核算依照境内上市交易的股票执行。</w:t>
      </w:r>
    </w:p>
    <w:p w14:paraId="5BC727F4" w14:textId="44AC1E0A"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sidR="00255D24">
        <w:rPr>
          <w:rFonts w:ascii="宋体" w:hAnsi="宋体" w:cs="宋体"/>
          <w:color w:val="000000"/>
          <w:sz w:val="24"/>
          <w:szCs w:val="24"/>
        </w:rPr>
        <w:t>9</w:t>
      </w:r>
      <w:r>
        <w:rPr>
          <w:rFonts w:ascii="宋体" w:hAnsi="宋体" w:cs="宋体" w:hint="eastAsia"/>
          <w:color w:val="000000"/>
          <w:sz w:val="24"/>
          <w:szCs w:val="24"/>
        </w:rPr>
        <w:t>）相关法律法规以及监管部门有强制规定的，从其规定。如有新增事项，按国家最新规定估值。</w:t>
      </w:r>
    </w:p>
    <w:p w14:paraId="0254984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如基金管理人或基金托管人发现基金估值违反基金合同订明的估值方法、程序及相关法律法规的规定或者未能充分维护基金份额持有人利益时，应立即通知</w:t>
      </w:r>
      <w:r>
        <w:rPr>
          <w:rFonts w:ascii="宋体" w:hAnsi="宋体" w:cs="宋体" w:hint="eastAsia"/>
          <w:color w:val="000000"/>
          <w:sz w:val="24"/>
          <w:szCs w:val="24"/>
        </w:rPr>
        <w:lastRenderedPageBreak/>
        <w:t>对方，共同查明原因，双方协商解决。</w:t>
      </w:r>
    </w:p>
    <w:p w14:paraId="0261BC9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A8C0767" w14:textId="77777777" w:rsidR="00A2434A" w:rsidRDefault="00A2434A">
      <w:pPr>
        <w:spacing w:line="360" w:lineRule="auto"/>
        <w:ind w:firstLineChars="200" w:firstLine="480"/>
        <w:rPr>
          <w:rFonts w:ascii="宋体" w:hAnsi="宋体" w:cs="宋体"/>
          <w:color w:val="000000"/>
          <w:sz w:val="24"/>
          <w:szCs w:val="24"/>
        </w:rPr>
      </w:pPr>
    </w:p>
    <w:p w14:paraId="66D2B58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3．特殊情形的处理</w:t>
      </w:r>
    </w:p>
    <w:p w14:paraId="3C89E00B" w14:textId="0670ABB0"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（1）基金管理人或基金托管人按估值方法的第（</w:t>
      </w:r>
      <w:r>
        <w:rPr>
          <w:rFonts w:ascii="宋体" w:hAnsi="宋体" w:cs="宋体"/>
          <w:color w:val="000000"/>
          <w:sz w:val="24"/>
          <w:szCs w:val="24"/>
        </w:rPr>
        <w:t>6</w:t>
      </w:r>
      <w:r>
        <w:rPr>
          <w:rFonts w:ascii="宋体" w:hAnsi="宋体" w:cs="宋体" w:hint="eastAsia"/>
          <w:color w:val="000000"/>
          <w:sz w:val="24"/>
          <w:szCs w:val="24"/>
        </w:rPr>
        <w:t>）项进行估值时，所造成的误差不作为基金资产估值错误处理。</w:t>
      </w:r>
    </w:p>
    <w:p w14:paraId="1064D918" w14:textId="2B773D2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由于不可抗力原因，或由于证券、期货交易所、证券经纪机构、期货公司或登记结算公司发送的数据错误，或国家会计政策变更、市场规则变更等，基金管理人和基金托管人虽然已经采取必要、适当、合理的措施进行检查，但是未能发现该错误而造成的基金资产估值错误，基金管理人和基金托管人免除赔偿责任。但基金管理人和基金托管人应当积极采取必要的措施消除或减轻由此造成的影响。</w:t>
      </w:r>
    </w:p>
    <w:p w14:paraId="07E932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（三）基金份额净值错误的处理方式</w:t>
      </w:r>
    </w:p>
    <w:p w14:paraId="18320FB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基金管理人和基金托管人将采取必要、适当、合理的措施确保基金资产估值的准确性、及时性。当基金份额净值小数点后4位以内(含第4位)发生估值错误时，视为基金份额净值错误。</w:t>
      </w:r>
    </w:p>
    <w:p w14:paraId="53929888"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基金合同的当事人应按照以下约定处理：</w:t>
      </w:r>
    </w:p>
    <w:p w14:paraId="39F26F33"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1、估值错误类型</w:t>
      </w:r>
    </w:p>
    <w:p w14:paraId="24A0D08B"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86D363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上述估值错误的主要类型包括但不限于：资料申报差错、数据传输差错、数据计算差错、系统故障差错、下达指令差错等。</w:t>
      </w:r>
    </w:p>
    <w:p w14:paraId="20C6C8E2"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对于因技术原因引起的差错，若系同行业现有技术水平无法预见、无法避免、无法抗拒，则属不可抗力，按照下述规定执行。</w:t>
      </w:r>
    </w:p>
    <w:p w14:paraId="05155036"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DB2CD62"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2、估值错误处理原则</w:t>
      </w:r>
    </w:p>
    <w:p w14:paraId="6F7DF10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9598BA"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（2）估值错误的责任方对有关当事人的直接损失负责，不对间接损失负责，并且仅对估值错误的有关直接当事人负责，不对第三方负责。</w:t>
      </w:r>
    </w:p>
    <w:p w14:paraId="7F10EE1C"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78BA082"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（4）估值错误调整采用尽量恢复至假设未发生估值错误的正确情形的方式。</w:t>
      </w:r>
    </w:p>
    <w:p w14:paraId="52996A46"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（5）按法律法规规定的其他原则处理估值错误。</w:t>
      </w:r>
    </w:p>
    <w:p w14:paraId="628EF178"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3、估值错误处理程序</w:t>
      </w:r>
    </w:p>
    <w:p w14:paraId="20D273F8"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估值错误被发现后，有关的当事人应当及时进行处理，处理的程序如下：</w:t>
      </w:r>
    </w:p>
    <w:p w14:paraId="44B7AFBC"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（1）查明估值错误发生的原因，列明所有的当事人，并根据估值错误发生的原因确定估值错误的责任方；</w:t>
      </w:r>
    </w:p>
    <w:p w14:paraId="55DD9371"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（2）根据估值错误处理原则或当事人协商的方法对因估值错误造成的损失进行评估；</w:t>
      </w:r>
    </w:p>
    <w:p w14:paraId="306E2F37"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（3）根据估值错误处理原则或当事人协商的方法由估值错误的责任方进行</w:t>
      </w:r>
      <w:r>
        <w:rPr>
          <w:rFonts w:ascii="宋体" w:hAnsi="宋体" w:cs="宋体" w:hint="eastAsia"/>
          <w:bCs/>
          <w:color w:val="000000"/>
          <w:sz w:val="24"/>
          <w:szCs w:val="24"/>
        </w:rPr>
        <w:lastRenderedPageBreak/>
        <w:t>更正和赔偿损失；</w:t>
      </w:r>
    </w:p>
    <w:p w14:paraId="0E1630AB"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（4）根据估值错误处理的方法，需要修改基金登记机构交易数据的，由基金登记机构进行更正，并就估值错误的更正向有关当事人进行确认。</w:t>
      </w:r>
    </w:p>
    <w:p w14:paraId="0455C1E1"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4、基金份额净值估值错误处理的方法如下：</w:t>
      </w:r>
    </w:p>
    <w:p w14:paraId="68FB793A"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（1）基金份额净值计算出现错误时，基金管理人应当立即予以纠正，通报基金托管人，并采取合理的措施防止损失进一步扩大；</w:t>
      </w:r>
    </w:p>
    <w:p w14:paraId="12669185"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（2）错误偏差达到基金份额净值的0.25%时，基金管理人应当通报基金托管人并报中国证监会备案；错误偏差达到基金份额净值的0.5%时，基金管理人应当公告</w:t>
      </w:r>
      <w:r>
        <w:rPr>
          <w:rFonts w:ascii="宋体" w:hAnsi="宋体" w:cs="宋体"/>
          <w:bCs/>
          <w:color w:val="000000"/>
          <w:sz w:val="24"/>
          <w:szCs w:val="24"/>
        </w:rPr>
        <w:t>，并报中国证监会备案</w:t>
      </w:r>
      <w:r>
        <w:rPr>
          <w:rFonts w:ascii="宋体" w:hAnsi="宋体" w:cs="宋体" w:hint="eastAsia"/>
          <w:bCs/>
          <w:color w:val="000000"/>
          <w:sz w:val="24"/>
          <w:szCs w:val="24"/>
        </w:rPr>
        <w:t>；</w:t>
      </w:r>
    </w:p>
    <w:p w14:paraId="03E960E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（3）前述内容如法律法规或监管机关另有规定的，从其规定处理。</w:t>
      </w:r>
    </w:p>
    <w:p w14:paraId="2B38341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（四）暂停估值的情形</w:t>
      </w:r>
    </w:p>
    <w:p w14:paraId="263462CE"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1、基金投资所涉及的证券、期货交易市场遇法定节假日或因其他原因暂停营业时；</w:t>
      </w:r>
    </w:p>
    <w:p w14:paraId="42BF2EA2" w14:textId="1870EBB0"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2、因不可抗力致使基金管理人、基金托管人无法准确评估基金资产价值时；</w:t>
      </w:r>
    </w:p>
    <w:p w14:paraId="3B6CE6BA"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3、当特定资产占前一估值日基金资产净值50%以上的，经与基金托管人协商确认后，基金管理人应当暂停估值；</w:t>
      </w:r>
    </w:p>
    <w:p w14:paraId="5BDC3A4C" w14:textId="3F0E8A77" w:rsidR="00A2434A" w:rsidRDefault="00A3697C">
      <w:pPr>
        <w:spacing w:line="360" w:lineRule="auto"/>
        <w:ind w:firstLineChars="200" w:firstLine="480"/>
        <w:rPr>
          <w:rFonts w:ascii="宋体" w:hAnsi="宋体" w:cs="宋体"/>
          <w:bCs/>
          <w:color w:val="000000"/>
          <w:sz w:val="24"/>
        </w:rPr>
      </w:pPr>
      <w:r>
        <w:rPr>
          <w:rFonts w:ascii="宋体" w:hAnsi="宋体" w:cs="宋体"/>
          <w:bCs/>
          <w:color w:val="000000"/>
          <w:sz w:val="24"/>
        </w:rPr>
        <w:t>4</w:t>
      </w:r>
      <w:r>
        <w:rPr>
          <w:rFonts w:ascii="宋体" w:hAnsi="宋体" w:cs="宋体" w:hint="eastAsia"/>
          <w:bCs/>
          <w:color w:val="000000"/>
          <w:sz w:val="24"/>
        </w:rPr>
        <w:t>、法律法规、中国证监会和基金合同认定的其他情形。</w:t>
      </w:r>
    </w:p>
    <w:p w14:paraId="2AB54F7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（五）基金会计制度</w:t>
      </w:r>
    </w:p>
    <w:p w14:paraId="08B5C07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按国家有关部门规定的会计制度执行。</w:t>
      </w:r>
    </w:p>
    <w:p w14:paraId="3FA4D52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（六）基金账册的建立</w:t>
      </w:r>
    </w:p>
    <w:p w14:paraId="3192A0D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131709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（七）基金财务报表与报告的编制和复核</w:t>
      </w:r>
    </w:p>
    <w:p w14:paraId="40B8F67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1．财务报表的编制</w:t>
      </w:r>
    </w:p>
    <w:p w14:paraId="12D43A7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基金财务报表由基金管理人编制，基金托管人复核。</w:t>
      </w:r>
    </w:p>
    <w:p w14:paraId="72D42ED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2．报表复核</w:t>
      </w:r>
    </w:p>
    <w:p w14:paraId="5115C3B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基金托管人在收到基金管理人编制的基金财务报表后，进行独立的复核。核</w:t>
      </w:r>
      <w:r>
        <w:rPr>
          <w:rFonts w:ascii="宋体" w:hAnsi="宋体" w:cs="宋体" w:hint="eastAsia"/>
          <w:color w:val="000000"/>
          <w:sz w:val="24"/>
          <w:szCs w:val="24"/>
        </w:rPr>
        <w:lastRenderedPageBreak/>
        <w:t>对不符时，应及时通知基金管理人共同查出原因，进行调整，直至双方数据完全一致。</w:t>
      </w:r>
    </w:p>
    <w:p w14:paraId="4B0367E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3．财务报表的编制与复核时间安排</w:t>
      </w:r>
    </w:p>
    <w:p w14:paraId="5CB5E9E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（1）报表的编制</w:t>
      </w:r>
    </w:p>
    <w:p w14:paraId="49DA11DD" w14:textId="38056B0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基金管理人应当在每月结束后5个工作日内完成月度报表的编制；</w:t>
      </w:r>
      <w:r>
        <w:rPr>
          <w:rFonts w:ascii="宋体" w:hAnsi="宋体" w:cs="宋体"/>
          <w:color w:val="000000"/>
          <w:sz w:val="24"/>
          <w:szCs w:val="24"/>
        </w:rPr>
        <w:t>在季度结束之日起15个工作日内完成基金季度报告的编制并公告；在上半年结束之日起两个月内完成基金</w:t>
      </w:r>
      <w:r>
        <w:rPr>
          <w:rFonts w:ascii="宋体" w:hAnsi="宋体" w:cs="宋体" w:hint="eastAsia"/>
          <w:color w:val="000000"/>
          <w:sz w:val="24"/>
          <w:szCs w:val="24"/>
        </w:rPr>
        <w:t>中期</w:t>
      </w:r>
      <w:r>
        <w:rPr>
          <w:rFonts w:ascii="宋体" w:hAnsi="宋体" w:cs="宋体"/>
          <w:color w:val="000000"/>
          <w:sz w:val="24"/>
          <w:szCs w:val="24"/>
        </w:rPr>
        <w:t>报告的编制并公告；在每年结束之日起</w:t>
      </w:r>
      <w:r>
        <w:rPr>
          <w:rFonts w:ascii="宋体" w:hAnsi="宋体" w:cs="宋体" w:hint="eastAsia"/>
          <w:color w:val="000000"/>
          <w:sz w:val="24"/>
          <w:szCs w:val="24"/>
        </w:rPr>
        <w:t>三个月</w:t>
      </w:r>
      <w:r>
        <w:rPr>
          <w:rFonts w:ascii="宋体" w:hAnsi="宋体" w:cs="宋体"/>
          <w:color w:val="000000"/>
          <w:sz w:val="24"/>
          <w:szCs w:val="24"/>
        </w:rPr>
        <w:t>内完成基金年度报告的编制并公告。</w:t>
      </w:r>
      <w:r>
        <w:rPr>
          <w:rFonts w:ascii="宋体" w:hAnsi="宋体" w:cs="宋体" w:hint="eastAsia"/>
          <w:color w:val="000000"/>
          <w:sz w:val="24"/>
          <w:szCs w:val="24"/>
        </w:rPr>
        <w:t>基金年度报告中的财务会计报告应当经过</w:t>
      </w:r>
      <w:r>
        <w:rPr>
          <w:rFonts w:ascii="宋体" w:hAnsi="宋体" w:cs="宋体" w:hint="eastAsia"/>
          <w:bCs/>
          <w:color w:val="000000"/>
          <w:sz w:val="24"/>
          <w:szCs w:val="24"/>
        </w:rPr>
        <w:t>符合《中华人民共和国证券法》规定的会计师事务所</w:t>
      </w:r>
      <w:r>
        <w:rPr>
          <w:rFonts w:ascii="宋体" w:hAnsi="宋体" w:cs="宋体" w:hint="eastAsia"/>
          <w:color w:val="000000"/>
          <w:sz w:val="24"/>
          <w:szCs w:val="24"/>
        </w:rPr>
        <w:t>审计。基金合同生效不足两个月的，基金管理人可以不编制当期季度报告、中期报告或者年度报告。</w:t>
      </w:r>
    </w:p>
    <w:p w14:paraId="4DEC1CC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（2）报表的复核</w:t>
      </w:r>
    </w:p>
    <w:p w14:paraId="7619FCA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FE692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基金管理人应留足充分的时间，便于基金托管人复核相关报表及报告。</w:t>
      </w:r>
    </w:p>
    <w:p w14:paraId="04142EDF"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w:t>
      </w:r>
      <w:r>
        <w:rPr>
          <w:rFonts w:ascii="宋体" w:hAnsi="宋体" w:cs="宋体" w:hint="eastAsia"/>
          <w:color w:val="000000"/>
          <w:sz w:val="24"/>
          <w:szCs w:val="24"/>
        </w:rPr>
        <w:t>八</w:t>
      </w:r>
      <w:r w:rsidRPr="00A3697C">
        <w:rPr>
          <w:rFonts w:ascii="宋体" w:hAnsi="宋体" w:cs="宋体" w:hint="eastAsia"/>
          <w:color w:val="000000"/>
          <w:sz w:val="24"/>
          <w:szCs w:val="24"/>
        </w:rPr>
        <w:t>）实施侧袋机制期间的基金资产估值</w:t>
      </w:r>
    </w:p>
    <w:p w14:paraId="1556DB9C" w14:textId="77777777" w:rsid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本基金实施侧袋机制的，应根据基金合同的约定对主袋账户资产进行估值并披露主袋账户的基金净值信息，暂停披露侧袋账户份额净值。</w:t>
      </w:r>
    </w:p>
    <w:p w14:paraId="4033A4CC" w14:textId="77777777" w:rsidR="00A2434A" w:rsidRDefault="00A2434A">
      <w:pPr>
        <w:spacing w:line="360" w:lineRule="auto"/>
        <w:ind w:firstLineChars="200" w:firstLine="480"/>
        <w:rPr>
          <w:rFonts w:ascii="宋体" w:hAnsi="宋体" w:cs="宋体"/>
          <w:color w:val="000000"/>
          <w:sz w:val="24"/>
          <w:szCs w:val="24"/>
        </w:rPr>
      </w:pPr>
    </w:p>
    <w:p w14:paraId="1845F7A2" w14:textId="77777777" w:rsidR="00A2434A" w:rsidRDefault="00A3697C">
      <w:pPr>
        <w:pStyle w:val="2"/>
        <w:spacing w:line="360" w:lineRule="auto"/>
        <w:jc w:val="center"/>
        <w:rPr>
          <w:rFonts w:ascii="宋体" w:hAnsi="宋体"/>
          <w:bCs w:val="0"/>
          <w:color w:val="000000"/>
          <w:sz w:val="30"/>
          <w:szCs w:val="30"/>
        </w:rPr>
      </w:pPr>
      <w:r>
        <w:rPr>
          <w:rFonts w:ascii="仿宋" w:eastAsia="仿宋" w:hAnsi="仿宋" w:hint="eastAsia"/>
          <w:b w:val="0"/>
          <w:color w:val="000000"/>
          <w:sz w:val="30"/>
          <w:szCs w:val="30"/>
        </w:rPr>
        <w:br w:type="page"/>
      </w:r>
      <w:bookmarkStart w:id="13" w:name="_Toc264617149"/>
      <w:r>
        <w:rPr>
          <w:rFonts w:ascii="宋体" w:hAnsi="宋体" w:hint="eastAsia"/>
          <w:bCs w:val="0"/>
          <w:color w:val="000000"/>
          <w:sz w:val="30"/>
          <w:szCs w:val="30"/>
        </w:rPr>
        <w:lastRenderedPageBreak/>
        <w:t>九、基金收益分配</w:t>
      </w:r>
      <w:bookmarkEnd w:id="13"/>
    </w:p>
    <w:p w14:paraId="4F39CD4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基金收益分配是指按规定将基金的可分配收益按基金份额进行比例分配。</w:t>
      </w:r>
    </w:p>
    <w:p w14:paraId="7785FFCD"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（一）基金收益分配的原则</w:t>
      </w:r>
    </w:p>
    <w:p w14:paraId="6AB34CD6"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1、由于本基金A类基金份额不收取销售服务费，C类基金份额收取销售服务费，各基金份额类别对应的可供分配利润将有所不同；</w:t>
      </w:r>
    </w:p>
    <w:p w14:paraId="7B97A733"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2、在符合有关基金分红条件的前提下，本基金管理人可以根据实际情况进行收益分配，具体分配方案以公告为准，若《基金合同》生效不满3个月可不进行收益分配；</w:t>
      </w:r>
    </w:p>
    <w:p w14:paraId="03F63A3B" w14:textId="15E7DA19"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3、本基金收益分配方式分两种：现金分红与红利再投资，投资者可选择现金红利或将现金红利自动转为相应类别的基金份额进行再投资；</w:t>
      </w:r>
      <w:r w:rsidR="00D82AF8" w:rsidRPr="00D82AF8">
        <w:rPr>
          <w:rFonts w:ascii="宋体" w:hAnsi="宋体" w:cs="宋体" w:hint="eastAsia"/>
          <w:sz w:val="24"/>
          <w:szCs w:val="24"/>
        </w:rPr>
        <w:t>投资者红利再投资所得基金份额不受最短持有期限制；</w:t>
      </w:r>
      <w:r>
        <w:rPr>
          <w:rFonts w:ascii="宋体" w:hAnsi="宋体" w:cs="宋体" w:hint="eastAsia"/>
          <w:sz w:val="24"/>
          <w:szCs w:val="24"/>
        </w:rPr>
        <w:t>若投资者不选择，本基金默认的收益分配方式是现金分红；基金份额持有人可对其持有的A类基金份额和C类基金份额分别选择不同的收益分配方式；</w:t>
      </w:r>
    </w:p>
    <w:p w14:paraId="18248FBA"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4、基金收益分配后任一类基金份额净值不能低于面值；即基金收益分配基准日的任一类基金份额净值减去该类每单位基金份额收益分配金额后不能低于面值；</w:t>
      </w:r>
    </w:p>
    <w:p w14:paraId="4DAA7F14"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5、本基金同一基金份额类别的每一基金份额享有同等分配权；</w:t>
      </w:r>
    </w:p>
    <w:p w14:paraId="59AC8FF7" w14:textId="7E1F9CD6" w:rsidR="00A2434A" w:rsidRDefault="00A3697C">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、法律法规或监管机关另有规定的，从其规定。</w:t>
      </w:r>
    </w:p>
    <w:p w14:paraId="4C1BD0CB"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（二）基金收益分配方案的制定和实施程序</w:t>
      </w:r>
    </w:p>
    <w:p w14:paraId="6225E252" w14:textId="6B2DC901"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本基金收益分配方案由基金管理人拟定，并由基金托管人复核，依照《信息披露办法》的规定在规定媒介公告。</w:t>
      </w:r>
    </w:p>
    <w:p w14:paraId="6268572D"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基金管理人向基金托管人下达收益分配的付款指令，基金托管人按指令将收益分配的全部资金划入基金管理人的指定账户。</w:t>
      </w:r>
    </w:p>
    <w:p w14:paraId="57E54F0F" w14:textId="77777777" w:rsidR="00A3697C" w:rsidRPr="00A3697C" w:rsidRDefault="00A3697C" w:rsidP="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三）</w:t>
      </w:r>
      <w:r w:rsidRPr="00A3697C">
        <w:rPr>
          <w:rFonts w:ascii="宋体" w:hAnsi="宋体" w:cs="宋体" w:hint="eastAsia"/>
          <w:color w:val="000000"/>
          <w:sz w:val="24"/>
          <w:szCs w:val="24"/>
        </w:rPr>
        <w:t>实施侧袋机制期间的收益分配</w:t>
      </w:r>
    </w:p>
    <w:p w14:paraId="1316DA01" w14:textId="77777777" w:rsid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本基金实施侧袋机制的，侧袋账户不进行收益分配，详见招募说明书的规定。</w:t>
      </w:r>
    </w:p>
    <w:p w14:paraId="6EB60CE3" w14:textId="77777777" w:rsidR="00A2434A" w:rsidRDefault="00A2434A">
      <w:pPr>
        <w:spacing w:line="360" w:lineRule="auto"/>
        <w:ind w:firstLineChars="200" w:firstLine="480"/>
        <w:rPr>
          <w:rFonts w:ascii="宋体" w:hAnsi="宋体" w:cs="宋体"/>
          <w:color w:val="000000"/>
          <w:sz w:val="24"/>
          <w:szCs w:val="24"/>
        </w:rPr>
      </w:pPr>
    </w:p>
    <w:p w14:paraId="591946F7"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4" w:name="_Toc264617150"/>
      <w:r>
        <w:rPr>
          <w:rFonts w:ascii="宋体" w:hAnsi="宋体" w:hint="eastAsia"/>
          <w:bCs w:val="0"/>
          <w:color w:val="000000"/>
          <w:sz w:val="30"/>
          <w:szCs w:val="30"/>
        </w:rPr>
        <w:lastRenderedPageBreak/>
        <w:t>十、基金信息披露</w:t>
      </w:r>
      <w:bookmarkEnd w:id="14"/>
    </w:p>
    <w:p w14:paraId="39C45E2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（一）保密义务</w:t>
      </w:r>
    </w:p>
    <w:p w14:paraId="3D5CD1A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CE3416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1．非因基金管理人和基金托管人的原因导致保密信息被披露、泄露或公开；</w:t>
      </w:r>
    </w:p>
    <w:p w14:paraId="255077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2．基金管理人和基金托管人为遵守和服从法院判决或裁定、仲裁裁决或中国证监会等监管机构的命令、决定所做出的信息披露或公开。</w:t>
      </w:r>
    </w:p>
    <w:p w14:paraId="1B0E626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（二）信息披露的内容</w:t>
      </w:r>
    </w:p>
    <w:p w14:paraId="11E1F3F8" w14:textId="051DD54E" w:rsidR="00A2434A" w:rsidRDefault="00A3697C">
      <w:pPr>
        <w:spacing w:line="360" w:lineRule="auto"/>
        <w:ind w:firstLineChars="200" w:firstLine="480"/>
        <w:rPr>
          <w:rFonts w:ascii="宋体" w:hAnsi="宋体" w:cs="宋体"/>
          <w:color w:val="000000"/>
          <w:sz w:val="24"/>
          <w:szCs w:val="24"/>
        </w:rPr>
      </w:pPr>
      <w:r>
        <w:rPr>
          <w:rFonts w:ascii="宋体" w:hAnsi="宋体" w:hint="eastAsia"/>
          <w:sz w:val="24"/>
          <w:szCs w:val="24"/>
        </w:rPr>
        <w:t>基金的信息披露内容主要包括基金招募说明书、基金合同、托管协议、基金份额发售公告、基金合同生效公告、基金净值信息、基金份额申购、赎回价格、基金定期报告（包括基金年度报告、基金中期报告和基金季度报告）、临时报告、澄清公告、基金产品资料概要、基金清算报告、基金份额持有人大会决议、实施侧袋机制期间的信息披露、基金投资股指期货情况、基金投资资产支持证券情况、基金投资港股通标的股票情况及中国证监会规定的其他信息。基金年度报告中</w:t>
      </w:r>
      <w:r>
        <w:rPr>
          <w:rFonts w:ascii="宋体" w:hAnsi="宋体"/>
          <w:sz w:val="24"/>
          <w:szCs w:val="24"/>
        </w:rPr>
        <w:t>的财务会计报告</w:t>
      </w:r>
      <w:r>
        <w:rPr>
          <w:rFonts w:ascii="宋体" w:hAnsi="宋体" w:hint="eastAsia"/>
          <w:sz w:val="24"/>
          <w:szCs w:val="24"/>
        </w:rPr>
        <w:t>需经符合《中华人民共和国证券法》规定的会计师事务所审计后，方可披露。</w:t>
      </w:r>
    </w:p>
    <w:p w14:paraId="24592FD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（三）基金托管人和基金管理人在信息披露中的职责和信息披露程序</w:t>
      </w:r>
    </w:p>
    <w:p w14:paraId="0C8BF35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1．职责</w:t>
      </w:r>
    </w:p>
    <w:p w14:paraId="7002191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850196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基金管理人和基金托管人应积极配合、互相监督，保证按照法定方式和时限履行信息披露义务。</w:t>
      </w:r>
    </w:p>
    <w:p w14:paraId="53EAFBE0" w14:textId="7B2D3EEC" w:rsidR="00A2434A" w:rsidRDefault="00A3697C">
      <w:pPr>
        <w:spacing w:line="360" w:lineRule="auto"/>
        <w:ind w:firstLineChars="200" w:firstLine="480"/>
        <w:rPr>
          <w:rFonts w:ascii="宋体" w:hAnsi="宋体" w:cs="宋体"/>
          <w:color w:val="000000"/>
          <w:sz w:val="24"/>
          <w:szCs w:val="24"/>
        </w:rPr>
      </w:pPr>
      <w:r>
        <w:rPr>
          <w:rFonts w:ascii="宋体" w:hAnsi="宋体" w:hint="eastAsia"/>
          <w:sz w:val="24"/>
          <w:szCs w:val="24"/>
        </w:rPr>
        <w:t>基金管理人应当在中国证监会规定的时间内，将应予披露的基金信息通过中</w:t>
      </w:r>
      <w:r>
        <w:rPr>
          <w:rFonts w:ascii="宋体" w:hAnsi="宋体" w:hint="eastAsia"/>
          <w:sz w:val="24"/>
          <w:szCs w:val="24"/>
        </w:rPr>
        <w:lastRenderedPageBreak/>
        <w:t>国</w:t>
      </w:r>
      <w:r>
        <w:rPr>
          <w:rFonts w:ascii="宋体" w:hAnsi="宋体"/>
          <w:sz w:val="24"/>
          <w:szCs w:val="24"/>
        </w:rPr>
        <w:t>证监会</w:t>
      </w:r>
      <w:r>
        <w:rPr>
          <w:rFonts w:ascii="宋体" w:hAnsi="宋体" w:hint="eastAsia"/>
          <w:sz w:val="24"/>
          <w:szCs w:val="24"/>
        </w:rPr>
        <w:t>规定媒介披露。根据法律法规应由基金托管人公开披露的信息，基金托管人将根据</w:t>
      </w:r>
      <w:r>
        <w:rPr>
          <w:rFonts w:ascii="宋体" w:hAnsi="宋体"/>
          <w:sz w:val="24"/>
          <w:szCs w:val="24"/>
        </w:rPr>
        <w:t>《</w:t>
      </w:r>
      <w:r>
        <w:rPr>
          <w:rFonts w:ascii="宋体" w:hAnsi="宋体" w:hint="eastAsia"/>
          <w:sz w:val="24"/>
          <w:szCs w:val="24"/>
        </w:rPr>
        <w:t>信息</w:t>
      </w:r>
      <w:r>
        <w:rPr>
          <w:rFonts w:ascii="宋体" w:hAnsi="宋体"/>
          <w:sz w:val="24"/>
          <w:szCs w:val="24"/>
        </w:rPr>
        <w:t>披露办法》</w:t>
      </w:r>
      <w:r>
        <w:rPr>
          <w:rFonts w:ascii="宋体" w:hAnsi="宋体" w:hint="eastAsia"/>
          <w:sz w:val="24"/>
          <w:szCs w:val="24"/>
        </w:rPr>
        <w:t>的</w:t>
      </w:r>
      <w:r>
        <w:rPr>
          <w:rFonts w:ascii="宋体" w:hAnsi="宋体"/>
          <w:sz w:val="24"/>
          <w:szCs w:val="24"/>
        </w:rPr>
        <w:t>规定进行</w:t>
      </w:r>
      <w:r>
        <w:rPr>
          <w:rFonts w:ascii="宋体" w:hAnsi="宋体" w:hint="eastAsia"/>
          <w:sz w:val="24"/>
          <w:szCs w:val="24"/>
        </w:rPr>
        <w:t>公开披露。</w:t>
      </w:r>
    </w:p>
    <w:p w14:paraId="78CDA57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当出现下述情况时，基金管理人和基金托管人可暂停或延迟披露基金相关信息：</w:t>
      </w:r>
    </w:p>
    <w:p w14:paraId="04512E4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（1）不可抗力；</w:t>
      </w:r>
    </w:p>
    <w:p w14:paraId="396848A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（2）发生暂停估值的情形；</w:t>
      </w:r>
    </w:p>
    <w:p w14:paraId="70B8351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（3）法律法规、基金合同或中国证监会规定的其他情况。</w:t>
      </w:r>
    </w:p>
    <w:p w14:paraId="65D987F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2．程序</w:t>
      </w:r>
    </w:p>
    <w:p w14:paraId="654151F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15F23EA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3．信息文本的存放</w:t>
      </w:r>
    </w:p>
    <w:p w14:paraId="095A8947" w14:textId="11D3D88D"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14:paraId="71511EE3" w14:textId="77777777" w:rsidR="00A2434A" w:rsidRDefault="00A2434A">
      <w:pPr>
        <w:spacing w:line="360" w:lineRule="auto"/>
        <w:ind w:firstLineChars="200" w:firstLine="480"/>
        <w:rPr>
          <w:rFonts w:ascii="仿宋" w:eastAsia="仿宋" w:hAnsi="仿宋"/>
          <w:color w:val="000000"/>
          <w:sz w:val="24"/>
          <w:szCs w:val="24"/>
        </w:rPr>
      </w:pPr>
    </w:p>
    <w:p w14:paraId="501AF036"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5" w:name="_Toc264617151"/>
      <w:r>
        <w:rPr>
          <w:rFonts w:ascii="宋体" w:hAnsi="宋体" w:hint="eastAsia"/>
          <w:bCs w:val="0"/>
          <w:color w:val="000000"/>
          <w:sz w:val="30"/>
          <w:szCs w:val="30"/>
        </w:rPr>
        <w:lastRenderedPageBreak/>
        <w:t>十一、基金费用</w:t>
      </w:r>
      <w:bookmarkEnd w:id="15"/>
    </w:p>
    <w:p w14:paraId="347E2A4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（一）基金管理费的计提比例和计提方法</w:t>
      </w:r>
    </w:p>
    <w:p w14:paraId="672987EA" w14:textId="07275398"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本基金的管理费按前一日基金资产净值的</w:t>
      </w:r>
      <w:r>
        <w:rPr>
          <w:rFonts w:ascii="宋体" w:hAnsi="宋体" w:cs="宋体"/>
          <w:bCs/>
          <w:color w:val="000000"/>
          <w:sz w:val="24"/>
        </w:rPr>
        <w:t>0.6</w:t>
      </w:r>
      <w:r>
        <w:rPr>
          <w:rFonts w:ascii="宋体" w:hAnsi="宋体" w:cs="宋体" w:hint="eastAsia"/>
          <w:bCs/>
          <w:color w:val="000000"/>
          <w:sz w:val="24"/>
        </w:rPr>
        <w:t>%年费率计提。基金管理费的计算方法如下：</w:t>
      </w:r>
    </w:p>
    <w:p w14:paraId="3F5001D6" w14:textId="0ABEB4CE"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H＝E×</w:t>
      </w:r>
      <w:r>
        <w:rPr>
          <w:rFonts w:ascii="宋体" w:hAnsi="宋体" w:cs="宋体"/>
          <w:bCs/>
          <w:color w:val="000000"/>
          <w:sz w:val="24"/>
        </w:rPr>
        <w:t>0.6</w:t>
      </w:r>
      <w:r>
        <w:rPr>
          <w:rFonts w:ascii="宋体" w:hAnsi="宋体" w:cs="宋体" w:hint="eastAsia"/>
          <w:bCs/>
          <w:color w:val="000000"/>
          <w:sz w:val="24"/>
        </w:rPr>
        <w:t>%÷当年天数</w:t>
      </w:r>
    </w:p>
    <w:p w14:paraId="7B6342CF"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H为每日应计提的基金管理费</w:t>
      </w:r>
    </w:p>
    <w:p w14:paraId="2A06F7C3"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E为前一日的基金资产净值</w:t>
      </w:r>
    </w:p>
    <w:p w14:paraId="685BB15B" w14:textId="512AFA5B"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基金管理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78AA5C7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（二）基金托管费的计提比例和计提方法</w:t>
      </w:r>
    </w:p>
    <w:p w14:paraId="3AA9C3DB" w14:textId="21CE284E"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本基金的托管费按前一日基金资产净值的</w:t>
      </w:r>
      <w:r>
        <w:rPr>
          <w:rFonts w:ascii="宋体" w:hAnsi="宋体" w:cs="宋体"/>
          <w:bCs/>
          <w:color w:val="000000"/>
          <w:sz w:val="24"/>
        </w:rPr>
        <w:t>0.</w:t>
      </w:r>
      <w:r w:rsidR="005339F7">
        <w:rPr>
          <w:rFonts w:ascii="宋体" w:hAnsi="宋体" w:cs="宋体"/>
          <w:bCs/>
          <w:color w:val="000000"/>
          <w:sz w:val="24"/>
        </w:rPr>
        <w:t>2</w:t>
      </w:r>
      <w:r>
        <w:rPr>
          <w:rFonts w:ascii="宋体" w:hAnsi="宋体" w:cs="宋体" w:hint="eastAsia"/>
          <w:bCs/>
          <w:color w:val="000000"/>
          <w:sz w:val="24"/>
        </w:rPr>
        <w:t>%年费率计提。基金托管费的计算方法如下：</w:t>
      </w:r>
    </w:p>
    <w:p w14:paraId="1DCB69D3" w14:textId="7CECEA9C"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H＝E×</w:t>
      </w:r>
      <w:r>
        <w:rPr>
          <w:rFonts w:ascii="宋体" w:hAnsi="宋体" w:cs="宋体"/>
          <w:bCs/>
          <w:color w:val="000000"/>
          <w:sz w:val="24"/>
        </w:rPr>
        <w:t>0.</w:t>
      </w:r>
      <w:r w:rsidR="005339F7">
        <w:rPr>
          <w:rFonts w:ascii="宋体" w:hAnsi="宋体" w:cs="宋体"/>
          <w:bCs/>
          <w:color w:val="000000"/>
          <w:sz w:val="24"/>
        </w:rPr>
        <w:t>2</w:t>
      </w:r>
      <w:r>
        <w:rPr>
          <w:rFonts w:ascii="宋体" w:hAnsi="宋体" w:cs="宋体" w:hint="eastAsia"/>
          <w:bCs/>
          <w:color w:val="000000"/>
          <w:sz w:val="24"/>
        </w:rPr>
        <w:t>%÷当年天数</w:t>
      </w:r>
    </w:p>
    <w:p w14:paraId="1FA77F26"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H为每日应计提的基金托管费</w:t>
      </w:r>
    </w:p>
    <w:p w14:paraId="77C590D2"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E为前一日的基金资产净值</w:t>
      </w:r>
    </w:p>
    <w:p w14:paraId="669CDCF0" w14:textId="4CD39A2A"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基金托管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2AD4DC33"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托管费收入账户：</w:t>
      </w:r>
    </w:p>
    <w:p w14:paraId="4310516A"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户    名：基金托管费收入</w:t>
      </w:r>
    </w:p>
    <w:p w14:paraId="641034E2"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账    号：10010117380000001 </w:t>
      </w:r>
    </w:p>
    <w:p w14:paraId="5CC9B916"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开户银行：中国光大银行（系统支付号303100000006）</w:t>
      </w:r>
    </w:p>
    <w:p w14:paraId="41CE6BEA" w14:textId="6CCE27CE"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 C类基金份额的销售服务费</w:t>
      </w:r>
    </w:p>
    <w:p w14:paraId="270ED19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本基金A类基金份额不收取销售服务费，C类基金份额的销售服务费按前一日C类基金资产净值的0.</w:t>
      </w:r>
      <w:r>
        <w:rPr>
          <w:rFonts w:ascii="宋体" w:hAnsi="宋体" w:cs="宋体"/>
          <w:color w:val="000000"/>
          <w:sz w:val="24"/>
          <w:szCs w:val="24"/>
        </w:rPr>
        <w:t>4</w:t>
      </w:r>
      <w:r>
        <w:rPr>
          <w:rFonts w:ascii="宋体" w:hAnsi="宋体" w:cs="宋体" w:hint="eastAsia"/>
          <w:color w:val="000000"/>
          <w:sz w:val="24"/>
          <w:szCs w:val="24"/>
        </w:rPr>
        <w:t>%年费率计提。计算方法如下：</w:t>
      </w:r>
    </w:p>
    <w:p w14:paraId="1FB1D7FE" w14:textId="117C4B7E"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H＝E×</w:t>
      </w:r>
      <w:r>
        <w:rPr>
          <w:rFonts w:ascii="宋体" w:hAnsi="宋体" w:cs="宋体"/>
          <w:color w:val="000000"/>
          <w:sz w:val="24"/>
          <w:szCs w:val="24"/>
        </w:rPr>
        <w:t>0.4</w:t>
      </w:r>
      <w:r>
        <w:rPr>
          <w:rFonts w:ascii="宋体" w:hAnsi="宋体" w:cs="宋体" w:hint="eastAsia"/>
          <w:color w:val="000000"/>
          <w:sz w:val="24"/>
          <w:szCs w:val="24"/>
        </w:rPr>
        <w:t>%÷当年天数</w:t>
      </w:r>
    </w:p>
    <w:p w14:paraId="04B7F9B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H为C类基金份额每日应计提的基金销售服务费</w:t>
      </w:r>
    </w:p>
    <w:p w14:paraId="20F40ED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E为C类基金份额前一日的基金资产净值</w:t>
      </w:r>
    </w:p>
    <w:p w14:paraId="4DEB1A43" w14:textId="1886AE3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C类基金份额的销售服务费每日计提，按月支付，</w:t>
      </w:r>
      <w:r>
        <w:rPr>
          <w:rFonts w:ascii="宋体" w:hAnsi="宋体" w:cs="宋体" w:hint="eastAsia"/>
          <w:bCs/>
          <w:color w:val="000000"/>
          <w:sz w:val="24"/>
        </w:rPr>
        <w:t>经管理人授权后，</w:t>
      </w:r>
      <w:r>
        <w:rPr>
          <w:rFonts w:ascii="宋体" w:hAnsi="宋体" w:cs="宋体" w:hint="eastAsia"/>
          <w:color w:val="000000"/>
          <w:sz w:val="24"/>
          <w:szCs w:val="24"/>
        </w:rPr>
        <w:t>由基金托管人根据与基金管理人核对一致的财务数据，自动在月初5个工作日内、按照指定的账户路径进行资金支付，基金管理人无需再出具资金划拨指令。若遇法定节假日、休息日等，支付日期顺延。</w:t>
      </w:r>
    </w:p>
    <w:p w14:paraId="4F5B5E58" w14:textId="77777777"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四）证券、期货交易或结算费用、基金财产划拨支付的银行费用、证券、期货账户开户费用及账户维护费用、基金合同生效后与基金相关的信息披露费用、基金份额持有人大会费用、基金合同生效后与基金有关的会计师费、律师费、仲裁费和诉讼费、</w:t>
      </w:r>
      <w:r>
        <w:rPr>
          <w:rFonts w:ascii="宋体" w:hAnsi="宋体" w:cs="宋体" w:hint="eastAsia"/>
          <w:bCs/>
          <w:color w:val="000000"/>
          <w:sz w:val="24"/>
          <w:szCs w:val="24"/>
        </w:rPr>
        <w:t>因投资港股通标的股票而产生的各项合理费用</w:t>
      </w:r>
      <w:r>
        <w:rPr>
          <w:rFonts w:ascii="宋体" w:hAnsi="宋体" w:cs="宋体" w:hint="eastAsia"/>
          <w:color w:val="000000"/>
          <w:sz w:val="24"/>
          <w:szCs w:val="24"/>
        </w:rPr>
        <w:t>等根据有关法律法规、基金合同及相应协议的规定，列入当期基金费用。</w:t>
      </w:r>
    </w:p>
    <w:p w14:paraId="7F3F464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（五）不列入基金费用的项目</w:t>
      </w:r>
    </w:p>
    <w:p w14:paraId="3978431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生效前的律师费、会计师费、信息披露费用以及其他费用不得从基金财产中列支。基金管理人与基金托管人因未履行或未完全履行义务导致的费用支出或基金财产的损失，以及处理与基金运作无关的事项发生的费用等不列入基金费用。其他根据相关法律法规及中国证监会的有关规定不得列入基金费用的项目不列入基金费用。</w:t>
      </w:r>
    </w:p>
    <w:p w14:paraId="55B200C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（六）基金管理费、基金托管费、销售服务费的调整</w:t>
      </w:r>
    </w:p>
    <w:p w14:paraId="28D39F37" w14:textId="01D6503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公告。</w:t>
      </w:r>
    </w:p>
    <w:p w14:paraId="598FD6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（七）基金管理费、基金托管费和销售服务费的复核程序</w:t>
      </w:r>
    </w:p>
    <w:p w14:paraId="7E1843F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基金托管人对基金管理人计提的基金管理费、基金托管费和销售服务费等，根据本托管协议和基金合同的有关规定进行复核。</w:t>
      </w:r>
    </w:p>
    <w:p w14:paraId="03F4C08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（八）违规处理方式</w:t>
      </w:r>
    </w:p>
    <w:p w14:paraId="5F8B253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81F2922"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w:t>
      </w:r>
      <w:r>
        <w:rPr>
          <w:rFonts w:ascii="宋体" w:hAnsi="宋体" w:cs="宋体" w:hint="eastAsia"/>
          <w:color w:val="000000"/>
          <w:sz w:val="24"/>
          <w:szCs w:val="24"/>
        </w:rPr>
        <w:t>九</w:t>
      </w:r>
      <w:r w:rsidRPr="00A3697C">
        <w:rPr>
          <w:rFonts w:ascii="宋体" w:hAnsi="宋体" w:cs="宋体" w:hint="eastAsia"/>
          <w:color w:val="000000"/>
          <w:sz w:val="24"/>
          <w:szCs w:val="24"/>
        </w:rPr>
        <w:t>）实施侧袋机制期间的基金费用</w:t>
      </w:r>
    </w:p>
    <w:p w14:paraId="5E79F71C" w14:textId="77777777" w:rsid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lastRenderedPageBreak/>
        <w:t>本基金实施侧袋机制的，与侧袋账户有关的费用可以从侧袋账户中列支，但应待侧袋账户资产变现后方可列支，有关费用可酌情收取或减免，但不得收取管理费，详见招募说明书的规定。</w:t>
      </w:r>
    </w:p>
    <w:p w14:paraId="0809CD75"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6" w:name="_Toc264617152"/>
      <w:r>
        <w:rPr>
          <w:rFonts w:ascii="宋体" w:hAnsi="宋体" w:hint="eastAsia"/>
          <w:bCs w:val="0"/>
          <w:color w:val="000000"/>
          <w:sz w:val="30"/>
          <w:szCs w:val="30"/>
        </w:rPr>
        <w:lastRenderedPageBreak/>
        <w:t>十二、基金份额持有人名册的保管</w:t>
      </w:r>
      <w:bookmarkEnd w:id="16"/>
    </w:p>
    <w:p w14:paraId="7B1BC4A3" w14:textId="31C8EE32"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735397D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68F4682B" w14:textId="77777777" w:rsidR="00A2434A" w:rsidRDefault="00A2434A">
      <w:pPr>
        <w:spacing w:line="360" w:lineRule="auto"/>
        <w:ind w:firstLineChars="200" w:firstLine="480"/>
        <w:rPr>
          <w:rFonts w:ascii="仿宋" w:eastAsia="仿宋" w:hAnsi="仿宋"/>
          <w:color w:val="000000"/>
          <w:sz w:val="24"/>
          <w:szCs w:val="24"/>
        </w:rPr>
      </w:pPr>
    </w:p>
    <w:p w14:paraId="034D36D5"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7" w:name="_Toc264617153"/>
      <w:r>
        <w:rPr>
          <w:rFonts w:ascii="宋体" w:hAnsi="宋体" w:hint="eastAsia"/>
          <w:bCs w:val="0"/>
          <w:color w:val="000000"/>
          <w:sz w:val="30"/>
          <w:szCs w:val="30"/>
        </w:rPr>
        <w:lastRenderedPageBreak/>
        <w:t>十三、基金有关文件档案的保存</w:t>
      </w:r>
      <w:bookmarkEnd w:id="17"/>
    </w:p>
    <w:p w14:paraId="443D2A7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（一）档案保存</w:t>
      </w:r>
    </w:p>
    <w:p w14:paraId="79942EEA" w14:textId="0477DED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44D8C39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（二）合同档案的建立</w:t>
      </w:r>
    </w:p>
    <w:p w14:paraId="4AD53A9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1．基金管理人签署重大合同文本后，应及时将合同文本正本送达基金托管人处。</w:t>
      </w:r>
    </w:p>
    <w:p w14:paraId="7134D96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2．基金管理人应及时将与本基金账务处理、资金划拨等有关的合同、协议传真基金托管人。</w:t>
      </w:r>
    </w:p>
    <w:p w14:paraId="1384AFD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（三）变更与协助</w:t>
      </w:r>
    </w:p>
    <w:p w14:paraId="64599A5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若基金管理人/基金托管人发生变更，未变更的一方有义务协助变更后的接任人接收相应文件。</w:t>
      </w:r>
    </w:p>
    <w:p w14:paraId="5C8335BA" w14:textId="1585AFA5"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（四）基金管理人和基金托管人应按各自职责完整保存原始凭证、记账凭证、基金账册、交易记录和重要合同等，承担保密义务并保存不低于法律法规规定的最低期限。</w:t>
      </w:r>
    </w:p>
    <w:p w14:paraId="30B101E7" w14:textId="77777777" w:rsidR="00A2434A" w:rsidRDefault="00A2434A">
      <w:pPr>
        <w:spacing w:line="360" w:lineRule="auto"/>
        <w:ind w:firstLineChars="200" w:firstLine="480"/>
        <w:rPr>
          <w:rFonts w:ascii="仿宋" w:eastAsia="仿宋" w:hAnsi="仿宋"/>
          <w:color w:val="000000"/>
          <w:sz w:val="24"/>
          <w:szCs w:val="24"/>
        </w:rPr>
      </w:pPr>
    </w:p>
    <w:p w14:paraId="11A2D2E3"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8" w:name="_Toc264617154"/>
      <w:r>
        <w:rPr>
          <w:rFonts w:ascii="宋体" w:hAnsi="宋体" w:hint="eastAsia"/>
          <w:bCs w:val="0"/>
          <w:color w:val="000000"/>
          <w:sz w:val="30"/>
          <w:szCs w:val="30"/>
        </w:rPr>
        <w:lastRenderedPageBreak/>
        <w:t>十四、基金管理人和基金托管人的更换</w:t>
      </w:r>
      <w:bookmarkEnd w:id="18"/>
    </w:p>
    <w:p w14:paraId="2E810B6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（一）基金管理人的更换</w:t>
      </w:r>
    </w:p>
    <w:p w14:paraId="279E7BE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1、基金管理人职责终止的情形</w:t>
      </w:r>
    </w:p>
    <w:p w14:paraId="06051E5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有下列情形之一的，基金管理人职责终止：</w:t>
      </w:r>
    </w:p>
    <w:p w14:paraId="0D6906DC" w14:textId="44B01BEA" w:rsidR="00A2434A" w:rsidRDefault="00A3697C">
      <w:pPr>
        <w:spacing w:line="36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1)被依法取消基金管理资格；</w:t>
      </w:r>
    </w:p>
    <w:p w14:paraId="1138DBF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4D5AAB5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2A6B9C3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(4)法律法规及中国证监会规定的和基金合同约定的其他情形。</w:t>
      </w:r>
    </w:p>
    <w:p w14:paraId="7D55D17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2、更换基金管理人的程序</w:t>
      </w:r>
    </w:p>
    <w:p w14:paraId="60526F84" w14:textId="321AADC3"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(1)提名：新任基金管理人由基金托管人或由单独或合计持有10%以上（含10%）基金份额的基金份额持有人提名；</w:t>
      </w:r>
    </w:p>
    <w:p w14:paraId="558D0354" w14:textId="4488D01B"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1DC5885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(3)临时基金管理人：新任基金管理人产生之前，由中国证监会指定临时基金管理人；</w:t>
      </w:r>
    </w:p>
    <w:p w14:paraId="3E0BDE0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(4)备案：基金份额持有人大会更换基金管理人的决议须报中国证监会备案；</w:t>
      </w:r>
    </w:p>
    <w:p w14:paraId="685262E6" w14:textId="4FB07B6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(5)公告：基金管理人更换后，由基金托管人在更换基金管理人的基金份额持有人大会决议生效后依照《信息披露办法》的规定在规定媒介公告；</w:t>
      </w:r>
    </w:p>
    <w:p w14:paraId="3BA90B0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w:t>
      </w:r>
      <w:r>
        <w:rPr>
          <w:rFonts w:ascii="宋体" w:hAnsi="宋体" w:cs="宋体" w:hint="eastAsia"/>
          <w:bCs/>
          <w:color w:val="000000"/>
          <w:sz w:val="24"/>
          <w:szCs w:val="24"/>
        </w:rPr>
        <w:t>者</w:t>
      </w:r>
      <w:r>
        <w:rPr>
          <w:rFonts w:ascii="宋体" w:hAnsi="宋体" w:cs="宋体" w:hint="eastAsia"/>
          <w:color w:val="000000"/>
          <w:sz w:val="24"/>
          <w:szCs w:val="24"/>
        </w:rPr>
        <w:t>临时基金管理人应与基金托管人核对基金资产总值和净值；</w:t>
      </w:r>
    </w:p>
    <w:p w14:paraId="5F185CC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14:paraId="44AC7E0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(8)基金名称变更：基金管理人更换后，如果原任或新任基金管理人要求，应按其要求替换或删除基金名称中与原基金管理人有关的名称字样。</w:t>
      </w:r>
    </w:p>
    <w:p w14:paraId="286BF22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（二）基金托管人的更换</w:t>
      </w:r>
    </w:p>
    <w:p w14:paraId="503524D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1、基金托管人职责终止的情形</w:t>
      </w:r>
    </w:p>
    <w:p w14:paraId="21D4580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有下列情形之一的，基金托管人职责终止：</w:t>
      </w:r>
    </w:p>
    <w:p w14:paraId="6A41D64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(1)被依法取消基金托管资格；</w:t>
      </w:r>
    </w:p>
    <w:p w14:paraId="7AC6B53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3423D5A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5DC74DB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(4)法律法规及中国证监会规定的和基金合同约定的其他情形。</w:t>
      </w:r>
    </w:p>
    <w:p w14:paraId="41FC4EB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2、更换基金托管人的程序</w:t>
      </w:r>
    </w:p>
    <w:p w14:paraId="0764FDBB" w14:textId="2875BF86"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(1)提名：新任基金托管人由基金管理人或由单独或合计持有10%以上（含10%）基金份额的基金份额持有人提名；</w:t>
      </w:r>
    </w:p>
    <w:p w14:paraId="48669F56" w14:textId="48413366"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(2)决议：基金份额持有人大会在基金托管人职责终止后6个月内对被提名的新任基金托管人形成决议，该决议需经参加大会的基金份额持有人所持表决权的三分之二以上（含三分之二）表决通过，</w:t>
      </w:r>
      <w:r>
        <w:rPr>
          <w:rFonts w:hint="eastAsia"/>
          <w:bCs/>
          <w:sz w:val="24"/>
        </w:rPr>
        <w:t>决议</w:t>
      </w:r>
      <w:r>
        <w:rPr>
          <w:rFonts w:ascii="宋体" w:hAnsi="宋体" w:cs="宋体" w:hint="eastAsia"/>
          <w:color w:val="000000"/>
          <w:sz w:val="24"/>
          <w:szCs w:val="24"/>
        </w:rPr>
        <w:t>自表决通过之日起生效，新任基金托管人应当符合法律法规及中国证监会规定的资格条件；</w:t>
      </w:r>
    </w:p>
    <w:p w14:paraId="23FB8D1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(3)临时基金托管人：新任基金托管人产生之前，由中国证监会指定临时基金托管人；</w:t>
      </w:r>
    </w:p>
    <w:p w14:paraId="0461A0C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(4)备案：基金份额持有人大会更换基金托管人的决议须报中国证监会备案；</w:t>
      </w:r>
    </w:p>
    <w:p w14:paraId="30629757" w14:textId="05ECC9B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(5)公告：基金托管人更换后，由基金管理人在更换基金托管人的基金份额持有人大会决议生效后依照《信息披露办法》的规定在规定媒介公告；</w:t>
      </w:r>
    </w:p>
    <w:p w14:paraId="5154A74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(6)交接：基金托管人职责终止的，应当妥善保管基金财产和基金托管业务资料，及时办理基金财产和基金托管业务的移交手续，新任基金托管人或者临时基金托管人应当及时接收。新任基金托管人或</w:t>
      </w:r>
      <w:r>
        <w:rPr>
          <w:rFonts w:ascii="宋体" w:hAnsi="宋体" w:cs="宋体" w:hint="eastAsia"/>
          <w:bCs/>
          <w:color w:val="000000"/>
          <w:sz w:val="24"/>
          <w:szCs w:val="24"/>
        </w:rPr>
        <w:t>者</w:t>
      </w:r>
      <w:r>
        <w:rPr>
          <w:rFonts w:ascii="宋体" w:hAnsi="宋体" w:cs="宋体" w:hint="eastAsia"/>
          <w:color w:val="000000"/>
          <w:sz w:val="24"/>
          <w:szCs w:val="24"/>
        </w:rPr>
        <w:t xml:space="preserve">临时基金托管人与基金管理人核对基金资产总值和净值； </w:t>
      </w:r>
    </w:p>
    <w:p w14:paraId="37A2B50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78086E2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ab/>
        <w:t>基金管理人和基金托管人的同时更换程序</w:t>
      </w:r>
    </w:p>
    <w:p w14:paraId="7677352B" w14:textId="368308BF"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1、提名：如果基金管理人和基金托管人同时更换，由单独或合计持有基金总份额</w:t>
      </w:r>
      <w:r>
        <w:rPr>
          <w:rFonts w:ascii="宋体" w:hAnsi="宋体" w:cs="宋体"/>
          <w:color w:val="000000"/>
          <w:sz w:val="24"/>
          <w:szCs w:val="24"/>
        </w:rPr>
        <w:t>10%</w:t>
      </w:r>
      <w:r>
        <w:rPr>
          <w:rFonts w:ascii="宋体" w:hAnsi="宋体" w:cs="宋体" w:hint="eastAsia"/>
          <w:color w:val="000000"/>
          <w:sz w:val="24"/>
          <w:szCs w:val="24"/>
        </w:rPr>
        <w:t>以上（含</w:t>
      </w:r>
      <w:r>
        <w:rPr>
          <w:rFonts w:ascii="宋体" w:hAnsi="宋体" w:cs="宋体"/>
          <w:color w:val="000000"/>
          <w:sz w:val="24"/>
          <w:szCs w:val="24"/>
        </w:rPr>
        <w:t>10%</w:t>
      </w:r>
      <w:r>
        <w:rPr>
          <w:rFonts w:ascii="宋体" w:hAnsi="宋体" w:cs="宋体" w:hint="eastAsia"/>
          <w:color w:val="000000"/>
          <w:sz w:val="24"/>
          <w:szCs w:val="24"/>
        </w:rPr>
        <w:t>）的基金份额持有人提名新的基金管理人和基金托管人；</w:t>
      </w:r>
    </w:p>
    <w:p w14:paraId="563FB2D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2、基金管理人和基金托管人的更换分别按上述程序进行；</w:t>
      </w:r>
    </w:p>
    <w:p w14:paraId="64BC1A66" w14:textId="2C43665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3、公告：新任基金管理人和新任基金托管人应在更换基金管理人和基金托管人的基金份额持有人大会决议生效后依照《信息披露办法》的规定在规定媒介上联合公告。</w:t>
      </w:r>
    </w:p>
    <w:p w14:paraId="1F4D9B6A" w14:textId="30BA038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7F4FFB9C" w14:textId="6B2534EB"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A74822A" w14:textId="77777777" w:rsidR="00A2434A" w:rsidRDefault="00A2434A">
      <w:pPr>
        <w:spacing w:line="360" w:lineRule="auto"/>
        <w:ind w:firstLineChars="200" w:firstLine="480"/>
        <w:rPr>
          <w:rFonts w:ascii="仿宋" w:eastAsia="仿宋" w:hAnsi="仿宋"/>
          <w:color w:val="000000"/>
          <w:sz w:val="24"/>
          <w:szCs w:val="24"/>
        </w:rPr>
      </w:pPr>
    </w:p>
    <w:p w14:paraId="22B24DB7"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9" w:name="_Toc264617155"/>
      <w:r>
        <w:rPr>
          <w:rFonts w:ascii="宋体" w:hAnsi="宋体" w:hint="eastAsia"/>
          <w:bCs w:val="0"/>
          <w:color w:val="000000"/>
          <w:sz w:val="30"/>
          <w:szCs w:val="30"/>
        </w:rPr>
        <w:lastRenderedPageBreak/>
        <w:t>十五、禁止行为</w:t>
      </w:r>
      <w:bookmarkEnd w:id="19"/>
    </w:p>
    <w:p w14:paraId="2D5C31C2" w14:textId="77777777"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本协议当事人禁止从事的行为，包括但不限于：</w:t>
      </w:r>
    </w:p>
    <w:p w14:paraId="44EDB5D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（一）基金管理人、基金托管人将其固有财产或者他人财产混同于基金财产从事证券投资。</w:t>
      </w:r>
    </w:p>
    <w:p w14:paraId="6E66F00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（二）基金管理人不公平地对待其管理的不同基金财产，基金托管人不公平地对待其托管的不同基金财产。</w:t>
      </w:r>
    </w:p>
    <w:p w14:paraId="7E13D37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（三）基金管理人、基金托管人利用基金财产或职务之便为基金份额持有人以外的第三人牟取利益。</w:t>
      </w:r>
    </w:p>
    <w:p w14:paraId="59A5B8E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（四）基金管理人、基金托管人向基金份额持有人违规承诺收益或者承担损失。</w:t>
      </w:r>
    </w:p>
    <w:p w14:paraId="45B45DC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（五）基金管理人、基金托管人对他人泄漏基金运作和管理过程中任何尚未按法律法规规定的方式公开披露的信息。</w:t>
      </w:r>
    </w:p>
    <w:p w14:paraId="337F45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（六）基金管理人在没有充足资金的情况下向基金托管人发出投资指令和赎回、分红资金的划拨指令，或违规向基金托管人发出指令。</w:t>
      </w:r>
    </w:p>
    <w:p w14:paraId="3489242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（七）基金管理人、基金托管人高级管理人员和其他从业人员相互兼职。</w:t>
      </w:r>
    </w:p>
    <w:p w14:paraId="0C3C752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（八）基金托管人私自动用或处分基金财产，根据基金管理人的合法指令、基金合同或托管协议的规定进行处分的除外。</w:t>
      </w:r>
    </w:p>
    <w:p w14:paraId="066777F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（九）基金管理人、基金托管人侵占、挪用基金财产。</w:t>
      </w:r>
    </w:p>
    <w:p w14:paraId="4A712E6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（十）基金管理人、基金托管人泄露因职务便利获取的未公开信息、利用该信息从事或者明示、暗示他人从事相关的交易活动。</w:t>
      </w:r>
    </w:p>
    <w:p w14:paraId="730E9ED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（十一）基金管理人、基金托管人玩忽职守，不按照规定履行职责。</w:t>
      </w:r>
    </w:p>
    <w:p w14:paraId="12F1053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（十二）基金财产用于下列投资或者活动：</w:t>
      </w:r>
    </w:p>
    <w:p w14:paraId="4360BCCF"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（1）承销证券；</w:t>
      </w:r>
    </w:p>
    <w:p w14:paraId="713817C7"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（2）违反规定向他人贷款或者提供担保；</w:t>
      </w:r>
    </w:p>
    <w:p w14:paraId="0FF5318B"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（3）从事承担无限责任的投资；</w:t>
      </w:r>
    </w:p>
    <w:p w14:paraId="4C7A6BE6"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（4）买卖其他基金份额，但是中国证监会另有规定的除外；</w:t>
      </w:r>
    </w:p>
    <w:p w14:paraId="0F8A3E8F"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（5）向其基金管理人、基金托管人出资；</w:t>
      </w:r>
    </w:p>
    <w:p w14:paraId="458EABEC"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（6）从事内幕交易、操纵证券交易价格及其他不正当的证券交易活动；</w:t>
      </w:r>
    </w:p>
    <w:p w14:paraId="0D664A8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1"/>
        </w:rPr>
        <w:t>（7）法律、行政法规和中国证监会规定禁止的其他活动。</w:t>
      </w:r>
    </w:p>
    <w:p w14:paraId="28454BE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（十三）法律法规和基金合同禁止的其他行为，以及法律、行政法规和中国证监会规定禁止基金管理人、基金托管人从事的其他行为。</w:t>
      </w:r>
    </w:p>
    <w:p w14:paraId="057D74E6" w14:textId="0D6BF909"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如法律、行政法规或监管部门取消上述规定，如适用于本基金，基金管理人在履行适当程序后，本基金可不受上述规定的限制。</w:t>
      </w:r>
    </w:p>
    <w:p w14:paraId="38FA53D4" w14:textId="77777777" w:rsidR="00A2434A" w:rsidRDefault="00A3697C">
      <w:pPr>
        <w:pStyle w:val="2"/>
        <w:spacing w:line="360" w:lineRule="auto"/>
        <w:jc w:val="center"/>
        <w:rPr>
          <w:rFonts w:ascii="宋体" w:hAnsi="宋体"/>
          <w:bCs w:val="0"/>
          <w:color w:val="000000"/>
          <w:sz w:val="30"/>
          <w:szCs w:val="30"/>
        </w:rPr>
      </w:pPr>
      <w:r>
        <w:rPr>
          <w:rFonts w:ascii="仿宋" w:eastAsia="仿宋" w:hAnsi="仿宋" w:hint="eastAsia"/>
          <w:b w:val="0"/>
          <w:bCs w:val="0"/>
          <w:color w:val="000000"/>
          <w:sz w:val="24"/>
          <w:szCs w:val="24"/>
        </w:rPr>
        <w:br w:type="page"/>
      </w:r>
      <w:bookmarkStart w:id="20" w:name="_Toc264617156"/>
      <w:r>
        <w:rPr>
          <w:rFonts w:ascii="宋体" w:hAnsi="宋体" w:hint="eastAsia"/>
          <w:bCs w:val="0"/>
          <w:color w:val="000000"/>
          <w:sz w:val="30"/>
          <w:szCs w:val="30"/>
        </w:rPr>
        <w:lastRenderedPageBreak/>
        <w:t>十六、托管协议的变更、终止与基金财产的清算</w:t>
      </w:r>
      <w:bookmarkEnd w:id="20"/>
    </w:p>
    <w:p w14:paraId="766EAF4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（一）托管协议的变更程序</w:t>
      </w:r>
    </w:p>
    <w:p w14:paraId="0F47FB2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本协议双方当事人经协商一致，可以对协议进行修改。修改后的新协议，其内容不得与基金合同的规定有任何冲突。基金托管协议的变更报中国证监会</w:t>
      </w:r>
      <w:r>
        <w:rPr>
          <w:rFonts w:ascii="宋体" w:hAnsi="宋体" w:cs="宋体" w:hint="eastAsia"/>
          <w:color w:val="000000"/>
          <w:spacing w:val="6"/>
          <w:sz w:val="24"/>
        </w:rPr>
        <w:t>备案</w:t>
      </w:r>
      <w:r>
        <w:rPr>
          <w:rFonts w:ascii="宋体" w:hAnsi="宋体" w:cs="宋体" w:hint="eastAsia"/>
          <w:color w:val="000000"/>
          <w:sz w:val="24"/>
          <w:szCs w:val="24"/>
        </w:rPr>
        <w:t>。</w:t>
      </w:r>
    </w:p>
    <w:p w14:paraId="577B13C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（二）基金托管协议终止出现的情形</w:t>
      </w:r>
    </w:p>
    <w:p w14:paraId="27B3C3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1．基金合同终止；</w:t>
      </w:r>
    </w:p>
    <w:p w14:paraId="3668235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2．基金托管人解散、依法被撤销、破产或由其他基金托管人接管基金资产；</w:t>
      </w:r>
    </w:p>
    <w:p w14:paraId="541F9A1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3．基金管理人解散、依法被撤销、破产或由其他基金管理人接管基金管理权；</w:t>
      </w:r>
    </w:p>
    <w:p w14:paraId="5B68338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4．发生法律法规或基金合同规定的终止事项。</w:t>
      </w:r>
    </w:p>
    <w:p w14:paraId="478CEE6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（三）基金财产的清算</w:t>
      </w:r>
    </w:p>
    <w:p w14:paraId="04A38A2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1．基金财产清算小组</w:t>
      </w:r>
    </w:p>
    <w:p w14:paraId="10F83A7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（1）自出现基金合同终止事由之日起30个工作日内成立清算小组，基金管理人组织基金财产清算小组并在中国证监会的监督下进行基金清算。</w:t>
      </w:r>
    </w:p>
    <w:p w14:paraId="1DE6919D" w14:textId="2F83D90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（2）基金财产清算小组成员由基金管理人、基金托管人、符合《中华人民共和国证券法》规定的注册会计师、律师以及中国证监会指定的人员组成。基金财产清算小组可以聘用必要的工作人员。</w:t>
      </w:r>
    </w:p>
    <w:p w14:paraId="316CECF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（3）在基金财产清算过程中，基金管理人和基金托管人应各自履行职责，继续忠实、勤勉、尽责地履行基金合同和本托管协议规定的义务，维护基金份额持有人的合法权益。</w:t>
      </w:r>
    </w:p>
    <w:p w14:paraId="3ACC34D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（4）基金财产清算小组负责基金财产的保管、清理、估价、变现和分配。基金财产清算小组可以依法进行必要的民事活动。</w:t>
      </w:r>
    </w:p>
    <w:p w14:paraId="47133BB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2．基金财产清算程序</w:t>
      </w:r>
    </w:p>
    <w:p w14:paraId="47E7F7F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基金合同终止，应当按法律法规和基金合同的有关规定对基金财产进行清算。基金财产清算程序主要包括：</w:t>
      </w:r>
    </w:p>
    <w:p w14:paraId="29206F96"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（1）基金合同终止情形出现时，由基金财产清算小组统一接管基金；</w:t>
      </w:r>
    </w:p>
    <w:p w14:paraId="5C659173"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（2）对基金财产和债权债务进行清理和确认；</w:t>
      </w:r>
    </w:p>
    <w:p w14:paraId="3F89DF50"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（3）对基金财产进行估值和变现；</w:t>
      </w:r>
    </w:p>
    <w:p w14:paraId="2748E78A"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（4）制作清算报告；</w:t>
      </w:r>
    </w:p>
    <w:p w14:paraId="32E76D0E"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（5）聘请会计师事务所对清算报告进行外部审计，聘请律师事务所对清算报告出具法律意见书；</w:t>
      </w:r>
    </w:p>
    <w:p w14:paraId="734F7658"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（6）将清算报告报中国证监会备案并公告；</w:t>
      </w:r>
    </w:p>
    <w:p w14:paraId="4A7BFA04"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（7）对基金剩余财产进行分配。</w:t>
      </w:r>
    </w:p>
    <w:p w14:paraId="11334299"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3.基金财产清算的期限为6个月，但因本基金所持证券的流动性受到限制而不能及时变现的，清算期限相应顺延。</w:t>
      </w:r>
    </w:p>
    <w:p w14:paraId="768EA49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4．清算费用</w:t>
      </w:r>
    </w:p>
    <w:p w14:paraId="594C6FB2" w14:textId="663F3363"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清算费用是指基金财产清算小组在进行基金清算过程中发生的所有合理费用，清算费用由基金财产清算小组优先从基金财产中支付。</w:t>
      </w:r>
    </w:p>
    <w:p w14:paraId="6465E6D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5．基金财产按下列顺序清偿：</w:t>
      </w:r>
    </w:p>
    <w:p w14:paraId="3455A48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(1)支付清算费用；</w:t>
      </w:r>
    </w:p>
    <w:p w14:paraId="549530B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(2)交纳所欠税款；</w:t>
      </w:r>
    </w:p>
    <w:p w14:paraId="7A7A0735"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(3)清偿基金债务；</w:t>
      </w:r>
    </w:p>
    <w:p w14:paraId="367387B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(4)按基金份额持有人持有的基金份额比例进行分配。</w:t>
      </w:r>
    </w:p>
    <w:p w14:paraId="092992DB"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基金财产未按前款(1)－(3)项规定清偿前，不分配给基金份额持有人。</w:t>
      </w:r>
    </w:p>
    <w:p w14:paraId="1AF3913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6．基金财产清算的公告</w:t>
      </w:r>
    </w:p>
    <w:p w14:paraId="0D167A32" w14:textId="21A359B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清算过程中的有关重大事项须及时公告；基金财产清算报告经</w:t>
      </w:r>
      <w:r>
        <w:rPr>
          <w:rFonts w:hint="eastAsia"/>
          <w:bCs/>
          <w:sz w:val="24"/>
        </w:rPr>
        <w:t>符合《中华人民共和国证券法》规定的</w:t>
      </w:r>
      <w:r>
        <w:rPr>
          <w:rFonts w:ascii="宋体" w:hAnsi="宋体" w:cs="宋体" w:hint="eastAsia"/>
          <w:color w:val="000000"/>
          <w:sz w:val="24"/>
          <w:szCs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25A7EC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7．基金财产清算账册及文件的保存</w:t>
      </w:r>
    </w:p>
    <w:p w14:paraId="54BE24A8" w14:textId="644F6BAA"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基金财产清算账册及有关文件由基金托管人保存不低于法律法规规定的最低期限。</w:t>
      </w:r>
    </w:p>
    <w:p w14:paraId="1D9119C0" w14:textId="77777777" w:rsidR="00A2434A" w:rsidRDefault="00A2434A">
      <w:pPr>
        <w:spacing w:line="360" w:lineRule="auto"/>
        <w:ind w:firstLineChars="200" w:firstLine="480"/>
        <w:rPr>
          <w:rFonts w:ascii="宋体" w:hAnsi="宋体" w:cs="宋体"/>
          <w:color w:val="000000"/>
          <w:sz w:val="24"/>
          <w:szCs w:val="24"/>
        </w:rPr>
      </w:pPr>
    </w:p>
    <w:p w14:paraId="6295909F"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1" w:name="_Toc264617157"/>
      <w:r>
        <w:rPr>
          <w:rFonts w:ascii="宋体" w:hAnsi="宋体" w:hint="eastAsia"/>
          <w:bCs w:val="0"/>
          <w:color w:val="000000"/>
          <w:sz w:val="30"/>
          <w:szCs w:val="30"/>
        </w:rPr>
        <w:lastRenderedPageBreak/>
        <w:t>十七、违约责任</w:t>
      </w:r>
      <w:bookmarkEnd w:id="21"/>
    </w:p>
    <w:p w14:paraId="1EDA149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（一）基金管理人、基金托管人不履行本协议或履行本协议不符合约定的，应当承担违约责任。</w:t>
      </w:r>
    </w:p>
    <w:p w14:paraId="2F5546E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58E593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14:paraId="7101ADD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1、不可抗力；</w:t>
      </w:r>
    </w:p>
    <w:p w14:paraId="687795C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2、基金管理人和/或基金托管人按照当时有效的法律法规或中国证监会的规定作为或不作为而造成的损失等；</w:t>
      </w:r>
    </w:p>
    <w:p w14:paraId="4EB9F0CC" w14:textId="6328F8D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3、基金管理人由于按照基金合同规定的投资原则行使或不行使其投资权而造成的损失等。</w:t>
      </w:r>
    </w:p>
    <w:p w14:paraId="54FBEDC8" w14:textId="24A659C5"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14:paraId="5FDDE91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5F443CF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494BEA8" w14:textId="77777777" w:rsidR="00A2434A" w:rsidRDefault="00A3697C">
      <w:pPr>
        <w:pStyle w:val="2"/>
        <w:spacing w:line="360" w:lineRule="auto"/>
        <w:jc w:val="center"/>
        <w:rPr>
          <w:rFonts w:ascii="宋体" w:hAnsi="宋体"/>
          <w:color w:val="000000"/>
          <w:sz w:val="30"/>
          <w:szCs w:val="30"/>
        </w:rPr>
      </w:pPr>
      <w:bookmarkStart w:id="22" w:name="_Toc264617158"/>
      <w:r>
        <w:rPr>
          <w:rFonts w:ascii="宋体" w:hAnsi="宋体" w:hint="eastAsia"/>
          <w:bCs w:val="0"/>
          <w:color w:val="000000"/>
          <w:sz w:val="30"/>
          <w:szCs w:val="30"/>
        </w:rPr>
        <w:lastRenderedPageBreak/>
        <w:t>十八、争议解决方式</w:t>
      </w:r>
      <w:bookmarkEnd w:id="22"/>
    </w:p>
    <w:p w14:paraId="39631D94" w14:textId="68B8F206"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bCs/>
          <w:color w:val="000000"/>
          <w:sz w:val="24"/>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各方当事人均有约束力，仲裁费用由败诉方承担，除非仲裁裁决另有规定</w:t>
      </w:r>
      <w:r>
        <w:rPr>
          <w:rFonts w:ascii="宋体" w:hAnsi="宋体" w:cs="宋体" w:hint="eastAsia"/>
          <w:color w:val="000000"/>
          <w:sz w:val="24"/>
          <w:szCs w:val="24"/>
        </w:rPr>
        <w:t>。</w:t>
      </w:r>
    </w:p>
    <w:p w14:paraId="2A729BD8" w14:textId="77777777" w:rsidR="00A2434A" w:rsidRDefault="00A3697C">
      <w:pPr>
        <w:spacing w:line="360" w:lineRule="auto"/>
        <w:ind w:firstLineChars="200" w:firstLine="480"/>
        <w:rPr>
          <w:rFonts w:ascii="宋体" w:hAnsi="宋体" w:cs="宋体"/>
          <w:color w:val="000000"/>
          <w:sz w:val="24"/>
          <w:szCs w:val="24"/>
        </w:rPr>
      </w:pPr>
      <w:r>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09D1889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本协议受中国法律</w:t>
      </w:r>
      <w:r>
        <w:rPr>
          <w:rFonts w:hint="eastAsia"/>
          <w:bCs/>
          <w:sz w:val="24"/>
        </w:rPr>
        <w:t>（不含</w:t>
      </w:r>
      <w:r>
        <w:rPr>
          <w:bCs/>
          <w:sz w:val="24"/>
        </w:rPr>
        <w:t>港澳台地区法律）</w:t>
      </w:r>
      <w:r>
        <w:rPr>
          <w:rFonts w:ascii="宋体" w:hAnsi="宋体" w:cs="宋体" w:hint="eastAsia"/>
          <w:color w:val="000000"/>
          <w:sz w:val="24"/>
          <w:szCs w:val="24"/>
        </w:rPr>
        <w:t>管辖</w:t>
      </w:r>
      <w:r>
        <w:rPr>
          <w:rFonts w:hint="eastAsia"/>
          <w:bCs/>
          <w:sz w:val="24"/>
        </w:rPr>
        <w:t>并从其解释</w:t>
      </w:r>
      <w:r>
        <w:rPr>
          <w:rFonts w:ascii="宋体" w:hAnsi="宋体" w:cs="宋体" w:hint="eastAsia"/>
          <w:color w:val="000000"/>
          <w:sz w:val="24"/>
          <w:szCs w:val="24"/>
        </w:rPr>
        <w:t>。</w:t>
      </w:r>
    </w:p>
    <w:p w14:paraId="4671912C" w14:textId="77777777" w:rsidR="00A2434A" w:rsidRDefault="00A2434A">
      <w:pPr>
        <w:spacing w:line="360" w:lineRule="auto"/>
        <w:ind w:firstLineChars="200" w:firstLine="480"/>
        <w:rPr>
          <w:rFonts w:ascii="宋体" w:hAnsi="宋体" w:cs="宋体"/>
          <w:color w:val="000000"/>
          <w:sz w:val="24"/>
          <w:szCs w:val="24"/>
        </w:rPr>
      </w:pPr>
    </w:p>
    <w:p w14:paraId="0DDB250C"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3" w:name="_Toc264617159"/>
      <w:r>
        <w:rPr>
          <w:rFonts w:ascii="宋体" w:hAnsi="宋体" w:hint="eastAsia"/>
          <w:bCs w:val="0"/>
          <w:color w:val="000000"/>
          <w:sz w:val="30"/>
          <w:szCs w:val="30"/>
        </w:rPr>
        <w:lastRenderedPageBreak/>
        <w:t>十九、托管协议的效力</w:t>
      </w:r>
      <w:bookmarkEnd w:id="23"/>
    </w:p>
    <w:p w14:paraId="2B28EB9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双方对托管协议的效力约定如下：</w:t>
      </w:r>
    </w:p>
    <w:p w14:paraId="5BE2DC77" w14:textId="4DE796E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在向中国证监会申请基金募集注册时提交的托管协议草案，应经托管协议当事人双方盖章以及双方法定代表人或授权代表签章，协议当事人双方根据中国证监会的意见修改托管协议草案。托管协议以中国证监会注册的文本为正式文本。</w:t>
      </w:r>
    </w:p>
    <w:p w14:paraId="2930AE8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（二）托管协议自基金合同生效之日起生效。托管协议的有效期自其生效之日起至基金财产清算结果报中国证监会备案并公告之日止。</w:t>
      </w:r>
    </w:p>
    <w:p w14:paraId="4BA5319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（三）托管协议自生效之日起对托管协议当事人具有同等的法律约束力。</w:t>
      </w:r>
    </w:p>
    <w:p w14:paraId="1B6C239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w:t>
      </w:r>
      <w:r>
        <w:rPr>
          <w:rFonts w:ascii="宋体" w:hAnsi="宋体" w:hint="eastAsia"/>
          <w:color w:val="000000"/>
          <w:sz w:val="24"/>
          <w:szCs w:val="24"/>
        </w:rPr>
        <w:t>本协议一式三份，协议双方各持一份，上报中国证监会一份，每份具有同等法律效力。</w:t>
      </w:r>
    </w:p>
    <w:p w14:paraId="1E9DC7AC" w14:textId="77777777" w:rsidR="00A2434A" w:rsidRDefault="00A2434A">
      <w:pPr>
        <w:spacing w:line="360" w:lineRule="auto"/>
        <w:ind w:firstLineChars="200" w:firstLine="480"/>
        <w:rPr>
          <w:rFonts w:ascii="仿宋" w:eastAsia="仿宋" w:hAnsi="仿宋"/>
          <w:color w:val="000000"/>
          <w:sz w:val="24"/>
          <w:szCs w:val="24"/>
        </w:rPr>
      </w:pPr>
    </w:p>
    <w:p w14:paraId="2601E255"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4" w:name="_Toc264617160"/>
      <w:r>
        <w:rPr>
          <w:rFonts w:ascii="宋体" w:hAnsi="宋体" w:hint="eastAsia"/>
          <w:bCs w:val="0"/>
          <w:color w:val="000000"/>
          <w:sz w:val="30"/>
          <w:szCs w:val="30"/>
        </w:rPr>
        <w:lastRenderedPageBreak/>
        <w:t>二十、其他事项</w:t>
      </w:r>
      <w:bookmarkEnd w:id="24"/>
    </w:p>
    <w:p w14:paraId="3154B05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如发生有权司法机关依法冻结基金份额持有人的基金份额时，基金管理人应予以配合，承担司法协助义务。</w:t>
      </w:r>
    </w:p>
    <w:p w14:paraId="18FDF52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除本协议有明确定义外，本协议的用语定义适用基金合同的约定。本协议未尽事宜，当事人依据基金合同、有关法律法规等规定协商办理。</w:t>
      </w:r>
    </w:p>
    <w:p w14:paraId="61B313E3" w14:textId="77777777" w:rsidR="00A2434A" w:rsidRDefault="00A2434A">
      <w:pPr>
        <w:spacing w:line="360" w:lineRule="auto"/>
        <w:ind w:firstLineChars="200" w:firstLine="480"/>
        <w:rPr>
          <w:rFonts w:ascii="宋体" w:hAnsi="宋体" w:cs="宋体"/>
          <w:color w:val="000000"/>
          <w:sz w:val="24"/>
          <w:szCs w:val="24"/>
        </w:rPr>
      </w:pPr>
    </w:p>
    <w:p w14:paraId="2E0EDE2E"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5" w:name="_Toc264617161"/>
      <w:r>
        <w:rPr>
          <w:rFonts w:ascii="宋体" w:hAnsi="宋体" w:hint="eastAsia"/>
          <w:bCs w:val="0"/>
          <w:color w:val="000000"/>
          <w:sz w:val="30"/>
          <w:szCs w:val="30"/>
        </w:rPr>
        <w:lastRenderedPageBreak/>
        <w:t>二十一、托管协议的签订</w:t>
      </w:r>
      <w:bookmarkEnd w:id="25"/>
    </w:p>
    <w:p w14:paraId="0B6E681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14:paraId="259B60D1" w14:textId="77777777" w:rsidR="00A2434A" w:rsidRDefault="00A2434A">
      <w:pPr>
        <w:spacing w:line="360" w:lineRule="auto"/>
        <w:ind w:firstLineChars="200" w:firstLine="480"/>
        <w:rPr>
          <w:rFonts w:ascii="宋体" w:hAnsi="宋体" w:cs="宋体"/>
          <w:color w:val="000000"/>
          <w:sz w:val="24"/>
          <w:szCs w:val="24"/>
        </w:rPr>
      </w:pPr>
    </w:p>
    <w:p w14:paraId="54DE0971" w14:textId="77777777" w:rsidR="00A2434A" w:rsidRDefault="00A2434A">
      <w:pPr>
        <w:spacing w:line="360" w:lineRule="auto"/>
        <w:ind w:firstLineChars="200" w:firstLine="480"/>
        <w:rPr>
          <w:rFonts w:ascii="宋体" w:hAnsi="宋体" w:cs="宋体"/>
          <w:color w:val="000000"/>
          <w:sz w:val="24"/>
          <w:szCs w:val="24"/>
        </w:rPr>
      </w:pPr>
    </w:p>
    <w:p w14:paraId="651D13E2" w14:textId="77777777" w:rsidR="00A2434A" w:rsidRDefault="00A2434A">
      <w:pPr>
        <w:spacing w:line="360" w:lineRule="auto"/>
        <w:ind w:firstLineChars="200" w:firstLine="480"/>
        <w:rPr>
          <w:rFonts w:ascii="宋体" w:hAnsi="宋体" w:cs="宋体"/>
          <w:color w:val="000000"/>
          <w:sz w:val="24"/>
          <w:szCs w:val="24"/>
        </w:rPr>
      </w:pPr>
    </w:p>
    <w:p w14:paraId="2790AB28" w14:textId="77777777" w:rsidR="00A2434A" w:rsidRDefault="00A2434A">
      <w:pPr>
        <w:spacing w:line="360" w:lineRule="auto"/>
        <w:ind w:firstLineChars="200" w:firstLine="480"/>
        <w:rPr>
          <w:rFonts w:ascii="宋体" w:hAnsi="宋体" w:cs="宋体"/>
          <w:color w:val="000000"/>
          <w:sz w:val="24"/>
          <w:szCs w:val="24"/>
        </w:rPr>
      </w:pPr>
    </w:p>
    <w:p w14:paraId="7402E024" w14:textId="77777777" w:rsidR="00A2434A" w:rsidRDefault="00A2434A">
      <w:pPr>
        <w:spacing w:line="360" w:lineRule="auto"/>
        <w:ind w:firstLineChars="200" w:firstLine="480"/>
        <w:rPr>
          <w:rFonts w:ascii="宋体" w:hAnsi="宋体" w:cs="宋体"/>
          <w:color w:val="000000"/>
          <w:sz w:val="24"/>
          <w:szCs w:val="24"/>
        </w:rPr>
      </w:pPr>
    </w:p>
    <w:p w14:paraId="2D5DB147" w14:textId="77777777" w:rsidR="00A2434A" w:rsidRDefault="00A2434A">
      <w:pPr>
        <w:spacing w:line="360" w:lineRule="auto"/>
        <w:ind w:firstLineChars="200" w:firstLine="480"/>
        <w:rPr>
          <w:rFonts w:ascii="宋体" w:hAnsi="宋体" w:cs="宋体"/>
          <w:color w:val="000000"/>
          <w:sz w:val="24"/>
          <w:szCs w:val="24"/>
        </w:rPr>
      </w:pPr>
    </w:p>
    <w:p w14:paraId="7E66AF5B" w14:textId="77777777" w:rsidR="00A2434A" w:rsidRDefault="00A2434A">
      <w:pPr>
        <w:spacing w:line="360" w:lineRule="auto"/>
        <w:ind w:firstLineChars="200" w:firstLine="480"/>
        <w:rPr>
          <w:rFonts w:ascii="宋体" w:hAnsi="宋体" w:cs="宋体"/>
          <w:color w:val="000000"/>
          <w:sz w:val="24"/>
          <w:szCs w:val="24"/>
        </w:rPr>
      </w:pPr>
    </w:p>
    <w:p w14:paraId="44622999" w14:textId="77777777" w:rsidR="00A2434A" w:rsidRDefault="00A2434A">
      <w:pPr>
        <w:spacing w:line="360" w:lineRule="auto"/>
        <w:ind w:firstLineChars="200" w:firstLine="480"/>
        <w:rPr>
          <w:rFonts w:ascii="宋体" w:hAnsi="宋体" w:cs="宋体"/>
          <w:color w:val="000000"/>
          <w:sz w:val="24"/>
          <w:szCs w:val="24"/>
        </w:rPr>
      </w:pPr>
    </w:p>
    <w:p w14:paraId="04E2B006" w14:textId="77777777" w:rsidR="00A2434A" w:rsidRDefault="00A2434A">
      <w:pPr>
        <w:spacing w:line="360" w:lineRule="auto"/>
        <w:ind w:firstLineChars="200" w:firstLine="480"/>
        <w:rPr>
          <w:rFonts w:ascii="宋体" w:hAnsi="宋体" w:cs="宋体"/>
          <w:color w:val="000000"/>
          <w:sz w:val="24"/>
          <w:szCs w:val="24"/>
        </w:rPr>
      </w:pPr>
    </w:p>
    <w:p w14:paraId="078776B4" w14:textId="77777777" w:rsidR="00A2434A" w:rsidRDefault="00A2434A">
      <w:pPr>
        <w:spacing w:line="360" w:lineRule="auto"/>
        <w:ind w:firstLineChars="200" w:firstLine="480"/>
        <w:rPr>
          <w:rFonts w:ascii="宋体" w:hAnsi="宋体" w:cs="宋体"/>
          <w:color w:val="000000"/>
          <w:sz w:val="24"/>
          <w:szCs w:val="24"/>
        </w:rPr>
      </w:pPr>
    </w:p>
    <w:p w14:paraId="72E1846B" w14:textId="77777777" w:rsidR="00A2434A" w:rsidRDefault="00A2434A">
      <w:pPr>
        <w:spacing w:line="360" w:lineRule="auto"/>
        <w:ind w:firstLineChars="200" w:firstLine="480"/>
        <w:rPr>
          <w:rFonts w:ascii="宋体" w:hAnsi="宋体" w:cs="宋体"/>
          <w:color w:val="000000"/>
          <w:sz w:val="24"/>
          <w:szCs w:val="24"/>
        </w:rPr>
      </w:pPr>
    </w:p>
    <w:p w14:paraId="50A20371" w14:textId="77777777" w:rsidR="00A2434A" w:rsidRDefault="00A2434A">
      <w:pPr>
        <w:spacing w:line="360" w:lineRule="auto"/>
        <w:ind w:firstLineChars="200" w:firstLine="480"/>
        <w:rPr>
          <w:rFonts w:ascii="宋体" w:hAnsi="宋体" w:cs="宋体"/>
          <w:color w:val="000000"/>
          <w:sz w:val="24"/>
          <w:szCs w:val="24"/>
        </w:rPr>
      </w:pPr>
    </w:p>
    <w:p w14:paraId="726AE894" w14:textId="77777777" w:rsidR="00A2434A" w:rsidRDefault="00A2434A">
      <w:pPr>
        <w:spacing w:line="360" w:lineRule="auto"/>
        <w:ind w:firstLineChars="200" w:firstLine="480"/>
        <w:rPr>
          <w:rFonts w:ascii="宋体" w:hAnsi="宋体" w:cs="宋体"/>
          <w:color w:val="000000"/>
          <w:sz w:val="24"/>
          <w:szCs w:val="24"/>
        </w:rPr>
      </w:pPr>
    </w:p>
    <w:p w14:paraId="0A697080" w14:textId="77777777" w:rsidR="00A2434A" w:rsidRDefault="00A2434A">
      <w:pPr>
        <w:spacing w:line="360" w:lineRule="auto"/>
        <w:ind w:firstLineChars="200" w:firstLine="480"/>
        <w:rPr>
          <w:rFonts w:ascii="宋体" w:hAnsi="宋体" w:cs="宋体"/>
          <w:color w:val="000000"/>
          <w:sz w:val="24"/>
          <w:szCs w:val="24"/>
        </w:rPr>
      </w:pPr>
    </w:p>
    <w:p w14:paraId="0A0DA65C" w14:textId="77777777" w:rsidR="00A2434A" w:rsidRDefault="00A2434A">
      <w:pPr>
        <w:spacing w:line="360" w:lineRule="auto"/>
        <w:ind w:firstLineChars="200" w:firstLine="480"/>
        <w:rPr>
          <w:rFonts w:ascii="宋体" w:hAnsi="宋体" w:cs="宋体"/>
          <w:color w:val="000000"/>
          <w:sz w:val="24"/>
          <w:szCs w:val="24"/>
        </w:rPr>
      </w:pPr>
    </w:p>
    <w:p w14:paraId="48B3D251" w14:textId="77777777" w:rsidR="00A2434A" w:rsidRDefault="00A2434A">
      <w:pPr>
        <w:spacing w:line="360" w:lineRule="auto"/>
        <w:ind w:firstLineChars="200" w:firstLine="480"/>
        <w:rPr>
          <w:rFonts w:ascii="宋体" w:hAnsi="宋体" w:cs="宋体"/>
          <w:color w:val="000000"/>
          <w:sz w:val="24"/>
          <w:szCs w:val="24"/>
        </w:rPr>
      </w:pPr>
    </w:p>
    <w:p w14:paraId="35983E6D" w14:textId="77777777" w:rsidR="00A2434A" w:rsidRDefault="00A2434A">
      <w:pPr>
        <w:spacing w:line="360" w:lineRule="auto"/>
        <w:ind w:firstLineChars="200" w:firstLine="480"/>
        <w:rPr>
          <w:rFonts w:ascii="宋体" w:hAnsi="宋体" w:cs="宋体"/>
          <w:color w:val="000000"/>
          <w:sz w:val="24"/>
          <w:szCs w:val="24"/>
        </w:rPr>
      </w:pPr>
    </w:p>
    <w:p w14:paraId="2C9F9CA3" w14:textId="77777777" w:rsidR="00A2434A" w:rsidRDefault="00A2434A">
      <w:pPr>
        <w:spacing w:line="360" w:lineRule="auto"/>
        <w:ind w:firstLineChars="200" w:firstLine="480"/>
        <w:rPr>
          <w:rFonts w:ascii="宋体" w:hAnsi="宋体" w:cs="宋体"/>
          <w:color w:val="000000"/>
          <w:sz w:val="24"/>
          <w:szCs w:val="24"/>
        </w:rPr>
      </w:pPr>
    </w:p>
    <w:p w14:paraId="0248E62C" w14:textId="77777777" w:rsidR="00A2434A" w:rsidRDefault="00A2434A">
      <w:pPr>
        <w:spacing w:line="360" w:lineRule="auto"/>
        <w:ind w:firstLineChars="200" w:firstLine="480"/>
        <w:rPr>
          <w:rFonts w:ascii="宋体" w:hAnsi="宋体" w:cs="宋体"/>
          <w:color w:val="000000"/>
          <w:sz w:val="24"/>
          <w:szCs w:val="24"/>
        </w:rPr>
      </w:pPr>
    </w:p>
    <w:p w14:paraId="41B2C801" w14:textId="77777777" w:rsidR="00A2434A" w:rsidRDefault="00A2434A">
      <w:pPr>
        <w:spacing w:line="360" w:lineRule="auto"/>
        <w:ind w:firstLineChars="200" w:firstLine="480"/>
        <w:rPr>
          <w:rFonts w:ascii="宋体" w:hAnsi="宋体" w:cs="宋体"/>
          <w:color w:val="000000"/>
          <w:sz w:val="24"/>
          <w:szCs w:val="24"/>
        </w:rPr>
      </w:pPr>
    </w:p>
    <w:p w14:paraId="02AF93AE" w14:textId="77777777" w:rsidR="00A2434A" w:rsidRDefault="00A2434A">
      <w:pPr>
        <w:spacing w:line="360" w:lineRule="auto"/>
        <w:ind w:firstLineChars="200" w:firstLine="480"/>
        <w:rPr>
          <w:rFonts w:ascii="宋体" w:hAnsi="宋体" w:cs="宋体"/>
          <w:color w:val="000000"/>
          <w:sz w:val="24"/>
          <w:szCs w:val="24"/>
        </w:rPr>
      </w:pPr>
    </w:p>
    <w:p w14:paraId="24C11F01" w14:textId="77777777" w:rsidR="00A2434A" w:rsidRDefault="00A2434A">
      <w:pPr>
        <w:spacing w:line="360" w:lineRule="auto"/>
        <w:ind w:firstLineChars="200" w:firstLine="480"/>
        <w:rPr>
          <w:rFonts w:ascii="仿宋" w:eastAsia="仿宋" w:hAnsi="仿宋"/>
          <w:color w:val="000000"/>
          <w:sz w:val="24"/>
          <w:szCs w:val="24"/>
        </w:rPr>
      </w:pPr>
    </w:p>
    <w:p w14:paraId="1FCF23F6" w14:textId="77777777" w:rsidR="00A2434A" w:rsidRDefault="00A2434A">
      <w:pPr>
        <w:spacing w:line="360" w:lineRule="auto"/>
        <w:ind w:firstLineChars="200" w:firstLine="480"/>
        <w:rPr>
          <w:rFonts w:ascii="仿宋" w:eastAsia="仿宋" w:hAnsi="仿宋"/>
          <w:color w:val="000000"/>
          <w:sz w:val="24"/>
          <w:szCs w:val="24"/>
        </w:rPr>
      </w:pPr>
    </w:p>
    <w:p w14:paraId="68A3607E" w14:textId="77777777" w:rsidR="00A2434A" w:rsidRDefault="00A2434A">
      <w:pPr>
        <w:spacing w:line="360" w:lineRule="auto"/>
        <w:ind w:firstLineChars="200" w:firstLine="480"/>
        <w:rPr>
          <w:rFonts w:ascii="仿宋" w:eastAsia="仿宋" w:hAnsi="仿宋"/>
          <w:color w:val="000000"/>
          <w:sz w:val="24"/>
          <w:szCs w:val="24"/>
        </w:rPr>
      </w:pPr>
    </w:p>
    <w:p w14:paraId="5EB9B097" w14:textId="77777777" w:rsidR="00A2434A" w:rsidRDefault="00A2434A">
      <w:pPr>
        <w:spacing w:line="360" w:lineRule="auto"/>
        <w:ind w:firstLineChars="200" w:firstLine="480"/>
        <w:rPr>
          <w:rFonts w:ascii="仿宋" w:eastAsia="仿宋" w:hAnsi="仿宋"/>
          <w:color w:val="000000"/>
          <w:sz w:val="24"/>
          <w:szCs w:val="24"/>
        </w:rPr>
      </w:pPr>
    </w:p>
    <w:p w14:paraId="14B88380" w14:textId="412F8962" w:rsidR="00A2434A" w:rsidRDefault="00A3697C">
      <w:pPr>
        <w:spacing w:line="360" w:lineRule="auto"/>
        <w:rPr>
          <w:rFonts w:ascii="宋体" w:hAnsi="宋体" w:cs="宋体"/>
          <w:color w:val="000000"/>
          <w:sz w:val="24"/>
        </w:rPr>
      </w:pPr>
      <w:r>
        <w:rPr>
          <w:rFonts w:ascii="宋体" w:hAnsi="宋体" w:cs="宋体" w:hint="eastAsia"/>
          <w:color w:val="000000"/>
          <w:sz w:val="24"/>
        </w:rPr>
        <w:lastRenderedPageBreak/>
        <w:t>（本页为《交银施罗德</w:t>
      </w:r>
      <w:r>
        <w:rPr>
          <w:rFonts w:ascii="宋体" w:hAnsi="宋体" w:cs="宋体"/>
          <w:color w:val="000000"/>
          <w:sz w:val="24"/>
        </w:rPr>
        <w:t>鸿光一年持有期</w:t>
      </w:r>
      <w:r>
        <w:rPr>
          <w:rFonts w:ascii="宋体" w:hAnsi="宋体" w:cs="宋体" w:hint="eastAsia"/>
          <w:color w:val="000000"/>
          <w:sz w:val="24"/>
        </w:rPr>
        <w:t>混合型证券投资基金托管协议》签署页，无正文）</w:t>
      </w:r>
    </w:p>
    <w:p w14:paraId="05997588" w14:textId="77777777" w:rsidR="00A2434A" w:rsidRDefault="00A2434A">
      <w:pPr>
        <w:autoSpaceDE w:val="0"/>
        <w:autoSpaceDN w:val="0"/>
        <w:spacing w:line="360" w:lineRule="auto"/>
        <w:textAlignment w:val="bottom"/>
        <w:rPr>
          <w:rFonts w:ascii="仿宋" w:eastAsia="仿宋" w:hAnsi="仿宋"/>
          <w:color w:val="000000"/>
          <w:sz w:val="24"/>
        </w:rPr>
      </w:pPr>
    </w:p>
    <w:p w14:paraId="6B3EA670" w14:textId="77777777" w:rsidR="00A2434A" w:rsidRDefault="00A2434A">
      <w:pPr>
        <w:spacing w:line="360" w:lineRule="auto"/>
        <w:ind w:right="26"/>
        <w:rPr>
          <w:rFonts w:ascii="仿宋" w:eastAsia="仿宋" w:hAnsi="仿宋"/>
          <w:color w:val="000000"/>
          <w:sz w:val="24"/>
        </w:rPr>
      </w:pPr>
    </w:p>
    <w:p w14:paraId="5D841431" w14:textId="33BA0C54" w:rsidR="00A2434A" w:rsidRDefault="00A3697C">
      <w:pPr>
        <w:spacing w:before="100" w:beforeAutospacing="1" w:after="100" w:afterAutospacing="1" w:line="400" w:lineRule="exact"/>
        <w:ind w:firstLine="403"/>
        <w:rPr>
          <w:rFonts w:ascii="宋体" w:hAnsi="宋体"/>
          <w:bCs/>
          <w:sz w:val="24"/>
        </w:rPr>
      </w:pPr>
      <w:r>
        <w:rPr>
          <w:rFonts w:ascii="宋体" w:hAnsi="宋体"/>
          <w:bCs/>
          <w:sz w:val="24"/>
        </w:rPr>
        <w:t>基金管理人：</w:t>
      </w:r>
      <w:r>
        <w:rPr>
          <w:rFonts w:ascii="宋体" w:hAnsi="宋体" w:hint="eastAsia"/>
          <w:bCs/>
          <w:sz w:val="24"/>
        </w:rPr>
        <w:t>交银施罗德基金管理有限公司（公章）</w:t>
      </w:r>
    </w:p>
    <w:p w14:paraId="2F077F3B" w14:textId="77777777" w:rsidR="00A2434A" w:rsidRDefault="00A2434A">
      <w:pPr>
        <w:pStyle w:val="Web"/>
        <w:spacing w:line="400" w:lineRule="exact"/>
        <w:rPr>
          <w:bCs/>
        </w:rPr>
      </w:pPr>
    </w:p>
    <w:p w14:paraId="4DA8D5B2" w14:textId="77777777" w:rsidR="00A2434A" w:rsidRDefault="00A3697C">
      <w:pPr>
        <w:pStyle w:val="Web"/>
        <w:spacing w:line="400" w:lineRule="exact"/>
        <w:ind w:firstLine="403"/>
        <w:rPr>
          <w:bCs/>
        </w:rPr>
      </w:pPr>
      <w:r>
        <w:rPr>
          <w:bCs/>
        </w:rPr>
        <w:t>法定代表人</w:t>
      </w:r>
      <w:r>
        <w:rPr>
          <w:rFonts w:hint="eastAsia"/>
          <w:bCs/>
        </w:rPr>
        <w:t xml:space="preserve">或授权代表： </w:t>
      </w:r>
    </w:p>
    <w:p w14:paraId="611AF0A5" w14:textId="77777777" w:rsidR="00A2434A" w:rsidRDefault="00A2434A">
      <w:pPr>
        <w:pStyle w:val="Web"/>
        <w:spacing w:line="400" w:lineRule="exact"/>
        <w:ind w:firstLine="420"/>
        <w:rPr>
          <w:bCs/>
        </w:rPr>
      </w:pPr>
    </w:p>
    <w:p w14:paraId="618EC1C1" w14:textId="77777777" w:rsidR="00A2434A" w:rsidRDefault="00A2434A">
      <w:pPr>
        <w:pStyle w:val="Web"/>
        <w:spacing w:line="400" w:lineRule="exact"/>
        <w:ind w:firstLine="420"/>
        <w:rPr>
          <w:bCs/>
        </w:rPr>
      </w:pPr>
    </w:p>
    <w:p w14:paraId="3CAC04D2" w14:textId="77777777" w:rsidR="00A2434A" w:rsidRDefault="00A3697C">
      <w:pPr>
        <w:pStyle w:val="Web"/>
        <w:spacing w:line="400" w:lineRule="exact"/>
        <w:ind w:firstLine="420"/>
        <w:rPr>
          <w:bCs/>
        </w:rPr>
      </w:pPr>
      <w:r>
        <w:rPr>
          <w:bCs/>
        </w:rPr>
        <w:t>签订日：</w:t>
      </w:r>
      <w:r>
        <w:rPr>
          <w:rFonts w:hint="eastAsia"/>
          <w:bCs/>
        </w:rPr>
        <w:t xml:space="preserve">     年   月   日 </w:t>
      </w:r>
    </w:p>
    <w:p w14:paraId="2E41C1DC" w14:textId="77777777" w:rsidR="00A2434A" w:rsidRDefault="00A3697C">
      <w:pPr>
        <w:pStyle w:val="Web"/>
        <w:spacing w:line="400" w:lineRule="exact"/>
        <w:ind w:firstLine="403"/>
        <w:rPr>
          <w:bCs/>
        </w:rPr>
      </w:pPr>
      <w:r>
        <w:rPr>
          <w:bCs/>
        </w:rPr>
        <w:t>签订地</w:t>
      </w:r>
      <w:r>
        <w:rPr>
          <w:rFonts w:hint="eastAsia"/>
          <w:bCs/>
        </w:rPr>
        <w:t>：</w:t>
      </w:r>
    </w:p>
    <w:p w14:paraId="2BB6D909" w14:textId="77777777" w:rsidR="00A2434A" w:rsidRDefault="00A2434A">
      <w:pPr>
        <w:spacing w:line="360" w:lineRule="auto"/>
        <w:ind w:firstLine="482"/>
        <w:rPr>
          <w:rFonts w:ascii="宋体" w:hAnsi="宋体"/>
          <w:bCs/>
          <w:sz w:val="24"/>
          <w:szCs w:val="24"/>
        </w:rPr>
      </w:pPr>
    </w:p>
    <w:p w14:paraId="20B0E605" w14:textId="77777777" w:rsidR="00A2434A" w:rsidRDefault="00A2434A">
      <w:pPr>
        <w:pStyle w:val="Web"/>
        <w:spacing w:line="400" w:lineRule="exact"/>
        <w:rPr>
          <w:bCs/>
          <w:kern w:val="2"/>
          <w:sz w:val="21"/>
          <w:szCs w:val="21"/>
        </w:rPr>
      </w:pPr>
    </w:p>
    <w:p w14:paraId="3D7506B0" w14:textId="77777777" w:rsidR="00A2434A" w:rsidRDefault="00A3697C">
      <w:pPr>
        <w:pStyle w:val="Web"/>
        <w:spacing w:line="400" w:lineRule="exact"/>
        <w:ind w:firstLine="403"/>
        <w:rPr>
          <w:bCs/>
        </w:rPr>
      </w:pPr>
      <w:r>
        <w:rPr>
          <w:bCs/>
        </w:rPr>
        <w:t>基金托管人</w:t>
      </w:r>
      <w:r>
        <w:rPr>
          <w:rFonts w:hint="eastAsia"/>
          <w:bCs/>
        </w:rPr>
        <w:t>:中国光大银行股份有限公司（公章）</w:t>
      </w:r>
    </w:p>
    <w:p w14:paraId="4D8E629B" w14:textId="77777777" w:rsidR="00A2434A" w:rsidRDefault="00A2434A">
      <w:pPr>
        <w:pStyle w:val="Web"/>
        <w:spacing w:line="400" w:lineRule="exact"/>
        <w:ind w:firstLine="403"/>
        <w:rPr>
          <w:bCs/>
        </w:rPr>
      </w:pPr>
    </w:p>
    <w:p w14:paraId="6A69B7E3" w14:textId="77777777" w:rsidR="00A2434A" w:rsidRDefault="00A3697C">
      <w:pPr>
        <w:pStyle w:val="Web"/>
        <w:spacing w:line="400" w:lineRule="exact"/>
        <w:ind w:firstLine="403"/>
        <w:rPr>
          <w:bCs/>
        </w:rPr>
      </w:pPr>
      <w:r>
        <w:rPr>
          <w:bCs/>
        </w:rPr>
        <w:t>法定代表人</w:t>
      </w:r>
      <w:r>
        <w:rPr>
          <w:rFonts w:hint="eastAsia"/>
          <w:bCs/>
        </w:rPr>
        <w:t>或授权代表：</w:t>
      </w:r>
    </w:p>
    <w:p w14:paraId="74C068A9" w14:textId="77777777" w:rsidR="00A2434A" w:rsidRDefault="00A2434A">
      <w:pPr>
        <w:pStyle w:val="Web"/>
        <w:spacing w:line="400" w:lineRule="exact"/>
        <w:ind w:firstLine="420"/>
        <w:rPr>
          <w:bCs/>
        </w:rPr>
      </w:pPr>
    </w:p>
    <w:p w14:paraId="147C1C80" w14:textId="77777777" w:rsidR="00A2434A" w:rsidRDefault="00A2434A">
      <w:pPr>
        <w:pStyle w:val="Web"/>
        <w:spacing w:line="400" w:lineRule="exact"/>
        <w:ind w:firstLine="420"/>
        <w:rPr>
          <w:bCs/>
        </w:rPr>
      </w:pPr>
    </w:p>
    <w:p w14:paraId="785E0CC6" w14:textId="77777777" w:rsidR="00A2434A" w:rsidRDefault="00A3697C">
      <w:pPr>
        <w:pStyle w:val="Web"/>
        <w:spacing w:line="400" w:lineRule="exact"/>
        <w:ind w:firstLine="403"/>
        <w:rPr>
          <w:bCs/>
        </w:rPr>
      </w:pPr>
      <w:r>
        <w:rPr>
          <w:bCs/>
        </w:rPr>
        <w:t>签订日</w:t>
      </w:r>
      <w:r>
        <w:rPr>
          <w:rFonts w:hint="eastAsia"/>
          <w:bCs/>
        </w:rPr>
        <w:t>：     年   月   日</w:t>
      </w:r>
    </w:p>
    <w:p w14:paraId="4B1D0390" w14:textId="77777777" w:rsidR="00A2434A" w:rsidRDefault="00A3697C">
      <w:pPr>
        <w:pStyle w:val="Web"/>
        <w:spacing w:line="400" w:lineRule="exact"/>
        <w:ind w:firstLine="420"/>
        <w:rPr>
          <w:bCs/>
        </w:rPr>
      </w:pPr>
      <w:r>
        <w:rPr>
          <w:bCs/>
        </w:rPr>
        <w:t>签订地：</w:t>
      </w:r>
      <w:r>
        <w:rPr>
          <w:rFonts w:hint="eastAsia"/>
          <w:bCs/>
        </w:rPr>
        <w:t>北京</w:t>
      </w:r>
    </w:p>
    <w:p w14:paraId="331E7A10" w14:textId="77777777" w:rsidR="00A2434A" w:rsidRDefault="00A2434A"/>
    <w:p w14:paraId="333D8DFB" w14:textId="77777777" w:rsidR="00A2434A" w:rsidRDefault="00A2434A"/>
    <w:sectPr w:rsidR="00A2434A">
      <w:footerReference w:type="default" r:id="rId3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5925" w14:textId="77777777" w:rsidR="00ED4425" w:rsidRDefault="00ED4425">
      <w:r>
        <w:separator/>
      </w:r>
    </w:p>
  </w:endnote>
  <w:endnote w:type="continuationSeparator" w:id="0">
    <w:p w14:paraId="69CF7248" w14:textId="77777777" w:rsidR="00ED4425" w:rsidRDefault="00ED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031824"/>
    </w:sdtPr>
    <w:sdtEndPr/>
    <w:sdtContent>
      <w:p w14:paraId="0D058574" w14:textId="77777777" w:rsidR="00A3697C" w:rsidRDefault="00A3697C">
        <w:pPr>
          <w:pStyle w:val="a8"/>
          <w:jc w:val="center"/>
        </w:pPr>
        <w:r>
          <w:fldChar w:fldCharType="begin"/>
        </w:r>
        <w:r>
          <w:instrText>PAGE   \* MERGEFORMAT</w:instrText>
        </w:r>
        <w:r>
          <w:fldChar w:fldCharType="separate"/>
        </w:r>
        <w:r w:rsidR="005B43C8" w:rsidRPr="005B43C8">
          <w:rPr>
            <w:noProof/>
            <w:lang w:val="zh-CN"/>
          </w:rPr>
          <w:t>27</w:t>
        </w:r>
        <w:r>
          <w:fldChar w:fldCharType="end"/>
        </w:r>
      </w:p>
    </w:sdtContent>
  </w:sdt>
  <w:p w14:paraId="27DD686B" w14:textId="77777777" w:rsidR="00A3697C" w:rsidRDefault="00A369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7A5F0" w14:textId="77777777" w:rsidR="00ED4425" w:rsidRDefault="00ED4425">
      <w:r>
        <w:separator/>
      </w:r>
    </w:p>
  </w:footnote>
  <w:footnote w:type="continuationSeparator" w:id="0">
    <w:p w14:paraId="3F0C8294" w14:textId="77777777" w:rsidR="00ED4425" w:rsidRDefault="00ED4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E6083"/>
    <w:multiLevelType w:val="multilevel"/>
    <w:tmpl w:val="5ACE608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D5"/>
    <w:rsid w:val="00002764"/>
    <w:rsid w:val="000042E2"/>
    <w:rsid w:val="0001055F"/>
    <w:rsid w:val="0001232A"/>
    <w:rsid w:val="00017AF0"/>
    <w:rsid w:val="00017F17"/>
    <w:rsid w:val="00021CD4"/>
    <w:rsid w:val="0003524C"/>
    <w:rsid w:val="00044CE7"/>
    <w:rsid w:val="000577C8"/>
    <w:rsid w:val="00077953"/>
    <w:rsid w:val="00083C4D"/>
    <w:rsid w:val="000915ED"/>
    <w:rsid w:val="00093A7E"/>
    <w:rsid w:val="000A669D"/>
    <w:rsid w:val="000A767E"/>
    <w:rsid w:val="000B3D17"/>
    <w:rsid w:val="000B7FBB"/>
    <w:rsid w:val="000C74BA"/>
    <w:rsid w:val="000D4BF6"/>
    <w:rsid w:val="000D55A2"/>
    <w:rsid w:val="000E334F"/>
    <w:rsid w:val="000F7911"/>
    <w:rsid w:val="00141474"/>
    <w:rsid w:val="001537BE"/>
    <w:rsid w:val="00161DD7"/>
    <w:rsid w:val="00167074"/>
    <w:rsid w:val="00170960"/>
    <w:rsid w:val="001728DB"/>
    <w:rsid w:val="001770B7"/>
    <w:rsid w:val="0018544E"/>
    <w:rsid w:val="00187A57"/>
    <w:rsid w:val="00190C12"/>
    <w:rsid w:val="00197CE1"/>
    <w:rsid w:val="001B1D83"/>
    <w:rsid w:val="001B23D6"/>
    <w:rsid w:val="001B45A2"/>
    <w:rsid w:val="001E1DC1"/>
    <w:rsid w:val="002075C2"/>
    <w:rsid w:val="00211328"/>
    <w:rsid w:val="002178A9"/>
    <w:rsid w:val="00224B88"/>
    <w:rsid w:val="002259B4"/>
    <w:rsid w:val="002347D3"/>
    <w:rsid w:val="002369EF"/>
    <w:rsid w:val="00246213"/>
    <w:rsid w:val="00246362"/>
    <w:rsid w:val="00251503"/>
    <w:rsid w:val="0025169C"/>
    <w:rsid w:val="00255D24"/>
    <w:rsid w:val="00262153"/>
    <w:rsid w:val="00263966"/>
    <w:rsid w:val="002643DB"/>
    <w:rsid w:val="002717FB"/>
    <w:rsid w:val="00277A50"/>
    <w:rsid w:val="0029311A"/>
    <w:rsid w:val="00297A7E"/>
    <w:rsid w:val="002B1687"/>
    <w:rsid w:val="002B2429"/>
    <w:rsid w:val="002B78DF"/>
    <w:rsid w:val="002C6742"/>
    <w:rsid w:val="002D15C0"/>
    <w:rsid w:val="002F7686"/>
    <w:rsid w:val="00300CCE"/>
    <w:rsid w:val="00306201"/>
    <w:rsid w:val="0031326F"/>
    <w:rsid w:val="0032061E"/>
    <w:rsid w:val="00320F2C"/>
    <w:rsid w:val="00326125"/>
    <w:rsid w:val="003329DD"/>
    <w:rsid w:val="00337FBD"/>
    <w:rsid w:val="00373E45"/>
    <w:rsid w:val="003769CC"/>
    <w:rsid w:val="00381616"/>
    <w:rsid w:val="00392C6A"/>
    <w:rsid w:val="00392EBE"/>
    <w:rsid w:val="003B1043"/>
    <w:rsid w:val="003B3181"/>
    <w:rsid w:val="003B35AB"/>
    <w:rsid w:val="003C1929"/>
    <w:rsid w:val="00404617"/>
    <w:rsid w:val="00405E46"/>
    <w:rsid w:val="00407176"/>
    <w:rsid w:val="00407EB3"/>
    <w:rsid w:val="00415F7C"/>
    <w:rsid w:val="004174E6"/>
    <w:rsid w:val="00440AB4"/>
    <w:rsid w:val="00444220"/>
    <w:rsid w:val="00444CE3"/>
    <w:rsid w:val="00447817"/>
    <w:rsid w:val="00452D12"/>
    <w:rsid w:val="0046616C"/>
    <w:rsid w:val="00467D02"/>
    <w:rsid w:val="00483D9C"/>
    <w:rsid w:val="00487499"/>
    <w:rsid w:val="00493B78"/>
    <w:rsid w:val="00493FB4"/>
    <w:rsid w:val="00497B42"/>
    <w:rsid w:val="004A74A9"/>
    <w:rsid w:val="004A7B3D"/>
    <w:rsid w:val="004B66F5"/>
    <w:rsid w:val="004C61B0"/>
    <w:rsid w:val="004D2080"/>
    <w:rsid w:val="004D4636"/>
    <w:rsid w:val="004D499A"/>
    <w:rsid w:val="004D7B87"/>
    <w:rsid w:val="004E661D"/>
    <w:rsid w:val="004F7163"/>
    <w:rsid w:val="00506B4E"/>
    <w:rsid w:val="00523A9D"/>
    <w:rsid w:val="0053051A"/>
    <w:rsid w:val="00531320"/>
    <w:rsid w:val="00532AE3"/>
    <w:rsid w:val="005339F7"/>
    <w:rsid w:val="0054214A"/>
    <w:rsid w:val="005473EE"/>
    <w:rsid w:val="00552E79"/>
    <w:rsid w:val="005620E2"/>
    <w:rsid w:val="00565AC4"/>
    <w:rsid w:val="00570284"/>
    <w:rsid w:val="005715E4"/>
    <w:rsid w:val="00573F37"/>
    <w:rsid w:val="005825C8"/>
    <w:rsid w:val="00586283"/>
    <w:rsid w:val="005970C4"/>
    <w:rsid w:val="005A1770"/>
    <w:rsid w:val="005B0CB2"/>
    <w:rsid w:val="005B155E"/>
    <w:rsid w:val="005B3934"/>
    <w:rsid w:val="005B43C8"/>
    <w:rsid w:val="005B79E5"/>
    <w:rsid w:val="005C4727"/>
    <w:rsid w:val="005E3FDE"/>
    <w:rsid w:val="005E6D9D"/>
    <w:rsid w:val="005F2E21"/>
    <w:rsid w:val="005F5D25"/>
    <w:rsid w:val="005F6C10"/>
    <w:rsid w:val="005F7B13"/>
    <w:rsid w:val="005F7F52"/>
    <w:rsid w:val="00601CFF"/>
    <w:rsid w:val="0060613D"/>
    <w:rsid w:val="00612310"/>
    <w:rsid w:val="00613A42"/>
    <w:rsid w:val="0061440E"/>
    <w:rsid w:val="00631B4C"/>
    <w:rsid w:val="00636466"/>
    <w:rsid w:val="00661FA0"/>
    <w:rsid w:val="00666AFB"/>
    <w:rsid w:val="00666D00"/>
    <w:rsid w:val="00687DEA"/>
    <w:rsid w:val="00690FAB"/>
    <w:rsid w:val="00696EC0"/>
    <w:rsid w:val="006A77F5"/>
    <w:rsid w:val="006B23D9"/>
    <w:rsid w:val="006C05D7"/>
    <w:rsid w:val="006C4A26"/>
    <w:rsid w:val="006C4EBC"/>
    <w:rsid w:val="006D3E92"/>
    <w:rsid w:val="006D52EA"/>
    <w:rsid w:val="006E7595"/>
    <w:rsid w:val="006F10CB"/>
    <w:rsid w:val="006F4A71"/>
    <w:rsid w:val="007005E0"/>
    <w:rsid w:val="0070619E"/>
    <w:rsid w:val="007127CD"/>
    <w:rsid w:val="00712BF6"/>
    <w:rsid w:val="007229DC"/>
    <w:rsid w:val="00723BA3"/>
    <w:rsid w:val="00731CC3"/>
    <w:rsid w:val="0073376A"/>
    <w:rsid w:val="00742D22"/>
    <w:rsid w:val="0074561C"/>
    <w:rsid w:val="0075107D"/>
    <w:rsid w:val="00755353"/>
    <w:rsid w:val="00763F41"/>
    <w:rsid w:val="00776BDF"/>
    <w:rsid w:val="00791E1A"/>
    <w:rsid w:val="00793E4E"/>
    <w:rsid w:val="00794543"/>
    <w:rsid w:val="007B4DBD"/>
    <w:rsid w:val="007C61E8"/>
    <w:rsid w:val="007C78FD"/>
    <w:rsid w:val="007D0DE9"/>
    <w:rsid w:val="007D22FA"/>
    <w:rsid w:val="007E3D0A"/>
    <w:rsid w:val="007E40D3"/>
    <w:rsid w:val="007F67C6"/>
    <w:rsid w:val="008014B2"/>
    <w:rsid w:val="00802B49"/>
    <w:rsid w:val="008066C2"/>
    <w:rsid w:val="00816889"/>
    <w:rsid w:val="00821F7A"/>
    <w:rsid w:val="00843938"/>
    <w:rsid w:val="00855EFD"/>
    <w:rsid w:val="008629D8"/>
    <w:rsid w:val="0087183D"/>
    <w:rsid w:val="00872F0C"/>
    <w:rsid w:val="00874DA4"/>
    <w:rsid w:val="008801F8"/>
    <w:rsid w:val="008821D5"/>
    <w:rsid w:val="00885E43"/>
    <w:rsid w:val="00897424"/>
    <w:rsid w:val="008A4855"/>
    <w:rsid w:val="008A6176"/>
    <w:rsid w:val="008C6D25"/>
    <w:rsid w:val="008D31E2"/>
    <w:rsid w:val="008D72AC"/>
    <w:rsid w:val="008D7CE4"/>
    <w:rsid w:val="008E00EF"/>
    <w:rsid w:val="008E4ADD"/>
    <w:rsid w:val="008F7EE5"/>
    <w:rsid w:val="00902B1F"/>
    <w:rsid w:val="00921CC5"/>
    <w:rsid w:val="0092414C"/>
    <w:rsid w:val="009268EB"/>
    <w:rsid w:val="009273B1"/>
    <w:rsid w:val="009307FB"/>
    <w:rsid w:val="009353A6"/>
    <w:rsid w:val="009355D1"/>
    <w:rsid w:val="00936D47"/>
    <w:rsid w:val="00941FBB"/>
    <w:rsid w:val="00950557"/>
    <w:rsid w:val="00951058"/>
    <w:rsid w:val="00951ADF"/>
    <w:rsid w:val="00961152"/>
    <w:rsid w:val="00962E99"/>
    <w:rsid w:val="00964875"/>
    <w:rsid w:val="0097147E"/>
    <w:rsid w:val="00972B05"/>
    <w:rsid w:val="00980A65"/>
    <w:rsid w:val="00982727"/>
    <w:rsid w:val="00982A92"/>
    <w:rsid w:val="009832B7"/>
    <w:rsid w:val="00987DF4"/>
    <w:rsid w:val="009A6174"/>
    <w:rsid w:val="009A686C"/>
    <w:rsid w:val="009A74C7"/>
    <w:rsid w:val="009B3CCB"/>
    <w:rsid w:val="009C2B60"/>
    <w:rsid w:val="009D1FE1"/>
    <w:rsid w:val="009E653E"/>
    <w:rsid w:val="009F38BC"/>
    <w:rsid w:val="00A056A2"/>
    <w:rsid w:val="00A1469E"/>
    <w:rsid w:val="00A166F2"/>
    <w:rsid w:val="00A221FF"/>
    <w:rsid w:val="00A2344B"/>
    <w:rsid w:val="00A2411B"/>
    <w:rsid w:val="00A2434A"/>
    <w:rsid w:val="00A3171A"/>
    <w:rsid w:val="00A3697C"/>
    <w:rsid w:val="00A45597"/>
    <w:rsid w:val="00A54205"/>
    <w:rsid w:val="00A548BD"/>
    <w:rsid w:val="00A5554E"/>
    <w:rsid w:val="00A71EA1"/>
    <w:rsid w:val="00A83966"/>
    <w:rsid w:val="00A84B62"/>
    <w:rsid w:val="00A84E97"/>
    <w:rsid w:val="00A90BEB"/>
    <w:rsid w:val="00AA620B"/>
    <w:rsid w:val="00AA7E08"/>
    <w:rsid w:val="00AB4698"/>
    <w:rsid w:val="00AB6B25"/>
    <w:rsid w:val="00AC33ED"/>
    <w:rsid w:val="00AC3767"/>
    <w:rsid w:val="00AC7672"/>
    <w:rsid w:val="00AD280B"/>
    <w:rsid w:val="00AD3D22"/>
    <w:rsid w:val="00B027D6"/>
    <w:rsid w:val="00B06ED1"/>
    <w:rsid w:val="00B12392"/>
    <w:rsid w:val="00B160FD"/>
    <w:rsid w:val="00B21635"/>
    <w:rsid w:val="00B3748C"/>
    <w:rsid w:val="00B43E49"/>
    <w:rsid w:val="00B4772B"/>
    <w:rsid w:val="00B54466"/>
    <w:rsid w:val="00B60CD7"/>
    <w:rsid w:val="00B756A8"/>
    <w:rsid w:val="00B76C33"/>
    <w:rsid w:val="00B8195C"/>
    <w:rsid w:val="00B82218"/>
    <w:rsid w:val="00B833CF"/>
    <w:rsid w:val="00B83B94"/>
    <w:rsid w:val="00B944A0"/>
    <w:rsid w:val="00BA49DF"/>
    <w:rsid w:val="00BA5D4B"/>
    <w:rsid w:val="00BA5F87"/>
    <w:rsid w:val="00BC2C7A"/>
    <w:rsid w:val="00BD0181"/>
    <w:rsid w:val="00BD2DD7"/>
    <w:rsid w:val="00BE66BC"/>
    <w:rsid w:val="00BF0895"/>
    <w:rsid w:val="00C043E5"/>
    <w:rsid w:val="00C04544"/>
    <w:rsid w:val="00C07528"/>
    <w:rsid w:val="00C10F59"/>
    <w:rsid w:val="00C26525"/>
    <w:rsid w:val="00C3536D"/>
    <w:rsid w:val="00C36538"/>
    <w:rsid w:val="00C36B99"/>
    <w:rsid w:val="00C45BA0"/>
    <w:rsid w:val="00C47895"/>
    <w:rsid w:val="00C52E28"/>
    <w:rsid w:val="00C562A2"/>
    <w:rsid w:val="00C64F4E"/>
    <w:rsid w:val="00C75763"/>
    <w:rsid w:val="00C7797E"/>
    <w:rsid w:val="00C8243C"/>
    <w:rsid w:val="00CA299A"/>
    <w:rsid w:val="00CA76EE"/>
    <w:rsid w:val="00CB0A97"/>
    <w:rsid w:val="00CC28B6"/>
    <w:rsid w:val="00CC5AD6"/>
    <w:rsid w:val="00CC71E5"/>
    <w:rsid w:val="00CD7CD0"/>
    <w:rsid w:val="00CE1D50"/>
    <w:rsid w:val="00CE7DCB"/>
    <w:rsid w:val="00D01746"/>
    <w:rsid w:val="00D05883"/>
    <w:rsid w:val="00D10FD5"/>
    <w:rsid w:val="00D176D6"/>
    <w:rsid w:val="00D212F8"/>
    <w:rsid w:val="00D41EC5"/>
    <w:rsid w:val="00D4287E"/>
    <w:rsid w:val="00D45BDA"/>
    <w:rsid w:val="00D528B7"/>
    <w:rsid w:val="00D60692"/>
    <w:rsid w:val="00D61EBF"/>
    <w:rsid w:val="00D63F2F"/>
    <w:rsid w:val="00D64380"/>
    <w:rsid w:val="00D82AF8"/>
    <w:rsid w:val="00D864A7"/>
    <w:rsid w:val="00D939E1"/>
    <w:rsid w:val="00D97174"/>
    <w:rsid w:val="00DB53B0"/>
    <w:rsid w:val="00DB6A5D"/>
    <w:rsid w:val="00DB7C53"/>
    <w:rsid w:val="00E005BF"/>
    <w:rsid w:val="00E028F8"/>
    <w:rsid w:val="00E02956"/>
    <w:rsid w:val="00E03768"/>
    <w:rsid w:val="00E03F12"/>
    <w:rsid w:val="00E04BC5"/>
    <w:rsid w:val="00E11051"/>
    <w:rsid w:val="00E125AF"/>
    <w:rsid w:val="00E17002"/>
    <w:rsid w:val="00E2094B"/>
    <w:rsid w:val="00E24DF0"/>
    <w:rsid w:val="00E26A1B"/>
    <w:rsid w:val="00E35491"/>
    <w:rsid w:val="00E414A2"/>
    <w:rsid w:val="00E43787"/>
    <w:rsid w:val="00E52EFA"/>
    <w:rsid w:val="00E62BB1"/>
    <w:rsid w:val="00E64B15"/>
    <w:rsid w:val="00E74C35"/>
    <w:rsid w:val="00E75732"/>
    <w:rsid w:val="00E809CC"/>
    <w:rsid w:val="00E836C6"/>
    <w:rsid w:val="00E934D8"/>
    <w:rsid w:val="00E96279"/>
    <w:rsid w:val="00E97C47"/>
    <w:rsid w:val="00EA2EBE"/>
    <w:rsid w:val="00EB6474"/>
    <w:rsid w:val="00EC2202"/>
    <w:rsid w:val="00EC734E"/>
    <w:rsid w:val="00EC75D8"/>
    <w:rsid w:val="00ED4425"/>
    <w:rsid w:val="00ED6143"/>
    <w:rsid w:val="00ED7D8E"/>
    <w:rsid w:val="00EF1DAC"/>
    <w:rsid w:val="00EF44FB"/>
    <w:rsid w:val="00EF64D3"/>
    <w:rsid w:val="00F03FBD"/>
    <w:rsid w:val="00F05456"/>
    <w:rsid w:val="00F05668"/>
    <w:rsid w:val="00F07D70"/>
    <w:rsid w:val="00F112FB"/>
    <w:rsid w:val="00F1484A"/>
    <w:rsid w:val="00F1538D"/>
    <w:rsid w:val="00F17CBC"/>
    <w:rsid w:val="00F2012F"/>
    <w:rsid w:val="00F202E5"/>
    <w:rsid w:val="00F20E24"/>
    <w:rsid w:val="00F2193E"/>
    <w:rsid w:val="00F47FC2"/>
    <w:rsid w:val="00F56960"/>
    <w:rsid w:val="00F60AD3"/>
    <w:rsid w:val="00F6395B"/>
    <w:rsid w:val="00F81FAF"/>
    <w:rsid w:val="00F82318"/>
    <w:rsid w:val="00F8541D"/>
    <w:rsid w:val="00FA5662"/>
    <w:rsid w:val="00FB5A4F"/>
    <w:rsid w:val="00FC0BE1"/>
    <w:rsid w:val="00FC160A"/>
    <w:rsid w:val="00FC3BE1"/>
    <w:rsid w:val="00FC70B4"/>
    <w:rsid w:val="00FD1E81"/>
    <w:rsid w:val="00FE0827"/>
    <w:rsid w:val="00FE4DE4"/>
    <w:rsid w:val="00FE703F"/>
    <w:rsid w:val="00FF1F5A"/>
    <w:rsid w:val="01FD7485"/>
    <w:rsid w:val="03512C23"/>
    <w:rsid w:val="07595459"/>
    <w:rsid w:val="084722E8"/>
    <w:rsid w:val="0BB16EFB"/>
    <w:rsid w:val="0D0A42CB"/>
    <w:rsid w:val="20C03479"/>
    <w:rsid w:val="216B086F"/>
    <w:rsid w:val="24710BE6"/>
    <w:rsid w:val="267D3E96"/>
    <w:rsid w:val="33AB1449"/>
    <w:rsid w:val="45F759FC"/>
    <w:rsid w:val="4EE73CC9"/>
    <w:rsid w:val="4F513994"/>
    <w:rsid w:val="4FCA4964"/>
    <w:rsid w:val="50194802"/>
    <w:rsid w:val="57E3262C"/>
    <w:rsid w:val="5D9E04D2"/>
    <w:rsid w:val="60682383"/>
    <w:rsid w:val="652732E5"/>
    <w:rsid w:val="6B8023CF"/>
    <w:rsid w:val="6F7A40B7"/>
    <w:rsid w:val="75251970"/>
    <w:rsid w:val="76901C1C"/>
    <w:rsid w:val="793D5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B86A"/>
  <w15:docId w15:val="{F722A775-2866-488A-B206-F3A2EAC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nhideWhenUsed/>
    <w:qFormat/>
    <w:pPr>
      <w:jc w:val="left"/>
    </w:pPr>
  </w:style>
  <w:style w:type="paragraph" w:styleId="a5">
    <w:name w:val="Document Map"/>
    <w:basedOn w:val="a"/>
    <w:link w:val="Char1"/>
    <w:uiPriority w:val="99"/>
    <w:unhideWhenUsed/>
    <w:qFormat/>
    <w:rPr>
      <w:rFonts w:ascii="宋体"/>
      <w:sz w:val="18"/>
      <w:szCs w:val="18"/>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aa">
    <w:name w:val="Title"/>
    <w:basedOn w:val="a"/>
    <w:next w:val="a"/>
    <w:link w:val="Char6"/>
    <w:uiPriority w:val="10"/>
    <w:qFormat/>
    <w:pPr>
      <w:spacing w:before="240" w:after="60"/>
      <w:jc w:val="center"/>
      <w:outlineLvl w:val="0"/>
    </w:pPr>
    <w:rPr>
      <w:rFonts w:ascii="Cambria" w:hAnsi="Cambria"/>
      <w:b/>
      <w:bCs/>
      <w:sz w:val="32"/>
      <w:szCs w:val="32"/>
    </w:rPr>
  </w:style>
  <w:style w:type="character" w:styleId="ab">
    <w:name w:val="Hyperlink"/>
    <w:uiPriority w:val="99"/>
    <w:unhideWhenUsed/>
    <w:qFormat/>
    <w:rPr>
      <w:color w:val="0000FF"/>
      <w:u w:val="single"/>
    </w:rPr>
  </w:style>
  <w:style w:type="character" w:styleId="ac">
    <w:name w:val="annotation reference"/>
    <w:basedOn w:val="a0"/>
    <w:unhideWhenUsed/>
    <w:qFormat/>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宋体"/>
      <w:b/>
      <w:bCs/>
      <w:sz w:val="32"/>
      <w:szCs w:val="32"/>
    </w:rPr>
  </w:style>
  <w:style w:type="character" w:customStyle="1" w:styleId="Char6">
    <w:name w:val="标题 Char"/>
    <w:basedOn w:val="a0"/>
    <w:link w:val="aa"/>
    <w:uiPriority w:val="10"/>
    <w:qFormat/>
    <w:rPr>
      <w:rFonts w:ascii="Cambria" w:eastAsia="宋体" w:hAnsi="Cambria" w:cs="Times New Roman"/>
      <w:b/>
      <w:bCs/>
      <w:sz w:val="32"/>
      <w:szCs w:val="32"/>
    </w:rPr>
  </w:style>
  <w:style w:type="paragraph" w:customStyle="1" w:styleId="31">
    <w:name w:val="正文文本缩进 31"/>
    <w:basedOn w:val="a"/>
    <w:qFormat/>
    <w:pPr>
      <w:autoSpaceDE w:val="0"/>
      <w:autoSpaceDN w:val="0"/>
      <w:adjustRightInd w:val="0"/>
      <w:spacing w:line="360" w:lineRule="auto"/>
      <w:ind w:left="420" w:firstLine="435"/>
    </w:pPr>
    <w:rPr>
      <w:rFonts w:ascii="Times New Roman" w:hAnsi="Times New Roman"/>
      <w:color w:val="0000FF"/>
      <w:szCs w:val="20"/>
    </w:rPr>
  </w:style>
  <w:style w:type="character" w:customStyle="1" w:styleId="Char3">
    <w:name w:val="批注框文本 Char"/>
    <w:basedOn w:val="a0"/>
    <w:link w:val="a7"/>
    <w:uiPriority w:val="99"/>
    <w:semiHidden/>
    <w:qFormat/>
    <w:rPr>
      <w:rFonts w:ascii="Calibri" w:eastAsia="宋体" w:hAnsi="Calibri" w:cs="Times New Roman"/>
      <w:sz w:val="18"/>
      <w:szCs w:val="18"/>
    </w:rPr>
  </w:style>
  <w:style w:type="paragraph" w:customStyle="1" w:styleId="11">
    <w:name w:val="修订1"/>
    <w:hidden/>
    <w:uiPriority w:val="99"/>
    <w:semiHidden/>
    <w:qFormat/>
    <w:rPr>
      <w:kern w:val="2"/>
      <w:sz w:val="21"/>
      <w:szCs w:val="22"/>
    </w:rPr>
  </w:style>
  <w:style w:type="paragraph" w:customStyle="1" w:styleId="12">
    <w:name w:val="列出段落1"/>
    <w:basedOn w:val="a"/>
    <w:uiPriority w:val="34"/>
    <w:qFormat/>
    <w:pPr>
      <w:ind w:firstLineChars="200" w:firstLine="420"/>
    </w:pPr>
    <w:rPr>
      <w:rFonts w:ascii="Times New Roman" w:hAnsi="Times New Roman"/>
      <w:szCs w:val="24"/>
    </w:rPr>
  </w:style>
  <w:style w:type="character" w:customStyle="1" w:styleId="Char0">
    <w:name w:val="批注文字 Char"/>
    <w:basedOn w:val="a0"/>
    <w:link w:val="a4"/>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paragraph" w:customStyle="1" w:styleId="20">
    <w:name w:val="！正文缩进2字符"/>
    <w:basedOn w:val="a"/>
    <w:qFormat/>
    <w:pPr>
      <w:widowControl/>
      <w:spacing w:line="360" w:lineRule="auto"/>
      <w:ind w:firstLineChars="200" w:firstLine="200"/>
    </w:pPr>
    <w:rPr>
      <w:rFonts w:ascii="Times New Roman" w:hAnsi="Times New Roman"/>
      <w:sz w:val="24"/>
      <w:szCs w:val="24"/>
    </w:rPr>
  </w:style>
  <w:style w:type="character" w:customStyle="1" w:styleId="Char2">
    <w:name w:val="日期 Char"/>
    <w:basedOn w:val="a0"/>
    <w:link w:val="a6"/>
    <w:uiPriority w:val="99"/>
    <w:semiHidden/>
    <w:qFormat/>
    <w:rPr>
      <w:rFonts w:ascii="Calibri" w:eastAsia="宋体" w:hAnsi="Calibri" w:cs="Times New Roman"/>
    </w:rPr>
  </w:style>
  <w:style w:type="paragraph" w:customStyle="1" w:styleId="21">
    <w:name w:val="列出段落2"/>
    <w:basedOn w:val="a"/>
    <w:uiPriority w:val="99"/>
    <w:unhideWhenUsed/>
    <w:qFormat/>
    <w:pPr>
      <w:ind w:firstLineChars="200" w:firstLine="420"/>
    </w:pPr>
  </w:style>
  <w:style w:type="paragraph" w:customStyle="1" w:styleId="22">
    <w:name w:val="修订2"/>
    <w:hidden/>
    <w:uiPriority w:val="99"/>
    <w:unhideWhenUsed/>
    <w:qFormat/>
    <w:rPr>
      <w:kern w:val="2"/>
      <w:sz w:val="21"/>
      <w:szCs w:val="22"/>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3">
    <w:name w:val="修订3"/>
    <w:hidden/>
    <w:uiPriority w:val="99"/>
    <w:semiHidden/>
    <w:rPr>
      <w:kern w:val="2"/>
      <w:sz w:val="21"/>
      <w:szCs w:val="22"/>
    </w:rPr>
  </w:style>
  <w:style w:type="character" w:customStyle="1" w:styleId="Char1">
    <w:name w:val="文档结构图 Char"/>
    <w:basedOn w:val="a0"/>
    <w:link w:val="a5"/>
    <w:uiPriority w:val="99"/>
    <w:semiHidden/>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8"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6"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 Type="http://schemas.openxmlformats.org/officeDocument/2006/relationships/customXml" Target="../customXml/item3.xml"/><Relationship Id="rId21"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7" Type="http://schemas.openxmlformats.org/officeDocument/2006/relationships/webSettings" Target="webSettings.xml"/><Relationship Id="rId12"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7"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5"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4"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3"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8"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2"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7"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6980C-1D5B-4ED3-93B3-088D9A2D356A}">
  <ds:schemaRefs>
    <ds:schemaRef ds:uri="http://schemas.openxmlformats.org/officeDocument/2006/bibliography"/>
  </ds:schemaRefs>
</ds:datastoreItem>
</file>

<file path=customXml/itemProps3.xml><?xml version="1.0" encoding="utf-8"?>
<ds:datastoreItem xmlns:ds="http://schemas.openxmlformats.org/officeDocument/2006/customXml" ds:itemID="{A5FA99AE-0858-4C39-9DE1-FE860249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55</Pages>
  <Words>5394</Words>
  <Characters>30751</Characters>
  <Application>Microsoft Office Word</Application>
  <DocSecurity>0</DocSecurity>
  <Lines>256</Lines>
  <Paragraphs>72</Paragraphs>
  <ScaleCrop>false</ScaleCrop>
  <Company>P R C</Company>
  <LinksUpToDate>false</LinksUpToDate>
  <CharactersWithSpaces>36073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喻秋燕</cp:lastModifiedBy>
  <cp:revision>24</cp:revision>
  <cp:lastPrinted>2017-02-10T08:00:00Z</cp:lastPrinted>
  <dcterms:created xsi:type="dcterms:W3CDTF">2020-10-13T07:37:00Z</dcterms:created>
  <dcterms:modified xsi:type="dcterms:W3CDTF">2021-03-17T05:44:00Z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