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0408DEB8" w:rsidR="00192609" w:rsidRPr="00192609" w:rsidRDefault="00192609" w:rsidP="00192609">
      <w:pPr>
        <w:spacing w:line="360" w:lineRule="auto"/>
        <w:jc w:val="center"/>
        <w:rPr>
          <w:rFonts w:ascii="Times New Roman" w:hAnsi="Times New Roman"/>
          <w:b/>
          <w:sz w:val="30"/>
          <w:szCs w:val="30"/>
        </w:rPr>
      </w:pPr>
      <w:bookmarkStart w:id="0" w:name="_GoBack"/>
      <w:bookmarkEnd w:id="0"/>
      <w:r w:rsidRPr="00192609">
        <w:rPr>
          <w:rFonts w:ascii="Times New Roman" w:hAnsi="Times New Roman" w:hint="eastAsia"/>
          <w:b/>
          <w:sz w:val="30"/>
          <w:szCs w:val="30"/>
        </w:rPr>
        <w:t>交银施罗德基金管理有限公司关于</w:t>
      </w:r>
      <w:r w:rsidR="0074654F" w:rsidRPr="0074654F">
        <w:rPr>
          <w:rFonts w:ascii="Times New Roman" w:hAnsi="Times New Roman" w:hint="eastAsia"/>
          <w:b/>
          <w:sz w:val="30"/>
          <w:szCs w:val="30"/>
        </w:rPr>
        <w:t>交银施罗德</w:t>
      </w:r>
      <w:r w:rsidR="008B0F32">
        <w:rPr>
          <w:rFonts w:ascii="Times New Roman" w:hAnsi="Times New Roman" w:hint="eastAsia"/>
          <w:b/>
          <w:sz w:val="30"/>
          <w:szCs w:val="30"/>
        </w:rPr>
        <w:t>鸿光</w:t>
      </w:r>
      <w:r w:rsidR="00CD5570">
        <w:rPr>
          <w:rFonts w:ascii="Times New Roman" w:hAnsi="Times New Roman" w:hint="eastAsia"/>
          <w:b/>
          <w:sz w:val="30"/>
          <w:szCs w:val="30"/>
        </w:rPr>
        <w:t>一年持有期</w:t>
      </w:r>
      <w:r w:rsidR="0074654F" w:rsidRPr="0074654F">
        <w:rPr>
          <w:rFonts w:ascii="Times New Roman" w:hAnsi="Times New Roman" w:hint="eastAsia"/>
          <w:b/>
          <w:sz w:val="30"/>
          <w:szCs w:val="30"/>
        </w:rPr>
        <w:t>混合型证券投资基金</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p>
    <w:p w14:paraId="0C1347E2" w14:textId="6354D8E9"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74654F" w:rsidRPr="0074654F">
        <w:rPr>
          <w:rFonts w:hint="eastAsia"/>
        </w:rPr>
        <w:t>交银施罗德</w:t>
      </w:r>
      <w:r w:rsidR="008B0F32">
        <w:rPr>
          <w:rFonts w:hint="eastAsia"/>
        </w:rPr>
        <w:t>鸿光</w:t>
      </w:r>
      <w:r w:rsidR="00CD5570">
        <w:rPr>
          <w:rFonts w:hint="eastAsia"/>
        </w:rPr>
        <w:t>一年持有期</w:t>
      </w:r>
      <w:r w:rsidR="0074654F" w:rsidRPr="0074654F">
        <w:rPr>
          <w:rFonts w:hint="eastAsia"/>
        </w:rPr>
        <w:t>混合型证券投资基金</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62CD4426" w:rsidR="00387CD8" w:rsidRDefault="008B0F32"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Pr>
          <w:rFonts w:hAnsi="宋体" w:hint="eastAsia"/>
          <w:kern w:val="0"/>
          <w:sz w:val="24"/>
        </w:rPr>
        <w:t>三</w:t>
      </w:r>
      <w:r>
        <w:rPr>
          <w:rFonts w:hAnsi="宋体"/>
          <w:kern w:val="0"/>
          <w:sz w:val="24"/>
        </w:rPr>
        <w:t>月</w:t>
      </w:r>
      <w:r>
        <w:rPr>
          <w:rFonts w:hAnsi="宋体" w:hint="eastAsia"/>
          <w:kern w:val="0"/>
          <w:sz w:val="24"/>
        </w:rPr>
        <w:t>九</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C7A146" w14:textId="77777777" w:rsidR="00CC65AB" w:rsidRDefault="00CC65AB" w:rsidP="00B06CC6">
      <w:r>
        <w:separator/>
      </w:r>
    </w:p>
  </w:endnote>
  <w:endnote w:type="continuationSeparator" w:id="0">
    <w:p w14:paraId="79B41A1D" w14:textId="77777777" w:rsidR="00CC65AB" w:rsidRDefault="00CC65AB"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27127" w14:textId="77777777" w:rsidR="00CC65AB" w:rsidRDefault="00CC65AB" w:rsidP="00B06CC6">
      <w:r>
        <w:separator/>
      </w:r>
    </w:p>
  </w:footnote>
  <w:footnote w:type="continuationSeparator" w:id="0">
    <w:p w14:paraId="44F157D8" w14:textId="77777777" w:rsidR="00CC65AB" w:rsidRDefault="00CC65AB"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E3EC0"/>
    <w:rsid w:val="00134CA1"/>
    <w:rsid w:val="00160545"/>
    <w:rsid w:val="00192609"/>
    <w:rsid w:val="001932B1"/>
    <w:rsid w:val="001F1CC5"/>
    <w:rsid w:val="001F2F96"/>
    <w:rsid w:val="001F36CA"/>
    <w:rsid w:val="00204249"/>
    <w:rsid w:val="00207019"/>
    <w:rsid w:val="0023664D"/>
    <w:rsid w:val="00241804"/>
    <w:rsid w:val="00243FC6"/>
    <w:rsid w:val="002462CC"/>
    <w:rsid w:val="002A6D18"/>
    <w:rsid w:val="002A6ED3"/>
    <w:rsid w:val="00333835"/>
    <w:rsid w:val="0037732B"/>
    <w:rsid w:val="00387CD8"/>
    <w:rsid w:val="003B682D"/>
    <w:rsid w:val="003C0619"/>
    <w:rsid w:val="003D497B"/>
    <w:rsid w:val="003E3C29"/>
    <w:rsid w:val="00445EA8"/>
    <w:rsid w:val="00481F60"/>
    <w:rsid w:val="00491F23"/>
    <w:rsid w:val="004E095C"/>
    <w:rsid w:val="004F4932"/>
    <w:rsid w:val="00503F72"/>
    <w:rsid w:val="00531CDD"/>
    <w:rsid w:val="00534857"/>
    <w:rsid w:val="005432CF"/>
    <w:rsid w:val="00544869"/>
    <w:rsid w:val="00554A76"/>
    <w:rsid w:val="005A77C0"/>
    <w:rsid w:val="005D1CF5"/>
    <w:rsid w:val="005D60AB"/>
    <w:rsid w:val="005F305A"/>
    <w:rsid w:val="005F4B7C"/>
    <w:rsid w:val="006673B7"/>
    <w:rsid w:val="00687101"/>
    <w:rsid w:val="00705749"/>
    <w:rsid w:val="00745212"/>
    <w:rsid w:val="0074654F"/>
    <w:rsid w:val="00765C59"/>
    <w:rsid w:val="007E14F8"/>
    <w:rsid w:val="008817D3"/>
    <w:rsid w:val="008B0F32"/>
    <w:rsid w:val="008F2B71"/>
    <w:rsid w:val="00936E94"/>
    <w:rsid w:val="00973BB5"/>
    <w:rsid w:val="00982361"/>
    <w:rsid w:val="009D04DB"/>
    <w:rsid w:val="009E76CE"/>
    <w:rsid w:val="009F7D63"/>
    <w:rsid w:val="00A4077E"/>
    <w:rsid w:val="00AE7C9A"/>
    <w:rsid w:val="00AF10AC"/>
    <w:rsid w:val="00B06CC6"/>
    <w:rsid w:val="00B20E8C"/>
    <w:rsid w:val="00B74BB6"/>
    <w:rsid w:val="00BE2CC9"/>
    <w:rsid w:val="00C006C2"/>
    <w:rsid w:val="00C14C52"/>
    <w:rsid w:val="00C27602"/>
    <w:rsid w:val="00C451B1"/>
    <w:rsid w:val="00C50D89"/>
    <w:rsid w:val="00C706B9"/>
    <w:rsid w:val="00C86EFF"/>
    <w:rsid w:val="00C92AB8"/>
    <w:rsid w:val="00CC65AB"/>
    <w:rsid w:val="00CD5570"/>
    <w:rsid w:val="00D5780C"/>
    <w:rsid w:val="00E2491C"/>
    <w:rsid w:val="00E27A2C"/>
    <w:rsid w:val="00E428DF"/>
    <w:rsid w:val="00E517E3"/>
    <w:rsid w:val="00E9310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218</Words>
  <Characters>1246</Characters>
  <Application>Microsoft Office Word</Application>
  <DocSecurity>0</DocSecurity>
  <Lines>10</Lines>
  <Paragraphs>2</Paragraphs>
  <ScaleCrop>false</ScaleCrop>
  <Company/>
  <LinksUpToDate>false</LinksUpToDate>
  <CharactersWithSpaces>1462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喻秋燕0305</cp:lastModifiedBy>
  <cp:revision>9</cp:revision>
  <dcterms:created xsi:type="dcterms:W3CDTF">2020-07-03T08:46:00Z</dcterms:created>
  <dcterms:modified xsi:type="dcterms:W3CDTF">2021-03-08T02:15:00Z</dcterms:modified>
</cp:coreProperties>
</file>