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1E" w:rsidRPr="00EB07BC" w:rsidRDefault="00E3021E">
      <w:pPr>
        <w:rPr>
          <w:sz w:val="32"/>
        </w:rPr>
      </w:pPr>
    </w:p>
    <w:p w:rsidR="00E3021E" w:rsidRPr="00EB07BC" w:rsidRDefault="00E3021E">
      <w:pPr>
        <w:rPr>
          <w:sz w:val="32"/>
        </w:rPr>
      </w:pPr>
    </w:p>
    <w:p w:rsidR="00E3021E" w:rsidRPr="00EB07BC" w:rsidRDefault="00E3021E">
      <w:pPr>
        <w:rPr>
          <w:sz w:val="32"/>
        </w:rPr>
      </w:pPr>
    </w:p>
    <w:p w:rsidR="00E3021E" w:rsidRPr="00EB07BC" w:rsidRDefault="00DB69A9">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70CAF" w:rsidRDefault="00C70C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70CAF" w:rsidRDefault="00C70C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70CAF" w:rsidRDefault="00F6331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深证</w:t>
      </w:r>
      <w:r>
        <w:rPr>
          <w:rFonts w:ascii="Times New Roman" w:hAnsi="Times New Roman"/>
          <w:b/>
          <w:spacing w:val="2"/>
          <w:w w:val="99"/>
          <w:kern w:val="0"/>
          <w:position w:val="-4"/>
          <w:sz w:val="44"/>
          <w:szCs w:val="44"/>
        </w:rPr>
        <w:t>300</w:t>
      </w:r>
      <w:r>
        <w:rPr>
          <w:rFonts w:ascii="Times New Roman" w:hAnsi="Times New Roman"/>
          <w:b/>
          <w:spacing w:val="2"/>
          <w:w w:val="99"/>
          <w:kern w:val="0"/>
          <w:position w:val="-4"/>
          <w:sz w:val="44"/>
          <w:szCs w:val="44"/>
        </w:rPr>
        <w:t>价值交易型开放式指数证券投资基金</w:t>
      </w:r>
    </w:p>
    <w:p w:rsidR="00C70CAF" w:rsidRDefault="00F6331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C70CAF" w:rsidRDefault="00F63317">
      <w:pPr>
        <w:snapToGrid w:val="0"/>
        <w:spacing w:line="360" w:lineRule="auto"/>
        <w:jc w:val="center"/>
        <w:rPr>
          <w:rFonts w:ascii="宋体" w:hAnsi="宋体"/>
          <w:b/>
          <w:sz w:val="30"/>
          <w:szCs w:val="30"/>
        </w:rPr>
      </w:pPr>
      <w:r>
        <w:rPr>
          <w:rFonts w:ascii="Times New Roman" w:hAnsi="Times New Roman"/>
          <w:b/>
          <w:color w:val="000000"/>
          <w:sz w:val="32"/>
          <w:szCs w:val="32"/>
        </w:rPr>
        <w:t>(2020</w:t>
      </w:r>
      <w:r>
        <w:rPr>
          <w:rFonts w:ascii="Times New Roman" w:hAnsi="Times New Roman"/>
          <w:b/>
          <w:color w:val="000000"/>
          <w:sz w:val="32"/>
          <w:szCs w:val="32"/>
        </w:rPr>
        <w:t>年第</w:t>
      </w:r>
      <w:r w:rsidR="007E23AD">
        <w:rPr>
          <w:rFonts w:ascii="Times New Roman" w:hAnsi="Times New Roman"/>
          <w:b/>
          <w:color w:val="000000"/>
          <w:sz w:val="32"/>
          <w:szCs w:val="32"/>
        </w:rPr>
        <w:t>3</w:t>
      </w:r>
      <w:r>
        <w:rPr>
          <w:rFonts w:ascii="Times New Roman" w:hAnsi="Times New Roman"/>
          <w:b/>
          <w:color w:val="000000"/>
          <w:sz w:val="32"/>
          <w:szCs w:val="32"/>
        </w:rPr>
        <w:t>号</w:t>
      </w:r>
      <w:r>
        <w:rPr>
          <w:rFonts w:ascii="Times New Roman" w:hAnsi="Times New Roman"/>
          <w:b/>
          <w:color w:val="000000"/>
          <w:sz w:val="32"/>
          <w:szCs w:val="32"/>
        </w:rPr>
        <w:t>)</w:t>
      </w: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F6331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C70CAF" w:rsidRDefault="00F6331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0CAF" w:rsidRDefault="00F6331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二〇二〇年</w:t>
      </w:r>
      <w:r w:rsidR="007E23AD">
        <w:rPr>
          <w:rFonts w:ascii="Times New Roman" w:hAnsi="Times New Roman" w:hint="eastAsia"/>
          <w:b/>
          <w:spacing w:val="2"/>
          <w:w w:val="99"/>
          <w:kern w:val="0"/>
          <w:sz w:val="28"/>
          <w:szCs w:val="32"/>
        </w:rPr>
        <w:t>十</w:t>
      </w:r>
      <w:r w:rsidR="00192F3F">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C70CAF" w:rsidRDefault="00C70CAF">
      <w:pPr>
        <w:autoSpaceDE w:val="0"/>
        <w:autoSpaceDN w:val="0"/>
        <w:adjustRightInd w:val="0"/>
        <w:snapToGrid w:val="0"/>
        <w:spacing w:line="360" w:lineRule="auto"/>
        <w:ind w:left="1347" w:rightChars="6" w:right="13"/>
        <w:rPr>
          <w:rFonts w:ascii="宋体" w:hAnsi="宋体"/>
          <w:kern w:val="0"/>
          <w:sz w:val="32"/>
          <w:szCs w:val="32"/>
        </w:rPr>
        <w:sectPr w:rsidR="00C70CAF">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C70CAF" w:rsidRDefault="00F63317">
      <w:pPr>
        <w:pStyle w:val="1"/>
        <w:snapToGrid w:val="0"/>
        <w:spacing w:beforeLines="0" w:before="240" w:after="240"/>
        <w:rPr>
          <w:rFonts w:ascii="宋体" w:hAnsi="宋体"/>
          <w:kern w:val="0"/>
        </w:rPr>
      </w:pPr>
      <w:bookmarkStart w:id="0" w:name="_Toc324920538"/>
      <w:bookmarkStart w:id="1" w:name="_Toc496884613"/>
      <w:bookmarkStart w:id="2" w:name="_Toc54104420"/>
      <w:r>
        <w:rPr>
          <w:rFonts w:ascii="Times New Roman" w:hAnsi="Times New Roman"/>
          <w:kern w:val="0"/>
        </w:rPr>
        <w:lastRenderedPageBreak/>
        <w:t>重要提示</w:t>
      </w:r>
      <w:bookmarkEnd w:id="0"/>
      <w:bookmarkEnd w:id="1"/>
      <w:bookmarkEnd w:id="2"/>
    </w:p>
    <w:p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深证</w:t>
      </w:r>
      <w:r>
        <w:rPr>
          <w:rFonts w:ascii="Times New Roman" w:hAnsi="Times New Roman"/>
          <w:kern w:val="0"/>
          <w:sz w:val="24"/>
        </w:rPr>
        <w:t>300</w:t>
      </w:r>
      <w:r>
        <w:rPr>
          <w:rFonts w:ascii="Times New Roman" w:hAnsi="Times New Roman"/>
          <w:kern w:val="0"/>
          <w:sz w:val="24"/>
        </w:rPr>
        <w:t>价值交易型开放式指数证券投资基金（以下简称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2011</w:t>
      </w:r>
      <w:r>
        <w:rPr>
          <w:rFonts w:ascii="Times New Roman" w:hAnsi="Times New Roman"/>
          <w:kern w:val="0"/>
          <w:sz w:val="24"/>
        </w:rPr>
        <w:t>】</w:t>
      </w:r>
      <w:r>
        <w:rPr>
          <w:rFonts w:ascii="Times New Roman" w:hAnsi="Times New Roman"/>
          <w:kern w:val="0"/>
          <w:sz w:val="24"/>
        </w:rPr>
        <w:t>967</w:t>
      </w:r>
      <w:r>
        <w:rPr>
          <w:rFonts w:ascii="Times New Roman" w:hAnsi="Times New Roman"/>
          <w:kern w:val="0"/>
          <w:sz w:val="24"/>
        </w:rPr>
        <w:t>号文核准募集。本基金基金合同于</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w:t>
      </w:r>
    </w:p>
    <w:p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流动性风险等等。</w:t>
      </w:r>
    </w:p>
    <w:p w:rsidR="00C70CAF" w:rsidRDefault="00F63317">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本基金属于股票基金，风险与收益高于混合基金、债券基金与货币市场基金。同时本基金为指数型基金，具有与标的指数、以及标的指数所代表的股票市场相似的风险收益特征。</w:t>
      </w:r>
    </w:p>
    <w:p w:rsidR="007E23AD" w:rsidRPr="007E23AD" w:rsidRDefault="007E23AD" w:rsidP="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rsidR="007E23AD" w:rsidRDefault="007E23AD" w:rsidP="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w:t>
      </w:r>
      <w:r>
        <w:rPr>
          <w:rFonts w:ascii="Times New Roman" w:hAnsi="Times New Roman"/>
          <w:kern w:val="0"/>
          <w:sz w:val="24"/>
        </w:rPr>
        <w:lastRenderedPageBreak/>
        <w:t>合同、基金产品资料概要。基金的过往业绩并不代表其未来表现。基金管理人管理的其他基金的业绩并不构成对本基金业绩表现的保证。</w:t>
      </w:r>
    </w:p>
    <w:p w:rsidR="00C70CAF" w:rsidRDefault="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Times New Roman" w:hAnsi="Times New Roman" w:hint="eastAsia"/>
          <w:kern w:val="0"/>
          <w:sz w:val="24"/>
        </w:rPr>
        <w:t>本基金本次更新招募说明书对基金合同变更的相关信息进行更新，基金合同变更相关信息截止日为</w:t>
      </w:r>
      <w:r w:rsidRPr="007E23AD">
        <w:rPr>
          <w:rFonts w:ascii="Times New Roman" w:hAnsi="Times New Roman" w:hint="eastAsia"/>
          <w:kern w:val="0"/>
          <w:sz w:val="24"/>
        </w:rPr>
        <w:t>2020</w:t>
      </w:r>
      <w:r w:rsidRPr="007E23AD">
        <w:rPr>
          <w:rFonts w:ascii="Times New Roman" w:hAnsi="Times New Roman" w:hint="eastAsia"/>
          <w:kern w:val="0"/>
          <w:sz w:val="24"/>
        </w:rPr>
        <w:t>年</w:t>
      </w:r>
      <w:r w:rsidR="00343A6F">
        <w:rPr>
          <w:rFonts w:ascii="Times New Roman" w:hAnsi="Times New Roman"/>
          <w:kern w:val="0"/>
          <w:sz w:val="24"/>
        </w:rPr>
        <w:t>12</w:t>
      </w:r>
      <w:r w:rsidRPr="007E23AD">
        <w:rPr>
          <w:rFonts w:ascii="Times New Roman" w:hAnsi="Times New Roman" w:hint="eastAsia"/>
          <w:kern w:val="0"/>
          <w:sz w:val="24"/>
        </w:rPr>
        <w:t>月</w:t>
      </w:r>
      <w:r w:rsidR="00343A6F">
        <w:rPr>
          <w:rFonts w:ascii="Times New Roman" w:hAnsi="Times New Roman"/>
          <w:kern w:val="0"/>
          <w:sz w:val="24"/>
        </w:rPr>
        <w:t>28</w:t>
      </w:r>
      <w:r w:rsidRPr="007E23AD">
        <w:rPr>
          <w:rFonts w:ascii="Times New Roman" w:hAnsi="Times New Roman" w:hint="eastAsia"/>
          <w:kern w:val="0"/>
          <w:sz w:val="24"/>
        </w:rPr>
        <w:t>日。</w:t>
      </w:r>
      <w:r w:rsidR="00F63317">
        <w:rPr>
          <w:rFonts w:ascii="Times New Roman" w:hAnsi="Times New Roman"/>
          <w:kern w:val="0"/>
          <w:sz w:val="24"/>
        </w:rPr>
        <w:t>本招募说明书所载</w:t>
      </w:r>
      <w:r>
        <w:rPr>
          <w:rFonts w:ascii="Times New Roman" w:hAnsi="Times New Roman" w:hint="eastAsia"/>
          <w:kern w:val="0"/>
          <w:sz w:val="24"/>
        </w:rPr>
        <w:t>其他</w:t>
      </w:r>
      <w:r w:rsidR="00F63317">
        <w:rPr>
          <w:rFonts w:ascii="Times New Roman" w:hAnsi="Times New Roman"/>
          <w:kern w:val="0"/>
          <w:sz w:val="24"/>
        </w:rPr>
        <w:t>内容截止日为</w:t>
      </w:r>
      <w:r w:rsidR="00F63317">
        <w:rPr>
          <w:rFonts w:ascii="Times New Roman" w:hAnsi="Times New Roman"/>
          <w:kern w:val="0"/>
          <w:sz w:val="24"/>
        </w:rPr>
        <w:t>2020</w:t>
      </w:r>
      <w:r w:rsidR="00F63317">
        <w:rPr>
          <w:rFonts w:ascii="Times New Roman" w:hAnsi="Times New Roman"/>
          <w:kern w:val="0"/>
          <w:sz w:val="24"/>
        </w:rPr>
        <w:t>年</w:t>
      </w:r>
      <w:r w:rsidR="00F63317">
        <w:rPr>
          <w:rFonts w:ascii="Times New Roman" w:hAnsi="Times New Roman"/>
          <w:kern w:val="0"/>
          <w:sz w:val="24"/>
        </w:rPr>
        <w:t>09</w:t>
      </w:r>
      <w:r w:rsidR="00F63317">
        <w:rPr>
          <w:rFonts w:ascii="Times New Roman" w:hAnsi="Times New Roman"/>
          <w:kern w:val="0"/>
          <w:sz w:val="24"/>
        </w:rPr>
        <w:t>月</w:t>
      </w:r>
      <w:r w:rsidR="00F63317">
        <w:rPr>
          <w:rFonts w:ascii="Times New Roman" w:hAnsi="Times New Roman"/>
          <w:kern w:val="0"/>
          <w:sz w:val="24"/>
        </w:rPr>
        <w:t>10</w:t>
      </w:r>
      <w:r w:rsidR="00F63317">
        <w:rPr>
          <w:rFonts w:ascii="Times New Roman" w:hAnsi="Times New Roman"/>
          <w:kern w:val="0"/>
          <w:sz w:val="24"/>
        </w:rPr>
        <w:t>日，有关财务数据和净值表现截止日为</w:t>
      </w:r>
      <w:r w:rsidR="00F63317">
        <w:rPr>
          <w:rFonts w:ascii="Times New Roman" w:hAnsi="Times New Roman"/>
          <w:kern w:val="0"/>
          <w:sz w:val="24"/>
        </w:rPr>
        <w:t>2020</w:t>
      </w:r>
      <w:r w:rsidR="00F63317">
        <w:rPr>
          <w:rFonts w:ascii="Times New Roman" w:hAnsi="Times New Roman"/>
          <w:kern w:val="0"/>
          <w:sz w:val="24"/>
        </w:rPr>
        <w:t>年</w:t>
      </w:r>
      <w:r w:rsidR="00F63317">
        <w:rPr>
          <w:rFonts w:ascii="Times New Roman" w:hAnsi="Times New Roman"/>
          <w:kern w:val="0"/>
          <w:sz w:val="24"/>
        </w:rPr>
        <w:t>06</w:t>
      </w:r>
      <w:r w:rsidR="00F63317">
        <w:rPr>
          <w:rFonts w:ascii="Times New Roman" w:hAnsi="Times New Roman"/>
          <w:kern w:val="0"/>
          <w:sz w:val="24"/>
        </w:rPr>
        <w:t>月</w:t>
      </w:r>
      <w:r w:rsidR="00F63317">
        <w:rPr>
          <w:rFonts w:ascii="Times New Roman" w:hAnsi="Times New Roman"/>
          <w:kern w:val="0"/>
          <w:sz w:val="24"/>
        </w:rPr>
        <w:t>30</w:t>
      </w:r>
      <w:r w:rsidR="00F63317">
        <w:rPr>
          <w:rFonts w:ascii="Times New Roman" w:hAnsi="Times New Roman"/>
          <w:kern w:val="0"/>
          <w:sz w:val="24"/>
        </w:rPr>
        <w:t>日。本招募说明书所载的财务数据未经审计。</w:t>
      </w:r>
    </w:p>
    <w:p w:rsidR="00C70CAF" w:rsidRDefault="00C70CAF">
      <w:pPr>
        <w:autoSpaceDE w:val="0"/>
        <w:autoSpaceDN w:val="0"/>
        <w:adjustRightInd w:val="0"/>
        <w:snapToGrid w:val="0"/>
        <w:spacing w:before="51" w:line="360" w:lineRule="auto"/>
        <w:ind w:left="120" w:rightChars="6" w:right="13" w:firstLine="480"/>
        <w:rPr>
          <w:rFonts w:ascii="宋体" w:hAnsi="宋体"/>
          <w:kern w:val="0"/>
          <w:szCs w:val="24"/>
        </w:rPr>
        <w:sectPr w:rsidR="00C70CAF">
          <w:headerReference w:type="default" r:id="rId12"/>
          <w:pgSz w:w="11920" w:h="16840"/>
          <w:pgMar w:top="1440" w:right="1680" w:bottom="280" w:left="1680" w:header="0" w:footer="1073" w:gutter="0"/>
          <w:pgNumType w:start="1"/>
          <w:cols w:space="720"/>
        </w:sectPr>
      </w:pPr>
    </w:p>
    <w:p w:rsidR="00314C40" w:rsidRPr="00314C40" w:rsidRDefault="00F63317" w:rsidP="00314C40">
      <w:pPr>
        <w:pStyle w:val="ad"/>
        <w:snapToGrid w:val="0"/>
        <w:spacing w:after="240" w:line="360" w:lineRule="auto"/>
        <w:jc w:val="center"/>
        <w:rPr>
          <w:rFonts w:ascii="宋体" w:hAnsi="宋体"/>
          <w:noProof/>
          <w:sz w:val="24"/>
        </w:rPr>
      </w:pPr>
      <w:r w:rsidRPr="00314C40">
        <w:rPr>
          <w:rFonts w:ascii="宋体" w:hAnsi="宋体"/>
          <w:color w:val="000000"/>
          <w:position w:val="-4"/>
          <w:sz w:val="24"/>
          <w:szCs w:val="30"/>
        </w:rPr>
        <w:lastRenderedPageBreak/>
        <w:t>目</w:t>
      </w:r>
      <w:r w:rsidRPr="00314C40">
        <w:rPr>
          <w:rFonts w:ascii="宋体" w:hAnsi="宋体"/>
          <w:color w:val="000000"/>
          <w:position w:val="-4"/>
          <w:sz w:val="24"/>
          <w:szCs w:val="30"/>
        </w:rPr>
        <w:tab/>
        <w:t>录</w:t>
      </w:r>
      <w:r w:rsidR="00314C40" w:rsidRPr="00314C40">
        <w:rPr>
          <w:rFonts w:ascii="宋体" w:hAnsi="宋体"/>
          <w:color w:val="000000"/>
          <w:position w:val="-4"/>
          <w:sz w:val="24"/>
          <w:szCs w:val="30"/>
        </w:rPr>
        <w:fldChar w:fldCharType="begin"/>
      </w:r>
      <w:r w:rsidR="00314C40" w:rsidRPr="00314C40">
        <w:rPr>
          <w:rFonts w:ascii="宋体" w:hAnsi="宋体"/>
          <w:color w:val="000000"/>
          <w:position w:val="-4"/>
          <w:sz w:val="24"/>
          <w:szCs w:val="30"/>
        </w:rPr>
        <w:instrText xml:space="preserve"> TOC \o "1-3" \f - \h \t "-1" </w:instrText>
      </w:r>
      <w:r w:rsidR="00314C40" w:rsidRPr="00314C40">
        <w:rPr>
          <w:rFonts w:ascii="宋体" w:hAnsi="宋体"/>
          <w:color w:val="000000"/>
          <w:position w:val="-4"/>
          <w:sz w:val="24"/>
          <w:szCs w:val="30"/>
        </w:rPr>
        <w:fldChar w:fldCharType="separate"/>
      </w:r>
    </w:p>
    <w:p w:rsidR="00314C40" w:rsidRPr="00982813" w:rsidRDefault="00D16FF1" w:rsidP="00314C40">
      <w:pPr>
        <w:pStyle w:val="10"/>
        <w:tabs>
          <w:tab w:val="right" w:leader="dot" w:pos="8550"/>
        </w:tabs>
        <w:spacing w:line="360" w:lineRule="auto"/>
        <w:rPr>
          <w:rFonts w:ascii="宋体" w:hAnsi="宋体"/>
          <w:noProof/>
          <w:sz w:val="24"/>
        </w:rPr>
      </w:pPr>
      <w:hyperlink w:anchor="_Toc54104420" w:history="1">
        <w:r w:rsidR="00314C40" w:rsidRPr="00314C40">
          <w:rPr>
            <w:rStyle w:val="aa"/>
            <w:rFonts w:ascii="宋体" w:hAnsi="宋体" w:hint="eastAsia"/>
            <w:noProof/>
            <w:kern w:val="0"/>
            <w:sz w:val="24"/>
          </w:rPr>
          <w:t>重要提示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1" w:history="1">
        <w:r w:rsidR="00314C40" w:rsidRPr="00314C40">
          <w:rPr>
            <w:rStyle w:val="aa"/>
            <w:rFonts w:ascii="宋体" w:hAnsi="宋体" w:hint="eastAsia"/>
            <w:noProof/>
            <w:sz w:val="24"/>
          </w:rPr>
          <w:t>一、绪言</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5</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2" w:history="1">
        <w:r w:rsidR="00314C40" w:rsidRPr="00314C40">
          <w:rPr>
            <w:rStyle w:val="aa"/>
            <w:rFonts w:ascii="宋体" w:hAnsi="宋体" w:hint="eastAsia"/>
            <w:noProof/>
            <w:sz w:val="24"/>
          </w:rPr>
          <w:t>二、释义</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3" w:history="1">
        <w:r w:rsidR="00314C40" w:rsidRPr="00314C40">
          <w:rPr>
            <w:rStyle w:val="aa"/>
            <w:rFonts w:ascii="宋体" w:hAnsi="宋体" w:hint="eastAsia"/>
            <w:noProof/>
            <w:sz w:val="24"/>
          </w:rPr>
          <w:t>三、基金管理人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4" w:history="1">
        <w:r w:rsidR="00314C40" w:rsidRPr="00314C40">
          <w:rPr>
            <w:rStyle w:val="aa"/>
            <w:rFonts w:ascii="宋体" w:hAnsi="宋体" w:hint="eastAsia"/>
            <w:noProof/>
            <w:sz w:val="24"/>
          </w:rPr>
          <w:t>四、基金托管人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20</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5" w:history="1">
        <w:r w:rsidR="00314C40" w:rsidRPr="00314C40">
          <w:rPr>
            <w:rStyle w:val="aa"/>
            <w:rFonts w:ascii="宋体" w:hAnsi="宋体" w:hint="eastAsia"/>
            <w:noProof/>
            <w:sz w:val="24"/>
          </w:rPr>
          <w:t>五、相关服务机构</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23</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6" w:history="1">
        <w:r w:rsidR="00314C40" w:rsidRPr="00314C40">
          <w:rPr>
            <w:rStyle w:val="aa"/>
            <w:rFonts w:ascii="宋体" w:hAnsi="宋体" w:hint="eastAsia"/>
            <w:noProof/>
            <w:sz w:val="24"/>
          </w:rPr>
          <w:t>六、基金的募集</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_Toc54104426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32</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7" w:history="1">
        <w:r w:rsidR="00314C40" w:rsidRPr="00314C40">
          <w:rPr>
            <w:rStyle w:val="aa"/>
            <w:rFonts w:ascii="宋体" w:hAnsi="宋体" w:hint="eastAsia"/>
            <w:noProof/>
            <w:sz w:val="24"/>
          </w:rPr>
          <w:t>七、基金合同的生效</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_Toc54104427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33</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8" w:history="1">
        <w:r w:rsidR="00314C40" w:rsidRPr="00314C40">
          <w:rPr>
            <w:rStyle w:val="aa"/>
            <w:rFonts w:ascii="宋体" w:hAnsi="宋体" w:hint="eastAsia"/>
            <w:noProof/>
            <w:sz w:val="24"/>
          </w:rPr>
          <w:t>八、基金份额的上市交易</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_Toc54104428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34</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29" w:history="1">
        <w:r w:rsidR="00314C40" w:rsidRPr="00314C40">
          <w:rPr>
            <w:rStyle w:val="aa"/>
            <w:rFonts w:ascii="宋体" w:hAnsi="宋体" w:hint="eastAsia"/>
            <w:noProof/>
            <w:sz w:val="24"/>
          </w:rPr>
          <w:t>九、基金份额的申购与赎回</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_Toc54104429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36</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0" w:history="1">
        <w:r w:rsidR="00314C40" w:rsidRPr="00314C40">
          <w:rPr>
            <w:rStyle w:val="aa"/>
            <w:rFonts w:ascii="宋体" w:hAnsi="宋体" w:hint="eastAsia"/>
            <w:noProof/>
            <w:sz w:val="24"/>
          </w:rPr>
          <w:t>十、基金的投资</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48</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1" w:history="1">
        <w:r w:rsidR="00314C40" w:rsidRPr="00314C40">
          <w:rPr>
            <w:rStyle w:val="aa"/>
            <w:rFonts w:ascii="宋体" w:hAnsi="宋体" w:hint="eastAsia"/>
            <w:noProof/>
            <w:sz w:val="24"/>
          </w:rPr>
          <w:t>十一、基金的业绩</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58</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2" w:history="1">
        <w:r w:rsidR="00314C40" w:rsidRPr="00314C40">
          <w:rPr>
            <w:rStyle w:val="aa"/>
            <w:rFonts w:ascii="宋体" w:hAnsi="宋体" w:hint="eastAsia"/>
            <w:noProof/>
            <w:sz w:val="24"/>
          </w:rPr>
          <w:t>十二、基金的财产</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60</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3" w:history="1">
        <w:r w:rsidR="00314C40" w:rsidRPr="00314C40">
          <w:rPr>
            <w:rStyle w:val="aa"/>
            <w:rFonts w:ascii="宋体" w:hAnsi="宋体" w:hint="eastAsia"/>
            <w:noProof/>
            <w:sz w:val="24"/>
          </w:rPr>
          <w:t>十三、基金资产的估值</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61</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4" w:history="1">
        <w:r w:rsidR="00314C40" w:rsidRPr="00314C40">
          <w:rPr>
            <w:rStyle w:val="aa"/>
            <w:rFonts w:ascii="宋体" w:hAnsi="宋体" w:hint="eastAsia"/>
            <w:noProof/>
            <w:sz w:val="24"/>
          </w:rPr>
          <w:t>十四、基金的收益与分配</w:t>
        </w:r>
        <w:bookmarkStart w:id="3" w:name="_GoBack"/>
        <w:bookmarkEnd w:id="3"/>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68</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5" w:history="1">
        <w:r w:rsidR="00314C40" w:rsidRPr="00314C40">
          <w:rPr>
            <w:rStyle w:val="aa"/>
            <w:rFonts w:ascii="宋体" w:hAnsi="宋体" w:hint="eastAsia"/>
            <w:noProof/>
            <w:sz w:val="24"/>
          </w:rPr>
          <w:t>十五、基金的费用与税收</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70</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6" w:history="1">
        <w:r w:rsidR="00314C40" w:rsidRPr="00314C40">
          <w:rPr>
            <w:rStyle w:val="aa"/>
            <w:rFonts w:ascii="宋体" w:hAnsi="宋体" w:hint="eastAsia"/>
            <w:noProof/>
            <w:sz w:val="24"/>
          </w:rPr>
          <w:t>十六、基金的会计与审计</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_Toc54104436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73</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7" w:history="1">
        <w:r w:rsidR="00314C40" w:rsidRPr="00314C40">
          <w:rPr>
            <w:rStyle w:val="aa"/>
            <w:rFonts w:ascii="宋体" w:hAnsi="宋体" w:hint="eastAsia"/>
            <w:noProof/>
            <w:sz w:val="24"/>
          </w:rPr>
          <w:t>十七、基金的信息披露</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_Toc54104437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74</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8" w:history="1">
        <w:r w:rsidR="00314C40" w:rsidRPr="00314C40">
          <w:rPr>
            <w:rStyle w:val="aa"/>
            <w:rFonts w:ascii="宋体" w:hAnsi="宋体" w:hint="eastAsia"/>
            <w:noProof/>
            <w:sz w:val="24"/>
          </w:rPr>
          <w:t>十八、风险揭示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_Toc54104438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79</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39" w:history="1">
        <w:r w:rsidR="00314C40" w:rsidRPr="00314C40">
          <w:rPr>
            <w:rStyle w:val="aa"/>
            <w:rFonts w:ascii="宋体" w:hAnsi="宋体" w:hint="eastAsia"/>
            <w:noProof/>
            <w:sz w:val="24"/>
          </w:rPr>
          <w:t>十九、基金合同的终止与基金财产的清算</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_Toc54104439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85</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0" w:history="1">
        <w:r w:rsidR="00314C40" w:rsidRPr="00314C40">
          <w:rPr>
            <w:rStyle w:val="aa"/>
            <w:rFonts w:ascii="宋体" w:hAnsi="宋体" w:hint="eastAsia"/>
            <w:noProof/>
            <w:sz w:val="24"/>
          </w:rPr>
          <w:t>二十、基金合同内容摘要</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87</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1" w:history="1">
        <w:r w:rsidR="00314C40" w:rsidRPr="00314C40">
          <w:rPr>
            <w:rStyle w:val="aa"/>
            <w:rFonts w:ascii="宋体" w:hAnsi="宋体" w:hint="eastAsia"/>
            <w:noProof/>
            <w:sz w:val="24"/>
          </w:rPr>
          <w:t>二十一、托管协议的内容摘要</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102</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2" w:history="1">
        <w:r w:rsidR="00314C40" w:rsidRPr="00314C40">
          <w:rPr>
            <w:rStyle w:val="aa"/>
            <w:rFonts w:ascii="宋体" w:hAnsi="宋体" w:hint="eastAsia"/>
            <w:noProof/>
            <w:sz w:val="24"/>
          </w:rPr>
          <w:t>二十二、对基金份额持有人的服务</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118</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3" w:history="1">
        <w:r w:rsidR="00314C40" w:rsidRPr="00314C40">
          <w:rPr>
            <w:rStyle w:val="aa"/>
            <w:rFonts w:ascii="宋体" w:hAnsi="宋体" w:hint="eastAsia"/>
            <w:noProof/>
            <w:sz w:val="24"/>
          </w:rPr>
          <w:t>二十三、其他应披露事项</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119</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4" w:history="1">
        <w:r w:rsidR="00314C40" w:rsidRPr="00314C40">
          <w:rPr>
            <w:rStyle w:val="aa"/>
            <w:rFonts w:ascii="宋体" w:hAnsi="宋体" w:hint="eastAsia"/>
            <w:noProof/>
            <w:sz w:val="24"/>
          </w:rPr>
          <w:t>二十四、招募说明书的存放及查阅方式</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121</w:t>
        </w:r>
        <w:r w:rsidR="00314C40" w:rsidRPr="00314C40">
          <w:rPr>
            <w:rFonts w:ascii="宋体" w:hAnsi="宋体"/>
            <w:noProof/>
            <w:sz w:val="24"/>
          </w:rPr>
          <w:fldChar w:fldCharType="end"/>
        </w:r>
      </w:hyperlink>
    </w:p>
    <w:p w:rsidR="00314C40" w:rsidRPr="00982813" w:rsidRDefault="00D16FF1" w:rsidP="00314C40">
      <w:pPr>
        <w:pStyle w:val="10"/>
        <w:tabs>
          <w:tab w:val="right" w:leader="dot" w:pos="8550"/>
        </w:tabs>
        <w:spacing w:line="360" w:lineRule="auto"/>
        <w:rPr>
          <w:rFonts w:ascii="宋体" w:hAnsi="宋体"/>
          <w:noProof/>
          <w:sz w:val="24"/>
        </w:rPr>
      </w:pPr>
      <w:hyperlink w:anchor="_Toc54104445" w:history="1">
        <w:r w:rsidR="00314C40" w:rsidRPr="00314C40">
          <w:rPr>
            <w:rStyle w:val="aa"/>
            <w:rFonts w:ascii="宋体" w:hAnsi="宋体" w:hint="eastAsia"/>
            <w:noProof/>
            <w:sz w:val="24"/>
          </w:rPr>
          <w:t>二十五、备查文件</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122</w:t>
        </w:r>
        <w:r w:rsidR="00314C40" w:rsidRPr="00314C40">
          <w:rPr>
            <w:rFonts w:ascii="宋体" w:hAnsi="宋体"/>
            <w:noProof/>
            <w:sz w:val="24"/>
          </w:rPr>
          <w:fldChar w:fldCharType="end"/>
        </w:r>
      </w:hyperlink>
    </w:p>
    <w:p w:rsidR="00C70CAF" w:rsidRPr="00314C40" w:rsidRDefault="00314C40" w:rsidP="00314C40">
      <w:pPr>
        <w:pStyle w:val="ad"/>
        <w:snapToGrid w:val="0"/>
        <w:spacing w:after="240" w:line="360" w:lineRule="auto"/>
        <w:jc w:val="center"/>
        <w:rPr>
          <w:rFonts w:ascii="宋体" w:hAnsi="宋体"/>
          <w:color w:val="000000"/>
          <w:sz w:val="24"/>
        </w:rPr>
      </w:pPr>
      <w:r w:rsidRPr="00314C40">
        <w:rPr>
          <w:rFonts w:ascii="宋体" w:hAnsi="宋体"/>
          <w:color w:val="000000"/>
          <w:position w:val="-4"/>
          <w:sz w:val="24"/>
          <w:szCs w:val="30"/>
        </w:rPr>
        <w:lastRenderedPageBreak/>
        <w:fldChar w:fldCharType="end"/>
      </w:r>
    </w:p>
    <w:p w:rsidR="00C70CAF" w:rsidRDefault="00C70CAF">
      <w:pPr>
        <w:autoSpaceDE w:val="0"/>
        <w:autoSpaceDN w:val="0"/>
        <w:adjustRightInd w:val="0"/>
        <w:snapToGrid w:val="0"/>
        <w:spacing w:line="360" w:lineRule="auto"/>
        <w:ind w:left="120" w:rightChars="6" w:right="13"/>
        <w:rPr>
          <w:rFonts w:ascii="宋体" w:hAnsi="宋体"/>
          <w:kern w:val="0"/>
          <w:szCs w:val="24"/>
        </w:rPr>
        <w:sectPr w:rsidR="00C70CAF">
          <w:pgSz w:w="11920" w:h="16840"/>
          <w:pgMar w:top="1480" w:right="1680" w:bottom="280" w:left="1680" w:header="0" w:footer="1073" w:gutter="0"/>
          <w:cols w:space="720"/>
        </w:sectPr>
      </w:pPr>
    </w:p>
    <w:p w:rsidR="00C70CAF" w:rsidRDefault="00F63317">
      <w:pPr>
        <w:pStyle w:val="1"/>
        <w:snapToGrid w:val="0"/>
        <w:spacing w:beforeLines="0" w:before="240" w:after="240"/>
        <w:rPr>
          <w:rFonts w:ascii="宋体" w:hAnsi="宋体"/>
          <w:szCs w:val="30"/>
        </w:rPr>
      </w:pPr>
      <w:bookmarkStart w:id="4" w:name="_Toc54104421"/>
      <w:r>
        <w:rPr>
          <w:rFonts w:ascii="Times New Roman" w:hAnsi="Times New Roman"/>
          <w:sz w:val="30"/>
        </w:rPr>
        <w:lastRenderedPageBreak/>
        <w:t>一、绪言</w:t>
      </w:r>
      <w:bookmarkEnd w:id="4"/>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）和其他相关法律法规的规定以及《深证</w:t>
      </w:r>
      <w:r>
        <w:rPr>
          <w:rFonts w:ascii="Times New Roman" w:hAnsi="Times New Roman"/>
          <w:sz w:val="24"/>
        </w:rPr>
        <w:t>300</w:t>
      </w:r>
      <w:r>
        <w:rPr>
          <w:rFonts w:ascii="Times New Roman" w:hAnsi="Times New Roman"/>
          <w:sz w:val="24"/>
        </w:rPr>
        <w:t>价值交易型开放式指数证券投资基金基金合同》（以下简称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5" w:name="_Toc54104422"/>
      <w:r>
        <w:rPr>
          <w:rFonts w:ascii="Times New Roman" w:hAnsi="Times New Roman"/>
          <w:sz w:val="30"/>
        </w:rPr>
        <w:lastRenderedPageBreak/>
        <w:t>二、释义</w:t>
      </w:r>
      <w:bookmarkEnd w:id="5"/>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基金合同或本基金合同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价值交易型开放式指数证券投资基金基金合同》及对基金合同的任何有效修订和补充</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托管协议或本托管协议</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价值交易型开放式指数证券投资基金托管协议》及对该托管协议的任何有效修订和补充</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价值交易型开放式指数证券投资基金招募说明书》，及其更新</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价值交易型开放式指数证券投资基金份额发售公告》</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价值交易型开放式指数证券投资基金基金产品资料概要》及其更新</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指中国现行有效并公布实施的法律、行政法规、部门规章、规范性文件及对该等法律法规不时作出的修订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日实施的《中华人民共和国证券法》及颁布机关对其不时做出的修订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指符合《合格境外机构投资者境内证券投资管理办法》及其他相关法律法规规定的条件，经中国证监会批准可投资于中国证券市场，并取得国家外汇管理局额度批准的中国境外的机构投资者</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基金投资者或投资者</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指个人投资者、机构投资者和合格境外机构投资者，以及法律法规或中国证监会允许购买证券投资基金的其他投资者</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深交所《业务细则》</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指《深圳证券交易所交易型开放式指数基金业务实施细则》及对其不时作出的修订</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指深交所《业务细则》定义的</w:t>
            </w:r>
            <w:r>
              <w:rPr>
                <w:rFonts w:ascii="Times New Roman" w:hAnsi="Times New Roman"/>
                <w:color w:val="000000"/>
                <w:kern w:val="0"/>
                <w:sz w:val="25"/>
                <w:szCs w:val="24"/>
              </w:rPr>
              <w:t>“</w:t>
            </w:r>
            <w:r>
              <w:rPr>
                <w:rFonts w:ascii="Times New Roman" w:hAnsi="Times New Roman"/>
                <w:color w:val="000000"/>
                <w:kern w:val="0"/>
                <w:sz w:val="25"/>
                <w:szCs w:val="24"/>
              </w:rPr>
              <w:t>交易型开放式指数基金</w:t>
            </w:r>
            <w:r>
              <w:rPr>
                <w:rFonts w:ascii="Times New Roman" w:hAnsi="Times New Roman"/>
                <w:color w:val="000000"/>
                <w:kern w:val="0"/>
                <w:sz w:val="25"/>
                <w:szCs w:val="24"/>
              </w:rPr>
              <w:t>”</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证券投资基金联接基金</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指将绝大部分基金财产投资于本基金，与本基金的投资目标类似，紧密跟踪标的指数表现，追求跟踪偏离度和跟踪误差最小化，采用开放式运作的基金</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发售代理机构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申购赎回代理券商</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代销机构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指符合《销售办法》和中国证监会规定的其他条件，取得基金代销业务资格并接受基金管理人委托，代为办理基金销售业务的机构，包括发售代理机构及申购赎回代理券商</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w:t>
            </w:r>
            <w:r>
              <w:rPr>
                <w:rFonts w:ascii="Times New Roman" w:hAnsi="Times New Roman"/>
                <w:color w:val="000000"/>
                <w:kern w:val="0"/>
                <w:sz w:val="25"/>
                <w:szCs w:val="24"/>
              </w:rPr>
              <w:t>/</w:t>
            </w:r>
            <w:r>
              <w:rPr>
                <w:rFonts w:ascii="Times New Roman" w:hAnsi="Times New Roman"/>
                <w:color w:val="000000"/>
                <w:kern w:val="0"/>
                <w:sz w:val="25"/>
                <w:szCs w:val="24"/>
              </w:rPr>
              <w:t>或代销机构</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w:t>
            </w:r>
            <w:r>
              <w:rPr>
                <w:rFonts w:ascii="Times New Roman" w:hAnsi="Times New Roman"/>
                <w:color w:val="000000"/>
                <w:kern w:val="0"/>
                <w:sz w:val="25"/>
                <w:szCs w:val="24"/>
              </w:rPr>
              <w:t>/</w:t>
            </w:r>
            <w:r>
              <w:rPr>
                <w:rFonts w:ascii="Times New Roman" w:hAnsi="Times New Roman"/>
                <w:color w:val="000000"/>
                <w:kern w:val="0"/>
                <w:sz w:val="25"/>
                <w:szCs w:val="24"/>
              </w:rPr>
              <w:t>或代销机构的代销网点</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指深圳证券交易所的正常交易日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指在基金募集期内，基金投资者申请购买基金份额的行为</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指在基金存续期内，投资者按本基金合同规定的条件，以申购赎回清单规定的申购对价向基金管理人购买基金份额的行为，申购将导致本基金份额总数的增加</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指在基金存续期内，基金份额持有人按基金合同规定的条件，向基金管理人申请将本基金基金份额兑换为申购赎回清单所规定的赎回对价的行为，赎回将导致本基金份额总数的减少</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价值价格指数及其未来可能发生的变更</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指本基金申购份额、赎回份额的最低数量，投资者申购或赎回的基金份额应为最小申购赎回单位的整数倍</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预估现金差额</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指由基金管理人计算并在</w:t>
            </w:r>
            <w:r>
              <w:rPr>
                <w:rFonts w:ascii="Times New Roman" w:hAnsi="Times New Roman"/>
                <w:color w:val="000000"/>
                <w:kern w:val="0"/>
                <w:sz w:val="25"/>
                <w:szCs w:val="24"/>
              </w:rPr>
              <w:t>T</w:t>
            </w:r>
            <w:r>
              <w:rPr>
                <w:rFonts w:ascii="Times New Roman" w:hAnsi="Times New Roman"/>
                <w:color w:val="000000"/>
                <w:kern w:val="0"/>
                <w:sz w:val="25"/>
                <w:szCs w:val="24"/>
              </w:rPr>
              <w:t>日申购赎回清单中公布的当日现金差额的预估值，预估现金差额由申购赎回代理券商预先冻结</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基金份额参考净值</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指深圳证券交易在交易时间内根据基金管理人提供的计算依据及计算方法计算并发布的基金份额参考净值，简称</w:t>
            </w:r>
            <w:r>
              <w:rPr>
                <w:rFonts w:ascii="Times New Roman" w:hAnsi="Times New Roman"/>
                <w:color w:val="000000"/>
                <w:kern w:val="0"/>
                <w:sz w:val="25"/>
                <w:szCs w:val="24"/>
              </w:rPr>
              <w:t>IOPV</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指基金利息收入、投资收益、公允价值变动收益和其他收入扣除相关费用后的余额</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收益评价日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指基金管理人计算本基金净值增长率与标的指数同期增长率差额之日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指收益评价日基金份额净值与基金上市前一日基金份额净值之比减去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指收益评价日标的指数收盘值与基金上市前一日标的指数收盘值之比减去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指基金拥有的各类有价证券、银行存款本息、基金应收款项及其他资产的价值总和</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指基金资产总值减去基金负债后的净资产值</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6" w:name="_Toc54104423"/>
      <w:r>
        <w:rPr>
          <w:rFonts w:ascii="Times New Roman" w:hAnsi="Times New Roman"/>
          <w:sz w:val="30"/>
        </w:rPr>
        <w:lastRenderedPageBreak/>
        <w:t>三、基金管理人</w:t>
      </w:r>
      <w:bookmarkEnd w:id="6"/>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年加入交银施罗德基金管理有限公司，曾任投资研究部数量分析师、量化投资部助理总经理、量化投资部副总经理，现任量化投资副总监兼多元资产管理副总监、基金经理。曾任基金经理助理、交银施罗德沪深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、交银施罗德中证环境治理指数分级证券投资基金（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日）、交银施罗德致远量化智投策略定期开放混合型证券投资基金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、交银施罗德中证海外中国互联网指数型证券投资基金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、交银施罗德中证环境治理指数型证券投资基金（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2011</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日任本基金基金经理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7" w:name="_Toc54104424"/>
      <w:r>
        <w:rPr>
          <w:rFonts w:ascii="Times New Roman" w:hAnsi="Times New Roman"/>
          <w:sz w:val="30"/>
        </w:rPr>
        <w:lastRenderedPageBreak/>
        <w:t>四、基金托管人</w:t>
      </w:r>
      <w:bookmarkEnd w:id="7"/>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8" w:name="_Toc54104425"/>
      <w:r>
        <w:rPr>
          <w:rFonts w:ascii="Times New Roman" w:hAnsi="Times New Roman"/>
          <w:sz w:val="30"/>
        </w:rPr>
        <w:lastRenderedPageBreak/>
        <w:t>五、相关服务机构</w:t>
      </w:r>
      <w:bookmarkEnd w:id="8"/>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、申购赎回代理券商（简称</w:t>
      </w:r>
      <w:r>
        <w:rPr>
          <w:rFonts w:ascii="Times New Roman" w:hAnsi="Times New Roman"/>
          <w:sz w:val="24"/>
        </w:rPr>
        <w:t>“</w:t>
      </w:r>
      <w:r>
        <w:rPr>
          <w:rFonts w:ascii="Times New Roman" w:hAnsi="Times New Roman"/>
          <w:sz w:val="24"/>
        </w:rPr>
        <w:t>一级交易商</w:t>
      </w:r>
      <w:r>
        <w:rPr>
          <w:rFonts w:ascii="Times New Roman" w:hAnsi="Times New Roman"/>
          <w:sz w:val="24"/>
        </w:rPr>
        <w:t>”</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）光大证券股份有限公司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）国泰君安证券股份有限公司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）中信建投证券股份有限公司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www.csc108.com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）海通证券股份有限公司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）中国银河证券股份有限公司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）招商证券股份有限公司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法定代表人：霍达</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400-8888-111/95565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）兴业证券股份有限公司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法定代表人：杨华辉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）申万宏源证券有限公司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95523/400-800-0562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）国都证券股份有限公司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）华泰证券股份有限公司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联系人：胡子豪</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）中银国际证券有限责任公司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200</w:t>
      </w:r>
      <w:r>
        <w:rPr>
          <w:rFonts w:ascii="Times New Roman" w:hAnsi="Times New Roman"/>
          <w:sz w:val="24"/>
        </w:rPr>
        <w:t>号</w:t>
      </w:r>
      <w:r>
        <w:rPr>
          <w:rFonts w:ascii="Times New Roman" w:hAnsi="Times New Roman"/>
          <w:sz w:val="24"/>
        </w:rPr>
        <w:t>39</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办公地址：中国上海浦东银城中路</w:t>
      </w:r>
      <w:r>
        <w:rPr>
          <w:rFonts w:ascii="Times New Roman" w:hAnsi="Times New Roman"/>
          <w:sz w:val="24"/>
        </w:rPr>
        <w:t>200</w:t>
      </w:r>
      <w:r>
        <w:rPr>
          <w:rFonts w:ascii="Times New Roman" w:hAnsi="Times New Roman"/>
          <w:sz w:val="24"/>
        </w:rPr>
        <w:t>号中银大厦</w:t>
      </w:r>
      <w:r>
        <w:rPr>
          <w:rFonts w:ascii="Times New Roman" w:hAnsi="Times New Roman"/>
          <w:sz w:val="24"/>
        </w:rPr>
        <w:t>39-40</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法定代表人：许刚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400-620-8888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www.bocichina.com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）中信证券（山东）有限责任公司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）国信证券股份有限公司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）安信证券股份有限公司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400-800-1001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）申万宏源西部证券有限公司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www.hysec.com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）中泰证券股份有限公司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）平安证券股份有限公司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）华宝证券有限责任公司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住所：中国上海市陆家嘴环路</w:t>
      </w:r>
      <w:r>
        <w:rPr>
          <w:rFonts w:ascii="Times New Roman" w:hAnsi="Times New Roman"/>
          <w:sz w:val="24"/>
        </w:rPr>
        <w:t>166</w:t>
      </w:r>
      <w:r>
        <w:rPr>
          <w:rFonts w:ascii="Times New Roman" w:hAnsi="Times New Roman"/>
          <w:sz w:val="24"/>
        </w:rPr>
        <w:t>号未来资产大厦</w:t>
      </w:r>
      <w:r>
        <w:rPr>
          <w:rFonts w:ascii="Times New Roman" w:hAnsi="Times New Roman"/>
          <w:sz w:val="24"/>
        </w:rPr>
        <w:t>27</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办公地址：中国上海市浦东新区世纪大道</w:t>
      </w:r>
      <w:r>
        <w:rPr>
          <w:rFonts w:ascii="Times New Roman" w:hAnsi="Times New Roman"/>
          <w:sz w:val="24"/>
        </w:rPr>
        <w:t>100</w:t>
      </w:r>
      <w:r>
        <w:rPr>
          <w:rFonts w:ascii="Times New Roman" w:hAnsi="Times New Roman"/>
          <w:sz w:val="24"/>
        </w:rPr>
        <w:t>号上海环球金融中心</w:t>
      </w:r>
      <w:r>
        <w:rPr>
          <w:rFonts w:ascii="Times New Roman" w:hAnsi="Times New Roman"/>
          <w:sz w:val="24"/>
        </w:rPr>
        <w:t>57</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68777222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68777822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400-820-9898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www.cnhbstock.com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）国金证券股份有限公司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）方正证券股份有限公司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）渤海证券股份有限公司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）信达证券股份有限公司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）东方证券股份有限公司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法定代表人：王益民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95503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www.dfzq.com.cn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）东兴证券股份有限公司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法定代表人：徐勇力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联系人：汤漫川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400-8888-993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www.dxzq.net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25</w:t>
      </w:r>
      <w:r>
        <w:rPr>
          <w:rFonts w:ascii="Times New Roman" w:hAnsi="Times New Roman"/>
          <w:sz w:val="24"/>
        </w:rPr>
        <w:t>）华福证券有限责任公司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法定代表人：黄金琳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www.hfzq.com.cn</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）中国中金财富证券有限公司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）中原证券股份有限公司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法定代表人：菅明军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0371-69099881/2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联系人：程月艳、李盼盼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95377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https://www.ccnew.com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、二级市场交易代理券商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包括具有经纪业务资格及上海证券交易所会员资格的所有证券公司。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、基金管理人可根据有关法律法规的要求，选择其它符合要求的机构代理销售本基金，并在管理人网站公示。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（二）注册登记机构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名称：中国证券登记结算有限责任公司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6</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经办注册会计师：童咏静、朱宏宇</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9" w:name="_Toc54104426"/>
      <w:r>
        <w:rPr>
          <w:rFonts w:ascii="Times New Roman" w:hAnsi="Times New Roman"/>
          <w:sz w:val="30"/>
        </w:rPr>
        <w:lastRenderedPageBreak/>
        <w:t>六、基金的募集</w:t>
      </w:r>
      <w:bookmarkEnd w:id="9"/>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[2011] 967</w:t>
      </w:r>
      <w:r>
        <w:rPr>
          <w:rFonts w:ascii="Times New Roman" w:hAnsi="Times New Roman"/>
          <w:sz w:val="24"/>
        </w:rPr>
        <w:t>号文核准募集发售。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本基金为交易型开放式基金。基金存续期间为不定期。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2011</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16</w:t>
      </w:r>
      <w:r>
        <w:rPr>
          <w:rFonts w:ascii="Times New Roman" w:hAnsi="Times New Roman"/>
          <w:sz w:val="24"/>
        </w:rPr>
        <w:t>日止进行发售。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332,329,693.00</w:t>
      </w:r>
      <w:r>
        <w:rPr>
          <w:rFonts w:ascii="Times New Roman" w:hAnsi="Times New Roman"/>
          <w:sz w:val="24"/>
        </w:rPr>
        <w:t>份基金份额，有效认购户数为</w:t>
      </w:r>
      <w:r>
        <w:rPr>
          <w:rFonts w:ascii="Times New Roman" w:hAnsi="Times New Roman"/>
          <w:sz w:val="24"/>
        </w:rPr>
        <w:t>4,556</w:t>
      </w:r>
      <w:r>
        <w:rPr>
          <w:rFonts w:ascii="Times New Roman" w:hAnsi="Times New Roman"/>
          <w:sz w:val="24"/>
        </w:rPr>
        <w:t>户。</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0" w:name="_Toc54104427"/>
      <w:r>
        <w:rPr>
          <w:rFonts w:ascii="Times New Roman" w:hAnsi="Times New Roman"/>
          <w:sz w:val="30"/>
        </w:rPr>
        <w:lastRenderedPageBreak/>
        <w:t>七、基金合同的生效</w:t>
      </w:r>
      <w:bookmarkEnd w:id="10"/>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日正式生效。自基金合同生效之日起，本基金管理人正式开始管理本基金。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基金合同生效后的存续期内，基金份额持有人数量不满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万元，基金管理人应当及时报告中国证监会；基金份额持有人数量连续</w:t>
      </w:r>
      <w:r>
        <w:rPr>
          <w:rFonts w:ascii="Times New Roman" w:hAnsi="Times New Roman"/>
          <w:sz w:val="24"/>
        </w:rPr>
        <w:t>20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人，或连续</w:t>
      </w:r>
      <w:r>
        <w:rPr>
          <w:rFonts w:ascii="Times New Roman" w:hAnsi="Times New Roman"/>
          <w:sz w:val="24"/>
        </w:rPr>
        <w:t>20</w:t>
      </w:r>
      <w:r>
        <w:rPr>
          <w:rFonts w:ascii="Times New Roman" w:hAnsi="Times New Roman"/>
          <w:sz w:val="24"/>
        </w:rPr>
        <w:t>个工作日基金资产净值低于</w:t>
      </w:r>
      <w:r>
        <w:rPr>
          <w:rFonts w:ascii="Times New Roman" w:hAnsi="Times New Roman"/>
          <w:sz w:val="24"/>
        </w:rPr>
        <w:t>5000</w:t>
      </w:r>
      <w:r>
        <w:rPr>
          <w:rFonts w:ascii="Times New Roman" w:hAnsi="Times New Roman"/>
          <w:sz w:val="24"/>
        </w:rPr>
        <w:t>万元，基金管理人应当及时向中国证监会报告，说明出现上述情况的原因并提出解决方案。法律法规或监管机构另有规定时，从其规定。</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1" w:name="_Toc54104428"/>
      <w:r>
        <w:rPr>
          <w:rFonts w:ascii="Times New Roman" w:hAnsi="Times New Roman"/>
          <w:sz w:val="30"/>
        </w:rPr>
        <w:lastRenderedPageBreak/>
        <w:t>八、基金份额的上市交易</w:t>
      </w:r>
      <w:bookmarkEnd w:id="11"/>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（一）基金份额的上市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根据有关规定，本基金合同生效后，具备上市条件，于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25</w:t>
      </w:r>
      <w:r>
        <w:rPr>
          <w:rFonts w:ascii="Times New Roman" w:hAnsi="Times New Roman"/>
          <w:sz w:val="24"/>
        </w:rPr>
        <w:t>日起在深圳证券交易所上市交易。（二级市场交易代码：</w:t>
      </w:r>
      <w:r>
        <w:rPr>
          <w:rFonts w:ascii="Times New Roman" w:hAnsi="Times New Roman"/>
          <w:sz w:val="24"/>
        </w:rPr>
        <w:t>159913</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（二）基金份额的上市交易</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本基金基金份额在深圳证券交易所的上市交易需遵照《深圳证券交易所交易规则》、《深圳证券交易所证券投资基金上市规则》、《深圳证券交易所交易型开放式指数基金业务实施细则》等有关规定。</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（三）暂停上市交易</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基金份额上市交易期间出现下列情形之一的，深圳证券交易所可暂停基金的上市交易，并报中国证监会备案：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、不再具备本章第</w:t>
      </w:r>
      <w:r>
        <w:rPr>
          <w:rFonts w:ascii="Times New Roman" w:hAnsi="Times New Roman"/>
          <w:sz w:val="24"/>
        </w:rPr>
        <w:t>(</w:t>
      </w:r>
      <w:r>
        <w:rPr>
          <w:rFonts w:ascii="Times New Roman" w:hAnsi="Times New Roman"/>
          <w:sz w:val="24"/>
        </w:rPr>
        <w:t>一</w:t>
      </w:r>
      <w:r>
        <w:rPr>
          <w:rFonts w:ascii="Times New Roman" w:hAnsi="Times New Roman"/>
          <w:sz w:val="24"/>
        </w:rPr>
        <w:t>)</w:t>
      </w:r>
      <w:r>
        <w:rPr>
          <w:rFonts w:ascii="Times New Roman" w:hAnsi="Times New Roman"/>
          <w:sz w:val="24"/>
        </w:rPr>
        <w:t>款规定的上市条件；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、违反法律、行政法规，中国证监会决定暂停其上市；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、严重违反深圳证券交易所有关规则的；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、深圳证券交易所认为应当暂停上市的其他情形。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当暂停上市情形消除后，基金管理人应向深圳证券交易所提出恢复上市申请，经深圳证券交易所核准后可恢复本基金上市，并在至少一种指定媒介发布基金恢复上市公告。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（四）终止上市交易</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基金份额上市交易后，有下列情形之一的，深圳证券交易所可终止基金的上市交易，并报中国证监会备案：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、自暂停上市之日起半年内未能消除暂停上市原因的；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、基金份额持有人大会决定终止上市；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、深圳证券交易所认为应当终止上市的其他情形。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基金管理人应当在收到深圳证券交易所终止基金上市的决定之日起</w:t>
      </w:r>
      <w:r>
        <w:rPr>
          <w:rFonts w:ascii="Times New Roman" w:hAnsi="Times New Roman"/>
          <w:sz w:val="24"/>
        </w:rPr>
        <w:t>2</w:t>
      </w:r>
      <w:r>
        <w:rPr>
          <w:rFonts w:ascii="Times New Roman" w:hAnsi="Times New Roman"/>
          <w:sz w:val="24"/>
        </w:rPr>
        <w:t>日内发布基金终止上市公告。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若因上述</w:t>
      </w:r>
      <w:r>
        <w:rPr>
          <w:rFonts w:ascii="Times New Roman" w:hAnsi="Times New Roman"/>
          <w:sz w:val="24"/>
        </w:rPr>
        <w:t>1</w:t>
      </w:r>
      <w:r>
        <w:rPr>
          <w:rFonts w:ascii="Times New Roman" w:hAnsi="Times New Roman"/>
          <w:sz w:val="24"/>
        </w:rPr>
        <w:t>、</w:t>
      </w:r>
      <w:r>
        <w:rPr>
          <w:rFonts w:ascii="Times New Roman" w:hAnsi="Times New Roman"/>
          <w:sz w:val="24"/>
        </w:rPr>
        <w:t xml:space="preserve">4 </w:t>
      </w:r>
      <w:r>
        <w:rPr>
          <w:rFonts w:ascii="Times New Roman" w:hAnsi="Times New Roman"/>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w:t>
      </w:r>
      <w:r>
        <w:rPr>
          <w:rFonts w:ascii="Times New Roman" w:hAnsi="Times New Roman"/>
          <w:sz w:val="24"/>
        </w:rPr>
        <w:lastRenderedPageBreak/>
        <w:t>金，则本基金将本着维护投资者合法权益的原则，履行适当的程序后选取其他合适的指数作为标的指数。</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（五）基金份额参考净值（IOPV）的计算与公告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基金管理人在每一交易日开市前向深圳证券交易所提供当日的申购赎回清单，深圳证券交易所在开市后根据申购赎回清单和组合证券内各只证券的实时成交数据，计算并发布基金份额参考净值（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、基金份额参考净值计算公式为：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w:t>
      </w:r>
      <w:r>
        <w:rPr>
          <w:rFonts w:ascii="Times New Roman" w:hAnsi="Times New Roman"/>
          <w:sz w:val="24"/>
        </w:rPr>
        <w:t>+</w:t>
      </w:r>
      <w:r>
        <w:rPr>
          <w:rFonts w:ascii="Times New Roman" w:hAnsi="Times New Roman"/>
          <w:sz w:val="24"/>
        </w:rPr>
        <w:t>申购赎回清单中禁止用现金替代成份证券的数量与最新成交价相乘之和＋申购赎回清单中的预估现金差额）</w:t>
      </w:r>
      <w:r>
        <w:rPr>
          <w:rFonts w:ascii="Times New Roman" w:hAnsi="Times New Roman"/>
          <w:sz w:val="24"/>
        </w:rPr>
        <w:t>/</w:t>
      </w:r>
      <w:r>
        <w:rPr>
          <w:rFonts w:ascii="Times New Roman" w:hAnsi="Times New Roman"/>
          <w:sz w:val="24"/>
        </w:rPr>
        <w:t>最小申购赎回单位对应的基金份额。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、基金份额参考净值的计算以四舍五入的方法保留小数点后</w:t>
      </w:r>
      <w:r>
        <w:rPr>
          <w:rFonts w:ascii="Times New Roman" w:hAnsi="Times New Roman"/>
          <w:sz w:val="24"/>
        </w:rPr>
        <w:t xml:space="preserve">3 </w:t>
      </w:r>
      <w:r>
        <w:rPr>
          <w:rFonts w:ascii="Times New Roman" w:hAnsi="Times New Roman"/>
          <w:sz w:val="24"/>
        </w:rPr>
        <w:t>位。若深圳证券交易所调整有关基金份额参考净值保留位数，本基金将相应调整。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、基金管理人可以调整基金份额参考净值计算公式，并在管理人网站公示。</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2" w:name="_Toc54104429"/>
      <w:r>
        <w:rPr>
          <w:rFonts w:ascii="Times New Roman" w:hAnsi="Times New Roman"/>
          <w:sz w:val="30"/>
        </w:rPr>
        <w:lastRenderedPageBreak/>
        <w:t>九、基金份额的申购与赎回</w:t>
      </w:r>
      <w:bookmarkEnd w:id="12"/>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本基金申购赎回代理券商的名称、住所等信息请详见本招募说明书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（一）基金份额销售机构</w:t>
      </w:r>
      <w:r>
        <w:rPr>
          <w:rFonts w:ascii="Times New Roman" w:hAnsi="Times New Roman"/>
          <w:sz w:val="24"/>
        </w:rPr>
        <w:t>”</w:t>
      </w:r>
      <w:r>
        <w:rPr>
          <w:rFonts w:ascii="Times New Roman" w:hAnsi="Times New Roman"/>
          <w:sz w:val="24"/>
        </w:rPr>
        <w:t>的相关描述。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基金管理人可依据实际情况增加或减少申购赎回代理券商，并在管理人网站公示。</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办理申购、赎回等业务的开放日为深圳证券交易所的交易日，具体业务办理时间为深圳证券交易所交易日的交易时间。但基金管理人根据法律法规、中国证监会的要求或基金合同的规定公告暂停申购、赎回时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或实际情况需要，基金管理人将视情况对前述开放日及具体业务办理时间进行相应的调整，但应在实施日前依照《信息披露办法》的有关规定在指定媒介上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、申购、赎回的开始日及业务办理时间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25</w:t>
      </w:r>
      <w:r>
        <w:rPr>
          <w:rFonts w:ascii="Times New Roman" w:hAnsi="Times New Roman"/>
          <w:sz w:val="24"/>
        </w:rPr>
        <w:t>日开放申购、赎回业务，投资者可在开放日的开放时间办理本基金的申购、赎回业务。</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、本基金采用份额申购和份额赎回的方式，即申购和赎回均以份额申请。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、本基金的申购对价、赎回对价包括组合证券、现金替代、现金差额及其他对价。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、申购、赎回申请提交后不得撤销。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、申购、赎回应遵守深交所《业务细则》的规定。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、基金管理人可在不损害基金份额持有人实质利益、不违背交易所相关规则的情况下更改上述原则，但最迟应在新的原则实施前依照有关规定在指定媒介上予以公告。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（四）申购和赎回的程序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、申购和赎回的申请的提出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投资者必须按申购赎回代理券商规定的手续，在开放日的具体业务办理时间提出申购或赎回的申请。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交申购申请时须根据申购赎回清单备足申购对价要求的组合证券和现金，投资者在提交赎回申请时须持有足够的基金份额余额和赎回对价要求的现金。否则，投资者所提交的申购、赎回的申请无效而不予成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、申购和赎回的清算交收与登记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本基金申购赎回过程中涉及的基金份额、组合证券、现金替代、现金差额及其他对价的交收适用深圳证券交易所、中国证券登记结算有限责任公司的相关规定和参与各方相关协议的有关规定。投资者</w:t>
      </w:r>
      <w:r>
        <w:rPr>
          <w:rFonts w:ascii="Times New Roman" w:hAnsi="Times New Roman"/>
          <w:sz w:val="24"/>
        </w:rPr>
        <w:t>T</w:t>
      </w:r>
      <w:r>
        <w:rPr>
          <w:rFonts w:ascii="Times New Roman" w:hAnsi="Times New Roman"/>
          <w:sz w:val="24"/>
        </w:rPr>
        <w:t>日申购、赎回成功后，注册登记机构在</w:t>
      </w:r>
      <w:r>
        <w:rPr>
          <w:rFonts w:ascii="Times New Roman" w:hAnsi="Times New Roman"/>
          <w:sz w:val="24"/>
        </w:rPr>
        <w:t>T</w:t>
      </w:r>
      <w:r>
        <w:rPr>
          <w:rFonts w:ascii="Times New Roman" w:hAnsi="Times New Roman"/>
          <w:sz w:val="24"/>
        </w:rPr>
        <w:t>日收市后为投资者办理组合证券、基金份额的清算交收以及现金替代的清算，在</w:t>
      </w:r>
      <w:r>
        <w:rPr>
          <w:rFonts w:ascii="Times New Roman" w:hAnsi="Times New Roman"/>
          <w:sz w:val="24"/>
        </w:rPr>
        <w:t>T+1</w:t>
      </w:r>
      <w:r>
        <w:rPr>
          <w:rFonts w:ascii="Times New Roman" w:hAnsi="Times New Roman"/>
          <w:sz w:val="24"/>
        </w:rPr>
        <w:t>日办理现金替代的交收以及现金差额的清算，在</w:t>
      </w:r>
      <w:r>
        <w:rPr>
          <w:rFonts w:ascii="Times New Roman" w:hAnsi="Times New Roman"/>
          <w:sz w:val="24"/>
        </w:rPr>
        <w:t>T+2</w:t>
      </w:r>
      <w:r>
        <w:rPr>
          <w:rFonts w:ascii="Times New Roman" w:hAnsi="Times New Roman"/>
          <w:sz w:val="24"/>
        </w:rPr>
        <w:t>日办理现金差额的交收，并将结果发送给申购赎回代理券商、基金管理人和基金托管人。如深圳证券交易所、中国证券登记结算有限责任公司修改或更新相关规则并适用于本基金的，则按照新的规则执行，并在招募说明书中进行更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如果深圳证券交易所、登记结算机构和基金管理人在清算交收时发现不能正常履约的情形，则依据深圳证券交易所、登记结算机构相关业务规则和参与各方相关协议的有关规定进行处理。</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（五）申购和赎回的数额限定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投资者申购、赎回的基金份额需为最小申购赎回单位的整数倍。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w:t>
      </w:r>
      <w:r>
        <w:rPr>
          <w:rFonts w:ascii="Times New Roman" w:hAnsi="Times New Roman"/>
          <w:sz w:val="24"/>
        </w:rPr>
        <w:lastRenderedPageBreak/>
        <w:t>见相关公告。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本基金最小申购赎回单位为</w:t>
      </w:r>
      <w:r>
        <w:rPr>
          <w:rFonts w:ascii="Times New Roman" w:hAnsi="Times New Roman"/>
          <w:sz w:val="24"/>
        </w:rPr>
        <w:t>100</w:t>
      </w:r>
      <w:r>
        <w:rPr>
          <w:rFonts w:ascii="Times New Roman" w:hAnsi="Times New Roman"/>
          <w:sz w:val="24"/>
        </w:rPr>
        <w:t>万份。基金管理人可以根据市场情况，调整上述规定的数量或比例限制。基金管理人必须在调整前依照有关规定在指定媒介上公告。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（六）申购、赎回的对价及费用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、申购赎回清单由基金管理人编制。</w:t>
      </w:r>
      <w:r>
        <w:rPr>
          <w:rFonts w:ascii="Times New Roman" w:hAnsi="Times New Roman"/>
          <w:sz w:val="24"/>
        </w:rPr>
        <w:t>T</w:t>
      </w:r>
      <w:r>
        <w:rPr>
          <w:rFonts w:ascii="Times New Roman" w:hAnsi="Times New Roman"/>
          <w:sz w:val="24"/>
        </w:rPr>
        <w:t>日的申购赎回清单在当日深圳证券交易所开市前公告。</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日公告，计算公式为计算日基金资产净值除以计算日发售在外的基金份额总数。如遇特殊情况，可以适当延迟计算或公告，并报中国证监会备案。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、投资者在申购或赎回基金份额时，申购赎回代理券商可按照不超过申购或赎回份额</w:t>
      </w:r>
      <w:r>
        <w:rPr>
          <w:rFonts w:ascii="Times New Roman" w:hAnsi="Times New Roman"/>
          <w:sz w:val="24"/>
        </w:rPr>
        <w:t>0.5%</w:t>
      </w:r>
      <w:r>
        <w:rPr>
          <w:rFonts w:ascii="Times New Roman" w:hAnsi="Times New Roman"/>
          <w:sz w:val="24"/>
        </w:rPr>
        <w:t>的标准收取佣金，其中包含证券交易所、注册登记机构等收取的相关费用。</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（七）申购赎回清单的内容与格式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、申购赎回清单的内容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日申购赎回清单公告内容包括最小申购赎回单位所对应的组合证券内各成份证券数据、现金替代、</w:t>
      </w:r>
      <w:r>
        <w:rPr>
          <w:rFonts w:ascii="Times New Roman" w:hAnsi="Times New Roman"/>
          <w:sz w:val="24"/>
        </w:rPr>
        <w:t>T</w:t>
      </w:r>
      <w:r>
        <w:rPr>
          <w:rFonts w:ascii="Times New Roman" w:hAnsi="Times New Roman"/>
          <w:sz w:val="24"/>
        </w:rPr>
        <w:t>日现金替代的保证金率、</w:t>
      </w:r>
      <w:r>
        <w:rPr>
          <w:rFonts w:ascii="Times New Roman" w:hAnsi="Times New Roman"/>
          <w:sz w:val="24"/>
        </w:rPr>
        <w:t>T</w:t>
      </w:r>
      <w:r>
        <w:rPr>
          <w:rFonts w:ascii="Times New Roman" w:hAnsi="Times New Roman"/>
          <w:sz w:val="24"/>
        </w:rPr>
        <w:t>日允许现金替代的最高比例、</w:t>
      </w:r>
      <w:r>
        <w:rPr>
          <w:rFonts w:ascii="Times New Roman" w:hAnsi="Times New Roman"/>
          <w:sz w:val="24"/>
        </w:rPr>
        <w:t>T</w:t>
      </w:r>
      <w:r>
        <w:rPr>
          <w:rFonts w:ascii="Times New Roman" w:hAnsi="Times New Roman"/>
          <w:sz w:val="24"/>
        </w:rPr>
        <w:t>日预估现金差额、</w:t>
      </w:r>
      <w:r>
        <w:rPr>
          <w:rFonts w:ascii="Times New Roman" w:hAnsi="Times New Roman"/>
          <w:sz w:val="24"/>
        </w:rPr>
        <w:t>T-1</w:t>
      </w:r>
      <w:r>
        <w:rPr>
          <w:rFonts w:ascii="Times New Roman" w:hAnsi="Times New Roman"/>
          <w:sz w:val="24"/>
        </w:rPr>
        <w:t>日现金差额、基金份额净值及其它相关内容。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、申购赎回清单组合证券相关内容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、最小申购赎回单位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最小申购赎回单位是基金申购赎回的最基本单位。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、申购赎回清单现金替代相关内容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）现金替代分为</w:t>
      </w:r>
      <w:r>
        <w:rPr>
          <w:rFonts w:ascii="Times New Roman" w:hAnsi="Times New Roman"/>
          <w:sz w:val="24"/>
        </w:rPr>
        <w:t>3</w:t>
      </w:r>
      <w:r>
        <w:rPr>
          <w:rFonts w:ascii="Times New Roman" w:hAnsi="Times New Roman"/>
          <w:sz w:val="24"/>
        </w:rPr>
        <w:t>种类型：禁止现金替代（标志为</w:t>
      </w:r>
      <w:r>
        <w:rPr>
          <w:rFonts w:ascii="Times New Roman" w:hAnsi="Times New Roman"/>
          <w:sz w:val="24"/>
        </w:rPr>
        <w:t>“</w:t>
      </w:r>
      <w:r>
        <w:rPr>
          <w:rFonts w:ascii="Times New Roman" w:hAnsi="Times New Roman"/>
          <w:sz w:val="24"/>
        </w:rPr>
        <w:t>禁止</w:t>
      </w:r>
      <w:r>
        <w:rPr>
          <w:rFonts w:ascii="Times New Roman" w:hAnsi="Times New Roman"/>
          <w:sz w:val="24"/>
        </w:rPr>
        <w:t>”</w:t>
      </w:r>
      <w:r>
        <w:rPr>
          <w:rFonts w:ascii="Times New Roman" w:hAnsi="Times New Roman"/>
          <w:sz w:val="24"/>
        </w:rPr>
        <w:t>）、可以现金替代</w:t>
      </w:r>
      <w:r>
        <w:rPr>
          <w:rFonts w:ascii="Times New Roman" w:hAnsi="Times New Roman"/>
          <w:sz w:val="24"/>
        </w:rPr>
        <w:lastRenderedPageBreak/>
        <w:t>（标志为</w:t>
      </w:r>
      <w:r>
        <w:rPr>
          <w:rFonts w:ascii="Times New Roman" w:hAnsi="Times New Roman"/>
          <w:sz w:val="24"/>
        </w:rPr>
        <w:t>“</w:t>
      </w:r>
      <w:r>
        <w:rPr>
          <w:rFonts w:ascii="Times New Roman" w:hAnsi="Times New Roman"/>
          <w:sz w:val="24"/>
        </w:rPr>
        <w:t>允许</w:t>
      </w:r>
      <w:r>
        <w:rPr>
          <w:rFonts w:ascii="Times New Roman" w:hAnsi="Times New Roman"/>
          <w:sz w:val="24"/>
        </w:rPr>
        <w:t>”</w:t>
      </w:r>
      <w:r>
        <w:rPr>
          <w:rFonts w:ascii="Times New Roman" w:hAnsi="Times New Roman"/>
          <w:sz w:val="24"/>
        </w:rPr>
        <w:t>）和必须现金替代（标志为</w:t>
      </w:r>
      <w:r>
        <w:rPr>
          <w:rFonts w:ascii="Times New Roman" w:hAnsi="Times New Roman"/>
          <w:sz w:val="24"/>
        </w:rPr>
        <w:t>“</w:t>
      </w:r>
      <w:r>
        <w:rPr>
          <w:rFonts w:ascii="Times New Roman" w:hAnsi="Times New Roman"/>
          <w:sz w:val="24"/>
        </w:rPr>
        <w:t>必须</w:t>
      </w:r>
      <w:r>
        <w:rPr>
          <w:rFonts w:ascii="Times New Roman" w:hAnsi="Times New Roman"/>
          <w:sz w:val="24"/>
        </w:rPr>
        <w:t>”</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禁止现金替代是指在申购、赎回基金份额时，该成份证券不允许使用现金作为替代。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必须现金替代是指在申购、赎回基金份额时，该成份证券必须使用现金作为替代。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）可以现金替代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适用情形：可以现金替代的证券一般是由于停牌等原因导致投资者无法在申购时买入的证券，或基金管理人认为可以采用现金替代的其他情形。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替代金额：对于可以现金替代的证券，替代金额的计算公式为：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替代金额＝替代证券数量</w:t>
      </w:r>
      <w:r>
        <w:rPr>
          <w:rFonts w:ascii="Times New Roman" w:hAnsi="Times New Roman"/>
          <w:sz w:val="24"/>
        </w:rPr>
        <w:t>×</w:t>
      </w:r>
      <w:r>
        <w:rPr>
          <w:rFonts w:ascii="Times New Roman" w:hAnsi="Times New Roman"/>
          <w:sz w:val="24"/>
        </w:rPr>
        <w:t>该证券经除权调整的</w:t>
      </w:r>
      <w:r>
        <w:rPr>
          <w:rFonts w:ascii="Times New Roman" w:hAnsi="Times New Roman"/>
          <w:sz w:val="24"/>
        </w:rPr>
        <w:t>T-1</w:t>
      </w:r>
      <w:r>
        <w:rPr>
          <w:rFonts w:ascii="Times New Roman" w:hAnsi="Times New Roman"/>
          <w:sz w:val="24"/>
        </w:rPr>
        <w:t>日收盘价</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＋现金替代保证金率）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收取现金替代保证金的原因是</w:t>
      </w:r>
      <w:r>
        <w:rPr>
          <w:rFonts w:ascii="Times New Roman" w:hAnsi="Times New Roman"/>
          <w:sz w:val="24"/>
        </w:rPr>
        <w:t>,</w:t>
      </w:r>
      <w:r>
        <w:rPr>
          <w:rFonts w:ascii="Times New Roman" w:hAnsi="Times New Roman"/>
          <w:sz w:val="24"/>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替代金额的处理程序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日，基金管理人在申购赎回清单中公布现金替代保证金率，并据此收取替代金额。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w:t>
      </w:r>
      <w:r>
        <w:rPr>
          <w:rFonts w:ascii="Times New Roman" w:hAnsi="Times New Roman"/>
          <w:sz w:val="24"/>
        </w:rPr>
        <w:t>T</w:t>
      </w:r>
      <w:r>
        <w:rPr>
          <w:rFonts w:ascii="Times New Roman" w:hAnsi="Times New Roman"/>
          <w:sz w:val="24"/>
        </w:rPr>
        <w:t>日后被替代的成份证券有正常交易的</w:t>
      </w:r>
      <w:r>
        <w:rPr>
          <w:rFonts w:ascii="Times New Roman" w:hAnsi="Times New Roman"/>
          <w:sz w:val="24"/>
        </w:rPr>
        <w:t>2</w:t>
      </w:r>
      <w:r>
        <w:rPr>
          <w:rFonts w:ascii="Times New Roman" w:hAnsi="Times New Roman"/>
          <w:sz w:val="24"/>
        </w:rPr>
        <w:t>个交易日（简称为</w:t>
      </w:r>
      <w:r>
        <w:rPr>
          <w:rFonts w:ascii="Times New Roman" w:hAnsi="Times New Roman"/>
          <w:sz w:val="24"/>
        </w:rPr>
        <w:t>T+2</w:t>
      </w:r>
      <w:r>
        <w:rPr>
          <w:rFonts w:ascii="Times New Roman" w:hAnsi="Times New Roman"/>
          <w:sz w:val="24"/>
        </w:rPr>
        <w:t>日）内，基金管理人将以收到的替代金额买入被替代的部分证券。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T+2</w:t>
      </w:r>
      <w:r>
        <w:rPr>
          <w:rFonts w:ascii="Times New Roman" w:hAnsi="Times New Roman"/>
          <w:sz w:val="24"/>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Pr>
          <w:rFonts w:ascii="Times New Roman" w:hAnsi="Times New Roman"/>
          <w:sz w:val="24"/>
        </w:rPr>
        <w:t>T+2</w:t>
      </w:r>
      <w:r>
        <w:rPr>
          <w:rFonts w:ascii="Times New Roman" w:hAnsi="Times New Roman"/>
          <w:sz w:val="24"/>
        </w:rPr>
        <w:t>日收盘价计算的未购入的部分被替代证券价值的差额，确定基金应退还投资者或投资者应补交的款项。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特例情况：若自</w:t>
      </w:r>
      <w:r>
        <w:rPr>
          <w:rFonts w:ascii="Times New Roman" w:hAnsi="Times New Roman"/>
          <w:sz w:val="24"/>
        </w:rPr>
        <w:t>T</w:t>
      </w:r>
      <w:r>
        <w:rPr>
          <w:rFonts w:ascii="Times New Roman" w:hAnsi="Times New Roman"/>
          <w:sz w:val="24"/>
        </w:rPr>
        <w:t>日起（不含</w:t>
      </w:r>
      <w:r>
        <w:rPr>
          <w:rFonts w:ascii="Times New Roman" w:hAnsi="Times New Roman"/>
          <w:sz w:val="24"/>
        </w:rPr>
        <w:t>T</w:t>
      </w:r>
      <w:r>
        <w:rPr>
          <w:rFonts w:ascii="Times New Roman" w:hAnsi="Times New Roman"/>
          <w:sz w:val="24"/>
        </w:rPr>
        <w:t>日），深圳证券交易所正常交易日已达到</w:t>
      </w:r>
      <w:r>
        <w:rPr>
          <w:rFonts w:ascii="Times New Roman" w:hAnsi="Times New Roman"/>
          <w:sz w:val="24"/>
        </w:rPr>
        <w:t>20</w:t>
      </w:r>
      <w:r>
        <w:rPr>
          <w:rFonts w:ascii="Times New Roman" w:hAnsi="Times New Roman"/>
          <w:sz w:val="24"/>
        </w:rPr>
        <w:t>日而</w:t>
      </w:r>
      <w:r>
        <w:rPr>
          <w:rFonts w:ascii="Times New Roman" w:hAnsi="Times New Roman"/>
          <w:sz w:val="24"/>
        </w:rPr>
        <w:lastRenderedPageBreak/>
        <w:t>该证券正常交易日低于</w:t>
      </w:r>
      <w:r>
        <w:rPr>
          <w:rFonts w:ascii="Times New Roman" w:hAnsi="Times New Roman"/>
          <w:sz w:val="24"/>
        </w:rPr>
        <w:t>2</w:t>
      </w:r>
      <w:r>
        <w:rPr>
          <w:rFonts w:ascii="Times New Roman" w:hAnsi="Times New Roman"/>
          <w:sz w:val="24"/>
        </w:rPr>
        <w:t>日，则以替代金额与所购入的部分被替代证券实际购入成本加上按照最近一次收盘价计算的未购入的部分被替代证券价值的差额，确定基金应退还投资者或投资者应补交的款项。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若现金替代日（</w:t>
      </w:r>
      <w:r>
        <w:rPr>
          <w:rFonts w:ascii="Times New Roman" w:hAnsi="Times New Roman"/>
          <w:sz w:val="24"/>
        </w:rPr>
        <w:t>T</w:t>
      </w:r>
      <w:r>
        <w:rPr>
          <w:rFonts w:ascii="Times New Roman" w:hAnsi="Times New Roman"/>
          <w:sz w:val="24"/>
        </w:rPr>
        <w:t>日）后至</w:t>
      </w:r>
      <w:r>
        <w:rPr>
          <w:rFonts w:ascii="Times New Roman" w:hAnsi="Times New Roman"/>
          <w:sz w:val="24"/>
        </w:rPr>
        <w:t>T+2</w:t>
      </w:r>
      <w:r>
        <w:rPr>
          <w:rFonts w:ascii="Times New Roman" w:hAnsi="Times New Roman"/>
          <w:sz w:val="24"/>
        </w:rPr>
        <w:t>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20</w:t>
      </w:r>
      <w:r>
        <w:rPr>
          <w:rFonts w:ascii="Times New Roman" w:hAnsi="Times New Roman"/>
          <w:sz w:val="24"/>
        </w:rPr>
        <w:t>个交易日）期间发生除息、送股（转增）、配股等权益变动，则进行相应调整。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日后第</w:t>
      </w:r>
      <w:r>
        <w:rPr>
          <w:rFonts w:ascii="Times New Roman" w:hAnsi="Times New Roman"/>
          <w:sz w:val="24"/>
        </w:rPr>
        <w:t>1</w:t>
      </w:r>
      <w:r>
        <w:rPr>
          <w:rFonts w:ascii="Times New Roman" w:hAnsi="Times New Roman"/>
          <w:sz w:val="24"/>
        </w:rPr>
        <w:t>个工作日</w:t>
      </w:r>
      <w:r>
        <w:rPr>
          <w:rFonts w:ascii="Times New Roman" w:hAnsi="Times New Roman"/>
          <w:sz w:val="24"/>
        </w:rPr>
        <w:t>(</w:t>
      </w:r>
      <w:r>
        <w:rPr>
          <w:rFonts w:ascii="Times New Roman" w:hAnsi="Times New Roman"/>
          <w:sz w:val="24"/>
        </w:rPr>
        <w:t>若在特例情况下</w:t>
      </w:r>
      <w:r>
        <w:rPr>
          <w:rFonts w:ascii="Times New Roman" w:hAnsi="Times New Roman"/>
          <w:sz w:val="24"/>
        </w:rPr>
        <w:t>,</w:t>
      </w:r>
      <w:r>
        <w:rPr>
          <w:rFonts w:ascii="Times New Roman" w:hAnsi="Times New Roman"/>
          <w:sz w:val="24"/>
        </w:rPr>
        <w:t>则为</w:t>
      </w:r>
      <w:r>
        <w:rPr>
          <w:rFonts w:ascii="Times New Roman" w:hAnsi="Times New Roman"/>
          <w:sz w:val="24"/>
        </w:rPr>
        <w:t>T</w:t>
      </w:r>
      <w:r>
        <w:rPr>
          <w:rFonts w:ascii="Times New Roman" w:hAnsi="Times New Roman"/>
          <w:sz w:val="24"/>
        </w:rPr>
        <w:t>日起第</w:t>
      </w:r>
      <w:r>
        <w:rPr>
          <w:rFonts w:ascii="Times New Roman" w:hAnsi="Times New Roman"/>
          <w:sz w:val="24"/>
        </w:rPr>
        <w:t>21</w:t>
      </w:r>
      <w:r>
        <w:rPr>
          <w:rFonts w:ascii="Times New Roman" w:hAnsi="Times New Roman"/>
          <w:sz w:val="24"/>
        </w:rPr>
        <w:t>个交易日</w:t>
      </w:r>
      <w:r>
        <w:rPr>
          <w:rFonts w:ascii="Times New Roman" w:hAnsi="Times New Roman"/>
          <w:sz w:val="24"/>
        </w:rPr>
        <w:t>),</w:t>
      </w:r>
      <w:r>
        <w:rPr>
          <w:rFonts w:ascii="Times New Roman" w:hAnsi="Times New Roman"/>
          <w:sz w:val="24"/>
        </w:rPr>
        <w:t>基金管理人将应退款和补款的明细及汇总数据发送给注册登记机构，注册登记机构办理现金替代多退少补资金的清算；</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日后第</w:t>
      </w:r>
      <w:r>
        <w:rPr>
          <w:rFonts w:ascii="Times New Roman" w:hAnsi="Times New Roman"/>
          <w:sz w:val="24"/>
        </w:rPr>
        <w:t>2</w:t>
      </w:r>
      <w:r>
        <w:rPr>
          <w:rFonts w:ascii="Times New Roman" w:hAnsi="Times New Roman"/>
          <w:sz w:val="24"/>
        </w:rPr>
        <w:t>个工作日（若在特例情况下，则为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22</w:t>
      </w:r>
      <w:r>
        <w:rPr>
          <w:rFonts w:ascii="Times New Roman" w:hAnsi="Times New Roman"/>
          <w:sz w:val="24"/>
        </w:rPr>
        <w:t>个交易日），注册登记机构办理现金替代多退少补资金的交收。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替代限制：为更有效控制基金的跟踪偏离度和跟踪误差，基金管理人可规定投资者使用可以现金替代的比例合计不得超过申购基金份额资产净值的一定比例。现金替代比例的计算公式为：</w:t>
      </w:r>
    </w:p>
    <w:p w:rsidR="00C70CAF" w:rsidRDefault="00DB69A9">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extent cx="5433060" cy="68580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3060" cy="685800"/>
                    </a:xfrm>
                    <a:prstGeom prst="rect">
                      <a:avLst/>
                    </a:prstGeom>
                    <a:noFill/>
                    <a:ln>
                      <a:noFill/>
                    </a:ln>
                  </pic:spPr>
                </pic:pic>
              </a:graphicData>
            </a:graphic>
          </wp:inline>
        </w:drawing>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说明：假设当天可以现金替代的股票只数为</w:t>
      </w:r>
      <w:r>
        <w:rPr>
          <w:rFonts w:ascii="Times New Roman" w:hAnsi="Times New Roman"/>
          <w:sz w:val="24"/>
        </w:rPr>
        <w:t>n</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）必须现金替代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适用情形：必须现金替代的证券一般是由于标的指数调整，即将被剔除的成份证券，或基金管理人出于保护持有人利益等原因认为有必要实行必须现金替代的成份证券。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替代金额：对于必须现金替代的证券，基金管理人将在申购赎回清单中公告替代的一定数量的现金，即</w:t>
      </w:r>
      <w:r>
        <w:rPr>
          <w:rFonts w:ascii="Times New Roman" w:hAnsi="Times New Roman"/>
          <w:sz w:val="24"/>
        </w:rPr>
        <w:t>“</w:t>
      </w:r>
      <w:r>
        <w:rPr>
          <w:rFonts w:ascii="Times New Roman" w:hAnsi="Times New Roman"/>
          <w:sz w:val="24"/>
        </w:rPr>
        <w:t>固定替代金额</w:t>
      </w:r>
      <w:r>
        <w:rPr>
          <w:rFonts w:ascii="Times New Roman" w:hAnsi="Times New Roman"/>
          <w:sz w:val="24"/>
        </w:rPr>
        <w:t>”</w:t>
      </w:r>
      <w:r>
        <w:rPr>
          <w:rFonts w:ascii="Times New Roman" w:hAnsi="Times New Roman"/>
          <w:sz w:val="24"/>
        </w:rPr>
        <w:t>。固定替代金额的计算方法为申购赎回清单中该证券的数量乘以其经除权调整的</w:t>
      </w:r>
      <w:r>
        <w:rPr>
          <w:rFonts w:ascii="Times New Roman" w:hAnsi="Times New Roman"/>
          <w:sz w:val="24"/>
        </w:rPr>
        <w:t>T-1</w:t>
      </w:r>
      <w:r>
        <w:rPr>
          <w:rFonts w:ascii="Times New Roman" w:hAnsi="Times New Roman"/>
          <w:sz w:val="24"/>
        </w:rPr>
        <w:t>日收盘价。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、预估现金差额相关内容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预估现金差额是指由基金管理人计算并在</w:t>
      </w:r>
      <w:r>
        <w:rPr>
          <w:rFonts w:ascii="Times New Roman" w:hAnsi="Times New Roman"/>
          <w:sz w:val="24"/>
        </w:rPr>
        <w:t>T</w:t>
      </w:r>
      <w:r>
        <w:rPr>
          <w:rFonts w:ascii="Times New Roman" w:hAnsi="Times New Roman"/>
          <w:sz w:val="24"/>
        </w:rPr>
        <w:t>日申购赎回清单中公布的当日现金差额的预估值，预估现金差额由申购赎回代理券商预先冻结。</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预估现金差额的计算公式为：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日预估现金差额＝</w:t>
      </w:r>
      <w:r>
        <w:rPr>
          <w:rFonts w:ascii="Times New Roman" w:hAnsi="Times New Roman"/>
          <w:sz w:val="24"/>
        </w:rPr>
        <w:t>T-1</w:t>
      </w:r>
      <w:r>
        <w:rPr>
          <w:rFonts w:ascii="Times New Roman" w:hAnsi="Times New Roman"/>
          <w:sz w:val="24"/>
        </w:rPr>
        <w:t>日最小申购赎回单位的基金资产净值－（申购赎回清单中必须用现金替代的固定替代金额＋申购赎回清单中可以用现金替代成份证券的数量与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日经除权调整的前收盘价乘积之和＋申购赎回清单中禁止用现金替代成份证</w:t>
      </w:r>
      <w:r>
        <w:rPr>
          <w:rFonts w:ascii="Times New Roman" w:hAnsi="Times New Roman"/>
          <w:sz w:val="24"/>
        </w:rPr>
        <w:lastRenderedPageBreak/>
        <w:t>券的数量与</w:t>
      </w:r>
      <w:r>
        <w:rPr>
          <w:rFonts w:ascii="Times New Roman" w:hAnsi="Times New Roman"/>
          <w:sz w:val="24"/>
        </w:rPr>
        <w:t>T</w:t>
      </w:r>
      <w:r>
        <w:rPr>
          <w:rFonts w:ascii="Times New Roman" w:hAnsi="Times New Roman"/>
          <w:sz w:val="24"/>
        </w:rPr>
        <w:t>日经除权调整的前收盘价乘积之和）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r>
        <w:rPr>
          <w:rFonts w:ascii="Times New Roman" w:hAnsi="Times New Roman"/>
          <w:sz w:val="24"/>
        </w:rPr>
        <w:t>T</w:t>
      </w:r>
      <w:r>
        <w:rPr>
          <w:rFonts w:ascii="Times New Roman" w:hAnsi="Times New Roman"/>
          <w:sz w:val="24"/>
        </w:rPr>
        <w:t>日经除权调整的前收盘价由深圳证券交易所提供。另外，若</w:t>
      </w:r>
      <w:r>
        <w:rPr>
          <w:rFonts w:ascii="Times New Roman" w:hAnsi="Times New Roman"/>
          <w:sz w:val="24"/>
        </w:rPr>
        <w:t>T</w:t>
      </w:r>
      <w:r>
        <w:rPr>
          <w:rFonts w:ascii="Times New Roman" w:hAnsi="Times New Roman"/>
          <w:sz w:val="24"/>
        </w:rPr>
        <w:t>日为基金分红除息日，则计算公式中的</w:t>
      </w:r>
      <w:r>
        <w:rPr>
          <w:rFonts w:ascii="Times New Roman" w:hAnsi="Times New Roman"/>
          <w:sz w:val="24"/>
        </w:rPr>
        <w:t>“T-1</w:t>
      </w:r>
      <w:r>
        <w:rPr>
          <w:rFonts w:ascii="Times New Roman" w:hAnsi="Times New Roman"/>
          <w:sz w:val="24"/>
        </w:rPr>
        <w:t>日最小申购赎回单位的基金资产净值</w:t>
      </w:r>
      <w:r>
        <w:rPr>
          <w:rFonts w:ascii="Times New Roman" w:hAnsi="Times New Roman"/>
          <w:sz w:val="24"/>
        </w:rPr>
        <w:t>”</w:t>
      </w:r>
      <w:r>
        <w:rPr>
          <w:rFonts w:ascii="Times New Roman" w:hAnsi="Times New Roman"/>
          <w:sz w:val="24"/>
        </w:rPr>
        <w:t>需扣减相应的收益分配数额。预估现金差额的数值可能为正、为负或为零。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、申购赎回清单现金差额相关内容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日现金差额在</w:t>
      </w:r>
      <w:r>
        <w:rPr>
          <w:rFonts w:ascii="Times New Roman" w:hAnsi="Times New Roman"/>
          <w:sz w:val="24"/>
        </w:rPr>
        <w:t>T+1</w:t>
      </w:r>
      <w:r>
        <w:rPr>
          <w:rFonts w:ascii="Times New Roman" w:hAnsi="Times New Roman"/>
          <w:sz w:val="24"/>
        </w:rPr>
        <w:t>日的申购赎回清单中公告，其计算公式为：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w:t>
      </w:r>
      <w:r>
        <w:rPr>
          <w:rFonts w:ascii="Times New Roman" w:hAnsi="Times New Roman"/>
          <w:sz w:val="24"/>
        </w:rPr>
        <w:t>T</w:t>
      </w:r>
      <w:r>
        <w:rPr>
          <w:rFonts w:ascii="Times New Roman" w:hAnsi="Times New Roman"/>
          <w:sz w:val="24"/>
        </w:rPr>
        <w:t>日最小申购赎回单位对应的基金份额</w:t>
      </w:r>
      <w:r>
        <w:rPr>
          <w:rFonts w:ascii="Times New Roman" w:hAnsi="Times New Roman"/>
          <w:sz w:val="24"/>
        </w:rPr>
        <w:t>×T</w:t>
      </w:r>
      <w:r>
        <w:rPr>
          <w:rFonts w:ascii="Times New Roman" w:hAnsi="Times New Roman"/>
          <w:sz w:val="24"/>
        </w:rPr>
        <w:t>日基金份额净值－（申购赎回清单中必须用现金替代的固定替代金额＋申购赎回清单中可以用现金替代成份证券的数量与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日收盘价相乘之和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日收盘价相乘之和）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日投资者申购赎回基金份额时，需按</w:t>
      </w:r>
      <w:r>
        <w:rPr>
          <w:rFonts w:ascii="Times New Roman" w:hAnsi="Times New Roman"/>
          <w:sz w:val="24"/>
        </w:rPr>
        <w:t>T+1</w:t>
      </w:r>
      <w:r>
        <w:rPr>
          <w:rFonts w:ascii="Times New Roman" w:hAnsi="Times New Roman"/>
          <w:sz w:val="24"/>
        </w:rPr>
        <w:t>日公告的</w:t>
      </w:r>
      <w:r>
        <w:rPr>
          <w:rFonts w:ascii="Times New Roman" w:hAnsi="Times New Roman"/>
          <w:sz w:val="24"/>
        </w:rPr>
        <w:t>T</w:t>
      </w:r>
      <w:r>
        <w:rPr>
          <w:rFonts w:ascii="Times New Roman" w:hAnsi="Times New Roman"/>
          <w:sz w:val="24"/>
        </w:rPr>
        <w: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、申购赎回清单的格式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申购赎回清单的格式举例如下：</w:t>
      </w:r>
    </w:p>
    <w:tbl>
      <w:tblPr>
        <w:tblW w:w="5000" w:type="pct"/>
        <w:tblCellMar>
          <w:left w:w="0" w:type="dxa"/>
          <w:right w:w="0" w:type="dxa"/>
        </w:tblCellMar>
        <w:tblLook w:val="0000" w:firstRow="0" w:lastRow="0" w:firstColumn="0" w:lastColumn="0" w:noHBand="0" w:noVBand="0"/>
      </w:tblPr>
      <w:tblGrid>
        <w:gridCol w:w="4325"/>
        <w:gridCol w:w="4325"/>
      </w:tblGrid>
      <w:tr w:rsidR="00C70CAF">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深价值</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159913</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标的指数代码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399348</w:t>
            </w:r>
          </w:p>
        </w:tc>
      </w:tr>
      <w:tr w:rsidR="00C70CAF">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2020-9-9</w:t>
            </w:r>
            <w:r>
              <w:rPr>
                <w:rFonts w:ascii="Times New Roman" w:hAnsi="Times New Roman"/>
                <w:color w:val="000000"/>
                <w:kern w:val="0"/>
                <w:sz w:val="25"/>
                <w:szCs w:val="24"/>
              </w:rPr>
              <w:t>日信息内容</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13245.39</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最小申购赎回单位资产净值（单位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2219314.39</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2.2190</w:t>
            </w:r>
          </w:p>
        </w:tc>
      </w:tr>
      <w:tr w:rsidR="00C70CAF">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2020-9-10</w:t>
            </w:r>
            <w:r>
              <w:rPr>
                <w:rFonts w:ascii="Times New Roman" w:hAnsi="Times New Roman"/>
                <w:color w:val="000000"/>
                <w:kern w:val="0"/>
                <w:sz w:val="25"/>
                <w:szCs w:val="24"/>
              </w:rPr>
              <w:t>日信息内容</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预估现金差额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12385.39</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份</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T</w:t>
            </w:r>
            <w:r>
              <w:rPr>
                <w:rFonts w:ascii="Times New Roman" w:hAnsi="Times New Roman"/>
                <w:color w:val="000000"/>
                <w:kern w:val="0"/>
                <w:sz w:val="25"/>
                <w:szCs w:val="24"/>
              </w:rPr>
              <w:t>日最小申购赎回单位分红金额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w:t>
            </w:r>
            <w:r>
              <w:rPr>
                <w:rFonts w:ascii="Times New Roman" w:hAnsi="Times New Roman"/>
                <w:color w:val="000000"/>
                <w:kern w:val="0"/>
                <w:sz w:val="25"/>
                <w:szCs w:val="24"/>
              </w:rPr>
              <w:t>IOPV</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可以现金替代比例上限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组合信息内容</w:t>
      </w:r>
    </w:p>
    <w:tbl>
      <w:tblPr>
        <w:tblW w:w="5000" w:type="pct"/>
        <w:tblCellMar>
          <w:left w:w="0" w:type="dxa"/>
          <w:right w:w="0" w:type="dxa"/>
        </w:tblCellMar>
        <w:tblLook w:val="0000" w:firstRow="0" w:lastRow="0" w:firstColumn="0" w:lastColumn="0" w:noHBand="0" w:noVBand="0"/>
      </w:tblPr>
      <w:tblGrid>
        <w:gridCol w:w="760"/>
        <w:gridCol w:w="1578"/>
        <w:gridCol w:w="1578"/>
        <w:gridCol w:w="1578"/>
        <w:gridCol w:w="1578"/>
        <w:gridCol w:w="1578"/>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证券简称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现金替代标志</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可以现金替代保证金率</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固定替代金额</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w:t>
            </w:r>
            <w:r>
              <w:rPr>
                <w:rFonts w:ascii="Times New Roman" w:hAnsi="Times New Roman"/>
                <w:color w:val="000000"/>
                <w:kern w:val="0"/>
                <w:sz w:val="25"/>
                <w:szCs w:val="24"/>
              </w:rPr>
              <w:t xml:space="preserve"> </w:t>
            </w:r>
            <w:r>
              <w:rPr>
                <w:rFonts w:ascii="Times New Roman" w:hAnsi="Times New Roman"/>
                <w:color w:val="000000"/>
                <w:kern w:val="0"/>
                <w:sz w:val="25"/>
                <w:szCs w:val="24"/>
              </w:rPr>
              <w:t>科Ａ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深圳能源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国药一致</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大悦城</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中集集团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885.000</w:t>
            </w:r>
            <w:r>
              <w:rPr>
                <w:rFonts w:ascii="Times New Roman" w:hAnsi="Times New Roman"/>
                <w:color w:val="000000"/>
                <w:kern w:val="0"/>
                <w:sz w:val="25"/>
                <w:szCs w:val="24"/>
              </w:rPr>
              <w:t xml:space="preserve">　</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000046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泛海控股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000050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深天马Ａ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中金岭南</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华侨城Ａ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w:t>
            </w:r>
            <w:r>
              <w:rPr>
                <w:rFonts w:ascii="Times New Roman" w:hAnsi="Times New Roman"/>
                <w:color w:val="000000"/>
                <w:kern w:val="0"/>
                <w:sz w:val="25"/>
                <w:szCs w:val="24"/>
              </w:rPr>
              <w:t>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000157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中联重科</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000166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申万宏源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东方盛虹</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冀东水泥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w:t>
            </w:r>
            <w:r>
              <w:rPr>
                <w:rFonts w:ascii="Times New Roman" w:hAnsi="Times New Roman"/>
                <w:color w:val="000000"/>
                <w:kern w:val="0"/>
                <w:sz w:val="25"/>
                <w:szCs w:val="24"/>
              </w:rPr>
              <w:t xml:space="preserve"> </w:t>
            </w:r>
            <w:r>
              <w:rPr>
                <w:rFonts w:ascii="Times New Roman" w:hAnsi="Times New Roman"/>
                <w:color w:val="000000"/>
                <w:kern w:val="0"/>
                <w:sz w:val="25"/>
                <w:szCs w:val="24"/>
              </w:rPr>
              <w:t>融</w:t>
            </w:r>
            <w:r>
              <w:rPr>
                <w:rFonts w:ascii="Times New Roman" w:hAnsi="Times New Roman"/>
                <w:color w:val="000000"/>
                <w:kern w:val="0"/>
                <w:sz w:val="25"/>
                <w:szCs w:val="24"/>
              </w:rPr>
              <w:t xml:space="preserve"> </w:t>
            </w:r>
            <w:r>
              <w:rPr>
                <w:rFonts w:ascii="Times New Roman" w:hAnsi="Times New Roman"/>
                <w:color w:val="000000"/>
                <w:kern w:val="0"/>
                <w:sz w:val="25"/>
                <w:szCs w:val="24"/>
              </w:rPr>
              <w:t>街</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渤海租赁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000425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徐工机械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000513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丽珠集团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广宇发展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云南白药</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000540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中天金融</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000553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安道麦</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供销大集</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000581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威孚高科</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000598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兴蓉环境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000617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中油资本</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吉林敖东</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天茂集团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攀钢钒钛</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000630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铜陵有色</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金科股份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000671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阳</w:t>
            </w:r>
            <w:r>
              <w:rPr>
                <w:rFonts w:ascii="Times New Roman" w:hAnsi="Times New Roman"/>
                <w:color w:val="000000"/>
                <w:kern w:val="0"/>
                <w:sz w:val="25"/>
                <w:szCs w:val="24"/>
              </w:rPr>
              <w:t xml:space="preserve"> </w:t>
            </w:r>
            <w:r>
              <w:rPr>
                <w:rFonts w:ascii="Times New Roman" w:hAnsi="Times New Roman"/>
                <w:color w:val="000000"/>
                <w:kern w:val="0"/>
                <w:sz w:val="25"/>
                <w:szCs w:val="24"/>
              </w:rPr>
              <w:t>光</w:t>
            </w:r>
            <w:r>
              <w:rPr>
                <w:rFonts w:ascii="Times New Roman" w:hAnsi="Times New Roman"/>
                <w:color w:val="000000"/>
                <w:kern w:val="0"/>
                <w:sz w:val="25"/>
                <w:szCs w:val="24"/>
              </w:rPr>
              <w:t xml:space="preserve"> </w:t>
            </w:r>
            <w:r>
              <w:rPr>
                <w:rFonts w:ascii="Times New Roman" w:hAnsi="Times New Roman"/>
                <w:color w:val="000000"/>
                <w:kern w:val="0"/>
                <w:sz w:val="25"/>
                <w:szCs w:val="24"/>
              </w:rPr>
              <w:t>城</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000686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东北证券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恒逸石化</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河钢股份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国元证券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泰禾集团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广发证券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新兴铸管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长江证券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居然之家</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000807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云铝股份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000825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太钢不锈</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000830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鲁西化工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000883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湖北能源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双汇发展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鞍钢股份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华菱钢铁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000959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首钢股份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锡业股份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中南建设</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盈峰环境</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西山煤电</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越秀金控</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000999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华润三九</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001872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招商港口</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001965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招商公路</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w:t>
            </w:r>
            <w:r>
              <w:rPr>
                <w:rFonts w:ascii="Times New Roman" w:hAnsi="Times New Roman"/>
                <w:color w:val="000000"/>
                <w:kern w:val="0"/>
                <w:sz w:val="25"/>
                <w:szCs w:val="24"/>
              </w:rPr>
              <w:t xml:space="preserve"> </w:t>
            </w:r>
            <w:r>
              <w:rPr>
                <w:rFonts w:ascii="Times New Roman" w:hAnsi="Times New Roman"/>
                <w:color w:val="000000"/>
                <w:kern w:val="0"/>
                <w:sz w:val="25"/>
                <w:szCs w:val="24"/>
              </w:rPr>
              <w:t>和</w:t>
            </w:r>
            <w:r>
              <w:rPr>
                <w:rFonts w:ascii="Times New Roman" w:hAnsi="Times New Roman"/>
                <w:color w:val="000000"/>
                <w:kern w:val="0"/>
                <w:sz w:val="25"/>
                <w:szCs w:val="24"/>
              </w:rPr>
              <w:t xml:space="preserve"> </w:t>
            </w:r>
            <w:r>
              <w:rPr>
                <w:rFonts w:ascii="Times New Roman" w:hAnsi="Times New Roman"/>
                <w:color w:val="000000"/>
                <w:kern w:val="0"/>
                <w:sz w:val="25"/>
                <w:szCs w:val="24"/>
              </w:rPr>
              <w:t>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传化智联</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亿帆医药</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002024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苏宁易购</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横店东磁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002064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华峰氨纶</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002078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太阳纸业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中材科技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w:t>
            </w:r>
            <w:r>
              <w:rPr>
                <w:rFonts w:ascii="Times New Roman" w:hAnsi="Times New Roman"/>
                <w:color w:val="000000"/>
                <w:kern w:val="0"/>
                <w:sz w:val="25"/>
                <w:szCs w:val="24"/>
              </w:rPr>
              <w:t xml:space="preserve"> </w:t>
            </w:r>
            <w:r>
              <w:rPr>
                <w:rFonts w:ascii="Times New Roman" w:hAnsi="Times New Roman"/>
                <w:color w:val="000000"/>
                <w:kern w:val="0"/>
                <w:sz w:val="25"/>
                <w:szCs w:val="24"/>
              </w:rPr>
              <w:t>螳</w:t>
            </w:r>
            <w:r>
              <w:rPr>
                <w:rFonts w:ascii="Times New Roman" w:hAnsi="Times New Roman"/>
                <w:color w:val="000000"/>
                <w:kern w:val="0"/>
                <w:sz w:val="25"/>
                <w:szCs w:val="24"/>
              </w:rPr>
              <w:t xml:space="preserve"> </w:t>
            </w:r>
            <w:r>
              <w:rPr>
                <w:rFonts w:ascii="Times New Roman" w:hAnsi="Times New Roman"/>
                <w:color w:val="000000"/>
                <w:kern w:val="0"/>
                <w:sz w:val="25"/>
                <w:szCs w:val="24"/>
              </w:rPr>
              <w:t>螂</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002092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中泰化学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002110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三钢闽光</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002128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露天煤业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荣盛发展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002152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广电运通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002191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劲嘉股份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002202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金风科技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九阳股份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滨江集团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信立泰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圣农发展</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002385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大北农</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002508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老板电器</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002563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森马服饰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002572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索菲亚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002601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龙蟒佰利</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002936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郑州银行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002948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300070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碧水源</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300088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长信科技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300433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蓝思科技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300741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华宝股份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r>
    </w:tbl>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（八）拒绝或暂停申购的情形及处理方式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发生下列情况时，基金管理人可拒绝或暂停接受投资者的申购申请：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、因不可抗力导致基金无法正常运作或无法接受申购；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、因特殊原因（如深圳证券交易所决定临时停市），导致基金管理人无法计算当日基金资产净值；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、发生本基金合同规定的暂停基金资产估值的情形；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、接受某笔或某些申购申请可能会影响或损害现有基金份额持有人利益时；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、法律法规、深圳证券交易所规定或中国证监会认定的其他情形。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发生上述情形之一时，基金管理人应按照有关规定在指定媒介上及时公告。在暂停申购的情况消除时，基金管理人应及时恢复申购业务的办理，并按照有关规定在指定媒介上予以公告。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（九）暂停赎回的情形及处理方式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发生下列情况时，基金管理人可暂停接受投资者的赎回申请：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、因不可抗力导致基金无法正常运作或无法接受赎回；</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、因特殊原因（如深圳证券交易所决定临时停市），导致基金管理人无法计算当日基金资产净值；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w:t>
      </w:r>
      <w:r>
        <w:rPr>
          <w:rFonts w:ascii="Times New Roman" w:hAnsi="Times New Roman"/>
          <w:sz w:val="24"/>
        </w:rPr>
        <w:lastRenderedPageBreak/>
        <w:t>基金管理人应当暂停接受基金赎回申请或延缓支付赎回款项；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、发生本基金合同规定的暂停基金资产估值的情形；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、法律法规、深圳证券交易所规定或中国证监会认定的其他情形。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发生上述情形之一时，基金管理人应按照有关规定在指定媒介上及时公告。在暂停赎回的情况消除时，基金管理人应及时恢复赎回业务的办理，并按照有关规定在指定媒介上予以公告。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（十）基金的非交易过户等其他业务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注册登记机构可依据其业务规则，受理基金份额的非交易过户、冻结与解冻等业务，并收取一定的手续费用。</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（十一）集合申购与其他服务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倍，进行申购。在不损害基金份额持有人利益的前提下，基金管理人有权制定集合申购业务的相关规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在条件允许时，基金管理人也可采取其他合理的申购、赎回方式，并于新的申购、赎回方式开始执行前的至少</w:t>
      </w:r>
      <w:r>
        <w:rPr>
          <w:rFonts w:ascii="Times New Roman" w:hAnsi="Times New Roman"/>
          <w:sz w:val="24"/>
        </w:rPr>
        <w:t>3</w:t>
      </w:r>
      <w:r>
        <w:rPr>
          <w:rFonts w:ascii="Times New Roman" w:hAnsi="Times New Roman"/>
          <w:sz w:val="24"/>
        </w:rPr>
        <w:t>个工作日予以公告。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基金管理人指定的代理机构可依据本基金合同开展其他服务，双方需签订书面委托代理协议，并报中国证监会备案。</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（十二）基金的份额折算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基金合同生效后，为提高交易便利，本基金可以进行份额折算。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、基金份额折算的时间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基金管理人应事先确定基金份额折算日，并依照《信息披露办法》的有关规定提前公告。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、基金份额折算的原则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基金份额折算由基金管理人向注册登记机构申请办理，并由注册登记机构进行基金份额的变更登记。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如果基金份额折算过程中发生不可抗力，基金管理人可延迟办理基金份额折算。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、基金份额折算的方法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基金份额折算的具体方法在基金份额折算公告中列示。</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3" w:name="_Toc54104430"/>
      <w:r>
        <w:rPr>
          <w:rFonts w:ascii="Times New Roman" w:hAnsi="Times New Roman"/>
          <w:sz w:val="30"/>
        </w:rPr>
        <w:lastRenderedPageBreak/>
        <w:t>十、基金的投资</w:t>
      </w:r>
      <w:bookmarkEnd w:id="13"/>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紧密跟踪标的指数，追求跟踪偏离度和跟踪误差最小化。</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(二)投资理念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本基金遵循指数化投资理念，以反映深圳证券市场中规模较大、流动性好、具有明显价值特征的股票整体收益状况的深证</w:t>
      </w:r>
      <w:r>
        <w:rPr>
          <w:rFonts w:ascii="Times New Roman" w:hAnsi="Times New Roman"/>
          <w:sz w:val="24"/>
        </w:rPr>
        <w:t>300</w:t>
      </w:r>
      <w:r>
        <w:rPr>
          <w:rFonts w:ascii="Times New Roman" w:hAnsi="Times New Roman"/>
          <w:sz w:val="24"/>
        </w:rPr>
        <w:t>价值价格指数作为标的指数，采用被动式指数化投资实现跟踪偏离度与跟踪误差的最小化，力求帮助投资人以较低的成本获取与标的指数相似的收益。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(三)投资范围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本基金以标的指数成份股、备选成份股为主要投资对象（含中小板股票和创业板股票及其他经中国证监会核准的上市股票</w:t>
      </w:r>
      <w:r w:rsidR="00E3021E">
        <w:rPr>
          <w:rFonts w:ascii="Times New Roman" w:hAnsi="Times New Roman"/>
          <w:sz w:val="24"/>
        </w:rPr>
        <w:t>、</w:t>
      </w:r>
      <w:r w:rsidR="00E3021E">
        <w:rPr>
          <w:rFonts w:ascii="Times New Roman" w:hAnsi="Times New Roman" w:hint="eastAsia"/>
          <w:sz w:val="24"/>
        </w:rPr>
        <w:t>存托凭证</w:t>
      </w:r>
      <w:r>
        <w:rPr>
          <w:rFonts w:ascii="Times New Roman" w:hAnsi="Times New Roman"/>
          <w:sz w:val="24"/>
        </w:rPr>
        <w:t>），把全部或接近全部的基金资产用于跟踪标的指数的表现，正常情况下指数化投资比例，即投资于标的指数成份股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和备选成份股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、债券、回购、权证及中国证监会允许基金投资的其它金融工具（但须符合中国证监会的相关规定）。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个交易日内进行调整。法律法规或监管机构日后允许本基金投资其他品种，基金管理人在履行适当程序后，可以将其纳入投资范围。</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(四)投资策略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本基金绝大部分资产采用完全复制法，跟踪深证</w:t>
      </w:r>
      <w:r>
        <w:rPr>
          <w:rFonts w:ascii="Times New Roman" w:hAnsi="Times New Roman"/>
          <w:sz w:val="24"/>
        </w:rPr>
        <w:t>300</w:t>
      </w:r>
      <w:r>
        <w:rPr>
          <w:rFonts w:ascii="Times New Roman" w:hAnsi="Times New Roman"/>
          <w:sz w:val="24"/>
        </w:rPr>
        <w:t>价值价格指数，以完全按照标的指数成份股组成及其权重构建基金股票投资组合为原则，进行被动式指数化投资。</w:t>
      </w:r>
    </w:p>
    <w:p w:rsidR="00C70CAF"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3033BC" w:rsidRPr="003033BC" w:rsidRDefault="003033BC">
      <w:pPr>
        <w:autoSpaceDE w:val="0"/>
        <w:autoSpaceDN w:val="0"/>
        <w:adjustRightInd w:val="0"/>
        <w:snapToGrid w:val="0"/>
        <w:spacing w:line="360" w:lineRule="auto"/>
        <w:ind w:firstLineChars="200" w:firstLine="480"/>
        <w:rPr>
          <w:rFonts w:ascii="Times New Roman" w:hAnsi="Times New Roman"/>
          <w:sz w:val="24"/>
        </w:rPr>
      </w:pPr>
      <w:r w:rsidRPr="003033BC">
        <w:rPr>
          <w:rFonts w:ascii="Times New Roman" w:hAnsi="Times New Roman" w:hint="eastAsia"/>
          <w:sz w:val="24"/>
        </w:rPr>
        <w:lastRenderedPageBreak/>
        <w:t>本基金投资存托凭证的策略依照境内上市交易的股票投资策略执行。</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 业绩比较基准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本基金的标的指数为深证</w:t>
      </w:r>
      <w:r>
        <w:rPr>
          <w:rFonts w:ascii="Times New Roman" w:hAnsi="Times New Roman"/>
          <w:sz w:val="24"/>
        </w:rPr>
        <w:t>300</w:t>
      </w:r>
      <w:r>
        <w:rPr>
          <w:rFonts w:ascii="Times New Roman" w:hAnsi="Times New Roman"/>
          <w:sz w:val="24"/>
        </w:rPr>
        <w:t>价值价格指数。深证</w:t>
      </w:r>
      <w:r>
        <w:rPr>
          <w:rFonts w:ascii="Times New Roman" w:hAnsi="Times New Roman"/>
          <w:sz w:val="24"/>
        </w:rPr>
        <w:t>300</w:t>
      </w:r>
      <w:r>
        <w:rPr>
          <w:rFonts w:ascii="Times New Roman" w:hAnsi="Times New Roman"/>
          <w:sz w:val="24"/>
        </w:rPr>
        <w:t>价值价格指数是由深圳证券信息公司编制，并以深证</w:t>
      </w:r>
      <w:r>
        <w:rPr>
          <w:rFonts w:ascii="Times New Roman" w:hAnsi="Times New Roman"/>
          <w:sz w:val="24"/>
        </w:rPr>
        <w:t>300</w:t>
      </w:r>
      <w:r>
        <w:rPr>
          <w:rFonts w:ascii="Times New Roman" w:hAnsi="Times New Roman"/>
          <w:sz w:val="24"/>
        </w:rPr>
        <w:t>指数为基础开发的风格指数，它以深证</w:t>
      </w:r>
      <w:r>
        <w:rPr>
          <w:rFonts w:ascii="Times New Roman" w:hAnsi="Times New Roman"/>
          <w:sz w:val="24"/>
        </w:rPr>
        <w:t>300</w:t>
      </w:r>
      <w:r>
        <w:rPr>
          <w:rFonts w:ascii="Times New Roman" w:hAnsi="Times New Roman"/>
          <w:sz w:val="24"/>
        </w:rPr>
        <w:t>指数的成份股为样本空间，选取采用价值因子评分最高的</w:t>
      </w:r>
      <w:r>
        <w:rPr>
          <w:rFonts w:ascii="Times New Roman" w:hAnsi="Times New Roman"/>
          <w:sz w:val="24"/>
        </w:rPr>
        <w:t>100</w:t>
      </w:r>
      <w:r>
        <w:rPr>
          <w:rFonts w:ascii="Times New Roman" w:hAnsi="Times New Roman"/>
          <w:sz w:val="24"/>
        </w:rPr>
        <w:t>只股票为指数的成份股，并于每年</w:t>
      </w:r>
      <w:r>
        <w:rPr>
          <w:rFonts w:ascii="Times New Roman" w:hAnsi="Times New Roman"/>
          <w:sz w:val="24"/>
        </w:rPr>
        <w:t>1</w:t>
      </w:r>
      <w:r>
        <w:rPr>
          <w:rFonts w:ascii="Times New Roman" w:hAnsi="Times New Roman"/>
          <w:sz w:val="24"/>
        </w:rPr>
        <w:t>月和</w:t>
      </w:r>
      <w:r>
        <w:rPr>
          <w:rFonts w:ascii="Times New Roman" w:hAnsi="Times New Roman"/>
          <w:sz w:val="24"/>
        </w:rPr>
        <w:t>7</w:t>
      </w:r>
      <w:r>
        <w:rPr>
          <w:rFonts w:ascii="Times New Roman" w:hAnsi="Times New Roman"/>
          <w:sz w:val="24"/>
        </w:rPr>
        <w:t>月对指数成份股进行调整。该指数的基期为</w:t>
      </w:r>
      <w:r>
        <w:rPr>
          <w:rFonts w:ascii="Times New Roman" w:hAnsi="Times New Roman"/>
          <w:sz w:val="24"/>
        </w:rPr>
        <w:t>2004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日，基点为</w:t>
      </w:r>
      <w:r>
        <w:rPr>
          <w:rFonts w:ascii="Times New Roman" w:hAnsi="Times New Roman"/>
          <w:sz w:val="24"/>
        </w:rPr>
        <w:t>1000</w:t>
      </w:r>
      <w:r>
        <w:rPr>
          <w:rFonts w:ascii="Times New Roman" w:hAnsi="Times New Roman"/>
          <w:sz w:val="24"/>
        </w:rPr>
        <w:t>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如果指数编制单位变更或停止深证</w:t>
      </w:r>
      <w:r>
        <w:rPr>
          <w:rFonts w:ascii="Times New Roman" w:hAnsi="Times New Roman"/>
          <w:sz w:val="24"/>
        </w:rPr>
        <w:t>300</w:t>
      </w:r>
      <w:r>
        <w:rPr>
          <w:rFonts w:ascii="Times New Roman" w:hAnsi="Times New Roman"/>
          <w:sz w:val="24"/>
        </w:rPr>
        <w:t>价值价格指数的编制及发布，或深证</w:t>
      </w:r>
      <w:r>
        <w:rPr>
          <w:rFonts w:ascii="Times New Roman" w:hAnsi="Times New Roman"/>
          <w:sz w:val="24"/>
        </w:rPr>
        <w:t>300</w:t>
      </w:r>
      <w:r>
        <w:rPr>
          <w:rFonts w:ascii="Times New Roman" w:hAnsi="Times New Roman"/>
          <w:sz w:val="24"/>
        </w:rPr>
        <w:t>价值价格指数由其他指数替代，或由于指数编制方法等重大变更导致深证</w:t>
      </w:r>
      <w:r>
        <w:rPr>
          <w:rFonts w:ascii="Times New Roman" w:hAnsi="Times New Roman"/>
          <w:sz w:val="24"/>
        </w:rPr>
        <w:t>300</w:t>
      </w:r>
      <w:r>
        <w:rPr>
          <w:rFonts w:ascii="Times New Roman" w:hAnsi="Times New Roman"/>
          <w:sz w:val="24"/>
        </w:rPr>
        <w:t>价值价格指数不宜继续作为标的指数，或证券市场有其他代表性更强、更适合投资的指数推出时，本基金管理人可以依据维护基金份额持有人合法权益的原则，在履行适当的程序后，变更本基金的标的指数。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标的指数更换后，业绩比较基准随之变更，基金管理人可根据需要替换或删除基金名称中与原标的指数相关的商号或字样。</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 风险收益特征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本基金属于股票基金，风险与预期收益高于混合基金、债券基金与货币市场基金。同时本基金为指数型基金，具有与标的指数、以及标的指数所代表的股票市场相似的风险收益特征。</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 投资决策依据与流程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、决策和交易机制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w:t>
      </w:r>
      <w:r>
        <w:rPr>
          <w:rFonts w:ascii="Times New Roman" w:hAnsi="Times New Roman"/>
          <w:sz w:val="24"/>
        </w:rPr>
        <w:lastRenderedPageBreak/>
        <w:t>功能，保证基金经理的投资指令在合法、合规的前提下得到高效的执行。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、投资流程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投资决策：投资决策委员会定期召开或遇重大事项时召开投资决策会议，决策相关事项。基金经理根据投资决策委员会的决议，每日进行基金投资管理的日常决策。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组合构建：根据标的指数情况，结合研究支持，基金经理以完全复制指数成份股权重的方法构建组合。在追求跟踪误差和偏离度最小化的前提下，基金经理将采取适当的方法，以降低买入成本、控制投资风险。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交易执行：中央交易室负责具体的交易执行，同时履行一线监控的职责。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(八)投资组合管理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、投资组合的建立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基金管理人构建投资组合的过程主要分为三步：确定目标组合、确定建仓策略和逐步调整。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确定目标组合：基金管理人根据完全复制成份股权重的方法确定目标组合。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确定建仓策略：基金经理根据对成份股流动性、公司行为、基本面等因素</w:t>
      </w:r>
      <w:r>
        <w:rPr>
          <w:rFonts w:ascii="Times New Roman" w:hAnsi="Times New Roman"/>
          <w:sz w:val="24"/>
        </w:rPr>
        <w:lastRenderedPageBreak/>
        <w:t>的分析，确定合理的建仓策略。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逐步调整：通过完全复制法最终确定目标组合之后，基金经理在规定时间内采用适当的手段构建和调整实际组合直至达到跟踪指数要求。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成份股公司行为信息的跟踪与分析：跟踪标的指数成份股公司行为（如：股本变化、分红、停牌、复牌等）信息，以及成份股公司其它重大信息，分析这些信息对指数的影响，进而进行组合调整分析，为投资决策提供依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标的指数的跟踪与分析：由于各种原因，跟踪标的指数的编制方法可能会发生调整，分析这种调整对跟踪标的指数的影响，并制定相应的应对方案。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每日申购赎回情况的跟踪与分析：跟踪本基金申购和赎回信息，分析其对组合的影响。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组合持有证券、现金头寸及流动性分析：基金经理分析实际组合与目标组合的差异及其原因，并进行成份股调整的流动性分析。</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组合调整：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）利用数量化分析方法，找出将实际组合调整到目标组合的最优方案，确定组合调整及交易策略。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）如发生成份股变动、成份股公司合并及其它重大事项，可提请投资决策委员会召开会议，决定基金的操作策略。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）调整组合，达到目标组合的持仓结构。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复制标的指数并核对，同时根据最新的公司行为信息预测下一交易日指数结构。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根据指数跟踪研究结果及当日最新组合情况进行指数分析及组合分析并进行组合调整计算，进而制定下一个交易日的交易内容与策略。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以</w:t>
      </w:r>
      <w:r>
        <w:rPr>
          <w:rFonts w:ascii="Times New Roman" w:hAnsi="Times New Roman"/>
          <w:sz w:val="24"/>
        </w:rPr>
        <w:t>T-1</w:t>
      </w:r>
      <w:r>
        <w:rPr>
          <w:rFonts w:ascii="Times New Roman" w:hAnsi="Times New Roman"/>
          <w:sz w:val="24"/>
        </w:rPr>
        <w:t>日指数成份股构成及其权重为基础，考虑</w:t>
      </w:r>
      <w:r>
        <w:rPr>
          <w:rFonts w:ascii="Times New Roman" w:hAnsi="Times New Roman"/>
          <w:sz w:val="24"/>
        </w:rPr>
        <w:t>T</w:t>
      </w:r>
      <w:r>
        <w:rPr>
          <w:rFonts w:ascii="Times New Roman" w:hAnsi="Times New Roman"/>
          <w:sz w:val="24"/>
        </w:rPr>
        <w:t>日将会发生的上市公司变动等情况，设计</w:t>
      </w:r>
      <w:r>
        <w:rPr>
          <w:rFonts w:ascii="Times New Roman" w:hAnsi="Times New Roman"/>
          <w:sz w:val="24"/>
        </w:rPr>
        <w:t>T</w:t>
      </w:r>
      <w:r>
        <w:rPr>
          <w:rFonts w:ascii="Times New Roman" w:hAnsi="Times New Roman"/>
          <w:sz w:val="24"/>
        </w:rPr>
        <w:t>日申购赎回清单并公告。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、定期投资组合管理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每月末，根据基金合同中基金管理费、基金托管费等的支付要求，及时检查组合中现金的比例，进行支付现金的准备。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每月，投资决策委员会可对基金的操作进行指导与决策。基金经理根据公司投资决策委员会的决策开展下一阶段的工作。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标的指数调整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、投资绩效评估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定期对基金的绩效评估进行，主要是对跟踪偏离度进行评估；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量化投资部对本基金的运行情况进行量化评估；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基金经理根据量化评估报告，重点分析本基金的偏离度和跟踪误差产生原因、现金的控制情况、标的指数调整成份股前后的操作、未来成份股的变化等。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在正常市场情况下，力争控制本基金日均跟踪偏离度的绝对值不超过</w:t>
      </w:r>
      <w:r>
        <w:rPr>
          <w:rFonts w:ascii="Times New Roman" w:hAnsi="Times New Roman"/>
          <w:sz w:val="24"/>
        </w:rPr>
        <w:t>0.1%</w:t>
      </w:r>
      <w:r>
        <w:rPr>
          <w:rFonts w:ascii="Times New Roman" w:hAnsi="Times New Roman"/>
          <w:sz w:val="24"/>
        </w:rPr>
        <w:t>，年跟踪误差不超过</w:t>
      </w:r>
      <w:r>
        <w:rPr>
          <w:rFonts w:ascii="Times New Roman" w:hAnsi="Times New Roman"/>
          <w:sz w:val="24"/>
        </w:rPr>
        <w:t>2%</w:t>
      </w:r>
      <w:r>
        <w:rPr>
          <w:rFonts w:ascii="Times New Roman" w:hAnsi="Times New Roman"/>
          <w:sz w:val="24"/>
        </w:rPr>
        <w:t>。如因指数编制规则调整或其他因素导致跟踪偏离度和跟踪误差超过上述范围，基金管理人应采取合理措施避免跟踪偏离度、跟踪误差进一步扩大。</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 投资限制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。法律法规或监管部门另有规定的，遵从其规定；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lastRenderedPageBreak/>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、本基金与私募类证券资管产品及中国证监会认定的其他主体为交易对手开展逆回购交易的，可接受质押品的资质要求应当与本基金合同约定的投资范围保持一致；</w:t>
      </w:r>
    </w:p>
    <w:p w:rsidR="003033BC"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sidR="003033BC" w:rsidRPr="003033BC">
        <w:rPr>
          <w:rFonts w:ascii="Times New Roman" w:hAnsi="Times New Roman" w:hint="eastAsia"/>
          <w:sz w:val="24"/>
        </w:rPr>
        <w:t>本基金投资存托凭证的比例限制依照境内上市交易的股票执行；</w:t>
      </w:r>
    </w:p>
    <w:p w:rsidR="00C70CAF" w:rsidRDefault="003033B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sidR="00F63317">
        <w:rPr>
          <w:rFonts w:ascii="Times New Roman" w:hAnsi="Times New Roman"/>
          <w:sz w:val="24"/>
        </w:rPr>
        <w:t>本基金不得违反基金合同中有关投资范围、投资策略、投资比例的规定；</w:t>
      </w:r>
    </w:p>
    <w:p w:rsidR="00C70CAF" w:rsidRDefault="003033B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F63317">
        <w:rPr>
          <w:rFonts w:ascii="Times New Roman" w:hAnsi="Times New Roman"/>
          <w:sz w:val="24"/>
        </w:rPr>
        <w:t>、法律法规或监管部门对上述比例限制另有规定的，从其规定。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项以外</w:t>
      </w:r>
      <w:r>
        <w:rPr>
          <w:rFonts w:ascii="Times New Roman" w:hAnsi="Times New Roman"/>
          <w:sz w:val="24"/>
        </w:rPr>
        <w:t>,</w:t>
      </w:r>
      <w:r>
        <w:rPr>
          <w:rFonts w:ascii="Times New Roman" w:hAnsi="Times New Roman"/>
          <w:sz w:val="24"/>
        </w:rPr>
        <w:t>因证券市场波动、上市公司合并、基金规模变动、标的指数成分股调整、基金申购或赎回带来现金等非本基金管理人的因素致使基金的投资组合不符合上述规定的投资比例的，基金管理人应当在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 禁止行为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、买卖其他基金份额，但是法律法规或国务院另有规定的除外；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、向基金管理人、基金托管人出资或者买卖基金管理人、基金托管人发行的股票或者债券；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对于因上述</w:t>
      </w:r>
      <w:r>
        <w:rPr>
          <w:rFonts w:ascii="Times New Roman" w:hAnsi="Times New Roman"/>
          <w:sz w:val="24"/>
        </w:rPr>
        <w:t>5</w:t>
      </w:r>
      <w:r>
        <w:rPr>
          <w:rFonts w:ascii="Times New Roman" w:hAnsi="Times New Roman"/>
          <w:sz w:val="24"/>
        </w:rPr>
        <w:t>、</w:t>
      </w:r>
      <w:r>
        <w:rPr>
          <w:rFonts w:ascii="Times New Roman" w:hAnsi="Times New Roman"/>
          <w:sz w:val="24"/>
        </w:rPr>
        <w:t xml:space="preserve">6 </w:t>
      </w:r>
      <w:r>
        <w:rPr>
          <w:rFonts w:ascii="Times New Roman" w:hAnsi="Times New Roman"/>
          <w:sz w:val="24"/>
        </w:rPr>
        <w:t>项情形导致无法投资的标的指数成份股或备选成份股，基金</w:t>
      </w:r>
      <w:r>
        <w:rPr>
          <w:rFonts w:ascii="Times New Roman" w:hAnsi="Times New Roman"/>
          <w:sz w:val="24"/>
        </w:rPr>
        <w:lastRenderedPageBreak/>
        <w:t>管理人将在严格控制跟踪误差的前提下，结合使用其他合理方法进行适当替代。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若法律法规或监管部门取消上述禁止性规定，履行适当程序后，本基金投资可不受上述规定限制。</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 基金管理人代表基金行使股东权利的处理原则及方法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、基金管理人按照国家有关规定代表基金独立行使股东权利，保护基金份额持有人的利益；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 基金的融资、融券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 基金投资组合报告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824,432.37</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67,325,938.80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积极投资按行业分类的股票投资组合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本基金本报告期末未持有积极投资的股票。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指数投资按行业分类的股票投资组合</w:t>
      </w:r>
    </w:p>
    <w:p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3,132,308.00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4.66</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321,785.00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40,905,853.93</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60.90</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727,046.08</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289,248.00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1,188,322.00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1.77</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142,818.00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9,688,623.26</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14.42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9,211,915.88</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13.71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338,818.72</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541,489.00</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0.81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98.98</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2.3</w:t>
      </w:r>
      <w:r>
        <w:rPr>
          <w:rFonts w:ascii="Times New Roman" w:hAnsi="Times New Roman"/>
          <w:sz w:val="24"/>
        </w:rPr>
        <w:t>报告期末按行业分类的港股通投资股票投资组合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、报告期末按公允价值占基金资产净值比例大小排序的股票投资明细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129,883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7,765,704.57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11.56</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127,574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7,216,861.18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10.74</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万科</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176,800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4,621,552.00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6.88</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710,685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3,318,898.95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4.94</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229,694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2,940,083.20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4.38</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125,060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2,726,308.00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4.06</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w:t>
            </w:r>
            <w:r>
              <w:rPr>
                <w:rFonts w:ascii="Times New Roman" w:hAnsi="Times New Roman"/>
                <w:color w:val="000000"/>
                <w:kern w:val="0"/>
                <w:sz w:val="25"/>
                <w:szCs w:val="24"/>
              </w:rPr>
              <w:t>科技</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316,200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1,960,440.00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68,158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1,790,510.66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117,356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1,610,124.32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2.40</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14,498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1,524,319.72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2.27</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报告期末积极投资按公允价值占基金资产净值比例大小排序的前五名股票投资明细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本基金本报告期末未持有积极投资的股票。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9</w:t>
      </w:r>
      <w:r>
        <w:rPr>
          <w:rFonts w:ascii="Times New Roman" w:hAnsi="Times New Roman"/>
          <w:sz w:val="24"/>
        </w:rPr>
        <w:t>、报告期末本基金投资的股指期货交易情况说明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11.1 </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11.2 </w:t>
      </w:r>
      <w:r>
        <w:rPr>
          <w:rFonts w:ascii="Times New Roman" w:hAnsi="Times New Roman"/>
          <w:sz w:val="24"/>
        </w:rPr>
        <w:t>本基金投资的前十名股票中，没有超出基金合同规定的备选股票库之外的股票。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11.3 </w:t>
      </w:r>
      <w:r>
        <w:rPr>
          <w:rFonts w:ascii="Times New Roman" w:hAnsi="Times New Roman"/>
          <w:sz w:val="24"/>
        </w:rPr>
        <w:t>其他资产构成</w:t>
      </w:r>
    </w:p>
    <w:p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13,114.41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164.15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报告期末投资的股票存在流通受限情况的说明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11.5.1</w:t>
      </w:r>
      <w:r>
        <w:rPr>
          <w:rFonts w:ascii="Times New Roman" w:hAnsi="Times New Roman"/>
          <w:sz w:val="24"/>
        </w:rPr>
        <w:t>报告期末指数投资前十名股票中存在流通受限情况的说明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本基金本报告期末指数投资前十名股票中不存在流通受限情况。</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11.5.2</w:t>
      </w:r>
      <w:r>
        <w:rPr>
          <w:rFonts w:ascii="Times New Roman" w:hAnsi="Times New Roman"/>
          <w:sz w:val="24"/>
        </w:rPr>
        <w:t>报告期末积极投资前五名股票中存在流通受限情况的说明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本基金本报告期末未持有积极投资的股票。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4" w:name="_Toc54104431"/>
      <w:r>
        <w:rPr>
          <w:rFonts w:ascii="Times New Roman" w:hAnsi="Times New Roman"/>
          <w:sz w:val="30"/>
        </w:rPr>
        <w:lastRenderedPageBreak/>
        <w:t>十一、基金的业绩</w:t>
      </w:r>
      <w:bookmarkEnd w:id="14"/>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12.49%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-2.99%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53.97%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52.38%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-28.74%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-29.72%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32.47%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32.11%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-8.63%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-9.28%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-0.09%</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15.34%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2.56%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45.96%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44.92%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4.91%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C70CA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-19.19%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bl>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p>
    <w:p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rsidR="00C70CAF" w:rsidRDefault="00DB69A9">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extent cx="5585460" cy="3284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3</w:t>
      </w:r>
      <w:r>
        <w:rPr>
          <w:rFonts w:ascii="Times New Roman" w:hAnsi="Times New Roman"/>
          <w:sz w:val="24"/>
        </w:rPr>
        <w:t>个月。截至建仓期结束，本基金各项资产配置比例符合基金合同及招募说明书有关投资比例的约定。</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5" w:name="_Toc54104432"/>
      <w:r>
        <w:rPr>
          <w:rFonts w:ascii="Times New Roman" w:hAnsi="Times New Roman"/>
          <w:sz w:val="30"/>
        </w:rPr>
        <w:lastRenderedPageBreak/>
        <w:t>十二、基金的财产</w:t>
      </w:r>
      <w:bookmarkEnd w:id="15"/>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基金资产净值是指基金资产总值减去基金负债后的净资产值。</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(四)基金财产的处分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6" w:name="_Toc54104433"/>
      <w:r>
        <w:rPr>
          <w:rFonts w:ascii="Times New Roman" w:hAnsi="Times New Roman"/>
          <w:sz w:val="30"/>
        </w:rPr>
        <w:lastRenderedPageBreak/>
        <w:t>十三、基金资产的估值</w:t>
      </w:r>
      <w:bookmarkEnd w:id="16"/>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基金资产的估值目的是客观、准确地反映基金资产是否保值、增值，并为基金份额提供计价依据。</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本基金的估值日为相关的证券交易场所的正常交易日，以及国家法律法规规定需要对外披露基金净值的非交易日。</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基金依法拥有的股票、债券、权证及其他基金资产和负债。</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rsidR="00BF2D9F"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BF2D9F" w:rsidRPr="00BF2D9F">
        <w:rPr>
          <w:rFonts w:ascii="Times New Roman" w:hAnsi="Times New Roman" w:hint="eastAsia"/>
          <w:sz w:val="24"/>
        </w:rPr>
        <w:t>本基金投资存托凭证的估值核算依照境内上市交易的股票执行。</w:t>
      </w:r>
    </w:p>
    <w:p w:rsidR="00C70CAF" w:rsidRDefault="00BF2D9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F63317">
        <w:rPr>
          <w:rFonts w:ascii="Times New Roman" w:hAnsi="Times New Roman"/>
          <w:sz w:val="24"/>
        </w:rPr>
        <w:t>在任何情况下，基金管理人如采用本项第（</w:t>
      </w:r>
      <w:r w:rsidR="00F63317">
        <w:rPr>
          <w:rFonts w:ascii="Times New Roman" w:hAnsi="Times New Roman"/>
          <w:sz w:val="24"/>
        </w:rPr>
        <w:t>1</w:t>
      </w:r>
      <w:r w:rsidR="00F63317">
        <w:rPr>
          <w:rFonts w:ascii="Times New Roman" w:hAnsi="Times New Roman"/>
          <w:sz w:val="24"/>
        </w:rPr>
        <w:t>）－（</w:t>
      </w:r>
      <w:r>
        <w:rPr>
          <w:rFonts w:ascii="Times New Roman" w:hAnsi="Times New Roman"/>
          <w:sz w:val="24"/>
        </w:rPr>
        <w:t>3</w:t>
      </w:r>
      <w:r w:rsidR="00F63317">
        <w:rPr>
          <w:rFonts w:ascii="Times New Roman" w:hAnsi="Times New Roman"/>
          <w:sz w:val="24"/>
        </w:rPr>
        <w:t>）小项规定的方法对基金资产进行估值，均应被认为采用了适当的估值方法。但是，如果基金管理人认为按本项第（</w:t>
      </w:r>
      <w:r w:rsidR="00F63317">
        <w:rPr>
          <w:rFonts w:ascii="Times New Roman" w:hAnsi="Times New Roman"/>
          <w:sz w:val="24"/>
        </w:rPr>
        <w:t>1</w:t>
      </w:r>
      <w:r w:rsidR="00F63317">
        <w:rPr>
          <w:rFonts w:ascii="Times New Roman" w:hAnsi="Times New Roman"/>
          <w:sz w:val="24"/>
        </w:rPr>
        <w:t>）－（</w:t>
      </w:r>
      <w:r>
        <w:rPr>
          <w:rFonts w:ascii="Times New Roman" w:hAnsi="Times New Roman"/>
          <w:sz w:val="24"/>
        </w:rPr>
        <w:t>3</w:t>
      </w:r>
      <w:r w:rsidR="00F6331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BF2D9F">
        <w:rPr>
          <w:rFonts w:ascii="Times New Roman" w:hAnsi="Times New Roman"/>
          <w:sz w:val="24"/>
        </w:rPr>
        <w:t>5</w:t>
      </w:r>
      <w:r>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、债券估值方法：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、衍生品及其他有价证券等资产按国家有关规定进行估值。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本基金合同的当事人应按照以下约定处理：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w:t>
      </w:r>
      <w:r>
        <w:rPr>
          <w:rFonts w:ascii="Times New Roman" w:hAnsi="Times New Roman"/>
          <w:sz w:val="24"/>
        </w:rPr>
        <w:lastRenderedPageBreak/>
        <w:t>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w:t>
      </w:r>
      <w:r>
        <w:rPr>
          <w:rFonts w:ascii="Times New Roman" w:hAnsi="Times New Roman"/>
          <w:sz w:val="24"/>
        </w:rPr>
        <w:lastRenderedPageBreak/>
        <w:t>基金合同或其他规定，基金管理人自行或依据法院判决、仲裁裁决对受损方承担了赔偿责任，则基金管理人有权向有责任的当事人进行追索，并有权要求其赔偿或补偿由此发生的费用和遭受的损失；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若基金管理人计算的基金份额净值已由基金托管人复核确认后公告，基金份额净值出错且造成基金份额持有人损失的，应根据法律法规的规定对基金份额持有</w:t>
      </w:r>
      <w:r>
        <w:rPr>
          <w:rFonts w:ascii="Times New Roman" w:hAnsi="Times New Roman"/>
          <w:sz w:val="24"/>
        </w:rPr>
        <w:lastRenderedPageBreak/>
        <w:t>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、中国证监会和基金合同认定的其他情形。</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（九）特殊情形的处理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BF2D9F">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7" w:name="_Toc54104434"/>
      <w:r>
        <w:rPr>
          <w:rFonts w:ascii="Times New Roman" w:hAnsi="Times New Roman"/>
          <w:sz w:val="30"/>
        </w:rPr>
        <w:lastRenderedPageBreak/>
        <w:t>十四、基金的收益与分配</w:t>
      </w:r>
      <w:bookmarkEnd w:id="17"/>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 基金利润的构成</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(二)收益分配原则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、当基金净值增长率超过标的指数同期增长率达到</w:t>
      </w:r>
      <w:r>
        <w:rPr>
          <w:rFonts w:ascii="Times New Roman" w:hAnsi="Times New Roman"/>
          <w:sz w:val="24"/>
        </w:rPr>
        <w:t>1%</w:t>
      </w:r>
      <w:r>
        <w:rPr>
          <w:rFonts w:ascii="Times New Roman" w:hAnsi="Times New Roman"/>
          <w:sz w:val="24"/>
        </w:rPr>
        <w:t>以上时，可进行收益分配；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、本基金收益每年最多分配</w:t>
      </w:r>
      <w:r>
        <w:rPr>
          <w:rFonts w:ascii="Times New Roman" w:hAnsi="Times New Roman"/>
          <w:sz w:val="24"/>
        </w:rPr>
        <w:t>12</w:t>
      </w:r>
      <w:r>
        <w:rPr>
          <w:rFonts w:ascii="Times New Roman" w:hAnsi="Times New Roman"/>
          <w:sz w:val="24"/>
        </w:rPr>
        <w:t>次，每次基金收益分配比例依据以下原则确定：使收益分配后基金份额净值增长率尽可能贴近标的指数同期增长率；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、本基金收益分配采取现金分红方式；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、法律法规或监管机构另有规定的从其规定。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在不影响投资者利益的情况下，基金管理人可在法律法规允许的前提下酌情调整以上基金收益分配原则，并于变更实施日前在指定媒介上公告。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(三)基金收益分配数额的确定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、在收益评价日，基金管理人计算基金净值增长率和标的指数同期增长率，并计算基金净值增长率与标的指数同期净值增长率的差额，当差额超过</w:t>
      </w:r>
      <w:r>
        <w:rPr>
          <w:rFonts w:ascii="Times New Roman" w:hAnsi="Times New Roman"/>
          <w:sz w:val="24"/>
        </w:rPr>
        <w:t>1%</w:t>
      </w:r>
      <w:r>
        <w:rPr>
          <w:rFonts w:ascii="Times New Roman" w:hAnsi="Times New Roman"/>
          <w:sz w:val="24"/>
        </w:rPr>
        <w:t>时，基金管理人有权进行收益分配。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、根据前述收益分配原则确定收益评价日本基金的收益分配比例及收益分配数额。</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基金收益分配方案中应载明基金收益分配对象、分配时间、分配数额及比例、分配方式等内容。</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、本基金收益分配方案由基金管理人拟定、由基金托管人复核，依照《信息披露办法》的有关规定在指定媒介公告。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、本基金收益分配的发放日距离收益分配基准日的时间不超过</w:t>
      </w:r>
      <w:r>
        <w:rPr>
          <w:rFonts w:ascii="Times New Roman" w:hAnsi="Times New Roman"/>
          <w:sz w:val="24"/>
        </w:rPr>
        <w:t>15</w:t>
      </w:r>
      <w:r>
        <w:rPr>
          <w:rFonts w:ascii="Times New Roman" w:hAnsi="Times New Roman"/>
          <w:sz w:val="24"/>
        </w:rPr>
        <w:t>个工作日。在分配方案公布后</w:t>
      </w:r>
      <w:r>
        <w:rPr>
          <w:rFonts w:ascii="Times New Roman" w:hAnsi="Times New Roman"/>
          <w:sz w:val="24"/>
        </w:rPr>
        <w:t>(</w:t>
      </w:r>
      <w:r>
        <w:rPr>
          <w:rFonts w:ascii="Times New Roman" w:hAnsi="Times New Roman"/>
          <w:sz w:val="24"/>
        </w:rPr>
        <w:t>依据具体方案的规定</w:t>
      </w:r>
      <w:r>
        <w:rPr>
          <w:rFonts w:ascii="Times New Roman" w:hAnsi="Times New Roman"/>
          <w:sz w:val="24"/>
        </w:rPr>
        <w:t>)</w:t>
      </w:r>
      <w:r>
        <w:rPr>
          <w:rFonts w:ascii="Times New Roman" w:hAnsi="Times New Roman"/>
          <w:sz w:val="24"/>
        </w:rPr>
        <w:t>，基金管理人就支付的现金红利向基金托管人发送划款指令，基金托管人按照基金管理人的指令及时进行分红资金的划付。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、法律法规或监管机关另有规定的，从其规定。</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8" w:name="_Toc54104435"/>
      <w:r>
        <w:rPr>
          <w:rFonts w:ascii="Times New Roman" w:hAnsi="Times New Roman"/>
          <w:sz w:val="30"/>
        </w:rPr>
        <w:lastRenderedPageBreak/>
        <w:t>十五、基金的费用与税收</w:t>
      </w:r>
      <w:bookmarkEnd w:id="18"/>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、标的指数许可使用费；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、基金上市费及年费；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、基金收益分配中发生的费用；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、基金份额持有人大会费用；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、基金合同生效后与基金有关的会计师费和律师费；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、基金的证券交易费用；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、基金财产拨划支付的银行费用；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、按照国家有关规定可以在基金财产中列支的其他费用。</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在通常情况下，基金管理费按前一日基金资产净值</w:t>
      </w:r>
      <w:r>
        <w:rPr>
          <w:rFonts w:ascii="Times New Roman" w:hAnsi="Times New Roman"/>
          <w:sz w:val="24"/>
        </w:rPr>
        <w:t>0.5%</w:t>
      </w:r>
      <w:r>
        <w:rPr>
          <w:rFonts w:ascii="Times New Roman" w:hAnsi="Times New Roman"/>
          <w:sz w:val="24"/>
        </w:rPr>
        <w:t>的年费率计提。计算方法如下：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在通常情况下，基金托管费按前一日基金资产净值</w:t>
      </w:r>
      <w:r>
        <w:rPr>
          <w:rFonts w:ascii="Times New Roman" w:hAnsi="Times New Roman"/>
          <w:sz w:val="24"/>
        </w:rPr>
        <w:t>0.1%</w:t>
      </w:r>
      <w:r>
        <w:rPr>
          <w:rFonts w:ascii="Times New Roman" w:hAnsi="Times New Roman"/>
          <w:sz w:val="24"/>
        </w:rPr>
        <w:t>的年费率计提。计算方法如下：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）标的指数许可使用费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在通常情况下，基金标的指数许可使用费按前一日基金资产净值</w:t>
      </w:r>
      <w:r>
        <w:rPr>
          <w:rFonts w:ascii="Times New Roman" w:hAnsi="Times New Roman"/>
          <w:sz w:val="24"/>
        </w:rPr>
        <w:t>0.03%</w:t>
      </w:r>
      <w:r>
        <w:rPr>
          <w:rFonts w:ascii="Times New Roman" w:hAnsi="Times New Roman"/>
          <w:sz w:val="24"/>
        </w:rPr>
        <w:t>的年费率计提。计算方法如下：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标的指数许可使用费年费率</w:t>
      </w:r>
      <w:r>
        <w:rPr>
          <w:rFonts w:ascii="Times New Roman" w:hAnsi="Times New Roman"/>
          <w:sz w:val="24"/>
        </w:rPr>
        <w:t>÷</w:t>
      </w:r>
      <w:r>
        <w:rPr>
          <w:rFonts w:ascii="Times New Roman" w:hAnsi="Times New Roman"/>
          <w:sz w:val="24"/>
        </w:rPr>
        <w:t>当年天数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为每日应计提的基金标的指数许可使用费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根据基金管理人与标的指数供应商签订的相应指数许可协议的规定，本基金标的指数许可使用费年费率为</w:t>
      </w:r>
      <w:r>
        <w:rPr>
          <w:rFonts w:ascii="Times New Roman" w:hAnsi="Times New Roman"/>
          <w:sz w:val="24"/>
        </w:rPr>
        <w:t>0.03%</w:t>
      </w:r>
      <w:r>
        <w:rPr>
          <w:rFonts w:ascii="Times New Roman" w:hAnsi="Times New Roman"/>
          <w:sz w:val="24"/>
        </w:rPr>
        <w:t>。当季日均基金资产净值大于人民币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标的指数许可使用费的收取下限为每季（自然季度）人民币</w:t>
      </w:r>
      <w:r>
        <w:rPr>
          <w:rFonts w:ascii="Times New Roman" w:hAnsi="Times New Roman"/>
          <w:sz w:val="24"/>
        </w:rPr>
        <w:t>35,000</w:t>
      </w:r>
      <w:r>
        <w:rPr>
          <w:rFonts w:ascii="Times New Roman" w:hAnsi="Times New Roman"/>
          <w:sz w:val="24"/>
        </w:rPr>
        <w:t>元，基金当季存续期间不足一季度的，根据实际存续天数按比例计算。当季日均基金资产净值小于或等于人民币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无许可使用费的收取下限。</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基金合同生效日起，基金标的指数许可使用费每日计提，逐日累计，按季支付，由基金管理人向基金托管人发送基金标的指数许可使用费划付指令，经基金托管人复核后从基金财产中一次性支付，若遇法定节假日、休息日，支付日期顺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）上述</w:t>
      </w:r>
      <w:r>
        <w:rPr>
          <w:rFonts w:ascii="Times New Roman" w:hAnsi="Times New Roman"/>
          <w:sz w:val="24"/>
        </w:rPr>
        <w:t>“(</w:t>
      </w:r>
      <w:r>
        <w:rPr>
          <w:rFonts w:ascii="Times New Roman" w:hAnsi="Times New Roman"/>
          <w:sz w:val="24"/>
        </w:rPr>
        <w:t>一</w:t>
      </w:r>
      <w:r>
        <w:rPr>
          <w:rFonts w:ascii="Times New Roman" w:hAnsi="Times New Roman"/>
          <w:sz w:val="24"/>
        </w:rPr>
        <w:t xml:space="preserve">) </w:t>
      </w:r>
      <w:r>
        <w:rPr>
          <w:rFonts w:ascii="Times New Roman" w:hAnsi="Times New Roman"/>
          <w:sz w:val="24"/>
        </w:rPr>
        <w:t>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到</w:t>
      </w:r>
      <w:r>
        <w:rPr>
          <w:rFonts w:ascii="Times New Roman" w:hAnsi="Times New Roman"/>
          <w:sz w:val="24"/>
        </w:rPr>
        <w:t>11</w:t>
      </w:r>
      <w:r>
        <w:rPr>
          <w:rFonts w:ascii="Times New Roman" w:hAnsi="Times New Roman"/>
          <w:sz w:val="24"/>
        </w:rPr>
        <w:t>项费用由基金托管人根据其他有关法律法规及相应协议的规定，按费用支出金额支付，列入或摊入当期基金费用。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人和基金托管人可根据基金发展情况调整基金管理费率和基金托管费率。降低基金管理费率和基金托管费率，无须召开基金份额持有人大会。基金管理人必须依照有关规定最迟于新的费率实施日前在指定媒介上刊登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19" w:name="_Toc54104436"/>
      <w:r>
        <w:rPr>
          <w:rFonts w:ascii="Times New Roman" w:hAnsi="Times New Roman"/>
          <w:sz w:val="30"/>
        </w:rPr>
        <w:lastRenderedPageBreak/>
        <w:t>十六、基金的会计与审计</w:t>
      </w:r>
      <w:bookmarkEnd w:id="19"/>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(一)基金的会计政策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、基金管理人聘请具有从事证券、期货相关相关业务资格的会计师事务所及其注册会计师对本基金年度财务报表及其他规定事项进行审计。会计师事务所及其注册会计师与基金管理人、基金托管人相互独立。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0" w:name="_Toc54104437"/>
      <w:r>
        <w:rPr>
          <w:rFonts w:ascii="Times New Roman" w:hAnsi="Times New Roman"/>
          <w:sz w:val="30"/>
        </w:rPr>
        <w:lastRenderedPageBreak/>
        <w:t>十七、基金的信息披露</w:t>
      </w:r>
      <w:bookmarkEnd w:id="20"/>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(三)本基金信息披露义务人在承诺公开披露的基金信息时，不得有下列行为：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、诋毁其他基金管理人、基金托管人或者基金份额销售机构；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基金募集申请经中国证监会核准后，基金管理人在基金份额发售</w:t>
      </w:r>
      <w:r>
        <w:rPr>
          <w:rFonts w:ascii="Times New Roman" w:hAnsi="Times New Roman"/>
          <w:sz w:val="24"/>
        </w:rPr>
        <w:t>3</w:t>
      </w:r>
      <w:r>
        <w:rPr>
          <w:rFonts w:ascii="Times New Roman" w:hAnsi="Times New Roman"/>
          <w:sz w:val="24"/>
        </w:rPr>
        <w:t>日前，将招募说明书、基金合同摘要登载在指定报刊和网站上；基金管理人、基金托管人应当将基金合同、托管协议登载在网站上。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招募说明书应当最大限度地披露影响基金投资者决策的全部事项，说明基</w:t>
      </w:r>
      <w:r>
        <w:rPr>
          <w:rFonts w:ascii="Times New Roman" w:hAnsi="Times New Roman"/>
          <w:sz w:val="24"/>
        </w:rPr>
        <w:lastRenderedPageBreak/>
        <w:t>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托管协议是界定基金托管人和基金管理人在基金财产保管及基金运作监督等活动中的权利、义务关系的法律文件。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基金管理人应当在本基金合同生效的次日在指定报刊和网站上登载基金合同生效公告。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、基金份额折算公告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基金管理人确定基金份额折算日，并至少提前</w:t>
      </w:r>
      <w:r>
        <w:rPr>
          <w:rFonts w:ascii="Times New Roman" w:hAnsi="Times New Roman"/>
          <w:sz w:val="24"/>
        </w:rPr>
        <w:t>3</w:t>
      </w:r>
      <w:r>
        <w:rPr>
          <w:rFonts w:ascii="Times New Roman" w:hAnsi="Times New Roman"/>
          <w:sz w:val="24"/>
        </w:rPr>
        <w:t>个工作日将基金份额折算日公告登载于指定报刊和网站上。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基金份额进行折算并由注册登记机构完成基金份额的变更登记后，基金管理人将在</w:t>
      </w:r>
      <w:r>
        <w:rPr>
          <w:rFonts w:ascii="Times New Roman" w:hAnsi="Times New Roman"/>
          <w:sz w:val="24"/>
        </w:rPr>
        <w:t>3</w:t>
      </w:r>
      <w:r>
        <w:rPr>
          <w:rFonts w:ascii="Times New Roman" w:hAnsi="Times New Roman"/>
          <w:sz w:val="24"/>
        </w:rPr>
        <w:t>个工作日内将基金份额折算结果公告登载于指定报刊和网站上。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、基金开始申购、赎回公告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基金管理人应于申购开始日、赎回开始日前在指定报刊和网站上公告。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、基金份额上市交易公告书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基金份额获准在证券交易所上市交易的，基金管理人应当在基金份额上市交易</w:t>
      </w:r>
      <w:r>
        <w:rPr>
          <w:rFonts w:ascii="Times New Roman" w:hAnsi="Times New Roman"/>
          <w:sz w:val="24"/>
        </w:rPr>
        <w:lastRenderedPageBreak/>
        <w:t>3</w:t>
      </w:r>
      <w:r>
        <w:rPr>
          <w:rFonts w:ascii="Times New Roman" w:hAnsi="Times New Roman"/>
          <w:sz w:val="24"/>
        </w:rPr>
        <w:t>个工作日前，将基金份额上市交易公告书登载在指定报刊和网站上。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、基金净值信息公告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、申购赎回清单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、基金定期报告，包括基金年度报告、基金中期报告和基金季度报告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、临时报告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w:t>
      </w:r>
      <w:r>
        <w:rPr>
          <w:rFonts w:ascii="Times New Roman" w:hAnsi="Times New Roman"/>
          <w:sz w:val="24"/>
        </w:rPr>
        <w:lastRenderedPageBreak/>
        <w:t>登载在指定报刊和指定网站上。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18</w:t>
      </w:r>
      <w:r>
        <w:rPr>
          <w:rFonts w:ascii="Times New Roman" w:hAnsi="Times New Roman"/>
          <w:sz w:val="24"/>
        </w:rPr>
        <w:t>）本基金暂停接受申购、赎回申请或重新接受申购、赎回申请；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）发生涉及基金申购、赎回事项调整或潜在影响投资者赎回等重大事项时；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）基金变更标的指数；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）基金暂停上市、恢复上市或终止上市；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）基金推出新业务或服务；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）基金信息披露义务人认为可能对基金份额持有人权益或者基金份额的价格产生重大影响的其他事项或中国证监会规定的其他事项。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、澄清公告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、基金份额持有人大会决议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、中国证监会规定的其他信息</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(六)信息披露文件的存放与查阅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（七）本基金信息披露事项以法律法规规定及本章节约定的内容为准。</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1" w:name="_Toc54104438"/>
      <w:r>
        <w:rPr>
          <w:rFonts w:ascii="Times New Roman" w:hAnsi="Times New Roman"/>
          <w:sz w:val="30"/>
        </w:rPr>
        <w:lastRenderedPageBreak/>
        <w:t>十八、风险揭示</w:t>
      </w:r>
      <w:bookmarkEnd w:id="21"/>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w:t>
      </w:r>
      <w:r>
        <w:rPr>
          <w:rFonts w:ascii="Times New Roman" w:hAnsi="Times New Roman"/>
          <w:sz w:val="24"/>
        </w:rPr>
        <w:lastRenderedPageBreak/>
        <w:t>影响而引起的波动，将对基金收益水平产生潜在风险，主要包括：</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（二）投资本基金的特有风险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、标的指数回报与股票市场平均回报偏离的风险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、标的指数波动的风险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、基金投资组合回报与标的指数回报偏离的风险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以下因素可能使基金投资组合的收益率与标的指数的收益率发生偏离：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由于标的指数成份股发生配股、增发等行为导致成份股在标的指数中的权重</w:t>
      </w:r>
      <w:r>
        <w:rPr>
          <w:rFonts w:ascii="Times New Roman" w:hAnsi="Times New Roman"/>
          <w:sz w:val="24"/>
        </w:rPr>
        <w:lastRenderedPageBreak/>
        <w:t>发生变化，使本基金在相应的组合调整中产生跟踪偏离度和跟踪误差。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因法律法规的限制或其他限制，本基金可能不能投资于部分标的指数成分股。在使用替代方法，如投资同行业中相关性较高的股票以替代上述投资受限股票时，会产生一定的跟踪偏离度和跟踪误差。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在本基金指数化投资过程中，基金管理人的管理能力，例如跟踪指数的水平、技术手段、买入卖出的时机选择等，都会对本基金的收益产生影响，从而影响本基金对标的指数的跟踪程度。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、标的指数变更的风险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、基金份额二级市场交易价格折溢价的风险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、参考</w:t>
      </w:r>
      <w:r>
        <w:rPr>
          <w:rFonts w:ascii="Times New Roman" w:hAnsi="Times New Roman"/>
          <w:sz w:val="24"/>
        </w:rPr>
        <w:t>IOPV</w:t>
      </w:r>
      <w:r>
        <w:rPr>
          <w:rFonts w:ascii="Times New Roman" w:hAnsi="Times New Roman"/>
          <w:sz w:val="24"/>
        </w:rPr>
        <w:t>决策和</w:t>
      </w:r>
      <w:r>
        <w:rPr>
          <w:rFonts w:ascii="Times New Roman" w:hAnsi="Times New Roman"/>
          <w:sz w:val="24"/>
        </w:rPr>
        <w:t>IOPV</w:t>
      </w:r>
      <w:r>
        <w:rPr>
          <w:rFonts w:ascii="Times New Roman" w:hAnsi="Times New Roman"/>
          <w:sz w:val="24"/>
        </w:rPr>
        <w:t>计算错误的风险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r>
        <w:rPr>
          <w:rFonts w:ascii="Times New Roman" w:hAnsi="Times New Roman"/>
          <w:sz w:val="24"/>
        </w:rPr>
        <w:t>IOPV</w:t>
      </w:r>
      <w:r>
        <w:rPr>
          <w:rFonts w:ascii="Times New Roman" w:hAnsi="Times New Roman"/>
          <w:sz w:val="24"/>
        </w:rPr>
        <w:t>与实时的基金份额净值可能存在差异，</w:t>
      </w:r>
      <w:r>
        <w:rPr>
          <w:rFonts w:ascii="Times New Roman" w:hAnsi="Times New Roman"/>
          <w:sz w:val="24"/>
        </w:rPr>
        <w:t>IOPV</w:t>
      </w:r>
      <w:r>
        <w:rPr>
          <w:rFonts w:ascii="Times New Roman" w:hAnsi="Times New Roman"/>
          <w:sz w:val="24"/>
        </w:rPr>
        <w:t>计算可能出现错误，投资者若参</w:t>
      </w:r>
      <w:r>
        <w:rPr>
          <w:rFonts w:ascii="Times New Roman" w:hAnsi="Times New Roman"/>
          <w:sz w:val="24"/>
        </w:rPr>
        <w:lastRenderedPageBreak/>
        <w:t>考</w:t>
      </w:r>
      <w:r>
        <w:rPr>
          <w:rFonts w:ascii="Times New Roman" w:hAnsi="Times New Roman"/>
          <w:sz w:val="24"/>
        </w:rPr>
        <w:t>IOPV</w:t>
      </w:r>
      <w:r>
        <w:rPr>
          <w:rFonts w:ascii="Times New Roman" w:hAnsi="Times New Roman"/>
          <w:sz w:val="24"/>
        </w:rPr>
        <w:t>进行投资决策可能导致损失，需投资者自行承担。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、退市风险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、投资者申购失败的风险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、投资者赎回失败的风险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、基金份额赎回对价的变现风险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本基金赎回对价主要为组合证券，在组合证券变现过程中，由于市场变化、部分成份股流动性差等因素，导致投资者变现后的价值与赎回时赎回对价的价值有差异，存在变现风险。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、实施备用的流动性风险管理工具的情形、程序及对投资者的潜在影响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746F0" w:rsidRPr="00DB69A9" w:rsidRDefault="00F63317" w:rsidP="009746F0">
      <w:pPr>
        <w:autoSpaceDE w:val="0"/>
        <w:autoSpaceDN w:val="0"/>
        <w:adjustRightInd w:val="0"/>
        <w:snapToGrid w:val="0"/>
        <w:spacing w:line="360" w:lineRule="auto"/>
        <w:ind w:firstLineChars="200" w:firstLine="482"/>
        <w:rPr>
          <w:rFonts w:ascii="Times New Roman" w:hAnsi="Times New Roman"/>
          <w:b/>
          <w:sz w:val="24"/>
        </w:rPr>
      </w:pPr>
      <w:r w:rsidRPr="00DB69A9">
        <w:rPr>
          <w:rFonts w:ascii="Times New Roman" w:hAnsi="Times New Roman" w:hint="eastAsia"/>
          <w:b/>
          <w:sz w:val="24"/>
        </w:rPr>
        <w:t>（四）</w:t>
      </w:r>
      <w:r w:rsidR="009746F0" w:rsidRPr="00DB69A9">
        <w:rPr>
          <w:rFonts w:ascii="Times New Roman" w:hAnsi="Times New Roman" w:hint="eastAsia"/>
          <w:b/>
          <w:sz w:val="24"/>
        </w:rPr>
        <w:t>投资存托凭证的特定风险</w:t>
      </w:r>
    </w:p>
    <w:p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rsidR="00C70CAF" w:rsidRPr="00DB69A9" w:rsidRDefault="009746F0" w:rsidP="00DB69A9">
      <w:pPr>
        <w:autoSpaceDE w:val="0"/>
        <w:autoSpaceDN w:val="0"/>
        <w:adjustRightInd w:val="0"/>
        <w:snapToGrid w:val="0"/>
        <w:spacing w:line="360" w:lineRule="auto"/>
        <w:ind w:firstLineChars="200" w:firstLine="482"/>
        <w:rPr>
          <w:rFonts w:ascii="Times New Roman" w:hAnsi="Times New Roman"/>
          <w:b/>
          <w:sz w:val="24"/>
        </w:rPr>
      </w:pPr>
      <w:r w:rsidRPr="00DB69A9">
        <w:rPr>
          <w:rFonts w:ascii="Times New Roman" w:hAnsi="Times New Roman"/>
          <w:b/>
          <w:sz w:val="24"/>
        </w:rPr>
        <w:t>（</w:t>
      </w:r>
      <w:r w:rsidRPr="00DB69A9">
        <w:rPr>
          <w:rFonts w:ascii="Times New Roman" w:hAnsi="Times New Roman" w:hint="eastAsia"/>
          <w:b/>
          <w:sz w:val="24"/>
        </w:rPr>
        <w:t>五</w:t>
      </w:r>
      <w:r w:rsidRPr="00DB69A9">
        <w:rPr>
          <w:rFonts w:ascii="Times New Roman" w:hAnsi="Times New Roman"/>
          <w:b/>
          <w:sz w:val="24"/>
        </w:rPr>
        <w:t>）</w:t>
      </w:r>
      <w:r w:rsidR="00F63317" w:rsidRPr="00DB69A9">
        <w:rPr>
          <w:rFonts w:ascii="Times New Roman" w:hAnsi="Times New Roman" w:hint="eastAsia"/>
          <w:b/>
          <w:sz w:val="24"/>
        </w:rPr>
        <w:t>其他风险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、第三方机构服务的风险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本基金的多项服务委托第三方机构办理，存在以下风险：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申购赎回代理券商因多种原因，导致代理申购、赎回业务受到限制、暂停或终止，由此影响对投资者申购赎回服务的风险。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注册登记机构可能调整结算制度，对投资者基金份额、组合证券及资金的结算方式发生变化，制度调整可能给投资者带来理解偏差的风险。同样的风险还可能来自于证券交易所及其他代理机构。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证券交易所、注册登记机构、基金托管人及其他代理机构可能违约，导致基</w:t>
      </w:r>
      <w:r>
        <w:rPr>
          <w:rFonts w:ascii="Times New Roman" w:hAnsi="Times New Roman"/>
          <w:sz w:val="24"/>
        </w:rPr>
        <w:lastRenderedPageBreak/>
        <w:t>金或投资者利益受损的风险。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、管理风险与操作风险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、技术风险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、不可抗力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战争、自然灾害等不可抗力可能导致基金资产有遭受损失的风险。基金管理人、基金托管人、证券交易所、注册登记机构和代销机构等可能因不可抗力无法正常工作，从而影响基金的各项业务按正常时限完成。</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2" w:name="_Toc54104439"/>
      <w:r>
        <w:rPr>
          <w:rFonts w:ascii="Times New Roman" w:hAnsi="Times New Roman"/>
          <w:sz w:val="30"/>
        </w:rPr>
        <w:lastRenderedPageBreak/>
        <w:t>十九、基金合同的终止与基金财产的清算</w:t>
      </w:r>
      <w:bookmarkEnd w:id="22"/>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基金合同终止后，成立基金清算小组，基金清算小组在中国证监会的监督下进行基金清算。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基金清算小组成员由基金管理人、基金托管人、具有从事证券相关业务资格的注册会计师、律师以及中国证监会指定的人员组成。基金清算小组可以聘用必要的工作人员。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基金清算小组负责基金财产的保管、清理、估价、变现和分配。基金清算小组可以依法进行必要的民事活动。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基金合同终止时，由基金清算小组统一接管基金财产；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对基金财产进行清理和确认；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对基金财产进行估价和变现；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聘请会计师事务所对清算报告进行审计；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聘请律师事务所对清算报告出具法律意见书；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将基金清算结果报告中国证监会；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公布基金清算报告；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对基金剩余财产进行分配。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、清算费用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清算费用是指基金清算小组在进行基金清算过程中发生的所有合理费用，清算费用由基金清算小组优先从基金财产中支付。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、基金财产按下列顺序清偿：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支付清算费用；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交纳所欠税款；</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清偿基金债务；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按基金份额持有人持有的基金份额比例进行分配。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项规定清偿前，不分配给基金份额持有人。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个工作日内由基金清算小组公告；清算过程中的有关重大事项须及时公告；基金财产清算结果经会计师事务所审计，律师事务所出具法律意见书后，由基金财产清算小组报中国证监会备案并公告。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、基金财产清算账册及文件的保存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3" w:name="_Toc54104440"/>
      <w:r>
        <w:rPr>
          <w:rFonts w:ascii="Times New Roman" w:hAnsi="Times New Roman"/>
          <w:sz w:val="30"/>
        </w:rPr>
        <w:lastRenderedPageBreak/>
        <w:t>二十、基金合同内容摘要</w:t>
      </w:r>
      <w:bookmarkEnd w:id="23"/>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（一）基金合同当事人的权利与义务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根据《基金法》及其他有关法律法规，基金管理人的权利为：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）依照本基金合同获得基金管理费以及法律法规规定或中国证监会批准的其他收入；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）根据法律法规和基金合同之规定销售基金份额；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）根据法律法规和基金合同的规定制定基金收益分配方案；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）依照有关规定为基金的利益行使因基金财产投资于证券所产生的权利；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）在符合有关法律法规、交易所及注册登记结构相关业务规则和本基金合同的前提下，决定基金的除调高托管费和管理费之外的费率结构和收费方式；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）在基金合同约定的范围内，拒绝或暂停受理申购、赎回申请；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）自行担任基金注册登记机构或选择、更换注册登记机构，并对注册登记机构的代理行为进行必要的监督和检查；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）在基金托管人更换时，提名新的基金托管人；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）依法召集基金份额持有人大会；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）以基金管理人名义代表基金份额持有人利益行使诉讼权利或者实施其他法律行为；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）根据国家有关规定，在法律法规允许的前提下，以基金的名义依法为基</w:t>
      </w:r>
      <w:r>
        <w:rPr>
          <w:rFonts w:ascii="Times New Roman" w:hAnsi="Times New Roman"/>
          <w:sz w:val="24"/>
        </w:rPr>
        <w:lastRenderedPageBreak/>
        <w:t>金融资、融券；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）法律法规、基金合同以及依据基金合同制定的其它法律文件规定的其他权利。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根据《基金法》及其他有关法律法规，基金管理人的义务为：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）依法募集基金，办理或者委托经由中国证监会认定的其他机构代为办理基金份额的发售、申购、赎回和注册登记事宜；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）计算并公告基金净值信息，确定基金份额申购赎回清单；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）采取适当合理的措施使计算基金份额认购价格以及申购、赎回对价的方法符合基金合同等法律文件的规定；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）按规定受理基金份额的申购和赎回申请，及时、足额支付申购的应付基金份额和现金及赎回之对价；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w:t>
      </w:r>
      <w:r>
        <w:rPr>
          <w:rFonts w:ascii="Times New Roman" w:hAnsi="Times New Roman"/>
          <w:sz w:val="24"/>
        </w:rPr>
        <w:lastRenderedPageBreak/>
        <w:t>配收益；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）不从事任何有损基金及其他基金合同当事人合法权益的活动；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根据《基金法》及其他有关法律法规，基金托管人的权利为：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）依照基金合同的约定获得基金托管费；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）自本基金合同生效之日起，依照法律法规和基金合同、托管协议的规定保管基金财产；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）在基金管理人更换时，提名新任基金管理人；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w:t>
      </w:r>
      <w:r>
        <w:rPr>
          <w:rFonts w:ascii="Times New Roman" w:hAnsi="Times New Roman"/>
          <w:sz w:val="24"/>
        </w:rPr>
        <w:lastRenderedPageBreak/>
        <w:t>重大损失的情形，应及时呈报中国证监会，并采取必要措施保护基金及相关基金合同当事人的利益；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）依法提议召开或召集基金份额持有人大会；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）法律法规规定的其他权利。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根据《基金法》及其他有关法律法规，基金托管人的义务为：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）复核、审查基金管理人计算的基金资产净值、基金份额净值和基金份额申购、赎回对价；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）按规定制作相关账册并与基金管理人核对；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）依据基金管理人的指令或有关规定向基金份额持有人支付基金收益和交付赎回对价；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）按照规定召集基金份额持有人大会或配合基金管理人、基金份额持有人依法自行召集基金份额持有人大会；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）参加基金财产清算组，参与基金财产的保管、清理、估价、变现和分配；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）面临解散、依法被撤销、破产或者由接管人接管其资产时，及时报告中国证监会和中国银监会，并通知基金管理人；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）法律法规、基金合同规定的以及中国证监会要求的其他义务。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根据《基金法》、《运作办法》及其他有关法律法规，基金份额持有人的权利包括但不限于：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）依法转让或者申请赎回其持有的基金份额；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）对基金管理人、基金托管人、基金份额代销机构损害其合法权益的行为依法提起诉讼；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根据《基金法》、《运作办法》及其他有关法律法规，基金份额持有人的义务包括但不限于：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）遵守法律法规、基金合同及其他有关规定；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）缴纳基金认购款项和认购股票、应付申购对价和赎回对价及缴纳法律法规、基金合同和招募说明书规定的费用；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）遵守基金管理人、基金托管人及销售机构和注册登记机构的相关交易及业务规则；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）返还在基金交易过程中因任何原因，自基金管理人、基金托管人、代销机构以及其他基金份额持有人处获得的不当得利；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）法律法规和基金合同规定的其他义务。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、本基金合同当事人各方的权利义务以本基金合同为依据，不因基金财产账户名称而有所改变。</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、基金份额持有人大会的组成</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）鉴于本基金和本基金的联接基金（即</w:t>
      </w:r>
      <w:r>
        <w:rPr>
          <w:rFonts w:ascii="Times New Roman" w:hAnsi="Times New Roman"/>
          <w:sz w:val="24"/>
        </w:rPr>
        <w:t>“</w:t>
      </w:r>
      <w:r>
        <w:rPr>
          <w:rFonts w:ascii="Times New Roman" w:hAnsi="Times New Roman"/>
          <w:sz w:val="24"/>
        </w:rPr>
        <w:t>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联接基金</w:t>
      </w:r>
      <w:r>
        <w:rPr>
          <w:rFonts w:ascii="Times New Roman" w:hAnsi="Times New Roman"/>
          <w:sz w:val="24"/>
        </w:rPr>
        <w:t>”</w:t>
      </w:r>
      <w:r>
        <w:rPr>
          <w:rFonts w:ascii="Times New Roman" w:hAnsi="Times New Roman"/>
          <w:sz w:val="24"/>
        </w:rPr>
        <w:t>）的相关性，本基金联接基金的基金份额持有人可以凭所持有的联接基金份额出席或者委派代表出席本基金的份额持有人大会并参与表决。在计算参会份额和计票时，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、召开事由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转换基金运作方式；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变更基金类别；</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变更基金投资目标、投资范围或投资策略（法律法规和中国证监会另有规定的除外）；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变更基金份额持有人大会议事程序；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更换基金管理人、基金托管人；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提高基金管理人、基金托管人的报酬标准。但根据法律法规的要求提高该等报酬标准的除外；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本基金与其他基金的合并；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9) </w:t>
      </w:r>
      <w:r>
        <w:rPr>
          <w:rFonts w:ascii="Times New Roman" w:hAnsi="Times New Roman"/>
          <w:sz w:val="24"/>
        </w:rPr>
        <w:t>终止基金上市，但因基金不再具备上市条件而被深圳证券交易所终止上市的除外；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对基金合同当事人权利、义务产生重大影响，需召开基金份额持有人大会的变更基金合同等其他事项；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法律法规、基金合同或中国证监会规定的其他情形。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）出现以下情形之一的，可由基金管理人和基金托管人协商后修改，不需召开基金份额持有人大会：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调低基金管理费、基金托管费等其他应由基金或基金份额持有人承担的费用；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因相应的法律法规、深圳证券交易所或者注册登记机构的相关业务规则发生变动必须对基金合同进行修改；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基金合同的修改不涉及本基金合同当事人权利义务关系发生重大变化；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按照法律法规或本基金合同规定不需召开基金份额持有人大会的其他情形。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、召集人和召集方式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、召开基金份额持有人大会的通知时间、通知内容、通知方式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）基金份额持有人大会的召集人</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40</w:t>
      </w:r>
      <w:r>
        <w:rPr>
          <w:rFonts w:ascii="Times New Roman" w:hAnsi="Times New Roman"/>
          <w:sz w:val="24"/>
        </w:rPr>
        <w:t>日在指定媒介公告。基金份额持有人大会通知须至少载明以下内容：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会议召开的时间、地点和出席方式；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会议拟审议的主要事项；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会议形式；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议事程序；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有权出席基金份额持有人大会的基金份额持有人的权益登记日；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授权委托证明的内容要求</w:t>
      </w:r>
      <w:r>
        <w:rPr>
          <w:rFonts w:ascii="Times New Roman" w:hAnsi="Times New Roman"/>
          <w:sz w:val="24"/>
        </w:rPr>
        <w:t>(</w:t>
      </w:r>
      <w:r>
        <w:rPr>
          <w:rFonts w:ascii="Times New Roman" w:hAnsi="Times New Roman"/>
          <w:sz w:val="24"/>
        </w:rPr>
        <w:t>包括但不限于代理人身份、代理权限和代理有效期限等</w:t>
      </w:r>
      <w:r>
        <w:rPr>
          <w:rFonts w:ascii="Times New Roman" w:hAnsi="Times New Roman"/>
          <w:sz w:val="24"/>
        </w:rPr>
        <w:t>)</w:t>
      </w:r>
      <w:r>
        <w:rPr>
          <w:rFonts w:ascii="Times New Roman" w:hAnsi="Times New Roman"/>
          <w:sz w:val="24"/>
        </w:rPr>
        <w:t>、送达时间和地点；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会务常设联系人姓名、电话；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出席会议者必须准备的文件和必须履行的手续；</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召集人需要通知的其他事项。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基金份额持有人大会的召开方式包括现场开会、通讯方式开会或法律法规和监管机关允许的其他方式。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现场开会由基金份额持有人本人出席或通过授权委托证明委派其代理人出席，</w:t>
      </w:r>
      <w:r>
        <w:rPr>
          <w:rFonts w:ascii="Times New Roman" w:hAnsi="Times New Roman"/>
          <w:sz w:val="24"/>
        </w:rPr>
        <w:lastRenderedPageBreak/>
        <w:t>现场开会时基金管理人和基金托管人的授权代表应当出席，基金管理人或基金托管人拒不派代表出席的，不影响表决效力。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通讯方式开会指按照本基金合同的相关规定以通讯的书面方式进行表决。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在同时符合以下条件时，现场会议方可举行：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和地点，但确定有权出席会议的基金份额持有人资格的权益登记日不变。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召集人在基金托管人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和公证机关的监督下按照会议通知规定的方式收取和统计基金份额持有人的书面表决意见，基金管理人或基金托管人经通知拒不参加收取和统计书面表决意见的，不影响表决效力；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，且确定有权出席会议的基金份额持有人资格的权益登记</w:t>
      </w:r>
      <w:r>
        <w:rPr>
          <w:rFonts w:ascii="Times New Roman" w:hAnsi="Times New Roman"/>
          <w:sz w:val="24"/>
        </w:rPr>
        <w:lastRenderedPageBreak/>
        <w:t>日不变。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在法律法规或监管机构允许的情况下，经会议通知载明，基金份额持有人也可以采用网络、电话或其他方式进行表决，或者采用网络、电话或其他方式授权他人代为出席会议并表决。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议事内容为本基金合同规定的召开基金份额持有人大会事由所涉及的内容以及会议召集人认为需提交基金份额持有人大会讨论的其他事项。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对于基金份额持有人提交的提案</w:t>
      </w:r>
      <w:r>
        <w:rPr>
          <w:rFonts w:ascii="Times New Roman" w:hAnsi="Times New Roman"/>
          <w:sz w:val="24"/>
        </w:rPr>
        <w:t>(</w:t>
      </w:r>
      <w:r>
        <w:rPr>
          <w:rFonts w:ascii="Times New Roman" w:hAnsi="Times New Roman"/>
          <w:sz w:val="24"/>
        </w:rPr>
        <w:t>包括临时提案</w:t>
      </w:r>
      <w:r>
        <w:rPr>
          <w:rFonts w:ascii="Times New Roman" w:hAnsi="Times New Roman"/>
          <w:sz w:val="24"/>
        </w:rPr>
        <w:t>)</w:t>
      </w:r>
      <w:r>
        <w:rPr>
          <w:rFonts w:ascii="Times New Roman" w:hAnsi="Times New Roman"/>
          <w:sz w:val="24"/>
        </w:rPr>
        <w:t>，大会召集人应当按照以下原则对提案进行审核：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w:t>
      </w:r>
      <w:r>
        <w:rPr>
          <w:rFonts w:ascii="Times New Roman" w:hAnsi="Times New Roman"/>
          <w:sz w:val="24"/>
        </w:rPr>
        <w:lastRenderedPageBreak/>
        <w:t>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以上多数选举产生一名代表作为该次基金份额持有人大会的主持人。基金管理人和基金托管人不出席或主持基金份额持有人大会，不影响基金份额持有人大会作出的决议的效力。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召集人应当制作出席会议人员的签名册。签名册载明参加会议人员姓名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、身份证号码、持有或代表有表决权的基金份额、委托人姓名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个工作日在公证机构和基金托管人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监督下由召集人统计全部有效表决并形成决议，基金管理人或基金托管人经通知拒不参加收取和统计书面表决意见的，不影响表决效力。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特别决议须经出席会议的基金份额持有人及代理人所持表决权的三分之二以上通过方为有效；更换基金管理人、更换基金托管人、转换基金运作方式、终止基金合同必须以特别决议通过方为有效。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）基金份额持有人大会的各项提案或同一项提案内并列的各项议题应当分开审议、逐项表决。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在通讯方式开会的情况下，计票方式为：由大会召集人授权的两名监督员在基</w:t>
      </w:r>
      <w:r>
        <w:rPr>
          <w:rFonts w:ascii="Times New Roman" w:hAnsi="Times New Roman"/>
          <w:sz w:val="24"/>
        </w:rPr>
        <w:lastRenderedPageBreak/>
        <w:t>金托管人授权代表</w:t>
      </w:r>
      <w:r>
        <w:rPr>
          <w:rFonts w:ascii="Times New Roman" w:hAnsi="Times New Roman"/>
          <w:sz w:val="24"/>
        </w:rPr>
        <w:t>(</w:t>
      </w:r>
      <w:r>
        <w:rPr>
          <w:rFonts w:ascii="Times New Roman" w:hAnsi="Times New Roman"/>
          <w:sz w:val="24"/>
        </w:rPr>
        <w:t>如果基金托管人为召集人，则为基金管理人授权代表</w:t>
      </w:r>
      <w:r>
        <w:rPr>
          <w:rFonts w:ascii="Times New Roman" w:hAnsi="Times New Roman"/>
          <w:sz w:val="24"/>
        </w:rPr>
        <w:t>)</w:t>
      </w:r>
      <w:r>
        <w:rPr>
          <w:rFonts w:ascii="Times New Roman" w:hAnsi="Times New Roman"/>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日内报中国证监会核准或者备案。基金份额持有人大会决定的事项自中国证监会依法核准或者出具无异议意见之日起生效，并在生效后方可执行。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）但出现下列情况时，可不经基金份额持有人大会决议，由基金管理人和基金托管人同意变更后公布经修订的基金合同，并报中国证监会备案：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调低基金管理费、基金托管费等其他应由基金或基金份额持有人承担的费用；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因相应的法律法规、深圳证券交易所或者注册登记机构的相关业务规则发生变动必须对基金合同进行修改；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基金合同的修改不涉及本基金合同当事人权利义务关系发生重大变化；</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7)</w:t>
      </w:r>
      <w:r>
        <w:rPr>
          <w:rFonts w:ascii="Times New Roman" w:hAnsi="Times New Roman"/>
          <w:sz w:val="24"/>
        </w:rPr>
        <w:t>按照法律法规或本基金合同规定不需召开基金份额持有人大会的其他情形。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）基金管理人职责终止，而在</w:t>
      </w:r>
      <w:r>
        <w:rPr>
          <w:rFonts w:ascii="Times New Roman" w:hAnsi="Times New Roman"/>
          <w:sz w:val="24"/>
        </w:rPr>
        <w:t>6</w:t>
      </w:r>
      <w:r>
        <w:rPr>
          <w:rFonts w:ascii="Times New Roman" w:hAnsi="Times New Roman"/>
          <w:sz w:val="24"/>
        </w:rPr>
        <w:t>个月内没有新的基金管理人承接的；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本基金合同可印制成册，供基金投资者在基金管理人和基金托管人办公场所查阅。基金合同条款及内容应以基金合同正本为准。</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4" w:name="_Toc54104441"/>
      <w:r>
        <w:rPr>
          <w:rFonts w:ascii="Times New Roman" w:hAnsi="Times New Roman"/>
          <w:sz w:val="30"/>
        </w:rPr>
        <w:lastRenderedPageBreak/>
        <w:t>二十一、托管协议的内容摘要</w:t>
      </w:r>
      <w:bookmarkEnd w:id="24"/>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w:t>
      </w:r>
      <w:r>
        <w:rPr>
          <w:rFonts w:ascii="Times New Roman" w:hAnsi="Times New Roman"/>
          <w:sz w:val="24"/>
        </w:rPr>
        <w:t xml:space="preserve"> </w:t>
      </w:r>
      <w:r>
        <w:rPr>
          <w:rFonts w:ascii="Times New Roman" w:hAnsi="Times New Roman"/>
          <w:sz w:val="24"/>
        </w:rPr>
        <w:t>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注册资本：贰亿元人民币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号凯晨世贸中心东座九层</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基金托管资格批准文号：中国证监会证监基字</w:t>
      </w:r>
      <w:r>
        <w:rPr>
          <w:rFonts w:ascii="Times New Roman" w:hAnsi="Times New Roman"/>
          <w:sz w:val="24"/>
        </w:rPr>
        <w:t>[1998]23</w:t>
      </w:r>
      <w:r>
        <w:rPr>
          <w:rFonts w:ascii="Times New Roman" w:hAnsi="Times New Roman"/>
          <w:sz w:val="24"/>
        </w:rPr>
        <w:t>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w:t>
      </w:r>
      <w:r>
        <w:rPr>
          <w:rFonts w:ascii="Times New Roman" w:hAnsi="Times New Roman"/>
          <w:sz w:val="24"/>
        </w:rPr>
        <w:t xml:space="preserve"> </w:t>
      </w:r>
      <w:r>
        <w:rPr>
          <w:rFonts w:ascii="Times New Roman" w:hAnsi="Times New Roman"/>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Times New Roman" w:hAnsi="Times New Roman"/>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r>
        <w:rPr>
          <w:rFonts w:ascii="Times New Roman" w:hAnsi="Times New Roman"/>
          <w:sz w:val="24"/>
        </w:rPr>
        <w:t>券投资托管业务；代理开放式基金业务；电话银行、手机银行、网上银行业务；金融衍生产品交易业务；经国务院银行业监督管理机构等监管部门批准的其他业务。</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本基金以深证</w:t>
      </w:r>
      <w:r>
        <w:rPr>
          <w:rFonts w:ascii="Times New Roman" w:hAnsi="Times New Roman"/>
          <w:sz w:val="24"/>
        </w:rPr>
        <w:t>300</w:t>
      </w:r>
      <w:r>
        <w:rPr>
          <w:rFonts w:ascii="Times New Roman" w:hAnsi="Times New Roman"/>
          <w:sz w:val="24"/>
        </w:rPr>
        <w:t>价值价格指数（简称</w:t>
      </w:r>
      <w:r>
        <w:rPr>
          <w:rFonts w:ascii="Times New Roman" w:hAnsi="Times New Roman"/>
          <w:sz w:val="24"/>
        </w:rPr>
        <w:t>“</w:t>
      </w:r>
      <w:r>
        <w:rPr>
          <w:rFonts w:ascii="Times New Roman" w:hAnsi="Times New Roman"/>
          <w:sz w:val="24"/>
        </w:rPr>
        <w:t>标的指数</w:t>
      </w:r>
      <w:r>
        <w:rPr>
          <w:rFonts w:ascii="Times New Roman" w:hAnsi="Times New Roman"/>
          <w:sz w:val="24"/>
        </w:rPr>
        <w:t>”</w:t>
      </w:r>
      <w:r>
        <w:rPr>
          <w:rFonts w:ascii="Times New Roman" w:hAnsi="Times New Roman"/>
          <w:sz w:val="24"/>
        </w:rPr>
        <w:t>）成份股、备选成份股为主要投资对象（含中小板股票和创业板股票及其他经中国证监会核准的上市股票</w:t>
      </w:r>
      <w:r w:rsidR="00025C30">
        <w:rPr>
          <w:rFonts w:ascii="Times New Roman" w:hAnsi="Times New Roman"/>
          <w:sz w:val="24"/>
        </w:rPr>
        <w:t>、</w:t>
      </w:r>
      <w:r w:rsidR="00025C30">
        <w:rPr>
          <w:rFonts w:ascii="Times New Roman" w:hAnsi="Times New Roman" w:hint="eastAsia"/>
          <w:sz w:val="24"/>
        </w:rPr>
        <w:t>存托凭证</w:t>
      </w:r>
      <w:r>
        <w:rPr>
          <w:rFonts w:ascii="Times New Roman" w:hAnsi="Times New Roman"/>
          <w:sz w:val="24"/>
        </w:rPr>
        <w:t>），把全部或接近全部的基金资产用于跟踪标的指数的表现，正常情况下指数化投资比例，即投资于标的指数成份股</w:t>
      </w:r>
      <w:r w:rsidR="00025C30">
        <w:rPr>
          <w:rFonts w:ascii="Times New Roman" w:hAnsi="Times New Roman"/>
          <w:sz w:val="24"/>
        </w:rPr>
        <w:t>（</w:t>
      </w:r>
      <w:r w:rsidR="00025C30">
        <w:rPr>
          <w:rFonts w:ascii="Times New Roman" w:hAnsi="Times New Roman" w:hint="eastAsia"/>
          <w:sz w:val="24"/>
        </w:rPr>
        <w:t>含存托凭证</w:t>
      </w:r>
      <w:r w:rsidR="00025C30">
        <w:rPr>
          <w:rFonts w:ascii="Times New Roman" w:hAnsi="Times New Roman"/>
          <w:sz w:val="24"/>
        </w:rPr>
        <w:t>）</w:t>
      </w:r>
      <w:r>
        <w:rPr>
          <w:rFonts w:ascii="Times New Roman" w:hAnsi="Times New Roman"/>
          <w:sz w:val="24"/>
        </w:rPr>
        <w:t>和备选成份股</w:t>
      </w:r>
      <w:r w:rsidR="00025C30">
        <w:rPr>
          <w:rFonts w:ascii="Times New Roman" w:hAnsi="Times New Roman"/>
          <w:sz w:val="24"/>
        </w:rPr>
        <w:t>（</w:t>
      </w:r>
      <w:r w:rsidR="00025C30">
        <w:rPr>
          <w:rFonts w:ascii="Times New Roman" w:hAnsi="Times New Roman" w:hint="eastAsia"/>
          <w:sz w:val="24"/>
        </w:rPr>
        <w:t>含存托凭证</w:t>
      </w:r>
      <w:r w:rsidR="00025C30">
        <w:rPr>
          <w:rFonts w:ascii="Times New Roman" w:hAnsi="Times New Roman"/>
          <w:sz w:val="24"/>
        </w:rPr>
        <w:t>）</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025C30">
        <w:rPr>
          <w:rFonts w:ascii="Times New Roman" w:hAnsi="Times New Roman"/>
          <w:sz w:val="24"/>
        </w:rPr>
        <w:t>（</w:t>
      </w:r>
      <w:r w:rsidR="00025C30">
        <w:rPr>
          <w:rFonts w:ascii="Times New Roman" w:hAnsi="Times New Roman" w:hint="eastAsia"/>
          <w:sz w:val="24"/>
        </w:rPr>
        <w:t>含存托凭证</w:t>
      </w:r>
      <w:r w:rsidR="00025C30">
        <w:rPr>
          <w:rFonts w:ascii="Times New Roman" w:hAnsi="Times New Roman"/>
          <w:sz w:val="24"/>
        </w:rPr>
        <w:t>）</w:t>
      </w:r>
      <w:r>
        <w:rPr>
          <w:rFonts w:ascii="Times New Roman" w:hAnsi="Times New Roman"/>
          <w:sz w:val="24"/>
        </w:rPr>
        <w:t>、债券、回购、权证及中国证监会允许基金投资的其它金融工具（但须符合中国证监会的相关规定）。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个交易日内进行调整。法律法规或监管机构日后允许本基金投资其他品种，基金管理人在履行适当程序后，可以将其纳入投资范围。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）进入全国银行间同业市场的债券回购融入的资金余额不超过基金资产净值的</w:t>
      </w:r>
      <w:r>
        <w:rPr>
          <w:rFonts w:ascii="Times New Roman" w:hAnsi="Times New Roman"/>
          <w:sz w:val="24"/>
        </w:rPr>
        <w:t>40%</w:t>
      </w:r>
      <w:r>
        <w:rPr>
          <w:rFonts w:ascii="Times New Roman" w:hAnsi="Times New Roman"/>
          <w:sz w:val="24"/>
        </w:rPr>
        <w:t>。债券回购最长期限为１年，债券回购到期后不得展期；</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）本基金投资权证，在任何交易日买入权证的总金额，不得超过上一交易日基金资产净值的</w:t>
      </w:r>
      <w:r>
        <w:rPr>
          <w:rFonts w:ascii="Times New Roman" w:hAnsi="Times New Roman"/>
          <w:sz w:val="24"/>
        </w:rPr>
        <w:t>0.5%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；本基金与本基金管理人管理的其他基金持有的同一权证，不得超过该权证的</w:t>
      </w:r>
      <w:r>
        <w:rPr>
          <w:rFonts w:ascii="Times New Roman" w:hAnsi="Times New Roman"/>
          <w:sz w:val="24"/>
        </w:rPr>
        <w:t>10%</w:t>
      </w:r>
      <w:r>
        <w:rPr>
          <w:rFonts w:ascii="Times New Roman" w:hAnsi="Times New Roman"/>
          <w:sz w:val="24"/>
        </w:rPr>
        <w:t>；法律法规或监管部门另有规定的，遵从其规定；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）本基金持有一家公司发行的流通受限证券，其市值不得超过基金资产净值的</w:t>
      </w:r>
      <w:r>
        <w:rPr>
          <w:rFonts w:ascii="Times New Roman" w:hAnsi="Times New Roman"/>
          <w:sz w:val="24"/>
        </w:rPr>
        <w:t>2%</w:t>
      </w:r>
      <w:r>
        <w:rPr>
          <w:rFonts w:ascii="Times New Roman" w:hAnsi="Times New Roman"/>
          <w:sz w:val="24"/>
        </w:rPr>
        <w:t>；本基金持有的所有流通受限证券，其市值不得超过该基金资产净值的</w:t>
      </w:r>
      <w:r>
        <w:rPr>
          <w:rFonts w:ascii="Times New Roman" w:hAnsi="Times New Roman"/>
          <w:sz w:val="24"/>
        </w:rPr>
        <w:t>15%</w:t>
      </w:r>
      <w:r>
        <w:rPr>
          <w:rFonts w:ascii="Times New Roman" w:hAnsi="Times New Roman"/>
          <w:sz w:val="24"/>
        </w:rPr>
        <w:t>；</w:t>
      </w:r>
    </w:p>
    <w:p w:rsidR="00B369D0"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w:t>
      </w:r>
      <w:r w:rsidR="00B369D0" w:rsidRPr="00B369D0">
        <w:rPr>
          <w:rFonts w:ascii="Times New Roman" w:hAnsi="Times New Roman" w:hint="eastAsia"/>
          <w:sz w:val="24"/>
        </w:rPr>
        <w:t>本基金投资存托凭证的比例限制依照境内上市交易的股票执行；</w:t>
      </w:r>
    </w:p>
    <w:p w:rsidR="00C70CAF" w:rsidRDefault="00B369D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sidR="00F63317">
        <w:rPr>
          <w:rFonts w:ascii="Times New Roman" w:hAnsi="Times New Roman"/>
          <w:sz w:val="24"/>
        </w:rPr>
        <w:t>本基金不得违反基金合同中有关投资范围、投资策略、投资比例的规定；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A64AA9">
        <w:rPr>
          <w:rFonts w:ascii="Times New Roman" w:hAnsi="Times New Roman"/>
          <w:sz w:val="24"/>
        </w:rPr>
        <w:t>7</w:t>
      </w:r>
      <w:r>
        <w:rPr>
          <w:rFonts w:ascii="Times New Roman" w:hAnsi="Times New Roman"/>
          <w:sz w:val="24"/>
        </w:rPr>
        <w:t>）法律法规或监管部门对上述比例限制另有规定的，从其规定。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w:t>
      </w:r>
      <w:r>
        <w:rPr>
          <w:rFonts w:ascii="Times New Roman" w:hAnsi="Times New Roman"/>
          <w:sz w:val="24"/>
        </w:rPr>
        <w:lastRenderedPageBreak/>
        <w:t>管人事前已严格遵循了监督流程仍无法阻止该关联交易的发生，而只能按相关法律法规和交易所规则进行事后结算，则基金托管人不承担由此造成的损失，并应向中国证监会报告。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1</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、基金托管人根据有关法律法规的规定及基金合同的约定，对基金管理人选择存款银行进行监督。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）基金托管人应加强对基金银行存款业务的监督与核查，严格审查、复核相关协议、账户资料、投资指令、存款证实书等有关文件，切实履行托管职责。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基金托管人发现基金管理人在选择存款银行时有违反有关法律法规的规定及基</w:t>
      </w:r>
      <w:r>
        <w:rPr>
          <w:rFonts w:ascii="Times New Roman" w:hAnsi="Times New Roman"/>
          <w:sz w:val="24"/>
        </w:rPr>
        <w:lastRenderedPageBreak/>
        <w:t>金合同的约定的行为，应及时以书面形式通知基金管理人在</w:t>
      </w:r>
      <w:r>
        <w:rPr>
          <w:rFonts w:ascii="Times New Roman" w:hAnsi="Times New Roman"/>
          <w:sz w:val="24"/>
        </w:rPr>
        <w:t>10</w:t>
      </w:r>
      <w:r>
        <w:rPr>
          <w:rFonts w:ascii="Times New Roman" w:hAnsi="Times New Roman"/>
          <w:sz w:val="24"/>
        </w:rPr>
        <w:t>个工作日内纠正。基金管理人对基金托管人通知的违规事项未能在</w:t>
      </w:r>
      <w:r>
        <w:rPr>
          <w:rFonts w:ascii="Times New Roman" w:hAnsi="Times New Roman"/>
          <w:sz w:val="24"/>
        </w:rPr>
        <w:t>10</w:t>
      </w:r>
      <w:r>
        <w:rPr>
          <w:rFonts w:ascii="Times New Roman" w:hAnsi="Times New Roman"/>
          <w:sz w:val="24"/>
        </w:rPr>
        <w:t>个工作日内纠正的，基金托管人应报告中国证监会。基金托管人发现基金管理人有重大违规行为，应立即报告中国证监会，同时通知基金管理人在</w:t>
      </w:r>
      <w:r>
        <w:rPr>
          <w:rFonts w:ascii="Times New Roman" w:hAnsi="Times New Roman"/>
          <w:sz w:val="24"/>
        </w:rPr>
        <w:t>10</w:t>
      </w:r>
      <w:r>
        <w:rPr>
          <w:rFonts w:ascii="Times New Roman" w:hAnsi="Times New Roman"/>
          <w:sz w:val="24"/>
        </w:rPr>
        <w:t>个工作日内纠正或拒绝结算。</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）基金投资流通受限证券，应遵守《关于规范基金投资非公开发行证券行为的紧急通知》、《关于基金投资非公开发行股票等流通受限证券有关问题的通知》等有关法律法规规定。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不包括由于发布重大消息或其他原因而临时停牌的证券、已发行未上市证券、回购交易中的质押券等流通受限证券。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）在投资流通受限证券之前，基金管理人应至少提前一个交易日向基金托管人提供有关非公开定向增发流通受限证券的相关信息，具体应当包括但不限于如下文件（如有）：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w:t>
      </w:r>
      <w:r>
        <w:rPr>
          <w:rFonts w:ascii="Times New Roman" w:hAnsi="Times New Roman"/>
          <w:sz w:val="24"/>
        </w:rPr>
        <w:lastRenderedPageBreak/>
        <w:t>账号、划款金额、划款时间文件等。基金管理人应保证上述信息的真实、完整。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10</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督促基金托管人改正。基金托管人应积极配合基金管理人的核查行为，包括但不限于：提交相关资料以供基金管理人核查托管财产的完整性和真实性，在规定时间内答复基金管理人并改正。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）基金托管人应安全保管基金财产。未经基金管理人依据合法程序作出的合法合规指令，基金托管人不得自行运用、处分、分配基金的任何财产。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w:t>
      </w:r>
      <w:r>
        <w:rPr>
          <w:rFonts w:ascii="Times New Roman" w:hAnsi="Times New Roman"/>
          <w:sz w:val="24"/>
        </w:rPr>
        <w:lastRenderedPageBreak/>
        <w:t>他业务和其他基金的托管业务实行严格的分帐管理，确保基金财产的完整与独立。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）若基金募集期限届满，未能达到基金合同生效的条件，由基金管理人按规定办理退款和募集股票解冻等事宜，基金托管人应提供充分协助。</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、基金托管资金账户的开立和管理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w:t>
      </w:r>
      <w:r>
        <w:rPr>
          <w:rFonts w:ascii="Times New Roman" w:hAnsi="Times New Roman"/>
          <w:sz w:val="24"/>
        </w:rPr>
        <w:lastRenderedPageBreak/>
        <w:t>金托管人和基金管理人不得假借本基金的名义开立任何其他银行账户；亦不得使用基金的任何账户进行本基金业务以外的活动。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、投资人申购或赎回时现金替代、现金差额的查收与划付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、债券托管专户的开设和管理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、其他账户的开立和管理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w:t>
      </w:r>
      <w:r>
        <w:rPr>
          <w:rFonts w:ascii="Times New Roman" w:hAnsi="Times New Roman"/>
          <w:sz w:val="24"/>
        </w:rPr>
        <w:lastRenderedPageBreak/>
        <w:t>定，在基金管理人和基金托管人商议后由基金托管人负责开立。新账户按有关规则使用并管理。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、基金财产投资的有关有价凭证等的保管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、与基金财产有关的重大合同的保管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（五）基金资产净值计算和会计复核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基金依法拥有的股票、债券、权证及其他基金资产和负债。</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上市股票的估值：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未上市股票的估值：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送股、转增股、配股和公开增发新股等发行未上市的股票，按估值日在证券交易所上市的同一股票的市价进行估值；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rsidR="00BA1A7E"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③</w:t>
      </w:r>
      <w:r w:rsidR="00BA1A7E" w:rsidRPr="00BA1A7E">
        <w:rPr>
          <w:rFonts w:ascii="Times New Roman" w:hAnsi="Times New Roman" w:hint="eastAsia"/>
          <w:sz w:val="24"/>
        </w:rPr>
        <w:t>本基金投资存托凭证的估值核算依照境内上市交易的股票执行。</w:t>
      </w:r>
    </w:p>
    <w:p w:rsidR="00C70CAF" w:rsidRDefault="00BA1A7E">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④</w:t>
      </w:r>
      <w:r w:rsidR="00F63317">
        <w:rPr>
          <w:rFonts w:ascii="Times New Roman" w:hAnsi="Times New Roman"/>
          <w:sz w:val="24"/>
        </w:rPr>
        <w:t>在任何情况下，基金管理人如采用本项第</w:t>
      </w:r>
      <w:r w:rsidR="00F63317">
        <w:rPr>
          <w:rFonts w:ascii="Times New Roman" w:hAnsi="Times New Roman"/>
          <w:sz w:val="24"/>
        </w:rPr>
        <w:t>①</w:t>
      </w:r>
      <w:r w:rsidR="00F63317">
        <w:rPr>
          <w:rFonts w:ascii="Times New Roman" w:hAnsi="Times New Roman"/>
          <w:sz w:val="24"/>
        </w:rPr>
        <w:t>－</w:t>
      </w:r>
      <w:r>
        <w:rPr>
          <w:rFonts w:ascii="Times New Roman" w:hAnsi="Times New Roman" w:hint="eastAsia"/>
          <w:sz w:val="24"/>
        </w:rPr>
        <w:t>③</w:t>
      </w:r>
      <w:r w:rsidR="00F63317">
        <w:rPr>
          <w:rFonts w:ascii="Times New Roman" w:hAnsi="Times New Roman"/>
          <w:sz w:val="24"/>
        </w:rPr>
        <w:t>小项规定的方法对基金资产进行估值，均应被认为采用了适当的估值方法。但是，如果基金管理人认为按本项第</w:t>
      </w:r>
      <w:r w:rsidR="00F63317">
        <w:rPr>
          <w:rFonts w:ascii="Times New Roman" w:hAnsi="Times New Roman"/>
          <w:sz w:val="24"/>
        </w:rPr>
        <w:t>①</w:t>
      </w:r>
      <w:r w:rsidR="00F63317">
        <w:rPr>
          <w:rFonts w:ascii="Times New Roman" w:hAnsi="Times New Roman"/>
          <w:sz w:val="24"/>
        </w:rPr>
        <w:t>－</w:t>
      </w:r>
      <w:r>
        <w:rPr>
          <w:rFonts w:ascii="Times New Roman" w:hAnsi="Times New Roman" w:hint="eastAsia"/>
          <w:sz w:val="24"/>
        </w:rPr>
        <w:t>③</w:t>
      </w:r>
      <w:r w:rsidR="00F6331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rsidR="00C70CAF" w:rsidRDefault="00344C3D">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⑤</w:t>
      </w:r>
      <w:r w:rsidR="00F63317">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交易所市场上市交易或挂牌转让的固定收益品种（另有规定的除外），选取第三方估值机构提供的相应品种当日的估值净价进行估值；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首次发行未上市债券采用估值技术确定的公允价值进行估值，在估值技术难</w:t>
      </w:r>
      <w:r>
        <w:rPr>
          <w:rFonts w:ascii="Times New Roman" w:hAnsi="Times New Roman"/>
          <w:sz w:val="24"/>
        </w:rPr>
        <w:lastRenderedPageBreak/>
        <w:t>以可靠计量公允价值的情况下，按成本估值。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交易所以大宗交易方式转让的资产支持证券，采用估值技术确定公允价值，在估值技术难以可靠计量公允价值的情况下，按成本进行后续计量。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在全国银行间债券市场交易的债券、资产支持证券等固定收益品种，采用估值技术确定公允价值。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⑥</w:t>
      </w:r>
      <w:r>
        <w:rPr>
          <w:rFonts w:ascii="Times New Roman" w:hAnsi="Times New Roman"/>
          <w:sz w:val="24"/>
        </w:rPr>
        <w:t>同一债券同时在两个或两个以上市场交易的，按债券所处的市场分别估值。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⑦</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⑧</w:t>
      </w:r>
      <w:r>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首次发行未上市的权证，采用估值技术确定公允价值，在估值技术难以可靠计量公允价值的情况下，按成本估值。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因持有股票而享有的配股权，以及停止交易、但未行权的权证，采用估值技术确定公允价值进行估值。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国家有最新规定的，按其规定进行估值。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）衍生品及其他有价证券等资产按国家有关规定进行估值。</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w:t>
      </w:r>
      <w:r>
        <w:rPr>
          <w:rFonts w:ascii="Times New Roman" w:hAnsi="Times New Roman"/>
          <w:sz w:val="24"/>
        </w:rPr>
        <w:lastRenderedPageBreak/>
        <w:t>及相关法律法规的规定或者未能充分维护基金份额持有人利益时，应立即通知对方，共同查明原因，双方协商解决。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基金管理人、基金托管人按股票估值方法的第</w:t>
      </w:r>
      <w:r w:rsidR="00BC0BF5">
        <w:rPr>
          <w:rFonts w:ascii="Times New Roman" w:hAnsi="Times New Roman" w:hint="eastAsia"/>
          <w:sz w:val="24"/>
        </w:rPr>
        <w:t>④</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位）发生差错时，视为基金份额净值错误；基金份额净值出现错误时，基金管理人应当立即予以纠正，通报基金托管人，并采取合理的措施防止损失进一步扩大；错误偏差达到或超过基金资产净值的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）若基金管理人计算的基金份额净值已由基金托管人复核确认后公告，基金份额净值出错且造成基金份额持有人损失的，应根据法律法规的规定对基金份额持</w:t>
      </w:r>
      <w:r>
        <w:rPr>
          <w:rFonts w:ascii="Times New Roman" w:hAnsi="Times New Roman"/>
          <w:sz w:val="24"/>
        </w:rPr>
        <w:lastRenderedPageBreak/>
        <w:t>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）中国证监会和基金合同认定的其他情形。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、基金财务报表与报告的编制和复核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基金管理人应当及时编制并对外提供真实、完整的基金财务会计报告。月度报表的编制，基金管理人应于每月终了后</w:t>
      </w:r>
      <w:r>
        <w:rPr>
          <w:rFonts w:ascii="Times New Roman" w:hAnsi="Times New Roman"/>
          <w:sz w:val="24"/>
        </w:rPr>
        <w:t>5</w:t>
      </w:r>
      <w:r>
        <w:rPr>
          <w:rFonts w:ascii="Times New Roman" w:hAnsi="Times New Roman"/>
          <w:sz w:val="24"/>
        </w:rPr>
        <w:t>个工作日内完成；季度报告应在季度结束之日起</w:t>
      </w:r>
      <w:r>
        <w:rPr>
          <w:rFonts w:ascii="Times New Roman" w:hAnsi="Times New Roman"/>
          <w:sz w:val="24"/>
        </w:rPr>
        <w:t>15</w:t>
      </w:r>
      <w:r>
        <w:rPr>
          <w:rFonts w:ascii="Times New Roman" w:hAnsi="Times New Roman"/>
          <w:sz w:val="24"/>
        </w:rPr>
        <w:t>个工作日内编制完毕并予以公告；中期报告在会计年度半年终了后两个月内编制完毕并予以公告；年度报告在会计年度结束后三个月内编制完毕并予以公告。基金合同生效不足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基金管理人在月度报表完成当日，将报表盖章后提供给基金托管人复核；基金托管人在收到后应在</w:t>
      </w:r>
      <w:r>
        <w:rPr>
          <w:rFonts w:ascii="Times New Roman" w:hAnsi="Times New Roman"/>
          <w:sz w:val="24"/>
        </w:rPr>
        <w:t>3</w:t>
      </w:r>
      <w:r>
        <w:rPr>
          <w:rFonts w:ascii="Times New Roman" w:hAnsi="Times New Roman"/>
          <w:sz w:val="24"/>
        </w:rPr>
        <w:t>日内进行复核，并将复核结果书面通知基金管理人。基金管理人在季度报告完成当日，将有关报告提供给基金托管人复核，基金托管人应在收到后</w:t>
      </w:r>
      <w:r>
        <w:rPr>
          <w:rFonts w:ascii="Times New Roman" w:hAnsi="Times New Roman"/>
          <w:sz w:val="24"/>
        </w:rPr>
        <w:t>7</w:t>
      </w:r>
      <w:r>
        <w:rPr>
          <w:rFonts w:ascii="Times New Roman" w:hAnsi="Times New Roman"/>
          <w:sz w:val="24"/>
        </w:rPr>
        <w:t>个工作日内完成复核，并将复核结果书面通知基金管理人。基金管理人在中期报告完成当日，将有关报告提供给基金托管人复核，基金托管人应在收到后</w:t>
      </w:r>
      <w:r>
        <w:rPr>
          <w:rFonts w:ascii="Times New Roman" w:hAnsi="Times New Roman"/>
          <w:sz w:val="24"/>
        </w:rPr>
        <w:t>30</w:t>
      </w:r>
      <w:r>
        <w:rPr>
          <w:rFonts w:ascii="Times New Roman" w:hAnsi="Times New Roman"/>
          <w:sz w:val="24"/>
        </w:rPr>
        <w:t>日内完成复核，并将复核结果书面通知基金管理人。基金管理人在年度报告完成当日，将有关报告提供基金托管人复核，基金托管人应在收到后</w:t>
      </w:r>
      <w:r>
        <w:rPr>
          <w:rFonts w:ascii="Times New Roman" w:hAnsi="Times New Roman"/>
          <w:sz w:val="24"/>
        </w:rPr>
        <w:t>45</w:t>
      </w:r>
      <w:r>
        <w:rPr>
          <w:rFonts w:ascii="Times New Roman" w:hAnsi="Times New Roman"/>
          <w:sz w:val="24"/>
        </w:rPr>
        <w:t>日内完成复核，并将复核结果书面通知基金管理人。基金管理人和基金托管人之间的上述文件往来均以加密传真的方式或双方商定的其他方式进行。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5" w:name="_Toc54104442"/>
      <w:r>
        <w:rPr>
          <w:rFonts w:ascii="Times New Roman" w:hAnsi="Times New Roman"/>
          <w:sz w:val="30"/>
        </w:rPr>
        <w:lastRenderedPageBreak/>
        <w:t>二十二、对基金份额持有人的服务</w:t>
      </w:r>
      <w:bookmarkEnd w:id="25"/>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投资者如果想查询基金净值、相关公告、基金产品与服务等信息，请拨打本基金管理人客户服务电话（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6" w:name="_Toc54104443"/>
      <w:r>
        <w:rPr>
          <w:rFonts w:ascii="Times New Roman" w:hAnsi="Times New Roman"/>
          <w:sz w:val="30"/>
        </w:rPr>
        <w:lastRenderedPageBreak/>
        <w:t>二十三、其他应披露事项</w:t>
      </w:r>
      <w:bookmarkEnd w:id="26"/>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C70CAF">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C70CAF">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价值交易型开放式指数证券投资基金标的指数许可使用费并修改法律文件的公告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C70CA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7" w:name="_Toc54104444"/>
      <w:r>
        <w:rPr>
          <w:rFonts w:ascii="Times New Roman" w:hAnsi="Times New Roman"/>
          <w:sz w:val="30"/>
        </w:rPr>
        <w:lastRenderedPageBreak/>
        <w:t>二十四、招募说明书的存放及查阅方式</w:t>
      </w:r>
      <w:bookmarkEnd w:id="27"/>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0CAF" w:rsidRDefault="00F63317">
      <w:pPr>
        <w:pStyle w:val="1"/>
        <w:snapToGrid w:val="0"/>
        <w:spacing w:beforeLines="0" w:before="240" w:after="240"/>
        <w:rPr>
          <w:rFonts w:ascii="宋体" w:hAnsi="宋体"/>
          <w:szCs w:val="30"/>
        </w:rPr>
      </w:pPr>
      <w:bookmarkStart w:id="28" w:name="_Toc54104445"/>
      <w:r>
        <w:rPr>
          <w:rFonts w:ascii="Times New Roman" w:hAnsi="Times New Roman"/>
          <w:sz w:val="30"/>
        </w:rPr>
        <w:lastRenderedPageBreak/>
        <w:t>二十五、备查文件</w:t>
      </w:r>
      <w:bookmarkEnd w:id="28"/>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（一）中国证监会核准深证</w:t>
      </w:r>
      <w:r>
        <w:rPr>
          <w:rFonts w:ascii="Times New Roman" w:hAnsi="Times New Roman"/>
          <w:sz w:val="24"/>
        </w:rPr>
        <w:t>300</w:t>
      </w:r>
      <w:r>
        <w:rPr>
          <w:rFonts w:ascii="Times New Roman" w:hAnsi="Times New Roman"/>
          <w:sz w:val="24"/>
        </w:rPr>
        <w:t>价值交易型开放式指数证券投资基金募集的文件</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（二）《深证</w:t>
      </w:r>
      <w:r>
        <w:rPr>
          <w:rFonts w:ascii="Times New Roman" w:hAnsi="Times New Roman"/>
          <w:sz w:val="24"/>
        </w:rPr>
        <w:t>300</w:t>
      </w:r>
      <w:r>
        <w:rPr>
          <w:rFonts w:ascii="Times New Roman" w:hAnsi="Times New Roman"/>
          <w:sz w:val="24"/>
        </w:rPr>
        <w:t>价值交易型开放式指数证券投资基金基金合同》</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（三）《深证</w:t>
      </w:r>
      <w:r>
        <w:rPr>
          <w:rFonts w:ascii="Times New Roman" w:hAnsi="Times New Roman"/>
          <w:sz w:val="24"/>
        </w:rPr>
        <w:t>300</w:t>
      </w:r>
      <w:r>
        <w:rPr>
          <w:rFonts w:ascii="Times New Roman" w:hAnsi="Times New Roman"/>
          <w:sz w:val="24"/>
        </w:rPr>
        <w:t>价值交易型开放式指数证券投资基金托管协议》</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（六）关于申请募集深证</w:t>
      </w:r>
      <w:r>
        <w:rPr>
          <w:rFonts w:ascii="Times New Roman" w:hAnsi="Times New Roman"/>
          <w:sz w:val="24"/>
        </w:rPr>
        <w:t>300</w:t>
      </w:r>
      <w:r>
        <w:rPr>
          <w:rFonts w:ascii="Times New Roman" w:hAnsi="Times New Roman"/>
          <w:sz w:val="24"/>
        </w:rPr>
        <w:t>价值交易型开放式指数证券投资基金之法律意见书</w:t>
      </w:r>
    </w:p>
    <w:sectPr w:rsidR="00C70CAF">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FF1" w:rsidRDefault="00D16FF1">
      <w:r>
        <w:separator/>
      </w:r>
    </w:p>
  </w:endnote>
  <w:endnote w:type="continuationSeparator" w:id="0">
    <w:p w:rsidR="00D16FF1" w:rsidRDefault="00D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1"/>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D0" w:rsidRDefault="00DB69A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9D0" w:rsidRDefault="00B369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A439C">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B369D0" w:rsidRDefault="00B369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A439C">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D0" w:rsidRDefault="00DB69A9">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9D0" w:rsidRDefault="00B369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A439C">
                            <w:rPr>
                              <w:rFonts w:ascii="Times New Roman" w:hAnsi="Times New Roman"/>
                              <w:noProof/>
                              <w:kern w:val="0"/>
                              <w:sz w:val="18"/>
                              <w:szCs w:val="18"/>
                            </w:rPr>
                            <w:t>122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B369D0" w:rsidRDefault="00B369D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2A439C">
                      <w:rPr>
                        <w:rFonts w:ascii="Times New Roman" w:hAnsi="Times New Roman"/>
                        <w:noProof/>
                        <w:kern w:val="0"/>
                        <w:sz w:val="18"/>
                        <w:szCs w:val="18"/>
                      </w:rPr>
                      <w:t>122</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FF1" w:rsidRDefault="00D16FF1">
      <w:r>
        <w:separator/>
      </w:r>
    </w:p>
  </w:footnote>
  <w:footnote w:type="continuationSeparator" w:id="0">
    <w:p w:rsidR="00D16FF1" w:rsidRDefault="00D1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D0" w:rsidRDefault="00DB69A9">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69D0" w:rsidRDefault="00B369D0">
    <w:pPr>
      <w:pStyle w:val="a3"/>
      <w:jc w:val="right"/>
      <w:rPr>
        <w:rFonts w:ascii="宋体" w:hAnsi="宋体"/>
      </w:rPr>
    </w:pPr>
    <w:r>
      <w:rPr>
        <w:rFonts w:ascii="宋体" w:hAnsi="宋体" w:hint="eastAsia"/>
      </w:rPr>
      <w:t>深证300价值交易型开放式指数证券投资基金(更新)招募说明书(2020年第2号)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D0" w:rsidRDefault="00B369D0">
    <w:pPr>
      <w:pStyle w:val="10"/>
      <w:jc w:val="right"/>
    </w:pPr>
  </w:p>
  <w:p w:rsidR="00B369D0" w:rsidRDefault="00B369D0">
    <w:pPr>
      <w:pStyle w:val="10"/>
      <w:jc w:val="right"/>
    </w:pPr>
  </w:p>
  <w:p w:rsidR="00B369D0" w:rsidRDefault="00B369D0">
    <w:pPr>
      <w:pStyle w:val="a3"/>
      <w:jc w:val="right"/>
    </w:pPr>
  </w:p>
  <w:p w:rsidR="00B369D0" w:rsidRDefault="00DB69A9">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69D0" w:rsidRDefault="00B369D0">
    <w:pPr>
      <w:pStyle w:val="a3"/>
      <w:jc w:val="right"/>
      <w:rPr>
        <w:rFonts w:ascii="宋体" w:hAnsi="宋体"/>
      </w:rPr>
    </w:pPr>
    <w:r>
      <w:rPr>
        <w:rFonts w:ascii="宋体" w:hAnsi="宋体" w:hint="eastAsia"/>
      </w:rPr>
      <w:t>深证300价值交易型开放式指数证券投资基金(更新)招募说明书(2020年第</w:t>
    </w:r>
    <w:r>
      <w:rPr>
        <w:rFonts w:ascii="宋体" w:hAnsi="宋体"/>
      </w:rPr>
      <w:t>3</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9D0" w:rsidRDefault="00B369D0">
    <w:pPr>
      <w:pStyle w:val="a3"/>
      <w:jc w:val="right"/>
    </w:pPr>
  </w:p>
  <w:p w:rsidR="00B369D0" w:rsidRDefault="00B369D0">
    <w:pPr>
      <w:pStyle w:val="a3"/>
      <w:jc w:val="right"/>
    </w:pPr>
  </w:p>
  <w:p w:rsidR="00B369D0" w:rsidRDefault="00B369D0">
    <w:pPr>
      <w:pStyle w:val="a3"/>
      <w:jc w:val="right"/>
    </w:pPr>
  </w:p>
  <w:p w:rsidR="00B369D0" w:rsidRDefault="00DB69A9">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B369D0" w:rsidRDefault="00B369D0">
    <w:pPr>
      <w:pStyle w:val="a3"/>
      <w:jc w:val="right"/>
      <w:rPr>
        <w:rFonts w:ascii="宋体" w:hAnsi="宋体"/>
      </w:rPr>
    </w:pPr>
    <w:r>
      <w:rPr>
        <w:rFonts w:ascii="宋体" w:hAnsi="宋体" w:hint="eastAsia"/>
      </w:rPr>
      <w:t>深证300价值交易型开放式指数证券投资基金(更新)招募说明书(2020年第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5C30"/>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49BB"/>
    <w:rsid w:val="00165756"/>
    <w:rsid w:val="0017362C"/>
    <w:rsid w:val="0017392F"/>
    <w:rsid w:val="0018184C"/>
    <w:rsid w:val="0018198F"/>
    <w:rsid w:val="00181C62"/>
    <w:rsid w:val="00183642"/>
    <w:rsid w:val="001860C4"/>
    <w:rsid w:val="00186FAE"/>
    <w:rsid w:val="001917D4"/>
    <w:rsid w:val="001917FC"/>
    <w:rsid w:val="00191D7F"/>
    <w:rsid w:val="001925A2"/>
    <w:rsid w:val="00192F3F"/>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4EEA"/>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39C"/>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33BC"/>
    <w:rsid w:val="00304063"/>
    <w:rsid w:val="0030555F"/>
    <w:rsid w:val="00305A3B"/>
    <w:rsid w:val="00305BB4"/>
    <w:rsid w:val="0030645F"/>
    <w:rsid w:val="003117B9"/>
    <w:rsid w:val="00311C71"/>
    <w:rsid w:val="00313073"/>
    <w:rsid w:val="0031336C"/>
    <w:rsid w:val="0031339F"/>
    <w:rsid w:val="00313F3E"/>
    <w:rsid w:val="00314C40"/>
    <w:rsid w:val="00323F65"/>
    <w:rsid w:val="00326147"/>
    <w:rsid w:val="0033051E"/>
    <w:rsid w:val="0033401D"/>
    <w:rsid w:val="00334456"/>
    <w:rsid w:val="00336150"/>
    <w:rsid w:val="00336E99"/>
    <w:rsid w:val="00342417"/>
    <w:rsid w:val="00343A6F"/>
    <w:rsid w:val="00344C3D"/>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68B"/>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A0C"/>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98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0EC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23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0F99"/>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46F0"/>
    <w:rsid w:val="00982813"/>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4AA9"/>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33D1"/>
    <w:rsid w:val="00B17DE2"/>
    <w:rsid w:val="00B2096A"/>
    <w:rsid w:val="00B20E8D"/>
    <w:rsid w:val="00B32541"/>
    <w:rsid w:val="00B3267F"/>
    <w:rsid w:val="00B35F87"/>
    <w:rsid w:val="00B369D0"/>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1A7E"/>
    <w:rsid w:val="00BA3196"/>
    <w:rsid w:val="00BA3509"/>
    <w:rsid w:val="00BA5877"/>
    <w:rsid w:val="00BB124C"/>
    <w:rsid w:val="00BB17E3"/>
    <w:rsid w:val="00BB1CDB"/>
    <w:rsid w:val="00BB2110"/>
    <w:rsid w:val="00BB3645"/>
    <w:rsid w:val="00BB547E"/>
    <w:rsid w:val="00BB69B7"/>
    <w:rsid w:val="00BC0BF5"/>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2D9F"/>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CAF"/>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6FF1"/>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16C"/>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9A9"/>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021E"/>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6BEE"/>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3317"/>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35E345-8EF6-4C30-AF37-A9FAE02B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Revision"/>
    <w:hidden/>
    <w:uiPriority w:val="99"/>
    <w:semiHidden/>
    <w:rsid w:val="00A64A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12767</Words>
  <Characters>72778</Characters>
  <Application>Microsoft Office Word</Application>
  <DocSecurity>0</DocSecurity>
  <Lines>606</Lines>
  <Paragraphs>170</Paragraphs>
  <ScaleCrop>false</ScaleCrop>
  <Company>Microsoft</Company>
  <LinksUpToDate>false</LinksUpToDate>
  <CharactersWithSpaces>85375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喻秋燕</cp:lastModifiedBy>
  <cp:revision>5</cp:revision>
  <cp:lastPrinted>2013-02-18T03:10:00Z</cp:lastPrinted>
  <dcterms:created xsi:type="dcterms:W3CDTF">2020-12-16T06:03:00Z</dcterms:created>
  <dcterms:modified xsi:type="dcterms:W3CDTF">2020-12-16T10:22:00Z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