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EF4" w:rsidRPr="00EB07BC" w:rsidRDefault="00DE2EF4">
      <w:pPr>
        <w:rPr>
          <w:sz w:val="32"/>
        </w:rPr>
      </w:pPr>
    </w:p>
    <w:p w:rsidR="00DE2EF4" w:rsidRPr="00EB07BC" w:rsidRDefault="00DE2EF4">
      <w:pPr>
        <w:rPr>
          <w:sz w:val="32"/>
        </w:rPr>
      </w:pPr>
    </w:p>
    <w:p w:rsidR="00DE2EF4" w:rsidRPr="00EB07BC" w:rsidRDefault="00DE2EF4">
      <w:pPr>
        <w:rPr>
          <w:sz w:val="32"/>
        </w:rPr>
      </w:pPr>
    </w:p>
    <w:p w:rsidR="00DE2EF4" w:rsidRPr="00EB07BC" w:rsidRDefault="00B45293">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502561" w:rsidRDefault="0050256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502561" w:rsidRDefault="0050256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502561" w:rsidRDefault="00D13B45">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上证</w:t>
      </w:r>
      <w:r>
        <w:rPr>
          <w:rFonts w:ascii="Times New Roman" w:hAnsi="Times New Roman"/>
          <w:b/>
          <w:spacing w:val="2"/>
          <w:w w:val="99"/>
          <w:kern w:val="0"/>
          <w:position w:val="-4"/>
          <w:sz w:val="44"/>
          <w:szCs w:val="44"/>
        </w:rPr>
        <w:t>180</w:t>
      </w:r>
      <w:r>
        <w:rPr>
          <w:rFonts w:ascii="Times New Roman" w:hAnsi="Times New Roman"/>
          <w:b/>
          <w:spacing w:val="2"/>
          <w:w w:val="99"/>
          <w:kern w:val="0"/>
          <w:position w:val="-4"/>
          <w:sz w:val="44"/>
          <w:szCs w:val="44"/>
        </w:rPr>
        <w:t>公司治理交易型开放式指数证券投资基金</w:t>
      </w:r>
    </w:p>
    <w:p w:rsidR="00502561" w:rsidRDefault="00D13B45">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502561" w:rsidRDefault="00D13B45">
      <w:pPr>
        <w:snapToGrid w:val="0"/>
        <w:spacing w:line="360" w:lineRule="auto"/>
        <w:jc w:val="center"/>
        <w:rPr>
          <w:rFonts w:ascii="宋体" w:hAnsi="宋体"/>
          <w:b/>
          <w:sz w:val="30"/>
          <w:szCs w:val="30"/>
        </w:rPr>
      </w:pPr>
      <w:r>
        <w:rPr>
          <w:rFonts w:ascii="Times New Roman" w:hAnsi="Times New Roman"/>
          <w:b/>
          <w:color w:val="000000"/>
          <w:sz w:val="32"/>
          <w:szCs w:val="32"/>
        </w:rPr>
        <w:t>(2020</w:t>
      </w:r>
      <w:r>
        <w:rPr>
          <w:rFonts w:ascii="Times New Roman" w:hAnsi="Times New Roman"/>
          <w:b/>
          <w:color w:val="000000"/>
          <w:sz w:val="32"/>
          <w:szCs w:val="32"/>
        </w:rPr>
        <w:t>年第</w:t>
      </w:r>
      <w:r w:rsidR="00331C93">
        <w:rPr>
          <w:rFonts w:ascii="Times New Roman" w:hAnsi="Times New Roman"/>
          <w:b/>
          <w:color w:val="000000"/>
          <w:sz w:val="32"/>
          <w:szCs w:val="32"/>
        </w:rPr>
        <w:t>3</w:t>
      </w:r>
      <w:r>
        <w:rPr>
          <w:rFonts w:ascii="Times New Roman" w:hAnsi="Times New Roman"/>
          <w:b/>
          <w:color w:val="000000"/>
          <w:sz w:val="32"/>
          <w:szCs w:val="32"/>
        </w:rPr>
        <w:t>号</w:t>
      </w:r>
      <w:r>
        <w:rPr>
          <w:rFonts w:ascii="Times New Roman" w:hAnsi="Times New Roman"/>
          <w:b/>
          <w:color w:val="000000"/>
          <w:sz w:val="32"/>
          <w:szCs w:val="32"/>
        </w:rPr>
        <w:t>)</w:t>
      </w: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D13B4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502561" w:rsidRDefault="00D13B4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02561" w:rsidRDefault="00D13B45">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二〇二〇年</w:t>
      </w:r>
      <w:r w:rsidR="00331C93">
        <w:rPr>
          <w:rFonts w:ascii="Times New Roman" w:hAnsi="Times New Roman" w:hint="eastAsia"/>
          <w:b/>
          <w:spacing w:val="2"/>
          <w:w w:val="99"/>
          <w:kern w:val="0"/>
          <w:sz w:val="28"/>
          <w:szCs w:val="32"/>
        </w:rPr>
        <w:t>十</w:t>
      </w:r>
      <w:r w:rsidR="00DE2EF4">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rsidR="00502561" w:rsidRDefault="00502561">
      <w:pPr>
        <w:autoSpaceDE w:val="0"/>
        <w:autoSpaceDN w:val="0"/>
        <w:adjustRightInd w:val="0"/>
        <w:snapToGrid w:val="0"/>
        <w:spacing w:line="360" w:lineRule="auto"/>
        <w:ind w:left="1347" w:rightChars="6" w:right="13"/>
        <w:rPr>
          <w:rFonts w:ascii="宋体" w:hAnsi="宋体"/>
          <w:kern w:val="0"/>
          <w:sz w:val="32"/>
          <w:szCs w:val="32"/>
        </w:rPr>
        <w:sectPr w:rsidR="00502561">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502561" w:rsidRDefault="00D13B45">
      <w:pPr>
        <w:pStyle w:val="1"/>
        <w:snapToGrid w:val="0"/>
        <w:spacing w:beforeLines="0" w:before="240" w:after="240"/>
        <w:rPr>
          <w:rFonts w:ascii="宋体" w:hAnsi="宋体"/>
          <w:kern w:val="0"/>
        </w:rPr>
      </w:pPr>
      <w:bookmarkStart w:id="0" w:name="_Toc324920538"/>
      <w:bookmarkStart w:id="1" w:name="_Toc496884613"/>
      <w:bookmarkStart w:id="2" w:name="_Toc54104378"/>
      <w:r>
        <w:rPr>
          <w:rFonts w:ascii="Times New Roman" w:hAnsi="Times New Roman"/>
          <w:kern w:val="0"/>
        </w:rPr>
        <w:lastRenderedPageBreak/>
        <w:t>重要提示</w:t>
      </w:r>
      <w:bookmarkEnd w:id="0"/>
      <w:bookmarkEnd w:id="1"/>
      <w:bookmarkEnd w:id="2"/>
    </w:p>
    <w:p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上证</w:t>
      </w:r>
      <w:r>
        <w:rPr>
          <w:rFonts w:ascii="Times New Roman" w:hAnsi="Times New Roman"/>
          <w:kern w:val="0"/>
          <w:sz w:val="24"/>
        </w:rPr>
        <w:t>180</w:t>
      </w:r>
      <w:r>
        <w:rPr>
          <w:rFonts w:ascii="Times New Roman" w:hAnsi="Times New Roman"/>
          <w:kern w:val="0"/>
          <w:sz w:val="24"/>
        </w:rPr>
        <w:t>公司治理交易型开放式指数证券投资基金（以下简称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日中国证券监督管理委员会证监许可【</w:t>
      </w:r>
      <w:r>
        <w:rPr>
          <w:rFonts w:ascii="Times New Roman" w:hAnsi="Times New Roman"/>
          <w:kern w:val="0"/>
          <w:sz w:val="24"/>
        </w:rPr>
        <w:t>2009</w:t>
      </w:r>
      <w:r>
        <w:rPr>
          <w:rFonts w:ascii="Times New Roman" w:hAnsi="Times New Roman"/>
          <w:kern w:val="0"/>
          <w:sz w:val="24"/>
        </w:rPr>
        <w:t>】</w:t>
      </w:r>
      <w:r>
        <w:rPr>
          <w:rFonts w:ascii="Times New Roman" w:hAnsi="Times New Roman"/>
          <w:kern w:val="0"/>
          <w:sz w:val="24"/>
        </w:rPr>
        <w:t>795</w:t>
      </w:r>
      <w:r>
        <w:rPr>
          <w:rFonts w:ascii="Times New Roman" w:hAnsi="Times New Roman"/>
          <w:kern w:val="0"/>
          <w:sz w:val="24"/>
        </w:rPr>
        <w:t>号文核准募集。本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日正式生效。</w:t>
      </w:r>
    </w:p>
    <w:p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流动性风险，投资科创板股票的特定风险等等。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rsidR="00331C93" w:rsidRPr="00611D45" w:rsidRDefault="00331C93" w:rsidP="00331C93">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611D45">
        <w:rPr>
          <w:rFonts w:ascii="Times New Roman" w:hAnsi="Times New Roman" w:hint="eastAsia"/>
          <w:bCs/>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611D45">
        <w:rPr>
          <w:rFonts w:ascii="Times New Roman" w:hAnsi="Times New Roman"/>
          <w:bCs/>
          <w:kern w:val="0"/>
          <w:sz w:val="24"/>
        </w:rPr>
        <w:t>“</w:t>
      </w:r>
      <w:r w:rsidRPr="00611D45">
        <w:rPr>
          <w:rFonts w:ascii="Times New Roman" w:hAnsi="Times New Roman" w:hint="eastAsia"/>
          <w:bCs/>
          <w:kern w:val="0"/>
          <w:sz w:val="24"/>
        </w:rPr>
        <w:t>风险揭示</w:t>
      </w:r>
      <w:r w:rsidRPr="00611D45">
        <w:rPr>
          <w:rFonts w:ascii="Times New Roman" w:hAnsi="Times New Roman"/>
          <w:bCs/>
          <w:kern w:val="0"/>
          <w:sz w:val="24"/>
        </w:rPr>
        <w:t>”</w:t>
      </w:r>
      <w:r w:rsidRPr="00611D45">
        <w:rPr>
          <w:rFonts w:ascii="Times New Roman" w:hAnsi="Times New Roman" w:hint="eastAsia"/>
          <w:bCs/>
          <w:kern w:val="0"/>
          <w:sz w:val="24"/>
        </w:rPr>
        <w:t>章节内容。</w:t>
      </w:r>
    </w:p>
    <w:p w:rsidR="00331C93" w:rsidRPr="00611D45" w:rsidRDefault="00331C93" w:rsidP="00331C93">
      <w:pPr>
        <w:autoSpaceDE w:val="0"/>
        <w:autoSpaceDN w:val="0"/>
        <w:adjustRightInd w:val="0"/>
        <w:snapToGrid w:val="0"/>
        <w:spacing w:line="360" w:lineRule="auto"/>
        <w:ind w:leftChars="50" w:left="105" w:firstLineChars="200" w:firstLine="480"/>
        <w:rPr>
          <w:rFonts w:ascii="Times New Roman" w:hAnsi="Times New Roman"/>
          <w:kern w:val="0"/>
          <w:sz w:val="24"/>
        </w:rPr>
      </w:pPr>
      <w:r w:rsidRPr="00611D45">
        <w:rPr>
          <w:rFonts w:ascii="Times New Roman" w:hAnsi="Times New Roman" w:hint="eastAsia"/>
          <w:bCs/>
          <w:kern w:val="0"/>
          <w:sz w:val="24"/>
        </w:rPr>
        <w:lastRenderedPageBreak/>
        <w:t>本基金可根据投资策略需要或市场环境的变化，选择将部分基金资产投资于存托凭证或选择不将基金资产投资于存托凭证，基金资产并非必然投资存托凭证。</w:t>
      </w:r>
    </w:p>
    <w:p w:rsidR="00502561" w:rsidRDefault="00331C93">
      <w:pPr>
        <w:autoSpaceDE w:val="0"/>
        <w:autoSpaceDN w:val="0"/>
        <w:adjustRightInd w:val="0"/>
        <w:snapToGrid w:val="0"/>
        <w:spacing w:line="360" w:lineRule="auto"/>
        <w:ind w:leftChars="50" w:left="105" w:firstLineChars="200" w:firstLine="480"/>
        <w:rPr>
          <w:rFonts w:ascii="宋体" w:hAnsi="宋体"/>
          <w:kern w:val="0"/>
          <w:sz w:val="24"/>
        </w:rPr>
      </w:pPr>
      <w:r w:rsidRPr="00611D45">
        <w:rPr>
          <w:rFonts w:ascii="Times New Roman" w:hAnsi="Times New Roman" w:hint="eastAsia"/>
          <w:iCs/>
          <w:kern w:val="0"/>
          <w:sz w:val="24"/>
        </w:rPr>
        <w:t>本基金本次更新招募说明书对基金合同变更的相关信息进行更新，基金合同变更相关信息截止日为</w:t>
      </w:r>
      <w:r w:rsidRPr="00611D45">
        <w:rPr>
          <w:rFonts w:ascii="Times New Roman" w:hAnsi="Times New Roman"/>
          <w:iCs/>
          <w:kern w:val="0"/>
          <w:sz w:val="24"/>
        </w:rPr>
        <w:t>2020</w:t>
      </w:r>
      <w:r w:rsidRPr="00611D45">
        <w:rPr>
          <w:rFonts w:ascii="Times New Roman" w:hAnsi="Times New Roman" w:hint="eastAsia"/>
          <w:iCs/>
          <w:kern w:val="0"/>
          <w:sz w:val="24"/>
        </w:rPr>
        <w:t>年</w:t>
      </w:r>
      <w:r w:rsidR="00EB3E2E">
        <w:rPr>
          <w:rFonts w:ascii="Times New Roman" w:hAnsi="Times New Roman"/>
          <w:iCs/>
          <w:kern w:val="0"/>
          <w:sz w:val="24"/>
        </w:rPr>
        <w:t>12</w:t>
      </w:r>
      <w:r w:rsidRPr="00611D45">
        <w:rPr>
          <w:rFonts w:ascii="Times New Roman" w:hAnsi="Times New Roman" w:hint="eastAsia"/>
          <w:iCs/>
          <w:kern w:val="0"/>
          <w:sz w:val="24"/>
        </w:rPr>
        <w:t>月</w:t>
      </w:r>
      <w:r w:rsidR="00EB3E2E">
        <w:rPr>
          <w:rFonts w:ascii="Times New Roman" w:hAnsi="Times New Roman"/>
          <w:iCs/>
          <w:kern w:val="0"/>
          <w:sz w:val="24"/>
        </w:rPr>
        <w:t>28</w:t>
      </w:r>
      <w:r w:rsidRPr="00611D45">
        <w:rPr>
          <w:rFonts w:ascii="Times New Roman" w:hAnsi="Times New Roman" w:hint="eastAsia"/>
          <w:iCs/>
          <w:kern w:val="0"/>
          <w:sz w:val="24"/>
        </w:rPr>
        <w:t>日。</w:t>
      </w:r>
      <w:r w:rsidR="00D13B45">
        <w:rPr>
          <w:rFonts w:ascii="Times New Roman" w:hAnsi="Times New Roman"/>
          <w:kern w:val="0"/>
          <w:sz w:val="24"/>
        </w:rPr>
        <w:t>本招募说明书所载</w:t>
      </w:r>
      <w:r w:rsidRPr="00611D45">
        <w:rPr>
          <w:rFonts w:ascii="Times New Roman" w:hAnsi="Times New Roman" w:hint="eastAsia"/>
          <w:kern w:val="0"/>
          <w:sz w:val="24"/>
        </w:rPr>
        <w:t>其他</w:t>
      </w:r>
      <w:r w:rsidR="00D13B45">
        <w:rPr>
          <w:rFonts w:ascii="Times New Roman" w:hAnsi="Times New Roman"/>
          <w:kern w:val="0"/>
          <w:sz w:val="24"/>
        </w:rPr>
        <w:t>内容截止日为</w:t>
      </w:r>
      <w:r w:rsidR="00D13B45">
        <w:rPr>
          <w:rFonts w:ascii="Times New Roman" w:hAnsi="Times New Roman"/>
          <w:kern w:val="0"/>
          <w:sz w:val="24"/>
        </w:rPr>
        <w:t>2020</w:t>
      </w:r>
      <w:r w:rsidR="00D13B45">
        <w:rPr>
          <w:rFonts w:ascii="Times New Roman" w:hAnsi="Times New Roman"/>
          <w:kern w:val="0"/>
          <w:sz w:val="24"/>
        </w:rPr>
        <w:t>年</w:t>
      </w:r>
      <w:r w:rsidR="00D13B45">
        <w:rPr>
          <w:rFonts w:ascii="Times New Roman" w:hAnsi="Times New Roman"/>
          <w:kern w:val="0"/>
          <w:sz w:val="24"/>
        </w:rPr>
        <w:t>09</w:t>
      </w:r>
      <w:r w:rsidR="00D13B45">
        <w:rPr>
          <w:rFonts w:ascii="Times New Roman" w:hAnsi="Times New Roman"/>
          <w:kern w:val="0"/>
          <w:sz w:val="24"/>
        </w:rPr>
        <w:t>月</w:t>
      </w:r>
      <w:r w:rsidR="00D13B45">
        <w:rPr>
          <w:rFonts w:ascii="Times New Roman" w:hAnsi="Times New Roman"/>
          <w:kern w:val="0"/>
          <w:sz w:val="24"/>
        </w:rPr>
        <w:t>10</w:t>
      </w:r>
      <w:r w:rsidR="00D13B45">
        <w:rPr>
          <w:rFonts w:ascii="Times New Roman" w:hAnsi="Times New Roman"/>
          <w:kern w:val="0"/>
          <w:sz w:val="24"/>
        </w:rPr>
        <w:t>日，有关财务数据和净值表现截止日为</w:t>
      </w:r>
      <w:r w:rsidR="00D13B45">
        <w:rPr>
          <w:rFonts w:ascii="Times New Roman" w:hAnsi="Times New Roman"/>
          <w:kern w:val="0"/>
          <w:sz w:val="24"/>
        </w:rPr>
        <w:t>2020</w:t>
      </w:r>
      <w:r w:rsidR="00D13B45">
        <w:rPr>
          <w:rFonts w:ascii="Times New Roman" w:hAnsi="Times New Roman"/>
          <w:kern w:val="0"/>
          <w:sz w:val="24"/>
        </w:rPr>
        <w:t>年</w:t>
      </w:r>
      <w:r w:rsidR="00D13B45">
        <w:rPr>
          <w:rFonts w:ascii="Times New Roman" w:hAnsi="Times New Roman"/>
          <w:kern w:val="0"/>
          <w:sz w:val="24"/>
        </w:rPr>
        <w:t>06</w:t>
      </w:r>
      <w:r w:rsidR="00D13B45">
        <w:rPr>
          <w:rFonts w:ascii="Times New Roman" w:hAnsi="Times New Roman"/>
          <w:kern w:val="0"/>
          <w:sz w:val="24"/>
        </w:rPr>
        <w:t>月</w:t>
      </w:r>
      <w:r w:rsidR="00D13B45">
        <w:rPr>
          <w:rFonts w:ascii="Times New Roman" w:hAnsi="Times New Roman"/>
          <w:kern w:val="0"/>
          <w:sz w:val="24"/>
        </w:rPr>
        <w:t>30</w:t>
      </w:r>
      <w:r w:rsidR="00D13B45">
        <w:rPr>
          <w:rFonts w:ascii="Times New Roman" w:hAnsi="Times New Roman"/>
          <w:kern w:val="0"/>
          <w:sz w:val="24"/>
        </w:rPr>
        <w:t>日。本招募说明书所载的财务数据未经审计。</w:t>
      </w:r>
    </w:p>
    <w:p w:rsidR="00502561" w:rsidRDefault="00502561">
      <w:pPr>
        <w:autoSpaceDE w:val="0"/>
        <w:autoSpaceDN w:val="0"/>
        <w:adjustRightInd w:val="0"/>
        <w:snapToGrid w:val="0"/>
        <w:spacing w:before="51" w:line="360" w:lineRule="auto"/>
        <w:ind w:left="120" w:rightChars="6" w:right="13" w:firstLine="480"/>
        <w:rPr>
          <w:rFonts w:ascii="宋体" w:hAnsi="宋体"/>
          <w:kern w:val="0"/>
          <w:szCs w:val="24"/>
        </w:rPr>
        <w:sectPr w:rsidR="00502561">
          <w:headerReference w:type="default" r:id="rId12"/>
          <w:pgSz w:w="11920" w:h="16840"/>
          <w:pgMar w:top="1440" w:right="1680" w:bottom="280" w:left="1680" w:header="0" w:footer="1073" w:gutter="0"/>
          <w:pgNumType w:start="1"/>
          <w:cols w:space="720"/>
        </w:sectPr>
      </w:pPr>
    </w:p>
    <w:p w:rsidR="00EA6735" w:rsidRPr="00EA6735" w:rsidRDefault="00D13B45" w:rsidP="00EA6735">
      <w:pPr>
        <w:pStyle w:val="ad"/>
        <w:snapToGrid w:val="0"/>
        <w:spacing w:after="240" w:line="360" w:lineRule="auto"/>
        <w:jc w:val="center"/>
        <w:rPr>
          <w:rFonts w:ascii="宋体" w:hAnsi="宋体"/>
          <w:noProof/>
          <w:sz w:val="24"/>
        </w:rPr>
      </w:pPr>
      <w:r w:rsidRPr="00EA6735">
        <w:rPr>
          <w:rFonts w:ascii="宋体" w:hAnsi="宋体"/>
          <w:color w:val="000000"/>
          <w:position w:val="-4"/>
          <w:sz w:val="24"/>
          <w:szCs w:val="30"/>
        </w:rPr>
        <w:lastRenderedPageBreak/>
        <w:t>目</w:t>
      </w:r>
      <w:r w:rsidRPr="00EA6735">
        <w:rPr>
          <w:rFonts w:ascii="宋体" w:hAnsi="宋体"/>
          <w:color w:val="000000"/>
          <w:position w:val="-4"/>
          <w:sz w:val="24"/>
          <w:szCs w:val="30"/>
        </w:rPr>
        <w:tab/>
        <w:t>录</w:t>
      </w:r>
      <w:r w:rsidR="00EA6735" w:rsidRPr="00EA6735">
        <w:rPr>
          <w:rFonts w:ascii="宋体" w:hAnsi="宋体"/>
          <w:color w:val="000000"/>
          <w:position w:val="-4"/>
          <w:sz w:val="24"/>
          <w:szCs w:val="30"/>
        </w:rPr>
        <w:fldChar w:fldCharType="begin"/>
      </w:r>
      <w:r w:rsidR="00EA6735" w:rsidRPr="00EA6735">
        <w:rPr>
          <w:rFonts w:ascii="宋体" w:hAnsi="宋体"/>
          <w:color w:val="000000"/>
          <w:position w:val="-4"/>
          <w:sz w:val="24"/>
          <w:szCs w:val="30"/>
        </w:rPr>
        <w:instrText xml:space="preserve"> TOC \o "1-3" \f - \h \t "-1" </w:instrText>
      </w:r>
      <w:r w:rsidR="00EA6735" w:rsidRPr="00EA6735">
        <w:rPr>
          <w:rFonts w:ascii="宋体" w:hAnsi="宋体"/>
          <w:color w:val="000000"/>
          <w:position w:val="-4"/>
          <w:sz w:val="24"/>
          <w:szCs w:val="30"/>
        </w:rPr>
        <w:fldChar w:fldCharType="separate"/>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kern w:val="0"/>
          <w:sz w:val="24"/>
        </w:rPr>
        <w:fldChar w:fldCharType="begin"/>
      </w:r>
      <w:r>
        <w:rPr>
          <w:rStyle w:val="aa"/>
          <w:rFonts w:ascii="宋体" w:hAnsi="宋体"/>
          <w:noProof/>
          <w:kern w:val="0"/>
          <w:sz w:val="24"/>
        </w:rPr>
        <w:instrText xml:space="preserve"> HYPERLINK \l "_Toc54104378" </w:instrText>
      </w:r>
      <w:r w:rsidR="00AB499F">
        <w:rPr>
          <w:rStyle w:val="aa"/>
          <w:rFonts w:ascii="宋体" w:hAnsi="宋体"/>
          <w:noProof/>
          <w:kern w:val="0"/>
          <w:sz w:val="24"/>
        </w:rPr>
      </w:r>
      <w:r>
        <w:rPr>
          <w:rStyle w:val="aa"/>
          <w:rFonts w:ascii="宋体" w:hAnsi="宋体"/>
          <w:noProof/>
          <w:kern w:val="0"/>
          <w:sz w:val="24"/>
        </w:rPr>
        <w:fldChar w:fldCharType="separate"/>
      </w:r>
      <w:r w:rsidR="00EA6735" w:rsidRPr="00EA6735">
        <w:rPr>
          <w:rStyle w:val="aa"/>
          <w:rFonts w:ascii="宋体" w:hAnsi="宋体" w:hint="eastAsia"/>
          <w:noProof/>
          <w:kern w:val="0"/>
          <w:sz w:val="24"/>
        </w:rPr>
        <w:t>重要提示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_Toc54104378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"_Toc54104379"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一、绪言</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_Toc54104379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5</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"_Toc54104380"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二、释义</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_Toc54104380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"_Toc54104381"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三、基金管理人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_Toc54104381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"_Toc54104382"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四、基金托管人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_Toc54104382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20</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"_Toc54104383"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五、相关服务机构</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_Toc54104383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23</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w:instrText>
      </w:r>
      <w:r>
        <w:rPr>
          <w:rStyle w:val="aa"/>
          <w:rFonts w:ascii="宋体" w:hAnsi="宋体"/>
          <w:noProof/>
          <w:sz w:val="24"/>
        </w:rPr>
        <w:instrText xml:space="preserve">384"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六、基金的募集</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_Toc54104384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35</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"_Toc54104385"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七、基金合同的生效</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_Toc54104385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36</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"_Toc54104386"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八、基金份额折算与变更登记</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_Toc54104386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37</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"_Toc54104387"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九、基金份额的上市交易</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_Toc54104387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39</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"_Toc54104388"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十、基金份额的申购与赎回</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_Toc54104388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41</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"_Toc54104389"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十一、基金的投资</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_Toc54104389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52</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"_Toc54104390"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十二、基金的业绩</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_Toc54104390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64</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"_Toc54104391"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十三、基金的财产</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_Toc54104391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66</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"_Toc54104392"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十四、基金资产的估值</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_Toc54104392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67</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"_Toc54104393"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十五、基金的收益与分配</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_Toc54104393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74</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"_Toc54104394"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十六、基金的费用与税收</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_Toc54104394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76</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r>
        <w:rPr>
          <w:rStyle w:val="aa"/>
          <w:rFonts w:ascii="宋体" w:hAnsi="宋体"/>
          <w:noProof/>
          <w:sz w:val="24"/>
        </w:rPr>
        <w:fldChar w:fldCharType="begin"/>
      </w:r>
      <w:r>
        <w:rPr>
          <w:rStyle w:val="aa"/>
          <w:rFonts w:ascii="宋体" w:hAnsi="宋体"/>
          <w:noProof/>
          <w:sz w:val="24"/>
        </w:rPr>
        <w:instrText xml:space="preserve"> HYPERLINK \l "_Toc54104395" </w:instrText>
      </w:r>
      <w:r w:rsidR="00AB499F">
        <w:rPr>
          <w:rStyle w:val="aa"/>
          <w:rFonts w:ascii="宋体" w:hAnsi="宋体"/>
          <w:noProof/>
          <w:sz w:val="24"/>
        </w:rPr>
      </w:r>
      <w:r>
        <w:rPr>
          <w:rStyle w:val="aa"/>
          <w:rFonts w:ascii="宋体" w:hAnsi="宋体"/>
          <w:noProof/>
          <w:sz w:val="24"/>
        </w:rPr>
        <w:fldChar w:fldCharType="separate"/>
      </w:r>
      <w:r w:rsidR="00EA6735" w:rsidRPr="00EA6735">
        <w:rPr>
          <w:rStyle w:val="aa"/>
          <w:rFonts w:ascii="宋体" w:hAnsi="宋体" w:hint="eastAsia"/>
          <w:noProof/>
          <w:sz w:val="24"/>
        </w:rPr>
        <w:t>十七、基金的会计与审计</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_Toc54104395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79</w:t>
      </w:r>
      <w:r w:rsidR="00EA6735" w:rsidRPr="00EA6735">
        <w:rPr>
          <w:rFonts w:ascii="宋体" w:hAnsi="宋体"/>
          <w:noProof/>
          <w:sz w:val="24"/>
        </w:rPr>
        <w:fldChar w:fldCharType="end"/>
      </w:r>
      <w:r>
        <w:rPr>
          <w:rFonts w:ascii="宋体" w:hAnsi="宋体"/>
          <w:noProof/>
          <w:sz w:val="24"/>
        </w:rPr>
        <w:fldChar w:fldCharType="end"/>
      </w:r>
    </w:p>
    <w:p w:rsidR="00EA6735" w:rsidRPr="00A04B74" w:rsidRDefault="00FF667A" w:rsidP="00EA6735">
      <w:pPr>
        <w:pStyle w:val="10"/>
        <w:tabs>
          <w:tab w:val="right" w:leader="dot" w:pos="8550"/>
        </w:tabs>
        <w:spacing w:line="360" w:lineRule="auto"/>
        <w:rPr>
          <w:rFonts w:ascii="宋体" w:hAnsi="宋体"/>
          <w:noProof/>
          <w:sz w:val="24"/>
        </w:rPr>
      </w:pPr>
      <w:hyperlink w:anchor="_Toc54104396" w:history="1">
        <w:r w:rsidR="00EA6735" w:rsidRPr="00EA6735">
          <w:rPr>
            <w:rStyle w:val="aa"/>
            <w:rFonts w:ascii="宋体" w:hAnsi="宋体" w:hint="eastAsia"/>
            <w:noProof/>
            <w:sz w:val="24"/>
          </w:rPr>
          <w:t>十八、基金的信息披露</w:t>
        </w:r>
        <w:bookmarkStart w:id="3" w:name="_GoBack"/>
        <w:bookmarkEnd w:id="3"/>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_Toc54104396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80</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397" w:history="1">
        <w:r w:rsidR="00EA6735" w:rsidRPr="00EA6735">
          <w:rPr>
            <w:rStyle w:val="aa"/>
            <w:rFonts w:ascii="宋体" w:hAnsi="宋体" w:hint="eastAsia"/>
            <w:noProof/>
            <w:sz w:val="24"/>
          </w:rPr>
          <w:t>十九、风险揭示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_Toc54104397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86</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398" w:history="1">
        <w:r w:rsidR="00EA6735" w:rsidRPr="00EA6735">
          <w:rPr>
            <w:rStyle w:val="aa"/>
            <w:rFonts w:ascii="宋体" w:hAnsi="宋体" w:hint="eastAsia"/>
            <w:noProof/>
            <w:sz w:val="24"/>
          </w:rPr>
          <w:t>二十、基金合同的终止与基金财产的清算</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_Toc54104398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92</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399" w:history="1">
        <w:r w:rsidR="00EA6735" w:rsidRPr="00EA6735">
          <w:rPr>
            <w:rStyle w:val="aa"/>
            <w:rFonts w:ascii="宋体" w:hAnsi="宋体" w:hint="eastAsia"/>
            <w:noProof/>
            <w:sz w:val="24"/>
          </w:rPr>
          <w:t>二十一、基金合同内容摘要</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_Toc54104399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94</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400" w:history="1">
        <w:r w:rsidR="00EA6735" w:rsidRPr="00EA6735">
          <w:rPr>
            <w:rStyle w:val="aa"/>
            <w:rFonts w:ascii="宋体" w:hAnsi="宋体" w:hint="eastAsia"/>
            <w:noProof/>
            <w:sz w:val="24"/>
          </w:rPr>
          <w:t>二十二、托管协议的内容摘要</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_Toc54104400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109</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401" w:history="1">
        <w:r w:rsidR="00EA6735" w:rsidRPr="00EA6735">
          <w:rPr>
            <w:rStyle w:val="aa"/>
            <w:rFonts w:ascii="宋体" w:hAnsi="宋体" w:hint="eastAsia"/>
            <w:noProof/>
            <w:sz w:val="24"/>
          </w:rPr>
          <w:t>二十三、对基金份额持有人的服务</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_Toc54104401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124</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402" w:history="1">
        <w:r w:rsidR="00EA6735" w:rsidRPr="00EA6735">
          <w:rPr>
            <w:rStyle w:val="aa"/>
            <w:rFonts w:ascii="宋体" w:hAnsi="宋体" w:hint="eastAsia"/>
            <w:noProof/>
            <w:sz w:val="24"/>
          </w:rPr>
          <w:t>二十四、其他应披露事项</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_Toc54104402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125</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403" w:history="1">
        <w:r w:rsidR="00EA6735" w:rsidRPr="00EA6735">
          <w:rPr>
            <w:rStyle w:val="aa"/>
            <w:rFonts w:ascii="宋体" w:hAnsi="宋体" w:hint="eastAsia"/>
            <w:noProof/>
            <w:sz w:val="24"/>
          </w:rPr>
          <w:t>二十五、招募说明书的存放及查阅方式</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_Toc54104403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127</w:t>
        </w:r>
        <w:r w:rsidR="00EA6735" w:rsidRPr="00EA6735">
          <w:rPr>
            <w:rFonts w:ascii="宋体" w:hAnsi="宋体"/>
            <w:noProof/>
            <w:sz w:val="24"/>
          </w:rPr>
          <w:fldChar w:fldCharType="end"/>
        </w:r>
      </w:hyperlink>
    </w:p>
    <w:p w:rsidR="00EA6735" w:rsidRPr="00A04B74" w:rsidRDefault="00FF667A" w:rsidP="00EA6735">
      <w:pPr>
        <w:pStyle w:val="10"/>
        <w:tabs>
          <w:tab w:val="right" w:leader="dot" w:pos="8550"/>
        </w:tabs>
        <w:spacing w:line="360" w:lineRule="auto"/>
        <w:rPr>
          <w:rFonts w:ascii="宋体" w:hAnsi="宋体"/>
          <w:noProof/>
          <w:sz w:val="24"/>
        </w:rPr>
      </w:pPr>
      <w:hyperlink w:anchor="_Toc54104404" w:history="1">
        <w:r w:rsidR="00EA6735" w:rsidRPr="00EA6735">
          <w:rPr>
            <w:rStyle w:val="aa"/>
            <w:rFonts w:ascii="宋体" w:hAnsi="宋体" w:hint="eastAsia"/>
            <w:noProof/>
            <w:sz w:val="24"/>
          </w:rPr>
          <w:t>二十六、备查文件</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_Toc54104404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128</w:t>
        </w:r>
        <w:r w:rsidR="00EA6735" w:rsidRPr="00EA6735">
          <w:rPr>
            <w:rFonts w:ascii="宋体" w:hAnsi="宋体"/>
            <w:noProof/>
            <w:sz w:val="24"/>
          </w:rPr>
          <w:fldChar w:fldCharType="end"/>
        </w:r>
      </w:hyperlink>
    </w:p>
    <w:p w:rsidR="00502561" w:rsidRPr="00EA6735" w:rsidRDefault="00EA6735" w:rsidP="00EA6735">
      <w:pPr>
        <w:pStyle w:val="ad"/>
        <w:snapToGrid w:val="0"/>
        <w:spacing w:after="240" w:line="360" w:lineRule="auto"/>
        <w:jc w:val="center"/>
        <w:rPr>
          <w:rFonts w:ascii="宋体" w:hAnsi="宋体"/>
          <w:color w:val="000000"/>
          <w:sz w:val="24"/>
        </w:rPr>
      </w:pPr>
      <w:r w:rsidRPr="00EA6735">
        <w:rPr>
          <w:rFonts w:ascii="宋体" w:hAnsi="宋体"/>
          <w:color w:val="000000"/>
          <w:position w:val="-4"/>
          <w:sz w:val="24"/>
          <w:szCs w:val="30"/>
        </w:rPr>
        <w:lastRenderedPageBreak/>
        <w:fldChar w:fldCharType="end"/>
      </w:r>
    </w:p>
    <w:p w:rsidR="00502561" w:rsidRDefault="00502561">
      <w:pPr>
        <w:autoSpaceDE w:val="0"/>
        <w:autoSpaceDN w:val="0"/>
        <w:adjustRightInd w:val="0"/>
        <w:snapToGrid w:val="0"/>
        <w:spacing w:line="360" w:lineRule="auto"/>
        <w:ind w:left="120" w:rightChars="6" w:right="13"/>
        <w:rPr>
          <w:rFonts w:ascii="宋体" w:hAnsi="宋体"/>
          <w:kern w:val="0"/>
          <w:szCs w:val="24"/>
        </w:rPr>
        <w:sectPr w:rsidR="00502561">
          <w:pgSz w:w="11920" w:h="16840"/>
          <w:pgMar w:top="1480" w:right="1680" w:bottom="280" w:left="1680" w:header="0" w:footer="1073" w:gutter="0"/>
          <w:cols w:space="720"/>
        </w:sectPr>
      </w:pPr>
    </w:p>
    <w:p w:rsidR="00502561" w:rsidRDefault="00D13B45">
      <w:pPr>
        <w:pStyle w:val="1"/>
        <w:snapToGrid w:val="0"/>
        <w:spacing w:beforeLines="0" w:before="240" w:after="240"/>
        <w:rPr>
          <w:rFonts w:ascii="宋体" w:hAnsi="宋体"/>
          <w:szCs w:val="30"/>
        </w:rPr>
      </w:pPr>
      <w:bookmarkStart w:id="4" w:name="_Toc54104379"/>
      <w:r>
        <w:rPr>
          <w:rFonts w:ascii="Times New Roman" w:hAnsi="Times New Roman"/>
          <w:sz w:val="30"/>
        </w:rPr>
        <w:lastRenderedPageBreak/>
        <w:t>一、绪言</w:t>
      </w:r>
      <w:bookmarkEnd w:id="4"/>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）和其他相关法律法规的规定以及《上证</w:t>
      </w:r>
      <w:r>
        <w:rPr>
          <w:rFonts w:ascii="Times New Roman" w:hAnsi="Times New Roman"/>
          <w:sz w:val="24"/>
        </w:rPr>
        <w:t>180</w:t>
      </w:r>
      <w:r>
        <w:rPr>
          <w:rFonts w:ascii="Times New Roman" w:hAnsi="Times New Roman"/>
          <w:sz w:val="24"/>
        </w:rPr>
        <w:t>公司治理交易型开放式指数证券投资基金基金合同》（以下简称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w:t>
      </w:r>
      <w:proofErr w:type="gramStart"/>
      <w:r>
        <w:rPr>
          <w:rFonts w:ascii="Times New Roman" w:hAnsi="Times New Roman"/>
          <w:sz w:val="24"/>
        </w:rPr>
        <w:t>投资者自依基金</w:t>
      </w:r>
      <w:proofErr w:type="gramEnd"/>
      <w:r>
        <w:rPr>
          <w:rFonts w:ascii="Times New Roman" w:hAnsi="Times New Roman"/>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5" w:name="_Toc54104380"/>
      <w:r>
        <w:rPr>
          <w:rFonts w:ascii="Times New Roman" w:hAnsi="Times New Roman"/>
          <w:sz w:val="30"/>
        </w:rPr>
        <w:lastRenderedPageBreak/>
        <w:t>二、释义</w:t>
      </w:r>
      <w:bookmarkEnd w:id="5"/>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指中国农业银行股份有限公司（以下简称</w:t>
            </w:r>
            <w:r>
              <w:rPr>
                <w:rFonts w:ascii="Times New Roman" w:hAnsi="Times New Roman"/>
                <w:color w:val="000000"/>
                <w:kern w:val="0"/>
                <w:sz w:val="25"/>
                <w:szCs w:val="24"/>
              </w:rPr>
              <w:t>“</w:t>
            </w:r>
            <w:r>
              <w:rPr>
                <w:rFonts w:ascii="Times New Roman" w:hAnsi="Times New Roman"/>
                <w:color w:val="000000"/>
                <w:kern w:val="0"/>
                <w:sz w:val="25"/>
                <w:szCs w:val="24"/>
              </w:rPr>
              <w:t>中国农业银行）</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公司治理交易型开放式指数证券投资基金基金合同》及对基金合同的任何有效修订和补充</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公司治理交易型开放式指数证券投资基金托管协议》及对该托管协议的任何有效修订和补充</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公司治理交易型开放式指数证券投资基金招募说明书》，及其更新</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公司治理交易型开放式指数证券投资基金份额发售公告》</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公司治理交易型开放式指数证券投资基金基金产品资料概要》及其更新</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指中国现行有效并公布实施的法律、行政法规、司法解释、部门规章、地方性法规、地方政府规章和其他对基金合同当事人有约束力的规范性文件及对该等法律法规不时</w:t>
            </w:r>
            <w:proofErr w:type="gramStart"/>
            <w:r>
              <w:rPr>
                <w:rFonts w:ascii="Times New Roman" w:hAnsi="Times New Roman"/>
                <w:color w:val="000000"/>
                <w:kern w:val="0"/>
                <w:sz w:val="25"/>
                <w:szCs w:val="24"/>
              </w:rPr>
              <w:t>作出</w:t>
            </w:r>
            <w:proofErr w:type="gramEnd"/>
            <w:r>
              <w:rPr>
                <w:rFonts w:ascii="Times New Roman" w:hAnsi="Times New Roman"/>
                <w:color w:val="000000"/>
                <w:kern w:val="0"/>
                <w:sz w:val="25"/>
                <w:szCs w:val="24"/>
              </w:rPr>
              <w:t>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日经第十届全国人民代表大会常务委员会第十八次会议通过，自</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日实施的《中华人民共和国证券法》及颁布机关对其不时做出的修订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w:t>
            </w:r>
            <w:proofErr w:type="gramStart"/>
            <w:r>
              <w:rPr>
                <w:rFonts w:ascii="Times New Roman" w:hAnsi="Times New Roman"/>
                <w:color w:val="000000"/>
                <w:kern w:val="0"/>
                <w:sz w:val="25"/>
                <w:szCs w:val="24"/>
              </w:rPr>
              <w:t>作出</w:t>
            </w:r>
            <w:proofErr w:type="gramEnd"/>
            <w:r>
              <w:rPr>
                <w:rFonts w:ascii="Times New Roman" w:hAnsi="Times New Roman"/>
                <w:color w:val="000000"/>
                <w:kern w:val="0"/>
                <w:sz w:val="25"/>
                <w:szCs w:val="24"/>
              </w:rPr>
              <w:t>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日实施的《证券投资基金销售管理办法》及对其不时</w:t>
            </w:r>
            <w:proofErr w:type="gramStart"/>
            <w:r>
              <w:rPr>
                <w:rFonts w:ascii="Times New Roman" w:hAnsi="Times New Roman"/>
                <w:color w:val="000000"/>
                <w:kern w:val="0"/>
                <w:sz w:val="25"/>
                <w:szCs w:val="24"/>
              </w:rPr>
              <w:t>作出</w:t>
            </w:r>
            <w:proofErr w:type="gramEnd"/>
            <w:r>
              <w:rPr>
                <w:rFonts w:ascii="Times New Roman" w:hAnsi="Times New Roman"/>
                <w:color w:val="000000"/>
                <w:kern w:val="0"/>
                <w:sz w:val="25"/>
                <w:szCs w:val="24"/>
              </w:rPr>
              <w:t>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日实施的《公开募集证券投资基金信息披露管理办法》及对其不时</w:t>
            </w:r>
            <w:proofErr w:type="gramStart"/>
            <w:r>
              <w:rPr>
                <w:rFonts w:ascii="Times New Roman" w:hAnsi="Times New Roman"/>
                <w:color w:val="000000"/>
                <w:kern w:val="0"/>
                <w:sz w:val="25"/>
                <w:szCs w:val="24"/>
              </w:rPr>
              <w:t>作出</w:t>
            </w:r>
            <w:proofErr w:type="gramEnd"/>
            <w:r>
              <w:rPr>
                <w:rFonts w:ascii="Times New Roman" w:hAnsi="Times New Roman"/>
                <w:color w:val="000000"/>
                <w:kern w:val="0"/>
                <w:sz w:val="25"/>
                <w:szCs w:val="24"/>
              </w:rPr>
              <w:t>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日实施的《证券投资基金运作管理办法》及对其不时</w:t>
            </w:r>
            <w:proofErr w:type="gramStart"/>
            <w:r>
              <w:rPr>
                <w:rFonts w:ascii="Times New Roman" w:hAnsi="Times New Roman"/>
                <w:color w:val="000000"/>
                <w:kern w:val="0"/>
                <w:sz w:val="25"/>
                <w:szCs w:val="24"/>
              </w:rPr>
              <w:t>作出</w:t>
            </w:r>
            <w:proofErr w:type="gramEnd"/>
            <w:r>
              <w:rPr>
                <w:rFonts w:ascii="Times New Roman" w:hAnsi="Times New Roman"/>
                <w:color w:val="000000"/>
                <w:kern w:val="0"/>
                <w:sz w:val="25"/>
                <w:szCs w:val="24"/>
              </w:rPr>
              <w:t>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指中华人民共和国，就基金合同及招募说明书而言，不包括香港特别行政区、澳门特别行政区和台湾地区</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中国银监会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指符合法律法规规定的条件可以投资证券投资基金的自然人</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指符合法律法规规定可以投资证券投资基金的在中国境内注册登记或经政府有关部门批准设立的机构</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指符合《合格境外机构投资者境内证券投资管理办法》及其他相关法律法规的可投资于中国境内证券的中国境外的机构投资者</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基金投资者</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指个人投资者、机构投资者和合格境外机构投资者的合称</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指依据基金合同和招募说明书合法取得基金份额的基金投资者</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上交所《业务细则》</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指《上海证券交易所交易型开放式指数基金业务实施细则》</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交易型开放式指数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指《上海证券交易所交易型开放式指数基金业务实施证券投资基金细则》定义的</w:t>
            </w:r>
            <w:r>
              <w:rPr>
                <w:rFonts w:ascii="Times New Roman" w:hAnsi="Times New Roman"/>
                <w:color w:val="000000"/>
                <w:kern w:val="0"/>
                <w:sz w:val="25"/>
                <w:szCs w:val="24"/>
              </w:rPr>
              <w:t>“</w:t>
            </w:r>
            <w:r>
              <w:rPr>
                <w:rFonts w:ascii="Times New Roman" w:hAnsi="Times New Roman"/>
                <w:color w:val="000000"/>
                <w:kern w:val="0"/>
                <w:sz w:val="25"/>
                <w:szCs w:val="24"/>
              </w:rPr>
              <w:t>交易型开放式指数基金</w:t>
            </w:r>
            <w:r>
              <w:rPr>
                <w:rFonts w:ascii="Times New Roman" w:hAnsi="Times New Roman"/>
                <w:color w:val="000000"/>
                <w:kern w:val="0"/>
                <w:sz w:val="25"/>
                <w:szCs w:val="24"/>
              </w:rPr>
              <w:t>”</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联接基金</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指将绝大多数基金财产投资于本基金</w:t>
            </w:r>
            <w:r>
              <w:rPr>
                <w:rFonts w:ascii="Times New Roman" w:hAnsi="Times New Roman"/>
                <w:color w:val="000000"/>
                <w:kern w:val="0"/>
                <w:sz w:val="25"/>
                <w:szCs w:val="24"/>
              </w:rPr>
              <w:t>,</w:t>
            </w:r>
            <w:r>
              <w:rPr>
                <w:rFonts w:ascii="Times New Roman" w:hAnsi="Times New Roman"/>
                <w:color w:val="000000"/>
                <w:kern w:val="0"/>
                <w:sz w:val="25"/>
                <w:szCs w:val="24"/>
              </w:rPr>
              <w:t>与本基金的投资目标类似，紧密跟踪标的指数表现</w:t>
            </w:r>
            <w:r>
              <w:rPr>
                <w:rFonts w:ascii="Times New Roman" w:hAnsi="Times New Roman"/>
                <w:color w:val="000000"/>
                <w:kern w:val="0"/>
                <w:sz w:val="25"/>
                <w:szCs w:val="24"/>
              </w:rPr>
              <w:t xml:space="preserve">, </w:t>
            </w:r>
            <w:r>
              <w:rPr>
                <w:rFonts w:ascii="Times New Roman" w:hAnsi="Times New Roman"/>
                <w:color w:val="000000"/>
                <w:kern w:val="0"/>
                <w:sz w:val="25"/>
                <w:szCs w:val="24"/>
              </w:rPr>
              <w:t>追求跟踪偏离度和跟踪误差最小化</w:t>
            </w:r>
            <w:r>
              <w:rPr>
                <w:rFonts w:ascii="Times New Roman" w:hAnsi="Times New Roman"/>
                <w:color w:val="000000"/>
                <w:kern w:val="0"/>
                <w:sz w:val="25"/>
                <w:szCs w:val="24"/>
              </w:rPr>
              <w:t xml:space="preserve">, </w:t>
            </w:r>
            <w:r>
              <w:rPr>
                <w:rFonts w:ascii="Times New Roman" w:hAnsi="Times New Roman"/>
                <w:color w:val="000000"/>
                <w:kern w:val="0"/>
                <w:sz w:val="25"/>
                <w:szCs w:val="24"/>
              </w:rPr>
              <w:t>采用开放式运作的基金</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发售代理机构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指符合《销售办法》和中国证监会规定的其他条件，由基金管理人指定的代理本基金发售业务的机构</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发售协调人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指基金管理人指定的协调本基金发售等工作的代理机构</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申购赎回代理券商</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指符合《销售办法》和中国证监会规定的其他条件，由基金管理人指定的办理本基金申购、赎回业务的证券公司，又称为代办证券公司</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指发售代理机构和</w:t>
            </w:r>
            <w:r>
              <w:rPr>
                <w:rFonts w:ascii="Times New Roman" w:hAnsi="Times New Roman"/>
                <w:color w:val="000000"/>
                <w:kern w:val="0"/>
                <w:sz w:val="25"/>
                <w:szCs w:val="24"/>
              </w:rPr>
              <w:t>/</w:t>
            </w:r>
            <w:r>
              <w:rPr>
                <w:rFonts w:ascii="Times New Roman" w:hAnsi="Times New Roman"/>
                <w:color w:val="000000"/>
                <w:kern w:val="0"/>
                <w:sz w:val="25"/>
                <w:szCs w:val="24"/>
              </w:rPr>
              <w:t>或申购赎回代理券商</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w:t>
            </w:r>
            <w:r>
              <w:rPr>
                <w:rFonts w:ascii="Times New Roman" w:hAnsi="Times New Roman"/>
                <w:color w:val="000000"/>
                <w:kern w:val="0"/>
                <w:sz w:val="25"/>
                <w:szCs w:val="24"/>
              </w:rPr>
              <w:t>/</w:t>
            </w:r>
            <w:r>
              <w:rPr>
                <w:rFonts w:ascii="Times New Roman" w:hAnsi="Times New Roman"/>
                <w:color w:val="000000"/>
                <w:kern w:val="0"/>
                <w:sz w:val="25"/>
                <w:szCs w:val="24"/>
              </w:rPr>
              <w:t>或代销机构</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指直销机构的直销中心和</w:t>
            </w:r>
            <w:r>
              <w:rPr>
                <w:rFonts w:ascii="Times New Roman" w:hAnsi="Times New Roman"/>
                <w:color w:val="000000"/>
                <w:kern w:val="0"/>
                <w:sz w:val="25"/>
                <w:szCs w:val="24"/>
              </w:rPr>
              <w:t>/</w:t>
            </w:r>
            <w:r>
              <w:rPr>
                <w:rFonts w:ascii="Times New Roman" w:hAnsi="Times New Roman"/>
                <w:color w:val="000000"/>
                <w:kern w:val="0"/>
                <w:sz w:val="25"/>
                <w:szCs w:val="24"/>
              </w:rPr>
              <w:t>或代销机构的代销网点</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指《中国证券登记结算有限责任公司交易型开放式指数基金登记结算业务实施细则》定义基金登记、存管、过户、清算和结算业务</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指注册登记机构为基金投资者开立的、记录其持有的、基金管理人所管理的基金份额余额及其变动情况的账户</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指基金募集期结束后达到法律法规规定及基金合同约定的备案条件，基金管理人聘请法定机构验资并向中国证监会办理基金备案手续完毕，并收到其书面确认的日期</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指上海证券交易所的正常交易日</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proofErr w:type="gramStart"/>
            <w:r>
              <w:rPr>
                <w:rFonts w:ascii="Times New Roman" w:hAnsi="Times New Roman"/>
                <w:color w:val="000000"/>
                <w:kern w:val="0"/>
                <w:sz w:val="25"/>
                <w:szCs w:val="24"/>
              </w:rPr>
              <w:t>公历月</w:t>
            </w:r>
            <w:proofErr w:type="gramEnd"/>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指销售机构在规定时间受理基金投资者有效申请工作日</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proofErr w:type="gramStart"/>
            <w:r>
              <w:rPr>
                <w:rFonts w:ascii="Times New Roman" w:hAnsi="Times New Roman"/>
                <w:color w:val="000000"/>
                <w:kern w:val="0"/>
                <w:sz w:val="25"/>
                <w:szCs w:val="24"/>
              </w:rPr>
              <w:t>个</w:t>
            </w:r>
            <w:proofErr w:type="gramEnd"/>
            <w:r>
              <w:rPr>
                <w:rFonts w:ascii="Times New Roman" w:hAnsi="Times New Roman"/>
                <w:color w:val="000000"/>
                <w:kern w:val="0"/>
                <w:sz w:val="25"/>
                <w:szCs w:val="24"/>
              </w:rPr>
              <w:t>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指为基金投资者办理基金份额申购、赎回或其他业务的工作日</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认购</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指在基金募集期内，基金投资者申请购买本</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份额的行为</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指在基金存续期内，基金投资者向基金管理人申请购买本</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份额的行为，申购将导致本基金份额总数的增加</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指在基金存续期内，基金份额持有人按基金合同规定的条件，向基金管理人要求卖回本</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份额的行为，赎回将导致本基金份额总数的减少</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申购赎回清单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指由基金管理人编制的用以公告申购对价、赎回对价等信息的文件</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申购对价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指投资者申购基金份额时，按基金合同和招募说明书规定应交付的组合证券、现金替代、现金差额及其他对价</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赎回对价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指投资者赎回基金份额时，基金管理人按基金合同和招募说明书规定应交付给赎回人的组合证券、现金替代、现金差额及其他对价</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指上海证券交易所编制并发布的上证</w:t>
            </w:r>
            <w:r>
              <w:rPr>
                <w:rFonts w:ascii="Times New Roman" w:hAnsi="Times New Roman"/>
                <w:color w:val="000000"/>
                <w:kern w:val="0"/>
                <w:sz w:val="25"/>
                <w:szCs w:val="24"/>
              </w:rPr>
              <w:t>180</w:t>
            </w:r>
            <w:r>
              <w:rPr>
                <w:rFonts w:ascii="Times New Roman" w:hAnsi="Times New Roman"/>
                <w:color w:val="000000"/>
                <w:kern w:val="0"/>
                <w:sz w:val="25"/>
                <w:szCs w:val="24"/>
              </w:rPr>
              <w:t>公司治理指数及其未来可能发生的变更</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完全复制法</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指一种构建跟踪指数的投资组合的方法。通过购买标的指数中的所有成份证券，并且按照每种成份证券在标的指数中的权重确定购买的比例，以达到复制指数的目的</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指本基金申购份额、赎回份额的最低数量，投资者申购或赎回的基金份额应为最小申购赎回单位的整数</w:t>
            </w:r>
            <w:proofErr w:type="gramStart"/>
            <w:r>
              <w:rPr>
                <w:rFonts w:ascii="Times New Roman" w:hAnsi="Times New Roman"/>
                <w:color w:val="000000"/>
                <w:kern w:val="0"/>
                <w:sz w:val="25"/>
                <w:szCs w:val="24"/>
              </w:rPr>
              <w:t>倍</w:t>
            </w:r>
            <w:proofErr w:type="gramEnd"/>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指申购或赎回过程中，投资者按基金合同和招募说明书的规定，用于替代组合证券中部分证券的一定数量的现金</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预估现金部分</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指为便于计算基金份额参考净值及申购赎回代理券商预先冻结申请申购或赎回的投资者的相应资金，由基金管理人计算并公布的现金数额</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指定交易</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指《上海证券交易所全面指定交易制度试行办法》中定义的</w:t>
            </w:r>
            <w:r>
              <w:rPr>
                <w:rFonts w:ascii="Times New Roman" w:hAnsi="Times New Roman"/>
                <w:color w:val="000000"/>
                <w:kern w:val="0"/>
                <w:sz w:val="25"/>
                <w:szCs w:val="24"/>
              </w:rPr>
              <w:t>“</w:t>
            </w:r>
            <w:r>
              <w:rPr>
                <w:rFonts w:ascii="Times New Roman" w:hAnsi="Times New Roman"/>
                <w:color w:val="000000"/>
                <w:kern w:val="0"/>
                <w:sz w:val="25"/>
                <w:szCs w:val="24"/>
              </w:rPr>
              <w:t>全面指定交易</w:t>
            </w:r>
            <w:r>
              <w:rPr>
                <w:rFonts w:ascii="Times New Roman" w:hAnsi="Times New Roman"/>
                <w:color w:val="000000"/>
                <w:kern w:val="0"/>
                <w:sz w:val="25"/>
                <w:szCs w:val="24"/>
              </w:rPr>
              <w:t>”</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基金份额参考净值</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指在交易时间内，申购赎回清单中的组合证券（含预估现金部分）实时市值，简称</w:t>
            </w:r>
            <w:r>
              <w:rPr>
                <w:rFonts w:ascii="Times New Roman" w:hAnsi="Times New Roman"/>
                <w:color w:val="000000"/>
                <w:kern w:val="0"/>
                <w:sz w:val="25"/>
                <w:szCs w:val="24"/>
              </w:rPr>
              <w:t>IOPV</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收益</w:t>
            </w:r>
            <w:proofErr w:type="gramStart"/>
            <w:r>
              <w:rPr>
                <w:rFonts w:ascii="Times New Roman" w:hAnsi="Times New Roman"/>
                <w:color w:val="000000"/>
                <w:kern w:val="0"/>
                <w:sz w:val="25"/>
                <w:szCs w:val="24"/>
              </w:rPr>
              <w:t>评价日</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指基金管理人计算本基金净值增长率与标的指数增长率差额之日</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基金净值增长率</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proofErr w:type="gramStart"/>
            <w:r>
              <w:rPr>
                <w:rFonts w:ascii="Times New Roman" w:hAnsi="Times New Roman"/>
                <w:color w:val="000000"/>
                <w:kern w:val="0"/>
                <w:sz w:val="25"/>
                <w:szCs w:val="24"/>
              </w:rPr>
              <w:t>指收益评价日</w:t>
            </w:r>
            <w:proofErr w:type="gramEnd"/>
            <w:r>
              <w:rPr>
                <w:rFonts w:ascii="Times New Roman" w:hAnsi="Times New Roman"/>
                <w:color w:val="000000"/>
                <w:kern w:val="0"/>
                <w:sz w:val="25"/>
                <w:szCs w:val="24"/>
              </w:rPr>
              <w:t>基金份额净值与基金上市前一日基金份额净值之比减去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标的指数同期增长率</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proofErr w:type="gramStart"/>
            <w:r>
              <w:rPr>
                <w:rFonts w:ascii="Times New Roman" w:hAnsi="Times New Roman"/>
                <w:color w:val="000000"/>
                <w:kern w:val="0"/>
                <w:sz w:val="25"/>
                <w:szCs w:val="24"/>
              </w:rPr>
              <w:t>指收益</w:t>
            </w:r>
            <w:proofErr w:type="gramEnd"/>
            <w:r>
              <w:rPr>
                <w:rFonts w:ascii="Times New Roman" w:hAnsi="Times New Roman"/>
                <w:color w:val="000000"/>
                <w:kern w:val="0"/>
                <w:sz w:val="25"/>
                <w:szCs w:val="24"/>
              </w:rPr>
              <w:t>评价日标的指数</w:t>
            </w:r>
            <w:proofErr w:type="gramStart"/>
            <w:r>
              <w:rPr>
                <w:rFonts w:ascii="Times New Roman" w:hAnsi="Times New Roman"/>
                <w:color w:val="000000"/>
                <w:kern w:val="0"/>
                <w:sz w:val="25"/>
                <w:szCs w:val="24"/>
              </w:rPr>
              <w:t>收盘值</w:t>
            </w:r>
            <w:proofErr w:type="gramEnd"/>
            <w:r>
              <w:rPr>
                <w:rFonts w:ascii="Times New Roman" w:hAnsi="Times New Roman"/>
                <w:color w:val="000000"/>
                <w:kern w:val="0"/>
                <w:sz w:val="25"/>
                <w:szCs w:val="24"/>
              </w:rPr>
              <w:t>与基金上市前一日标的指数</w:t>
            </w:r>
            <w:proofErr w:type="gramStart"/>
            <w:r>
              <w:rPr>
                <w:rFonts w:ascii="Times New Roman" w:hAnsi="Times New Roman"/>
                <w:color w:val="000000"/>
                <w:kern w:val="0"/>
                <w:sz w:val="25"/>
                <w:szCs w:val="24"/>
              </w:rPr>
              <w:t>收盘值</w:t>
            </w:r>
            <w:proofErr w:type="gramEnd"/>
            <w:r>
              <w:rPr>
                <w:rFonts w:ascii="Times New Roman" w:hAnsi="Times New Roman"/>
                <w:color w:val="000000"/>
                <w:kern w:val="0"/>
                <w:sz w:val="25"/>
                <w:szCs w:val="24"/>
              </w:rPr>
              <w:t>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w:t>
            </w:r>
            <w:proofErr w:type="gramStart"/>
            <w:r>
              <w:rPr>
                <w:rFonts w:ascii="Times New Roman" w:hAnsi="Times New Roman"/>
                <w:color w:val="000000"/>
                <w:kern w:val="0"/>
                <w:sz w:val="25"/>
                <w:szCs w:val="24"/>
              </w:rPr>
              <w:t>含协议</w:t>
            </w:r>
            <w:proofErr w:type="gramEnd"/>
            <w:r>
              <w:rPr>
                <w:rFonts w:ascii="Times New Roman" w:hAnsi="Times New Roman"/>
                <w:color w:val="000000"/>
                <w:kern w:val="0"/>
                <w:sz w:val="25"/>
                <w:szCs w:val="24"/>
              </w:rPr>
              <w:t>约定有条件提前支取的银行存款）、停牌股票、流通受限的新股及非公开发行股票、资产支持证券、因发行人债务违约无法进行转让或交易的债券等</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6" w:name="_Toc54104381"/>
      <w:r>
        <w:rPr>
          <w:rFonts w:ascii="Times New Roman" w:hAnsi="Times New Roman"/>
          <w:sz w:val="30"/>
        </w:rPr>
        <w:lastRenderedPageBreak/>
        <w:t>三、基金管理人</w:t>
      </w:r>
      <w:bookmarkEnd w:id="6"/>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w:t>
      </w:r>
      <w:proofErr w:type="gramStart"/>
      <w:r>
        <w:rPr>
          <w:rFonts w:ascii="Times New Roman" w:hAnsi="Times New Roman"/>
          <w:sz w:val="24"/>
        </w:rPr>
        <w:t>监基金字</w:t>
      </w:r>
      <w:proofErr w:type="gramEnd"/>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陈朝灯先生</w:t>
      </w:r>
      <w:proofErr w:type="gramEnd"/>
      <w:r>
        <w:rPr>
          <w:rFonts w:ascii="Times New Roman" w:hAnsi="Times New Roman"/>
          <w:sz w:val="24"/>
        </w:rPr>
        <w:t>，副董事长，博士。现任施罗德证券投资信托股份有限公司投资总监兼专户管理部主管。历任复华证券投资信托股份有限公司专户投资经理，景顺证券投资信托股份有限公司部门主管、投资总监。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w:t>
      </w:r>
      <w:proofErr w:type="gramStart"/>
      <w:r>
        <w:rPr>
          <w:rFonts w:ascii="Times New Roman" w:hAnsi="Times New Roman"/>
          <w:sz w:val="24"/>
        </w:rPr>
        <w:t>兼风险</w:t>
      </w:r>
      <w:proofErr w:type="gramEnd"/>
      <w:r>
        <w:rPr>
          <w:rFonts w:ascii="Times New Roman" w:hAnsi="Times New Roman"/>
          <w:sz w:val="24"/>
        </w:rPr>
        <w:t>管理部副总经理。历任交通银行湖南省分行风险管理部、资产保全部、法律合</w:t>
      </w:r>
      <w:proofErr w:type="gramStart"/>
      <w:r>
        <w:rPr>
          <w:rFonts w:ascii="Times New Roman" w:hAnsi="Times New Roman"/>
          <w:sz w:val="24"/>
        </w:rPr>
        <w:t>规</w:t>
      </w:r>
      <w:proofErr w:type="gramEnd"/>
      <w:r>
        <w:rPr>
          <w:rFonts w:ascii="Times New Roman" w:hAnsi="Times New Roman"/>
          <w:sz w:val="24"/>
        </w:rPr>
        <w:t>部、</w:t>
      </w:r>
      <w:r>
        <w:rPr>
          <w:rFonts w:ascii="Times New Roman" w:hAnsi="Times New Roman"/>
          <w:sz w:val="24"/>
        </w:rPr>
        <w:lastRenderedPageBreak/>
        <w:t>个人金融业务部总经理，交通银行总行个人金融业务部总经理助理。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w:t>
      </w:r>
      <w:proofErr w:type="gramStart"/>
      <w:r>
        <w:rPr>
          <w:rFonts w:ascii="Times New Roman" w:hAnsi="Times New Roman"/>
          <w:sz w:val="24"/>
        </w:rPr>
        <w:t>内控案防</w:t>
      </w:r>
      <w:proofErr w:type="gramEnd"/>
      <w:r>
        <w:rPr>
          <w:rFonts w:ascii="Times New Roman" w:hAnsi="Times New Roman"/>
          <w:sz w:val="24"/>
        </w:rPr>
        <w:t>办副主任。历任风险管理部副高级经理、高级经理，交通银行广西区柳州分行副行长，交通银行内蒙古区分行行长助理，交通银行总行风险管理部（资产保全部）副总经理。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w:t>
      </w:r>
      <w:proofErr w:type="gramStart"/>
      <w:r>
        <w:rPr>
          <w:rFonts w:ascii="Times New Roman" w:hAnsi="Times New Roman"/>
          <w:sz w:val="24"/>
        </w:rPr>
        <w:t>非银司副</w:t>
      </w:r>
      <w:proofErr w:type="gramEnd"/>
      <w:r>
        <w:rPr>
          <w:rFonts w:ascii="Times New Roman" w:hAnsi="Times New Roman"/>
          <w:sz w:val="24"/>
        </w:rPr>
        <w:t>巡视员、副司长，银监会</w:t>
      </w:r>
      <w:proofErr w:type="gramStart"/>
      <w:r>
        <w:rPr>
          <w:rFonts w:ascii="Times New Roman" w:hAnsi="Times New Roman"/>
          <w:sz w:val="24"/>
        </w:rPr>
        <w:t>非银部副</w:t>
      </w:r>
      <w:proofErr w:type="gramEnd"/>
      <w:r>
        <w:rPr>
          <w:rFonts w:ascii="Times New Roman" w:hAnsi="Times New Roman"/>
          <w:sz w:val="24"/>
        </w:rPr>
        <w:t>主任，银行监管一部副主任、巡视员，汇金公司派出董事。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w:t>
      </w:r>
      <w:proofErr w:type="gramStart"/>
      <w:r>
        <w:rPr>
          <w:rFonts w:ascii="Times New Roman" w:hAnsi="Times New Roman"/>
          <w:sz w:val="24"/>
        </w:rPr>
        <w:t>大学民商经济</w:t>
      </w:r>
      <w:proofErr w:type="gramEnd"/>
      <w:r>
        <w:rPr>
          <w:rFonts w:ascii="Times New Roman" w:hAnsi="Times New Roman"/>
          <w:sz w:val="24"/>
        </w:rPr>
        <w:t>法学院教授，兼任基金业协会自律监察委员会委员。历任证监会办公厅副处长、上市公司</w:t>
      </w:r>
      <w:proofErr w:type="gramStart"/>
      <w:r>
        <w:rPr>
          <w:rFonts w:ascii="Times New Roman" w:hAnsi="Times New Roman"/>
          <w:sz w:val="24"/>
        </w:rPr>
        <w:t>监管部</w:t>
      </w:r>
      <w:proofErr w:type="gramEnd"/>
      <w:r>
        <w:rPr>
          <w:rFonts w:ascii="Times New Roman" w:hAnsi="Times New Roman"/>
          <w:sz w:val="24"/>
        </w:rPr>
        <w:t>处长、行政处罚委员会专职委员、副主任审理员，兼任证监会上市公司并购重组审核委员会委员、行政复议委员会委员。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w:t>
      </w:r>
      <w:proofErr w:type="gramStart"/>
      <w:r>
        <w:rPr>
          <w:rFonts w:ascii="Times New Roman" w:hAnsi="Times New Roman"/>
          <w:sz w:val="24"/>
        </w:rPr>
        <w:t>江学者</w:t>
      </w:r>
      <w:proofErr w:type="gramEnd"/>
      <w:r>
        <w:rPr>
          <w:rFonts w:ascii="Times New Roman" w:hAnsi="Times New Roman"/>
          <w:sz w:val="24"/>
        </w:rPr>
        <w:t>讲座教授。现任香港大学工业工程系荣誉教授，亚洲风险</w:t>
      </w:r>
      <w:proofErr w:type="gramStart"/>
      <w:r>
        <w:rPr>
          <w:rFonts w:ascii="Times New Roman" w:hAnsi="Times New Roman"/>
          <w:sz w:val="24"/>
        </w:rPr>
        <w:t>及危机</w:t>
      </w:r>
      <w:proofErr w:type="gramEnd"/>
      <w:r>
        <w:rPr>
          <w:rFonts w:ascii="Times New Roman" w:hAnsi="Times New Roman"/>
          <w:sz w:val="24"/>
        </w:rPr>
        <w:t>管理协会主席，兼任深交所上市的中联重科集团独立非执行董事。历任香港城市大学管理科学讲座教授，湖南省政协委员并兼任湖南大学工商管理学院院长。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w:t>
      </w:r>
      <w:proofErr w:type="gramStart"/>
      <w:r>
        <w:rPr>
          <w:rFonts w:ascii="Times New Roman" w:hAnsi="Times New Roman"/>
          <w:sz w:val="24"/>
        </w:rPr>
        <w:t>银金融</w:t>
      </w:r>
      <w:proofErr w:type="gramEnd"/>
      <w:r>
        <w:rPr>
          <w:rFonts w:ascii="Times New Roman" w:hAnsi="Times New Roman"/>
          <w:sz w:val="24"/>
        </w:rPr>
        <w:t>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w:t>
      </w:r>
      <w:proofErr w:type="gramStart"/>
      <w:r>
        <w:rPr>
          <w:rFonts w:ascii="Times New Roman" w:hAnsi="Times New Roman"/>
          <w:sz w:val="24"/>
        </w:rPr>
        <w:t>志奋领</w:t>
      </w:r>
      <w:proofErr w:type="gramEnd"/>
      <w:r>
        <w:rPr>
          <w:rFonts w:ascii="Times New Roman" w:hAnsi="Times New Roman"/>
          <w:sz w:val="24"/>
        </w:rPr>
        <w:t>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w:t>
      </w:r>
      <w:proofErr w:type="gramStart"/>
      <w:r>
        <w:rPr>
          <w:rFonts w:ascii="Times New Roman" w:hAnsi="Times New Roman"/>
          <w:sz w:val="24"/>
        </w:rPr>
        <w:t>兼产品</w:t>
      </w:r>
      <w:proofErr w:type="gramEnd"/>
      <w:r>
        <w:rPr>
          <w:rFonts w:ascii="Times New Roman" w:hAnsi="Times New Roman"/>
          <w:sz w:val="24"/>
        </w:rPr>
        <w:t>开发部总经理。历任平安人寿保险公司上海分公司行政督导、营销管理经理，交银施罗德基金管理有限公司行政部总经理助理、西部营销中心总经理。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ascii="Times New Roman" w:hAnsi="Times New Roman"/>
          <w:sz w:val="24"/>
        </w:rPr>
        <w:t>财荷银基金</w:t>
      </w:r>
      <w:proofErr w:type="gramEnd"/>
      <w:r>
        <w:rPr>
          <w:rFonts w:ascii="Times New Roman" w:hAnsi="Times New Roman"/>
          <w:sz w:val="24"/>
        </w:rPr>
        <w:t>管理有限公司副总经理。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Times New Roman" w:hAnsi="Times New Roman"/>
          <w:sz w:val="24"/>
        </w:rPr>
        <w:t>风控副</w:t>
      </w:r>
      <w:proofErr w:type="gramEnd"/>
      <w:r>
        <w:rPr>
          <w:rFonts w:ascii="Times New Roman" w:hAnsi="Times New Roman"/>
          <w:sz w:val="24"/>
        </w:rPr>
        <w:t>总监、投资运营总监。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w:t>
      </w:r>
      <w:proofErr w:type="gramStart"/>
      <w:r>
        <w:rPr>
          <w:rFonts w:ascii="Times New Roman" w:hAnsi="Times New Roman"/>
          <w:sz w:val="24"/>
        </w:rPr>
        <w:t>任基金</w:t>
      </w:r>
      <w:proofErr w:type="gramEnd"/>
      <w:r>
        <w:rPr>
          <w:rFonts w:ascii="Times New Roman" w:hAnsi="Times New Roman"/>
          <w:sz w:val="24"/>
        </w:rPr>
        <w:t>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证环境</w:t>
      </w:r>
      <w:proofErr w:type="gramEnd"/>
      <w:r>
        <w:rPr>
          <w:rFonts w:ascii="Times New Roman" w:hAnsi="Times New Roman"/>
          <w:sz w:val="24"/>
        </w:rPr>
        <w:t>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w:t>
      </w:r>
      <w:proofErr w:type="gramStart"/>
      <w:r>
        <w:rPr>
          <w:rFonts w:ascii="Times New Roman" w:hAnsi="Times New Roman"/>
          <w:sz w:val="24"/>
        </w:rPr>
        <w:t>量化智投策略</w:t>
      </w:r>
      <w:proofErr w:type="gramEnd"/>
      <w:r>
        <w:rPr>
          <w:rFonts w:ascii="Times New Roman" w:hAnsi="Times New Roman"/>
          <w:sz w:val="24"/>
        </w:rPr>
        <w:t>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w:t>
      </w:r>
      <w:proofErr w:type="gramStart"/>
      <w:r>
        <w:rPr>
          <w:rFonts w:ascii="Times New Roman" w:hAnsi="Times New Roman"/>
          <w:sz w:val="24"/>
        </w:rPr>
        <w:t>交银施罗</w:t>
      </w:r>
      <w:proofErr w:type="gramEnd"/>
      <w:r>
        <w:rPr>
          <w:rFonts w:ascii="Times New Roman" w:hAnsi="Times New Roman"/>
          <w:sz w:val="24"/>
        </w:rPr>
        <w:t>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证海外</w:t>
      </w:r>
      <w:proofErr w:type="gramEnd"/>
      <w:r>
        <w:rPr>
          <w:rFonts w:ascii="Times New Roman" w:hAnsi="Times New Roman"/>
          <w:sz w:val="24"/>
        </w:rPr>
        <w:t>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证环境</w:t>
      </w:r>
      <w:proofErr w:type="gramEnd"/>
      <w:r>
        <w:rPr>
          <w:rFonts w:ascii="Times New Roman" w:hAnsi="Times New Roman"/>
          <w:sz w:val="24"/>
        </w:rPr>
        <w:t>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屈乐伟先生，</w:t>
      </w:r>
      <w:r>
        <w:rPr>
          <w:rFonts w:ascii="Times New Roman" w:hAnsi="Times New Roman"/>
          <w:sz w:val="24"/>
        </w:rPr>
        <w:t>2009</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25</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29</w:t>
      </w:r>
      <w:r>
        <w:rPr>
          <w:rFonts w:ascii="Times New Roman" w:hAnsi="Times New Roman"/>
          <w:sz w:val="24"/>
        </w:rPr>
        <w:t>日任本</w:t>
      </w:r>
      <w:proofErr w:type="gramStart"/>
      <w:r>
        <w:rPr>
          <w:rFonts w:ascii="Times New Roman" w:hAnsi="Times New Roman"/>
          <w:sz w:val="24"/>
        </w:rPr>
        <w:t>基金基金</w:t>
      </w:r>
      <w:proofErr w:type="gramEnd"/>
      <w:r>
        <w:rPr>
          <w:rFonts w:ascii="Times New Roman" w:hAnsi="Times New Roman"/>
          <w:sz w:val="24"/>
        </w:rPr>
        <w:t>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、对所管理的不同基金财产分别管理、分别记账，进行证券投资；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w:t>
      </w:r>
      <w:proofErr w:type="gramStart"/>
      <w:r>
        <w:rPr>
          <w:rFonts w:ascii="Times New Roman" w:hAnsi="Times New Roman"/>
          <w:sz w:val="24"/>
        </w:rPr>
        <w:t>规</w:t>
      </w:r>
      <w:proofErr w:type="gramEnd"/>
      <w:r>
        <w:rPr>
          <w:rFonts w:ascii="Times New Roman" w:hAnsi="Times New Roman"/>
          <w:sz w:val="24"/>
        </w:rPr>
        <w:t>审核及风险管理委员会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w:t>
      </w:r>
      <w:proofErr w:type="gramStart"/>
      <w:r>
        <w:rPr>
          <w:rFonts w:ascii="Times New Roman" w:hAnsi="Times New Roman"/>
          <w:sz w:val="24"/>
        </w:rPr>
        <w:t>规</w:t>
      </w:r>
      <w:proofErr w:type="gramEnd"/>
      <w:r>
        <w:rPr>
          <w:rFonts w:ascii="Times New Roman" w:hAnsi="Times New Roman"/>
          <w:sz w:val="24"/>
        </w:rPr>
        <w:t>性审议；对公司资产与基金资产的经营进行评估。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Times New Roman" w:hAnsi="Times New Roman"/>
          <w:sz w:val="24"/>
        </w:rPr>
        <w:t>规</w:t>
      </w:r>
      <w:proofErr w:type="gramEnd"/>
      <w:r>
        <w:rPr>
          <w:rFonts w:ascii="Times New Roman" w:hAnsi="Times New Roman"/>
          <w:sz w:val="24"/>
        </w:rPr>
        <w:t>经营目标。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w:t>
      </w:r>
      <w:proofErr w:type="gramStart"/>
      <w:r>
        <w:rPr>
          <w:rFonts w:ascii="Times New Roman" w:hAnsi="Times New Roman"/>
          <w:sz w:val="24"/>
        </w:rPr>
        <w:t>规</w:t>
      </w:r>
      <w:proofErr w:type="gramEnd"/>
      <w:r>
        <w:rPr>
          <w:rFonts w:ascii="Times New Roman" w:hAnsi="Times New Roman"/>
          <w:sz w:val="24"/>
        </w:rPr>
        <w:t>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w:t>
      </w:r>
      <w:proofErr w:type="gramStart"/>
      <w:r>
        <w:rPr>
          <w:rFonts w:ascii="Times New Roman" w:hAnsi="Times New Roman"/>
          <w:sz w:val="24"/>
        </w:rPr>
        <w:t>规</w:t>
      </w:r>
      <w:proofErr w:type="gramEnd"/>
      <w:r>
        <w:rPr>
          <w:rFonts w:ascii="Times New Roman" w:hAnsi="Times New Roman"/>
          <w:sz w:val="24"/>
        </w:rPr>
        <w:t>部负责公司的法律、合</w:t>
      </w:r>
      <w:proofErr w:type="gramStart"/>
      <w:r>
        <w:rPr>
          <w:rFonts w:ascii="Times New Roman" w:hAnsi="Times New Roman"/>
          <w:sz w:val="24"/>
        </w:rPr>
        <w:t>规</w:t>
      </w:r>
      <w:proofErr w:type="gramEnd"/>
      <w:r>
        <w:rPr>
          <w:rFonts w:ascii="Times New Roman" w:hAnsi="Times New Roman"/>
          <w:sz w:val="24"/>
        </w:rPr>
        <w:t>事务及协调实施信息披露事务，依法维护公司合法权益，评估并处理公司运营中发生的法律、合</w:t>
      </w:r>
      <w:proofErr w:type="gramStart"/>
      <w:r>
        <w:rPr>
          <w:rFonts w:ascii="Times New Roman" w:hAnsi="Times New Roman"/>
          <w:sz w:val="24"/>
        </w:rPr>
        <w:t>规</w:t>
      </w:r>
      <w:proofErr w:type="gramEnd"/>
      <w:r>
        <w:rPr>
          <w:rFonts w:ascii="Times New Roman" w:hAnsi="Times New Roman"/>
          <w:sz w:val="24"/>
        </w:rPr>
        <w:t>及信息披露相关问题，及时向公司管理层及全体员工传达法规及监管要求。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建立、健全了各项制度，做到基金经理分开，投资决策分开，基金交易集中，形成不同部门、不同岗位之间的制衡机制，从制度上减少和防范风险。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Times New Roman" w:hAnsi="Times New Roman"/>
          <w:sz w:val="24"/>
        </w:rPr>
        <w:t>作出</w:t>
      </w:r>
      <w:proofErr w:type="gramEnd"/>
      <w:r>
        <w:rPr>
          <w:rFonts w:ascii="Times New Roman" w:hAnsi="Times New Roman"/>
          <w:sz w:val="24"/>
        </w:rPr>
        <w:t>决策。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7" w:name="_Toc54104382"/>
      <w:r>
        <w:rPr>
          <w:rFonts w:ascii="Times New Roman" w:hAnsi="Times New Roman"/>
          <w:sz w:val="30"/>
        </w:rPr>
        <w:lastRenderedPageBreak/>
        <w:t>四、基金托管人</w:t>
      </w:r>
      <w:bookmarkEnd w:id="7"/>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w:t>
      </w:r>
      <w:proofErr w:type="gramStart"/>
      <w:r>
        <w:rPr>
          <w:rFonts w:ascii="Times New Roman" w:hAnsi="Times New Roman"/>
          <w:sz w:val="24"/>
        </w:rPr>
        <w:t>凯</w:t>
      </w:r>
      <w:proofErr w:type="gramEnd"/>
      <w:r>
        <w:rPr>
          <w:rFonts w:ascii="Times New Roman" w:hAnsi="Times New Roman"/>
          <w:sz w:val="24"/>
        </w:rPr>
        <w:t>晨世贸中心东座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w:t>
      </w:r>
      <w:proofErr w:type="gramStart"/>
      <w:r>
        <w:rPr>
          <w:rFonts w:ascii="Times New Roman" w:hAnsi="Times New Roman"/>
          <w:sz w:val="24"/>
        </w:rPr>
        <w:t>会银监复</w:t>
      </w:r>
      <w:proofErr w:type="gramEnd"/>
      <w:r>
        <w:rPr>
          <w:rFonts w:ascii="Times New Roman" w:hAnsi="Times New Roman"/>
          <w:sz w:val="24"/>
        </w:rPr>
        <w:t>[2009]13</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w:t>
      </w:r>
      <w:proofErr w:type="gramStart"/>
      <w:r>
        <w:rPr>
          <w:rFonts w:ascii="Times New Roman" w:hAnsi="Times New Roman"/>
          <w:sz w:val="24"/>
        </w:rPr>
        <w:t>证监基字</w:t>
      </w:r>
      <w:proofErr w:type="gramEnd"/>
      <w:r>
        <w:rPr>
          <w:rFonts w:ascii="Times New Roman" w:hAnsi="Times New Roman"/>
          <w:sz w:val="24"/>
        </w:rPr>
        <w:t>[1998]23</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w:t>
      </w:r>
      <w:proofErr w:type="gramStart"/>
      <w:r>
        <w:rPr>
          <w:rFonts w:ascii="Times New Roman" w:hAnsi="Times New Roman"/>
          <w:sz w:val="24"/>
        </w:rPr>
        <w:t>公正第三</w:t>
      </w:r>
      <w:proofErr w:type="gramEnd"/>
      <w:r>
        <w:rPr>
          <w:rFonts w:ascii="Times New Roman" w:hAnsi="Times New Roman"/>
          <w:sz w:val="24"/>
        </w:rPr>
        <w:t>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w:t>
      </w:r>
      <w:proofErr w:type="gramStart"/>
      <w:r>
        <w:rPr>
          <w:rFonts w:ascii="Times New Roman" w:hAnsi="Times New Roman"/>
          <w:sz w:val="24"/>
        </w:rPr>
        <w:t>募基金</w:t>
      </w:r>
      <w:proofErr w:type="gramEnd"/>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w:t>
      </w:r>
      <w:proofErr w:type="gramStart"/>
      <w:r>
        <w:rPr>
          <w:rFonts w:ascii="Times New Roman" w:hAnsi="Times New Roman"/>
          <w:sz w:val="24"/>
        </w:rPr>
        <w:t>规</w:t>
      </w:r>
      <w:proofErr w:type="gramEnd"/>
      <w:r>
        <w:rPr>
          <w:rFonts w:ascii="Times New Roman" w:hAnsi="Times New Roman"/>
          <w:sz w:val="24"/>
        </w:rPr>
        <w:t>部、产品研发与信息技术部、营运一部、营运二部、市场营销部、内控监管部、账户管理部，拥有先进的安全防范设施和基金托管业务系统。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w:t>
      </w:r>
      <w:proofErr w:type="gramStart"/>
      <w:r>
        <w:rPr>
          <w:rFonts w:ascii="Times New Roman" w:hAnsi="Times New Roman"/>
          <w:sz w:val="24"/>
        </w:rPr>
        <w:t>完整</w:t>
      </w:r>
      <w:r>
        <w:rPr>
          <w:rFonts w:ascii="Times New Roman" w:hAnsi="Times New Roman"/>
          <w:sz w:val="24"/>
        </w:rPr>
        <w:t>,</w:t>
      </w:r>
      <w:proofErr w:type="gramEnd"/>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ascii="Times New Roman" w:hAnsi="Times New Roman"/>
          <w:sz w:val="24"/>
        </w:rPr>
        <w:t>操作区</w:t>
      </w:r>
      <w:proofErr w:type="gramEnd"/>
      <w:r>
        <w:rPr>
          <w:rFonts w:ascii="Times New Roman" w:hAnsi="Times New Roman"/>
          <w:sz w:val="24"/>
        </w:rPr>
        <w:t>专门设置，封闭管理，实施音像监控；业务信息由专职信息披露人负责，防止泄密；业务实现自动化操作，防止人为事故的发生，技术系统完整、独立。</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8" w:name="_Toc54104383"/>
      <w:r>
        <w:rPr>
          <w:rFonts w:ascii="Times New Roman" w:hAnsi="Times New Roman"/>
          <w:sz w:val="30"/>
        </w:rPr>
        <w:lastRenderedPageBreak/>
        <w:t>五、相关服务机构</w:t>
      </w:r>
      <w:bookmarkEnd w:id="8"/>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（一）基金份额销售机构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、申购赎回代理券商（简称</w:t>
      </w:r>
      <w:r>
        <w:rPr>
          <w:rFonts w:ascii="Times New Roman" w:hAnsi="Times New Roman"/>
          <w:sz w:val="24"/>
        </w:rPr>
        <w:t>“</w:t>
      </w:r>
      <w:r>
        <w:rPr>
          <w:rFonts w:ascii="Times New Roman" w:hAnsi="Times New Roman"/>
          <w:sz w:val="24"/>
        </w:rPr>
        <w:t>一级交易商</w:t>
      </w:r>
      <w:r>
        <w:rPr>
          <w:rFonts w:ascii="Times New Roman" w:hAnsi="Times New Roman"/>
          <w:sz w:val="24"/>
        </w:rPr>
        <w:t>”</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）名称：光大证券股份有限公司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）名称：国泰君安证券股份有限公司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w:t>
      </w:r>
      <w:proofErr w:type="gramStart"/>
      <w:r>
        <w:rPr>
          <w:rFonts w:ascii="Times New Roman" w:hAnsi="Times New Roman"/>
          <w:sz w:val="24"/>
        </w:rPr>
        <w:t>信建投证券</w:t>
      </w:r>
      <w:proofErr w:type="gramEnd"/>
      <w:r>
        <w:rPr>
          <w:rFonts w:ascii="Times New Roman" w:hAnsi="Times New Roman"/>
          <w:sz w:val="24"/>
        </w:rPr>
        <w:t>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www.csc108.com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）名称：海通证券股份有限公司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）名称：广发证券股份有限公司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住所：广州市黄埔区中新广州知识城腾飞一街</w:t>
      </w:r>
      <w:r>
        <w:rPr>
          <w:rFonts w:ascii="Times New Roman" w:hAnsi="Times New Roman"/>
          <w:sz w:val="24"/>
        </w:rPr>
        <w:t>2</w:t>
      </w:r>
      <w:r>
        <w:rPr>
          <w:rFonts w:ascii="Times New Roman" w:hAnsi="Times New Roman"/>
          <w:sz w:val="24"/>
        </w:rPr>
        <w:t>号</w:t>
      </w:r>
      <w:r>
        <w:rPr>
          <w:rFonts w:ascii="Times New Roman" w:hAnsi="Times New Roman"/>
          <w:sz w:val="24"/>
        </w:rPr>
        <w:t>618</w:t>
      </w:r>
      <w:r>
        <w:rPr>
          <w:rFonts w:ascii="Times New Roman" w:hAnsi="Times New Roman"/>
          <w:sz w:val="24"/>
        </w:rPr>
        <w:t>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w:t>
      </w:r>
      <w:proofErr w:type="gramStart"/>
      <w:r>
        <w:rPr>
          <w:rFonts w:ascii="Times New Roman" w:hAnsi="Times New Roman"/>
          <w:sz w:val="24"/>
        </w:rPr>
        <w:t>马场路</w:t>
      </w:r>
      <w:proofErr w:type="gramEnd"/>
      <w:r>
        <w:rPr>
          <w:rFonts w:ascii="Times New Roman" w:hAnsi="Times New Roman"/>
          <w:sz w:val="24"/>
        </w:rPr>
        <w:t>26</w:t>
      </w:r>
      <w:r>
        <w:rPr>
          <w:rFonts w:ascii="Times New Roman" w:hAnsi="Times New Roman"/>
          <w:sz w:val="24"/>
        </w:rPr>
        <w:t>号广发证券大厦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法定代表人：孙树明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66338888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87553600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马梦洁</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www.gf.com.cn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）名称：中国银河证券股份有限公司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陈共炎</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）名称：招商证券股份有限公司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法定代表人：霍达</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w:t>
      </w:r>
      <w:r>
        <w:rPr>
          <w:rFonts w:ascii="Times New Roman" w:hAnsi="Times New Roman"/>
          <w:sz w:val="24"/>
        </w:rPr>
        <w:t>，</w:t>
      </w:r>
      <w:r>
        <w:rPr>
          <w:rFonts w:ascii="Times New Roman" w:hAnsi="Times New Roman"/>
          <w:sz w:val="24"/>
        </w:rPr>
        <w:t>95565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）名称：兴业证券股份有限公司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法定代表人：杨华辉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w:t>
      </w:r>
      <w:proofErr w:type="gramStart"/>
      <w:r>
        <w:rPr>
          <w:rFonts w:ascii="Times New Roman" w:hAnsi="Times New Roman"/>
          <w:sz w:val="24"/>
        </w:rPr>
        <w:t>申万宏源证券</w:t>
      </w:r>
      <w:proofErr w:type="gramEnd"/>
      <w:r>
        <w:rPr>
          <w:rFonts w:ascii="Times New Roman" w:hAnsi="Times New Roman"/>
          <w:sz w:val="24"/>
        </w:rPr>
        <w:t>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）名称：中信证券股份有限公司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）名称：湘财证券有限责任公司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住所：湖南省长沙市黄兴中路</w:t>
      </w:r>
      <w:r>
        <w:rPr>
          <w:rFonts w:ascii="Times New Roman" w:hAnsi="Times New Roman"/>
          <w:sz w:val="24"/>
        </w:rPr>
        <w:t>63</w:t>
      </w:r>
      <w:r>
        <w:rPr>
          <w:rFonts w:ascii="Times New Roman" w:hAnsi="Times New Roman"/>
          <w:sz w:val="24"/>
        </w:rPr>
        <w:t>号中山国际大厦</w:t>
      </w:r>
      <w:r>
        <w:rPr>
          <w:rFonts w:ascii="Times New Roman" w:hAnsi="Times New Roman"/>
          <w:sz w:val="24"/>
        </w:rPr>
        <w:t>12</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办公地址：湖南省长沙市天心区湘府中路</w:t>
      </w:r>
      <w:r>
        <w:rPr>
          <w:rFonts w:ascii="Times New Roman" w:hAnsi="Times New Roman"/>
          <w:sz w:val="24"/>
        </w:rPr>
        <w:t>198</w:t>
      </w:r>
      <w:r>
        <w:rPr>
          <w:rFonts w:ascii="Times New Roman" w:hAnsi="Times New Roman"/>
          <w:sz w:val="24"/>
        </w:rPr>
        <w:t>号标志商务中心</w:t>
      </w:r>
      <w:r>
        <w:rPr>
          <w:rFonts w:ascii="Times New Roman" w:hAnsi="Times New Roman"/>
          <w:sz w:val="24"/>
        </w:rPr>
        <w:t>11</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法定代表人：林俊波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68634518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68865680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钟康莺</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400-888-1551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www.xcsc.com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）名称：国都证券股份有限公司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）名称：华泰证券股份有限公司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办公地址：江苏省南京市建</w:t>
      </w:r>
      <w:proofErr w:type="gramStart"/>
      <w:r>
        <w:rPr>
          <w:rFonts w:ascii="Times New Roman" w:hAnsi="Times New Roman"/>
          <w:sz w:val="24"/>
        </w:rPr>
        <w:t>邺</w:t>
      </w:r>
      <w:proofErr w:type="gramEnd"/>
      <w:r>
        <w:rPr>
          <w:rFonts w:ascii="Times New Roman" w:hAnsi="Times New Roman"/>
          <w:sz w:val="24"/>
        </w:rPr>
        <w:t>区江东中路</w:t>
      </w:r>
      <w:r>
        <w:rPr>
          <w:rFonts w:ascii="Times New Roman" w:hAnsi="Times New Roman"/>
          <w:sz w:val="24"/>
        </w:rPr>
        <w:t>228</w:t>
      </w:r>
      <w:r>
        <w:rPr>
          <w:rFonts w:ascii="Times New Roman" w:hAnsi="Times New Roman"/>
          <w:sz w:val="24"/>
        </w:rPr>
        <w:t>号华泰证券广场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联系人：胡子</w:t>
      </w:r>
      <w:proofErr w:type="gramStart"/>
      <w:r>
        <w:rPr>
          <w:rFonts w:ascii="Times New Roman" w:hAnsi="Times New Roman"/>
          <w:sz w:val="24"/>
        </w:rPr>
        <w:t>豪</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www.htsc.com.cn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）名称：中信证券（山东）有限责任公司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w:t>
      </w:r>
      <w:proofErr w:type="gramStart"/>
      <w:r>
        <w:rPr>
          <w:rFonts w:ascii="Times New Roman" w:hAnsi="Times New Roman"/>
          <w:sz w:val="24"/>
        </w:rPr>
        <w:t>翔广场东</w:t>
      </w:r>
      <w:proofErr w:type="gramEnd"/>
      <w:r>
        <w:rPr>
          <w:rFonts w:ascii="Times New Roman" w:hAnsi="Times New Roman"/>
          <w:sz w:val="24"/>
        </w:rPr>
        <w:t>座</w:t>
      </w:r>
      <w:r>
        <w:rPr>
          <w:rFonts w:ascii="Times New Roman" w:hAnsi="Times New Roman"/>
          <w:sz w:val="24"/>
        </w:rPr>
        <w:t>5</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95548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）名称：恒泰证券股份有限公司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住所：内蒙古呼和浩特市新城区新华东街</w:t>
      </w:r>
      <w:r>
        <w:rPr>
          <w:rFonts w:ascii="Times New Roman" w:hAnsi="Times New Roman"/>
          <w:sz w:val="24"/>
        </w:rPr>
        <w:t>111</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办公地址：内蒙古呼和浩特市新城区新华东街</w:t>
      </w:r>
      <w:r>
        <w:rPr>
          <w:rFonts w:ascii="Times New Roman" w:hAnsi="Times New Roman"/>
          <w:sz w:val="24"/>
        </w:rPr>
        <w:t>111</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法定代表人：庞介民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0471</w:t>
      </w:r>
      <w:r>
        <w:rPr>
          <w:rFonts w:ascii="Times New Roman" w:hAnsi="Times New Roman"/>
          <w:sz w:val="24"/>
        </w:rPr>
        <w:t>）</w:t>
      </w:r>
      <w:r>
        <w:rPr>
          <w:rFonts w:ascii="Times New Roman" w:hAnsi="Times New Roman"/>
          <w:sz w:val="24"/>
        </w:rPr>
        <w:t>4979037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0471</w:t>
      </w:r>
      <w:r>
        <w:rPr>
          <w:rFonts w:ascii="Times New Roman" w:hAnsi="Times New Roman"/>
          <w:sz w:val="24"/>
        </w:rPr>
        <w:t>）</w:t>
      </w:r>
      <w:r>
        <w:rPr>
          <w:rFonts w:ascii="Times New Roman" w:hAnsi="Times New Roman"/>
          <w:sz w:val="24"/>
        </w:rPr>
        <w:t>4961259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联系人：王旭华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0471</w:t>
      </w:r>
      <w:r>
        <w:rPr>
          <w:rFonts w:ascii="Times New Roman" w:hAnsi="Times New Roman"/>
          <w:sz w:val="24"/>
        </w:rPr>
        <w:t>）</w:t>
      </w:r>
      <w:r>
        <w:rPr>
          <w:rFonts w:ascii="Times New Roman" w:hAnsi="Times New Roman"/>
          <w:sz w:val="24"/>
        </w:rPr>
        <w:t>4960762</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68405273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www.cnht.com.cn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）名称：国信证券股份有限公司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w:t>
      </w:r>
      <w:proofErr w:type="gramStart"/>
      <w:r>
        <w:rPr>
          <w:rFonts w:ascii="Times New Roman" w:hAnsi="Times New Roman"/>
          <w:sz w:val="24"/>
        </w:rPr>
        <w:t>国元证券</w:t>
      </w:r>
      <w:proofErr w:type="gramEnd"/>
      <w:r>
        <w:rPr>
          <w:rFonts w:ascii="Times New Roman" w:hAnsi="Times New Roman"/>
          <w:sz w:val="24"/>
        </w:rPr>
        <w:t>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住所：安徽省合肥市寿春路</w:t>
      </w:r>
      <w:r>
        <w:rPr>
          <w:rFonts w:ascii="Times New Roman" w:hAnsi="Times New Roman"/>
          <w:sz w:val="24"/>
        </w:rPr>
        <w:t>179</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办公地址：安徽省合肥市寿春路</w:t>
      </w:r>
      <w:r>
        <w:rPr>
          <w:rFonts w:ascii="Times New Roman" w:hAnsi="Times New Roman"/>
          <w:sz w:val="24"/>
        </w:rPr>
        <w:t>179</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法定代表人：凤良志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400-8888-777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www.gyzq.com.cn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）名称：东北证券股份有限公司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住所：长春市自由大路</w:t>
      </w:r>
      <w:r>
        <w:rPr>
          <w:rFonts w:ascii="Times New Roman" w:hAnsi="Times New Roman"/>
          <w:sz w:val="24"/>
        </w:rPr>
        <w:t>1138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办公地址：长春市自由大路</w:t>
      </w:r>
      <w:r>
        <w:rPr>
          <w:rFonts w:ascii="Times New Roman" w:hAnsi="Times New Roman"/>
          <w:sz w:val="24"/>
        </w:rPr>
        <w:t>1138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法定代表人：矫正中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0431</w:t>
      </w:r>
      <w:r>
        <w:rPr>
          <w:rFonts w:ascii="Times New Roman" w:hAnsi="Times New Roman"/>
          <w:sz w:val="24"/>
        </w:rPr>
        <w:t>）</w:t>
      </w:r>
      <w:r>
        <w:rPr>
          <w:rFonts w:ascii="Times New Roman" w:hAnsi="Times New Roman"/>
          <w:sz w:val="24"/>
        </w:rPr>
        <w:t>85096709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4006000686</w:t>
      </w:r>
      <w:r>
        <w:rPr>
          <w:rFonts w:ascii="Times New Roman" w:hAnsi="Times New Roman"/>
          <w:sz w:val="24"/>
        </w:rPr>
        <w:t>，（</w:t>
      </w:r>
      <w:r>
        <w:rPr>
          <w:rFonts w:ascii="Times New Roman" w:hAnsi="Times New Roman"/>
          <w:sz w:val="24"/>
        </w:rPr>
        <w:t>0431</w:t>
      </w:r>
      <w:r>
        <w:rPr>
          <w:rFonts w:ascii="Times New Roman" w:hAnsi="Times New Roman"/>
          <w:sz w:val="24"/>
        </w:rPr>
        <w:t>）</w:t>
      </w:r>
      <w:r>
        <w:rPr>
          <w:rFonts w:ascii="Times New Roman" w:hAnsi="Times New Roman"/>
          <w:sz w:val="24"/>
        </w:rPr>
        <w:t>85096733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www.nesc.cn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）名称：中航证券有限公司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住所：南昌市</w:t>
      </w:r>
      <w:proofErr w:type="gramStart"/>
      <w:r>
        <w:rPr>
          <w:rFonts w:ascii="Times New Roman" w:hAnsi="Times New Roman"/>
          <w:sz w:val="24"/>
        </w:rPr>
        <w:t>红谷滩</w:t>
      </w:r>
      <w:proofErr w:type="gramEnd"/>
      <w:r>
        <w:rPr>
          <w:rFonts w:ascii="Times New Roman" w:hAnsi="Times New Roman"/>
          <w:sz w:val="24"/>
        </w:rPr>
        <w:t>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办公地址：南昌市</w:t>
      </w:r>
      <w:proofErr w:type="gramStart"/>
      <w:r>
        <w:rPr>
          <w:rFonts w:ascii="Times New Roman" w:hAnsi="Times New Roman"/>
          <w:sz w:val="24"/>
        </w:rPr>
        <w:t>红谷滩</w:t>
      </w:r>
      <w:proofErr w:type="gramEnd"/>
      <w:r>
        <w:rPr>
          <w:rFonts w:ascii="Times New Roman" w:hAnsi="Times New Roman"/>
          <w:sz w:val="24"/>
        </w:rPr>
        <w:t>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法定代表人：杜航</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0791</w:t>
      </w:r>
      <w:r>
        <w:rPr>
          <w:rFonts w:ascii="Times New Roman" w:hAnsi="Times New Roman"/>
          <w:sz w:val="24"/>
        </w:rPr>
        <w:t>）</w:t>
      </w:r>
      <w:r>
        <w:rPr>
          <w:rFonts w:ascii="Times New Roman" w:hAnsi="Times New Roman"/>
          <w:sz w:val="24"/>
        </w:rPr>
        <w:t>86768681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0791</w:t>
      </w:r>
      <w:r>
        <w:rPr>
          <w:rFonts w:ascii="Times New Roman" w:hAnsi="Times New Roman"/>
          <w:sz w:val="24"/>
        </w:rPr>
        <w:t>）</w:t>
      </w:r>
      <w:r>
        <w:rPr>
          <w:rFonts w:ascii="Times New Roman" w:hAnsi="Times New Roman"/>
          <w:sz w:val="24"/>
        </w:rPr>
        <w:t>86770178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联系人：戴蕾</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400-8866-567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www.avicsec.com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）名称：安信证券股份有限公司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w:t>
      </w:r>
      <w:proofErr w:type="gramStart"/>
      <w:r>
        <w:rPr>
          <w:rFonts w:ascii="Times New Roman" w:hAnsi="Times New Roman"/>
          <w:sz w:val="24"/>
        </w:rPr>
        <w:t>申万宏</w:t>
      </w:r>
      <w:proofErr w:type="gramEnd"/>
      <w:r>
        <w:rPr>
          <w:rFonts w:ascii="Times New Roman" w:hAnsi="Times New Roman"/>
          <w:sz w:val="24"/>
        </w:rPr>
        <w:t>源西部证券有限公司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法定代表人：冯戎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4008-000-562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www.hysec.com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）名称：长江证券股份有限公司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法定代表人：胡运钊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联系人：李良</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www.95579.com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）名称：德</w:t>
      </w:r>
      <w:proofErr w:type="gramStart"/>
      <w:r>
        <w:rPr>
          <w:rFonts w:ascii="Times New Roman" w:hAnsi="Times New Roman"/>
          <w:sz w:val="24"/>
        </w:rPr>
        <w:t>邦</w:t>
      </w:r>
      <w:proofErr w:type="gramEnd"/>
      <w:r>
        <w:rPr>
          <w:rFonts w:ascii="Times New Roman" w:hAnsi="Times New Roman"/>
          <w:sz w:val="24"/>
        </w:rPr>
        <w:t>证券有限责任公司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www.tebon.com.cn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）名称：中泰证券股份有限公司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）名称：江海证券有限公司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住所：黑龙江省哈尔滨市香</w:t>
      </w:r>
      <w:proofErr w:type="gramStart"/>
      <w:r>
        <w:rPr>
          <w:rFonts w:ascii="Times New Roman" w:hAnsi="Times New Roman"/>
          <w:sz w:val="24"/>
        </w:rPr>
        <w:t>坊区赣水路</w:t>
      </w:r>
      <w:proofErr w:type="gramEnd"/>
      <w:r>
        <w:rPr>
          <w:rFonts w:ascii="Times New Roman" w:hAnsi="Times New Roman"/>
          <w:sz w:val="24"/>
        </w:rPr>
        <w:t>56</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法定代表人：孙名扬</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联系人：刘爽</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400-666-2288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www.jhzq.com.cn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）名称：平安证券股份有限公司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郑舒丽</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）名称：长城证券有限责任公司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法定代表人：黄耀华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联系人：匡婷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www.cc168.com.cn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）名称：中国民族证券有限责任公司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法定代表人：赵大建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400-889-5618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www.e5618.com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）名称：国金证券股份有限公司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办公地址：成都市东城根上街</w:t>
      </w:r>
      <w:r>
        <w:rPr>
          <w:rFonts w:ascii="Times New Roman" w:hAnsi="Times New Roman"/>
          <w:sz w:val="24"/>
        </w:rPr>
        <w:t>95</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）名称：方正证券股份有限公司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法定代表人：雷杰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联系人：徐锦福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www.foundersc.com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）名称：渤海证券股份有限公司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w:t>
      </w:r>
      <w:proofErr w:type="gramStart"/>
      <w:r>
        <w:rPr>
          <w:rFonts w:ascii="Times New Roman" w:hAnsi="Times New Roman"/>
          <w:sz w:val="24"/>
        </w:rPr>
        <w:t>南开区宾水</w:t>
      </w:r>
      <w:proofErr w:type="gramEnd"/>
      <w:r>
        <w:rPr>
          <w:rFonts w:ascii="Times New Roman" w:hAnsi="Times New Roman"/>
          <w:sz w:val="24"/>
        </w:rPr>
        <w:t>西道</w:t>
      </w:r>
      <w:r>
        <w:rPr>
          <w:rFonts w:ascii="Times New Roman" w:hAnsi="Times New Roman"/>
          <w:sz w:val="24"/>
        </w:rPr>
        <w:t>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）名称：信</w:t>
      </w:r>
      <w:proofErr w:type="gramStart"/>
      <w:r>
        <w:rPr>
          <w:rFonts w:ascii="Times New Roman" w:hAnsi="Times New Roman"/>
          <w:sz w:val="24"/>
        </w:rPr>
        <w:t>达证券</w:t>
      </w:r>
      <w:proofErr w:type="gramEnd"/>
      <w:r>
        <w:rPr>
          <w:rFonts w:ascii="Times New Roman" w:hAnsi="Times New Roman"/>
          <w:sz w:val="24"/>
        </w:rPr>
        <w:t>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）名称：东方证券股份有限公司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住所：上海市中山南路</w:t>
      </w:r>
      <w:r>
        <w:rPr>
          <w:rFonts w:ascii="Times New Roman" w:hAnsi="Times New Roman"/>
          <w:sz w:val="24"/>
        </w:rPr>
        <w:t>318</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22</w:t>
      </w:r>
      <w:r>
        <w:rPr>
          <w:rFonts w:ascii="Times New Roman" w:hAnsi="Times New Roman"/>
          <w:sz w:val="24"/>
        </w:rPr>
        <w:t>层</w:t>
      </w:r>
      <w:r>
        <w:rPr>
          <w:rFonts w:ascii="Times New Roman" w:hAnsi="Times New Roman"/>
          <w:sz w:val="24"/>
        </w:rPr>
        <w:t>-29</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法定代表人：王益民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63325888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63326173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95503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www.dfzq.com.cn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）名称：西南证券股份有限公司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w:t>
      </w:r>
      <w:proofErr w:type="gramStart"/>
      <w:r>
        <w:rPr>
          <w:rFonts w:ascii="Times New Roman" w:hAnsi="Times New Roman"/>
          <w:sz w:val="24"/>
        </w:rPr>
        <w:t>坚</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）名称：东兴证券股份有限公司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法定代表人：徐勇力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汤漫川</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400-8888-993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www.dxzq.net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）名称：中国中金财富证券有限公司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）名称：中国国际金融股份有限公司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毕明建</w:t>
      </w:r>
      <w:proofErr w:type="gramEnd"/>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、二级市场交易代理券商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包括具有经纪业务资格及上海证券交易所会员资格的所有证券公司。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、基金管理人可根据有关法律法规的要求，选择其它符合要求的机构代理销售本基金，并在管理人网站公示。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（二）注册登记机构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w:t>
      </w:r>
      <w:proofErr w:type="gramStart"/>
      <w:r>
        <w:rPr>
          <w:rFonts w:ascii="Times New Roman" w:hAnsi="Times New Roman"/>
          <w:sz w:val="24"/>
        </w:rPr>
        <w:t>星展银行</w:t>
      </w:r>
      <w:proofErr w:type="gramEnd"/>
      <w:r>
        <w:rPr>
          <w:rFonts w:ascii="Times New Roman" w:hAnsi="Times New Roman"/>
          <w:sz w:val="24"/>
        </w:rPr>
        <w:t>大厦</w:t>
      </w:r>
      <w:r>
        <w:rPr>
          <w:rFonts w:ascii="Times New Roman" w:hAnsi="Times New Roman"/>
          <w:sz w:val="24"/>
        </w:rPr>
        <w:t>6</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w:t>
      </w:r>
      <w:proofErr w:type="gramStart"/>
      <w:r>
        <w:rPr>
          <w:rFonts w:ascii="Times New Roman" w:hAnsi="Times New Roman"/>
          <w:sz w:val="24"/>
        </w:rPr>
        <w:t>童咏静</w:t>
      </w:r>
      <w:proofErr w:type="gramEnd"/>
      <w:r>
        <w:rPr>
          <w:rFonts w:ascii="Times New Roman" w:hAnsi="Times New Roman"/>
          <w:sz w:val="24"/>
        </w:rPr>
        <w:t>、朱宏宇</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9" w:name="_Toc54104384"/>
      <w:r>
        <w:rPr>
          <w:rFonts w:ascii="Times New Roman" w:hAnsi="Times New Roman"/>
          <w:sz w:val="30"/>
        </w:rPr>
        <w:lastRenderedPageBreak/>
        <w:t>六、基金的募集</w:t>
      </w:r>
      <w:bookmarkEnd w:id="9"/>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[2009]795</w:t>
      </w:r>
      <w:r>
        <w:rPr>
          <w:rFonts w:ascii="Times New Roman" w:hAnsi="Times New Roman"/>
          <w:sz w:val="24"/>
        </w:rPr>
        <w:t>号文核准募集发售。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本基金为交易型开放式基金。基金存续期间为不定期。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2009</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日至</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18</w:t>
      </w:r>
      <w:r>
        <w:rPr>
          <w:rFonts w:ascii="Times New Roman" w:hAnsi="Times New Roman"/>
          <w:sz w:val="24"/>
        </w:rPr>
        <w:t>日</w:t>
      </w:r>
      <w:proofErr w:type="gramStart"/>
      <w:r>
        <w:rPr>
          <w:rFonts w:ascii="Times New Roman" w:hAnsi="Times New Roman"/>
          <w:sz w:val="24"/>
        </w:rPr>
        <w:t>止</w:t>
      </w:r>
      <w:proofErr w:type="gramEnd"/>
      <w:r>
        <w:rPr>
          <w:rFonts w:ascii="Times New Roman" w:hAnsi="Times New Roman"/>
          <w:sz w:val="24"/>
        </w:rPr>
        <w:t>进行发售。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本基金设立募集期共募集</w:t>
      </w:r>
      <w:r>
        <w:rPr>
          <w:rFonts w:ascii="Times New Roman" w:hAnsi="Times New Roman"/>
          <w:sz w:val="24"/>
        </w:rPr>
        <w:t>1,009,284,164.00</w:t>
      </w:r>
      <w:r>
        <w:rPr>
          <w:rFonts w:ascii="Times New Roman" w:hAnsi="Times New Roman"/>
          <w:sz w:val="24"/>
        </w:rPr>
        <w:t>份基金份额，有效认购户数为</w:t>
      </w:r>
      <w:r>
        <w:rPr>
          <w:rFonts w:ascii="Times New Roman" w:hAnsi="Times New Roman"/>
          <w:sz w:val="24"/>
        </w:rPr>
        <w:t>5,824</w:t>
      </w:r>
      <w:r>
        <w:rPr>
          <w:rFonts w:ascii="Times New Roman" w:hAnsi="Times New Roman"/>
          <w:sz w:val="24"/>
        </w:rPr>
        <w:t>户。</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0" w:name="_Toc54104385"/>
      <w:r>
        <w:rPr>
          <w:rFonts w:ascii="Times New Roman" w:hAnsi="Times New Roman"/>
          <w:sz w:val="30"/>
        </w:rPr>
        <w:lastRenderedPageBreak/>
        <w:t>七、基金合同的生效</w:t>
      </w:r>
      <w:bookmarkEnd w:id="10"/>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25</w:t>
      </w:r>
      <w:r>
        <w:rPr>
          <w:rFonts w:ascii="Times New Roman" w:hAnsi="Times New Roman"/>
          <w:sz w:val="24"/>
        </w:rPr>
        <w:t>日正式生效。自基金合同生效之日起，本基金管理人正式开始管理本基金。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合同生效后，基金份额持有人数量</w:t>
      </w:r>
      <w:proofErr w:type="gramStart"/>
      <w:r>
        <w:rPr>
          <w:rFonts w:ascii="Times New Roman" w:hAnsi="Times New Roman"/>
          <w:sz w:val="24"/>
        </w:rPr>
        <w:t>不满两百</w:t>
      </w:r>
      <w:proofErr w:type="gramEnd"/>
      <w:r>
        <w:rPr>
          <w:rFonts w:ascii="Times New Roman" w:hAnsi="Times New Roman"/>
          <w:sz w:val="24"/>
        </w:rPr>
        <w:t>人或者基金资产净值低于五千万元的，基金管理人应当及时报告中国证监会；连续</w:t>
      </w:r>
      <w:r>
        <w:rPr>
          <w:rFonts w:ascii="Times New Roman" w:hAnsi="Times New Roman"/>
          <w:sz w:val="24"/>
        </w:rPr>
        <w:t>20</w:t>
      </w:r>
      <w:r>
        <w:rPr>
          <w:rFonts w:ascii="Times New Roman" w:hAnsi="Times New Roman"/>
          <w:sz w:val="24"/>
        </w:rPr>
        <w:t>个工作日出现上述情形的，基金管理人应向中国证监会说明原因并报送解决方案。</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1" w:name="_Toc54104386"/>
      <w:r>
        <w:rPr>
          <w:rFonts w:ascii="Times New Roman" w:hAnsi="Times New Roman"/>
          <w:sz w:val="30"/>
        </w:rPr>
        <w:lastRenderedPageBreak/>
        <w:t>八、基金份额折算与变更登记</w:t>
      </w:r>
      <w:bookmarkEnd w:id="11"/>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w:t>
      </w:r>
      <w:proofErr w:type="gramStart"/>
      <w:r>
        <w:rPr>
          <w:rFonts w:ascii="Times New Roman" w:hAnsi="Times New Roman"/>
          <w:sz w:val="24"/>
        </w:rPr>
        <w:t>收盘值</w:t>
      </w:r>
      <w:proofErr w:type="gramEnd"/>
      <w:r>
        <w:rPr>
          <w:rFonts w:ascii="Times New Roman" w:hAnsi="Times New Roman"/>
          <w:sz w:val="24"/>
        </w:rPr>
        <w:t>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、基金份额折算比例的计算公式为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假设基金份额折算日的基金资产净值为</w:t>
      </w:r>
      <w:r>
        <w:rPr>
          <w:rFonts w:ascii="Times New Roman" w:hAnsi="Times New Roman"/>
          <w:sz w:val="24"/>
        </w:rPr>
        <w:t>X</w:t>
      </w:r>
      <w:r>
        <w:rPr>
          <w:rFonts w:ascii="Times New Roman" w:hAnsi="Times New Roman"/>
          <w:sz w:val="24"/>
        </w:rPr>
        <w:t>、基金份额总额为</w:t>
      </w:r>
      <w:r>
        <w:rPr>
          <w:rFonts w:ascii="Times New Roman" w:hAnsi="Times New Roman"/>
          <w:sz w:val="24"/>
        </w:rPr>
        <w:t>Y</w:t>
      </w:r>
      <w:r>
        <w:rPr>
          <w:rFonts w:ascii="Times New Roman" w:hAnsi="Times New Roman"/>
          <w:sz w:val="24"/>
        </w:rPr>
        <w:t>，标的指数</w:t>
      </w:r>
      <w:proofErr w:type="gramStart"/>
      <w:r>
        <w:rPr>
          <w:rFonts w:ascii="Times New Roman" w:hAnsi="Times New Roman"/>
          <w:sz w:val="24"/>
        </w:rPr>
        <w:t>收盘值</w:t>
      </w:r>
      <w:proofErr w:type="gramEnd"/>
      <w:r>
        <w:rPr>
          <w:rFonts w:ascii="Times New Roman" w:hAnsi="Times New Roman"/>
          <w:sz w:val="24"/>
        </w:rPr>
        <w:t>为</w:t>
      </w:r>
      <w:r>
        <w:rPr>
          <w:rFonts w:ascii="Times New Roman" w:hAnsi="Times New Roman"/>
          <w:sz w:val="24"/>
        </w:rPr>
        <w:t>I</w:t>
      </w:r>
      <w:r>
        <w:rPr>
          <w:rFonts w:ascii="Times New Roman" w:hAnsi="Times New Roman"/>
          <w:sz w:val="24"/>
        </w:rPr>
        <w:t>，折算后的基金份额净值与折算日标的指数</w:t>
      </w:r>
      <w:proofErr w:type="gramStart"/>
      <w:r>
        <w:rPr>
          <w:rFonts w:ascii="Times New Roman" w:hAnsi="Times New Roman"/>
          <w:sz w:val="24"/>
        </w:rPr>
        <w:t>收盘值</w:t>
      </w:r>
      <w:proofErr w:type="gramEnd"/>
      <w:r>
        <w:rPr>
          <w:rFonts w:ascii="Times New Roman" w:hAnsi="Times New Roman"/>
          <w:sz w:val="24"/>
        </w:rPr>
        <w:t>的对应关系为</w:t>
      </w:r>
      <w:r>
        <w:rPr>
          <w:rFonts w:ascii="Times New Roman" w:hAnsi="Times New Roman"/>
          <w:sz w:val="24"/>
        </w:rPr>
        <w:t>1</w:t>
      </w:r>
      <w:r>
        <w:rPr>
          <w:rFonts w:ascii="Times New Roman" w:hAnsi="Times New Roman"/>
          <w:sz w:val="24"/>
        </w:rPr>
        <w:t>：</w:t>
      </w:r>
      <w:r>
        <w:rPr>
          <w:rFonts w:ascii="Times New Roman" w:hAnsi="Times New Roman"/>
          <w:sz w:val="24"/>
        </w:rPr>
        <w:t>K</w:t>
      </w:r>
      <w:r>
        <w:rPr>
          <w:rFonts w:ascii="Times New Roman" w:hAnsi="Times New Roman"/>
          <w:sz w:val="24"/>
        </w:rPr>
        <w:t>，即基金份额折算</w:t>
      </w:r>
      <w:proofErr w:type="gramStart"/>
      <w:r>
        <w:rPr>
          <w:rFonts w:ascii="Times New Roman" w:hAnsi="Times New Roman"/>
          <w:sz w:val="24"/>
        </w:rPr>
        <w:t>后目标</w:t>
      </w:r>
      <w:proofErr w:type="gramEnd"/>
      <w:r>
        <w:rPr>
          <w:rFonts w:ascii="Times New Roman" w:hAnsi="Times New Roman"/>
          <w:sz w:val="24"/>
        </w:rPr>
        <w:t>基金份额净值为</w:t>
      </w:r>
      <w:r>
        <w:rPr>
          <w:rFonts w:ascii="Times New Roman" w:hAnsi="Times New Roman"/>
          <w:sz w:val="24"/>
        </w:rPr>
        <w:t>I/K</w:t>
      </w:r>
      <w:r>
        <w:rPr>
          <w:rFonts w:ascii="Times New Roman" w:hAnsi="Times New Roman"/>
          <w:sz w:val="24"/>
        </w:rPr>
        <w:t>，</w:t>
      </w:r>
      <w:proofErr w:type="gramStart"/>
      <w:r>
        <w:rPr>
          <w:rFonts w:ascii="Times New Roman" w:hAnsi="Times New Roman"/>
          <w:sz w:val="24"/>
        </w:rPr>
        <w:t>则基金</w:t>
      </w:r>
      <w:proofErr w:type="gramEnd"/>
      <w:r>
        <w:rPr>
          <w:rFonts w:ascii="Times New Roman" w:hAnsi="Times New Roman"/>
          <w:sz w:val="24"/>
        </w:rPr>
        <w:t>份额折算比例的计算公式为：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计算结果以四舍五入的方法保留小数点后</w:t>
      </w:r>
      <w:r>
        <w:rPr>
          <w:rFonts w:ascii="Times New Roman" w:hAnsi="Times New Roman"/>
          <w:sz w:val="24"/>
        </w:rPr>
        <w:t>8</w:t>
      </w:r>
      <w:r>
        <w:rPr>
          <w:rFonts w:ascii="Times New Roman" w:hAnsi="Times New Roman"/>
          <w:sz w:val="24"/>
        </w:rPr>
        <w:t>位。基金管理人根据上述折算比例，对各基金份额持有人持有的基金份额进行折算，折算后的基金份额</w:t>
      </w:r>
      <w:proofErr w:type="gramStart"/>
      <w:r>
        <w:rPr>
          <w:rFonts w:ascii="Times New Roman" w:hAnsi="Times New Roman"/>
          <w:sz w:val="24"/>
        </w:rPr>
        <w:t>采取截位法</w:t>
      </w:r>
      <w:proofErr w:type="gramEnd"/>
      <w:r>
        <w:rPr>
          <w:rFonts w:ascii="Times New Roman" w:hAnsi="Times New Roman"/>
          <w:sz w:val="24"/>
        </w:rPr>
        <w:t>保留到整数位，由此产生的误差计入基金财产。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、基金份额折算的举例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假设某投资者在基金份额折算前持有本</w:t>
      </w:r>
      <w:proofErr w:type="gramStart"/>
      <w:r>
        <w:rPr>
          <w:rFonts w:ascii="Times New Roman" w:hAnsi="Times New Roman"/>
          <w:sz w:val="24"/>
        </w:rPr>
        <w:t>基金基金</w:t>
      </w:r>
      <w:proofErr w:type="gramEnd"/>
      <w:r>
        <w:rPr>
          <w:rFonts w:ascii="Times New Roman" w:hAnsi="Times New Roman"/>
          <w:sz w:val="24"/>
        </w:rPr>
        <w:t>份额</w:t>
      </w:r>
      <w:r>
        <w:rPr>
          <w:rFonts w:ascii="Times New Roman" w:hAnsi="Times New Roman"/>
          <w:sz w:val="24"/>
        </w:rPr>
        <w:t>5,000</w:t>
      </w:r>
      <w:r>
        <w:rPr>
          <w:rFonts w:ascii="Times New Roman" w:hAnsi="Times New Roman"/>
          <w:sz w:val="24"/>
        </w:rPr>
        <w:t>份，基金份额折算日的基金资产净值为</w:t>
      </w:r>
      <w:r>
        <w:rPr>
          <w:rFonts w:ascii="Times New Roman" w:hAnsi="Times New Roman"/>
          <w:sz w:val="24"/>
        </w:rPr>
        <w:t>5,820,000,320.59</w:t>
      </w:r>
      <w:r>
        <w:rPr>
          <w:rFonts w:ascii="Times New Roman" w:hAnsi="Times New Roman"/>
          <w:sz w:val="24"/>
        </w:rPr>
        <w:t>元，折算前的基金份额总额为</w:t>
      </w:r>
      <w:r>
        <w:rPr>
          <w:rFonts w:ascii="Times New Roman" w:hAnsi="Times New Roman"/>
          <w:sz w:val="24"/>
        </w:rPr>
        <w:t>5,035,174,000</w:t>
      </w:r>
      <w:r>
        <w:rPr>
          <w:rFonts w:ascii="Times New Roman" w:hAnsi="Times New Roman"/>
          <w:sz w:val="24"/>
        </w:rPr>
        <w:t>份，当日标的指数</w:t>
      </w:r>
      <w:proofErr w:type="gramStart"/>
      <w:r>
        <w:rPr>
          <w:rFonts w:ascii="Times New Roman" w:hAnsi="Times New Roman"/>
          <w:sz w:val="24"/>
        </w:rPr>
        <w:t>收盘值</w:t>
      </w:r>
      <w:proofErr w:type="gramEnd"/>
      <w:r>
        <w:rPr>
          <w:rFonts w:ascii="Times New Roman" w:hAnsi="Times New Roman"/>
          <w:sz w:val="24"/>
        </w:rPr>
        <w:t>为</w:t>
      </w:r>
      <w:r>
        <w:rPr>
          <w:rFonts w:ascii="Times New Roman" w:hAnsi="Times New Roman"/>
          <w:sz w:val="24"/>
        </w:rPr>
        <w:t>1,233.69</w:t>
      </w:r>
      <w:r>
        <w:rPr>
          <w:rFonts w:ascii="Times New Roman" w:hAnsi="Times New Roman"/>
          <w:sz w:val="24"/>
        </w:rPr>
        <w:t>，折算后的基金份额净值与折算日标的指数</w:t>
      </w:r>
      <w:proofErr w:type="gramStart"/>
      <w:r>
        <w:rPr>
          <w:rFonts w:ascii="Times New Roman" w:hAnsi="Times New Roman"/>
          <w:sz w:val="24"/>
        </w:rPr>
        <w:t>收盘值</w:t>
      </w:r>
      <w:proofErr w:type="gramEnd"/>
      <w:r>
        <w:rPr>
          <w:rFonts w:ascii="Times New Roman" w:hAnsi="Times New Roman"/>
          <w:sz w:val="24"/>
        </w:rPr>
        <w:t>的对应关系为</w:t>
      </w:r>
      <w:r>
        <w:rPr>
          <w:rFonts w:ascii="Times New Roman" w:hAnsi="Times New Roman"/>
          <w:sz w:val="24"/>
        </w:rPr>
        <w:t>1</w:t>
      </w:r>
      <w:r>
        <w:rPr>
          <w:rFonts w:ascii="Times New Roman" w:hAnsi="Times New Roman"/>
          <w:sz w:val="24"/>
        </w:rPr>
        <w:t>：</w:t>
      </w:r>
      <w:r>
        <w:rPr>
          <w:rFonts w:ascii="Times New Roman" w:hAnsi="Times New Roman"/>
          <w:sz w:val="24"/>
        </w:rPr>
        <w:t>1000</w:t>
      </w:r>
      <w:r>
        <w:rPr>
          <w:rFonts w:ascii="Times New Roman" w:hAnsi="Times New Roman"/>
          <w:sz w:val="24"/>
        </w:rPr>
        <w:t>，则折算比例和该投资者折算后的基金份额为：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）折算比例＝（</w:t>
      </w:r>
      <w:r>
        <w:rPr>
          <w:rFonts w:ascii="Times New Roman" w:hAnsi="Times New Roman"/>
          <w:sz w:val="24"/>
        </w:rPr>
        <w:t>5,820,000,320.59/5,035,174,000</w:t>
      </w:r>
      <w:r>
        <w:rPr>
          <w:rFonts w:ascii="Times New Roman" w:hAnsi="Times New Roman"/>
          <w:sz w:val="24"/>
        </w:rPr>
        <w:t>）</w:t>
      </w:r>
      <w:r>
        <w:rPr>
          <w:rFonts w:ascii="Times New Roman" w:hAnsi="Times New Roman"/>
          <w:sz w:val="24"/>
        </w:rPr>
        <w:t>/(1233.69/1000)</w:t>
      </w:r>
      <w:r>
        <w:rPr>
          <w:rFonts w:ascii="Times New Roman" w:hAnsi="Times New Roman"/>
          <w:sz w:val="24"/>
        </w:rPr>
        <w:t>＝</w:t>
      </w:r>
      <w:r>
        <w:rPr>
          <w:rFonts w:ascii="Times New Roman" w:hAnsi="Times New Roman"/>
          <w:sz w:val="24"/>
        </w:rPr>
        <w:t>0.93691994</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）该投资者折算后的基金份额＝</w:t>
      </w:r>
      <w:r>
        <w:rPr>
          <w:rFonts w:ascii="Times New Roman" w:hAnsi="Times New Roman"/>
          <w:sz w:val="24"/>
        </w:rPr>
        <w:t>5,000×0.93691994</w:t>
      </w:r>
      <w:r>
        <w:rPr>
          <w:rFonts w:ascii="Times New Roman" w:hAnsi="Times New Roman"/>
          <w:sz w:val="24"/>
        </w:rPr>
        <w:t>＝</w:t>
      </w:r>
      <w:r>
        <w:rPr>
          <w:rFonts w:ascii="Times New Roman" w:hAnsi="Times New Roman"/>
          <w:sz w:val="24"/>
        </w:rPr>
        <w:t>4,684</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、基金份额折算的结果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根据基金合同和招募说明书的有关规定，本基金管理人决定</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日为本基金的基金份额折算日，折算后的基金份额净值与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日标的指数</w:t>
      </w:r>
      <w:proofErr w:type="gramStart"/>
      <w:r>
        <w:rPr>
          <w:rFonts w:ascii="Times New Roman" w:hAnsi="Times New Roman"/>
          <w:sz w:val="24"/>
        </w:rPr>
        <w:t>收盘值</w:t>
      </w:r>
      <w:proofErr w:type="gramEnd"/>
      <w:r>
        <w:rPr>
          <w:rFonts w:ascii="Times New Roman" w:hAnsi="Times New Roman"/>
          <w:sz w:val="24"/>
        </w:rPr>
        <w:t>的千分之一基本一致。</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日，上证</w:t>
      </w:r>
      <w:r>
        <w:rPr>
          <w:rFonts w:ascii="Times New Roman" w:hAnsi="Times New Roman"/>
          <w:sz w:val="24"/>
        </w:rPr>
        <w:t>180</w:t>
      </w:r>
      <w:r>
        <w:rPr>
          <w:rFonts w:ascii="Times New Roman" w:hAnsi="Times New Roman"/>
          <w:sz w:val="24"/>
        </w:rPr>
        <w:t>公司治理指数</w:t>
      </w:r>
      <w:proofErr w:type="gramStart"/>
      <w:r>
        <w:rPr>
          <w:rFonts w:ascii="Times New Roman" w:hAnsi="Times New Roman"/>
          <w:sz w:val="24"/>
        </w:rPr>
        <w:t>收盘值</w:t>
      </w:r>
      <w:proofErr w:type="gramEnd"/>
      <w:r>
        <w:rPr>
          <w:rFonts w:ascii="Times New Roman" w:hAnsi="Times New Roman"/>
          <w:sz w:val="24"/>
        </w:rPr>
        <w:t>为</w:t>
      </w:r>
      <w:r>
        <w:rPr>
          <w:rFonts w:ascii="Times New Roman" w:hAnsi="Times New Roman"/>
          <w:sz w:val="24"/>
        </w:rPr>
        <w:t>938.90</w:t>
      </w:r>
      <w:r>
        <w:rPr>
          <w:rFonts w:ascii="Times New Roman" w:hAnsi="Times New Roman"/>
          <w:sz w:val="24"/>
        </w:rPr>
        <w:t>点，</w:t>
      </w:r>
      <w:r>
        <w:rPr>
          <w:rFonts w:ascii="Times New Roman" w:hAnsi="Times New Roman"/>
          <w:sz w:val="24"/>
        </w:rPr>
        <w:lastRenderedPageBreak/>
        <w:t>本基金的基金资产净值为</w:t>
      </w:r>
      <w:r>
        <w:rPr>
          <w:rFonts w:ascii="Times New Roman" w:hAnsi="Times New Roman"/>
          <w:sz w:val="24"/>
        </w:rPr>
        <w:t>1,054,880,523.33</w:t>
      </w:r>
      <w:r>
        <w:rPr>
          <w:rFonts w:ascii="Times New Roman" w:hAnsi="Times New Roman"/>
          <w:sz w:val="24"/>
        </w:rPr>
        <w:t>元，折算</w:t>
      </w:r>
      <w:proofErr w:type="gramStart"/>
      <w:r>
        <w:rPr>
          <w:rFonts w:ascii="Times New Roman" w:hAnsi="Times New Roman"/>
          <w:sz w:val="24"/>
        </w:rPr>
        <w:t>前基金</w:t>
      </w:r>
      <w:proofErr w:type="gramEnd"/>
      <w:r>
        <w:rPr>
          <w:rFonts w:ascii="Times New Roman" w:hAnsi="Times New Roman"/>
          <w:sz w:val="24"/>
        </w:rPr>
        <w:t>份额总额为</w:t>
      </w:r>
      <w:r>
        <w:rPr>
          <w:rFonts w:ascii="Times New Roman" w:hAnsi="Times New Roman"/>
          <w:sz w:val="24"/>
        </w:rPr>
        <w:t>1,009,284,164</w:t>
      </w:r>
      <w:r>
        <w:rPr>
          <w:rFonts w:ascii="Times New Roman" w:hAnsi="Times New Roman"/>
          <w:sz w:val="24"/>
        </w:rPr>
        <w:t>份，折算</w:t>
      </w:r>
      <w:proofErr w:type="gramStart"/>
      <w:r>
        <w:rPr>
          <w:rFonts w:ascii="Times New Roman" w:hAnsi="Times New Roman"/>
          <w:sz w:val="24"/>
        </w:rPr>
        <w:t>前基金</w:t>
      </w:r>
      <w:proofErr w:type="gramEnd"/>
      <w:r>
        <w:rPr>
          <w:rFonts w:ascii="Times New Roman" w:hAnsi="Times New Roman"/>
          <w:sz w:val="24"/>
        </w:rPr>
        <w:t>份额净值为</w:t>
      </w:r>
      <w:r>
        <w:rPr>
          <w:rFonts w:ascii="Times New Roman" w:hAnsi="Times New Roman"/>
          <w:sz w:val="24"/>
        </w:rPr>
        <w:t>1.045</w:t>
      </w:r>
      <w:r>
        <w:rPr>
          <w:rFonts w:ascii="Times New Roman" w:hAnsi="Times New Roman"/>
          <w:sz w:val="24"/>
        </w:rPr>
        <w:t>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根据招募说明书中约定的基金份额折算公式，基金份额折算比例为</w:t>
      </w:r>
      <w:r>
        <w:rPr>
          <w:rFonts w:ascii="Times New Roman" w:hAnsi="Times New Roman"/>
          <w:sz w:val="24"/>
        </w:rPr>
        <w:t>1.11319302</w:t>
      </w:r>
      <w:r>
        <w:rPr>
          <w:rFonts w:ascii="Times New Roman" w:hAnsi="Times New Roman"/>
          <w:sz w:val="24"/>
        </w:rPr>
        <w:t>（以四舍五入的方法保留到小数点后</w:t>
      </w:r>
      <w:r>
        <w:rPr>
          <w:rFonts w:ascii="Times New Roman" w:hAnsi="Times New Roman"/>
          <w:sz w:val="24"/>
        </w:rPr>
        <w:t>8</w:t>
      </w:r>
      <w:r>
        <w:rPr>
          <w:rFonts w:ascii="Times New Roman" w:hAnsi="Times New Roman"/>
          <w:sz w:val="24"/>
        </w:rPr>
        <w:t>位），折算后基金份额总额为</w:t>
      </w:r>
      <w:r>
        <w:rPr>
          <w:rFonts w:ascii="Times New Roman" w:hAnsi="Times New Roman"/>
          <w:sz w:val="24"/>
        </w:rPr>
        <w:t>1,123,524,362</w:t>
      </w:r>
      <w:r>
        <w:rPr>
          <w:rFonts w:ascii="Times New Roman" w:hAnsi="Times New Roman"/>
          <w:sz w:val="24"/>
        </w:rPr>
        <w:t>份，折算后基金份额净值为</w:t>
      </w:r>
      <w:r>
        <w:rPr>
          <w:rFonts w:ascii="Times New Roman" w:hAnsi="Times New Roman"/>
          <w:sz w:val="24"/>
        </w:rPr>
        <w:t>0.939</w:t>
      </w:r>
      <w:r>
        <w:rPr>
          <w:rFonts w:ascii="Times New Roman" w:hAnsi="Times New Roman"/>
          <w:sz w:val="24"/>
        </w:rPr>
        <w:t>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本基金管理人已根据上述折算比例，对各基金份额持有人认购的基金份额进行了折算，并由中国证券登记结算有限责任公司上海分公司于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日进行了变更登记。折算后的基金份额保留到整数位（小数部分舍去，由此产生的误差计入基金财产）。投资者可以自</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8</w:t>
      </w:r>
      <w:r>
        <w:rPr>
          <w:rFonts w:ascii="Times New Roman" w:hAnsi="Times New Roman"/>
          <w:sz w:val="24"/>
        </w:rPr>
        <w:t>日起在其上海证券交易所证券账户指定的销售机构查询折算后其持有的基金份额。</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2" w:name="_Toc54104387"/>
      <w:r>
        <w:rPr>
          <w:rFonts w:ascii="Times New Roman" w:hAnsi="Times New Roman"/>
          <w:sz w:val="30"/>
        </w:rPr>
        <w:lastRenderedPageBreak/>
        <w:t>九、基金份额的上市交易</w:t>
      </w:r>
      <w:bookmarkEnd w:id="12"/>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（一）基金份额的上市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根据有关规定，本基金合同生效后，具备上市条件，于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日起在上海证券交易所上市交易。（二级市场交易代码：</w:t>
      </w:r>
      <w:r>
        <w:rPr>
          <w:rFonts w:ascii="Times New Roman" w:hAnsi="Times New Roman"/>
          <w:sz w:val="24"/>
        </w:rPr>
        <w:t>510010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（二）基金份额的上市交易</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基金份额在上海证券交易所的上市交易需遵照《上海证券交易所交易规则》、《上海证券交易所证券投资基金上市规则》、上交所《业务细则》等有关规定。包括但不限于：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、本基金上市首日的开盘参考价为前一工作日基金份额净值；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、本基金实行价格涨跌幅限制，涨跌幅比例为</w:t>
      </w:r>
      <w:r>
        <w:rPr>
          <w:rFonts w:ascii="Times New Roman" w:hAnsi="Times New Roman"/>
          <w:sz w:val="24"/>
        </w:rPr>
        <w:t>10%</w:t>
      </w:r>
      <w:r>
        <w:rPr>
          <w:rFonts w:ascii="Times New Roman" w:hAnsi="Times New Roman"/>
          <w:sz w:val="24"/>
        </w:rPr>
        <w:t>，自上市首日起实行；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、本基金买入申报数量为</w:t>
      </w:r>
      <w:r>
        <w:rPr>
          <w:rFonts w:ascii="Times New Roman" w:hAnsi="Times New Roman"/>
          <w:sz w:val="24"/>
        </w:rPr>
        <w:t>100</w:t>
      </w:r>
      <w:r>
        <w:rPr>
          <w:rFonts w:ascii="Times New Roman" w:hAnsi="Times New Roman"/>
          <w:sz w:val="24"/>
        </w:rPr>
        <w:t>份或其整数</w:t>
      </w:r>
      <w:proofErr w:type="gramStart"/>
      <w:r>
        <w:rPr>
          <w:rFonts w:ascii="Times New Roman" w:hAnsi="Times New Roman"/>
          <w:sz w:val="24"/>
        </w:rPr>
        <w:t>倍</w:t>
      </w:r>
      <w:proofErr w:type="gramEnd"/>
      <w:r>
        <w:rPr>
          <w:rFonts w:ascii="Times New Roman" w:hAnsi="Times New Roman"/>
          <w:sz w:val="24"/>
        </w:rPr>
        <w:t>，不足</w:t>
      </w:r>
      <w:r>
        <w:rPr>
          <w:rFonts w:ascii="Times New Roman" w:hAnsi="Times New Roman"/>
          <w:sz w:val="24"/>
        </w:rPr>
        <w:t>100</w:t>
      </w:r>
      <w:r>
        <w:rPr>
          <w:rFonts w:ascii="Times New Roman" w:hAnsi="Times New Roman"/>
          <w:sz w:val="24"/>
        </w:rPr>
        <w:t>份的部分可以卖出；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、本基金申报价格最小变动单位为</w:t>
      </w:r>
      <w:r>
        <w:rPr>
          <w:rFonts w:ascii="Times New Roman" w:hAnsi="Times New Roman"/>
          <w:sz w:val="24"/>
        </w:rPr>
        <w:t>0.001</w:t>
      </w:r>
      <w:r>
        <w:rPr>
          <w:rFonts w:ascii="Times New Roman" w:hAnsi="Times New Roman"/>
          <w:sz w:val="24"/>
        </w:rPr>
        <w:t>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、本基金可适用大宗交易的相关规则。</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（三）终止上市交易</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基金份额上市交易后，有下列情形之一的，上海证券交易所可终止基金份额的上市交易，并报中国证监会备案：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、不再具备《上海证券交易所证券投资基金上市规则》规定的上市条件；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、基金份额持有人大会决定终止上市；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、上海证券交易所认为应当终止上市的其他情形。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基金管理人应当在收到上海证券交易所终止基金上市的决定之日起</w:t>
      </w:r>
      <w:r>
        <w:rPr>
          <w:rFonts w:ascii="Times New Roman" w:hAnsi="Times New Roman"/>
          <w:sz w:val="24"/>
        </w:rPr>
        <w:t>2</w:t>
      </w:r>
      <w:r>
        <w:rPr>
          <w:rFonts w:ascii="Times New Roman" w:hAnsi="Times New Roman"/>
          <w:sz w:val="24"/>
        </w:rPr>
        <w:t>日内发布基金份额终止上市交易公告。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（四）基金份额参考净值的计算与公告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基金管理人在每一交易日开市前向上海证券交易所提供当日的申购赎回清单，上海证券交易所在开市后根据申购赎回清单和组合证券内各只证券的实时成交数据，计算并发布基金份额参考净值（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、基金份额参考净值计算公式为：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基金份额参考净值＝（申购赎回清单中必须用现金替代的替代金额＋申购赎回清单中可以用现金替代成份证券的数量与最新成交价相乘之和</w:t>
      </w:r>
      <w:r>
        <w:rPr>
          <w:rFonts w:ascii="Times New Roman" w:hAnsi="Times New Roman"/>
          <w:sz w:val="24"/>
        </w:rPr>
        <w:t>+</w:t>
      </w:r>
      <w:r>
        <w:rPr>
          <w:rFonts w:ascii="Times New Roman" w:hAnsi="Times New Roman"/>
          <w:sz w:val="24"/>
        </w:rPr>
        <w:t>申购赎回清单中禁</w:t>
      </w:r>
      <w:r>
        <w:rPr>
          <w:rFonts w:ascii="Times New Roman" w:hAnsi="Times New Roman"/>
          <w:sz w:val="24"/>
        </w:rPr>
        <w:lastRenderedPageBreak/>
        <w:t>止用现金替代成份证券的数量与最新成交价相乘之和＋申购赎回清单中的预估现金部分）</w:t>
      </w:r>
      <w:r>
        <w:rPr>
          <w:rFonts w:ascii="Times New Roman" w:hAnsi="Times New Roman"/>
          <w:sz w:val="24"/>
        </w:rPr>
        <w:t>/</w:t>
      </w:r>
      <w:r>
        <w:rPr>
          <w:rFonts w:ascii="Times New Roman" w:hAnsi="Times New Roman"/>
          <w:sz w:val="24"/>
        </w:rPr>
        <w:t>最小申购赎回单位对应的基金份额。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、基金份额参考净值的计算以四舍五入的方法保留小数点后</w:t>
      </w:r>
      <w:r>
        <w:rPr>
          <w:rFonts w:ascii="Times New Roman" w:hAnsi="Times New Roman"/>
          <w:sz w:val="24"/>
        </w:rPr>
        <w:t>3</w:t>
      </w:r>
      <w:r>
        <w:rPr>
          <w:rFonts w:ascii="Times New Roman" w:hAnsi="Times New Roman"/>
          <w:sz w:val="24"/>
        </w:rPr>
        <w:t>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、上海证券交易所可以调整基金份额参考净值计算公式，并在管理人网站公示。</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3" w:name="_Toc54104388"/>
      <w:r>
        <w:rPr>
          <w:rFonts w:ascii="Times New Roman" w:hAnsi="Times New Roman"/>
          <w:sz w:val="30"/>
        </w:rPr>
        <w:lastRenderedPageBreak/>
        <w:t>十、基金份额的申购与赎回</w:t>
      </w:r>
      <w:bookmarkEnd w:id="13"/>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投资者应当在申购赎回代理券商办理基金申购、赎回业务的营业场所或按申购赎回代理券商提供的其他方式办理本基金的申购和赎回。</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本基金申购赎回代理券商的名称、住所等信息请详见本招募说明书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中</w:t>
      </w:r>
      <w:r>
        <w:rPr>
          <w:rFonts w:ascii="Times New Roman" w:hAnsi="Times New Roman"/>
          <w:sz w:val="24"/>
        </w:rPr>
        <w:t>“</w:t>
      </w:r>
      <w:r>
        <w:rPr>
          <w:rFonts w:ascii="Times New Roman" w:hAnsi="Times New Roman"/>
          <w:sz w:val="24"/>
        </w:rPr>
        <w:t>（一）基金份额销售机构</w:t>
      </w:r>
      <w:r>
        <w:rPr>
          <w:rFonts w:ascii="Times New Roman" w:hAnsi="Times New Roman"/>
          <w:sz w:val="24"/>
        </w:rPr>
        <w:t>”</w:t>
      </w:r>
      <w:r>
        <w:rPr>
          <w:rFonts w:ascii="Times New Roman" w:hAnsi="Times New Roman"/>
          <w:sz w:val="24"/>
        </w:rPr>
        <w:t>的相关描述。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本基金管理人可依据实际情况增加或减少申购赎回代理券商并在管理人网站公示。</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投资者可办理申购、赎回等业务的开放日为上海证券交易所的交易日</w:t>
      </w:r>
      <w:r>
        <w:rPr>
          <w:rFonts w:ascii="Times New Roman" w:hAnsi="Times New Roman"/>
          <w:sz w:val="24"/>
        </w:rPr>
        <w:t>,</w:t>
      </w:r>
      <w:r>
        <w:rPr>
          <w:rFonts w:ascii="Times New Roman" w:hAnsi="Times New Roman"/>
          <w:sz w:val="24"/>
        </w:rPr>
        <w:t>开放时间为上午</w:t>
      </w:r>
      <w:r>
        <w:rPr>
          <w:rFonts w:ascii="Times New Roman" w:hAnsi="Times New Roman"/>
          <w:sz w:val="24"/>
        </w:rPr>
        <w:t>9:30-11:30</w:t>
      </w:r>
      <w:r>
        <w:rPr>
          <w:rFonts w:ascii="Times New Roman" w:hAnsi="Times New Roman"/>
          <w:sz w:val="24"/>
        </w:rPr>
        <w:t>和下午</w:t>
      </w:r>
      <w:r>
        <w:rPr>
          <w:rFonts w:ascii="Times New Roman" w:hAnsi="Times New Roman"/>
          <w:sz w:val="24"/>
        </w:rPr>
        <w:t>1:00-3:00</w:t>
      </w:r>
      <w:r>
        <w:rPr>
          <w:rFonts w:ascii="Times New Roman" w:hAnsi="Times New Roman"/>
          <w:sz w:val="24"/>
        </w:rPr>
        <w:t>。但基金管理人根据法律法规、中国证监会的要求或基金合同的规定公告暂停申购、赎回时除外。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、申购、赎回的开始日及业务办理时间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本基金可在基金上市交易之前开始办理申购。但在基金申请上市期间，基金可暂停办理申购。具体业务办理时间在申购开始公告中规定。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日开放申购、赎回业务，投资者可在开放日的开放时间办理本基金的申购、赎回业务。</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、本基金采用份额申购和份额赎回的方式，即申购和赎回均以份额申请。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、本基金的申购对价、赎回对价包括组合证券、现金替代、现金差额及其他对价。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、申购、赎回申请提交后不得撤销。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、申购、赎回应遵守上交所《业务细则》的规定。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、基金管理人在不损害基金份额持有人权益的情况下可更改上述原则，但应在新的原则实施前依照有关规定在指定媒介上予以公告。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投资者申购、赎回的基金份额需为最小申购赎回单位的整数</w:t>
      </w:r>
      <w:proofErr w:type="gramStart"/>
      <w:r>
        <w:rPr>
          <w:rFonts w:ascii="Times New Roman" w:hAnsi="Times New Roman"/>
          <w:sz w:val="24"/>
        </w:rPr>
        <w:t>倍</w:t>
      </w:r>
      <w:proofErr w:type="gramEnd"/>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本基金最小申购赎回单位为</w:t>
      </w:r>
      <w:r>
        <w:rPr>
          <w:rFonts w:ascii="Times New Roman" w:hAnsi="Times New Roman"/>
          <w:sz w:val="24"/>
        </w:rPr>
        <w:t>100</w:t>
      </w:r>
      <w:r>
        <w:rPr>
          <w:rFonts w:ascii="Times New Roman" w:hAnsi="Times New Roman"/>
          <w:sz w:val="24"/>
        </w:rPr>
        <w:t>万份，基金管理人有权对其进行更改，并在更改前至少</w:t>
      </w:r>
      <w:r>
        <w:rPr>
          <w:rFonts w:ascii="Times New Roman" w:hAnsi="Times New Roman"/>
          <w:sz w:val="24"/>
        </w:rPr>
        <w:t>3</w:t>
      </w:r>
      <w:r>
        <w:rPr>
          <w:rFonts w:ascii="Times New Roman" w:hAnsi="Times New Roman"/>
          <w:sz w:val="24"/>
        </w:rPr>
        <w:t>个工作日依照有关规定在指定媒介上予以公告。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、申购和赎回申请的提出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、申购和赎回的清算交收与登记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w:t>
      </w:r>
      <w:r>
        <w:rPr>
          <w:rFonts w:ascii="Times New Roman" w:hAnsi="Times New Roman"/>
          <w:sz w:val="24"/>
        </w:rPr>
        <w:t>T</w:t>
      </w:r>
      <w:r>
        <w:rPr>
          <w:rFonts w:ascii="Times New Roman" w:hAnsi="Times New Roman"/>
          <w:sz w:val="24"/>
        </w:rPr>
        <w:t>日申购、赎回成功后，注册登记机构在</w:t>
      </w:r>
      <w:r>
        <w:rPr>
          <w:rFonts w:ascii="Times New Roman" w:hAnsi="Times New Roman"/>
          <w:sz w:val="24"/>
        </w:rPr>
        <w:t>T</w:t>
      </w:r>
      <w:r>
        <w:rPr>
          <w:rFonts w:ascii="Times New Roman" w:hAnsi="Times New Roman"/>
          <w:sz w:val="24"/>
        </w:rPr>
        <w:t>日收市后为投资者办理基金份额与组合证券的清算交</w:t>
      </w:r>
      <w:proofErr w:type="gramStart"/>
      <w:r>
        <w:rPr>
          <w:rFonts w:ascii="Times New Roman" w:hAnsi="Times New Roman"/>
          <w:sz w:val="24"/>
        </w:rPr>
        <w:t>收以及</w:t>
      </w:r>
      <w:proofErr w:type="gramEnd"/>
      <w:r>
        <w:rPr>
          <w:rFonts w:ascii="Times New Roman" w:hAnsi="Times New Roman"/>
          <w:sz w:val="24"/>
        </w:rPr>
        <w:t>现金替代等的清算，在</w:t>
      </w:r>
      <w:r>
        <w:rPr>
          <w:rFonts w:ascii="Times New Roman" w:hAnsi="Times New Roman"/>
          <w:sz w:val="24"/>
        </w:rPr>
        <w:t>T+1</w:t>
      </w:r>
      <w:r>
        <w:rPr>
          <w:rFonts w:ascii="Times New Roman" w:hAnsi="Times New Roman"/>
          <w:sz w:val="24"/>
        </w:rPr>
        <w:t>日办理现金替代等的交</w:t>
      </w:r>
      <w:proofErr w:type="gramStart"/>
      <w:r>
        <w:rPr>
          <w:rFonts w:ascii="Times New Roman" w:hAnsi="Times New Roman"/>
          <w:sz w:val="24"/>
        </w:rPr>
        <w:t>收以及</w:t>
      </w:r>
      <w:proofErr w:type="gramEnd"/>
      <w:r>
        <w:rPr>
          <w:rFonts w:ascii="Times New Roman" w:hAnsi="Times New Roman"/>
          <w:sz w:val="24"/>
        </w:rPr>
        <w:t>现金差额的清算，在</w:t>
      </w:r>
      <w:r>
        <w:rPr>
          <w:rFonts w:ascii="Times New Roman" w:hAnsi="Times New Roman"/>
          <w:sz w:val="24"/>
        </w:rPr>
        <w:t>T+2</w:t>
      </w:r>
      <w:r>
        <w:rPr>
          <w:rFonts w:ascii="Times New Roman" w:hAnsi="Times New Roman"/>
          <w:sz w:val="24"/>
        </w:rPr>
        <w:t>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注册登记机构可在法律法规允许的范围内，对清算交收和登记的办理时间、方式进行调整，并最迟于开始实施日的</w:t>
      </w:r>
      <w:r>
        <w:rPr>
          <w:rFonts w:ascii="Times New Roman" w:hAnsi="Times New Roman"/>
          <w:sz w:val="24"/>
        </w:rPr>
        <w:t>3</w:t>
      </w:r>
      <w:r>
        <w:rPr>
          <w:rFonts w:ascii="Times New Roman" w:hAnsi="Times New Roman"/>
          <w:sz w:val="24"/>
        </w:rPr>
        <w:t>个工作日前在指定媒介公告。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（六）申购、赎回的对价及费用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、申购对价、赎回对</w:t>
      </w:r>
      <w:proofErr w:type="gramStart"/>
      <w:r>
        <w:rPr>
          <w:rFonts w:ascii="Times New Roman" w:hAnsi="Times New Roman"/>
          <w:sz w:val="24"/>
        </w:rPr>
        <w:t>价根据</w:t>
      </w:r>
      <w:proofErr w:type="gramEnd"/>
      <w:r>
        <w:rPr>
          <w:rFonts w:ascii="Times New Roman" w:hAnsi="Times New Roman"/>
          <w:sz w:val="24"/>
        </w:rPr>
        <w:t>申购赎回清单和投资者申购、赎回的基金份额数额确定。申购对价是指投资者申购基金份额时应交付的组合证券、现金替代、现金差额及其他对价。赎回对价是指投资者赎回基金份额时，基金管理人应交付给赎回</w:t>
      </w:r>
      <w:r>
        <w:rPr>
          <w:rFonts w:ascii="Times New Roman" w:hAnsi="Times New Roman"/>
          <w:sz w:val="24"/>
        </w:rPr>
        <w:lastRenderedPageBreak/>
        <w:t>人的组合证券、现金替代、现金差额及其他对价。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、申购赎回清单由基金管理人编制。</w:t>
      </w:r>
      <w:r>
        <w:rPr>
          <w:rFonts w:ascii="Times New Roman" w:hAnsi="Times New Roman"/>
          <w:sz w:val="24"/>
        </w:rPr>
        <w:t>T</w:t>
      </w:r>
      <w:r>
        <w:rPr>
          <w:rFonts w:ascii="Times New Roman" w:hAnsi="Times New Roman"/>
          <w:sz w:val="24"/>
        </w:rPr>
        <w:t>日的申购赎回清单在当日上海证券交易所开市前公告。</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日公告，计算公式为计算日基金资产净值除以计算日发售在外的基金份额总数。如遇特殊情况，可以适当延迟计算或公告，并报中国证监会备案。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、投资者在申购或赎回基金份额时，申购赎回代理券商可按照不超过申购或赎回份额</w:t>
      </w:r>
      <w:r>
        <w:rPr>
          <w:rFonts w:ascii="Times New Roman" w:hAnsi="Times New Roman"/>
          <w:sz w:val="24"/>
        </w:rPr>
        <w:t>0.5%</w:t>
      </w:r>
      <w:r>
        <w:rPr>
          <w:rFonts w:ascii="Times New Roman" w:hAnsi="Times New Roman"/>
          <w:sz w:val="24"/>
        </w:rPr>
        <w:t>的标准收取佣金，其中包含证券交易所、注册登记机构等收取的相关费用。</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（七）申购赎回清单的内容与格式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、申购赎回清单的内容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日申购赎回清单公告内容包括最小申购赎回单位所对应的组合证券内各成份证券数据、现金替代、</w:t>
      </w:r>
      <w:r>
        <w:rPr>
          <w:rFonts w:ascii="Times New Roman" w:hAnsi="Times New Roman"/>
          <w:sz w:val="24"/>
        </w:rPr>
        <w:t>T</w:t>
      </w:r>
      <w:r>
        <w:rPr>
          <w:rFonts w:ascii="Times New Roman" w:hAnsi="Times New Roman"/>
          <w:sz w:val="24"/>
        </w:rPr>
        <w:t>日现金替代的溢价比例、</w:t>
      </w:r>
      <w:r>
        <w:rPr>
          <w:rFonts w:ascii="Times New Roman" w:hAnsi="Times New Roman"/>
          <w:sz w:val="24"/>
        </w:rPr>
        <w:t>T</w:t>
      </w:r>
      <w:r>
        <w:rPr>
          <w:rFonts w:ascii="Times New Roman" w:hAnsi="Times New Roman"/>
          <w:sz w:val="24"/>
        </w:rPr>
        <w:t>日允许现金替代的最高比例、</w:t>
      </w:r>
      <w:r>
        <w:rPr>
          <w:rFonts w:ascii="Times New Roman" w:hAnsi="Times New Roman"/>
          <w:sz w:val="24"/>
        </w:rPr>
        <w:t>T</w:t>
      </w:r>
      <w:r>
        <w:rPr>
          <w:rFonts w:ascii="Times New Roman" w:hAnsi="Times New Roman"/>
          <w:sz w:val="24"/>
        </w:rPr>
        <w:t>日预估现金部分、</w:t>
      </w:r>
      <w:r>
        <w:rPr>
          <w:rFonts w:ascii="Times New Roman" w:hAnsi="Times New Roman"/>
          <w:sz w:val="24"/>
        </w:rPr>
        <w:t>T-1</w:t>
      </w:r>
      <w:r>
        <w:rPr>
          <w:rFonts w:ascii="Times New Roman" w:hAnsi="Times New Roman"/>
          <w:sz w:val="24"/>
        </w:rPr>
        <w:t>日现金差额、基金份额净值及其它相关内容。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、申购赎回清单组合证券相关内容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组合证券是指本基金标的指数所包含的全部或部分证券。申购赎回清单将公告最小申购赎回单位所对应的各成份证券名称、证券代码及数量。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、最小申购赎回单位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最小申购赎回单位是基金申购赎回的最基本单位。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、申购赎回清单现金替代相关内容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现金替代是指申购、赎回过程中，投资者按基金合同和招募说明书的规定，用于替代组合证券中部分证券的一定数量的现金。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）现金替代分为</w:t>
      </w:r>
      <w:r>
        <w:rPr>
          <w:rFonts w:ascii="Times New Roman" w:hAnsi="Times New Roman"/>
          <w:sz w:val="24"/>
        </w:rPr>
        <w:t>3</w:t>
      </w:r>
      <w:r>
        <w:rPr>
          <w:rFonts w:ascii="Times New Roman" w:hAnsi="Times New Roman"/>
          <w:sz w:val="24"/>
        </w:rPr>
        <w:t>种类型：禁止现金替代（标志为</w:t>
      </w:r>
      <w:r>
        <w:rPr>
          <w:rFonts w:ascii="Times New Roman" w:hAnsi="Times New Roman"/>
          <w:sz w:val="24"/>
        </w:rPr>
        <w:t>“</w:t>
      </w:r>
      <w:r>
        <w:rPr>
          <w:rFonts w:ascii="Times New Roman" w:hAnsi="Times New Roman"/>
          <w:sz w:val="24"/>
        </w:rPr>
        <w:t>禁止</w:t>
      </w:r>
      <w:r>
        <w:rPr>
          <w:rFonts w:ascii="Times New Roman" w:hAnsi="Times New Roman"/>
          <w:sz w:val="24"/>
        </w:rPr>
        <w:t>”</w:t>
      </w:r>
      <w:r>
        <w:rPr>
          <w:rFonts w:ascii="Times New Roman" w:hAnsi="Times New Roman"/>
          <w:sz w:val="24"/>
        </w:rPr>
        <w:t>）、可以现金替代（标志为</w:t>
      </w:r>
      <w:r>
        <w:rPr>
          <w:rFonts w:ascii="Times New Roman" w:hAnsi="Times New Roman"/>
          <w:sz w:val="24"/>
        </w:rPr>
        <w:t>“</w:t>
      </w:r>
      <w:r>
        <w:rPr>
          <w:rFonts w:ascii="Times New Roman" w:hAnsi="Times New Roman"/>
          <w:sz w:val="24"/>
        </w:rPr>
        <w:t>允许</w:t>
      </w:r>
      <w:r>
        <w:rPr>
          <w:rFonts w:ascii="Times New Roman" w:hAnsi="Times New Roman"/>
          <w:sz w:val="24"/>
        </w:rPr>
        <w:t>”</w:t>
      </w:r>
      <w:r>
        <w:rPr>
          <w:rFonts w:ascii="Times New Roman" w:hAnsi="Times New Roman"/>
          <w:sz w:val="24"/>
        </w:rPr>
        <w:t>）和必须现金替代（标志为</w:t>
      </w:r>
      <w:r>
        <w:rPr>
          <w:rFonts w:ascii="Times New Roman" w:hAnsi="Times New Roman"/>
          <w:sz w:val="24"/>
        </w:rPr>
        <w:t>“</w:t>
      </w:r>
      <w:r>
        <w:rPr>
          <w:rFonts w:ascii="Times New Roman" w:hAnsi="Times New Roman"/>
          <w:sz w:val="24"/>
        </w:rPr>
        <w:t>必须</w:t>
      </w:r>
      <w:r>
        <w:rPr>
          <w:rFonts w:ascii="Times New Roman" w:hAnsi="Times New Roman"/>
          <w:sz w:val="24"/>
        </w:rPr>
        <w:t>”</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禁止现金替代是指在申购、赎回基金份额时，该成份证券不允许使用现金作为替代。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可以现金替代是指在申购基金份额时，允许使用现金作为全部或部分该成份证券的替代，但在赎回基金份额时，该成份证券不允许使用现金作为替代。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必须现金替代是指在申购、赎回基金份额时，该成份证券必须使用现金作为替代。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）可以现金替代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①</w:t>
      </w:r>
      <w:r>
        <w:rPr>
          <w:rFonts w:ascii="Times New Roman" w:hAnsi="Times New Roman"/>
          <w:sz w:val="24"/>
        </w:rPr>
        <w:t>适用情形：可以现金替代的证券一般是由于停牌等原因导致投资者无法在申购时买入的证券，或基金管理人认为可以采用现金替代的其他情形。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替代金额：对于可以现金替代的证券，替代金额的计算公式为：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替代金额＝替代证券数量</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＋现金替代溢价比例）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其中，根据上海证券交易所的相关规则，</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定义为</w:t>
      </w:r>
      <w:r>
        <w:rPr>
          <w:rFonts w:ascii="Times New Roman" w:hAnsi="Times New Roman"/>
          <w:sz w:val="24"/>
        </w:rPr>
        <w:t>“</w:t>
      </w:r>
      <w:r>
        <w:rPr>
          <w:rFonts w:ascii="Times New Roman" w:hAnsi="Times New Roman"/>
          <w:sz w:val="24"/>
        </w:rPr>
        <w:t>该证券前一交易日除权除息后的收盘价</w:t>
      </w:r>
      <w:r>
        <w:rPr>
          <w:rFonts w:ascii="Times New Roman" w:hAnsi="Times New Roman"/>
          <w:sz w:val="24"/>
        </w:rPr>
        <w:t>”</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如果上海证券交易所上述关于</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的定义及现金替代金额计算公式发生变化，以上海证券交易所的最新规则为准。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w:t>
      </w:r>
      <w:proofErr w:type="gramStart"/>
      <w:r>
        <w:rPr>
          <w:rFonts w:ascii="Times New Roman" w:hAnsi="Times New Roman"/>
          <w:sz w:val="24"/>
        </w:rPr>
        <w:t>则基金</w:t>
      </w:r>
      <w:proofErr w:type="gramEnd"/>
      <w:r>
        <w:rPr>
          <w:rFonts w:ascii="Times New Roman" w:hAnsi="Times New Roman"/>
          <w:sz w:val="24"/>
        </w:rPr>
        <w:t>管理人将退还多收取的差额；如果预先收取的金额低于基金购入该部分证券的实际成本，</w:t>
      </w:r>
      <w:proofErr w:type="gramStart"/>
      <w:r>
        <w:rPr>
          <w:rFonts w:ascii="Times New Roman" w:hAnsi="Times New Roman"/>
          <w:sz w:val="24"/>
        </w:rPr>
        <w:t>则基金</w:t>
      </w:r>
      <w:proofErr w:type="gramEnd"/>
      <w:r>
        <w:rPr>
          <w:rFonts w:ascii="Times New Roman" w:hAnsi="Times New Roman"/>
          <w:sz w:val="24"/>
        </w:rPr>
        <w:t>管理人将向投资者收取欠缺的差额。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替代金额的处理程序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日，基金管理人在申购赎回清单中公布现金替代溢价比例，并据此收取替代金额。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w:t>
      </w:r>
      <w:r>
        <w:rPr>
          <w:rFonts w:ascii="Times New Roman" w:hAnsi="Times New Roman"/>
          <w:sz w:val="24"/>
        </w:rPr>
        <w:t>T</w:t>
      </w:r>
      <w:r>
        <w:rPr>
          <w:rFonts w:ascii="Times New Roman" w:hAnsi="Times New Roman"/>
          <w:sz w:val="24"/>
        </w:rPr>
        <w:t>日后被替代的成份证券有正常交易的</w:t>
      </w:r>
      <w:r>
        <w:rPr>
          <w:rFonts w:ascii="Times New Roman" w:hAnsi="Times New Roman"/>
          <w:sz w:val="24"/>
        </w:rPr>
        <w:t>2</w:t>
      </w:r>
      <w:r>
        <w:rPr>
          <w:rFonts w:ascii="Times New Roman" w:hAnsi="Times New Roman"/>
          <w:sz w:val="24"/>
        </w:rPr>
        <w:t>个交易日（简称为</w:t>
      </w:r>
      <w:r>
        <w:rPr>
          <w:rFonts w:ascii="Times New Roman" w:hAnsi="Times New Roman"/>
          <w:sz w:val="24"/>
        </w:rPr>
        <w:t>T+2</w:t>
      </w:r>
      <w:r>
        <w:rPr>
          <w:rFonts w:ascii="Times New Roman" w:hAnsi="Times New Roman"/>
          <w:sz w:val="24"/>
        </w:rPr>
        <w:t>日）内，基金管理人将以收到的替代金额买入被替代的部分证券。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T+2</w:t>
      </w:r>
      <w:r>
        <w:rPr>
          <w:rFonts w:ascii="Times New Roman" w:hAnsi="Times New Roman"/>
          <w:sz w:val="24"/>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Pr>
          <w:rFonts w:ascii="Times New Roman" w:hAnsi="Times New Roman"/>
          <w:sz w:val="24"/>
        </w:rPr>
        <w:t>T+2</w:t>
      </w:r>
      <w:r>
        <w:rPr>
          <w:rFonts w:ascii="Times New Roman" w:hAnsi="Times New Roman"/>
          <w:sz w:val="24"/>
        </w:rPr>
        <w:t>日收盘价计算的未购入的部分被替代证券价值的差额，确定基金应退还投资者或投资者应补交的款项。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特例情况：若自</w:t>
      </w:r>
      <w:r>
        <w:rPr>
          <w:rFonts w:ascii="Times New Roman" w:hAnsi="Times New Roman"/>
          <w:sz w:val="24"/>
        </w:rPr>
        <w:t>T</w:t>
      </w:r>
      <w:r>
        <w:rPr>
          <w:rFonts w:ascii="Times New Roman" w:hAnsi="Times New Roman"/>
          <w:sz w:val="24"/>
        </w:rPr>
        <w:t>日起（不含</w:t>
      </w:r>
      <w:r>
        <w:rPr>
          <w:rFonts w:ascii="Times New Roman" w:hAnsi="Times New Roman"/>
          <w:sz w:val="24"/>
        </w:rPr>
        <w:t>T</w:t>
      </w:r>
      <w:r>
        <w:rPr>
          <w:rFonts w:ascii="Times New Roman" w:hAnsi="Times New Roman"/>
          <w:sz w:val="24"/>
        </w:rPr>
        <w:t>日），上海证券交易所正常交易日已达到</w:t>
      </w:r>
      <w:r>
        <w:rPr>
          <w:rFonts w:ascii="Times New Roman" w:hAnsi="Times New Roman"/>
          <w:sz w:val="24"/>
        </w:rPr>
        <w:t>20</w:t>
      </w:r>
      <w:r>
        <w:rPr>
          <w:rFonts w:ascii="Times New Roman" w:hAnsi="Times New Roman"/>
          <w:sz w:val="24"/>
        </w:rPr>
        <w:t>日而该证券正常交易日低于</w:t>
      </w:r>
      <w:r>
        <w:rPr>
          <w:rFonts w:ascii="Times New Roman" w:hAnsi="Times New Roman"/>
          <w:sz w:val="24"/>
        </w:rPr>
        <w:t>2</w:t>
      </w:r>
      <w:r>
        <w:rPr>
          <w:rFonts w:ascii="Times New Roman" w:hAnsi="Times New Roman"/>
          <w:sz w:val="24"/>
        </w:rPr>
        <w:t>日，则以替代金额与所购入的部分被替代证券实际购入成本加上按照最近一次收盘价计算的未购入的部分被替代证券价值的差额，确定基金应退还投资者或投资者应补交的款项。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若现金替代日（</w:t>
      </w:r>
      <w:r>
        <w:rPr>
          <w:rFonts w:ascii="Times New Roman" w:hAnsi="Times New Roman"/>
          <w:sz w:val="24"/>
        </w:rPr>
        <w:t>T</w:t>
      </w:r>
      <w:r>
        <w:rPr>
          <w:rFonts w:ascii="Times New Roman" w:hAnsi="Times New Roman"/>
          <w:sz w:val="24"/>
        </w:rPr>
        <w:t>日）后至</w:t>
      </w:r>
      <w:r>
        <w:rPr>
          <w:rFonts w:ascii="Times New Roman" w:hAnsi="Times New Roman"/>
          <w:sz w:val="24"/>
        </w:rPr>
        <w:t>T+2</w:t>
      </w:r>
      <w:r>
        <w:rPr>
          <w:rFonts w:ascii="Times New Roman" w:hAnsi="Times New Roman"/>
          <w:sz w:val="24"/>
        </w:rPr>
        <w:t>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20</w:t>
      </w:r>
      <w:r>
        <w:rPr>
          <w:rFonts w:ascii="Times New Roman" w:hAnsi="Times New Roman"/>
          <w:sz w:val="24"/>
        </w:rPr>
        <w:t>个交易日）期间发生除息、送股（转增）、配股等权益变动，则进行相应调整。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T+2</w:t>
      </w:r>
      <w:r>
        <w:rPr>
          <w:rFonts w:ascii="Times New Roman" w:hAnsi="Times New Roman"/>
          <w:sz w:val="24"/>
        </w:rPr>
        <w:t>日后第</w:t>
      </w:r>
      <w:r>
        <w:rPr>
          <w:rFonts w:ascii="Times New Roman" w:hAnsi="Times New Roman"/>
          <w:sz w:val="24"/>
        </w:rPr>
        <w:t>1</w:t>
      </w:r>
      <w:r>
        <w:rPr>
          <w:rFonts w:ascii="Times New Roman" w:hAnsi="Times New Roman"/>
          <w:sz w:val="24"/>
        </w:rPr>
        <w:t>个工作日（若在特例情况下，则为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21</w:t>
      </w:r>
      <w:r>
        <w:rPr>
          <w:rFonts w:ascii="Times New Roman" w:hAnsi="Times New Roman"/>
          <w:sz w:val="24"/>
        </w:rPr>
        <w:t>个交易日），基金管理人将应退款和补款的明细及汇总数据发送给相关申购赎回代理券商和基金托管人，相关款项的清算</w:t>
      </w:r>
      <w:proofErr w:type="gramStart"/>
      <w:r>
        <w:rPr>
          <w:rFonts w:ascii="Times New Roman" w:hAnsi="Times New Roman"/>
          <w:sz w:val="24"/>
        </w:rPr>
        <w:t>交收将于</w:t>
      </w:r>
      <w:proofErr w:type="gramEnd"/>
      <w:r>
        <w:rPr>
          <w:rFonts w:ascii="Times New Roman" w:hAnsi="Times New Roman"/>
          <w:sz w:val="24"/>
        </w:rPr>
        <w:t>此后</w:t>
      </w:r>
      <w:r>
        <w:rPr>
          <w:rFonts w:ascii="Times New Roman" w:hAnsi="Times New Roman"/>
          <w:sz w:val="24"/>
        </w:rPr>
        <w:t>3</w:t>
      </w:r>
      <w:r>
        <w:rPr>
          <w:rFonts w:ascii="Times New Roman" w:hAnsi="Times New Roman"/>
          <w:sz w:val="24"/>
        </w:rPr>
        <w:t>个工作日内完成。</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替代限制：为更有效控制基金的跟踪偏离度和跟踪误差，基金管理人可规定投资者使用可以现金替代的比例合计不得超过申购基金份额资产净值的一定比例。现金替代比例的计算公式为：</w:t>
      </w:r>
    </w:p>
    <w:p w:rsidR="00502561" w:rsidRDefault="00B45293">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extent cx="5372100" cy="5562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556260"/>
                    </a:xfrm>
                    <a:prstGeom prst="rect">
                      <a:avLst/>
                    </a:prstGeom>
                    <a:noFill/>
                    <a:ln>
                      <a:noFill/>
                    </a:ln>
                  </pic:spPr>
                </pic:pic>
              </a:graphicData>
            </a:graphic>
          </wp:inline>
        </w:drawing>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其中，根据上海证券交易所的相关规则，上式中</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定义为</w:t>
      </w:r>
      <w:r>
        <w:rPr>
          <w:rFonts w:ascii="Times New Roman" w:hAnsi="Times New Roman"/>
          <w:sz w:val="24"/>
        </w:rPr>
        <w:t>“</w:t>
      </w:r>
      <w:r>
        <w:rPr>
          <w:rFonts w:ascii="Times New Roman" w:hAnsi="Times New Roman"/>
          <w:sz w:val="24"/>
        </w:rPr>
        <w:t>该证券前一交易日除权除息后的收盘价</w:t>
      </w:r>
      <w:r>
        <w:rPr>
          <w:rFonts w:ascii="Times New Roman" w:hAnsi="Times New Roman"/>
          <w:sz w:val="24"/>
        </w:rPr>
        <w:t>”</w:t>
      </w:r>
      <w:r>
        <w:rPr>
          <w:rFonts w:ascii="Times New Roman" w:hAnsi="Times New Roman"/>
          <w:sz w:val="24"/>
        </w:rPr>
        <w:t>。如果上海证券交易所对上式中</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的定义以及现金替代比例计算公式发生变化，以上海证券交易所的最新规则为准。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）必须现金替代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适用情形：必须现金替代的证券一般是由于标的指数调整，即将被剔除的成份证券，或基金管理人出于保护持有人利益等原因认为有必要实行必须现金替代的成份证券。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替代金额：对于必须现金替代的证券，基金管理人将在申购赎回清单中公告替代的一定数量的现金，即</w:t>
      </w:r>
      <w:r>
        <w:rPr>
          <w:rFonts w:ascii="Times New Roman" w:hAnsi="Times New Roman"/>
          <w:sz w:val="24"/>
        </w:rPr>
        <w:t>“</w:t>
      </w:r>
      <w:r>
        <w:rPr>
          <w:rFonts w:ascii="Times New Roman" w:hAnsi="Times New Roman"/>
          <w:sz w:val="24"/>
        </w:rPr>
        <w:t>固定替代金额</w:t>
      </w:r>
      <w:r>
        <w:rPr>
          <w:rFonts w:ascii="Times New Roman" w:hAnsi="Times New Roman"/>
          <w:sz w:val="24"/>
        </w:rPr>
        <w:t>”</w:t>
      </w:r>
      <w:r>
        <w:rPr>
          <w:rFonts w:ascii="Times New Roman" w:hAnsi="Times New Roman"/>
          <w:sz w:val="24"/>
        </w:rPr>
        <w:t>。固定替代金额的计算方法为申购赎回清单中该证券的数量乘以其</w:t>
      </w:r>
      <w:r>
        <w:rPr>
          <w:rFonts w:ascii="Times New Roman" w:hAnsi="Times New Roman"/>
          <w:sz w:val="24"/>
        </w:rPr>
        <w:t>T</w:t>
      </w:r>
      <w:r>
        <w:rPr>
          <w:rFonts w:ascii="Times New Roman" w:hAnsi="Times New Roman"/>
          <w:sz w:val="24"/>
        </w:rPr>
        <w:t>日预计开盘价。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、预估现金部分相关内容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预估现金部分是指为便于计算基金份额参考净值及申购赎回代理机构预先冻结申请申购、赎回的投资者的相应资金，由基金管理人计算的现金数额。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日申购赎回清单中公告预估现金部分计算公式为：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日预估现金部分＝</w:t>
      </w:r>
      <w:r>
        <w:rPr>
          <w:rFonts w:ascii="Times New Roman" w:hAnsi="Times New Roman"/>
          <w:sz w:val="24"/>
        </w:rPr>
        <w:t>T-1</w:t>
      </w:r>
      <w:r>
        <w:rPr>
          <w:rFonts w:ascii="Times New Roman" w:hAnsi="Times New Roman"/>
          <w:sz w:val="24"/>
        </w:rPr>
        <w:t>日最小申购赎回单位的基金资产净值－（申购赎回清单中必须用现金替代的固定替代金额</w:t>
      </w:r>
      <w:r>
        <w:rPr>
          <w:rFonts w:ascii="Times New Roman" w:hAnsi="Times New Roman"/>
          <w:sz w:val="24"/>
        </w:rPr>
        <w:t>+</w:t>
      </w:r>
      <w:r>
        <w:rPr>
          <w:rFonts w:ascii="Times New Roman" w:hAnsi="Times New Roman"/>
          <w:sz w:val="24"/>
        </w:rPr>
        <w:t>申购赎回清单中可以用现金替代成份证券的数量与</w:t>
      </w:r>
      <w:r>
        <w:rPr>
          <w:rFonts w:ascii="Times New Roman" w:hAnsi="Times New Roman"/>
          <w:sz w:val="24"/>
        </w:rPr>
        <w:t>T</w:t>
      </w:r>
      <w:r>
        <w:rPr>
          <w:rFonts w:ascii="Times New Roman" w:hAnsi="Times New Roman"/>
          <w:sz w:val="24"/>
        </w:rPr>
        <w:t>日预计开盘价相乘之和</w:t>
      </w:r>
      <w:r>
        <w:rPr>
          <w:rFonts w:ascii="Times New Roman" w:hAnsi="Times New Roman"/>
          <w:sz w:val="24"/>
        </w:rPr>
        <w:t>+</w:t>
      </w:r>
      <w:r>
        <w:rPr>
          <w:rFonts w:ascii="Times New Roman" w:hAnsi="Times New Roman"/>
          <w:sz w:val="24"/>
        </w:rPr>
        <w:t>申购赎回清单中禁止用现金替代成份证券的数量与</w:t>
      </w:r>
      <w:r>
        <w:rPr>
          <w:rFonts w:ascii="Times New Roman" w:hAnsi="Times New Roman"/>
          <w:sz w:val="24"/>
        </w:rPr>
        <w:t>T</w:t>
      </w:r>
      <w:r>
        <w:rPr>
          <w:rFonts w:ascii="Times New Roman" w:hAnsi="Times New Roman"/>
          <w:sz w:val="24"/>
        </w:rPr>
        <w:t>日预计开盘价相乘之和）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r>
        <w:rPr>
          <w:rFonts w:ascii="Times New Roman" w:hAnsi="Times New Roman"/>
          <w:sz w:val="24"/>
        </w:rPr>
        <w:t>T</w:t>
      </w:r>
      <w:r>
        <w:rPr>
          <w:rFonts w:ascii="Times New Roman" w:hAnsi="Times New Roman"/>
          <w:sz w:val="24"/>
        </w:rPr>
        <w:t>日预计开盘价主要根据交易所提供的标的指数成份证券的预计开盘价确定。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另外，若</w:t>
      </w:r>
      <w:r>
        <w:rPr>
          <w:rFonts w:ascii="Times New Roman" w:hAnsi="Times New Roman"/>
          <w:sz w:val="24"/>
        </w:rPr>
        <w:t>T</w:t>
      </w:r>
      <w:r>
        <w:rPr>
          <w:rFonts w:ascii="Times New Roman" w:hAnsi="Times New Roman"/>
          <w:sz w:val="24"/>
        </w:rPr>
        <w:t>日为基金分红除息日，则计算公式中的</w:t>
      </w:r>
      <w:r>
        <w:rPr>
          <w:rFonts w:ascii="Times New Roman" w:hAnsi="Times New Roman"/>
          <w:sz w:val="24"/>
        </w:rPr>
        <w:t>“T-1</w:t>
      </w:r>
      <w:r>
        <w:rPr>
          <w:rFonts w:ascii="Times New Roman" w:hAnsi="Times New Roman"/>
          <w:sz w:val="24"/>
        </w:rPr>
        <w:t>日最小申购赎回单位的</w:t>
      </w:r>
      <w:r>
        <w:rPr>
          <w:rFonts w:ascii="Times New Roman" w:hAnsi="Times New Roman"/>
          <w:sz w:val="24"/>
        </w:rPr>
        <w:lastRenderedPageBreak/>
        <w:t>基金资产净值</w:t>
      </w:r>
      <w:r>
        <w:rPr>
          <w:rFonts w:ascii="Times New Roman" w:hAnsi="Times New Roman"/>
          <w:sz w:val="24"/>
        </w:rPr>
        <w:t>”</w:t>
      </w:r>
      <w:r>
        <w:rPr>
          <w:rFonts w:ascii="Times New Roman" w:hAnsi="Times New Roman"/>
          <w:sz w:val="24"/>
        </w:rPr>
        <w:t>需扣减相应的收益分配数额。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预估现金部分的数值可能为正、为负或为零。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、申购赎回清单现金差额相关内容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日现金差额在</w:t>
      </w:r>
      <w:r>
        <w:rPr>
          <w:rFonts w:ascii="Times New Roman" w:hAnsi="Times New Roman"/>
          <w:sz w:val="24"/>
        </w:rPr>
        <w:t>T+1</w:t>
      </w:r>
      <w:r>
        <w:rPr>
          <w:rFonts w:ascii="Times New Roman" w:hAnsi="Times New Roman"/>
          <w:sz w:val="24"/>
        </w:rPr>
        <w:t>日的申购赎回清单中公告，其计算公式为：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w:t>
      </w:r>
      <w:r>
        <w:rPr>
          <w:rFonts w:ascii="Times New Roman" w:hAnsi="Times New Roman"/>
          <w:sz w:val="24"/>
        </w:rPr>
        <w:t>T</w:t>
      </w:r>
      <w:r>
        <w:rPr>
          <w:rFonts w:ascii="Times New Roman" w:hAnsi="Times New Roman"/>
          <w:sz w:val="24"/>
        </w:rPr>
        <w:t>日最小申购赎回单位对应的基金份额</w:t>
      </w:r>
      <w:r>
        <w:rPr>
          <w:rFonts w:ascii="Times New Roman" w:hAnsi="Times New Roman"/>
          <w:sz w:val="24"/>
        </w:rPr>
        <w:t>×T</w:t>
      </w:r>
      <w:r>
        <w:rPr>
          <w:rFonts w:ascii="Times New Roman" w:hAnsi="Times New Roman"/>
          <w:sz w:val="24"/>
        </w:rPr>
        <w:t>日基金份额净值－（申购赎回清单中必须用现金替代的固定替代金额＋申购赎回清单中可以用现金替代成份证券的数量与</w:t>
      </w:r>
      <w:r>
        <w:rPr>
          <w:rFonts w:ascii="Times New Roman" w:hAnsi="Times New Roman"/>
          <w:sz w:val="24"/>
        </w:rPr>
        <w:t>T</w:t>
      </w:r>
      <w:r>
        <w:rPr>
          <w:rFonts w:ascii="Times New Roman" w:hAnsi="Times New Roman"/>
          <w:sz w:val="24"/>
        </w:rPr>
        <w:t>日收盘价相乘之和</w:t>
      </w:r>
      <w:r>
        <w:rPr>
          <w:rFonts w:ascii="Times New Roman" w:hAnsi="Times New Roman"/>
          <w:sz w:val="24"/>
        </w:rPr>
        <w:t>+</w:t>
      </w:r>
      <w:r>
        <w:rPr>
          <w:rFonts w:ascii="Times New Roman" w:hAnsi="Times New Roman"/>
          <w:sz w:val="24"/>
        </w:rPr>
        <w:t>申购赎回清单中禁止用现金替代成份证券的数量与</w:t>
      </w:r>
      <w:r>
        <w:rPr>
          <w:rFonts w:ascii="Times New Roman" w:hAnsi="Times New Roman"/>
          <w:sz w:val="24"/>
        </w:rPr>
        <w:t>T</w:t>
      </w:r>
      <w:r>
        <w:rPr>
          <w:rFonts w:ascii="Times New Roman" w:hAnsi="Times New Roman"/>
          <w:sz w:val="24"/>
        </w:rPr>
        <w:t>日收盘价相乘之和）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日投资者申购赎回基金份额时，需按</w:t>
      </w:r>
      <w:r>
        <w:rPr>
          <w:rFonts w:ascii="Times New Roman" w:hAnsi="Times New Roman"/>
          <w:sz w:val="24"/>
        </w:rPr>
        <w:t>T+1</w:t>
      </w:r>
      <w:r>
        <w:rPr>
          <w:rFonts w:ascii="Times New Roman" w:hAnsi="Times New Roman"/>
          <w:sz w:val="24"/>
        </w:rPr>
        <w:t>日公告的</w:t>
      </w:r>
      <w:r>
        <w:rPr>
          <w:rFonts w:ascii="Times New Roman" w:hAnsi="Times New Roman"/>
          <w:sz w:val="24"/>
        </w:rPr>
        <w:t>T</w:t>
      </w:r>
      <w:r>
        <w:rPr>
          <w:rFonts w:ascii="Times New Roman" w:hAnsi="Times New Roman"/>
          <w:sz w:val="24"/>
        </w:rPr>
        <w: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、申购赎回清单的格式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申购赎回清单的格式举例如下：</w:t>
      </w:r>
    </w:p>
    <w:tbl>
      <w:tblPr>
        <w:tblW w:w="5000" w:type="pct"/>
        <w:tblCellMar>
          <w:left w:w="0" w:type="dxa"/>
          <w:right w:w="0" w:type="dxa"/>
        </w:tblCellMar>
        <w:tblLook w:val="0000" w:firstRow="0" w:lastRow="0" w:firstColumn="0" w:lastColumn="0" w:noHBand="0" w:noVBand="0"/>
      </w:tblPr>
      <w:tblGrid>
        <w:gridCol w:w="760"/>
        <w:gridCol w:w="1578"/>
        <w:gridCol w:w="1578"/>
        <w:gridCol w:w="1578"/>
        <w:gridCol w:w="1578"/>
        <w:gridCol w:w="1578"/>
      </w:tblGrid>
      <w:tr w:rsidR="00502561">
        <w:trPr>
          <w:cantSplit/>
          <w:trHeight w:val="375"/>
        </w:trPr>
        <w:tc>
          <w:tcPr>
            <w:tcW w:w="750" w:type="pct"/>
            <w:gridSpan w:val="6"/>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基本信息</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最新公告日期</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治理</w:t>
            </w:r>
            <w:r>
              <w:rPr>
                <w:rFonts w:ascii="Times New Roman" w:hAnsi="Times New Roman"/>
                <w:color w:val="000000"/>
                <w:kern w:val="0"/>
                <w:sz w:val="25"/>
                <w:szCs w:val="24"/>
              </w:rPr>
              <w:t>ETF</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基金管理公司名称</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一级市场基金代码</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510011</w:t>
            </w:r>
          </w:p>
        </w:tc>
      </w:tr>
      <w:tr w:rsidR="00502561">
        <w:trPr>
          <w:cantSplit/>
          <w:trHeight w:val="375"/>
        </w:trPr>
        <w:tc>
          <w:tcPr>
            <w:tcW w:w="750" w:type="pct"/>
            <w:gridSpan w:val="6"/>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日信息内容</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最小申购、赎回单位的现金余额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-58,713.15</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最小申购、赎回单位净值</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1,336,099.85</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w:t>
            </w:r>
          </w:p>
        </w:tc>
      </w:tr>
      <w:tr w:rsidR="00502561">
        <w:trPr>
          <w:cantSplit/>
          <w:trHeight w:val="375"/>
        </w:trPr>
        <w:tc>
          <w:tcPr>
            <w:tcW w:w="750" w:type="pct"/>
            <w:gridSpan w:val="6"/>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日信息内容</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最小申购、赎回单位的预估现金部分</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-58,102.15</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份</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1,000,000.00</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是否需要公布</w:t>
            </w:r>
            <w:r>
              <w:rPr>
                <w:rFonts w:ascii="Times New Roman" w:hAnsi="Times New Roman"/>
                <w:color w:val="000000"/>
                <w:kern w:val="0"/>
                <w:sz w:val="25"/>
                <w:szCs w:val="24"/>
              </w:rPr>
              <w:t>IOPV</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是否允许申购</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是否允许赎回</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502561">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现金替代比例上限</w:t>
            </w:r>
          </w:p>
        </w:tc>
        <w:tc>
          <w:tcPr>
            <w:tcW w:w="750" w:type="pct"/>
            <w:gridSpan w:val="3"/>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股票简称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股票数量</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替代标志</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溢价比例</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替代金额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白云机场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上港集团</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宝钢股份</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中国石化</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三一重工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保利地产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600050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中国联通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国投资本</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宇通客车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葛洲坝</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同仁堂</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特变电工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600104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上汽集团</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600109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国金证券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600115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东方航空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中国卫星</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600150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中国船舶</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600161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天坛生物</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上海贝岭</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中国巨石</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雅戈尔</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600183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生</w:t>
            </w:r>
            <w:proofErr w:type="gramStart"/>
            <w:r>
              <w:rPr>
                <w:rFonts w:ascii="Times New Roman" w:hAnsi="Times New Roman"/>
                <w:color w:val="000000"/>
                <w:kern w:val="0"/>
                <w:sz w:val="25"/>
                <w:szCs w:val="24"/>
              </w:rPr>
              <w:t>益科技</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兖州煤业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600196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复星医药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600206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有</w:t>
            </w:r>
            <w:proofErr w:type="gramStart"/>
            <w:r>
              <w:rPr>
                <w:rFonts w:ascii="Times New Roman" w:hAnsi="Times New Roman"/>
                <w:color w:val="000000"/>
                <w:kern w:val="0"/>
                <w:sz w:val="25"/>
                <w:szCs w:val="24"/>
              </w:rPr>
              <w:t>研</w:t>
            </w:r>
            <w:proofErr w:type="gramEnd"/>
            <w:r>
              <w:rPr>
                <w:rFonts w:ascii="Times New Roman" w:hAnsi="Times New Roman"/>
                <w:color w:val="000000"/>
                <w:kern w:val="0"/>
                <w:sz w:val="25"/>
                <w:szCs w:val="24"/>
              </w:rPr>
              <w:t>新材</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600233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圆通速递</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航天信息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600309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万华化学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600332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白云山</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600362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江西铜业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600383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金地集团</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600406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w:t>
            </w:r>
            <w:proofErr w:type="gramStart"/>
            <w:r>
              <w:rPr>
                <w:rFonts w:ascii="Times New Roman" w:hAnsi="Times New Roman"/>
                <w:color w:val="000000"/>
                <w:kern w:val="0"/>
                <w:sz w:val="25"/>
                <w:szCs w:val="24"/>
              </w:rPr>
              <w:t>电南瑞</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片仔</w:t>
            </w:r>
            <w:proofErr w:type="gramStart"/>
            <w:r>
              <w:rPr>
                <w:rFonts w:ascii="Times New Roman" w:hAnsi="Times New Roman"/>
                <w:color w:val="000000"/>
                <w:kern w:val="0"/>
                <w:sz w:val="25"/>
                <w:szCs w:val="24"/>
              </w:rPr>
              <w:t>癀</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600460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士兰微</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600489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w:t>
            </w:r>
            <w:proofErr w:type="gramStart"/>
            <w:r>
              <w:rPr>
                <w:rFonts w:ascii="Times New Roman" w:hAnsi="Times New Roman"/>
                <w:color w:val="000000"/>
                <w:kern w:val="0"/>
                <w:sz w:val="25"/>
                <w:szCs w:val="24"/>
              </w:rPr>
              <w:t>金黄金</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600498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烽火通信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600522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中天科技</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600535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天士力</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600547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山东黄金</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用</w:t>
            </w:r>
            <w:proofErr w:type="gramStart"/>
            <w:r>
              <w:rPr>
                <w:rFonts w:ascii="Times New Roman" w:hAnsi="Times New Roman"/>
                <w:color w:val="000000"/>
                <w:kern w:val="0"/>
                <w:sz w:val="25"/>
                <w:szCs w:val="24"/>
              </w:rPr>
              <w:t>友网络</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青岛啤酒</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600660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福耀玻璃</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600690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海尔智家</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600737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中粮糖业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600739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辽宁成大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600741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w:t>
            </w:r>
            <w:proofErr w:type="gramStart"/>
            <w:r>
              <w:rPr>
                <w:rFonts w:ascii="Times New Roman" w:hAnsi="Times New Roman"/>
                <w:color w:val="000000"/>
                <w:kern w:val="0"/>
                <w:sz w:val="25"/>
                <w:szCs w:val="24"/>
              </w:rPr>
              <w:t>域汽车</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600795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国电电力</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国投电力</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伊利股份</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600895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张江高科</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长江电力</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600919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江苏银行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600958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东方证券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600977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中国电影</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600999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招商证券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601006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大秦铁路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601009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南京银行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中国神华</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601111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中国国航</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601186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中国铁建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601211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国泰君安</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601229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601231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环旭电子</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广汽集团</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601328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交通银行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463.000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新华保险</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601555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东吴证券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601601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中国太保</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601607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上海医药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中国中冶</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601628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中国人寿</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中国电建</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601727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上海电气</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601766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w:t>
            </w:r>
            <w:proofErr w:type="gramStart"/>
            <w:r>
              <w:rPr>
                <w:rFonts w:ascii="Times New Roman" w:hAnsi="Times New Roman"/>
                <w:color w:val="000000"/>
                <w:kern w:val="0"/>
                <w:sz w:val="25"/>
                <w:szCs w:val="24"/>
              </w:rPr>
              <w:t>国交建</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601808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w:t>
            </w:r>
            <w:proofErr w:type="gramStart"/>
            <w:r>
              <w:rPr>
                <w:rFonts w:ascii="Times New Roman" w:hAnsi="Times New Roman"/>
                <w:color w:val="000000"/>
                <w:kern w:val="0"/>
                <w:sz w:val="25"/>
                <w:szCs w:val="24"/>
              </w:rPr>
              <w:t>海油服</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光大银行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3800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601857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中国石油</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601877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正泰电器</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601899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紫金矿业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601919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中远海控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601939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建设银行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中国核电</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中国重工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601998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人民网</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603444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吉比特</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56489.000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603993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洛阳</w:t>
            </w:r>
            <w:proofErr w:type="gramStart"/>
            <w:r>
              <w:rPr>
                <w:rFonts w:ascii="Times New Roman" w:hAnsi="Times New Roman"/>
                <w:color w:val="000000"/>
                <w:kern w:val="0"/>
                <w:sz w:val="25"/>
                <w:szCs w:val="24"/>
              </w:rPr>
              <w:t>钼</w:t>
            </w:r>
            <w:proofErr w:type="gramEnd"/>
            <w:r>
              <w:rPr>
                <w:rFonts w:ascii="Times New Roman" w:hAnsi="Times New Roman"/>
                <w:color w:val="000000"/>
                <w:kern w:val="0"/>
                <w:sz w:val="25"/>
                <w:szCs w:val="24"/>
              </w:rPr>
              <w:t>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r>
    </w:tbl>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（八）暂停申购、赎回的情形及处理方式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发生下列情况时，基金管理人可暂停接受投资者的申购、赎回申请：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）因不可抗力导致基金无法接受申购、赎回；</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）因特殊原因（如上海证券交易所决定临时停市），导致基金管理人无法计算当日的基金资产净值；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）发生基金合同规定的暂停基金资产估值的情况；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）上海证券交易所、注册登记机构等因异常情况无法办理申购、赎回；</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公允价值存在重大不确定性时，经与基金托管人协商确认后，基金管理人应当暂停接受基金申购申请、暂停接受基金赎回申请或延缓支付赎回款项；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）法律法规、上海证券交易所规定或中国证监会认定的其他情形。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由于技术系统设置原因，在发生暂停申购或赎回的情形之一时，本基金的申购和赎回可能同时暂停。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时，基金管理人应在规定期限内在指定媒介上刊登暂停公告。已接受的赎回申请，基金管理人应当足额兑付。在暂停申购、赎回的情况消除时，基金管理人应及时恢复申购、赎回业务的办理，并予以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（九）暂停申购或赎回的公告和重新开放申购或赎回的公告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日但少于两周，暂停结束，基金重新开放申购或赎回时，基金管理人应依照《信息披露办法》的有关规定，在指定媒介上刊登基金重新开放申购或赎回公告，并公告最近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、如发生暂停的时间超过两周，暂停期间，基金管理人应每</w:t>
      </w:r>
      <w:r>
        <w:rPr>
          <w:rFonts w:ascii="Times New Roman" w:hAnsi="Times New Roman"/>
          <w:sz w:val="24"/>
        </w:rPr>
        <w:t>2</w:t>
      </w:r>
      <w:r>
        <w:rPr>
          <w:rFonts w:ascii="Times New Roman" w:hAnsi="Times New Roman"/>
          <w:sz w:val="24"/>
        </w:rPr>
        <w:t>周至少刊登暂停公告</w:t>
      </w:r>
      <w:r>
        <w:rPr>
          <w:rFonts w:ascii="Times New Roman" w:hAnsi="Times New Roman"/>
          <w:sz w:val="24"/>
        </w:rPr>
        <w:t>1</w:t>
      </w:r>
      <w:r>
        <w:rPr>
          <w:rFonts w:ascii="Times New Roman" w:hAnsi="Times New Roman"/>
          <w:sz w:val="24"/>
        </w:rPr>
        <w:t>次。暂停结束，基金重新开放申购或赎回时，基金管理人应依照《信息披露办法》的有关规定在指定媒介上刊登基金重新开放申购或赎回公告，并公告最近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（十）基金的</w:t>
      </w:r>
      <w:proofErr w:type="gramStart"/>
      <w:r w:rsidRPr="00BB248E">
        <w:rPr>
          <w:rFonts w:ascii="宋体" w:hAnsi="宋体" w:hint="eastAsia"/>
          <w:b/>
          <w:szCs w:val="24"/>
        </w:rPr>
        <w:t>非交易</w:t>
      </w:r>
      <w:proofErr w:type="gramEnd"/>
      <w:r w:rsidRPr="00BB248E">
        <w:rPr>
          <w:rFonts w:ascii="宋体" w:hAnsi="宋体" w:hint="eastAsia"/>
          <w:b/>
          <w:szCs w:val="24"/>
        </w:rPr>
        <w:t>过户等其他业务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注册登记机构可依据其业务规则，受理基金份额的</w:t>
      </w:r>
      <w:proofErr w:type="gramStart"/>
      <w:r>
        <w:rPr>
          <w:rFonts w:ascii="Times New Roman" w:hAnsi="Times New Roman"/>
          <w:sz w:val="24"/>
        </w:rPr>
        <w:t>非交易</w:t>
      </w:r>
      <w:proofErr w:type="gramEnd"/>
      <w:r>
        <w:rPr>
          <w:rFonts w:ascii="Times New Roman" w:hAnsi="Times New Roman"/>
          <w:sz w:val="24"/>
        </w:rPr>
        <w:t>过户、冻结与解冻等业务，并收取一定的手续费用。</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（十一）集合申购和其他服务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在条件允许时，基金管理人可开放集合申购，即允许多个投资者集合其持有的组合证券，共同构成最小申购赎回单位或其整数</w:t>
      </w:r>
      <w:proofErr w:type="gramStart"/>
      <w:r>
        <w:rPr>
          <w:rFonts w:ascii="Times New Roman" w:hAnsi="Times New Roman"/>
          <w:sz w:val="24"/>
        </w:rPr>
        <w:t>倍</w:t>
      </w:r>
      <w:proofErr w:type="gramEnd"/>
      <w:r>
        <w:rPr>
          <w:rFonts w:ascii="Times New Roman" w:hAnsi="Times New Roman"/>
          <w:sz w:val="24"/>
        </w:rPr>
        <w:t>，进行申购。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在条件允许时，基金管理人也可采取其他合理的申购、赎回方式，并于新的申购、赎回方式开始执行前的至少三个工作日予以公告。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基金管理人指定的代理机构可依据基金合同开展其他服务，双方需签订书面委托代理协议，并报中国证监会备案。</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4" w:name="_Toc54104389"/>
      <w:r>
        <w:rPr>
          <w:rFonts w:ascii="Times New Roman" w:hAnsi="Times New Roman"/>
          <w:sz w:val="30"/>
        </w:rPr>
        <w:lastRenderedPageBreak/>
        <w:t>十一、基金的投资</w:t>
      </w:r>
      <w:bookmarkEnd w:id="14"/>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紧密跟踪标的指数，追求跟踪偏离度与跟踪误差最小化。</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（二）投资理念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本基金遵循指数</w:t>
      </w:r>
      <w:proofErr w:type="gramStart"/>
      <w:r>
        <w:rPr>
          <w:rFonts w:ascii="Times New Roman" w:hAnsi="Times New Roman"/>
          <w:sz w:val="24"/>
        </w:rPr>
        <w:t>化投资</w:t>
      </w:r>
      <w:proofErr w:type="gramEnd"/>
      <w:r>
        <w:rPr>
          <w:rFonts w:ascii="Times New Roman" w:hAnsi="Times New Roman"/>
          <w:sz w:val="24"/>
        </w:rPr>
        <w:t>理念，以反映上海证券市场中规模大、流动性好、公司治理状况良好的股票整体收益状况的上证</w:t>
      </w:r>
      <w:r>
        <w:rPr>
          <w:rFonts w:ascii="Times New Roman" w:hAnsi="Times New Roman"/>
          <w:sz w:val="24"/>
        </w:rPr>
        <w:t>180</w:t>
      </w:r>
      <w:r>
        <w:rPr>
          <w:rFonts w:ascii="Times New Roman" w:hAnsi="Times New Roman"/>
          <w:sz w:val="24"/>
        </w:rPr>
        <w:t>公司治理指数作为标的指数，采用被动式指数</w:t>
      </w:r>
      <w:proofErr w:type="gramStart"/>
      <w:r>
        <w:rPr>
          <w:rFonts w:ascii="Times New Roman" w:hAnsi="Times New Roman"/>
          <w:sz w:val="24"/>
        </w:rPr>
        <w:t>化投资</w:t>
      </w:r>
      <w:proofErr w:type="gramEnd"/>
      <w:r>
        <w:rPr>
          <w:rFonts w:ascii="Times New Roman" w:hAnsi="Times New Roman"/>
          <w:sz w:val="24"/>
        </w:rPr>
        <w:t>实现跟踪偏离度与跟踪误差的最小化，帮助投资者以较低的成本获取与标的指数同步的收益。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（三）投资范围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本基金以标的指数成份股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、备选成份股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为主要投资对象，把全部或接近全部的基金资产用于跟踪标的指数的表现，正常情况下指数</w:t>
      </w:r>
      <w:proofErr w:type="gramStart"/>
      <w:r>
        <w:rPr>
          <w:rFonts w:ascii="Times New Roman" w:hAnsi="Times New Roman"/>
          <w:sz w:val="24"/>
        </w:rPr>
        <w:t>化投资</w:t>
      </w:r>
      <w:proofErr w:type="gramEnd"/>
      <w:r>
        <w:rPr>
          <w:rFonts w:ascii="Times New Roman" w:hAnsi="Times New Roman"/>
          <w:sz w:val="24"/>
        </w:rPr>
        <w:t>比例，即投资于标的指数成份股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和备选成份股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、债券及中国证监会允许基金投资的其它金融工具。如因标的指数成份股调整、基金份额申购赎回清单内现金替代、现金差额等因素导致基金投资比例不符合上述标准的，基金管理人将在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个交易日内进行调整。法律法规或监管机构日后允许本基金投资的其他品种（如股指期货等），基金管理人在履行适当程序后，可以将其纳入投资范围。</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本基金采用完全复制法，跟踪上证</w:t>
      </w:r>
      <w:r>
        <w:rPr>
          <w:rFonts w:ascii="Times New Roman" w:hAnsi="Times New Roman"/>
          <w:sz w:val="24"/>
        </w:rPr>
        <w:t>180</w:t>
      </w:r>
      <w:r>
        <w:rPr>
          <w:rFonts w:ascii="Times New Roman" w:hAnsi="Times New Roman"/>
          <w:sz w:val="24"/>
        </w:rPr>
        <w:t>公司治理指数，以完全按照标的指数成份</w:t>
      </w:r>
      <w:proofErr w:type="gramStart"/>
      <w:r>
        <w:rPr>
          <w:rFonts w:ascii="Times New Roman" w:hAnsi="Times New Roman"/>
          <w:sz w:val="24"/>
        </w:rPr>
        <w:t>股组成</w:t>
      </w:r>
      <w:proofErr w:type="gramEnd"/>
      <w:r>
        <w:rPr>
          <w:rFonts w:ascii="Times New Roman" w:hAnsi="Times New Roman"/>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bCs/>
          <w:sz w:val="24"/>
        </w:rPr>
      </w:pPr>
      <w:r w:rsidRPr="00331C93">
        <w:rPr>
          <w:rFonts w:ascii="Times New Roman" w:hAnsi="Times New Roman" w:hint="eastAsia"/>
          <w:bCs/>
          <w:sz w:val="24"/>
        </w:rPr>
        <w:t>本基金投资存托凭证的策略依照境内上市交易的股票投资策略执行。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法律法规或监管机构日后允许本基金投资的其他品种（如股指期货等），基金管理人在履行适当程序后，可以将其纳入投资范围。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、决策依据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有关法律法规、基金合同和标的指数的相关规定是基金管理人运用基金财产的决策依据。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、决策和交易机制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基金经理的主要职责是决定日常指数跟踪维护过程中的组合构建、调整决策以及每日申购赎回清单的编制决策。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w:t>
      </w:r>
      <w:proofErr w:type="gramStart"/>
      <w:r>
        <w:rPr>
          <w:rFonts w:ascii="Times New Roman" w:hAnsi="Times New Roman"/>
          <w:sz w:val="24"/>
        </w:rPr>
        <w:t>规</w:t>
      </w:r>
      <w:proofErr w:type="gramEnd"/>
      <w:r>
        <w:rPr>
          <w:rFonts w:ascii="Times New Roman" w:hAnsi="Times New Roman"/>
          <w:sz w:val="24"/>
        </w:rPr>
        <w:t>的前提下得到高效的执行。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）投资决策：投资决策委员会依据量化投资部提供的研究报告，定期召开或遇重大事项时召开投资决策会议，决策相关事项。基金经理根据投资决策委员会的决议，每日进行基金投资管理的日常决策。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）组合构建：根据标的指数情况，结合研究支持，基金经理以完全复制指数成份股权重的方法构建组合。在追求跟踪误差和偏离度最小化的前提下，基金经理将采取适当的方法，以降低买入成本、控制投资风险。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）交易执行：中央交易室负责具体的交易执行，同时履行一线监控的职责。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基金管理人在确保基金份额持有人利益的前提下有权根据环境变化和实际需要</w:t>
      </w:r>
      <w:r>
        <w:rPr>
          <w:rFonts w:ascii="Times New Roman" w:hAnsi="Times New Roman"/>
          <w:sz w:val="24"/>
        </w:rPr>
        <w:lastRenderedPageBreak/>
        <w:t>对上述投资管理程序做出调整，并在基金招募说明书更新中公告。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（五）投资组合管理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为达到紧密跟踪标的指数的投资目标，本基金将以全部或接近全部的基金资产，按照标的指数的权重比例分散投资于各成份股。正常情况下指数</w:t>
      </w:r>
      <w:proofErr w:type="gramStart"/>
      <w:r>
        <w:rPr>
          <w:rFonts w:ascii="Times New Roman" w:hAnsi="Times New Roman"/>
          <w:sz w:val="24"/>
        </w:rPr>
        <w:t>化投资</w:t>
      </w:r>
      <w:proofErr w:type="gramEnd"/>
      <w:r>
        <w:rPr>
          <w:rFonts w:ascii="Times New Roman" w:hAnsi="Times New Roman"/>
          <w:sz w:val="24"/>
        </w:rPr>
        <w:t>比例，即投资于标的指数成份股和备选成份股的资产比例，不低于基金资产净值的</w:t>
      </w:r>
      <w:r>
        <w:rPr>
          <w:rFonts w:ascii="Times New Roman" w:hAnsi="Times New Roman"/>
          <w:sz w:val="24"/>
        </w:rPr>
        <w:t>95%</w:t>
      </w:r>
      <w:r>
        <w:rPr>
          <w:rFonts w:ascii="Times New Roman" w:hAnsi="Times New Roman"/>
          <w:sz w:val="24"/>
        </w:rPr>
        <w:t>。本基金将在基金合同生效之日起</w:t>
      </w:r>
      <w:r>
        <w:rPr>
          <w:rFonts w:ascii="Times New Roman" w:hAnsi="Times New Roman"/>
          <w:sz w:val="24"/>
        </w:rPr>
        <w:t>3</w:t>
      </w:r>
      <w:r>
        <w:rPr>
          <w:rFonts w:ascii="Times New Roman" w:hAnsi="Times New Roman"/>
          <w:sz w:val="24"/>
        </w:rPr>
        <w:t>个月内达到这一投资比例。此后，如因标的指数成分股调整、基金申购或赎回带来现金等因素导致基金不符合这一投资比例的，基金管理人将在</w:t>
      </w:r>
      <w:r>
        <w:rPr>
          <w:rFonts w:ascii="Times New Roman" w:hAnsi="Times New Roman"/>
          <w:sz w:val="24"/>
        </w:rPr>
        <w:t>10</w:t>
      </w:r>
      <w:r>
        <w:rPr>
          <w:rFonts w:ascii="Times New Roman" w:hAnsi="Times New Roman"/>
          <w:sz w:val="24"/>
        </w:rPr>
        <w:t>个交易日内进行调整。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、投资组合的建立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基金管理人构建投资组合的过程主要分为三步：确定目标组合、确定建仓策略和逐步调整。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）确定目标组合：基金管理人根据完全复制成份股权重的方法确定目标组合。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）确定建仓策略：基金经理根据对成份股流动性、公司行为、基本面等因素的分析，确定合理的建仓策略。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）逐步调整：通过完全复制</w:t>
      </w:r>
      <w:proofErr w:type="gramStart"/>
      <w:r>
        <w:rPr>
          <w:rFonts w:ascii="Times New Roman" w:hAnsi="Times New Roman"/>
          <w:sz w:val="24"/>
        </w:rPr>
        <w:t>法最终</w:t>
      </w:r>
      <w:proofErr w:type="gramEnd"/>
      <w:r>
        <w:rPr>
          <w:rFonts w:ascii="Times New Roman" w:hAnsi="Times New Roman"/>
          <w:sz w:val="24"/>
        </w:rPr>
        <w:t>确定目标组合之后，基金经理在规定时间内采用适当的手段构建和调整实际组合直至达到跟踪指数要求。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、日常投资组合管理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成份股公司行为信息的跟踪与分析：跟踪标的指数成份股公司行为（如：股本变化、分红、停牌、复牌等）信息，以及成份股公司其它重大信息，分析这些信息对指数的影响，进而进行组合调整分析，为投资决策提供依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）标的指数的跟踪与分析：由于各种原因，跟踪标的指数的编制方法可能会发生调整，分析这种调整对所跟踪标的指数的影响，并制定相应的应对方案。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）每日申购赎回情况的跟踪与分析：跟踪本基金申购和赎回信息，分析其对组合的影响。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）组合持有证券、现金头寸及流动性分析：基金经理分析实际组合与目标组合的差异及其原因，并进行成份股调整的流动性分析。</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）组合调整：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利用数量化分析模型，找出将实际组合调整到目标组合的最优方案，确定组合调整及交易策略。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② </w:t>
      </w:r>
      <w:r>
        <w:rPr>
          <w:rFonts w:ascii="Times New Roman" w:hAnsi="Times New Roman"/>
          <w:sz w:val="24"/>
        </w:rPr>
        <w:t>如发生成份股变动、成份股公司合并及其</w:t>
      </w:r>
      <w:proofErr w:type="gramStart"/>
      <w:r>
        <w:rPr>
          <w:rFonts w:ascii="Times New Roman" w:hAnsi="Times New Roman"/>
          <w:sz w:val="24"/>
        </w:rPr>
        <w:t>它重大</w:t>
      </w:r>
      <w:proofErr w:type="gramEnd"/>
      <w:r>
        <w:rPr>
          <w:rFonts w:ascii="Times New Roman" w:hAnsi="Times New Roman"/>
          <w:sz w:val="24"/>
        </w:rPr>
        <w:t>事项，可提请投资决策委员会召开会议，决定基金的操作策略。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调整组合，达到目标组合的持仓结构。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）复制标的指数并核对，同时根据最新的公司行为信息预测下一交易日指数结构。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）根据指数跟踪研究结果及当日最新组合情况进行指数分析及组合分析并进行组合调整计算，进而制定明日交易内容与策略。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）以</w:t>
      </w:r>
      <w:r>
        <w:rPr>
          <w:rFonts w:ascii="Times New Roman" w:hAnsi="Times New Roman"/>
          <w:sz w:val="24"/>
        </w:rPr>
        <w:t>T-1</w:t>
      </w:r>
      <w:r>
        <w:rPr>
          <w:rFonts w:ascii="Times New Roman" w:hAnsi="Times New Roman"/>
          <w:sz w:val="24"/>
        </w:rPr>
        <w:t>日指数成份股构成及其权重为基础，考虑</w:t>
      </w:r>
      <w:r>
        <w:rPr>
          <w:rFonts w:ascii="Times New Roman" w:hAnsi="Times New Roman"/>
          <w:sz w:val="24"/>
        </w:rPr>
        <w:t>T</w:t>
      </w:r>
      <w:r>
        <w:rPr>
          <w:rFonts w:ascii="Times New Roman" w:hAnsi="Times New Roman"/>
          <w:sz w:val="24"/>
        </w:rPr>
        <w:t>日将会发生的上市公司变动等情况，设计</w:t>
      </w:r>
      <w:r>
        <w:rPr>
          <w:rFonts w:ascii="Times New Roman" w:hAnsi="Times New Roman"/>
          <w:sz w:val="24"/>
        </w:rPr>
        <w:t>T</w:t>
      </w:r>
      <w:r>
        <w:rPr>
          <w:rFonts w:ascii="Times New Roman" w:hAnsi="Times New Roman"/>
          <w:sz w:val="24"/>
        </w:rPr>
        <w:t>日申购赎回清单并公告。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、定期投资组合管理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）每月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每月末，根据基金合同中基金管理费、基金托管费等的支付要求，及时检查组合中现金的比例，进行支付现金的准备。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每月末，在基金经理会议上对投资操作、组合、跟踪误差等进行分析。分析最近基金组合与标的指数间的跟踪偏离度情况，找出未能有效控制较大偏离的原因。</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每月末，投资决策委员会可对基金的操作进行指导与决策。基金经理根据公司投资决策委员会的决策开展下一阶段的工作。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）标的指数调整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根据标的指数的编制规则及调整公告，基金经理依据投资决策委员会的决策，在指数成份股调整生效前，分析并确定组合调整策略，尽量减少变更成份股带来的跟踪偏离度和跟踪误差。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、投资绩效评估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）每日，基金经理分析基金的跟踪偏离度。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）每月末，量化投资部对本基金的运行情况进行量化评估。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每月末，基金经理根据评估报告分析当月的投资操作、组合状况和跟踪误差等情况，重点分析基金的偏离度和跟踪误差产生原因、现金控制情况、标的指数成份股调整前后的操作、以及成份股未来可能发生的变化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在正常市场情况下，本基金日均跟踪偏离度的绝对值不超过</w:t>
      </w:r>
      <w:r>
        <w:rPr>
          <w:rFonts w:ascii="Times New Roman" w:hAnsi="Times New Roman"/>
          <w:sz w:val="24"/>
        </w:rPr>
        <w:t>0.1%</w:t>
      </w:r>
      <w:r>
        <w:rPr>
          <w:rFonts w:ascii="Times New Roman" w:hAnsi="Times New Roman"/>
          <w:sz w:val="24"/>
        </w:rPr>
        <w:t>，年跟踪误差不超过</w:t>
      </w:r>
      <w:r>
        <w:rPr>
          <w:rFonts w:ascii="Times New Roman" w:hAnsi="Times New Roman"/>
          <w:sz w:val="24"/>
        </w:rPr>
        <w:t>2%</w:t>
      </w:r>
      <w:r>
        <w:rPr>
          <w:rFonts w:ascii="Times New Roman" w:hAnsi="Times New Roman"/>
          <w:sz w:val="24"/>
        </w:rPr>
        <w:t>。如因指数编制规则调整或其他因素导致跟踪偏离度和跟踪误差超过上述范围，基金管理人应采取合理措施避免跟踪偏离度、跟踪误差进一步扩大。</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本基金的标的指数为上证</w:t>
      </w:r>
      <w:r>
        <w:rPr>
          <w:rFonts w:ascii="Times New Roman" w:hAnsi="Times New Roman"/>
          <w:sz w:val="24"/>
        </w:rPr>
        <w:t>180</w:t>
      </w:r>
      <w:r>
        <w:rPr>
          <w:rFonts w:ascii="Times New Roman" w:hAnsi="Times New Roman"/>
          <w:sz w:val="24"/>
        </w:rPr>
        <w:t>公司治理指数。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公司治理指数由上海证券交易所委托中证指数有限公司管理。上证</w:t>
      </w:r>
      <w:r>
        <w:rPr>
          <w:rFonts w:ascii="Times New Roman" w:hAnsi="Times New Roman"/>
          <w:sz w:val="24"/>
        </w:rPr>
        <w:t>180</w:t>
      </w:r>
      <w:r>
        <w:rPr>
          <w:rFonts w:ascii="Times New Roman" w:hAnsi="Times New Roman"/>
          <w:sz w:val="24"/>
        </w:rPr>
        <w:t>公司治理指数的所有权归属上海证券交易所。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在出现以下两种情况时，本基金管理人将通过适当程序更换标的指数：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、当标的指数出现下列问题时，本基金管理人可以依据维护投资者的合法权益的原则，在履行适当程序后，依法变更本基金的标的指数：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证券交易所停止向标的指数供应商提供标的指数所需的数据、限制其从该交易所取得数据或处理数据的权利；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标的指数被相关的交易所停止发布；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标的指数由其他指数替代；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标的指数供应</w:t>
      </w:r>
      <w:proofErr w:type="gramStart"/>
      <w:r>
        <w:rPr>
          <w:rFonts w:ascii="Times New Roman" w:hAnsi="Times New Roman"/>
          <w:sz w:val="24"/>
        </w:rPr>
        <w:t>商停止</w:t>
      </w:r>
      <w:proofErr w:type="gramEnd"/>
      <w:r>
        <w:rPr>
          <w:rFonts w:ascii="Times New Roman" w:hAnsi="Times New Roman"/>
          <w:sz w:val="24"/>
        </w:rPr>
        <w:t>编辑、计算和公布标的指数价值或停止对基金管理人的标的指数使用授权；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⑤ </w:t>
      </w:r>
      <w:r>
        <w:rPr>
          <w:rFonts w:ascii="Times New Roman" w:hAnsi="Times New Roman"/>
          <w:sz w:val="24"/>
        </w:rPr>
        <w:t>标的指数由于指数编制方法等重大变更导致该指数不宜继续作为标的指数；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⑥ </w:t>
      </w:r>
      <w:r>
        <w:rPr>
          <w:rFonts w:ascii="Times New Roman" w:hAnsi="Times New Roman"/>
          <w:sz w:val="24"/>
        </w:rPr>
        <w:t>任何直接或间接地针对标的指数或标的指数供应商而产生的诉讼或行动已经开始，或任何此类诉讼行动已威胁到并且标的指数供应</w:t>
      </w:r>
      <w:proofErr w:type="gramStart"/>
      <w:r>
        <w:rPr>
          <w:rFonts w:ascii="Times New Roman" w:hAnsi="Times New Roman"/>
          <w:sz w:val="24"/>
        </w:rPr>
        <w:t>商合理</w:t>
      </w:r>
      <w:proofErr w:type="gramEnd"/>
      <w:r>
        <w:rPr>
          <w:rFonts w:ascii="Times New Roman" w:hAnsi="Times New Roman"/>
          <w:sz w:val="24"/>
        </w:rPr>
        <w:t>地认为此类诉讼或行动可能对标的指数或授权基金管理人使用标的指数的能力产生重大不利影响。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标的指数更换后，基金管理人可根据需要替换或删除基金名称中与原标的指数相关的商号或字样。</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（七）业绩比较基准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本基金的业绩比较基准为标的指数。本基金标的指数变更的，业绩比较基准随之变更并公告。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（八）风险收益特征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w:t>
      </w:r>
      <w:proofErr w:type="gramStart"/>
      <w:r>
        <w:rPr>
          <w:rFonts w:ascii="Times New Roman" w:hAnsi="Times New Roman"/>
          <w:sz w:val="24"/>
        </w:rPr>
        <w:t>属股票</w:t>
      </w:r>
      <w:proofErr w:type="gramEnd"/>
      <w:r>
        <w:rPr>
          <w:rFonts w:ascii="Times New Roman" w:hAnsi="Times New Roman"/>
          <w:sz w:val="24"/>
        </w:rPr>
        <w:t>基金，风险与收益高于混合基金、债券基金与货币市场基金。本基金为指数型基金，紧密跟踪标的指数，具有和标的指数所代表的股票市场相似的风险收益特征，属于证券投资基金中风险较高、收益较高的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（九）投资限制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本基金的投资组合将遵循以下限制：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。投资于其他权证的投资比例，遵从法律法规或监管部门的相关规定。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、本基金与私募类</w:t>
      </w:r>
      <w:proofErr w:type="gramStart"/>
      <w:r>
        <w:rPr>
          <w:rFonts w:ascii="Times New Roman" w:hAnsi="Times New Roman"/>
          <w:sz w:val="24"/>
        </w:rPr>
        <w:t>证券资管产品</w:t>
      </w:r>
      <w:proofErr w:type="gramEnd"/>
      <w:r>
        <w:rPr>
          <w:rFonts w:ascii="Times New Roman" w:hAnsi="Times New Roman"/>
          <w:sz w:val="24"/>
        </w:rPr>
        <w:t>及中国证监会认定的其他主体为交易对手开展逆回购交易的，可接受质押品的资质要求应当与本基金合同约定的投资范围保持一致；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、本基金不得违反基金合同中有关投资范围、投资策略、投资比例的规定；</w:t>
      </w:r>
    </w:p>
    <w:p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7</w:t>
      </w:r>
      <w:r>
        <w:rPr>
          <w:rFonts w:ascii="Times New Roman" w:hAnsi="Times New Roman"/>
          <w:sz w:val="24"/>
        </w:rPr>
        <w:t>、</w:t>
      </w:r>
      <w:r w:rsidR="00331C93" w:rsidRPr="00331C93">
        <w:rPr>
          <w:rFonts w:ascii="Times New Roman" w:hAnsi="Times New Roman" w:hint="eastAsia"/>
          <w:bCs/>
          <w:sz w:val="24"/>
        </w:rPr>
        <w:t>本基金投资存托凭证的比例限制依照境内上市交易的股票执行；</w:t>
      </w:r>
    </w:p>
    <w:p w:rsidR="00502561" w:rsidRDefault="00331C93" w:rsidP="00331C93">
      <w:pPr>
        <w:autoSpaceDE w:val="0"/>
        <w:autoSpaceDN w:val="0"/>
        <w:adjustRightInd w:val="0"/>
        <w:snapToGrid w:val="0"/>
        <w:spacing w:line="360" w:lineRule="auto"/>
        <w:ind w:firstLineChars="200" w:firstLine="480"/>
        <w:rPr>
          <w:rFonts w:ascii="宋体" w:hAnsi="宋体"/>
          <w:szCs w:val="24"/>
        </w:rPr>
      </w:pPr>
      <w:r w:rsidRPr="00331C93">
        <w:rPr>
          <w:rFonts w:ascii="Times New Roman" w:hAnsi="Times New Roman"/>
          <w:bCs/>
          <w:sz w:val="24"/>
        </w:rPr>
        <w:t>8</w:t>
      </w:r>
      <w:r w:rsidRPr="00331C93">
        <w:rPr>
          <w:rFonts w:ascii="Times New Roman" w:hAnsi="Times New Roman" w:hint="eastAsia"/>
          <w:bCs/>
          <w:sz w:val="24"/>
        </w:rPr>
        <w:t>、</w:t>
      </w:r>
      <w:r w:rsidR="00D13B45">
        <w:rPr>
          <w:rFonts w:ascii="Times New Roman" w:hAnsi="Times New Roman"/>
          <w:sz w:val="24"/>
        </w:rPr>
        <w:t>法律法规或监管部门对上述比例限制另有规定的，从其规定。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3</w:t>
      </w:r>
      <w:r>
        <w:rPr>
          <w:rFonts w:ascii="Times New Roman" w:hAnsi="Times New Roman"/>
          <w:sz w:val="24"/>
        </w:rPr>
        <w:t>个月内使基金的投资组合比例符合基金合同的约定。在符合相关法律法规规定的前提下，除上述第</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项外，因证券市场波动、上市公司合并、基金规模变动、标的指数成分股调整、基金申购或赎回带来现金等非本基金管理人的因素致使基金的投资组合不符合上述规定的投资比例的，</w:t>
      </w:r>
      <w:r>
        <w:rPr>
          <w:rFonts w:ascii="Times New Roman" w:hAnsi="Times New Roman"/>
          <w:sz w:val="24"/>
        </w:rPr>
        <w:lastRenderedPageBreak/>
        <w:t>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若法律</w:t>
      </w:r>
      <w:proofErr w:type="gramEnd"/>
      <w:r>
        <w:rPr>
          <w:rFonts w:ascii="Times New Roman" w:hAnsi="Times New Roman"/>
          <w:sz w:val="24"/>
        </w:rPr>
        <w:t>法规或监管部门取消上述限制，履行适当程序后，本基金投资可不受上述规定限制。</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（十）禁止行为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、向他人贷款或者提供担保；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、买卖其他基金份额，但是国务院另有规定的除外；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、向基金管理人、基金托管人出资或者买卖基金管理人、基金托管人发行的股票或者债券；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、依照法律法规有关规定，由中国证监会规定禁止的其他活动。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对于因上述</w:t>
      </w:r>
      <w:r>
        <w:rPr>
          <w:rFonts w:ascii="Times New Roman" w:hAnsi="Times New Roman"/>
          <w:sz w:val="24"/>
        </w:rPr>
        <w:t>5</w:t>
      </w:r>
      <w:r>
        <w:rPr>
          <w:rFonts w:ascii="Times New Roman" w:hAnsi="Times New Roman"/>
          <w:sz w:val="24"/>
        </w:rPr>
        <w:t>、</w:t>
      </w:r>
      <w:r>
        <w:rPr>
          <w:rFonts w:ascii="Times New Roman" w:hAnsi="Times New Roman"/>
          <w:sz w:val="24"/>
        </w:rPr>
        <w:t xml:space="preserve">6 </w:t>
      </w:r>
      <w:r>
        <w:rPr>
          <w:rFonts w:ascii="Times New Roman" w:hAnsi="Times New Roman"/>
          <w:sz w:val="24"/>
        </w:rPr>
        <w:t>项情形导致无法投资的标的指数成份股或备选成份股，基金管理人将在严格控制跟踪误差的前提下，将结合使用其他合理方法进行适当替代。</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若法律</w:t>
      </w:r>
      <w:proofErr w:type="gramEnd"/>
      <w:r>
        <w:rPr>
          <w:rFonts w:ascii="Times New Roman" w:hAnsi="Times New Roman"/>
          <w:sz w:val="24"/>
        </w:rPr>
        <w:t>法规或监管部门取消上述禁止性规定，履行适当程序后，本基金投资可不受上述规定限制。</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（十一)基金管理人代表基金行使股东权利的处理原则及方法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、基金管理人按照国家有关规定代表基金独立行使股东权利，保护基金份额持有人的利益；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（十二）基金的融资、融券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本基金可以根据有关法律法规和政策的规定进行融资、融券。</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（十三）基金投资组合报告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w:t>
      </w:r>
      <w:r>
        <w:rPr>
          <w:rFonts w:ascii="Times New Roman" w:hAnsi="Times New Roman"/>
          <w:sz w:val="24"/>
        </w:rPr>
        <w:lastRenderedPageBreak/>
        <w:t>述或重大遗漏，并对其内容的真实性、准确性和完整性承担个别及连带责任。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283,598,670.36</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283,598,670.36</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5,132,383.19</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6,766.54</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288,737,820.09</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积极投资按行业分类的股票投资组合</w:t>
      </w:r>
    </w:p>
    <w:p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1,955,734.15</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0.68</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12,766.32</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F</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115,813.20</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2,084,313.67</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指数投资按行业分类的股票投资组合</w:t>
      </w:r>
    </w:p>
    <w:p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16,895,685.18</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5.86</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68,794,857.43</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23.85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14,196,317.84</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4.92</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14,752,271.37</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2,646,334.68</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0.92</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10,048,068.48</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3.48</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11,962,913.58</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4.15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133,150,499.21</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46.16</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8,515,948.92</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2.95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N</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551,460.00</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281,514,356.69</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97.60</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报告期末按行业分类的港股通投资股票投资组合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、报告期末按公允价值占基金资产净值比例大小排序的股票投资明细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报告期末指数投资按公允价值占基金资产净值比例大小排序的前十名股票投资明细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606,035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43,270,899.00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577,582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19,476,065.04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6.75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700,662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11,056,446.36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3.83</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伊利股份</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341,100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10,618,443.00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3.68</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长江电力</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492,540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9,328,707.60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1,793,151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8,929,891.98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3.10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656,945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6,950,478.10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三一重工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330,338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6,197,140.88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保利地产</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400,859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5,924,696.02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1,174,525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5,602,484.25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1.94</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报告期末积极投资按公允价值占基金资产净值比例大小排序的前五名股票投资明细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688106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金宏气体</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11,100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459,096.00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688558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w:t>
            </w:r>
            <w:proofErr w:type="gramStart"/>
            <w:r>
              <w:rPr>
                <w:rFonts w:ascii="Times New Roman" w:hAnsi="Times New Roman"/>
                <w:color w:val="000000"/>
                <w:kern w:val="0"/>
                <w:sz w:val="25"/>
                <w:szCs w:val="24"/>
              </w:rPr>
              <w:t>盛智科</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8,488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376,018.40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南新制药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5,031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252,606.51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688080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映</w:t>
            </w:r>
            <w:proofErr w:type="gramStart"/>
            <w:r>
              <w:rPr>
                <w:rFonts w:ascii="Times New Roman" w:hAnsi="Times New Roman"/>
                <w:color w:val="000000"/>
                <w:kern w:val="0"/>
                <w:sz w:val="25"/>
                <w:szCs w:val="24"/>
              </w:rPr>
              <w:t>翰</w:t>
            </w:r>
            <w:proofErr w:type="gramEnd"/>
            <w:r>
              <w:rPr>
                <w:rFonts w:ascii="Times New Roman" w:hAnsi="Times New Roman"/>
                <w:color w:val="000000"/>
                <w:kern w:val="0"/>
                <w:sz w:val="25"/>
                <w:szCs w:val="24"/>
              </w:rPr>
              <w:t>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2,233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193,779.74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688516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奥特维</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3,440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148,264.00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本基金本报告期末未持有债券。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11.1 </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11.2 </w:t>
      </w:r>
      <w:r>
        <w:rPr>
          <w:rFonts w:ascii="Times New Roman" w:hAnsi="Times New Roman"/>
          <w:sz w:val="24"/>
        </w:rPr>
        <w:t>本基金投资的前十名股票中，没有超出基金合同规定的备选股票库之外的股票。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11.3 </w:t>
      </w:r>
      <w:r>
        <w:rPr>
          <w:rFonts w:ascii="Times New Roman" w:hAnsi="Times New Roman"/>
          <w:sz w:val="24"/>
        </w:rPr>
        <w:t>其他资产构成</w:t>
      </w:r>
    </w:p>
    <w:p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5,747.05</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1,019.49</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6,766.54</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报告期末投资的股票存在流通受限情况的说明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11.5.1</w:t>
      </w:r>
      <w:r>
        <w:rPr>
          <w:rFonts w:ascii="Times New Roman" w:hAnsi="Times New Roman"/>
          <w:sz w:val="24"/>
        </w:rPr>
        <w:t>报告期末指数投资前十名股票中存在流通受限情况的说明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本基金本报告期末指数投资前十名股票中不存在流通受限情况。</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11.5.2</w:t>
      </w:r>
      <w:r>
        <w:rPr>
          <w:rFonts w:ascii="Times New Roman" w:hAnsi="Times New Roman"/>
          <w:sz w:val="24"/>
        </w:rPr>
        <w:t>报告期末积极投资前五名股票中存在流通受限情况的说明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688106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金宏气体</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459,096.00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南新制药</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252,606.51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688080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映</w:t>
            </w:r>
            <w:proofErr w:type="gramStart"/>
            <w:r>
              <w:rPr>
                <w:rFonts w:ascii="Times New Roman" w:hAnsi="Times New Roman"/>
                <w:color w:val="000000"/>
                <w:kern w:val="0"/>
                <w:sz w:val="25"/>
                <w:szCs w:val="24"/>
              </w:rPr>
              <w:t>翰</w:t>
            </w:r>
            <w:proofErr w:type="gramEnd"/>
            <w:r>
              <w:rPr>
                <w:rFonts w:ascii="Times New Roman" w:hAnsi="Times New Roman"/>
                <w:color w:val="000000"/>
                <w:kern w:val="0"/>
                <w:sz w:val="25"/>
                <w:szCs w:val="24"/>
              </w:rPr>
              <w:t>通</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193,779.74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688516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奥特维</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148,264.00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5" w:name="_Toc54104390"/>
      <w:r>
        <w:rPr>
          <w:rFonts w:ascii="Times New Roman" w:hAnsi="Times New Roman"/>
          <w:sz w:val="30"/>
        </w:rPr>
        <w:lastRenderedPageBreak/>
        <w:t>十二、基金的业绩</w:t>
      </w:r>
      <w:bookmarkEnd w:id="15"/>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-6.34%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-10.89%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26.69%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21.79%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4.90%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22.96%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20.51%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-6.48%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-8.36%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-3.27%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-5.38%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69.15%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65.33%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3.82%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-7.74%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-19.79%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-19.79%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bl>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rsidR="00502561" w:rsidRDefault="00D13B45">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p>
    <w:p w:rsidR="00502561" w:rsidRDefault="00D13B45">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rsidR="00502561" w:rsidRDefault="00D13B45">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25</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rsidR="00502561" w:rsidRDefault="00B45293">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extent cx="5585460" cy="3291840"/>
            <wp:effectExtent l="0" t="0" r="0" b="381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460" cy="3291840"/>
                    </a:xfrm>
                    <a:prstGeom prst="rect">
                      <a:avLst/>
                    </a:prstGeom>
                    <a:noFill/>
                    <a:ln>
                      <a:noFill/>
                    </a:ln>
                  </pic:spPr>
                </pic:pic>
              </a:graphicData>
            </a:graphic>
          </wp:inline>
        </w:drawing>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3</w:t>
      </w:r>
      <w:r>
        <w:rPr>
          <w:rFonts w:ascii="Times New Roman" w:hAnsi="Times New Roman"/>
          <w:sz w:val="24"/>
        </w:rPr>
        <w:t>个月。截至建仓期结束，本基金各项资产配置比例符合基金合同及招募说明书有关投资比例的约定。</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6" w:name="_Toc54104391"/>
      <w:r>
        <w:rPr>
          <w:rFonts w:ascii="Times New Roman" w:hAnsi="Times New Roman"/>
          <w:sz w:val="30"/>
        </w:rPr>
        <w:lastRenderedPageBreak/>
        <w:t>十三、基金的财产</w:t>
      </w:r>
      <w:bookmarkEnd w:id="16"/>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基金资产总值是指基金拥有的各类有价证券、银行存款本息、基金应收款项以及其他资产的价值总和。</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基金资产净值是指基金资产总值减去基金负债后的金额。</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（四）基金财产的保管与处分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基金财产的债权，不得与基金管理人、基金托管人固有财产的债务相</w:t>
      </w:r>
      <w:proofErr w:type="gramStart"/>
      <w:r>
        <w:rPr>
          <w:rFonts w:ascii="Times New Roman" w:hAnsi="Times New Roman"/>
          <w:sz w:val="24"/>
        </w:rPr>
        <w:t>抵销</w:t>
      </w:r>
      <w:proofErr w:type="gramEnd"/>
      <w:r>
        <w:rPr>
          <w:rFonts w:ascii="Times New Roman" w:hAnsi="Times New Roman"/>
          <w:sz w:val="24"/>
        </w:rPr>
        <w:t>；不同基金财产的债权债务，不得相互</w:t>
      </w:r>
      <w:proofErr w:type="gramStart"/>
      <w:r>
        <w:rPr>
          <w:rFonts w:ascii="Times New Roman" w:hAnsi="Times New Roman"/>
          <w:sz w:val="24"/>
        </w:rPr>
        <w:t>抵销</w:t>
      </w:r>
      <w:proofErr w:type="gramEnd"/>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7" w:name="_Toc54104392"/>
      <w:r>
        <w:rPr>
          <w:rFonts w:ascii="Times New Roman" w:hAnsi="Times New Roman"/>
          <w:sz w:val="30"/>
        </w:rPr>
        <w:lastRenderedPageBreak/>
        <w:t>十四、基金资产的估值</w:t>
      </w:r>
      <w:bookmarkEnd w:id="17"/>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基金资产的估值目的是客观、准确地反映基金相关金融资产的公允价值，并为基金份额提供计价依据。</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本基金的估值日为相关的证券交易场所的正常营业日，以及国家法律法规规定需要对外披露基金净值的非营业日。</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首次发行未上市的股票，采用估值技术确定公允价值，在估值技术难以可靠计量公允价值的情况下，按成本价估值；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送股、转增股、配股和公开增发新股等发行未上市的股票，按估值日在证券交易所上市的同一股票的市价进行估值；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首次公开发行有明确锁定期的股票，同一股票在交易所上市后，按估值日在证券交易所上市的同一股票的市价进行估值；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非公开发行的且在发行时明确一定期限锁定期的股票，按监管机构或行业协会有关规定确定公允价值。</w:t>
      </w:r>
    </w:p>
    <w:p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331C93" w:rsidRPr="00331C93">
        <w:rPr>
          <w:rFonts w:ascii="Times New Roman" w:hAnsi="Times New Roman" w:hint="eastAsia"/>
          <w:bCs/>
          <w:sz w:val="24"/>
        </w:rPr>
        <w:t>本基金投资存托凭证的估值核算依照境内上市交易的股票执行。</w:t>
      </w:r>
    </w:p>
    <w:p w:rsidR="00502561" w:rsidRDefault="00331C93" w:rsidP="00331C93">
      <w:pPr>
        <w:autoSpaceDE w:val="0"/>
        <w:autoSpaceDN w:val="0"/>
        <w:adjustRightInd w:val="0"/>
        <w:snapToGrid w:val="0"/>
        <w:spacing w:line="360" w:lineRule="auto"/>
        <w:ind w:firstLineChars="200" w:firstLine="480"/>
        <w:rPr>
          <w:rFonts w:ascii="宋体" w:hAnsi="宋体"/>
          <w:szCs w:val="24"/>
        </w:rPr>
      </w:pPr>
      <w:r w:rsidRPr="00331C93">
        <w:rPr>
          <w:rFonts w:ascii="Times New Roman" w:hAnsi="Times New Roman" w:hint="eastAsia"/>
          <w:bCs/>
          <w:sz w:val="24"/>
        </w:rPr>
        <w:t>（</w:t>
      </w:r>
      <w:r w:rsidRPr="00331C93">
        <w:rPr>
          <w:rFonts w:ascii="Times New Roman" w:hAnsi="Times New Roman"/>
          <w:bCs/>
          <w:sz w:val="24"/>
        </w:rPr>
        <w:t>4</w:t>
      </w:r>
      <w:r w:rsidRPr="00331C93">
        <w:rPr>
          <w:rFonts w:ascii="Times New Roman" w:hAnsi="Times New Roman" w:hint="eastAsia"/>
          <w:bCs/>
          <w:sz w:val="24"/>
        </w:rPr>
        <w:t>）</w:t>
      </w:r>
      <w:r w:rsidR="00D13B45">
        <w:rPr>
          <w:rFonts w:ascii="Times New Roman" w:hAnsi="Times New Roman"/>
          <w:sz w:val="24"/>
        </w:rPr>
        <w:t>在任何情况下，基金管理人如采用本项第（</w:t>
      </w:r>
      <w:r w:rsidR="00D13B45">
        <w:rPr>
          <w:rFonts w:ascii="Times New Roman" w:hAnsi="Times New Roman"/>
          <w:sz w:val="24"/>
        </w:rPr>
        <w:t>1</w:t>
      </w:r>
      <w:r w:rsidR="00D13B45">
        <w:rPr>
          <w:rFonts w:ascii="Times New Roman" w:hAnsi="Times New Roman"/>
          <w:sz w:val="24"/>
        </w:rPr>
        <w:t>）－（</w:t>
      </w:r>
      <w:r>
        <w:rPr>
          <w:rFonts w:ascii="Times New Roman" w:hAnsi="Times New Roman"/>
          <w:sz w:val="24"/>
        </w:rPr>
        <w:t>3</w:t>
      </w:r>
      <w:r w:rsidR="00D13B45">
        <w:rPr>
          <w:rFonts w:ascii="Times New Roman" w:hAnsi="Times New Roman"/>
          <w:sz w:val="24"/>
        </w:rPr>
        <w:t>）小项规定的方法对基金资产进行估值，均应被认为采用了适当的估值方法。但是，如果基金管理人认为按本项第（</w:t>
      </w:r>
      <w:r w:rsidR="00D13B45">
        <w:rPr>
          <w:rFonts w:ascii="Times New Roman" w:hAnsi="Times New Roman"/>
          <w:sz w:val="24"/>
        </w:rPr>
        <w:t>1</w:t>
      </w:r>
      <w:r w:rsidR="00D13B45">
        <w:rPr>
          <w:rFonts w:ascii="Times New Roman" w:hAnsi="Times New Roman"/>
          <w:sz w:val="24"/>
        </w:rPr>
        <w:t>）－（</w:t>
      </w:r>
      <w:r>
        <w:rPr>
          <w:rFonts w:ascii="Times New Roman" w:hAnsi="Times New Roman"/>
          <w:sz w:val="24"/>
        </w:rPr>
        <w:t>3</w:t>
      </w:r>
      <w:r w:rsidR="00D13B45">
        <w:rPr>
          <w:rFonts w:ascii="Times New Roman" w:hAnsi="Times New Roman"/>
          <w:sz w:val="24"/>
        </w:rPr>
        <w:t>）小项规定的方法对基金资产进行估值不能客观反映其公允价值的，基金管理人可根据具体情况，并与基金托管人商定后，按最能反映公允</w:t>
      </w:r>
      <w:r w:rsidR="00D13B45">
        <w:rPr>
          <w:rFonts w:ascii="Times New Roman" w:hAnsi="Times New Roman"/>
          <w:sz w:val="24"/>
        </w:rPr>
        <w:lastRenderedPageBreak/>
        <w:t>价值的价格估值。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331C93">
        <w:rPr>
          <w:rFonts w:ascii="Times New Roman" w:hAnsi="Times New Roman"/>
          <w:sz w:val="24"/>
        </w:rPr>
        <w:t>5</w:t>
      </w:r>
      <w:r>
        <w:rPr>
          <w:rFonts w:ascii="Times New Roman" w:hAnsi="Times New Roman"/>
          <w:sz w:val="24"/>
        </w:rPr>
        <w:t>）国家有最新规定的，按其规定进行估值。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、权证估值办法：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w:t>
      </w:r>
      <w:r>
        <w:rPr>
          <w:rFonts w:ascii="Times New Roman" w:hAnsi="Times New Roman"/>
          <w:sz w:val="24"/>
        </w:rPr>
        <w:lastRenderedPageBreak/>
        <w:t>经济环境发生了重大变化的，可参考类似投资品种的现行市价及重大变化因素，调整最近交易市价，确定公允价格。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、其他有价证券等资产按国家有关规定进行估值。</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给予赔偿，承担赔偿责任。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w:t>
      </w:r>
      <w:r>
        <w:rPr>
          <w:rFonts w:ascii="Times New Roman" w:hAnsi="Times New Roman"/>
          <w:sz w:val="24"/>
        </w:rPr>
        <w:lastRenderedPageBreak/>
        <w:t>现有技术水平不能预见、不能避免、不能克服，则属不可抗力，按照下述规定执行。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w:t>
      </w:r>
      <w:proofErr w:type="gramStart"/>
      <w:r>
        <w:rPr>
          <w:rFonts w:ascii="Times New Roman" w:hAnsi="Times New Roman"/>
          <w:sz w:val="24"/>
        </w:rPr>
        <w:t>不</w:t>
      </w:r>
      <w:proofErr w:type="gramEnd"/>
      <w:r>
        <w:rPr>
          <w:rFonts w:ascii="Times New Roman" w:hAnsi="Times New Roman"/>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）如果出现差错的当事人未按规定对受损方进行赔偿，并且依据法律法规、基金合同或其他规定，基金管理人自行或依据法院判决、仲裁裁决对受损方承担了赔偿责任，</w:t>
      </w:r>
      <w:proofErr w:type="gramStart"/>
      <w:r>
        <w:rPr>
          <w:rFonts w:ascii="Times New Roman" w:hAnsi="Times New Roman"/>
          <w:sz w:val="24"/>
        </w:rPr>
        <w:t>则基金</w:t>
      </w:r>
      <w:proofErr w:type="gramEnd"/>
      <w:r>
        <w:rPr>
          <w:rFonts w:ascii="Times New Roman" w:hAnsi="Times New Roman"/>
          <w:sz w:val="24"/>
        </w:rPr>
        <w:t>管理人有权向有责任的当事人进行追索，并有权要求其赔偿或补偿由此发生的费用和遭受的损失；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）按法律法规规定的其他原则处理差错。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、基金份额净值差错处理的原则和方法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w:t>
      </w:r>
      <w:proofErr w:type="gramStart"/>
      <w:r>
        <w:rPr>
          <w:rFonts w:ascii="Times New Roman" w:hAnsi="Times New Roman"/>
          <w:sz w:val="24"/>
        </w:rPr>
        <w:t>当错误</w:t>
      </w:r>
      <w:proofErr w:type="gramEnd"/>
      <w:r>
        <w:rPr>
          <w:rFonts w:ascii="Times New Roman" w:hAnsi="Times New Roman"/>
          <w:sz w:val="24"/>
        </w:rPr>
        <w:t>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proofErr w:type="gramStart"/>
      <w:r>
        <w:rPr>
          <w:rFonts w:ascii="Times New Roman" w:hAnsi="Times New Roman"/>
          <w:sz w:val="24"/>
        </w:rPr>
        <w:t>若基金</w:t>
      </w:r>
      <w:proofErr w:type="gramEnd"/>
      <w:r>
        <w:rPr>
          <w:rFonts w:ascii="Times New Roman" w:hAnsi="Times New Roman"/>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③ </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由于基金管理人提供的信息错误（包括但不限于基金申购或赎回金额等），进而导致基金份额净值计算错误而引起的基金份额持有人和基金的损失，由基金管理人负责赔付。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、基金投资所涉及的证券交易所遇法定节假日或因其他原因暂停营业时；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、中国证监会和基金合同认定的其他情形。</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基金份额净值的计算精确到</w:t>
      </w:r>
      <w:r>
        <w:rPr>
          <w:rFonts w:ascii="Times New Roman" w:hAnsi="Times New Roman"/>
          <w:sz w:val="24"/>
        </w:rPr>
        <w:t>0.001</w:t>
      </w:r>
      <w:r>
        <w:rPr>
          <w:rFonts w:ascii="Times New Roman" w:hAnsi="Times New Roman"/>
          <w:sz w:val="24"/>
        </w:rPr>
        <w:t>元，小数点后第四位四舍五入。国家另有规定的，从其规定。</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（九）特殊情形的处理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、基金管理人或基金托管人按股票估值方法的第（</w:t>
      </w:r>
      <w:r w:rsidR="00331C93">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8" w:name="_Toc54104393"/>
      <w:r>
        <w:rPr>
          <w:rFonts w:ascii="Times New Roman" w:hAnsi="Times New Roman"/>
          <w:sz w:val="30"/>
        </w:rPr>
        <w:lastRenderedPageBreak/>
        <w:t>十五、基金的收益与分配</w:t>
      </w:r>
      <w:bookmarkEnd w:id="18"/>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、买卖证券差价；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、基金投资所得红利、股息、债券利息；</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、银行存款利息；</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、已实现的其他合法收入。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因运用基金财产带来的成本或费用的节约应计入收益。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（二）基金净收益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基金净收益为基金利润扣除按国家有关规定可以在基金利润中扣除的费用后的余额。</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（三）收益分配原则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本基金收益分配应遵循下列原则：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、本基金的每份基金份额享有同等分配权；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、收益分配时所发生的银行转账或其他手续费用由基金投资者自行承担；</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合同生效日起不满</w:t>
      </w:r>
      <w:r>
        <w:rPr>
          <w:rFonts w:ascii="Times New Roman" w:hAnsi="Times New Roman"/>
          <w:sz w:val="24"/>
        </w:rPr>
        <w:t>3</w:t>
      </w:r>
      <w:r>
        <w:rPr>
          <w:rFonts w:ascii="Times New Roman" w:hAnsi="Times New Roman"/>
          <w:sz w:val="24"/>
        </w:rPr>
        <w:t>个月可不进行收益分配；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、当基金净值增长率超过标的指数同期增长率达到</w:t>
      </w:r>
      <w:r>
        <w:rPr>
          <w:rFonts w:ascii="Times New Roman" w:hAnsi="Times New Roman"/>
          <w:sz w:val="24"/>
        </w:rPr>
        <w:t>1%</w:t>
      </w:r>
      <w:r>
        <w:rPr>
          <w:rFonts w:ascii="Times New Roman" w:hAnsi="Times New Roman"/>
          <w:sz w:val="24"/>
        </w:rPr>
        <w:t>以上时，可进行收益分配；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、本基金收益每年最多分配</w:t>
      </w:r>
      <w:r>
        <w:rPr>
          <w:rFonts w:ascii="Times New Roman" w:hAnsi="Times New Roman"/>
          <w:sz w:val="24"/>
        </w:rPr>
        <w:t>12</w:t>
      </w:r>
      <w:r>
        <w:rPr>
          <w:rFonts w:ascii="Times New Roman" w:hAnsi="Times New Roman"/>
          <w:sz w:val="24"/>
        </w:rPr>
        <w:t>次，每次基金收益分配比例不低于可供分配利润的</w:t>
      </w:r>
      <w:r>
        <w:rPr>
          <w:rFonts w:ascii="Times New Roman" w:hAnsi="Times New Roman"/>
          <w:sz w:val="24"/>
        </w:rPr>
        <w:t>5%</w:t>
      </w:r>
      <w:r>
        <w:rPr>
          <w:rFonts w:ascii="Times New Roman" w:hAnsi="Times New Roman"/>
          <w:sz w:val="24"/>
        </w:rPr>
        <w:t>；基金的收益分配比例应当以收益分配基准日可供分配利润为基准计算。收益分配基准日可供分配利润</w:t>
      </w:r>
      <w:proofErr w:type="gramStart"/>
      <w:r>
        <w:rPr>
          <w:rFonts w:ascii="Times New Roman" w:hAnsi="Times New Roman"/>
          <w:sz w:val="24"/>
        </w:rPr>
        <w:t>指收益</w:t>
      </w:r>
      <w:proofErr w:type="gramEnd"/>
      <w:r>
        <w:rPr>
          <w:rFonts w:ascii="Times New Roman" w:hAnsi="Times New Roman"/>
          <w:sz w:val="24"/>
        </w:rPr>
        <w:t>分配基准日资产负债表中未分配利润与未分配利润中已实现利润的孰低数；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、本基金收益分配仅采取现金分红一种收益分配方式；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、法律法规或监管机构另有规定的，从其规定。</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（四）基金收益分配数额的确定原则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、在收益评价日，基金管理人计算基金净值增长率和标的指数同期增长率。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基金净值增长率为收益</w:t>
      </w:r>
      <w:proofErr w:type="gramStart"/>
      <w:r>
        <w:rPr>
          <w:rFonts w:ascii="Times New Roman" w:hAnsi="Times New Roman"/>
          <w:sz w:val="24"/>
        </w:rPr>
        <w:t>评价日</w:t>
      </w:r>
      <w:proofErr w:type="gramEnd"/>
      <w:r>
        <w:rPr>
          <w:rFonts w:ascii="Times New Roman" w:hAnsi="Times New Roman"/>
          <w:sz w:val="24"/>
        </w:rPr>
        <w:t>基金份额净值与基金上市前一日基金份额净值之比减去</w:t>
      </w:r>
      <w:r>
        <w:rPr>
          <w:rFonts w:ascii="Times New Roman" w:hAnsi="Times New Roman"/>
          <w:sz w:val="24"/>
        </w:rPr>
        <w:t>1</w:t>
      </w:r>
      <w:r>
        <w:rPr>
          <w:rFonts w:ascii="Times New Roman" w:hAnsi="Times New Roman"/>
          <w:sz w:val="24"/>
        </w:rPr>
        <w:t>乘以</w:t>
      </w:r>
      <w:r>
        <w:rPr>
          <w:rFonts w:ascii="Times New Roman" w:hAnsi="Times New Roman"/>
          <w:sz w:val="24"/>
        </w:rPr>
        <w:t>100%</w:t>
      </w:r>
      <w:r>
        <w:rPr>
          <w:rFonts w:ascii="Times New Roman" w:hAnsi="Times New Roman"/>
          <w:sz w:val="24"/>
        </w:rPr>
        <w:t>（期间如发生基金份额折算，则以基金份额折算日为初始日重新</w:t>
      </w:r>
      <w:r>
        <w:rPr>
          <w:rFonts w:ascii="Times New Roman" w:hAnsi="Times New Roman"/>
          <w:sz w:val="24"/>
        </w:rPr>
        <w:lastRenderedPageBreak/>
        <w:t>计算）；标的指数同期增长率为收益评价日标的指数</w:t>
      </w:r>
      <w:proofErr w:type="gramStart"/>
      <w:r>
        <w:rPr>
          <w:rFonts w:ascii="Times New Roman" w:hAnsi="Times New Roman"/>
          <w:sz w:val="24"/>
        </w:rPr>
        <w:t>收盘值</w:t>
      </w:r>
      <w:proofErr w:type="gramEnd"/>
      <w:r>
        <w:rPr>
          <w:rFonts w:ascii="Times New Roman" w:hAnsi="Times New Roman"/>
          <w:sz w:val="24"/>
        </w:rPr>
        <w:t>与基金上市前一日标的指数</w:t>
      </w:r>
      <w:proofErr w:type="gramStart"/>
      <w:r>
        <w:rPr>
          <w:rFonts w:ascii="Times New Roman" w:hAnsi="Times New Roman"/>
          <w:sz w:val="24"/>
        </w:rPr>
        <w:t>收盘值</w:t>
      </w:r>
      <w:proofErr w:type="gramEnd"/>
      <w:r>
        <w:rPr>
          <w:rFonts w:ascii="Times New Roman" w:hAnsi="Times New Roman"/>
          <w:sz w:val="24"/>
        </w:rPr>
        <w:t>之比减去</w:t>
      </w:r>
      <w:r>
        <w:rPr>
          <w:rFonts w:ascii="Times New Roman" w:hAnsi="Times New Roman"/>
          <w:sz w:val="24"/>
        </w:rPr>
        <w:t>1</w:t>
      </w:r>
      <w:r>
        <w:rPr>
          <w:rFonts w:ascii="Times New Roman" w:hAnsi="Times New Roman"/>
          <w:sz w:val="24"/>
        </w:rPr>
        <w:t>乘以</w:t>
      </w:r>
      <w:r>
        <w:rPr>
          <w:rFonts w:ascii="Times New Roman" w:hAnsi="Times New Roman"/>
          <w:sz w:val="24"/>
        </w:rPr>
        <w:t>100%</w:t>
      </w:r>
      <w:r>
        <w:rPr>
          <w:rFonts w:ascii="Times New Roman" w:hAnsi="Times New Roman"/>
          <w:sz w:val="24"/>
        </w:rPr>
        <w:t>（期间如发生基金份额折算，则以基金份额折算日为初始日重新计算）。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基金管理人将以此计算截至收益</w:t>
      </w:r>
      <w:proofErr w:type="gramStart"/>
      <w:r>
        <w:rPr>
          <w:rFonts w:ascii="Times New Roman" w:hAnsi="Times New Roman"/>
          <w:sz w:val="24"/>
        </w:rPr>
        <w:t>评价日</w:t>
      </w:r>
      <w:proofErr w:type="gramEnd"/>
      <w:r>
        <w:rPr>
          <w:rFonts w:ascii="Times New Roman" w:hAnsi="Times New Roman"/>
          <w:sz w:val="24"/>
        </w:rPr>
        <w:t>基金净值增长率与标的指数净值增长率的差额，当差额超过</w:t>
      </w:r>
      <w:r>
        <w:rPr>
          <w:rFonts w:ascii="Times New Roman" w:hAnsi="Times New Roman"/>
          <w:sz w:val="24"/>
        </w:rPr>
        <w:t>1%</w:t>
      </w:r>
      <w:r>
        <w:rPr>
          <w:rFonts w:ascii="Times New Roman" w:hAnsi="Times New Roman"/>
          <w:sz w:val="24"/>
        </w:rPr>
        <w:t>时，基金管理人有权进行收益分配。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、计算截至收益分配基准日本基金的可供分配利润，并根据前述原则确定收益分配比例及收益分配数额。</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基金收益分配方案中应载明基金收益分配对象、分配时间、分配数额及比例、分配方式、支付方式等内容。</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（六）收益分配的时间和程序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、本基金收益分配方案由基金管理人拟定、由基金托管人复核，依照《信息披露办法》的有关规定在指定媒介公告。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、在分配方案公布后</w:t>
      </w:r>
      <w:r>
        <w:rPr>
          <w:rFonts w:ascii="Times New Roman" w:hAnsi="Times New Roman"/>
          <w:sz w:val="24"/>
        </w:rPr>
        <w:t>(</w:t>
      </w:r>
      <w:r>
        <w:rPr>
          <w:rFonts w:ascii="Times New Roman" w:hAnsi="Times New Roman"/>
          <w:sz w:val="24"/>
        </w:rPr>
        <w:t>依据具体方案的规定</w:t>
      </w:r>
      <w:r>
        <w:rPr>
          <w:rFonts w:ascii="Times New Roman" w:hAnsi="Times New Roman"/>
          <w:sz w:val="24"/>
        </w:rPr>
        <w:t>)</w:t>
      </w:r>
      <w:r>
        <w:rPr>
          <w:rFonts w:ascii="Times New Roman" w:hAnsi="Times New Roman"/>
          <w:sz w:val="24"/>
        </w:rPr>
        <w:t>，基金管理人就支付的现金红利向基金托管人发送划款指令，基金托管人按照基金管理人的指令及时进行分红资金的划付。</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19" w:name="_Toc54104394"/>
      <w:r>
        <w:rPr>
          <w:rFonts w:ascii="Times New Roman" w:hAnsi="Times New Roman"/>
          <w:sz w:val="30"/>
        </w:rPr>
        <w:lastRenderedPageBreak/>
        <w:t>十六、基金的费用与税收</w:t>
      </w:r>
      <w:bookmarkEnd w:id="19"/>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、基金合同生效后的信息披露费用；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、基金上市费及年费；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、基金收益分配中发生的费用；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、基金份额持有人大会费用；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、基金合同生效后与基金有关的会计师费和律师费；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、基金的证券交易费用；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、基金财产拨</w:t>
      </w:r>
      <w:proofErr w:type="gramStart"/>
      <w:r>
        <w:rPr>
          <w:rFonts w:ascii="Times New Roman" w:hAnsi="Times New Roman"/>
          <w:sz w:val="24"/>
        </w:rPr>
        <w:t>划支付</w:t>
      </w:r>
      <w:proofErr w:type="gramEnd"/>
      <w:r>
        <w:rPr>
          <w:rFonts w:ascii="Times New Roman" w:hAnsi="Times New Roman"/>
          <w:sz w:val="24"/>
        </w:rPr>
        <w:t>的银行费用；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、标的指数许可使用费；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、按照国家有关规定可以在基金财产中列支的其他费用。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上述基金费用由基金管理人在法律法规规定的范围内按照合理价格确定，法律法规另有规定时从其规定。</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在通常情况下，基金管理费按前一日基金资产净值的年费率计提。计算方法如下：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当年天数，本基金年管理费率为</w:t>
      </w:r>
      <w:r>
        <w:rPr>
          <w:rFonts w:ascii="Times New Roman" w:hAnsi="Times New Roman"/>
          <w:sz w:val="24"/>
        </w:rPr>
        <w:t>0.5%</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个工作日内从基金财产中一次性支付给基金管理人，若遇法定节假日、休息日，支付日期顺延。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在通常情况下，基金托管费按前一日基金资产净值的年费率计提。计算方法如下：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当年天数，本基金年托管费率为</w:t>
      </w:r>
      <w:r>
        <w:rPr>
          <w:rFonts w:ascii="Times New Roman" w:hAnsi="Times New Roman"/>
          <w:sz w:val="24"/>
        </w:rPr>
        <w:t>0.1%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H</w:t>
      </w:r>
      <w:r>
        <w:rPr>
          <w:rFonts w:ascii="Times New Roman" w:hAnsi="Times New Roman"/>
          <w:sz w:val="24"/>
        </w:rPr>
        <w:t>为每日应计提的基金托管费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个工作日内从基金财产中一次性支付给基金托管人，若遇法定节假日、休息日，支付日期顺延。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）标的指数许可使用费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在通常情况下，基金标的指数许可使用费按前一日基金资产净值的年费率计提。计算方法如下：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标的指数许可使用费年费率</w:t>
      </w:r>
      <w:r>
        <w:rPr>
          <w:rFonts w:ascii="Times New Roman" w:hAnsi="Times New Roman"/>
          <w:sz w:val="24"/>
        </w:rPr>
        <w:t>÷</w:t>
      </w:r>
      <w:r>
        <w:rPr>
          <w:rFonts w:ascii="Times New Roman" w:hAnsi="Times New Roman"/>
          <w:sz w:val="24"/>
        </w:rPr>
        <w:t>当年天数，根据基金管理人与标的指数供应商签订的相应指数许可协议的规定，本基金标的指数许可使用费年费率为</w:t>
      </w:r>
      <w:r>
        <w:rPr>
          <w:rFonts w:ascii="Times New Roman" w:hAnsi="Times New Roman"/>
          <w:sz w:val="24"/>
        </w:rPr>
        <w:t>0.03%</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为每日应计提的基金标的指数许可使用费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自基金合同生效之日起，基金标的指数许可使用费每日计提，按季支付。根据基金管理人与标的指数供应商签订的相应指数许可协议的规定，当季日均基金资产净值大于人民币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标的指数许可使用费的收取下限为每季（自然季度）人民币</w:t>
      </w:r>
      <w:r>
        <w:rPr>
          <w:rFonts w:ascii="Times New Roman" w:hAnsi="Times New Roman"/>
          <w:sz w:val="24"/>
        </w:rPr>
        <w:t>35,000</w:t>
      </w:r>
      <w:r>
        <w:rPr>
          <w:rFonts w:ascii="Times New Roman" w:hAnsi="Times New Roman"/>
          <w:sz w:val="24"/>
        </w:rPr>
        <w:t>元，基金当季存续期间不足一季度的，根据实际存续天数按比例计算。当季日均基金资产净值小于或等于人民币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无许可使用费的收取下限。由基金管理人向基金托管人发送基金标的指数许可使用费划付指令，经基金托管人复核后于每年</w:t>
      </w:r>
      <w:r>
        <w:rPr>
          <w:rFonts w:ascii="Times New Roman" w:hAnsi="Times New Roman"/>
          <w:sz w:val="24"/>
        </w:rPr>
        <w:t>1</w:t>
      </w:r>
      <w:r>
        <w:rPr>
          <w:rFonts w:ascii="Times New Roman" w:hAnsi="Times New Roman"/>
          <w:sz w:val="24"/>
        </w:rPr>
        <w:t>月，</w:t>
      </w:r>
      <w:r>
        <w:rPr>
          <w:rFonts w:ascii="Times New Roman" w:hAnsi="Times New Roman"/>
          <w:sz w:val="24"/>
        </w:rPr>
        <w:t>4</w:t>
      </w:r>
      <w:r>
        <w:rPr>
          <w:rFonts w:ascii="Times New Roman" w:hAnsi="Times New Roman"/>
          <w:sz w:val="24"/>
        </w:rPr>
        <w:t>月，</w:t>
      </w:r>
      <w:r>
        <w:rPr>
          <w:rFonts w:ascii="Times New Roman" w:hAnsi="Times New Roman"/>
          <w:sz w:val="24"/>
        </w:rPr>
        <w:t>7</w:t>
      </w:r>
      <w:r>
        <w:rPr>
          <w:rFonts w:ascii="Times New Roman" w:hAnsi="Times New Roman"/>
          <w:sz w:val="24"/>
        </w:rPr>
        <w:t>月，</w:t>
      </w:r>
      <w:r>
        <w:rPr>
          <w:rFonts w:ascii="Times New Roman" w:hAnsi="Times New Roman"/>
          <w:sz w:val="24"/>
        </w:rPr>
        <w:t>10</w:t>
      </w:r>
      <w:r>
        <w:rPr>
          <w:rFonts w:ascii="Times New Roman" w:hAnsi="Times New Roman"/>
          <w:sz w:val="24"/>
        </w:rPr>
        <w:t>月首日起</w:t>
      </w:r>
      <w:r>
        <w:rPr>
          <w:rFonts w:ascii="Times New Roman" w:hAnsi="Times New Roman"/>
          <w:sz w:val="24"/>
        </w:rPr>
        <w:t>3</w:t>
      </w:r>
      <w:r>
        <w:rPr>
          <w:rFonts w:ascii="Times New Roman" w:hAnsi="Times New Roman"/>
          <w:sz w:val="24"/>
        </w:rPr>
        <w:t>个工作日内将上季度标的指数许可使用费从基金财产中一次性支付，若遇法定节假日、休息日，支付日期顺延。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）除管理费和托管费之外的基金费用由基金托管人根据其他有关法律法规及相应协议的规定，按费用支出金额支付，列入或摊入当期基金费用。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（四）基金管理费和托管费的调整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w:t>
      </w:r>
      <w:r>
        <w:rPr>
          <w:rFonts w:ascii="Times New Roman" w:hAnsi="Times New Roman"/>
          <w:sz w:val="24"/>
        </w:rPr>
        <w:t>2</w:t>
      </w:r>
      <w:r>
        <w:rPr>
          <w:rFonts w:ascii="Times New Roman" w:hAnsi="Times New Roman"/>
          <w:sz w:val="24"/>
        </w:rPr>
        <w:t>日在指定媒介上刊登公告。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基金和基金份额持有人根据国家法律法规的规定，履行纳税义务。</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0" w:name="_Toc54104395"/>
      <w:r>
        <w:rPr>
          <w:rFonts w:ascii="Times New Roman" w:hAnsi="Times New Roman"/>
          <w:sz w:val="30"/>
        </w:rPr>
        <w:lastRenderedPageBreak/>
        <w:t>十七、基金的会计与审计</w:t>
      </w:r>
      <w:bookmarkEnd w:id="20"/>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（二）基金的审计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、基金管理人聘请具有证券、期货相关从业资格的会计师事务所及其注册会计师对本基金年度财务报表及其他规定事项进行审计。会计师事务所及其注册会计师与基金管理人、基金托管人相互独立。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w:t>
      </w:r>
      <w:r>
        <w:rPr>
          <w:rFonts w:ascii="Times New Roman" w:hAnsi="Times New Roman"/>
          <w:sz w:val="24"/>
        </w:rPr>
        <w:t>(</w:t>
      </w:r>
      <w:r>
        <w:rPr>
          <w:rFonts w:ascii="Times New Roman" w:hAnsi="Times New Roman"/>
          <w:sz w:val="24"/>
        </w:rPr>
        <w:t>或基金托管人</w:t>
      </w:r>
      <w:r>
        <w:rPr>
          <w:rFonts w:ascii="Times New Roman" w:hAnsi="Times New Roman"/>
          <w:sz w:val="24"/>
        </w:rPr>
        <w:t>)</w:t>
      </w:r>
      <w:r>
        <w:rPr>
          <w:rFonts w:ascii="Times New Roman" w:hAnsi="Times New Roman"/>
          <w:sz w:val="24"/>
        </w:rPr>
        <w:t>认为有充足理由更换会计师事务所，经基金托管人</w:t>
      </w:r>
      <w:r>
        <w:rPr>
          <w:rFonts w:ascii="Times New Roman" w:hAnsi="Times New Roman"/>
          <w:sz w:val="24"/>
        </w:rPr>
        <w:t>(</w:t>
      </w:r>
      <w:r>
        <w:rPr>
          <w:rFonts w:ascii="Times New Roman" w:hAnsi="Times New Roman"/>
          <w:sz w:val="24"/>
        </w:rPr>
        <w:t>或基金管理人</w:t>
      </w:r>
      <w:r>
        <w:rPr>
          <w:rFonts w:ascii="Times New Roman" w:hAnsi="Times New Roman"/>
          <w:sz w:val="24"/>
        </w:rPr>
        <w:t>)</w:t>
      </w:r>
      <w:r>
        <w:rPr>
          <w:rFonts w:ascii="Times New Roman" w:hAnsi="Times New Roman"/>
          <w:sz w:val="24"/>
        </w:rPr>
        <w:t>同意后可以更换。更换会计师事务所需按照《信息披露办法》的有关规定在指定媒介公告。</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1" w:name="_Toc54104396"/>
      <w:r>
        <w:rPr>
          <w:rFonts w:ascii="Times New Roman" w:hAnsi="Times New Roman"/>
          <w:sz w:val="30"/>
        </w:rPr>
        <w:lastRenderedPageBreak/>
        <w:t>十八、基金的信息披露</w:t>
      </w:r>
      <w:bookmarkEnd w:id="21"/>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本基金的信息披露应符合《基金法》、《运作办法》、《信息披露办法》、《流动性规定》、基金合同及其他有关规定。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本基金信息披露义务人承诺公开披露的基金信息，不得有下列行为：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、诋毁其他基金管理人、基金托管人或者基金份额销售机构；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本基金公开披露的信息应采用中文文本。如同时采用外文文本的，基金信息披露义务人应保证不同文本的内容一致。不同文本之间发生歧义的，以中文文本为准。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（一）公开披露的基金信息</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基金募集申请经中国证监会核准后，基金管理人在基金份额发售</w:t>
      </w:r>
      <w:r>
        <w:rPr>
          <w:rFonts w:ascii="Times New Roman" w:hAnsi="Times New Roman"/>
          <w:sz w:val="24"/>
        </w:rPr>
        <w:t>3</w:t>
      </w:r>
      <w:r>
        <w:rPr>
          <w:rFonts w:ascii="Times New Roman" w:hAnsi="Times New Roman"/>
          <w:sz w:val="24"/>
        </w:rPr>
        <w:t>日前，将招募说明书、基金合同摘要登载在指定报刊和网站上；基金管理人、基金托管人应当将基金合同、托管协议登载在网站上。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招募说明书应当最大限度地披露影响基金投资者决策的全部事项，说明基</w:t>
      </w:r>
      <w:r>
        <w:rPr>
          <w:rFonts w:ascii="Times New Roman" w:hAnsi="Times New Roman"/>
          <w:sz w:val="24"/>
        </w:rPr>
        <w:lastRenderedPageBreak/>
        <w:t>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托管协议是界定基金托管人和基金管理人在基金财产保管及基金运作监督等活动中的权利、义务关系的法律文件。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基金管理人应当在基金合同生效的次日在指定报刊和网站上登载基金合同生效公告。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、基金开始申购、赎回公告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基金管理人应于申购开始日、赎回开始日前</w:t>
      </w:r>
      <w:r>
        <w:rPr>
          <w:rFonts w:ascii="Times New Roman" w:hAnsi="Times New Roman"/>
          <w:sz w:val="24"/>
        </w:rPr>
        <w:t>2</w:t>
      </w:r>
      <w:r>
        <w:rPr>
          <w:rFonts w:ascii="Times New Roman" w:hAnsi="Times New Roman"/>
          <w:sz w:val="24"/>
        </w:rPr>
        <w:t>日在指定报刊和网站上公告。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、基金份额上市交易公告书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基金份额获准在证券交易所上市交易的，基金管理人应当在基金份额上市交易</w:t>
      </w:r>
      <w:r>
        <w:rPr>
          <w:rFonts w:ascii="Times New Roman" w:hAnsi="Times New Roman"/>
          <w:sz w:val="24"/>
        </w:rPr>
        <w:t>3</w:t>
      </w:r>
      <w:r>
        <w:rPr>
          <w:rFonts w:ascii="Times New Roman" w:hAnsi="Times New Roman"/>
          <w:sz w:val="24"/>
        </w:rPr>
        <w:t>个工作日前，将基金份额上市交易公告书登载在指定报刊和网站上。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、基金净值信息公告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本基金合同生效后，在开始办理基金份额申购或者赎回前，基金管理人应当至少每周在指定网站披露一次基金份额净值和基金份额累计净值。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w:t>
      </w:r>
      <w:r>
        <w:rPr>
          <w:rFonts w:ascii="Times New Roman" w:hAnsi="Times New Roman"/>
          <w:sz w:val="24"/>
        </w:rPr>
        <w:lastRenderedPageBreak/>
        <w:t>次日，通过指定网站、申购赎回代理机构网站或者营业网点披露开放日的基金份额净值和基金份额累计净值。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、申购赎回清单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在开始办理基金份额申购或者赎回之后，基金管理人应当在每个开放日，通过指定网站、申购赎回代理机构网站或者营业网点公告当日的申购赎回清单。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、基金定期报告，包括基金年度报告、基金中期报告和基金季度报告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、临时报告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基金份额持有人大会的召开及决定的事项；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基金合同终止、基金清算；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转换基金运作方式、基金合并；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更换基金管理人、基金托管人、注册登记机构，基金改聘会计师事务所；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基金管理人、基金托管人的法定名称、住所发生变更；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基金募集期延长或提前结束募集；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w:t>
      </w:r>
      <w:r>
        <w:rPr>
          <w:rFonts w:ascii="Times New Roman" w:hAnsi="Times New Roman"/>
          <w:sz w:val="24"/>
        </w:rPr>
        <w:t>50%</w:t>
      </w:r>
      <w:r>
        <w:rPr>
          <w:rFonts w:ascii="Times New Roman" w:hAnsi="Times New Roman"/>
          <w:sz w:val="24"/>
        </w:rPr>
        <w:t>，基金管理人、基金托管人专门基金托管部门的主要业务人员在最近</w:t>
      </w:r>
      <w:r>
        <w:rPr>
          <w:rFonts w:ascii="Times New Roman" w:hAnsi="Times New Roman"/>
          <w:sz w:val="24"/>
        </w:rPr>
        <w:t>12</w:t>
      </w:r>
      <w:r>
        <w:rPr>
          <w:rFonts w:ascii="Times New Roman" w:hAnsi="Times New Roman"/>
          <w:sz w:val="24"/>
        </w:rPr>
        <w:t>个月内变动超过</w:t>
      </w:r>
      <w:r>
        <w:rPr>
          <w:rFonts w:ascii="Times New Roman" w:hAnsi="Times New Roman"/>
          <w:sz w:val="24"/>
        </w:rPr>
        <w:t>30%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涉及基金财产、基金管理业务、基金托管业务的诉讼或仲裁；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(12) </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(13) </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基金收益分配事项；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管理费、托管费、申购费、赎回费等费用计提标准、计提方式和费率发生变更；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基金份额净值计价错误</w:t>
      </w:r>
      <w:proofErr w:type="gramStart"/>
      <w:r>
        <w:rPr>
          <w:rFonts w:ascii="Times New Roman" w:hAnsi="Times New Roman"/>
          <w:sz w:val="24"/>
        </w:rPr>
        <w:t>达基金</w:t>
      </w:r>
      <w:proofErr w:type="gramEnd"/>
      <w:r>
        <w:rPr>
          <w:rFonts w:ascii="Times New Roman" w:hAnsi="Times New Roman"/>
          <w:sz w:val="24"/>
        </w:rPr>
        <w:t>份额净值</w:t>
      </w:r>
      <w:r>
        <w:rPr>
          <w:rFonts w:ascii="Times New Roman" w:hAnsi="Times New Roman"/>
          <w:sz w:val="24"/>
        </w:rPr>
        <w:t>0.5%</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本基金开始办理申购、赎回；</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本基金暂停接受申购、赎回申请或重新接受申购、赎回申请；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基金变更标的指数；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基金暂停上市、恢复上市或终止上市；</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基金推出新业务或服务；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发生涉及基金申购、赎回事项调整或潜在影响投资者赎回等重大事项时；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基金信息披露义务人认为可能对基金份额持有人权益或者基金份额的价格</w:t>
      </w:r>
      <w:r>
        <w:rPr>
          <w:rFonts w:ascii="Times New Roman" w:hAnsi="Times New Roman"/>
          <w:sz w:val="24"/>
        </w:rPr>
        <w:lastRenderedPageBreak/>
        <w:t>产生重大影响的其他事项或中国证监会规定的其他事项。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、澄清公告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、基金份额持有人大会决议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、中国证监会规定的其他信息</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(二)信息披露事务管理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基金信息披露义务人公开披露基金信息，应当符合中国证监会相关基金信息披露内容与格式准则等法律法规的规定。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累计净值、申购赎回清单、基金定期报告、更新的招募说明书、基金产品资料概要、基金清算报告等公开披露的相关基金信息进行复核、审查，并向基金管理人进行书面或电子确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基金管理人、基金托管人应当在指定报刊中选择披露信息的报刊。基金管理人、基金托管人应当向中国证监会基金电子披露网站报送拟披露的基金信息，并保证相关报送信息的真实、准确、完整、及时。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为基金信息披露义务人公开披露的基金信息出具审计报告、法律意见书的专业机构，应当制作工作底稿，并将相关档案至少保存到《基金合同》终止后十年。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w:t>
      </w:r>
      <w:proofErr w:type="gramStart"/>
      <w:r>
        <w:rPr>
          <w:rFonts w:ascii="Times New Roman" w:hAnsi="Times New Roman"/>
          <w:sz w:val="24"/>
        </w:rPr>
        <w:t>不</w:t>
      </w:r>
      <w:proofErr w:type="gramEnd"/>
      <w:r>
        <w:rPr>
          <w:rFonts w:ascii="Times New Roman" w:hAnsi="Times New Roman"/>
          <w:sz w:val="24"/>
        </w:rPr>
        <w:t>误导投资者、不影响基金正常投资操作的前提下，自主提升信息披露服务的质量。具体要求应当符合中国证监会及自律规则的相关规定。前述自主披露如产生信息披露费用，该费用不得从基金</w:t>
      </w:r>
      <w:r>
        <w:rPr>
          <w:rFonts w:ascii="Times New Roman" w:hAnsi="Times New Roman"/>
          <w:sz w:val="24"/>
        </w:rPr>
        <w:lastRenderedPageBreak/>
        <w:t>财产中列支。</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（三）信息披露文件的存放与查阅</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依法必须披露的信息发布后，基金管理人、基金托管人应当按照相关法律法规规定将信息置备于各自住所和基金上市交易的证券交易所，供社会公众查阅、复制。</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（四）本基金信息披露事项以法律法规规定及本章节约定的内容为准。</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2" w:name="_Toc54104397"/>
      <w:r>
        <w:rPr>
          <w:rFonts w:ascii="Times New Roman" w:hAnsi="Times New Roman"/>
          <w:sz w:val="30"/>
        </w:rPr>
        <w:lastRenderedPageBreak/>
        <w:t>十九、风险揭示</w:t>
      </w:r>
      <w:bookmarkEnd w:id="22"/>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w:t>
      </w:r>
      <w:proofErr w:type="gramStart"/>
      <w:r>
        <w:rPr>
          <w:rFonts w:ascii="Times New Roman" w:hAnsi="Times New Roman"/>
          <w:sz w:val="24"/>
        </w:rPr>
        <w:t>规</w:t>
      </w:r>
      <w:proofErr w:type="gramEnd"/>
      <w:r>
        <w:rPr>
          <w:rFonts w:ascii="Times New Roman" w:hAnsi="Times New Roman"/>
          <w:sz w:val="24"/>
        </w:rPr>
        <w:t>风险等。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w:t>
      </w:r>
      <w:proofErr w:type="gramStart"/>
      <w:r>
        <w:rPr>
          <w:rFonts w:ascii="Times New Roman" w:hAnsi="Times New Roman"/>
          <w:sz w:val="24"/>
        </w:rPr>
        <w:t>等判断</w:t>
      </w:r>
      <w:proofErr w:type="gramEnd"/>
      <w:r>
        <w:rPr>
          <w:rFonts w:ascii="Times New Roman" w:hAnsi="Times New Roman"/>
          <w:sz w:val="24"/>
        </w:rPr>
        <w:t>基金是否和投资者的风险承受能力相适应。</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（一）投资本基金的特有风险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、标的指数回报与股票市场平均回报偏离的风险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标的指数并不能完全代表整个股票市场。标的指数成份股的平均回报率与整个股票市场的平均回报率可能存在偏离。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、标的指数波动的风险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、基金投资组合回报与标的指数回报偏离的风险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以下因素可能使基金投资组合的收益率与标的指数的收益率发生偏离：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由于标的指数成份股发生配股、增发等行为导致成份股在标的指数中的权重发生变化，使本基金在相应的组合调整中产生跟踪偏离度和跟踪误差。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由于标的指数成份股停牌、摘牌或流动性差等原因使本基金无法及时调整投资组合或承担冲击成本而产生跟踪偏离度和跟踪误差。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因法律法规的限制或其他限制，本基金不能投资于部分标的指数成分股。在使用替代方法，如投资同行业中相关性较高的股票以替代上述投资受限股票时，会产生一定的跟踪偏离度和跟踪误差。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在本基金指数</w:t>
      </w:r>
      <w:proofErr w:type="gramStart"/>
      <w:r>
        <w:rPr>
          <w:rFonts w:ascii="Times New Roman" w:hAnsi="Times New Roman"/>
          <w:sz w:val="24"/>
        </w:rPr>
        <w:t>化投资</w:t>
      </w:r>
      <w:proofErr w:type="gramEnd"/>
      <w:r>
        <w:rPr>
          <w:rFonts w:ascii="Times New Roman" w:hAnsi="Times New Roman"/>
          <w:sz w:val="24"/>
        </w:rPr>
        <w:t>过程中，基金管理人的管理能力，例如跟踪指数的水平、技术手段、买入卖出的时机选择等，都会对本基金的收益产生影响，从而影响本基金对标的指数的跟踪程度。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w:t>
      </w:r>
      <w:proofErr w:type="gramStart"/>
      <w:r>
        <w:rPr>
          <w:rFonts w:ascii="Times New Roman" w:hAnsi="Times New Roman"/>
          <w:sz w:val="24"/>
        </w:rPr>
        <w:t>冲机制</w:t>
      </w:r>
      <w:proofErr w:type="gramEnd"/>
      <w:r>
        <w:rPr>
          <w:rFonts w:ascii="Times New Roman" w:hAnsi="Times New Roman"/>
          <w:sz w:val="24"/>
        </w:rPr>
        <w:t>及其他工具造成的指数跟踪成本较大；因基金申购与赎回带来的现金变动；因指数发布机构指数编制错误等，由此产生跟踪偏离度与跟踪误差。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、标的指数变更的风险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尽管可能性很小，但根据基金合同规定，如出现变更标的指数的情形，本基金</w:t>
      </w:r>
      <w:r>
        <w:rPr>
          <w:rFonts w:ascii="Times New Roman" w:hAnsi="Times New Roman"/>
          <w:sz w:val="24"/>
        </w:rPr>
        <w:lastRenderedPageBreak/>
        <w:t>将变更标的指数。基于原标的指数的投资政策将会改变，投资组合将随之调整，基金的收益风险特征将与新的标的指数保持一致，投资者须承担此项调整带来的风险与成本。</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、基金份额二级市场交易价格折溢价的风险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、参考</w:t>
      </w:r>
      <w:r>
        <w:rPr>
          <w:rFonts w:ascii="Times New Roman" w:hAnsi="Times New Roman"/>
          <w:sz w:val="24"/>
        </w:rPr>
        <w:t>IOPV</w:t>
      </w:r>
      <w:r>
        <w:rPr>
          <w:rFonts w:ascii="Times New Roman" w:hAnsi="Times New Roman"/>
          <w:sz w:val="24"/>
        </w:rPr>
        <w:t>决策和</w:t>
      </w:r>
      <w:r>
        <w:rPr>
          <w:rFonts w:ascii="Times New Roman" w:hAnsi="Times New Roman"/>
          <w:sz w:val="24"/>
        </w:rPr>
        <w:t>IOPV</w:t>
      </w:r>
      <w:r>
        <w:rPr>
          <w:rFonts w:ascii="Times New Roman" w:hAnsi="Times New Roman"/>
          <w:sz w:val="24"/>
        </w:rPr>
        <w:t>计算错误的风险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r>
        <w:rPr>
          <w:rFonts w:ascii="Times New Roman" w:hAnsi="Times New Roman"/>
          <w:sz w:val="24"/>
        </w:rPr>
        <w:t>IOPV</w:t>
      </w:r>
      <w:r>
        <w:rPr>
          <w:rFonts w:ascii="Times New Roman" w:hAnsi="Times New Roman"/>
          <w:sz w:val="24"/>
        </w:rPr>
        <w:t>与实时的基金份额净值可能存在差异，</w:t>
      </w:r>
      <w:r>
        <w:rPr>
          <w:rFonts w:ascii="Times New Roman" w:hAnsi="Times New Roman"/>
          <w:sz w:val="24"/>
        </w:rPr>
        <w:t>IOPV</w:t>
      </w:r>
      <w:r>
        <w:rPr>
          <w:rFonts w:ascii="Times New Roman" w:hAnsi="Times New Roman"/>
          <w:sz w:val="24"/>
        </w:rPr>
        <w:t>计算可能出现错误，投资者</w:t>
      </w:r>
      <w:proofErr w:type="gramStart"/>
      <w:r>
        <w:rPr>
          <w:rFonts w:ascii="Times New Roman" w:hAnsi="Times New Roman"/>
          <w:sz w:val="24"/>
        </w:rPr>
        <w:t>若参</w:t>
      </w:r>
      <w:proofErr w:type="gramEnd"/>
      <w:r>
        <w:rPr>
          <w:rFonts w:ascii="Times New Roman" w:hAnsi="Times New Roman"/>
          <w:sz w:val="24"/>
        </w:rPr>
        <w:t>考</w:t>
      </w:r>
      <w:r>
        <w:rPr>
          <w:rFonts w:ascii="Times New Roman" w:hAnsi="Times New Roman"/>
          <w:sz w:val="24"/>
        </w:rPr>
        <w:t>IOPV</w:t>
      </w:r>
      <w:r>
        <w:rPr>
          <w:rFonts w:ascii="Times New Roman" w:hAnsi="Times New Roman"/>
          <w:sz w:val="24"/>
        </w:rPr>
        <w:t>进行投资决策可能导致损失，需投资者自行承担。</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、退市风险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因本基金不再符合证券交易所上市条件被终止上市，或被基金份额持有人大会决议提前终止上市，导致基金份额不能继续进行二级市场交易的风险。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、投资者申购失败的风险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本基金的申购赎回清单中，可能仅允许对部分成份</w:t>
      </w:r>
      <w:proofErr w:type="gramStart"/>
      <w:r>
        <w:rPr>
          <w:rFonts w:ascii="Times New Roman" w:hAnsi="Times New Roman"/>
          <w:sz w:val="24"/>
        </w:rPr>
        <w:t>股使用</w:t>
      </w:r>
      <w:proofErr w:type="gramEnd"/>
      <w:r>
        <w:rPr>
          <w:rFonts w:ascii="Times New Roman" w:hAnsi="Times New Roman"/>
          <w:sz w:val="24"/>
        </w:rPr>
        <w:t>现金替代，且设置现金替代比例上限，因此，投资者在进行申购时，可能存在因个别成份股涨停、临时停牌等原因而无法买入申购所需的足够的成份股，导致申购失败的风险。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、投资者赎回失败的风险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投资者在提出赎回申请时，如基金组合中不具备足额的符合条件的赎回对价，可能导致赎回失败的情形。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基金管理人可能根据成份股市</w:t>
      </w:r>
      <w:proofErr w:type="gramStart"/>
      <w:r>
        <w:rPr>
          <w:rFonts w:ascii="Times New Roman" w:hAnsi="Times New Roman"/>
          <w:sz w:val="24"/>
        </w:rPr>
        <w:t>值规模</w:t>
      </w:r>
      <w:proofErr w:type="gramEnd"/>
      <w:r>
        <w:rPr>
          <w:rFonts w:ascii="Times New Roman" w:hAnsi="Times New Roman"/>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、基金份额赎回对价的变现风险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本基金赎回对</w:t>
      </w:r>
      <w:proofErr w:type="gramStart"/>
      <w:r>
        <w:rPr>
          <w:rFonts w:ascii="Times New Roman" w:hAnsi="Times New Roman"/>
          <w:sz w:val="24"/>
        </w:rPr>
        <w:t>价主要</w:t>
      </w:r>
      <w:proofErr w:type="gramEnd"/>
      <w:r>
        <w:rPr>
          <w:rFonts w:ascii="Times New Roman" w:hAnsi="Times New Roman"/>
          <w:sz w:val="24"/>
        </w:rPr>
        <w:t>为组合证券，在组合证券变现过程中，由于市场变化、部分成份股流动性差等因素，导致投资者变现后的价值与赎回时赎回对价的价值有差异，存在变现风险。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、本基金可投资创业板股票，创业板个股上市后的前五个交易日不设价格涨</w:t>
      </w:r>
      <w:r>
        <w:rPr>
          <w:rFonts w:ascii="Times New Roman" w:hAnsi="Times New Roman"/>
          <w:sz w:val="24"/>
        </w:rPr>
        <w:lastRenderedPageBreak/>
        <w:t>跌幅限制，第六个交易日开始涨跌幅限制比例为</w:t>
      </w:r>
      <w:r>
        <w:rPr>
          <w:rFonts w:ascii="Times New Roman" w:hAnsi="Times New Roman"/>
          <w:sz w:val="24"/>
        </w:rPr>
        <w:t>20%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（二）流动性风险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、本基金交易方式带来的流动性风险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本基金采用开放方式运作，基金管理人在开放日办理基金份额的申购和赎回，具体办理时间为上海证券交易所的交易日</w:t>
      </w:r>
      <w:r>
        <w:rPr>
          <w:rFonts w:ascii="Times New Roman" w:hAnsi="Times New Roman"/>
          <w:sz w:val="24"/>
        </w:rPr>
        <w:t>,</w:t>
      </w:r>
      <w:r>
        <w:rPr>
          <w:rFonts w:ascii="Times New Roman" w:hAnsi="Times New Roman"/>
          <w:sz w:val="24"/>
        </w:rPr>
        <w:t>开放时间为上午</w:t>
      </w:r>
      <w:r>
        <w:rPr>
          <w:rFonts w:ascii="Times New Roman" w:hAnsi="Times New Roman"/>
          <w:sz w:val="24"/>
        </w:rPr>
        <w:t>9:30-11:30</w:t>
      </w:r>
      <w:r>
        <w:rPr>
          <w:rFonts w:ascii="Times New Roman" w:hAnsi="Times New Roman"/>
          <w:sz w:val="24"/>
        </w:rPr>
        <w:t>和下午</w:t>
      </w:r>
      <w:r>
        <w:rPr>
          <w:rFonts w:ascii="Times New Roman" w:hAnsi="Times New Roman"/>
          <w:sz w:val="24"/>
        </w:rPr>
        <w:t>1:00-3:00</w:t>
      </w:r>
      <w:r>
        <w:rPr>
          <w:rFonts w:ascii="Times New Roman" w:hAnsi="Times New Roman"/>
          <w:sz w:val="24"/>
        </w:rPr>
        <w:t>。但基金管理人根据法律法规、中国证监会的要求或基金合同的规定公告暂停申购、赎回时除外。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Times New Roman" w:hAnsi="Times New Roman"/>
          <w:sz w:val="24"/>
        </w:rPr>
        <w:t>券</w:t>
      </w:r>
      <w:proofErr w:type="gramEnd"/>
      <w:r>
        <w:rPr>
          <w:rFonts w:ascii="Times New Roman" w:hAnsi="Times New Roman"/>
          <w:sz w:val="24"/>
        </w:rPr>
        <w:t>方面未有高集中度的特征，综合评估在正常市场环境下本基金的流动性风险适中。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、实施备用的流动性风险管理工具的情形、程序及对投资者的潜在影响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本基金在面临大规模赎回的情况下有可能造成流动性风险。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延缓支付赎回对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对价。</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w:t>
      </w:r>
      <w:proofErr w:type="gramStart"/>
      <w:r w:rsidRPr="00BB248E">
        <w:rPr>
          <w:rFonts w:ascii="宋体" w:hAnsi="宋体" w:hint="eastAsia"/>
          <w:b/>
          <w:szCs w:val="24"/>
        </w:rPr>
        <w:t>科创板股票</w:t>
      </w:r>
      <w:proofErr w:type="gramEnd"/>
      <w:r w:rsidRPr="00BB248E">
        <w:rPr>
          <w:rFonts w:ascii="宋体" w:hAnsi="宋体" w:hint="eastAsia"/>
          <w:b/>
          <w:szCs w:val="24"/>
        </w:rPr>
        <w:t>的特定风险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w:t>
      </w:r>
      <w:proofErr w:type="gramStart"/>
      <w:r>
        <w:rPr>
          <w:rFonts w:ascii="Times New Roman" w:hAnsi="Times New Roman"/>
          <w:sz w:val="24"/>
        </w:rPr>
        <w:t>科创板</w:t>
      </w:r>
      <w:proofErr w:type="gramEnd"/>
      <w:r>
        <w:rPr>
          <w:rFonts w:ascii="Times New Roman" w:hAnsi="Times New Roman"/>
          <w:sz w:val="24"/>
        </w:rPr>
        <w:t>股票，会</w:t>
      </w:r>
      <w:proofErr w:type="gramStart"/>
      <w:r>
        <w:rPr>
          <w:rFonts w:ascii="Times New Roman" w:hAnsi="Times New Roman"/>
          <w:sz w:val="24"/>
        </w:rPr>
        <w:t>面临科创板机制</w:t>
      </w:r>
      <w:proofErr w:type="gramEnd"/>
      <w:r>
        <w:rPr>
          <w:rFonts w:ascii="Times New Roman" w:hAnsi="Times New Roman"/>
          <w:sz w:val="24"/>
        </w:rPr>
        <w:t>下因投资标的、市场制度以及交易规则等差异带来的特有风险，包括但不限于市场风险、流动性风险、退市风险、集中度风险、系统性风险、政策风险等。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w:t>
      </w:r>
      <w:proofErr w:type="gramEnd"/>
      <w:r>
        <w:rPr>
          <w:rFonts w:ascii="Times New Roman" w:hAnsi="Times New Roman"/>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Times New Roman" w:hAnsi="Times New Roman"/>
          <w:sz w:val="24"/>
        </w:rPr>
        <w:t>个</w:t>
      </w:r>
      <w:proofErr w:type="gramEnd"/>
      <w:r>
        <w:rPr>
          <w:rFonts w:ascii="Times New Roman" w:hAnsi="Times New Roman"/>
          <w:sz w:val="24"/>
        </w:rPr>
        <w:t>股市</w:t>
      </w:r>
      <w:proofErr w:type="gramStart"/>
      <w:r>
        <w:rPr>
          <w:rFonts w:ascii="Times New Roman" w:hAnsi="Times New Roman"/>
          <w:sz w:val="24"/>
        </w:rPr>
        <w:t>场风险</w:t>
      </w:r>
      <w:proofErr w:type="gramEnd"/>
      <w:r>
        <w:rPr>
          <w:rFonts w:ascii="Times New Roman" w:hAnsi="Times New Roman"/>
          <w:sz w:val="24"/>
        </w:rPr>
        <w:t>加大。</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w:t>
      </w:r>
      <w:proofErr w:type="gramEnd"/>
      <w:r>
        <w:rPr>
          <w:rFonts w:ascii="Times New Roman" w:hAnsi="Times New Roman"/>
          <w:sz w:val="24"/>
        </w:rPr>
        <w:t>个股上市前五日无涨跌停限制，第六日开始涨跌幅限制在正负</w:t>
      </w:r>
      <w:r>
        <w:rPr>
          <w:rFonts w:ascii="Times New Roman" w:hAnsi="Times New Roman"/>
          <w:sz w:val="24"/>
        </w:rPr>
        <w:t>20%</w:t>
      </w:r>
      <w:r>
        <w:rPr>
          <w:rFonts w:ascii="Times New Roman" w:hAnsi="Times New Roman"/>
          <w:sz w:val="24"/>
        </w:rPr>
        <w:t>以内，</w:t>
      </w:r>
      <w:r>
        <w:rPr>
          <w:rFonts w:ascii="Times New Roman" w:hAnsi="Times New Roman"/>
          <w:sz w:val="24"/>
        </w:rPr>
        <w:lastRenderedPageBreak/>
        <w:t>个股波动幅度较其他股票加大，市场风险随之上升。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科创板整体</w:t>
      </w:r>
      <w:proofErr w:type="gramEnd"/>
      <w:r>
        <w:rPr>
          <w:rFonts w:ascii="Times New Roman" w:hAnsi="Times New Roman"/>
          <w:sz w:val="24"/>
        </w:rPr>
        <w:t>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w:t>
      </w:r>
      <w:proofErr w:type="gramStart"/>
      <w:r>
        <w:rPr>
          <w:rFonts w:ascii="Times New Roman" w:hAnsi="Times New Roman"/>
          <w:sz w:val="24"/>
        </w:rPr>
        <w:t>现及其</w:t>
      </w:r>
      <w:proofErr w:type="gramEnd"/>
      <w:r>
        <w:rPr>
          <w:rFonts w:ascii="Times New Roman" w:hAnsi="Times New Roman"/>
          <w:sz w:val="24"/>
        </w:rPr>
        <w:t>他相关流动性风险。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科创板退</w:t>
      </w:r>
      <w:proofErr w:type="gramEnd"/>
      <w:r>
        <w:rPr>
          <w:rFonts w:ascii="Times New Roman" w:hAnsi="Times New Roman"/>
          <w:sz w:val="24"/>
        </w:rPr>
        <w:t>市制度较主板更为严格，退</w:t>
      </w:r>
      <w:proofErr w:type="gramStart"/>
      <w:r>
        <w:rPr>
          <w:rFonts w:ascii="Times New Roman" w:hAnsi="Times New Roman"/>
          <w:sz w:val="24"/>
        </w:rPr>
        <w:t>市时间</w:t>
      </w:r>
      <w:proofErr w:type="gramEnd"/>
      <w:r>
        <w:rPr>
          <w:rFonts w:ascii="Times New Roman" w:hAnsi="Times New Roman"/>
          <w:sz w:val="24"/>
        </w:rPr>
        <w:t>更短，退</w:t>
      </w:r>
      <w:proofErr w:type="gramStart"/>
      <w:r>
        <w:rPr>
          <w:rFonts w:ascii="Times New Roman" w:hAnsi="Times New Roman"/>
          <w:sz w:val="24"/>
        </w:rPr>
        <w:t>市速度</w:t>
      </w:r>
      <w:proofErr w:type="gramEnd"/>
      <w:r>
        <w:rPr>
          <w:rFonts w:ascii="Times New Roman" w:hAnsi="Times New Roman"/>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Times New Roman" w:hAnsi="Times New Roman"/>
          <w:sz w:val="24"/>
        </w:rPr>
        <w:t>市风险</w:t>
      </w:r>
      <w:proofErr w:type="gramEnd"/>
      <w:r>
        <w:rPr>
          <w:rFonts w:ascii="Times New Roman" w:hAnsi="Times New Roman"/>
          <w:sz w:val="24"/>
        </w:rPr>
        <w:t>更大。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w:t>
      </w:r>
      <w:proofErr w:type="gramEnd"/>
      <w:r>
        <w:rPr>
          <w:rFonts w:ascii="Times New Roman" w:hAnsi="Times New Roman"/>
          <w:sz w:val="24"/>
        </w:rPr>
        <w:t>为新设板块，初期可投标的较少，投资者容易集中投资于少量个股，市场可能存在高集中度状况，整体存在集中度风险。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科创板企业</w:t>
      </w:r>
      <w:proofErr w:type="gramEnd"/>
      <w:r>
        <w:rPr>
          <w:rFonts w:ascii="Times New Roman" w:hAnsi="Times New Roman"/>
          <w:sz w:val="24"/>
        </w:rPr>
        <w:t>均为市场认可度较高的科技创新企业，在企业经营及盈利模式上存在趋同，所以</w:t>
      </w:r>
      <w:proofErr w:type="gramStart"/>
      <w:r>
        <w:rPr>
          <w:rFonts w:ascii="Times New Roman" w:hAnsi="Times New Roman"/>
          <w:sz w:val="24"/>
        </w:rPr>
        <w:t>科创板</w:t>
      </w:r>
      <w:proofErr w:type="gramEnd"/>
      <w:r>
        <w:rPr>
          <w:rFonts w:ascii="Times New Roman" w:hAnsi="Times New Roman"/>
          <w:sz w:val="24"/>
        </w:rPr>
        <w:t>个股相关性较高，市场表现不佳时，系统性风险将更为显著。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w:t>
      </w:r>
      <w:proofErr w:type="gramStart"/>
      <w:r>
        <w:rPr>
          <w:rFonts w:ascii="Times New Roman" w:hAnsi="Times New Roman"/>
          <w:sz w:val="24"/>
        </w:rPr>
        <w:t>科创板企业</w:t>
      </w:r>
      <w:proofErr w:type="gramEnd"/>
      <w:r>
        <w:rPr>
          <w:rFonts w:ascii="Times New Roman" w:hAnsi="Times New Roman"/>
          <w:sz w:val="24"/>
        </w:rPr>
        <w:t>带来较大影响，国际经济形势变化对战略新兴产业及</w:t>
      </w:r>
      <w:proofErr w:type="gramStart"/>
      <w:r>
        <w:rPr>
          <w:rFonts w:ascii="Times New Roman" w:hAnsi="Times New Roman"/>
          <w:sz w:val="24"/>
        </w:rPr>
        <w:t>科创板</w:t>
      </w:r>
      <w:proofErr w:type="gramEnd"/>
      <w:r>
        <w:rPr>
          <w:rFonts w:ascii="Times New Roman" w:hAnsi="Times New Roman"/>
          <w:sz w:val="24"/>
        </w:rPr>
        <w:t>个股也会带来政策影响。</w:t>
      </w:r>
    </w:p>
    <w:p w:rsidR="00331C93" w:rsidRPr="00331C93" w:rsidRDefault="00D13B45" w:rsidP="00331C93">
      <w:pPr>
        <w:autoSpaceDE w:val="0"/>
        <w:autoSpaceDN w:val="0"/>
        <w:adjustRightInd w:val="0"/>
        <w:snapToGrid w:val="0"/>
        <w:spacing w:line="360" w:lineRule="auto"/>
        <w:ind w:firstLineChars="200" w:firstLine="422"/>
        <w:rPr>
          <w:rFonts w:ascii="宋体" w:hAnsi="宋体"/>
          <w:b/>
          <w:bCs/>
          <w:szCs w:val="24"/>
        </w:rPr>
      </w:pPr>
      <w:r w:rsidRPr="00BB248E">
        <w:rPr>
          <w:rFonts w:ascii="宋体" w:hAnsi="宋体" w:hint="eastAsia"/>
          <w:b/>
          <w:szCs w:val="24"/>
        </w:rPr>
        <w:t>（四）</w:t>
      </w:r>
      <w:r w:rsidR="00331C93" w:rsidRPr="00331C93">
        <w:rPr>
          <w:rFonts w:ascii="宋体" w:hAnsi="宋体" w:hint="eastAsia"/>
          <w:b/>
          <w:bCs/>
          <w:szCs w:val="24"/>
        </w:rPr>
        <w:t>投资存托凭证的特定风险</w:t>
      </w:r>
    </w:p>
    <w:p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sz w:val="24"/>
        </w:rPr>
      </w:pPr>
      <w:r w:rsidRPr="00331C93">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sz w:val="24"/>
        </w:rPr>
      </w:pPr>
      <w:r w:rsidRPr="00331C93">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331C93">
        <w:rPr>
          <w:rFonts w:ascii="Times New Roman" w:hAnsi="Times New Roman" w:hint="eastAsia"/>
          <w:sz w:val="24"/>
        </w:rPr>
        <w:t>托协议</w:t>
      </w:r>
      <w:proofErr w:type="gramEnd"/>
      <w:r w:rsidRPr="00331C93">
        <w:rPr>
          <w:rFonts w:ascii="Times New Roman" w:hAnsi="Times New Roman" w:hint="eastAsia"/>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w:t>
      </w:r>
      <w:r w:rsidRPr="00331C93">
        <w:rPr>
          <w:rFonts w:ascii="Times New Roman" w:hAnsi="Times New Roman" w:hint="eastAsia"/>
          <w:sz w:val="24"/>
        </w:rPr>
        <w:lastRenderedPageBreak/>
        <w:t>风险。</w:t>
      </w:r>
    </w:p>
    <w:p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sz w:val="24"/>
        </w:rPr>
      </w:pPr>
      <w:r w:rsidRPr="00331C93">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rsidR="00502561" w:rsidRDefault="00331C93" w:rsidP="00331C93">
      <w:pPr>
        <w:autoSpaceDE w:val="0"/>
        <w:autoSpaceDN w:val="0"/>
        <w:adjustRightInd w:val="0"/>
        <w:snapToGrid w:val="0"/>
        <w:spacing w:line="360" w:lineRule="auto"/>
        <w:ind w:firstLineChars="200" w:firstLine="422"/>
        <w:rPr>
          <w:rFonts w:ascii="宋体" w:hAnsi="宋体"/>
          <w:szCs w:val="24"/>
        </w:rPr>
      </w:pPr>
      <w:r w:rsidRPr="00331C93">
        <w:rPr>
          <w:rFonts w:ascii="宋体" w:hAnsi="宋体" w:hint="eastAsia"/>
          <w:b/>
          <w:szCs w:val="24"/>
        </w:rPr>
        <w:t>（五）</w:t>
      </w:r>
      <w:r w:rsidR="00D13B45" w:rsidRPr="00BB248E">
        <w:rPr>
          <w:rFonts w:ascii="宋体" w:hAnsi="宋体" w:hint="eastAsia"/>
          <w:b/>
          <w:szCs w:val="24"/>
        </w:rPr>
        <w:t>其他风险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、第三方机构服务的风险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本基金的多项服务委托第三方机构办理，存在以下风险：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申购赎回代理券商因多种原因，导致代理申购、赎回业务受到限制、暂停或终止，由此影响对投资者申购赎回服务的风险。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证券交易所、注册登记机构、基金托管人及其他代理机构可能违约，导致基金或投资者利益受损的风险。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、管理风险与操作风险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、技术风险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、不可抗力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战争、自然灾害等不可抗力可能导致基金资产有遭受损失的风险。基金管理人、基金托管人、证券交易所、注册登记机构和代销机构等可能因不可抗力无法正常工作，从而影响基金的各项业务按正常时限完成。</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3" w:name="_Toc54104398"/>
      <w:r>
        <w:rPr>
          <w:rFonts w:ascii="Times New Roman" w:hAnsi="Times New Roman"/>
          <w:sz w:val="30"/>
        </w:rPr>
        <w:lastRenderedPageBreak/>
        <w:t>二十、基金合同的终止与基金财产的清算</w:t>
      </w:r>
      <w:bookmarkEnd w:id="23"/>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有下列情形之一的，基金合同经中国证监会核准后将终止：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、法律法规、中国证监会规定的或基金合同约定的其他情形。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基金合同终止时，基金管理人应予公告并组织清算小组对基金财产进行清算。</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、基金合同终止后，成立基金财产清算组，基金财产清算组在中国证监会的监督下进行基金财产清算。</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、基金财产清算组成员由基金管理人、基金托管人、具有从事证券相关业务资格的注册会计师、律师以及中国证监会指定的人员组成。基金财产清算组可以聘用必要的工作人员。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、基金财产清算组负责基金财产的保管、清理、估价、变现和分配。基金财产清算组可以依法进行必要的民事活动。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基金合同终止，应当按法律法规和基金合同的有关规定对基金财产进行清算。基金财产清算程序主要包括：</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）基金合同终止后，发布基金财产清算公告；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）基金合同终止时，由基金财产清算组统一接管基金财产；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）对基金财产进行清理和确认；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）对基金财产进行估价和变现；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）制作清算报告；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）聘请会计师事务所对清算报告进行审计；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）聘请律师事务所对清算报告出具法律意见书；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）将基金清算结果报告中国证监会；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）公布基金财产清算结果；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）对基金剩余财产进行分配。</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（三）清算费用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清算费用是指基金财产清算组在进行基金清算过程中发生的所有合理费用，清算费用由基金财产清算组优先从基金财产中支付。</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（四）基金财产的清偿、分配顺序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基金财产按照下列顺序清偿和分配：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、支付清算费用；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、交纳所欠税款；</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、清偿基金债务；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、按基金份额持有人持有的基金份额比例进行分配。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基金财产未按前款</w:t>
      </w:r>
      <w:r>
        <w:rPr>
          <w:rFonts w:ascii="Times New Roman" w:hAnsi="Times New Roman"/>
          <w:sz w:val="24"/>
        </w:rPr>
        <w:t>1-3</w:t>
      </w:r>
      <w:r>
        <w:rPr>
          <w:rFonts w:ascii="Times New Roman" w:hAnsi="Times New Roman"/>
          <w:sz w:val="24"/>
        </w:rPr>
        <w:t>项规定清偿前，不分配给基金份额持有人。</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基金财产清算公告于基金合同终止并报中国证监会备案后</w:t>
      </w:r>
      <w:r>
        <w:rPr>
          <w:rFonts w:ascii="Times New Roman" w:hAnsi="Times New Roman"/>
          <w:sz w:val="24"/>
        </w:rPr>
        <w:t>5</w:t>
      </w:r>
      <w:r>
        <w:rPr>
          <w:rFonts w:ascii="Times New Roman" w:hAnsi="Times New Roman"/>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4" w:name="_Toc54104399"/>
      <w:r>
        <w:rPr>
          <w:rFonts w:ascii="Times New Roman" w:hAnsi="Times New Roman"/>
          <w:sz w:val="30"/>
        </w:rPr>
        <w:lastRenderedPageBreak/>
        <w:t>二十一、基金合同内容摘要</w:t>
      </w:r>
      <w:bookmarkEnd w:id="24"/>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（一）基金合同当事人及权利义务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根据《基金法》及其他有关法律法规，基金管理人的权利为：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）依照合同获得基金管理费以及法律法规规定或监管部门批准的其他收入；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）根据法律法规和基金合同之规定销售基金份额；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）根据法律法规和基金合同的规定制定基金收益分配方案；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）依照有关规定行使因基金财产投资于证券所产生的权利；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）在符合有关法律法规和本基金合同的前提下，制订和调整有关基金认购、申购、赎回、</w:t>
      </w:r>
      <w:proofErr w:type="gramStart"/>
      <w:r>
        <w:rPr>
          <w:rFonts w:ascii="Times New Roman" w:hAnsi="Times New Roman"/>
          <w:sz w:val="24"/>
        </w:rPr>
        <w:t>非交易</w:t>
      </w:r>
      <w:proofErr w:type="gramEnd"/>
      <w:r>
        <w:rPr>
          <w:rFonts w:ascii="Times New Roman" w:hAnsi="Times New Roman"/>
          <w:sz w:val="24"/>
        </w:rPr>
        <w:t>过户、转托管等业务的规则，决定基金的除调高托管费和管理费之外的费率结构和收费方式；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）在基金合同约定的范围内，拒绝或暂停受理申购、赎回申请；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）自行担任基金注册登记机构或选择、更换注册登记机构，并对注册登记机构的代理行为进行必要的监督和检查；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）选择、更换代销机构，并依据销售代理协议和有关法律法规，对其行为进行必要的监督和检查；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）在基金托管人更换时，提名新的基金托管人；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）依法召集基金份额持有人大会；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）以基金管理人名义代表基金份额持有人利益行使诉讼权利或者实施其他法律行为；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）选择、更换律师事务所、会计师事务所、证券经纪商或其他为基金提供服务的外部机构；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）根据国家有关规定，在法律法规允许的前提下，以基金的名义依法为基</w:t>
      </w:r>
      <w:r>
        <w:rPr>
          <w:rFonts w:ascii="Times New Roman" w:hAnsi="Times New Roman"/>
          <w:sz w:val="24"/>
        </w:rPr>
        <w:lastRenderedPageBreak/>
        <w:t>金融资；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）法律法规、基金合同以及依据基金合同制定的其它法律文件规定的其他权利。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根据《基金法》及其他有关法律法规，基金管理人的义务为：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）依法募集基金，办理或者委托经由中国证监会认定的其他机构代为办理基金份额的发售、申购、赎回和注册登记事宜；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）建立健全内部风险控制、监察与稽核、财务管理及人事管理等制度，保证所管理的基金财产和基金管理人的财产相互独立，对所管理的不同基金财产分别管理，分别记账，进行证券投资；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）采取适当合理的措施使计算基金份额认购价格以及申购、赎回对价的方法符合基金合同等法律文件的规定；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）按规定受理基金份额的申购和赎回申请，及时、足额交付投资者申购之基金份额或赎回之对价；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w:t>
      </w:r>
      <w:r>
        <w:rPr>
          <w:rFonts w:ascii="Times New Roman" w:hAnsi="Times New Roman"/>
          <w:sz w:val="24"/>
        </w:rPr>
        <w:lastRenderedPageBreak/>
        <w:t>配收益；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）组织并参加基金财产清算小组，参与基金财产的保管、清理、估价、变现和分配；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）面临解散、依法被撤销或者被依法宣告破产时，及时报告中国证监会并通知基金托管人；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）不从事任何有损基金及其他基金合同当事人利益的活动；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）法律法规、基金合同规定的以及中国证监会要求的其他义务。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根据《基金法》及其他有关法律法规，基金托管人的权利为：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）依照基金合同的约定获得基金托管费；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）监督基金管理人对本基金的投资运作；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）自本基金合同生效之日起，依照法律法规和基金合同、托管协议的规定保管基金财产；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）在基金管理人更换时，提名</w:t>
      </w:r>
      <w:proofErr w:type="gramStart"/>
      <w:r>
        <w:rPr>
          <w:rFonts w:ascii="Times New Roman" w:hAnsi="Times New Roman"/>
          <w:sz w:val="24"/>
        </w:rPr>
        <w:t>新任基金</w:t>
      </w:r>
      <w:proofErr w:type="gramEnd"/>
      <w:r>
        <w:rPr>
          <w:rFonts w:ascii="Times New Roman" w:hAnsi="Times New Roman"/>
          <w:sz w:val="24"/>
        </w:rPr>
        <w:t>管理人；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）根据本基金合同及有关规定监督基金管理人，对于基金管理人违反本基金合同或有关法律法规规定的行为，对基金财产、其他基金合同当事人的利益造成</w:t>
      </w:r>
      <w:r>
        <w:rPr>
          <w:rFonts w:ascii="Times New Roman" w:hAnsi="Times New Roman"/>
          <w:sz w:val="24"/>
        </w:rPr>
        <w:lastRenderedPageBreak/>
        <w:t>重大损失的情形，应及时呈报中国证监会，并采取必要措施保护基金及相关基金合同当事人的利益；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）依法提议召开或召集基金份额持有人大会；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）按规定取得基金份额持有人名册；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）法律法规规定的其他权利。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根据《基金法》及其他有关法律法规，基金托管人的义务为：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）以诚实信用、勤勉尽责的原则安全保管基金财产；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r>
        <w:rPr>
          <w:rFonts w:ascii="Times New Roman" w:hAnsi="Times New Roman"/>
          <w:sz w:val="24"/>
        </w:rPr>
        <w:t>,</w:t>
      </w:r>
      <w:r>
        <w:rPr>
          <w:rFonts w:ascii="Times New Roman" w:hAnsi="Times New Roman"/>
          <w:sz w:val="24"/>
        </w:rPr>
        <w:t>按照基金合同的约定，根据基金管理人的投资指令，及时办理清算、交割事宜；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）保存基金托管业务活动的记录、账册、报表和其他相关资料不少于</w:t>
      </w:r>
      <w:r>
        <w:rPr>
          <w:rFonts w:ascii="Times New Roman" w:hAnsi="Times New Roman"/>
          <w:sz w:val="24"/>
        </w:rPr>
        <w:t>15</w:t>
      </w:r>
      <w:r>
        <w:rPr>
          <w:rFonts w:ascii="Times New Roman" w:hAnsi="Times New Roman"/>
          <w:sz w:val="24"/>
        </w:rPr>
        <w:t>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）复核、审查基金管理人计算的基金资产净值、基金份额净值和基金份额申购、赎回对价；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14</w:t>
      </w:r>
      <w:r>
        <w:rPr>
          <w:rFonts w:ascii="Times New Roman" w:hAnsi="Times New Roman"/>
          <w:sz w:val="24"/>
        </w:rPr>
        <w:t>）按规定制作相关账册并与基金管理人核对；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）依据基金管理人的指令或有关规定向基金份额持有人支付基金收益和交付赎回对价；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）按照规定召集基金份额持有人大会或配合基金份额持有人依法自行召集基金份额持有人大会；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）按规定监督基金管理人按照法律法规规定和基金合同履行其义务，基金管理人因违反基金合同造成基金财产损失时，应为基金向基金管理人追偿；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）根据本基金合同和托管协议规定建立并保存基金份额持有人名册；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）参加基金财产清算组，参与基金财产的保管、清理、估价、变现和分配；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）面临解散、依法被撤销、破产或者由接管人接管其资产时，及时报告中国证监会和中国银监会，并通知基金管理人；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）执行生效的基金份额持有人大会的决定；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）不从事任何有损基金及其他基金合同当事人利益的活动；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）法律法规、基金合同规定的以及中国证监会要求的其他义务。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根据《基金法》及其他有关法律法规，基金份额持有人的权利为：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）依法转让或者申请赎回其持有的基金份额；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）对基金管理人、基金托管人、代销机构损害其合法权益的行为依法提起诉讼；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）法律法规和基金合同规定的其他权利。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根据《基金法》及其他有关法律法规，基金份额持有人的义务为：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）遵守法律法规、基金合同及其他有关规定；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）交付基金认购、申购对价及缴纳法律法规、基金合同和招募说明书规定的费用；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）遵守基金管理人、基金托管人及基金销售机构和注册登记机构的相关交易及业务规则；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）返还在基金交易过程中因任何原因，自基金管理人、基金托管人、代销机构以及其他基金份额持有人处获得的不当得利；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）法律法规和基金合同规定的其他义务。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本基金合同当事各方的权利义务以本基金合同为依据，不因基金财产账户名称而有所改变。</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、基金份额持有人大会由基金份额持有人或基金份额持有人的合法授权代表共组成。基金份额持有人持有的每一基金份额拥有平等的投票权。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本基金联接基金的基金份额持有人可以凭所持有的联接基金份额出席或者委派代表出席本基金的份额持有人大会并参与表决，其持有的享有表决权的基金份额数和表决票数为，在本</w:t>
      </w:r>
      <w:proofErr w:type="gramStart"/>
      <w:r>
        <w:rPr>
          <w:rFonts w:ascii="Times New Roman" w:hAnsi="Times New Roman"/>
          <w:sz w:val="24"/>
        </w:rPr>
        <w:t>基金基金</w:t>
      </w:r>
      <w:proofErr w:type="gramEnd"/>
      <w:r>
        <w:rPr>
          <w:rFonts w:ascii="Times New Roman" w:hAnsi="Times New Roman"/>
          <w:sz w:val="24"/>
        </w:rPr>
        <w:t>份额持有人大会的权益登记日，联接基金持有本基金份额的总数乘以该持有人所持有的联接基金份额占联接基金总份额的比例，计算结果按照四舍五入的方法，保留到整数位。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联接基金的基金管理人不应以联接基金的名义代表联接基金的全体基金份额持有人以本基金的基金份额持有人的身份行使表决权，但可接受联接基金的</w:t>
      </w:r>
      <w:proofErr w:type="gramStart"/>
      <w:r>
        <w:rPr>
          <w:rFonts w:ascii="Times New Roman" w:hAnsi="Times New Roman"/>
          <w:sz w:val="24"/>
        </w:rPr>
        <w:t>特定基金</w:t>
      </w:r>
      <w:proofErr w:type="gramEnd"/>
      <w:r>
        <w:rPr>
          <w:rFonts w:ascii="Times New Roman" w:hAnsi="Times New Roman"/>
          <w:sz w:val="24"/>
        </w:rPr>
        <w:t>份额持有人的委托以联接基金的基金份额持有人代理人的身份出席本基金的基金份额持有人大会并参与表决。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联接基金的基金管理人代表联接基金的基金份额持有人提议召开或召集本基金份额持有人大会的，须先遵照联接</w:t>
      </w:r>
      <w:proofErr w:type="gramStart"/>
      <w:r>
        <w:rPr>
          <w:rFonts w:ascii="Times New Roman" w:hAnsi="Times New Roman"/>
          <w:sz w:val="24"/>
        </w:rPr>
        <w:t>基金基金</w:t>
      </w:r>
      <w:proofErr w:type="gramEnd"/>
      <w:r>
        <w:rPr>
          <w:rFonts w:ascii="Times New Roman" w:hAnsi="Times New Roman"/>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、召开事由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r>
        <w:rPr>
          <w:rFonts w:ascii="Times New Roman" w:hAnsi="Times New Roman"/>
          <w:sz w:val="24"/>
        </w:rPr>
        <w:t>)</w:t>
      </w:r>
      <w:r>
        <w:rPr>
          <w:rFonts w:ascii="Times New Roman" w:hAnsi="Times New Roman"/>
          <w:sz w:val="24"/>
        </w:rPr>
        <w:t>的基金份额持有人</w:t>
      </w:r>
      <w:r>
        <w:rPr>
          <w:rFonts w:ascii="Times New Roman" w:hAnsi="Times New Roman"/>
          <w:sz w:val="24"/>
        </w:rPr>
        <w:t>(</w:t>
      </w:r>
      <w:r>
        <w:rPr>
          <w:rFonts w:ascii="Times New Roman" w:hAnsi="Times New Roman"/>
          <w:sz w:val="24"/>
        </w:rPr>
        <w:t>以基金管理人收到提议当日的基金份额计算，下同</w:t>
      </w:r>
      <w:r>
        <w:rPr>
          <w:rFonts w:ascii="Times New Roman" w:hAnsi="Times New Roman"/>
          <w:sz w:val="24"/>
        </w:rPr>
        <w:t>)</w:t>
      </w:r>
      <w:r>
        <w:rPr>
          <w:rFonts w:ascii="Times New Roman" w:hAnsi="Times New Roman"/>
          <w:sz w:val="24"/>
        </w:rPr>
        <w:t>提议时，应当召开基金份额持有人大会：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转换基金运作方式；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变更基金类别；</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变更基金投资目标、投资范围或投资策略；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变更基金份额持有人大会议事程序；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更换基金管理人、基金托管人；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提高基金管理人、基金托管人的报酬标准。但根据法律法规的要求提高该等报酬标准的除外；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本基金与其他基金的合并；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终止基金上市，但因基金不再具备上市条件而被上海证券交易所终止上市的除外；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对基金合同当事人权利、义务产生重大影响的其他事项；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法律法规、基金合同或中国证监会规定的其他情形。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）出现以下情形之一的，可由基金管理人和基金托管人协商后修改，不需召开基金份额持有人大会：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调低基金管理费率、基金托管费率和其他应由基金承担的费用；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proofErr w:type="gramStart"/>
      <w:r>
        <w:rPr>
          <w:rFonts w:ascii="Times New Roman" w:hAnsi="Times New Roman"/>
          <w:sz w:val="24"/>
        </w:rPr>
        <w:t>因相应</w:t>
      </w:r>
      <w:proofErr w:type="gramEnd"/>
      <w:r>
        <w:rPr>
          <w:rFonts w:ascii="Times New Roman" w:hAnsi="Times New Roman"/>
          <w:sz w:val="24"/>
        </w:rPr>
        <w:t>的法律法规发生变动并属于基金合同必须遵照进行变更的情形；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基金合同的变更并不涉及本基金合同当事人权利义务关系发生变化的；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因为当事人名称、住所、法定代表人变更，当事人分立、合并等原因导致基金合同内容必须</w:t>
      </w:r>
      <w:proofErr w:type="gramStart"/>
      <w:r>
        <w:rPr>
          <w:rFonts w:ascii="Times New Roman" w:hAnsi="Times New Roman"/>
          <w:sz w:val="24"/>
        </w:rPr>
        <w:t>作出</w:t>
      </w:r>
      <w:proofErr w:type="gramEnd"/>
      <w:r>
        <w:rPr>
          <w:rFonts w:ascii="Times New Roman" w:hAnsi="Times New Roman"/>
          <w:sz w:val="24"/>
        </w:rPr>
        <w:t>相应变动的；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基金合同的修改对基金份额持有人利益无实质性不利影响的；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经中国证监会允许，基金管理人、交易所和注册登记机构在法律法规、基金合同规定的范围内调整有关基金认购、申购、赎回、交易、转托管、</w:t>
      </w:r>
      <w:proofErr w:type="gramStart"/>
      <w:r>
        <w:rPr>
          <w:rFonts w:ascii="Times New Roman" w:hAnsi="Times New Roman"/>
          <w:sz w:val="24"/>
        </w:rPr>
        <w:t>非交易</w:t>
      </w:r>
      <w:proofErr w:type="gramEnd"/>
      <w:r>
        <w:rPr>
          <w:rFonts w:ascii="Times New Roman" w:hAnsi="Times New Roman"/>
          <w:sz w:val="24"/>
        </w:rPr>
        <w:t>过户等业务的规则；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按照法律法规、基金合同和中国证监会规定不需要召开基金份额持有人大会的其他情形的。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、召集人和召集方式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、召开基金份额持有人大会的通知时间、通知内容、通知方式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）基金份额持有人大会的召集人</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负责选择确定开会时间、地点、方式和权益登记日。召开基金份额持有人大会，召集人必须于会议召开日前</w:t>
      </w:r>
      <w:r>
        <w:rPr>
          <w:rFonts w:ascii="Times New Roman" w:hAnsi="Times New Roman"/>
          <w:sz w:val="24"/>
        </w:rPr>
        <w:t>30</w:t>
      </w:r>
      <w:r>
        <w:rPr>
          <w:rFonts w:ascii="Times New Roman" w:hAnsi="Times New Roman"/>
          <w:sz w:val="24"/>
        </w:rPr>
        <w:t>日在指定媒介公告。基金份额持有人大会通知须至少载明以下内容：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会议召开的时间、地点和出席方式；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w:t>
      </w:r>
      <w:proofErr w:type="gramStart"/>
      <w:r>
        <w:rPr>
          <w:rFonts w:ascii="Times New Roman" w:hAnsi="Times New Roman"/>
          <w:sz w:val="24"/>
        </w:rPr>
        <w:t>拟审议</w:t>
      </w:r>
      <w:proofErr w:type="gramEnd"/>
      <w:r>
        <w:rPr>
          <w:rFonts w:ascii="Times New Roman" w:hAnsi="Times New Roman"/>
          <w:sz w:val="24"/>
        </w:rPr>
        <w:t>的主要事项；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会议形式；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议事程序；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有权出席基金份额持有人大会的权益登记日；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授权委托证明的内容要求</w:t>
      </w:r>
      <w:r>
        <w:rPr>
          <w:rFonts w:ascii="Times New Roman" w:hAnsi="Times New Roman"/>
          <w:sz w:val="24"/>
        </w:rPr>
        <w:t>(</w:t>
      </w:r>
      <w:r>
        <w:rPr>
          <w:rFonts w:ascii="Times New Roman" w:hAnsi="Times New Roman"/>
          <w:sz w:val="24"/>
        </w:rPr>
        <w:t>包括但不限于代理人身份、代理权限和代理有效期限等</w:t>
      </w:r>
      <w:r>
        <w:rPr>
          <w:rFonts w:ascii="Times New Roman" w:hAnsi="Times New Roman"/>
          <w:sz w:val="24"/>
        </w:rPr>
        <w:t>)</w:t>
      </w:r>
      <w:r>
        <w:rPr>
          <w:rFonts w:ascii="Times New Roman" w:hAnsi="Times New Roman"/>
          <w:sz w:val="24"/>
        </w:rPr>
        <w:t>、送达时间和地点；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表决方式；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会务常设联系人姓名、电话；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出席会议者必须准备的文件和必须履行的手续；</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召集人需要通知的其他事项。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Times New Roman" w:hAnsi="Times New Roman"/>
          <w:sz w:val="24"/>
        </w:rPr>
        <w:t>拒不派</w:t>
      </w:r>
      <w:proofErr w:type="gramEnd"/>
      <w:r>
        <w:rPr>
          <w:rFonts w:ascii="Times New Roman" w:hAnsi="Times New Roman"/>
          <w:sz w:val="24"/>
        </w:rPr>
        <w:t>代表对书面表决意见的计票进行监督的，不影响计票和表决结果。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基金份额持有人大会的召开方式包括现场开会和通讯方式开会。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现场开会由基金份额持有人本人出席或通过授权委托证明委派其代理人出席，现场开会时基金管理人和基金托管人的授权代表应当出席，基金管理人或基金托管人</w:t>
      </w:r>
      <w:proofErr w:type="gramStart"/>
      <w:r>
        <w:rPr>
          <w:rFonts w:ascii="Times New Roman" w:hAnsi="Times New Roman"/>
          <w:sz w:val="24"/>
        </w:rPr>
        <w:t>拒不派</w:t>
      </w:r>
      <w:proofErr w:type="gramEnd"/>
      <w:r>
        <w:rPr>
          <w:rFonts w:ascii="Times New Roman" w:hAnsi="Times New Roman"/>
          <w:sz w:val="24"/>
        </w:rPr>
        <w:t>代表出席的，不影响表决效力。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通讯方式</w:t>
      </w:r>
      <w:proofErr w:type="gramStart"/>
      <w:r>
        <w:rPr>
          <w:rFonts w:ascii="Times New Roman" w:hAnsi="Times New Roman"/>
          <w:sz w:val="24"/>
        </w:rPr>
        <w:t>开会指</w:t>
      </w:r>
      <w:proofErr w:type="gramEnd"/>
      <w:r>
        <w:rPr>
          <w:rFonts w:ascii="Times New Roman" w:hAnsi="Times New Roman"/>
          <w:sz w:val="24"/>
        </w:rPr>
        <w:t>按照本基金合同的相关规定以通讯的书面方式进行表决。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会议的召开方式由召集人确定，但决定基金管理人更换或基金托管人更换、终止基金合同的事宜必须以现场开会方式召开基金份额持有人大会。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在同时符合以下条件时，现场会议方可举行：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经核对、汇总，到会者出示的在权益登记日持有基金份额的凭证显示，全部有效凭证所对应的基金份额应占权益登记日基金总份额的</w:t>
      </w:r>
      <w:r>
        <w:rPr>
          <w:rFonts w:ascii="Times New Roman" w:hAnsi="Times New Roman"/>
          <w:sz w:val="24"/>
        </w:rPr>
        <w:t>50%</w:t>
      </w:r>
      <w:r>
        <w:rPr>
          <w:rFonts w:ascii="Times New Roman" w:hAnsi="Times New Roman"/>
          <w:sz w:val="24"/>
        </w:rPr>
        <w:t>以上；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② </w:t>
      </w:r>
      <w:r>
        <w:rPr>
          <w:rFonts w:ascii="Times New Roman" w:hAnsi="Times New Roman"/>
          <w:sz w:val="24"/>
        </w:rPr>
        <w:t>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未能满足上述条件的情况下，则召集人可另行确定并公告重新开会的时间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和地点，但确定有权出席会议的基金份额持有人资格的权益登记日不变。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在同时符合以下条件时，通讯会议方可举行：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召集人在基金托管人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和公证机关的监督下按照会议通知规定的方式收取和统计基金份额持有人的书面表决意见，基金管理人或基金托管人经通知拒不参加收取和统计书面表决意见的，不影响表决效力；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本人直接出具书面意见或授权他人代表出具书面意见的基金份额持有人所代表的基金份额应占权益登记日基金总份额的</w:t>
      </w:r>
      <w:r>
        <w:rPr>
          <w:rFonts w:ascii="Times New Roman" w:hAnsi="Times New Roman"/>
          <w:sz w:val="24"/>
        </w:rPr>
        <w:t>50%</w:t>
      </w:r>
      <w:r>
        <w:rPr>
          <w:rFonts w:ascii="Times New Roman" w:hAnsi="Times New Roman"/>
          <w:sz w:val="24"/>
        </w:rPr>
        <w:t>以上；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如果开会条件达不到上述的条件，则召集人可另行确定并公告重新表决的时间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，且确定有权出席会议的基金份额持有人资格的权益登记日不变。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议事内容为本基金合同规定的召开基金份额持有人大会事由所涉及的内容。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以上的基金份额持有人可以在大会召集人发出会议通知前就召开事由向大会召集人提交需由基金份额持有人大会审议表决的提案；也可以在会议通知发出后向大会召集</w:t>
      </w:r>
      <w:r>
        <w:rPr>
          <w:rFonts w:ascii="Times New Roman" w:hAnsi="Times New Roman"/>
          <w:sz w:val="24"/>
        </w:rPr>
        <w:lastRenderedPageBreak/>
        <w:t>人提交临时提案，临时提案应当在大会召开日前</w:t>
      </w:r>
      <w:r>
        <w:rPr>
          <w:rFonts w:ascii="Times New Roman" w:hAnsi="Times New Roman"/>
          <w:sz w:val="24"/>
        </w:rPr>
        <w:t>35</w:t>
      </w:r>
      <w:r>
        <w:rPr>
          <w:rFonts w:ascii="Times New Roman" w:hAnsi="Times New Roman"/>
          <w:sz w:val="24"/>
        </w:rPr>
        <w:t>日提交召集人。召集人对于临时提案应当在大会召开日前</w:t>
      </w:r>
      <w:r>
        <w:rPr>
          <w:rFonts w:ascii="Times New Roman" w:hAnsi="Times New Roman"/>
          <w:sz w:val="24"/>
        </w:rPr>
        <w:t>30</w:t>
      </w:r>
      <w:r>
        <w:rPr>
          <w:rFonts w:ascii="Times New Roman" w:hAnsi="Times New Roman"/>
          <w:sz w:val="24"/>
        </w:rPr>
        <w:t>日公告。否则，会议的召开日期应当顺延并保证至少与临时提案公告日期有</w:t>
      </w:r>
      <w:r>
        <w:rPr>
          <w:rFonts w:ascii="Times New Roman" w:hAnsi="Times New Roman"/>
          <w:sz w:val="24"/>
        </w:rPr>
        <w:t>30</w:t>
      </w:r>
      <w:r>
        <w:rPr>
          <w:rFonts w:ascii="Times New Roman" w:hAnsi="Times New Roman"/>
          <w:sz w:val="24"/>
        </w:rPr>
        <w:t>日的间隔期。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对于基金份额持有人提交的提案</w:t>
      </w:r>
      <w:r>
        <w:rPr>
          <w:rFonts w:ascii="Times New Roman" w:hAnsi="Times New Roman"/>
          <w:sz w:val="24"/>
        </w:rPr>
        <w:t>(</w:t>
      </w:r>
      <w:r>
        <w:rPr>
          <w:rFonts w:ascii="Times New Roman" w:hAnsi="Times New Roman"/>
          <w:sz w:val="24"/>
        </w:rPr>
        <w:t>包括临时提案</w:t>
      </w:r>
      <w:r>
        <w:rPr>
          <w:rFonts w:ascii="Times New Roman" w:hAnsi="Times New Roman"/>
          <w:sz w:val="24"/>
        </w:rPr>
        <w:t>)</w:t>
      </w:r>
      <w:r>
        <w:rPr>
          <w:rFonts w:ascii="Times New Roman" w:hAnsi="Times New Roman"/>
          <w:sz w:val="24"/>
        </w:rPr>
        <w:t>，大会召集人应当按照以下原则对提案进行审核：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程序性。大会召集人可以对基金份额持有人的提案涉及的程序性问题</w:t>
      </w:r>
      <w:proofErr w:type="gramStart"/>
      <w:r>
        <w:rPr>
          <w:rFonts w:ascii="Times New Roman" w:hAnsi="Times New Roman"/>
          <w:sz w:val="24"/>
        </w:rPr>
        <w:t>作出</w:t>
      </w:r>
      <w:proofErr w:type="gramEnd"/>
      <w:r>
        <w:rPr>
          <w:rFonts w:ascii="Times New Roman" w:hAnsi="Times New Roman"/>
          <w:sz w:val="24"/>
        </w:rPr>
        <w:t>决定。如将其提案进行分拆或合并表决，需征得原提案人同意；原提案人不同意变更的，大会主持人可以就程序性问题提请基金份额持有人大会</w:t>
      </w:r>
      <w:proofErr w:type="gramStart"/>
      <w:r>
        <w:rPr>
          <w:rFonts w:ascii="Times New Roman" w:hAnsi="Times New Roman"/>
          <w:sz w:val="24"/>
        </w:rPr>
        <w:t>作出</w:t>
      </w:r>
      <w:proofErr w:type="gramEnd"/>
      <w:r>
        <w:rPr>
          <w:rFonts w:ascii="Times New Roman" w:hAnsi="Times New Roman"/>
          <w:sz w:val="24"/>
        </w:rPr>
        <w:t>决定，并按照基金份额持有人大会决定的程序进行审议。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基金份额持有人大会的召集人发出召开会议的通知后，如果需要对原有提案进行修改，应当最迟在基金份额持有人大会召开日前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以上多数选举产生一名代表作为该次基金份额持有人大会的主持人。基金管理人和基金托</w:t>
      </w:r>
      <w:r>
        <w:rPr>
          <w:rFonts w:ascii="Times New Roman" w:hAnsi="Times New Roman"/>
          <w:sz w:val="24"/>
        </w:rPr>
        <w:lastRenderedPageBreak/>
        <w:t>管人不出席或主持基金份额持有人大会，不影响基金份额持有人大会</w:t>
      </w:r>
      <w:proofErr w:type="gramStart"/>
      <w:r>
        <w:rPr>
          <w:rFonts w:ascii="Times New Roman" w:hAnsi="Times New Roman"/>
          <w:sz w:val="24"/>
        </w:rPr>
        <w:t>作出</w:t>
      </w:r>
      <w:proofErr w:type="gramEnd"/>
      <w:r>
        <w:rPr>
          <w:rFonts w:ascii="Times New Roman" w:hAnsi="Times New Roman"/>
          <w:sz w:val="24"/>
        </w:rPr>
        <w:t>的决议的效力。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召集人应当制作出席会议人员的签名册。签名</w:t>
      </w:r>
      <w:proofErr w:type="gramStart"/>
      <w:r>
        <w:rPr>
          <w:rFonts w:ascii="Times New Roman" w:hAnsi="Times New Roman"/>
          <w:sz w:val="24"/>
        </w:rPr>
        <w:t>册</w:t>
      </w:r>
      <w:proofErr w:type="gramEnd"/>
      <w:r>
        <w:rPr>
          <w:rFonts w:ascii="Times New Roman" w:hAnsi="Times New Roman"/>
          <w:sz w:val="24"/>
        </w:rPr>
        <w:t>载明参加会议人员姓名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、身份证号码、持有或代表有表决权的基金份额数量、委托人姓名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等事项。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通讯方式开会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日公布提案，在所通知的表决截止日期第</w:t>
      </w:r>
      <w:r>
        <w:rPr>
          <w:rFonts w:ascii="Times New Roman" w:hAnsi="Times New Roman"/>
          <w:sz w:val="24"/>
        </w:rPr>
        <w:t>2</w:t>
      </w:r>
      <w:r>
        <w:rPr>
          <w:rFonts w:ascii="Times New Roman" w:hAnsi="Times New Roman"/>
          <w:sz w:val="24"/>
        </w:rPr>
        <w:t>个工作日在公证机构和基金托管人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监督下由召集人统计全部有效表决并形成决议，基金管理人或基金托管人经通知拒不参加收取和统计书面表决意见的，不影响表决效力。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、决议形成的条件、表决方式、程序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一般决议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一般决议须经出席会议的基金份额持有人及其代理人所持表决权的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特别决议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w:t>
      </w:r>
      <w:r>
        <w:rPr>
          <w:rFonts w:ascii="Times New Roman" w:hAnsi="Times New Roman"/>
          <w:sz w:val="24"/>
        </w:rPr>
        <w:lastRenderedPageBreak/>
        <w:t>开审议、逐项表决。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w:t>
      </w:r>
      <w:proofErr w:type="gramStart"/>
      <w:r>
        <w:rPr>
          <w:rFonts w:ascii="Times New Roman" w:hAnsi="Times New Roman"/>
          <w:sz w:val="24"/>
        </w:rPr>
        <w:t>则基金</w:t>
      </w:r>
      <w:proofErr w:type="gramEnd"/>
      <w:r>
        <w:rPr>
          <w:rFonts w:ascii="Times New Roman" w:hAnsi="Times New Roman"/>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Times New Roman" w:hAnsi="Times New Roman"/>
          <w:sz w:val="24"/>
        </w:rPr>
        <w:t>或大会</w:t>
      </w:r>
      <w:proofErr w:type="gramEnd"/>
      <w:r>
        <w:rPr>
          <w:rFonts w:ascii="Times New Roman" w:hAnsi="Times New Roman"/>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Times New Roman" w:hAnsi="Times New Roman"/>
          <w:sz w:val="24"/>
        </w:rPr>
        <w:t>3</w:t>
      </w:r>
      <w:r>
        <w:rPr>
          <w:rFonts w:ascii="Times New Roman" w:hAnsi="Times New Roman"/>
          <w:sz w:val="24"/>
        </w:rPr>
        <w:t>名基金份额持有人担任监票人。基金管理人或基金托管人不出席大会的，不影响计票的效力及表决结果。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）通讯方式开会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在通讯方式开会的情况下，计票方式为：由大会召集人授权的两名监督员在基金托管人授权代表</w:t>
      </w:r>
      <w:r>
        <w:rPr>
          <w:rFonts w:ascii="Times New Roman" w:hAnsi="Times New Roman"/>
          <w:sz w:val="24"/>
        </w:rPr>
        <w:t>(</w:t>
      </w:r>
      <w:r>
        <w:rPr>
          <w:rFonts w:ascii="Times New Roman" w:hAnsi="Times New Roman"/>
          <w:sz w:val="24"/>
        </w:rPr>
        <w:t>如果基金托管人为召集人，则为基金管理人授权代表</w:t>
      </w:r>
      <w:r>
        <w:rPr>
          <w:rFonts w:ascii="Times New Roman" w:hAnsi="Times New Roman"/>
          <w:sz w:val="24"/>
        </w:rPr>
        <w:t>)</w:t>
      </w:r>
      <w:r>
        <w:rPr>
          <w:rFonts w:ascii="Times New Roman" w:hAnsi="Times New Roman"/>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Times New Roman" w:hAnsi="Times New Roman"/>
          <w:sz w:val="24"/>
        </w:rPr>
        <w:t>方担任</w:t>
      </w:r>
      <w:proofErr w:type="gramEnd"/>
      <w:r>
        <w:rPr>
          <w:rFonts w:ascii="Times New Roman" w:hAnsi="Times New Roman"/>
          <w:sz w:val="24"/>
        </w:rPr>
        <w:t>监督计票人员。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日内报中国证监会核准或者备案。关于本部分第</w:t>
      </w:r>
      <w:r>
        <w:rPr>
          <w:rFonts w:ascii="Times New Roman" w:hAnsi="Times New Roman"/>
          <w:sz w:val="24"/>
        </w:rPr>
        <w:t>2</w:t>
      </w:r>
      <w:r>
        <w:rPr>
          <w:rFonts w:ascii="Times New Roman" w:hAnsi="Times New Roman"/>
          <w:sz w:val="24"/>
        </w:rPr>
        <w:t>条所规定的第</w:t>
      </w:r>
      <w:r>
        <w:rPr>
          <w:rFonts w:ascii="Times New Roman" w:hAnsi="Times New Roman"/>
          <w:sz w:val="24"/>
        </w:rPr>
        <w:t>1)-9)</w:t>
      </w:r>
      <w:proofErr w:type="gramStart"/>
      <w:r>
        <w:rPr>
          <w:rFonts w:ascii="Times New Roman" w:hAnsi="Times New Roman"/>
          <w:sz w:val="24"/>
        </w:rPr>
        <w:t>项召开</w:t>
      </w:r>
      <w:proofErr w:type="gramEnd"/>
      <w:r>
        <w:rPr>
          <w:rFonts w:ascii="Times New Roman" w:hAnsi="Times New Roman"/>
          <w:sz w:val="24"/>
        </w:rPr>
        <w:t>事由的基金份额持有人大会决议经中国证监会核准生效后方可执行，关于本部分第</w:t>
      </w:r>
      <w:r>
        <w:rPr>
          <w:rFonts w:ascii="Times New Roman" w:hAnsi="Times New Roman"/>
          <w:sz w:val="24"/>
        </w:rPr>
        <w:t>2</w:t>
      </w:r>
      <w:r>
        <w:rPr>
          <w:rFonts w:ascii="Times New Roman" w:hAnsi="Times New Roman"/>
          <w:sz w:val="24"/>
        </w:rPr>
        <w:t>条所规定的第</w:t>
      </w:r>
      <w:r>
        <w:rPr>
          <w:rFonts w:ascii="Times New Roman" w:hAnsi="Times New Roman"/>
          <w:sz w:val="24"/>
        </w:rPr>
        <w:t>10)</w:t>
      </w:r>
      <w:r>
        <w:rPr>
          <w:rFonts w:ascii="Times New Roman" w:hAnsi="Times New Roman"/>
          <w:sz w:val="24"/>
        </w:rPr>
        <w:t>、</w:t>
      </w:r>
      <w:r>
        <w:rPr>
          <w:rFonts w:ascii="Times New Roman" w:hAnsi="Times New Roman"/>
          <w:sz w:val="24"/>
        </w:rPr>
        <w:t>11)</w:t>
      </w:r>
      <w:proofErr w:type="gramStart"/>
      <w:r>
        <w:rPr>
          <w:rFonts w:ascii="Times New Roman" w:hAnsi="Times New Roman"/>
          <w:sz w:val="24"/>
        </w:rPr>
        <w:t>项召开</w:t>
      </w:r>
      <w:proofErr w:type="gramEnd"/>
      <w:r>
        <w:rPr>
          <w:rFonts w:ascii="Times New Roman" w:hAnsi="Times New Roman"/>
          <w:sz w:val="24"/>
        </w:rPr>
        <w:t>事由的基金份额持有人大会决议经中国证监会核准或出具无异议意见后方可执行。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）生效的基金份额持有人大会决议对全体基金份额持有人、基金管理人、基金托管人均有约束力。基金管理人、基金托管人和基金份额持有人应当执行生效的基金份额持有人大会的决定。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日内在指定媒介公告。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）如果采用通讯方式进行表决，在公告基金份额持有人大会决议时，必须将公证书全文、公证机关、公证员姓名等一同公告。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、法律法规或中国证监会对基金份额持有人大会另有规定的，从其规定。</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）下列涉及到基金合同内容变更的事项应召</w:t>
      </w:r>
      <w:proofErr w:type="gramStart"/>
      <w:r>
        <w:rPr>
          <w:rFonts w:ascii="Times New Roman" w:hAnsi="Times New Roman"/>
          <w:sz w:val="24"/>
        </w:rPr>
        <w:t>开基金</w:t>
      </w:r>
      <w:proofErr w:type="gramEnd"/>
      <w:r>
        <w:rPr>
          <w:rFonts w:ascii="Times New Roman" w:hAnsi="Times New Roman"/>
          <w:sz w:val="24"/>
        </w:rPr>
        <w:t>份额持有人大会并经基金份额持有人大会决议同意：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转换基金运作方式；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变更基金类别；</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变更基金投资目标、投资范围或投资策略；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变更基金份额持有人大会议事程序；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更换基金管理人、基金托管人；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提高基金管理人、基金托管人的报酬标准。但根据法律法规的要求提高该等报酬标准的除外；</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对基金合同当事人权利、义务产生重大影响，需召开基金份额持有人大会的变更基金合同等其他事项；</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法律法规、基金合同或中国证监会规定的其他情形。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但出现下列情况时，可不经基金份额持有人大会决议，由基金管理人和基金托管人同意变更后公布经修订的基金合同，并报中国证监会备案：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调低基金管理费率、基金托管费率和其他应由基金承担的费用；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2) </w:t>
      </w:r>
      <w:proofErr w:type="gramStart"/>
      <w:r>
        <w:rPr>
          <w:rFonts w:ascii="Times New Roman" w:hAnsi="Times New Roman"/>
          <w:sz w:val="24"/>
        </w:rPr>
        <w:t>因相应</w:t>
      </w:r>
      <w:proofErr w:type="gramEnd"/>
      <w:r>
        <w:rPr>
          <w:rFonts w:ascii="Times New Roman" w:hAnsi="Times New Roman"/>
          <w:sz w:val="24"/>
        </w:rPr>
        <w:t>的法律法规发生变动并属于基金合同必须遵照进行变更的情形；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3) </w:t>
      </w:r>
      <w:r>
        <w:rPr>
          <w:rFonts w:ascii="Times New Roman" w:hAnsi="Times New Roman"/>
          <w:sz w:val="24"/>
        </w:rPr>
        <w:t>基金合同的变更并不涉及本基金合同当事人权利义务关系发生变化的；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4) </w:t>
      </w:r>
      <w:r>
        <w:rPr>
          <w:rFonts w:ascii="Times New Roman" w:hAnsi="Times New Roman"/>
          <w:sz w:val="24"/>
        </w:rPr>
        <w:t>因为当事人名称、住所、法定代表人变更，当事人分立、合并等原因导致基金合同内容必须</w:t>
      </w:r>
      <w:proofErr w:type="gramStart"/>
      <w:r>
        <w:rPr>
          <w:rFonts w:ascii="Times New Roman" w:hAnsi="Times New Roman"/>
          <w:sz w:val="24"/>
        </w:rPr>
        <w:t>作出</w:t>
      </w:r>
      <w:proofErr w:type="gramEnd"/>
      <w:r>
        <w:rPr>
          <w:rFonts w:ascii="Times New Roman" w:hAnsi="Times New Roman"/>
          <w:sz w:val="24"/>
        </w:rPr>
        <w:t>相应变动的；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5) </w:t>
      </w:r>
      <w:r>
        <w:rPr>
          <w:rFonts w:ascii="Times New Roman" w:hAnsi="Times New Roman"/>
          <w:sz w:val="24"/>
        </w:rPr>
        <w:t>基金合同的修改对基金份额持有人利益无实质性不利影响的；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经中国证监会允许，基金管理人、交易所和注册登记机构在法律法规、基金合同规定的范围内调整有关基金认购、申购、赎回、交易、转托管、</w:t>
      </w:r>
      <w:proofErr w:type="gramStart"/>
      <w:r>
        <w:rPr>
          <w:rFonts w:ascii="Times New Roman" w:hAnsi="Times New Roman"/>
          <w:sz w:val="24"/>
        </w:rPr>
        <w:t>非交易</w:t>
      </w:r>
      <w:proofErr w:type="gramEnd"/>
      <w:r>
        <w:rPr>
          <w:rFonts w:ascii="Times New Roman" w:hAnsi="Times New Roman"/>
          <w:sz w:val="24"/>
        </w:rPr>
        <w:t>过户等业务的规则；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按照法律法规、基金合同和中国证监会规定不需要召开基金份额持有人大会的其他情形的。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）关于变更基金合同的基金份额持有人大会决议经中国证监会核准或备案，并经中国证监会核准或出具无异议意见之日起生效。基金管理人应在上述基金份额持有人大会决议生效后</w:t>
      </w:r>
      <w:r>
        <w:rPr>
          <w:rFonts w:ascii="Times New Roman" w:hAnsi="Times New Roman"/>
          <w:sz w:val="24"/>
        </w:rPr>
        <w:t>2</w:t>
      </w:r>
      <w:r>
        <w:rPr>
          <w:rFonts w:ascii="Times New Roman" w:hAnsi="Times New Roman"/>
          <w:sz w:val="24"/>
        </w:rPr>
        <w:t>日内在指定媒介上公告。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有下列情形之一的，本基金合同经中国证监会核准后将终止：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本基金合同适用中华人民共和国法律并从其解释。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（五）基金合同存放地和投资者取得基金合同的方式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本基金合同可印制成册，</w:t>
      </w:r>
      <w:proofErr w:type="gramStart"/>
      <w:r>
        <w:rPr>
          <w:rFonts w:ascii="Times New Roman" w:hAnsi="Times New Roman"/>
          <w:sz w:val="24"/>
        </w:rPr>
        <w:t>供基金</w:t>
      </w:r>
      <w:proofErr w:type="gramEnd"/>
      <w:r>
        <w:rPr>
          <w:rFonts w:ascii="Times New Roman" w:hAnsi="Times New Roman"/>
          <w:sz w:val="24"/>
        </w:rPr>
        <w:t>投资者在基金管理人、基金托管人办公场所查阅。基金合同条款及内容应以基金合同正本为准。</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5" w:name="_Toc54104400"/>
      <w:r>
        <w:rPr>
          <w:rFonts w:ascii="Times New Roman" w:hAnsi="Times New Roman"/>
          <w:sz w:val="30"/>
        </w:rPr>
        <w:lastRenderedPageBreak/>
        <w:t>二十二、托管协议的内容摘要</w:t>
      </w:r>
      <w:bookmarkEnd w:id="25"/>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w:t>
      </w:r>
      <w:proofErr w:type="gramStart"/>
      <w:r>
        <w:rPr>
          <w:rFonts w:ascii="Times New Roman" w:hAnsi="Times New Roman"/>
          <w:sz w:val="24"/>
        </w:rPr>
        <w:t>监基金字</w:t>
      </w:r>
      <w:proofErr w:type="gramEnd"/>
      <w:r>
        <w:rPr>
          <w:rFonts w:ascii="Times New Roman" w:hAnsi="Times New Roman"/>
          <w:sz w:val="24"/>
        </w:rPr>
        <w:t>【</w:t>
      </w:r>
      <w:r>
        <w:rPr>
          <w:rFonts w:ascii="Times New Roman" w:hAnsi="Times New Roman"/>
          <w:sz w:val="24"/>
        </w:rPr>
        <w:t>2005</w:t>
      </w:r>
      <w:r>
        <w:rPr>
          <w:rFonts w:ascii="Times New Roman" w:hAnsi="Times New Roman"/>
          <w:sz w:val="24"/>
        </w:rPr>
        <w:t>】</w:t>
      </w:r>
      <w:r>
        <w:rPr>
          <w:rFonts w:ascii="Times New Roman" w:hAnsi="Times New Roman"/>
          <w:sz w:val="24"/>
        </w:rPr>
        <w:t>128</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注册资本：贰亿元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w:t>
      </w:r>
      <w:proofErr w:type="gramStart"/>
      <w:r>
        <w:rPr>
          <w:rFonts w:ascii="Times New Roman" w:hAnsi="Times New Roman"/>
          <w:sz w:val="24"/>
        </w:rPr>
        <w:t>凯</w:t>
      </w:r>
      <w:proofErr w:type="gramEnd"/>
      <w:r>
        <w:rPr>
          <w:rFonts w:ascii="Times New Roman" w:hAnsi="Times New Roman"/>
          <w:sz w:val="24"/>
        </w:rPr>
        <w:t>晨世贸中心东座</w:t>
      </w:r>
      <w:r>
        <w:rPr>
          <w:rFonts w:ascii="Times New Roman" w:hAnsi="Times New Roman"/>
          <w:sz w:val="24"/>
        </w:rPr>
        <w:t>9F</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w:t>
      </w:r>
      <w:r>
        <w:rPr>
          <w:rFonts w:ascii="Times New Roman" w:hAnsi="Times New Roman"/>
          <w:sz w:val="24"/>
        </w:rPr>
        <w:lastRenderedPageBreak/>
        <w:t>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Times New Roman" w:hAnsi="Times New Roman"/>
          <w:sz w:val="24"/>
        </w:rPr>
        <w:t xml:space="preserve"> </w:t>
      </w:r>
      <w:proofErr w:type="gramStart"/>
      <w:r>
        <w:rPr>
          <w:rFonts w:ascii="Times New Roman" w:hAnsi="Times New Roman"/>
          <w:sz w:val="24"/>
        </w:rPr>
        <w:t>券</w:t>
      </w:r>
      <w:proofErr w:type="gramEnd"/>
      <w:r>
        <w:rPr>
          <w:rFonts w:ascii="Times New Roman" w:hAnsi="Times New Roman"/>
          <w:sz w:val="24"/>
        </w:rPr>
        <w:t>投资托管业务；代理开放式基金业务；电话银行、手机银行、网上银行业务；金融衍生产品交易业务；经国务院银行业监督管理机构等监管部门批准的其他业务。</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proofErr w:type="gramStart"/>
      <w:r>
        <w:rPr>
          <w:rFonts w:ascii="Times New Roman" w:hAnsi="Times New Roman"/>
          <w:sz w:val="24"/>
        </w:rPr>
        <w:t>以上证</w:t>
      </w:r>
      <w:proofErr w:type="gramEnd"/>
      <w:r>
        <w:rPr>
          <w:rFonts w:ascii="Times New Roman" w:hAnsi="Times New Roman"/>
          <w:sz w:val="24"/>
        </w:rPr>
        <w:t>180</w:t>
      </w:r>
      <w:r>
        <w:rPr>
          <w:rFonts w:ascii="Times New Roman" w:hAnsi="Times New Roman"/>
          <w:sz w:val="24"/>
        </w:rPr>
        <w:t>公司治理指数成份股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、备选成份股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为主要投资对象，把全部或接近全部的基金资产用于跟踪标的指数的表现，正常情况下指数</w:t>
      </w:r>
      <w:proofErr w:type="gramStart"/>
      <w:r>
        <w:rPr>
          <w:rFonts w:ascii="Times New Roman" w:hAnsi="Times New Roman"/>
          <w:sz w:val="24"/>
        </w:rPr>
        <w:t>化投资</w:t>
      </w:r>
      <w:proofErr w:type="gramEnd"/>
      <w:r>
        <w:rPr>
          <w:rFonts w:ascii="Times New Roman" w:hAnsi="Times New Roman"/>
          <w:sz w:val="24"/>
        </w:rPr>
        <w:t>比例，即投资于标的指数成份股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和备选成份股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331C93" w:rsidRPr="00611D45">
        <w:rPr>
          <w:rFonts w:ascii="Times New Roman" w:hAnsi="Times New Roman" w:hint="eastAsia"/>
          <w:bCs/>
          <w:sz w:val="24"/>
        </w:rPr>
        <w:t>（</w:t>
      </w:r>
      <w:proofErr w:type="gramStart"/>
      <w:r w:rsidR="00331C93" w:rsidRPr="00611D45">
        <w:rPr>
          <w:rFonts w:ascii="Times New Roman" w:hAnsi="Times New Roman" w:hint="eastAsia"/>
          <w:bCs/>
          <w:sz w:val="24"/>
        </w:rPr>
        <w:t>含存托</w:t>
      </w:r>
      <w:proofErr w:type="gramEnd"/>
      <w:r w:rsidR="00331C93" w:rsidRPr="00611D45">
        <w:rPr>
          <w:rFonts w:ascii="Times New Roman" w:hAnsi="Times New Roman" w:hint="eastAsia"/>
          <w:bCs/>
          <w:sz w:val="24"/>
        </w:rPr>
        <w:t>凭证）</w:t>
      </w:r>
      <w:r>
        <w:rPr>
          <w:rFonts w:ascii="Times New Roman" w:hAnsi="Times New Roman"/>
          <w:sz w:val="24"/>
        </w:rPr>
        <w:t>、债券及中国证监会允许基金投资的其它金融工具。如因标的指数成份股调整、基金份额申购赎回清单内现金替代、现金差额等因素导致基金投资比例不符合上述标准的，基金管理人将在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个交易日内进行调整。法律法规或监管机构日后允许本基金投资的其他品种（如股指期货等），基金管理人在履行适当程序后，可以将其纳入投资范围。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。投资于其他权证</w:t>
      </w:r>
      <w:r>
        <w:rPr>
          <w:rFonts w:ascii="Times New Roman" w:hAnsi="Times New Roman"/>
          <w:sz w:val="24"/>
        </w:rPr>
        <w:lastRenderedPageBreak/>
        <w:t>的投资比例，遵从法律法规或监管部门的相关规定。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）本基金与私募类</w:t>
      </w:r>
      <w:proofErr w:type="gramStart"/>
      <w:r>
        <w:rPr>
          <w:rFonts w:ascii="Times New Roman" w:hAnsi="Times New Roman"/>
          <w:sz w:val="24"/>
        </w:rPr>
        <w:t>证券资管产品</w:t>
      </w:r>
      <w:proofErr w:type="gramEnd"/>
      <w:r>
        <w:rPr>
          <w:rFonts w:ascii="Times New Roman" w:hAnsi="Times New Roman"/>
          <w:sz w:val="24"/>
        </w:rPr>
        <w:t>及中国证监会认定的其他主体为交易对手开展逆回购交易的，可接受质押品的资质要求应当与基金合同约定的投资范围保持一致；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）本基金不得违反基金合同中有关投资范围、投资策略、投资比例的规定；</w:t>
      </w:r>
    </w:p>
    <w:p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7</w:t>
      </w:r>
      <w:r>
        <w:rPr>
          <w:rFonts w:ascii="Times New Roman" w:hAnsi="Times New Roman"/>
          <w:sz w:val="24"/>
        </w:rPr>
        <w:t>）</w:t>
      </w:r>
      <w:r w:rsidR="00331C93" w:rsidRPr="00331C93">
        <w:rPr>
          <w:rFonts w:ascii="Times New Roman" w:hAnsi="Times New Roman" w:hint="eastAsia"/>
          <w:bCs/>
          <w:sz w:val="24"/>
        </w:rPr>
        <w:t>本基金投资存托凭证的比例限制依照境内上市交易的股票执行；</w:t>
      </w:r>
    </w:p>
    <w:p w:rsidR="00502561" w:rsidRDefault="00331C93" w:rsidP="00331C93">
      <w:pPr>
        <w:autoSpaceDE w:val="0"/>
        <w:autoSpaceDN w:val="0"/>
        <w:adjustRightInd w:val="0"/>
        <w:snapToGrid w:val="0"/>
        <w:spacing w:line="360" w:lineRule="auto"/>
        <w:ind w:firstLineChars="200" w:firstLine="480"/>
        <w:rPr>
          <w:rFonts w:ascii="宋体" w:hAnsi="宋体"/>
          <w:szCs w:val="24"/>
        </w:rPr>
      </w:pPr>
      <w:r w:rsidRPr="00331C93">
        <w:rPr>
          <w:rFonts w:ascii="Times New Roman" w:hAnsi="Times New Roman" w:hint="eastAsia"/>
          <w:bCs/>
          <w:sz w:val="24"/>
        </w:rPr>
        <w:t>（</w:t>
      </w:r>
      <w:r w:rsidRPr="00331C93">
        <w:rPr>
          <w:rFonts w:ascii="Times New Roman" w:hAnsi="Times New Roman" w:hint="eastAsia"/>
          <w:bCs/>
          <w:sz w:val="24"/>
        </w:rPr>
        <w:t>8</w:t>
      </w:r>
      <w:r w:rsidRPr="00331C93">
        <w:rPr>
          <w:rFonts w:ascii="Times New Roman" w:hAnsi="Times New Roman" w:hint="eastAsia"/>
          <w:bCs/>
          <w:sz w:val="24"/>
        </w:rPr>
        <w:t>）</w:t>
      </w:r>
      <w:r w:rsidR="00D13B45">
        <w:rPr>
          <w:rFonts w:ascii="Times New Roman" w:hAnsi="Times New Roman"/>
          <w:sz w:val="24"/>
        </w:rPr>
        <w:t>法律法规或监管部门对上述比例限制另有规定的，从其规定。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）项外，因证券市场波动、上市公司合并、基金规模变动、标的指数成分股调整、基金申购或赎回带来现金等非本基金管理人的因素致使基金投资组合不符合上述规定的投资比例的，基金管理人应当在</w:t>
      </w:r>
      <w:r>
        <w:rPr>
          <w:rFonts w:ascii="Times New Roman" w:hAnsi="Times New Roman"/>
          <w:sz w:val="24"/>
        </w:rPr>
        <w:t>10</w:t>
      </w:r>
      <w:r>
        <w:rPr>
          <w:rFonts w:ascii="Times New Roman" w:hAnsi="Times New Roman"/>
          <w:sz w:val="24"/>
        </w:rPr>
        <w:t>个交易日内进行调整。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3</w:t>
      </w:r>
      <w:r>
        <w:rPr>
          <w:rFonts w:ascii="Times New Roman" w:hAnsi="Times New Roman"/>
          <w:sz w:val="24"/>
        </w:rPr>
        <w:t>个月内使基金的投资组合比例符合基金合同的有关约定。法律法规或监管部门另有规定的，从其规定。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上述投资组合限制条款中，若属法律法规的强制性规定，则当法律法规或监管部门取消上述限制，在履行适当程序后，本基金投资可不受上述规定限制。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502561" w:rsidRDefault="00D13B45">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若基金</w:t>
      </w:r>
      <w:proofErr w:type="gramEnd"/>
      <w:r>
        <w:rPr>
          <w:rFonts w:ascii="Times New Roman" w:hAnsi="Times New Roman"/>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w:t>
      </w:r>
      <w:r>
        <w:rPr>
          <w:rFonts w:ascii="Times New Roman" w:hAnsi="Times New Roman"/>
          <w:sz w:val="24"/>
        </w:rPr>
        <w:lastRenderedPageBreak/>
        <w:t>成的损失，并向中国证监会报告。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3</w:t>
      </w:r>
      <w:r>
        <w:rPr>
          <w:rFonts w:ascii="Times New Roman" w:hAnsi="Times New Roman"/>
          <w:sz w:val="24"/>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 xml:space="preserve">, </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、基金管理人有义务配合和协助基金托管人依照法律法规、基金合同和本托管协议对基金业务执行核查。对基金托管人发出的书面提示，基金管理人应在规定</w:t>
      </w:r>
      <w:r>
        <w:rPr>
          <w:rFonts w:ascii="Times New Roman" w:hAnsi="Times New Roman"/>
          <w:sz w:val="24"/>
        </w:rPr>
        <w:lastRenderedPageBreak/>
        <w:t>时间内答复并改正，或就基金托管人的疑义进行解释或举证；对基金托管人按照法规要求需向中国证监会报送基金监督报告的事项，基金管理人应积极配合提供相关数据资料和制度等。</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Times New Roman" w:hAnsi="Times New Roman"/>
          <w:sz w:val="24"/>
        </w:rPr>
        <w:t xml:space="preserve">, </w:t>
      </w:r>
      <w:r>
        <w:rPr>
          <w:rFonts w:ascii="Times New Roman" w:hAnsi="Times New Roman"/>
          <w:sz w:val="24"/>
        </w:rPr>
        <w:t>督促基金托管人改正。基金托管人应积极配合基金管理人的核查行为，包括但不限于：提交相关资料以</w:t>
      </w:r>
      <w:proofErr w:type="gramStart"/>
      <w:r>
        <w:rPr>
          <w:rFonts w:ascii="Times New Roman" w:hAnsi="Times New Roman"/>
          <w:sz w:val="24"/>
        </w:rPr>
        <w:t>供基金</w:t>
      </w:r>
      <w:proofErr w:type="gramEnd"/>
      <w:r>
        <w:rPr>
          <w:rFonts w:ascii="Times New Roman" w:hAnsi="Times New Roman"/>
          <w:sz w:val="24"/>
        </w:rPr>
        <w:t>管理人核查托管财产的完整性和真实性，在规定时间内答复基金管理人并改正。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w:t>
      </w:r>
      <w:proofErr w:type="gramStart"/>
      <w:r>
        <w:rPr>
          <w:rFonts w:ascii="Times New Roman" w:hAnsi="Times New Roman"/>
          <w:sz w:val="24"/>
        </w:rPr>
        <w:t>作出</w:t>
      </w:r>
      <w:proofErr w:type="gramEnd"/>
      <w:r>
        <w:rPr>
          <w:rFonts w:ascii="Times New Roman" w:hAnsi="Times New Roman"/>
          <w:sz w:val="24"/>
        </w:rPr>
        <w:t>的</w:t>
      </w:r>
      <w:r>
        <w:rPr>
          <w:rFonts w:ascii="Times New Roman" w:hAnsi="Times New Roman"/>
          <w:sz w:val="24"/>
        </w:rPr>
        <w:lastRenderedPageBreak/>
        <w:t>合法合</w:t>
      </w:r>
      <w:proofErr w:type="gramStart"/>
      <w:r>
        <w:rPr>
          <w:rFonts w:ascii="Times New Roman" w:hAnsi="Times New Roman"/>
          <w:sz w:val="24"/>
        </w:rPr>
        <w:t>规</w:t>
      </w:r>
      <w:proofErr w:type="gramEnd"/>
      <w:r>
        <w:rPr>
          <w:rFonts w:ascii="Times New Roman" w:hAnsi="Times New Roman"/>
          <w:sz w:val="24"/>
        </w:rPr>
        <w:t>指令，基金托管人不得自行运用、处分、分配基金的任何财产。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认（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满或基金停止募集时，募集的基金份额总额、基金募集金额、基金份额持有人人数符合《基金法》、《运作办法》等有关规定后，基金管理人应将募集到的全部资金划入基金托管人为基金开立的基金资金账户，网下股票认购所募集到的股票划入以基金托管人和基金联名方式开立的证券账户下，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名以上中国注册会计师签字方为有效。基金托管人在收到资金和股票当日出具确认文件。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募集期限届满，未能达到基金合同生效的条件，由基金管理人按规定办理退款和募集股票解冻的事宜，基金托管人应提供充分协助。</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、基金资金账户的开立和管理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w:t>
      </w:r>
      <w:proofErr w:type="gramStart"/>
      <w:r>
        <w:rPr>
          <w:rFonts w:ascii="Times New Roman" w:hAnsi="Times New Roman"/>
          <w:sz w:val="24"/>
        </w:rPr>
        <w:t>规</w:t>
      </w:r>
      <w:proofErr w:type="gramEnd"/>
      <w:r>
        <w:rPr>
          <w:rFonts w:ascii="Times New Roman" w:hAnsi="Times New Roman"/>
          <w:sz w:val="24"/>
        </w:rPr>
        <w:t>的指令办理资金收付。本基金的银行预留印鉴由基金托管人保管和使用。本基金的一切货币收支活动，包括但不限于投资、支付或收取现金差额、支付或收取现金替代款、支付或收取现金</w:t>
      </w:r>
      <w:proofErr w:type="gramStart"/>
      <w:r>
        <w:rPr>
          <w:rFonts w:ascii="Times New Roman" w:hAnsi="Times New Roman"/>
          <w:sz w:val="24"/>
        </w:rPr>
        <w:t>替代款</w:t>
      </w:r>
      <w:proofErr w:type="gramEnd"/>
      <w:r>
        <w:rPr>
          <w:rFonts w:ascii="Times New Roman" w:hAnsi="Times New Roman"/>
          <w:sz w:val="24"/>
        </w:rPr>
        <w:t>的多退少补、支付基金收益，均需通过本基金的资金账户进行。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）基金资金账户的开立和使用，限于满足开展本基金业务的需要。基金托</w:t>
      </w:r>
      <w:r>
        <w:rPr>
          <w:rFonts w:ascii="Times New Roman" w:hAnsi="Times New Roman"/>
          <w:sz w:val="24"/>
        </w:rPr>
        <w:lastRenderedPageBreak/>
        <w:t>管人和基金管理人不得假借本基金的名义开立任何其他银行账户；亦不得使用基金的任何账户进行本基金业务以外的活动。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）基金资金账户的开立和管理应符合相关法律法规的有关规定。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w:t>
      </w:r>
      <w:proofErr w:type="gramStart"/>
      <w:r>
        <w:rPr>
          <w:rFonts w:ascii="Times New Roman" w:hAnsi="Times New Roman"/>
          <w:sz w:val="24"/>
        </w:rPr>
        <w:t>则基金</w:t>
      </w:r>
      <w:proofErr w:type="gramEnd"/>
      <w:r>
        <w:rPr>
          <w:rFonts w:ascii="Times New Roman" w:hAnsi="Times New Roman"/>
          <w:sz w:val="24"/>
        </w:rPr>
        <w:t>托管人应当比照并遵守上述关于账户开设、使用的规定。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、投资人申购或赎回时现金替代、现金差额的查收与划付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基金托管人应根据注册登记机构的交收指令办理本基金因申购、赎回产生的现金替代、现金差额的结算。现金替代的退款和补款由基金管理人负责办理。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、债券托管专户的开设和管理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管理人负责以基金的名义申请并取得进入全国银行间同业拆借市场的交易资格，并代表基金进行交易；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、其他账户的开立和管理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）因业务发展需要而开立的其他账户，可以根据法律法规和基金合同的规定，在基金管理人和基金托管人商议后由基金托管人负责开立。新账户按有关规则使用并管理。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、基金财产投资的有关有价凭证等的保管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托管人以外机构实际有效控制的证券不承担保管责任。</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、与基金财产有关的重大合同的保管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（五）基金资产估值、基金资产净值计算与复核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基金资产净值是指基金资产总值减去负债后的金额。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基金份额净值是指基金资产净值除以基金份额总数。基金份额净值的计算，精确到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每工作日计算基金资产净值及基金份额净值，并按规定公告。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基金管理人每工作日对基金资产进行估值后，将基金份额净值结果发送基金托管人，经基金托管人复核无误后，由基金管理人对外公布。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）估值方法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上市股票的估值：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未上市股票的估值。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、首次发行未上市的股票，采用估值技术确定公允价值，在估值技术难以可靠计量公允价值的情况下，按成本价估值；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、送股、转增股、配股和增发等方式发行的股票，按估值日在证券交易所上市的同一股票的市价进行估值；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、首次公开发行有明确锁定期的股票，同一股票在交易所上市后，按估值日在证券交易所上市的同一股票的市价进行估值；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、非公开发行的且在发行时明确一定期限锁定期的股票，按监管机构或行业协会有关规定确定公允价值。</w:t>
      </w:r>
    </w:p>
    <w:p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③</w:t>
      </w:r>
      <w:r w:rsidR="00331C93" w:rsidRPr="00331C93">
        <w:rPr>
          <w:rFonts w:ascii="Times New Roman" w:hAnsi="Times New Roman" w:hint="eastAsia"/>
          <w:bCs/>
          <w:sz w:val="24"/>
        </w:rPr>
        <w:t>本基金投资存托凭证的估值核算依照境内上市交易的股票执行。</w:t>
      </w:r>
    </w:p>
    <w:p w:rsidR="00502561" w:rsidRDefault="00331C93">
      <w:pPr>
        <w:autoSpaceDE w:val="0"/>
        <w:autoSpaceDN w:val="0"/>
        <w:adjustRightInd w:val="0"/>
        <w:snapToGrid w:val="0"/>
        <w:spacing w:line="360" w:lineRule="auto"/>
        <w:ind w:firstLineChars="200" w:firstLine="480"/>
        <w:rPr>
          <w:rFonts w:ascii="宋体" w:hAnsi="宋体"/>
          <w:szCs w:val="24"/>
        </w:rPr>
      </w:pPr>
      <w:r>
        <w:rPr>
          <w:rFonts w:ascii="宋体" w:hAnsi="宋体" w:cs="宋体" w:hint="eastAsia"/>
          <w:sz w:val="24"/>
        </w:rPr>
        <w:t>④</w:t>
      </w:r>
      <w:r w:rsidR="00D13B45">
        <w:rPr>
          <w:rFonts w:ascii="Times New Roman" w:hAnsi="Times New Roman"/>
          <w:sz w:val="24"/>
        </w:rPr>
        <w:t>在任何情况下，基金管理人如采用本项第</w:t>
      </w:r>
      <w:r w:rsidR="00D13B45">
        <w:rPr>
          <w:rFonts w:ascii="Times New Roman" w:hAnsi="Times New Roman"/>
          <w:sz w:val="24"/>
        </w:rPr>
        <w:t>①</w:t>
      </w:r>
      <w:r w:rsidR="00D13B45">
        <w:rPr>
          <w:rFonts w:ascii="Times New Roman" w:hAnsi="Times New Roman"/>
          <w:sz w:val="24"/>
        </w:rPr>
        <w:t>－</w:t>
      </w:r>
      <w:r>
        <w:rPr>
          <w:rFonts w:ascii="宋体" w:hAnsi="宋体" w:cs="宋体" w:hint="eastAsia"/>
          <w:sz w:val="24"/>
        </w:rPr>
        <w:t>③</w:t>
      </w:r>
      <w:r w:rsidR="00D13B45">
        <w:rPr>
          <w:rFonts w:ascii="Times New Roman" w:hAnsi="Times New Roman"/>
          <w:sz w:val="24"/>
        </w:rPr>
        <w:t>小项规定的方法对基金资产进行估值，均应被认为采用了适当的估值方法。但是，如果基金管理人认为按本项第</w:t>
      </w:r>
      <w:r w:rsidR="00D13B45">
        <w:rPr>
          <w:rFonts w:ascii="Times New Roman" w:hAnsi="Times New Roman"/>
          <w:sz w:val="24"/>
        </w:rPr>
        <w:t>①</w:t>
      </w:r>
      <w:r w:rsidR="00D13B45">
        <w:rPr>
          <w:rFonts w:ascii="Times New Roman" w:hAnsi="Times New Roman"/>
          <w:sz w:val="24"/>
        </w:rPr>
        <w:t>－</w:t>
      </w:r>
      <w:r>
        <w:rPr>
          <w:rFonts w:ascii="宋体" w:hAnsi="宋体" w:cs="宋体" w:hint="eastAsia"/>
          <w:sz w:val="24"/>
        </w:rPr>
        <w:t>③</w:t>
      </w:r>
      <w:r w:rsidR="00D13B45">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rsidR="00502561" w:rsidRDefault="00331C93">
      <w:pPr>
        <w:autoSpaceDE w:val="0"/>
        <w:autoSpaceDN w:val="0"/>
        <w:adjustRightInd w:val="0"/>
        <w:snapToGrid w:val="0"/>
        <w:spacing w:line="360" w:lineRule="auto"/>
        <w:ind w:firstLineChars="200" w:firstLine="480"/>
        <w:rPr>
          <w:rFonts w:ascii="宋体" w:hAnsi="宋体"/>
          <w:szCs w:val="24"/>
        </w:rPr>
      </w:pPr>
      <w:r>
        <w:rPr>
          <w:rFonts w:ascii="宋体" w:hAnsi="宋体" w:cs="宋体" w:hint="eastAsia"/>
          <w:sz w:val="24"/>
        </w:rPr>
        <w:t>⑤</w:t>
      </w:r>
      <w:r w:rsidR="00D13B45">
        <w:rPr>
          <w:rFonts w:ascii="Times New Roman" w:hAnsi="Times New Roman"/>
          <w:sz w:val="24"/>
        </w:rPr>
        <w:t>国家有最新规定的，按其规定进行估值。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）债券估值办法：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交易所市场上市交易或挂牌转让的固定收益品种（另有规定的除外），选取第三方估值机构提供的相应品种当日的估值净价进行估值。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w:t>
      </w:r>
      <w:r>
        <w:rPr>
          <w:rFonts w:ascii="Times New Roman" w:hAnsi="Times New Roman"/>
          <w:sz w:val="24"/>
        </w:rPr>
        <w:lastRenderedPageBreak/>
        <w:t>日收盘价，确定公允价值进行估值。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首次发行未上市债券采用估值技术确定的公允价值进行估值，在估值技术难以可靠计量公允价值的情况下，按成本估值。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交易所以大宗交易方式转让的资产支持证券，采用估值技术确定公允价值，在估值技术难以可靠计量公允价值的情况下，按成本进行后续计量。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⑤ </w:t>
      </w:r>
      <w:r>
        <w:rPr>
          <w:rFonts w:ascii="Times New Roman" w:hAnsi="Times New Roman"/>
          <w:sz w:val="24"/>
        </w:rPr>
        <w:t>在全国银行间债券市场交易的债券、资产支持证券等固定收益品种，采用估值技术确定公允价值。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⑥ </w:t>
      </w:r>
      <w:r>
        <w:rPr>
          <w:rFonts w:ascii="Times New Roman" w:hAnsi="Times New Roman"/>
          <w:sz w:val="24"/>
        </w:rPr>
        <w:t>同一债券同时在两个或两个以上市场交易的，按债券所处的市场分别估值。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⑦ </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⑧ </w:t>
      </w:r>
      <w:r>
        <w:rPr>
          <w:rFonts w:ascii="Times New Roman" w:hAnsi="Times New Roman"/>
          <w:sz w:val="24"/>
        </w:rPr>
        <w:t>国家有最新规定的，按其规定进行估值。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）权证估值方法：</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首次发行未上市的权证，采用估值技术确定公允价值，在估值技术难以可靠计量公允价值的情况下，按成本估值。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因持有股票而享有的配股权，以及停止交易、但未行权的权证，采用估值技术确定公允价值进行估值。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⑤ </w:t>
      </w:r>
      <w:r>
        <w:rPr>
          <w:rFonts w:ascii="Times New Roman" w:hAnsi="Times New Roman"/>
          <w:sz w:val="24"/>
        </w:rPr>
        <w:t>国家有最新规定的，按其规定进行估值。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）其他有价证券等资产按国家有关规定进行估值。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基金管理人、基金托管人按股票估值方法的第</w:t>
      </w:r>
      <w:r w:rsidR="0002786E">
        <w:rPr>
          <w:rFonts w:ascii="宋体" w:hAnsi="宋体" w:cs="宋体" w:hint="eastAsia"/>
          <w:sz w:val="24"/>
        </w:rPr>
        <w:t>④</w:t>
      </w:r>
      <w:r>
        <w:rPr>
          <w:rFonts w:ascii="Times New Roman" w:hAnsi="Times New Roman"/>
          <w:sz w:val="24"/>
        </w:rPr>
        <w:t>项、债券估值方法的第</w:t>
      </w:r>
      <w:r>
        <w:rPr>
          <w:rFonts w:ascii="Times New Roman" w:hAnsi="Times New Roman"/>
          <w:sz w:val="24"/>
        </w:rPr>
        <w:t>⑦</w:t>
      </w:r>
      <w:r>
        <w:rPr>
          <w:rFonts w:ascii="Times New Roman" w:hAnsi="Times New Roman"/>
          <w:sz w:val="24"/>
        </w:rPr>
        <w:t>项、权证估值方法的第</w:t>
      </w:r>
      <w:r>
        <w:rPr>
          <w:rFonts w:ascii="Times New Roman" w:hAnsi="Times New Roman"/>
          <w:sz w:val="24"/>
        </w:rPr>
        <w:t>④</w:t>
      </w:r>
      <w:r>
        <w:rPr>
          <w:rFonts w:ascii="Times New Roman" w:hAnsi="Times New Roman"/>
          <w:sz w:val="24"/>
        </w:rPr>
        <w:t>项进行估值时，所造成的误差不作为基金份额净值错误处理。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w:t>
      </w:r>
      <w:r>
        <w:rPr>
          <w:rFonts w:ascii="Times New Roman" w:hAnsi="Times New Roman"/>
          <w:sz w:val="24"/>
        </w:rPr>
        <w:t>(</w:t>
      </w:r>
      <w:r>
        <w:rPr>
          <w:rFonts w:ascii="Times New Roman" w:hAnsi="Times New Roman"/>
          <w:sz w:val="24"/>
        </w:rPr>
        <w:t>含第</w:t>
      </w:r>
      <w:r>
        <w:rPr>
          <w:rFonts w:ascii="Times New Roman" w:hAnsi="Times New Roman"/>
          <w:sz w:val="24"/>
        </w:rPr>
        <w:t>3</w:t>
      </w:r>
      <w:r>
        <w:rPr>
          <w:rFonts w:ascii="Times New Roman" w:hAnsi="Times New Roman"/>
          <w:sz w:val="24"/>
        </w:rPr>
        <w:t>位</w:t>
      </w:r>
      <w:r>
        <w:rPr>
          <w:rFonts w:ascii="Times New Roman" w:hAnsi="Times New Roman"/>
          <w:sz w:val="24"/>
        </w:rPr>
        <w:t>)</w:t>
      </w:r>
      <w:r>
        <w:rPr>
          <w:rFonts w:ascii="Times New Roman" w:hAnsi="Times New Roman"/>
          <w:sz w:val="24"/>
        </w:rPr>
        <w:t>发生差错时，视为基金份额净值错误；基金份额净值出现错误时，基金管理人应当立即予以纠正，通报基金托管人，并采取合理的措施防止损失进一步扩大；错误偏差达到或超过基金资产净值的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0.50%</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proofErr w:type="gramStart"/>
      <w:r>
        <w:rPr>
          <w:rFonts w:ascii="Times New Roman" w:hAnsi="Times New Roman"/>
          <w:sz w:val="24"/>
        </w:rPr>
        <w:t>若基金</w:t>
      </w:r>
      <w:proofErr w:type="gramEnd"/>
      <w:r>
        <w:rPr>
          <w:rFonts w:ascii="Times New Roman" w:hAnsi="Times New Roman"/>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Pr>
          <w:rFonts w:ascii="Times New Roman" w:hAnsi="Times New Roman"/>
          <w:sz w:val="24"/>
        </w:rPr>
        <w:lastRenderedPageBreak/>
        <w:t>人负责赔付。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由于基金管理人提供的信息错误（包括但不限于基金申购或赎回金额等），基金托管人在采取必要的措施后仍不能发现该错误，进而导致基金份额净值计算错误而引起的基金份额持有人和基金的损失，由基金管理人负责赔付。</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）基金管理人和基金托管人由于各自技术系统设置而产生的净值计算尾差，以基金管理人计算结果为准。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公允价值存在重大不确定性时，经与基金托管人协商确认后，基金管理人应当暂停估值；</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）中国证监会和基金合同认定的其他情形。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Times New Roman" w:hAnsi="Times New Roman"/>
          <w:sz w:val="24"/>
        </w:rPr>
        <w:t>若基金</w:t>
      </w:r>
      <w:proofErr w:type="gramEnd"/>
      <w:r>
        <w:rPr>
          <w:rFonts w:ascii="Times New Roman" w:hAnsi="Times New Roman"/>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、基金财务报表与定期报告的编制和复核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）财务报表的编制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基金财务报表由基金管理人和基金托管人每</w:t>
      </w:r>
      <w:proofErr w:type="gramStart"/>
      <w:r>
        <w:rPr>
          <w:rFonts w:ascii="Times New Roman" w:hAnsi="Times New Roman"/>
          <w:sz w:val="24"/>
        </w:rPr>
        <w:t>月分别独立</w:t>
      </w:r>
      <w:proofErr w:type="gramEnd"/>
      <w:r>
        <w:rPr>
          <w:rFonts w:ascii="Times New Roman" w:hAnsi="Times New Roman"/>
          <w:sz w:val="24"/>
        </w:rPr>
        <w:t>编制。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）财务报表的编制与复核时间安排</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）报表的编制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基金管理人应当在每月结束后</w:t>
      </w:r>
      <w:r>
        <w:rPr>
          <w:rFonts w:ascii="Times New Roman" w:hAnsi="Times New Roman"/>
          <w:sz w:val="24"/>
        </w:rPr>
        <w:t>5</w:t>
      </w:r>
      <w:r>
        <w:rPr>
          <w:rFonts w:ascii="Times New Roman" w:hAnsi="Times New Roman"/>
          <w:sz w:val="24"/>
        </w:rPr>
        <w:t>个工作日内完成月度报表的编制；在季度结束之日起</w:t>
      </w:r>
      <w:r>
        <w:rPr>
          <w:rFonts w:ascii="Times New Roman" w:hAnsi="Times New Roman"/>
          <w:sz w:val="24"/>
        </w:rPr>
        <w:t>15</w:t>
      </w:r>
      <w:r>
        <w:rPr>
          <w:rFonts w:ascii="Times New Roman" w:hAnsi="Times New Roman"/>
          <w:sz w:val="24"/>
        </w:rPr>
        <w:t>个工作日内完成季度报告的编制；在上半年结束之日起两个月内完成基金中期报告的编制；在每年结束之日起三个月内完成基金年度报告的编制。基金年度报告中的财务会计报告应当经过具有证券相关业务资格的会计师事务所审计。基金合同生效不足两个月的，基金管理人可以不编制当期季度报告、中期报告或者年度报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）报表的复核</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基金管理人应留足充分的时间，便于基金托管人复核相关报表及报告。中期报告复核时间为</w:t>
      </w:r>
      <w:r>
        <w:rPr>
          <w:rFonts w:ascii="Times New Roman" w:hAnsi="Times New Roman"/>
          <w:sz w:val="24"/>
        </w:rPr>
        <w:t>20</w:t>
      </w:r>
      <w:r>
        <w:rPr>
          <w:rFonts w:ascii="Times New Roman" w:hAnsi="Times New Roman"/>
          <w:sz w:val="24"/>
        </w:rPr>
        <w:t>日，年度报告复核时间为</w:t>
      </w:r>
      <w:r>
        <w:rPr>
          <w:rFonts w:ascii="Times New Roman" w:hAnsi="Times New Roman"/>
          <w:sz w:val="24"/>
        </w:rPr>
        <w:t>30</w:t>
      </w:r>
      <w:r>
        <w:rPr>
          <w:rFonts w:ascii="Times New Roman" w:hAnsi="Times New Roman"/>
          <w:sz w:val="24"/>
        </w:rPr>
        <w:t>日。基金托管人复核完毕，应出具相应的复核确认书。</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、基金管理人应每周向基金托管人提供基金业绩比较基准的基础数据和编制结果。</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（六）基金份额持有人名册的登记与保管</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w:t>
      </w:r>
      <w:r>
        <w:rPr>
          <w:rFonts w:ascii="Times New Roman" w:hAnsi="Times New Roman"/>
          <w:sz w:val="24"/>
        </w:rPr>
        <w:lastRenderedPageBreak/>
        <w:t>内容至少应包括持有人的名称和持有的基金份额。</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roofErr w:type="gramStart"/>
      <w:r>
        <w:rPr>
          <w:rFonts w:ascii="Times New Roman" w:hAnsi="Times New Roman"/>
          <w:sz w:val="24"/>
        </w:rPr>
        <w:t>若基金</w:t>
      </w:r>
      <w:proofErr w:type="gramEnd"/>
      <w:r>
        <w:rPr>
          <w:rFonts w:ascii="Times New Roman" w:hAnsi="Times New Roman"/>
          <w:sz w:val="24"/>
        </w:rPr>
        <w:t>管理人或基金托管人由于自身原因无法妥善保管基金份额持有人名册，应按有关法规规定各自承担相应的责任。</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）本基金合同终止；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w:t>
      </w:r>
      <w:r>
        <w:rPr>
          <w:rFonts w:ascii="Times New Roman" w:hAnsi="Times New Roman"/>
          <w:sz w:val="24"/>
        </w:rPr>
        <w:lastRenderedPageBreak/>
        <w:t>权；</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6" w:name="_Toc54104401"/>
      <w:r>
        <w:rPr>
          <w:rFonts w:ascii="Times New Roman" w:hAnsi="Times New Roman"/>
          <w:sz w:val="30"/>
        </w:rPr>
        <w:lastRenderedPageBreak/>
        <w:t>二十三、对基金份额持有人的服务</w:t>
      </w:r>
      <w:bookmarkEnd w:id="26"/>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对本基金份额持有人的服务主要由基金管理人、发售代理机构以及申购赎回代理券商提供。本基金管理人根据基金份额持有人的需要和市场的变化，有权增加或变更服务项目。主要服务内容如下：</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投资者如果想查询基金净值、相关公告、基金产品与服务等信息，请拨打本基金管理</w:t>
      </w:r>
      <w:proofErr w:type="gramStart"/>
      <w:r>
        <w:rPr>
          <w:rFonts w:ascii="Times New Roman" w:hAnsi="Times New Roman"/>
          <w:sz w:val="24"/>
        </w:rPr>
        <w:t>人客户</w:t>
      </w:r>
      <w:proofErr w:type="gramEnd"/>
      <w:r>
        <w:rPr>
          <w:rFonts w:ascii="Times New Roman" w:hAnsi="Times New Roman"/>
          <w:sz w:val="24"/>
        </w:rPr>
        <w:t>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7" w:name="_Toc54104402"/>
      <w:r>
        <w:rPr>
          <w:rFonts w:ascii="Times New Roman" w:hAnsi="Times New Roman"/>
          <w:sz w:val="30"/>
        </w:rPr>
        <w:lastRenderedPageBreak/>
        <w:t>二十四、其他应披露事项</w:t>
      </w:r>
      <w:bookmarkEnd w:id="27"/>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502561">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02561" w:rsidRDefault="00502561">
            <w:pPr>
              <w:widowControl/>
              <w:snapToGrid w:val="0"/>
              <w:jc w:val="left"/>
              <w:rPr>
                <w:rFonts w:ascii="宋体" w:hAnsi="宋体"/>
                <w:color w:val="000000"/>
                <w:kern w:val="0"/>
                <w:sz w:val="25"/>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关于旗下上海证券交易所上市基金增加</w:t>
            </w:r>
            <w:proofErr w:type="gramStart"/>
            <w:r>
              <w:rPr>
                <w:rFonts w:ascii="Times New Roman" w:hAnsi="Times New Roman"/>
                <w:color w:val="000000"/>
                <w:kern w:val="0"/>
                <w:sz w:val="25"/>
                <w:szCs w:val="24"/>
              </w:rPr>
              <w:t>扩位证券</w:t>
            </w:r>
            <w:proofErr w:type="gramEnd"/>
            <w:r>
              <w:rPr>
                <w:rFonts w:ascii="Times New Roman" w:hAnsi="Times New Roman"/>
                <w:color w:val="000000"/>
                <w:kern w:val="0"/>
                <w:sz w:val="25"/>
                <w:szCs w:val="24"/>
              </w:rPr>
              <w:t>简称的公告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2020-03-14</w:t>
            </w:r>
          </w:p>
        </w:tc>
      </w:tr>
      <w:tr w:rsidR="00502561">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终止泰诚财富</w:t>
            </w:r>
            <w:proofErr w:type="gramEnd"/>
            <w:r>
              <w:rPr>
                <w:rFonts w:ascii="Times New Roman" w:hAnsi="Times New Roman"/>
                <w:color w:val="000000"/>
                <w:kern w:val="0"/>
                <w:sz w:val="25"/>
                <w:szCs w:val="24"/>
              </w:rPr>
              <w:t>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公司治理交易型开放式指数证券投资基金标的指数许可使用费并修改法律文件的公告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502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bl>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8" w:name="_Toc54104403"/>
      <w:r>
        <w:rPr>
          <w:rFonts w:ascii="Times New Roman" w:hAnsi="Times New Roman"/>
          <w:sz w:val="30"/>
        </w:rPr>
        <w:lastRenderedPageBreak/>
        <w:t>二十五、招募说明书的存放及查阅方式</w:t>
      </w:r>
      <w:bookmarkEnd w:id="28"/>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02561" w:rsidRDefault="00D13B45">
      <w:pPr>
        <w:pStyle w:val="1"/>
        <w:snapToGrid w:val="0"/>
        <w:spacing w:beforeLines="0" w:before="240" w:after="240"/>
        <w:rPr>
          <w:rFonts w:ascii="宋体" w:hAnsi="宋体"/>
          <w:szCs w:val="30"/>
        </w:rPr>
      </w:pPr>
      <w:bookmarkStart w:id="29" w:name="_Toc54104404"/>
      <w:r>
        <w:rPr>
          <w:rFonts w:ascii="Times New Roman" w:hAnsi="Times New Roman"/>
          <w:sz w:val="30"/>
        </w:rPr>
        <w:lastRenderedPageBreak/>
        <w:t>二十六、备查文件</w:t>
      </w:r>
      <w:bookmarkEnd w:id="29"/>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（一）中国证监会核准上证</w:t>
      </w:r>
      <w:r>
        <w:rPr>
          <w:rFonts w:ascii="Times New Roman" w:hAnsi="Times New Roman"/>
          <w:sz w:val="24"/>
        </w:rPr>
        <w:t>180</w:t>
      </w:r>
      <w:r>
        <w:rPr>
          <w:rFonts w:ascii="Times New Roman" w:hAnsi="Times New Roman"/>
          <w:sz w:val="24"/>
        </w:rPr>
        <w:t>公司治理交易型开放式指数证券投资基金募集的文件</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（二）《上证</w:t>
      </w:r>
      <w:r>
        <w:rPr>
          <w:rFonts w:ascii="Times New Roman" w:hAnsi="Times New Roman"/>
          <w:sz w:val="24"/>
        </w:rPr>
        <w:t>180</w:t>
      </w:r>
      <w:r>
        <w:rPr>
          <w:rFonts w:ascii="Times New Roman" w:hAnsi="Times New Roman"/>
          <w:sz w:val="24"/>
        </w:rPr>
        <w:t>公司治理交易型开放式指数证券投资基金基金合同》</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（三）《上证</w:t>
      </w:r>
      <w:r>
        <w:rPr>
          <w:rFonts w:ascii="Times New Roman" w:hAnsi="Times New Roman"/>
          <w:sz w:val="24"/>
        </w:rPr>
        <w:t>180</w:t>
      </w:r>
      <w:r>
        <w:rPr>
          <w:rFonts w:ascii="Times New Roman" w:hAnsi="Times New Roman"/>
          <w:sz w:val="24"/>
        </w:rPr>
        <w:t>公司治理交易型开放式指数证券投资基金托管协议》</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（六）关于申请募集上证</w:t>
      </w:r>
      <w:r>
        <w:rPr>
          <w:rFonts w:ascii="Times New Roman" w:hAnsi="Times New Roman"/>
          <w:sz w:val="24"/>
        </w:rPr>
        <w:t>180</w:t>
      </w:r>
      <w:r>
        <w:rPr>
          <w:rFonts w:ascii="Times New Roman" w:hAnsi="Times New Roman"/>
          <w:sz w:val="24"/>
        </w:rPr>
        <w:t>公司治理交易型开放式指数证券投资基金之法律意见书</w:t>
      </w:r>
    </w:p>
    <w:sectPr w:rsidR="00502561">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7A" w:rsidRDefault="00FF667A">
      <w:r>
        <w:separator/>
      </w:r>
    </w:p>
  </w:endnote>
  <w:endnote w:type="continuationSeparator" w:id="0">
    <w:p w:rsidR="00FF667A" w:rsidRDefault="00F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F4" w:rsidRDefault="00B4529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EF4" w:rsidRDefault="00DE2EF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499F">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DE2EF4" w:rsidRDefault="00DE2EF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499F">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F4" w:rsidRDefault="00B4529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EF4" w:rsidRDefault="00DE2EF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499F">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DE2EF4" w:rsidRDefault="00DE2EF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499F">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7A" w:rsidRDefault="00FF667A">
      <w:r>
        <w:separator/>
      </w:r>
    </w:p>
  </w:footnote>
  <w:footnote w:type="continuationSeparator" w:id="0">
    <w:p w:rsidR="00FF667A" w:rsidRDefault="00FF6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F4" w:rsidRDefault="00B45293">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E2EF4" w:rsidRDefault="00DE2EF4">
    <w:pPr>
      <w:pStyle w:val="a3"/>
      <w:jc w:val="right"/>
      <w:rPr>
        <w:rFonts w:ascii="宋体" w:hAnsi="宋体"/>
      </w:rPr>
    </w:pPr>
    <w:r>
      <w:rPr>
        <w:rFonts w:ascii="宋体" w:hAnsi="宋体" w:hint="eastAsia"/>
      </w:rPr>
      <w:t>上证180公司治理交易型开放式指数证券投资基金(更新)招募说明书(2020年第2号)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F4" w:rsidRDefault="00DE2EF4">
    <w:pPr>
      <w:pStyle w:val="10"/>
      <w:jc w:val="right"/>
    </w:pPr>
  </w:p>
  <w:p w:rsidR="00DE2EF4" w:rsidRDefault="00DE2EF4">
    <w:pPr>
      <w:pStyle w:val="10"/>
      <w:jc w:val="right"/>
    </w:pPr>
  </w:p>
  <w:p w:rsidR="00DE2EF4" w:rsidRDefault="00DE2EF4">
    <w:pPr>
      <w:pStyle w:val="a3"/>
      <w:jc w:val="right"/>
    </w:pPr>
  </w:p>
  <w:p w:rsidR="00DE2EF4" w:rsidRDefault="00B45293">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E2EF4" w:rsidRDefault="00DE2EF4">
    <w:pPr>
      <w:pStyle w:val="a3"/>
      <w:jc w:val="right"/>
      <w:rPr>
        <w:rFonts w:ascii="宋体" w:hAnsi="宋体"/>
      </w:rPr>
    </w:pPr>
    <w:r>
      <w:rPr>
        <w:rFonts w:ascii="宋体" w:hAnsi="宋体" w:hint="eastAsia"/>
      </w:rPr>
      <w:t>上证180公司治理交易型开放式指数证券投资基金(更新)招募说明书(2020年第</w:t>
    </w:r>
    <w:r>
      <w:rPr>
        <w:rFonts w:ascii="宋体" w:hAnsi="宋体"/>
      </w:rPr>
      <w:t>3</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F4" w:rsidRDefault="00DE2EF4">
    <w:pPr>
      <w:pStyle w:val="a3"/>
      <w:jc w:val="right"/>
    </w:pPr>
  </w:p>
  <w:p w:rsidR="00DE2EF4" w:rsidRDefault="00DE2EF4">
    <w:pPr>
      <w:pStyle w:val="a3"/>
      <w:jc w:val="right"/>
    </w:pPr>
  </w:p>
  <w:p w:rsidR="00DE2EF4" w:rsidRDefault="00DE2EF4">
    <w:pPr>
      <w:pStyle w:val="a3"/>
      <w:jc w:val="right"/>
    </w:pPr>
  </w:p>
  <w:p w:rsidR="00DE2EF4" w:rsidRDefault="00B45293">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E2EF4" w:rsidRDefault="00DE2EF4">
    <w:pPr>
      <w:pStyle w:val="a3"/>
      <w:jc w:val="right"/>
      <w:rPr>
        <w:rFonts w:ascii="宋体" w:hAnsi="宋体"/>
      </w:rPr>
    </w:pPr>
    <w:r>
      <w:rPr>
        <w:rFonts w:ascii="宋体" w:hAnsi="宋体" w:hint="eastAsia"/>
      </w:rPr>
      <w:t>上证180公司治理交易型开放式指数证券投资基金(更新)招募说明书(2020年第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607A"/>
    <w:rsid w:val="0001266E"/>
    <w:rsid w:val="00026A29"/>
    <w:rsid w:val="00026D00"/>
    <w:rsid w:val="0002786E"/>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1C93"/>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561"/>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5E38"/>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70E"/>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0F7C"/>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B74"/>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499F"/>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45293"/>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3689"/>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2750"/>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B45"/>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2EF4"/>
    <w:rsid w:val="00DE3A2B"/>
    <w:rsid w:val="00DE4A81"/>
    <w:rsid w:val="00DE6BE2"/>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A6735"/>
    <w:rsid w:val="00EB2688"/>
    <w:rsid w:val="00EB3E2E"/>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0FF667A"/>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41500-14E0-4E0A-90A0-794F5050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13168</Words>
  <Characters>75059</Characters>
  <Application>Microsoft Office Word</Application>
  <DocSecurity>0</DocSecurity>
  <Lines>625</Lines>
  <Paragraphs>176</Paragraphs>
  <ScaleCrop>false</ScaleCrop>
  <Company>Microsoft</Company>
  <LinksUpToDate>false</LinksUpToDate>
  <CharactersWithSpaces>88051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喻秋燕</cp:lastModifiedBy>
  <cp:revision>5</cp:revision>
  <cp:lastPrinted>2013-02-18T03:10:00Z</cp:lastPrinted>
  <dcterms:created xsi:type="dcterms:W3CDTF">2020-12-16T05:18:00Z</dcterms:created>
  <dcterms:modified xsi:type="dcterms:W3CDTF">2020-12-16T10:25:00Z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