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AA3DF1">
      <w:pPr>
        <w:rPr>
          <w:sz w:val="32"/>
        </w:rPr>
      </w:pPr>
    </w:p>
    <w:p w:rsidR="00C92FC0" w:rsidRPr="00EB07BC" w:rsidRDefault="00AA3DF1">
      <w:pPr>
        <w:rPr>
          <w:sz w:val="32"/>
        </w:rPr>
      </w:pPr>
    </w:p>
    <w:p w:rsidR="00C92FC0" w:rsidRPr="00EB07BC" w:rsidRDefault="00AA3DF1">
      <w:pPr>
        <w:rPr>
          <w:sz w:val="32"/>
        </w:rPr>
      </w:pPr>
    </w:p>
    <w:p w:rsidR="00C92FC0" w:rsidRPr="00EB07BC" w:rsidRDefault="0087043D">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5232A3" w:rsidRDefault="005232A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5232A3" w:rsidRDefault="005232A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5232A3" w:rsidRDefault="0087043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交银施罗德沪港深价值精选灵活配置混合型证券投资基金</w:t>
      </w:r>
    </w:p>
    <w:p w:rsidR="005232A3" w:rsidRDefault="0087043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5232A3" w:rsidRDefault="0087043D">
      <w:pPr>
        <w:snapToGrid w:val="0"/>
        <w:spacing w:line="360" w:lineRule="auto"/>
        <w:jc w:val="center"/>
        <w:rPr>
          <w:rFonts w:ascii="宋体" w:hAnsi="宋体"/>
          <w:b/>
          <w:sz w:val="30"/>
          <w:szCs w:val="30"/>
        </w:rPr>
      </w:pPr>
      <w:r>
        <w:rPr>
          <w:rFonts w:ascii="Times New Roman" w:hAnsi="Times New Roman"/>
          <w:b/>
          <w:color w:val="000000"/>
          <w:sz w:val="32"/>
          <w:szCs w:val="32"/>
        </w:rPr>
        <w:t>(2020</w:t>
      </w:r>
      <w:r>
        <w:rPr>
          <w:rFonts w:ascii="Times New Roman" w:hAnsi="Times New Roman"/>
          <w:b/>
          <w:color w:val="000000"/>
          <w:sz w:val="32"/>
          <w:szCs w:val="32"/>
        </w:rPr>
        <w:t>年</w:t>
      </w:r>
      <w:r w:rsidR="0079478B">
        <w:rPr>
          <w:rFonts w:ascii="Times New Roman" w:hAnsi="Times New Roman"/>
          <w:b/>
          <w:color w:val="000000"/>
          <w:sz w:val="32"/>
          <w:szCs w:val="32"/>
        </w:rPr>
        <w:t>第</w:t>
      </w:r>
      <w:r w:rsidR="0079478B">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87043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5232A3" w:rsidRDefault="0087043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5232A3">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5232A3" w:rsidRDefault="0087043D">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二〇二〇年十</w:t>
      </w:r>
      <w:r w:rsidR="0079478B">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rsidR="005232A3" w:rsidRDefault="005232A3">
      <w:pPr>
        <w:autoSpaceDE w:val="0"/>
        <w:autoSpaceDN w:val="0"/>
        <w:adjustRightInd w:val="0"/>
        <w:snapToGrid w:val="0"/>
        <w:spacing w:line="360" w:lineRule="auto"/>
        <w:ind w:left="1347" w:rightChars="6" w:right="13"/>
        <w:rPr>
          <w:rFonts w:ascii="宋体" w:hAnsi="宋体"/>
          <w:kern w:val="0"/>
          <w:sz w:val="32"/>
          <w:szCs w:val="32"/>
        </w:rPr>
        <w:sectPr w:rsidR="005232A3">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5232A3" w:rsidRDefault="0087043D">
      <w:pPr>
        <w:pStyle w:val="1"/>
        <w:snapToGrid w:val="0"/>
        <w:spacing w:beforeLines="0" w:before="240" w:after="240"/>
        <w:rPr>
          <w:rFonts w:ascii="宋体" w:hAnsi="宋体"/>
          <w:kern w:val="0"/>
        </w:rPr>
      </w:pPr>
      <w:bookmarkStart w:id="0" w:name="_Toc324920538"/>
      <w:bookmarkStart w:id="1" w:name="_Toc496884613"/>
      <w:bookmarkStart w:id="2" w:name="_Toc57389327"/>
      <w:r>
        <w:rPr>
          <w:rFonts w:ascii="Times New Roman" w:hAnsi="Times New Roman"/>
          <w:kern w:val="0"/>
        </w:rPr>
        <w:lastRenderedPageBreak/>
        <w:t>重要提示</w:t>
      </w:r>
      <w:bookmarkEnd w:id="0"/>
      <w:bookmarkEnd w:id="1"/>
      <w:bookmarkEnd w:id="2"/>
    </w:p>
    <w:p w:rsidR="005232A3" w:rsidRDefault="0087043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交银施罗德沪港深价值精选灵活配置混合型证券投资基金（以下简称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18</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1085</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7</w:t>
      </w:r>
      <w:r>
        <w:rPr>
          <w:rFonts w:ascii="Times New Roman" w:hAnsi="Times New Roman"/>
          <w:kern w:val="0"/>
          <w:sz w:val="24"/>
        </w:rPr>
        <w:t>日正式生效。</w:t>
      </w:r>
    </w:p>
    <w:p w:rsidR="005232A3" w:rsidRDefault="0087043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rsidR="005232A3" w:rsidRDefault="0087043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5232A3" w:rsidRDefault="0087043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投资科创板股票的特定风险；投资本基金特有的其他风险等等。本基金是一只混合型基金，其风险和预期收益高于债券型基金和货币市场基金，低于股票型基金。属于承担较高风险、预期收益较高的证券投资基金品种。</w:t>
      </w:r>
    </w:p>
    <w:p w:rsidR="005232A3" w:rsidRDefault="0087043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5232A3" w:rsidRDefault="0087043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本基金投资沪港股票市场交易互联互通机制试点允许买卖的规定范围内的香港联合交易所上市的股票（以下简称</w:t>
      </w:r>
      <w:r>
        <w:rPr>
          <w:rFonts w:ascii="Times New Roman" w:hAnsi="Times New Roman"/>
          <w:kern w:val="0"/>
          <w:sz w:val="24"/>
        </w:rPr>
        <w:t>“</w:t>
      </w:r>
      <w:r>
        <w:rPr>
          <w:rFonts w:ascii="Times New Roman" w:hAnsi="Times New Roman"/>
          <w:kern w:val="0"/>
          <w:sz w:val="24"/>
        </w:rPr>
        <w:t>港股通标的股票</w:t>
      </w:r>
      <w:r>
        <w:rPr>
          <w:rFonts w:ascii="Times New Roman" w:hAnsi="Times New Roman"/>
          <w:kern w:val="0"/>
          <w:sz w:val="24"/>
        </w:rPr>
        <w:t>”</w:t>
      </w:r>
      <w:r>
        <w:rPr>
          <w:rFonts w:ascii="Times New Roman" w:hAnsi="Times New Roman"/>
          <w:kern w:val="0"/>
          <w:sz w:val="24"/>
        </w:rPr>
        <w:t>），会面临港股通机制下</w:t>
      </w:r>
      <w:r>
        <w:rPr>
          <w:rFonts w:ascii="Times New Roman" w:hAnsi="Times New Roman"/>
          <w:kern w:val="0"/>
          <w:sz w:val="24"/>
        </w:rPr>
        <w:lastRenderedPageBreak/>
        <w:t>因投资环境、投资标的、市场制度以及交易规则等差异带来的特有风险，包括港股市场股价波动较大的风险、汇率风险、港股通机制下交易日不连贯可能带来的风险等，具体请见本招募说明书</w:t>
      </w:r>
      <w:r>
        <w:rPr>
          <w:rFonts w:ascii="Times New Roman" w:hAnsi="Times New Roman"/>
          <w:kern w:val="0"/>
          <w:sz w:val="24"/>
        </w:rPr>
        <w:t>“</w:t>
      </w:r>
      <w:r>
        <w:rPr>
          <w:rFonts w:ascii="Times New Roman" w:hAnsi="Times New Roman"/>
          <w:kern w:val="0"/>
          <w:sz w:val="24"/>
        </w:rPr>
        <w:t>十七、风险揭示</w:t>
      </w:r>
      <w:r>
        <w:rPr>
          <w:rFonts w:ascii="Times New Roman" w:hAnsi="Times New Roman"/>
          <w:kern w:val="0"/>
          <w:sz w:val="24"/>
        </w:rPr>
        <w:t>”</w:t>
      </w:r>
      <w:r>
        <w:rPr>
          <w:rFonts w:ascii="Times New Roman" w:hAnsi="Times New Roman"/>
          <w:kern w:val="0"/>
          <w:sz w:val="24"/>
        </w:rPr>
        <w:t>章节。</w:t>
      </w:r>
    </w:p>
    <w:p w:rsidR="005232A3" w:rsidRDefault="0087043D">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基金名称仅表明基金可以通过港股通机制投资港股，基金资产对港股标的投资比例会根据市场情况、投资策略等发生较大的调整，存在不对港股进行投资的可能。</w:t>
      </w:r>
    </w:p>
    <w:p w:rsidR="0079478B" w:rsidRPr="0079478B" w:rsidRDefault="0079478B" w:rsidP="0079478B">
      <w:pPr>
        <w:autoSpaceDE w:val="0"/>
        <w:autoSpaceDN w:val="0"/>
        <w:adjustRightInd w:val="0"/>
        <w:snapToGrid w:val="0"/>
        <w:spacing w:line="360" w:lineRule="auto"/>
        <w:ind w:leftChars="50" w:left="105" w:firstLineChars="200" w:firstLine="480"/>
        <w:rPr>
          <w:rFonts w:ascii="宋体" w:hAnsi="宋体"/>
          <w:kern w:val="0"/>
          <w:sz w:val="24"/>
        </w:rPr>
      </w:pPr>
      <w:r w:rsidRPr="0079478B">
        <w:rPr>
          <w:rFonts w:ascii="宋体"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rsidR="0079478B" w:rsidRDefault="0079478B" w:rsidP="0079478B">
      <w:pPr>
        <w:autoSpaceDE w:val="0"/>
        <w:autoSpaceDN w:val="0"/>
        <w:adjustRightInd w:val="0"/>
        <w:snapToGrid w:val="0"/>
        <w:spacing w:line="360" w:lineRule="auto"/>
        <w:ind w:leftChars="50" w:left="105" w:firstLineChars="200" w:firstLine="480"/>
        <w:rPr>
          <w:rFonts w:ascii="宋体" w:hAnsi="宋体"/>
          <w:kern w:val="0"/>
          <w:sz w:val="24"/>
        </w:rPr>
      </w:pPr>
      <w:r w:rsidRPr="0079478B">
        <w:rPr>
          <w:rFonts w:ascii="宋体" w:hAnsi="宋体" w:hint="eastAsia"/>
          <w:kern w:val="0"/>
          <w:sz w:val="24"/>
        </w:rPr>
        <w:t>本基金可根据投资策略需要或市场环境的变化，选择将部分基金资产投资于存托凭证或选择不将基金资产投资于存托凭证，基金资产并非必然投资存托凭证。</w:t>
      </w:r>
    </w:p>
    <w:p w:rsidR="005232A3" w:rsidRDefault="0079478B" w:rsidP="0079478B">
      <w:pPr>
        <w:autoSpaceDE w:val="0"/>
        <w:autoSpaceDN w:val="0"/>
        <w:adjustRightInd w:val="0"/>
        <w:snapToGrid w:val="0"/>
        <w:spacing w:line="360" w:lineRule="auto"/>
        <w:ind w:leftChars="50" w:left="105" w:firstLineChars="200" w:firstLine="480"/>
        <w:rPr>
          <w:rFonts w:ascii="宋体" w:hAnsi="宋体"/>
          <w:kern w:val="0"/>
          <w:sz w:val="24"/>
        </w:rPr>
      </w:pPr>
      <w:r w:rsidRPr="0079478B">
        <w:rPr>
          <w:rFonts w:ascii="宋体" w:hAnsi="宋体" w:hint="eastAsia"/>
          <w:kern w:val="0"/>
          <w:sz w:val="24"/>
        </w:rPr>
        <w:t>本基金本次更新招募说明书对基金合同变更的相关信息进行更新，基金合同变更相关信息截止日为2020年</w:t>
      </w:r>
      <w:r>
        <w:rPr>
          <w:rFonts w:ascii="宋体" w:hAnsi="宋体"/>
          <w:kern w:val="0"/>
          <w:sz w:val="24"/>
        </w:rPr>
        <w:t>12</w:t>
      </w:r>
      <w:r w:rsidRPr="0079478B">
        <w:rPr>
          <w:rFonts w:ascii="宋体" w:hAnsi="宋体" w:hint="eastAsia"/>
          <w:kern w:val="0"/>
          <w:sz w:val="24"/>
        </w:rPr>
        <w:t>月</w:t>
      </w:r>
      <w:r>
        <w:rPr>
          <w:rFonts w:ascii="宋体" w:hAnsi="宋体"/>
          <w:kern w:val="0"/>
          <w:sz w:val="24"/>
        </w:rPr>
        <w:t>28</w:t>
      </w:r>
      <w:r w:rsidRPr="0079478B">
        <w:rPr>
          <w:rFonts w:ascii="宋体" w:hAnsi="宋体" w:hint="eastAsia"/>
          <w:kern w:val="0"/>
          <w:sz w:val="24"/>
        </w:rPr>
        <w:t>日。</w:t>
      </w:r>
      <w:r w:rsidR="0087043D">
        <w:rPr>
          <w:rFonts w:ascii="Times New Roman" w:hAnsi="Times New Roman"/>
          <w:kern w:val="0"/>
          <w:sz w:val="24"/>
        </w:rPr>
        <w:t>本招募说明书所载</w:t>
      </w:r>
      <w:r>
        <w:rPr>
          <w:rFonts w:hint="eastAsia"/>
          <w:kern w:val="0"/>
          <w:sz w:val="24"/>
        </w:rPr>
        <w:t>其他</w:t>
      </w:r>
      <w:r w:rsidR="0087043D">
        <w:rPr>
          <w:rFonts w:ascii="Times New Roman" w:hAnsi="Times New Roman"/>
          <w:kern w:val="0"/>
          <w:sz w:val="24"/>
        </w:rPr>
        <w:t>内容截止日为</w:t>
      </w:r>
      <w:r w:rsidR="0087043D">
        <w:rPr>
          <w:rFonts w:ascii="Times New Roman" w:hAnsi="Times New Roman"/>
          <w:kern w:val="0"/>
          <w:sz w:val="24"/>
        </w:rPr>
        <w:t>2020</w:t>
      </w:r>
      <w:r w:rsidR="0087043D">
        <w:rPr>
          <w:rFonts w:ascii="Times New Roman" w:hAnsi="Times New Roman"/>
          <w:kern w:val="0"/>
          <w:sz w:val="24"/>
        </w:rPr>
        <w:t>年</w:t>
      </w:r>
      <w:r w:rsidR="0087043D">
        <w:rPr>
          <w:rFonts w:ascii="Times New Roman" w:hAnsi="Times New Roman"/>
          <w:kern w:val="0"/>
          <w:sz w:val="24"/>
        </w:rPr>
        <w:t>10</w:t>
      </w:r>
      <w:r w:rsidR="0087043D">
        <w:rPr>
          <w:rFonts w:ascii="Times New Roman" w:hAnsi="Times New Roman"/>
          <w:kern w:val="0"/>
          <w:sz w:val="24"/>
        </w:rPr>
        <w:t>月</w:t>
      </w:r>
      <w:r w:rsidR="0087043D">
        <w:rPr>
          <w:rFonts w:ascii="Times New Roman" w:hAnsi="Times New Roman"/>
          <w:kern w:val="0"/>
          <w:sz w:val="24"/>
        </w:rPr>
        <w:t>30</w:t>
      </w:r>
      <w:r w:rsidR="0087043D">
        <w:rPr>
          <w:rFonts w:ascii="Times New Roman" w:hAnsi="Times New Roman"/>
          <w:kern w:val="0"/>
          <w:sz w:val="24"/>
        </w:rPr>
        <w:t>日，有关财务数据和净值表现截止日为</w:t>
      </w:r>
      <w:r w:rsidR="0087043D">
        <w:rPr>
          <w:rFonts w:ascii="Times New Roman" w:hAnsi="Times New Roman"/>
          <w:kern w:val="0"/>
          <w:sz w:val="24"/>
        </w:rPr>
        <w:t>2020</w:t>
      </w:r>
      <w:r w:rsidR="0087043D">
        <w:rPr>
          <w:rFonts w:ascii="Times New Roman" w:hAnsi="Times New Roman"/>
          <w:kern w:val="0"/>
          <w:sz w:val="24"/>
        </w:rPr>
        <w:t>年</w:t>
      </w:r>
      <w:r w:rsidR="0087043D">
        <w:rPr>
          <w:rFonts w:ascii="Times New Roman" w:hAnsi="Times New Roman"/>
          <w:kern w:val="0"/>
          <w:sz w:val="24"/>
        </w:rPr>
        <w:t>09</w:t>
      </w:r>
      <w:r w:rsidR="0087043D">
        <w:rPr>
          <w:rFonts w:ascii="Times New Roman" w:hAnsi="Times New Roman"/>
          <w:kern w:val="0"/>
          <w:sz w:val="24"/>
        </w:rPr>
        <w:t>月</w:t>
      </w:r>
      <w:r w:rsidR="0087043D">
        <w:rPr>
          <w:rFonts w:ascii="Times New Roman" w:hAnsi="Times New Roman"/>
          <w:kern w:val="0"/>
          <w:sz w:val="24"/>
        </w:rPr>
        <w:t>30</w:t>
      </w:r>
      <w:r w:rsidR="0087043D">
        <w:rPr>
          <w:rFonts w:ascii="Times New Roman" w:hAnsi="Times New Roman"/>
          <w:kern w:val="0"/>
          <w:sz w:val="24"/>
        </w:rPr>
        <w:t>日。本招募说明书所载的财务数据未经审计。</w:t>
      </w:r>
    </w:p>
    <w:p w:rsidR="005232A3" w:rsidRDefault="005232A3">
      <w:pPr>
        <w:autoSpaceDE w:val="0"/>
        <w:autoSpaceDN w:val="0"/>
        <w:adjustRightInd w:val="0"/>
        <w:snapToGrid w:val="0"/>
        <w:spacing w:before="51" w:line="360" w:lineRule="auto"/>
        <w:ind w:left="120" w:rightChars="6" w:right="13" w:firstLine="480"/>
        <w:rPr>
          <w:rFonts w:ascii="宋体" w:hAnsi="宋体"/>
          <w:kern w:val="0"/>
          <w:szCs w:val="24"/>
        </w:rPr>
        <w:sectPr w:rsidR="005232A3">
          <w:headerReference w:type="default" r:id="rId12"/>
          <w:pgSz w:w="11920" w:h="16840"/>
          <w:pgMar w:top="1440" w:right="1680" w:bottom="280" w:left="1680" w:header="0" w:footer="1073" w:gutter="0"/>
          <w:pgNumType w:start="1"/>
          <w:cols w:space="720"/>
        </w:sectPr>
      </w:pPr>
    </w:p>
    <w:p w:rsidR="004065FD" w:rsidRPr="004065FD" w:rsidRDefault="0087043D" w:rsidP="004065FD">
      <w:pPr>
        <w:pStyle w:val="ad"/>
        <w:snapToGrid w:val="0"/>
        <w:spacing w:after="240" w:line="360" w:lineRule="auto"/>
        <w:jc w:val="center"/>
        <w:rPr>
          <w:rFonts w:ascii="宋体" w:hAnsi="宋体"/>
          <w:noProof/>
          <w:sz w:val="24"/>
        </w:rPr>
      </w:pPr>
      <w:r w:rsidRPr="004065FD">
        <w:rPr>
          <w:rFonts w:ascii="宋体" w:hAnsi="宋体"/>
          <w:color w:val="000000"/>
          <w:position w:val="-4"/>
          <w:sz w:val="24"/>
          <w:szCs w:val="30"/>
        </w:rPr>
        <w:lastRenderedPageBreak/>
        <w:t>目</w:t>
      </w:r>
      <w:r w:rsidRPr="004065FD">
        <w:rPr>
          <w:rFonts w:ascii="宋体" w:hAnsi="宋体"/>
          <w:color w:val="000000"/>
          <w:position w:val="-4"/>
          <w:sz w:val="24"/>
          <w:szCs w:val="30"/>
        </w:rPr>
        <w:tab/>
        <w:t>录</w:t>
      </w:r>
      <w:r w:rsidR="004065FD" w:rsidRPr="004065FD">
        <w:rPr>
          <w:rFonts w:ascii="宋体" w:hAnsi="宋体"/>
          <w:color w:val="000000"/>
          <w:position w:val="-4"/>
          <w:sz w:val="24"/>
          <w:szCs w:val="30"/>
        </w:rPr>
        <w:fldChar w:fldCharType="begin"/>
      </w:r>
      <w:r w:rsidR="004065FD" w:rsidRPr="004065FD">
        <w:rPr>
          <w:rFonts w:ascii="宋体" w:hAnsi="宋体"/>
          <w:color w:val="000000"/>
          <w:position w:val="-4"/>
          <w:sz w:val="24"/>
          <w:szCs w:val="30"/>
        </w:rPr>
        <w:instrText xml:space="preserve"> TOC \o "1-3" \f - \h \t "-1" </w:instrText>
      </w:r>
      <w:r w:rsidR="004065FD" w:rsidRPr="004065FD">
        <w:rPr>
          <w:rFonts w:ascii="宋体" w:hAnsi="宋体"/>
          <w:color w:val="000000"/>
          <w:position w:val="-4"/>
          <w:sz w:val="24"/>
          <w:szCs w:val="30"/>
        </w:rPr>
        <w:fldChar w:fldCharType="separate"/>
      </w:r>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27" w:history="1">
        <w:r w:rsidR="004065FD" w:rsidRPr="004065FD">
          <w:rPr>
            <w:rStyle w:val="aa"/>
            <w:rFonts w:ascii="宋体" w:hAnsi="宋体" w:hint="eastAsia"/>
            <w:noProof/>
            <w:kern w:val="0"/>
            <w:sz w:val="24"/>
          </w:rPr>
          <w:t>重要提示</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_Toc57389327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28" w:history="1">
        <w:r w:rsidR="004065FD" w:rsidRPr="004065FD">
          <w:rPr>
            <w:rStyle w:val="aa"/>
            <w:rFonts w:ascii="宋体" w:hAnsi="宋体" w:hint="eastAsia"/>
            <w:noProof/>
            <w:sz w:val="24"/>
          </w:rPr>
          <w:t>一、绪言</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_Toc57389328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4</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29" w:history="1">
        <w:r w:rsidR="004065FD" w:rsidRPr="004065FD">
          <w:rPr>
            <w:rStyle w:val="aa"/>
            <w:rFonts w:ascii="宋体" w:hAnsi="宋体" w:hint="eastAsia"/>
            <w:noProof/>
            <w:sz w:val="24"/>
          </w:rPr>
          <w:t>二、释义</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_Toc57389329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5</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0" w:history="1">
        <w:r w:rsidR="004065FD" w:rsidRPr="004065FD">
          <w:rPr>
            <w:rStyle w:val="aa"/>
            <w:rFonts w:ascii="宋体" w:hAnsi="宋体" w:hint="eastAsia"/>
            <w:noProof/>
            <w:sz w:val="24"/>
          </w:rPr>
          <w:t>三、基金管理人</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_Toc57389330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10</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1" w:history="1">
        <w:r w:rsidR="004065FD" w:rsidRPr="004065FD">
          <w:rPr>
            <w:rStyle w:val="aa"/>
            <w:rFonts w:ascii="宋体" w:hAnsi="宋体" w:hint="eastAsia"/>
            <w:noProof/>
            <w:sz w:val="24"/>
          </w:rPr>
          <w:t>四、基金托管人</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_Toc57389331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18</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2" w:history="1">
        <w:r w:rsidR="004065FD" w:rsidRPr="004065FD">
          <w:rPr>
            <w:rStyle w:val="aa"/>
            <w:rFonts w:ascii="宋体" w:hAnsi="宋体" w:hint="eastAsia"/>
            <w:noProof/>
            <w:sz w:val="24"/>
          </w:rPr>
          <w:t>五、相关服务机构</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_Toc57389332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21</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3" w:history="1">
        <w:r w:rsidR="004065FD" w:rsidRPr="004065FD">
          <w:rPr>
            <w:rStyle w:val="aa"/>
            <w:rFonts w:ascii="宋体" w:hAnsi="宋体" w:hint="eastAsia"/>
            <w:noProof/>
            <w:sz w:val="24"/>
          </w:rPr>
          <w:t>六、基金的募集</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_Toc57389333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46</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4" w:history="1">
        <w:r w:rsidR="004065FD" w:rsidRPr="004065FD">
          <w:rPr>
            <w:rStyle w:val="aa"/>
            <w:rFonts w:ascii="宋体" w:hAnsi="宋体" w:hint="eastAsia"/>
            <w:noProof/>
            <w:sz w:val="24"/>
          </w:rPr>
          <w:t>七、基金合同的生效</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_Toc57389334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47</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5" w:history="1">
        <w:r w:rsidR="004065FD" w:rsidRPr="004065FD">
          <w:rPr>
            <w:rStyle w:val="aa"/>
            <w:rFonts w:ascii="宋体" w:hAnsi="宋体" w:hint="eastAsia"/>
            <w:noProof/>
            <w:sz w:val="24"/>
          </w:rPr>
          <w:t>八、基金份额的申购与赎回</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_Toc57389335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48</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6" w:history="1">
        <w:r w:rsidR="004065FD" w:rsidRPr="004065FD">
          <w:rPr>
            <w:rStyle w:val="aa"/>
            <w:rFonts w:ascii="宋体" w:hAnsi="宋体" w:hint="eastAsia"/>
            <w:noProof/>
            <w:sz w:val="24"/>
          </w:rPr>
          <w:t>九、基金的投资</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_Toc57389336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61</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7" w:history="1">
        <w:r w:rsidR="004065FD" w:rsidRPr="004065FD">
          <w:rPr>
            <w:rStyle w:val="aa"/>
            <w:rFonts w:ascii="宋体" w:hAnsi="宋体" w:hint="eastAsia"/>
            <w:noProof/>
            <w:sz w:val="24"/>
          </w:rPr>
          <w:t>十、基金的业绩</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_Toc57389337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74</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8" w:history="1">
        <w:r w:rsidR="004065FD" w:rsidRPr="004065FD">
          <w:rPr>
            <w:rStyle w:val="aa"/>
            <w:rFonts w:ascii="宋体" w:hAnsi="宋体" w:hint="eastAsia"/>
            <w:noProof/>
            <w:sz w:val="24"/>
          </w:rPr>
          <w:t>十一、基金的财产</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_Toc57389338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76</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39" w:history="1">
        <w:r w:rsidR="004065FD" w:rsidRPr="004065FD">
          <w:rPr>
            <w:rStyle w:val="aa"/>
            <w:rFonts w:ascii="宋体" w:hAnsi="宋体" w:hint="eastAsia"/>
            <w:noProof/>
            <w:sz w:val="24"/>
          </w:rPr>
          <w:t>十二、基金资产的估值</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_Toc57389339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77</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0" w:history="1">
        <w:r w:rsidR="004065FD" w:rsidRPr="004065FD">
          <w:rPr>
            <w:rStyle w:val="aa"/>
            <w:rFonts w:ascii="宋体" w:hAnsi="宋体" w:hint="eastAsia"/>
            <w:noProof/>
            <w:sz w:val="24"/>
          </w:rPr>
          <w:t>十三、基金收益与分配</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_Toc57389340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82</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1" w:history="1">
        <w:r w:rsidR="004065FD" w:rsidRPr="004065FD">
          <w:rPr>
            <w:rStyle w:val="aa"/>
            <w:rFonts w:ascii="宋体" w:hAnsi="宋体" w:hint="eastAsia"/>
            <w:noProof/>
            <w:sz w:val="24"/>
          </w:rPr>
          <w:t>十四、基金的费用与税收</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_Toc57389341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84</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2" w:history="1">
        <w:r w:rsidR="004065FD" w:rsidRPr="004065FD">
          <w:rPr>
            <w:rStyle w:val="aa"/>
            <w:rFonts w:ascii="宋体" w:hAnsi="宋体" w:hint="eastAsia"/>
            <w:noProof/>
            <w:sz w:val="24"/>
          </w:rPr>
          <w:t>十五、基金的会计与审计</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_Toc57389342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87</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3" w:history="1">
        <w:r w:rsidR="004065FD" w:rsidRPr="004065FD">
          <w:rPr>
            <w:rStyle w:val="aa"/>
            <w:rFonts w:ascii="宋体" w:hAnsi="宋体" w:hint="eastAsia"/>
            <w:noProof/>
            <w:sz w:val="24"/>
          </w:rPr>
          <w:t>十六、基金的信息披露</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_Toc57389343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88</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4" w:history="1">
        <w:r w:rsidR="004065FD" w:rsidRPr="004065FD">
          <w:rPr>
            <w:rStyle w:val="aa"/>
            <w:rFonts w:ascii="宋体" w:hAnsi="宋体" w:hint="eastAsia"/>
            <w:noProof/>
            <w:sz w:val="24"/>
          </w:rPr>
          <w:t>十七、风险揭示</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_Toc57389344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94</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5" w:history="1">
        <w:r w:rsidR="004065FD" w:rsidRPr="004065FD">
          <w:rPr>
            <w:rStyle w:val="aa"/>
            <w:rFonts w:ascii="宋体" w:hAnsi="宋体" w:hint="eastAsia"/>
            <w:noProof/>
            <w:sz w:val="24"/>
          </w:rPr>
          <w:t>十八、基金合同的变更、终止与基金财产的清算</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_Toc57389345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103</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6" w:history="1">
        <w:r w:rsidR="004065FD" w:rsidRPr="004065FD">
          <w:rPr>
            <w:rStyle w:val="aa"/>
            <w:rFonts w:ascii="宋体" w:hAnsi="宋体" w:hint="eastAsia"/>
            <w:noProof/>
            <w:sz w:val="24"/>
          </w:rPr>
          <w:t>十九、基金合同内容摘要</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_Toc57389346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105</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7" w:history="1">
        <w:r w:rsidR="004065FD" w:rsidRPr="004065FD">
          <w:rPr>
            <w:rStyle w:val="aa"/>
            <w:rFonts w:ascii="宋体" w:hAnsi="宋体" w:hint="eastAsia"/>
            <w:noProof/>
            <w:sz w:val="24"/>
          </w:rPr>
          <w:t>二十、托管协议的内容摘要</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_Toc57389347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121</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8" w:history="1">
        <w:r w:rsidR="004065FD" w:rsidRPr="004065FD">
          <w:rPr>
            <w:rStyle w:val="aa"/>
            <w:rFonts w:ascii="宋体" w:hAnsi="宋体" w:hint="eastAsia"/>
            <w:noProof/>
            <w:sz w:val="24"/>
          </w:rPr>
          <w:t>二十一、对基金份额持有人的服务</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_Toc57389348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135</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49" w:history="1">
        <w:r w:rsidR="004065FD" w:rsidRPr="004065FD">
          <w:rPr>
            <w:rStyle w:val="aa"/>
            <w:rFonts w:ascii="宋体" w:hAnsi="宋体" w:hint="eastAsia"/>
            <w:noProof/>
            <w:sz w:val="24"/>
          </w:rPr>
          <w:t>二十二、其他应披露事项</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_Toc57389349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137</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50" w:history="1">
        <w:r w:rsidR="004065FD" w:rsidRPr="004065FD">
          <w:rPr>
            <w:rStyle w:val="aa"/>
            <w:rFonts w:ascii="宋体" w:hAnsi="宋体" w:hint="eastAsia"/>
            <w:noProof/>
            <w:sz w:val="24"/>
          </w:rPr>
          <w:t>二十三、招募说明书的存放及查阅方式</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_Toc57389350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140</w:t>
        </w:r>
        <w:r w:rsidR="004065FD" w:rsidRPr="004065FD">
          <w:rPr>
            <w:rFonts w:ascii="宋体" w:hAnsi="宋体"/>
            <w:noProof/>
            <w:sz w:val="24"/>
          </w:rPr>
          <w:fldChar w:fldCharType="end"/>
        </w:r>
      </w:hyperlink>
    </w:p>
    <w:p w:rsidR="004065FD" w:rsidRPr="004065FD" w:rsidRDefault="00AA3DF1" w:rsidP="004065FD">
      <w:pPr>
        <w:pStyle w:val="10"/>
        <w:tabs>
          <w:tab w:val="right" w:leader="dot" w:pos="8550"/>
        </w:tabs>
        <w:spacing w:line="360" w:lineRule="auto"/>
        <w:rPr>
          <w:rFonts w:ascii="宋体" w:hAnsi="宋体" w:cstheme="minorBidi"/>
          <w:noProof/>
          <w:sz w:val="24"/>
        </w:rPr>
      </w:pPr>
      <w:hyperlink w:anchor="_Toc57389351" w:history="1">
        <w:r w:rsidR="004065FD" w:rsidRPr="004065FD">
          <w:rPr>
            <w:rStyle w:val="aa"/>
            <w:rFonts w:ascii="宋体" w:hAnsi="宋体" w:hint="eastAsia"/>
            <w:noProof/>
            <w:sz w:val="24"/>
          </w:rPr>
          <w:t>二十四、备查文件</w:t>
        </w:r>
        <w:r w:rsidR="004065FD" w:rsidRPr="004065FD">
          <w:rPr>
            <w:rFonts w:ascii="宋体" w:hAnsi="宋体"/>
            <w:noProof/>
            <w:sz w:val="24"/>
          </w:rPr>
          <w:tab/>
        </w:r>
        <w:r w:rsidR="004065FD" w:rsidRPr="004065FD">
          <w:rPr>
            <w:rFonts w:ascii="宋体" w:hAnsi="宋体"/>
            <w:noProof/>
            <w:sz w:val="24"/>
          </w:rPr>
          <w:fldChar w:fldCharType="begin"/>
        </w:r>
        <w:r w:rsidR="004065FD" w:rsidRPr="004065FD">
          <w:rPr>
            <w:rFonts w:ascii="宋体" w:hAnsi="宋体"/>
            <w:noProof/>
            <w:sz w:val="24"/>
          </w:rPr>
          <w:instrText xml:space="preserve"> PAGEREF _Toc57389351 \h </w:instrText>
        </w:r>
        <w:r w:rsidR="004065FD" w:rsidRPr="004065FD">
          <w:rPr>
            <w:rFonts w:ascii="宋体" w:hAnsi="宋体"/>
            <w:noProof/>
            <w:sz w:val="24"/>
          </w:rPr>
        </w:r>
        <w:r w:rsidR="004065FD" w:rsidRPr="004065FD">
          <w:rPr>
            <w:rFonts w:ascii="宋体" w:hAnsi="宋体"/>
            <w:noProof/>
            <w:sz w:val="24"/>
          </w:rPr>
          <w:fldChar w:fldCharType="separate"/>
        </w:r>
        <w:r w:rsidR="0079478B">
          <w:rPr>
            <w:rFonts w:ascii="宋体" w:hAnsi="宋体"/>
            <w:noProof/>
            <w:sz w:val="24"/>
          </w:rPr>
          <w:t>141</w:t>
        </w:r>
        <w:r w:rsidR="004065FD" w:rsidRPr="004065FD">
          <w:rPr>
            <w:rFonts w:ascii="宋体" w:hAnsi="宋体"/>
            <w:noProof/>
            <w:sz w:val="24"/>
          </w:rPr>
          <w:fldChar w:fldCharType="end"/>
        </w:r>
      </w:hyperlink>
    </w:p>
    <w:p w:rsidR="005232A3" w:rsidRPr="004065FD" w:rsidRDefault="004065FD" w:rsidP="004065FD">
      <w:pPr>
        <w:pStyle w:val="ad"/>
        <w:snapToGrid w:val="0"/>
        <w:spacing w:after="240" w:line="360" w:lineRule="auto"/>
        <w:jc w:val="center"/>
        <w:rPr>
          <w:rFonts w:ascii="宋体" w:hAnsi="宋体"/>
          <w:color w:val="000000"/>
          <w:sz w:val="24"/>
        </w:rPr>
      </w:pPr>
      <w:r w:rsidRPr="004065FD">
        <w:rPr>
          <w:rFonts w:ascii="宋体" w:hAnsi="宋体"/>
          <w:color w:val="000000"/>
          <w:position w:val="-4"/>
          <w:sz w:val="24"/>
          <w:szCs w:val="30"/>
        </w:rPr>
        <w:fldChar w:fldCharType="end"/>
      </w:r>
    </w:p>
    <w:p w:rsidR="005232A3" w:rsidRDefault="005232A3">
      <w:pPr>
        <w:autoSpaceDE w:val="0"/>
        <w:autoSpaceDN w:val="0"/>
        <w:adjustRightInd w:val="0"/>
        <w:snapToGrid w:val="0"/>
        <w:spacing w:line="360" w:lineRule="auto"/>
        <w:ind w:left="120" w:rightChars="6" w:right="13"/>
        <w:rPr>
          <w:rFonts w:ascii="宋体" w:hAnsi="宋体"/>
          <w:kern w:val="0"/>
          <w:szCs w:val="24"/>
        </w:rPr>
        <w:sectPr w:rsidR="005232A3">
          <w:pgSz w:w="11920" w:h="16840"/>
          <w:pgMar w:top="1480" w:right="1680" w:bottom="280" w:left="1680" w:header="0" w:footer="1073" w:gutter="0"/>
          <w:cols w:space="720"/>
        </w:sectPr>
      </w:pPr>
    </w:p>
    <w:p w:rsidR="005232A3" w:rsidRDefault="0087043D">
      <w:pPr>
        <w:pStyle w:val="1"/>
        <w:snapToGrid w:val="0"/>
        <w:spacing w:beforeLines="0" w:before="240" w:after="240"/>
        <w:rPr>
          <w:rFonts w:ascii="宋体" w:hAnsi="宋体"/>
          <w:szCs w:val="30"/>
        </w:rPr>
      </w:pPr>
      <w:bookmarkStart w:id="3" w:name="_Toc57389328"/>
      <w:r>
        <w:rPr>
          <w:rFonts w:ascii="Times New Roman" w:hAnsi="Times New Roman"/>
          <w:sz w:val="30"/>
        </w:rPr>
        <w:lastRenderedPageBreak/>
        <w:t>一、绪言</w:t>
      </w:r>
      <w:bookmarkEnd w:id="3"/>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《交银施罗德沪港深价值精选灵活配置混合型证券投资基金招募说明书》（以下简称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）、《证券投资基金销售管理办法》（以下简称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和其他相关法律法规的规定以及《交银施罗德沪港深价值精选灵活配置混合型证券投资基金基金合同》（以下简称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4" w:name="_Toc57389329"/>
      <w:r>
        <w:rPr>
          <w:rFonts w:ascii="Times New Roman" w:hAnsi="Times New Roman"/>
          <w:sz w:val="30"/>
        </w:rPr>
        <w:lastRenderedPageBreak/>
        <w:t>二、释义</w:t>
      </w:r>
      <w:bookmarkEnd w:id="4"/>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、基金或本基金：指交银施罗德沪港深价值精选灵活配置混合型证券投资基金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、基金托管人或本基金托管人：指中国农业银行股份有限公司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、《基金合同》或基金合同：指《交银施罗德沪港深价值精选灵活配置混合型证券投资基金基金合同》及对基金合同的任何有效修订和补充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、托管协议：指基金管理人与基金托管人就本基金签订之《交银施罗德沪港深价值精选灵活配置混合型证券投资基金托管协议》及对该托管协议的任何有效修订和补充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、招募说明书或《招募说明书》或本招募说明书：指《交银施罗德沪港深价值精选灵活配置混合型证券投资基金招募说明书》及其更新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、基金份额发售公告：指《交银施罗德沪港深价值精选灵活配置混合型证券投资基金基金份额发售公告》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、基金产品资料概要：指《交银施罗德沪港深价值精选灵活配置混合型证券投资基金基金产品资料概要》及其更新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、《基金法》：指《中华人民共和国证券投资基金法》及颁布机关对其不时做出的修订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、《销售办法》：指《证券投资基金销售管理办法》及颁布机关对其不时做出的修订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、《信息披露办法》：指《公开募集证券投资基金信息披露管理办法》及颁布机关对其不时做出的修订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、《运作办法》：指《公开募集证券投资基金运作管理办法》及颁布机关对其不时做出的修订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w:t>
      </w:r>
      <w:r>
        <w:rPr>
          <w:rFonts w:ascii="Times New Roman" w:hAnsi="Times New Roman"/>
          <w:sz w:val="24"/>
        </w:rPr>
        <w:lastRenderedPageBreak/>
        <w:t>修订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、中国证监会：指中国证券监督管理委员会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或中国银行业监督管理委员会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、基金合同当事人：指受基金合同约束，根据基金合同享有权利并承担义务的法律主体，包括基金管理人、基金托管人和基金份额持有人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、个人投资者：指依据有关法律法规规定可投资于证券投资基金的自然人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、人民币合格境外机构投资者：指按照《人民币合格境外机构投资者境内证券投资试点办法》及相关法律法规规定，运用来自境外的人民币资金进行中国境内证券投资的境外机构投资者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、投资人或投资者：指个人投资者、机构投资者、合格境外机构投资者和人民币合格境外机构投资者以及法律法规或中国证监会允许购买证券投资基金的其他投资人的合称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、登记机构：指办理登记业务的机构。基金的登记机构为交银施罗德基金管理有限公司或接受交银施罗德基金管理有限公司委托办理登记业务的机构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Pr>
          <w:rFonts w:ascii="Times New Roman" w:hAnsi="Times New Roman"/>
          <w:sz w:val="24"/>
        </w:rPr>
        <w:t>、基金账户：指登记机构为投资人开立的、记录其持有的、基金管理人所管</w:t>
      </w:r>
      <w:r>
        <w:rPr>
          <w:rFonts w:ascii="Times New Roman" w:hAnsi="Times New Roman"/>
          <w:sz w:val="24"/>
        </w:rPr>
        <w:lastRenderedPageBreak/>
        <w:t>理的基金份额余额及其变动情况的账户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29</w:t>
      </w:r>
      <w:r>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、基金合同终止日：指基金合同规定的基金合同终止事由出现后，基金财产清算完毕，清算结果报中国证监会备案并予以公告的日期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Pr>
          <w:rFonts w:ascii="Times New Roman" w:hAnsi="Times New Roman"/>
          <w:sz w:val="24"/>
        </w:rPr>
        <w:t>、存续期：指基金合同生效至终止之间的不定期期限</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Pr>
          <w:rFonts w:ascii="Times New Roman" w:hAnsi="Times New Roman"/>
          <w:sz w:val="24"/>
        </w:rPr>
        <w:t>、工作日：指上海证券交易所、深圳证券交易所的正常交易日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Pr>
          <w:rFonts w:ascii="Times New Roman" w:hAnsi="Times New Roman"/>
          <w:sz w:val="24"/>
        </w:rPr>
        <w:t>、开放日：指为投资人办理基金份额申购、赎回或其他业务的工作日（若该工作日为非港股通交易日，则本基金不开放）</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Pr>
          <w:rFonts w:ascii="Times New Roman" w:hAnsi="Times New Roman"/>
          <w:sz w:val="24"/>
        </w:rPr>
        <w:t>、开放时间：指开放日基金接受申购、赎回或其他交易的时间段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Pr>
          <w:rFonts w:ascii="Times New Roman" w:hAnsi="Times New Roman"/>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Pr>
          <w:rFonts w:ascii="Times New Roman" w:hAnsi="Times New Roman"/>
          <w:sz w:val="24"/>
        </w:rPr>
        <w:t>、认购：指在基金募集期内，投资人根据基金合同和招募说明书的规定申请购买基金份额的行为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Pr>
          <w:rFonts w:ascii="Times New Roman" w:hAnsi="Times New Roman"/>
          <w:sz w:val="24"/>
        </w:rPr>
        <w:t>、申购：指基金合同生效后，投资人根据基金合同和招募说明书的规定申请购买基金份额的行为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Pr>
          <w:rFonts w:ascii="Times New Roman" w:hAnsi="Times New Roman"/>
          <w:sz w:val="24"/>
        </w:rPr>
        <w:t>、赎回：指基金合同生效后，基金份额持有人按基金合同和招募说明书规定的条件要求将基金份额兑换为现金的行为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43</w:t>
      </w:r>
      <w:r>
        <w:rPr>
          <w:rFonts w:ascii="Times New Roman" w:hAnsi="Times New Roman"/>
          <w:sz w:val="24"/>
        </w:rPr>
        <w:t>、基金转换：指基金份额持有人按照基金合同和基金管理人届时有效公告规</w:t>
      </w:r>
      <w:r>
        <w:rPr>
          <w:rFonts w:ascii="Times New Roman" w:hAnsi="Times New Roman"/>
          <w:sz w:val="24"/>
        </w:rPr>
        <w:lastRenderedPageBreak/>
        <w:t>定的条件，申请将其持有基金管理人管理的、某一基金的基金份额转换为基金管理人管理的其他基金基金份额的行为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Pr>
          <w:rFonts w:ascii="Times New Roman" w:hAnsi="Times New Roman"/>
          <w:sz w:val="24"/>
        </w:rPr>
        <w:t>、转托管：指基金份额持有人在本基金的不同销售机构之间实施的变更所持基金份额销售机构的操作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Pr>
          <w:rFonts w:ascii="Times New Roman" w:hAnsi="Times New Roman"/>
          <w:sz w:val="24"/>
        </w:rPr>
        <w:t>、元：指人民币元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Pr>
          <w:rFonts w:ascii="Times New Roman" w:hAnsi="Times New Roman"/>
          <w:sz w:val="24"/>
        </w:rPr>
        <w:t>、基金收益：指基金投资所得红利、股息、债券利息、买卖证券价差、银行存款利息、已实现的其他合法收入及因运用基金财产带来的成本和费用的节约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Pr>
          <w:rFonts w:ascii="Times New Roman" w:hAnsi="Times New Roman"/>
          <w:sz w:val="24"/>
        </w:rPr>
        <w:t>、基金资产总值：指基金拥有的各类有价证券、股指期货合约、银行存款本息、基金应收申购款及其他资产的价值总和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Pr>
          <w:rFonts w:ascii="Times New Roman" w:hAnsi="Times New Roman"/>
          <w:sz w:val="24"/>
        </w:rPr>
        <w:t>、基金资产净值：指基金资产总值减去基金负债后的价值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Pr>
          <w:rFonts w:ascii="Times New Roman" w:hAnsi="Times New Roman"/>
          <w:sz w:val="24"/>
        </w:rPr>
        <w:t>、基金份额净值：指计算日基金资产净值除以计算日基金份额总数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Pr>
          <w:rFonts w:ascii="Times New Roman" w:hAnsi="Times New Roman"/>
          <w:sz w:val="24"/>
        </w:rPr>
        <w:t>、基金资产估值：指计算评估基金资产和负债的价值，以确定基金资产净值和基金份额净值的过程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Pr>
          <w:rFonts w:ascii="Times New Roman" w:hAnsi="Times New Roman"/>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Pr>
          <w:rFonts w:ascii="Times New Roman" w:hAnsi="Times New Roman"/>
          <w:sz w:val="24"/>
        </w:rPr>
        <w:t>、港股通：指内地投资者委托内地证券公司，经由境内证券交易所设立的证券交易服务公司，向香港联合交易所进行申报，买卖规定范围内的香港联合交易所上市的股票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Pr>
          <w:rFonts w:ascii="Times New Roman" w:hAnsi="Times New Roman"/>
          <w:sz w:val="24"/>
        </w:rPr>
        <w:t>、流动性受限资产：指由于法律法规、监管、合同或操作障碍等原因无法以合理价格予以变现的资产，包括但不限于到期日在</w:t>
      </w:r>
      <w:r>
        <w:rPr>
          <w:rFonts w:ascii="Times New Roman" w:hAnsi="Times New Roman"/>
          <w:sz w:val="24"/>
        </w:rPr>
        <w:t>10</w:t>
      </w:r>
      <w:r>
        <w:rPr>
          <w:rFonts w:ascii="Times New Roman" w:hAnsi="Times New Roman"/>
          <w:sz w:val="24"/>
        </w:rPr>
        <w:t>个交易日以上的逆回购与银行定期存款（含协议约定有条件提前支取的银行存款）、停牌股票、流通受限的新股及非公开发行股票、资产支持证券、因发行人债务违约无法进行转让或交易的债券</w:t>
      </w:r>
      <w:r>
        <w:rPr>
          <w:rFonts w:ascii="Times New Roman" w:hAnsi="Times New Roman"/>
          <w:sz w:val="24"/>
        </w:rPr>
        <w:lastRenderedPageBreak/>
        <w:t>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57</w:t>
      </w:r>
      <w:r>
        <w:rPr>
          <w:rFonts w:ascii="Times New Roman" w:hAnsi="Times New Roman"/>
          <w:sz w:val="24"/>
        </w:rPr>
        <w:t>、不可抗力：指基金合同当事人不能预见、不能避免且不能克服的客观事件</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5" w:name="_Toc57389330"/>
      <w:r>
        <w:rPr>
          <w:rFonts w:ascii="Times New Roman" w:hAnsi="Times New Roman"/>
          <w:sz w:val="30"/>
        </w:rPr>
        <w:lastRenderedPageBreak/>
        <w:t>三、基金管理人</w:t>
      </w:r>
      <w:bookmarkEnd w:id="5"/>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通银行人力资源部总经理、交银金融学院常务副院长。历任交通银行办公室副处长，交通银行公司业务部副处长、高级经理、总经理助理、副总经理，交通银行投资银行部副总经理，交通银行江苏分行副行长，</w:t>
      </w:r>
      <w:r>
        <w:rPr>
          <w:rFonts w:ascii="Times New Roman" w:hAnsi="Times New Roman"/>
          <w:sz w:val="24"/>
        </w:rPr>
        <w:lastRenderedPageBreak/>
        <w:t>交通银行战略投资部总经理。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陈俊华女士</w:t>
      </w:r>
      <w:r>
        <w:rPr>
          <w:rFonts w:ascii="Times New Roman" w:hAnsi="Times New Roman"/>
          <w:sz w:val="24"/>
        </w:rPr>
        <w:t>:</w:t>
      </w:r>
      <w:r>
        <w:rPr>
          <w:rFonts w:ascii="Times New Roman" w:hAnsi="Times New Roman"/>
          <w:sz w:val="24"/>
        </w:rPr>
        <w:t>基金经理。上海交通大学金融学硕士，</w:t>
      </w:r>
      <w:r>
        <w:rPr>
          <w:rFonts w:ascii="Times New Roman" w:hAnsi="Times New Roman"/>
          <w:sz w:val="24"/>
        </w:rPr>
        <w:t>15</w:t>
      </w:r>
      <w:r>
        <w:rPr>
          <w:rFonts w:ascii="Times New Roman" w:hAnsi="Times New Roman"/>
          <w:sz w:val="24"/>
        </w:rPr>
        <w:t>年证券投资行业从业经</w:t>
      </w:r>
      <w:r>
        <w:rPr>
          <w:rFonts w:ascii="Times New Roman" w:hAnsi="Times New Roman"/>
          <w:sz w:val="24"/>
        </w:rPr>
        <w:lastRenderedPageBreak/>
        <w:t>验。</w:t>
      </w:r>
      <w:r>
        <w:rPr>
          <w:rFonts w:ascii="Times New Roman" w:hAnsi="Times New Roman"/>
          <w:sz w:val="24"/>
        </w:rPr>
        <w:t>2005</w:t>
      </w:r>
      <w:r>
        <w:rPr>
          <w:rFonts w:ascii="Times New Roman" w:hAnsi="Times New Roman"/>
          <w:sz w:val="24"/>
        </w:rPr>
        <w:t>年至</w:t>
      </w:r>
      <w:r>
        <w:rPr>
          <w:rFonts w:ascii="Times New Roman" w:hAnsi="Times New Roman"/>
          <w:sz w:val="24"/>
        </w:rPr>
        <w:t>2006</w:t>
      </w:r>
      <w:r>
        <w:rPr>
          <w:rFonts w:ascii="Times New Roman" w:hAnsi="Times New Roman"/>
          <w:sz w:val="24"/>
        </w:rPr>
        <w:t>年任国泰君安证券研究部研究员，</w:t>
      </w:r>
      <w:r>
        <w:rPr>
          <w:rFonts w:ascii="Times New Roman" w:hAnsi="Times New Roman"/>
          <w:sz w:val="24"/>
        </w:rPr>
        <w:t>2007</w:t>
      </w:r>
      <w:r>
        <w:rPr>
          <w:rFonts w:ascii="Times New Roman" w:hAnsi="Times New Roman"/>
          <w:sz w:val="24"/>
        </w:rPr>
        <w:t>年至</w:t>
      </w:r>
      <w:r>
        <w:rPr>
          <w:rFonts w:ascii="Times New Roman" w:hAnsi="Times New Roman"/>
          <w:sz w:val="24"/>
        </w:rPr>
        <w:t>2015</w:t>
      </w:r>
      <w:r>
        <w:rPr>
          <w:rFonts w:ascii="Times New Roman" w:hAnsi="Times New Roman"/>
          <w:sz w:val="24"/>
        </w:rPr>
        <w:t>年任中国国际金融有限公司研究部公用事业组负责人。</w:t>
      </w:r>
      <w:r>
        <w:rPr>
          <w:rFonts w:ascii="Times New Roman" w:hAnsi="Times New Roman"/>
          <w:sz w:val="24"/>
        </w:rPr>
        <w:t>2015</w:t>
      </w:r>
      <w:r>
        <w:rPr>
          <w:rFonts w:ascii="Times New Roman" w:hAnsi="Times New Roman"/>
          <w:sz w:val="24"/>
        </w:rPr>
        <w:t>年加入交银施罗德基金管理有限公司，现任跨境投资副总监、基金经理。曾任交银施罗德全球自然资源证券投资基金</w:t>
      </w:r>
      <w:r>
        <w:rPr>
          <w:rFonts w:ascii="Times New Roman" w:hAnsi="Times New Roman"/>
          <w:sz w:val="24"/>
        </w:rPr>
        <w:t>(2015</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21</w:t>
      </w:r>
      <w:r>
        <w:rPr>
          <w:rFonts w:ascii="Times New Roman" w:hAnsi="Times New Roman"/>
          <w:sz w:val="24"/>
        </w:rPr>
        <w:t>日至</w:t>
      </w:r>
      <w:r>
        <w:rPr>
          <w:rFonts w:ascii="Times New Roman" w:hAnsi="Times New Roman"/>
          <w:sz w:val="24"/>
        </w:rPr>
        <w:t>2019</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19</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的基金经理。现任交银施罗德环球精选价值证券投资基金</w:t>
      </w:r>
      <w:r>
        <w:rPr>
          <w:rFonts w:ascii="Times New Roman" w:hAnsi="Times New Roman"/>
          <w:sz w:val="24"/>
        </w:rPr>
        <w:t>(2015</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21</w:t>
      </w:r>
      <w:r>
        <w:rPr>
          <w:rFonts w:ascii="Times New Roman" w:hAnsi="Times New Roman"/>
          <w:sz w:val="24"/>
        </w:rPr>
        <w:t>日至今</w:t>
      </w:r>
      <w:r>
        <w:rPr>
          <w:rFonts w:ascii="Times New Roman" w:hAnsi="Times New Roman"/>
          <w:sz w:val="24"/>
        </w:rPr>
        <w:t>)</w:t>
      </w:r>
      <w:r>
        <w:rPr>
          <w:rFonts w:ascii="Times New Roman" w:hAnsi="Times New Roman"/>
          <w:sz w:val="24"/>
        </w:rPr>
        <w:t>、交银施罗德沪港深价值精选灵活配置混合型证券投资基金</w:t>
      </w:r>
      <w:r>
        <w:rPr>
          <w:rFonts w:ascii="Times New Roman" w:hAnsi="Times New Roman"/>
          <w:sz w:val="24"/>
        </w:rPr>
        <w:t>(2016</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07</w:t>
      </w:r>
      <w:r>
        <w:rPr>
          <w:rFonts w:ascii="Times New Roman" w:hAnsi="Times New Roman"/>
          <w:sz w:val="24"/>
        </w:rPr>
        <w:t>日至今</w:t>
      </w:r>
      <w:r>
        <w:rPr>
          <w:rFonts w:ascii="Times New Roman" w:hAnsi="Times New Roman"/>
          <w:sz w:val="24"/>
        </w:rPr>
        <w:t>)</w:t>
      </w:r>
      <w:r>
        <w:rPr>
          <w:rFonts w:ascii="Times New Roman" w:hAnsi="Times New Roman"/>
          <w:sz w:val="24"/>
        </w:rPr>
        <w:t>、交银施罗德核心资产混合型证券投资基金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18</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30</w:t>
      </w:r>
      <w:r>
        <w:rPr>
          <w:rFonts w:ascii="Times New Roman" w:hAnsi="Times New Roman"/>
          <w:sz w:val="24"/>
        </w:rPr>
        <w:t>日，期后变动（如有）敬请关注基金管理人发布的相关公告。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、按照规定召集基金份额持有人大会；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（四）基金管理人的承诺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）泄露因职务便利获取的未公开信息、利用该信息从事或者明示、暗示他人从事相关的交易活动；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）玩忽职守，不按照规定履行职责；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）法律、行政法规和中国证监会禁止的其他行为。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）全面性原则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）独立性原则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）相互制约原则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）定性和定量相结合原则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）风险控制委员会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w:t>
      </w:r>
      <w:r>
        <w:rPr>
          <w:rFonts w:ascii="Times New Roman" w:hAnsi="Times New Roman"/>
          <w:sz w:val="24"/>
        </w:rPr>
        <w:lastRenderedPageBreak/>
        <w:t>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）建立相互分离、相互制衡的内控机制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6" w:name="_Toc57389331"/>
      <w:r>
        <w:rPr>
          <w:rFonts w:ascii="Times New Roman" w:hAnsi="Times New Roman"/>
          <w:sz w:val="30"/>
        </w:rPr>
        <w:lastRenderedPageBreak/>
        <w:t>四、基金托管人</w:t>
      </w:r>
      <w:bookmarkEnd w:id="6"/>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名称：中国农业银行股份有限公司（简称中国农业银行）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批准设立机关和批准设立文号：中国银监会银监复</w:t>
      </w:r>
      <w:r>
        <w:rPr>
          <w:rFonts w:ascii="Times New Roman" w:hAnsi="Times New Roman"/>
          <w:sz w:val="24"/>
        </w:rPr>
        <w:t>[2009]13</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基金托管资格批文及文号：中国证监会证监基字</w:t>
      </w:r>
      <w:r>
        <w:rPr>
          <w:rFonts w:ascii="Times New Roman" w:hAnsi="Times New Roman"/>
          <w:sz w:val="24"/>
        </w:rPr>
        <w:t>[1998]23</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中国农业银行股份有限公司是中国金融体系的重要组成部分</w:t>
      </w:r>
      <w:r>
        <w:rPr>
          <w:rFonts w:ascii="Times New Roman" w:hAnsi="Times New Roman"/>
          <w:sz w:val="24"/>
        </w:rPr>
        <w:t>,</w:t>
      </w:r>
      <w:r>
        <w:rPr>
          <w:rFonts w:ascii="Times New Roman" w:hAnsi="Times New Roman"/>
          <w:sz w:val="24"/>
        </w:rPr>
        <w:t>总行设在北京。经国务院批准，中国农业银行整体改制为中国农业银行股份有限公司并于</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ascii="Times New Roman" w:hAnsi="Times New Roman"/>
          <w:sz w:val="24"/>
        </w:rPr>
        <w:t>500</w:t>
      </w:r>
      <w:r>
        <w:rPr>
          <w:rFonts w:ascii="Times New Roman" w:hAnsi="Times New Roman"/>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Pr>
          <w:rFonts w:ascii="Times New Roman" w:hAnsi="Times New Roman"/>
          <w:sz w:val="24"/>
        </w:rPr>
        <w:t>“</w:t>
      </w:r>
      <w:r>
        <w:rPr>
          <w:rFonts w:ascii="Times New Roman" w:hAnsi="Times New Roman"/>
          <w:sz w:val="24"/>
        </w:rPr>
        <w:t>伴你成长</w:t>
      </w:r>
      <w:r>
        <w:rPr>
          <w:rFonts w:ascii="Times New Roman" w:hAnsi="Times New Roman"/>
          <w:sz w:val="24"/>
        </w:rPr>
        <w:t>”</w:t>
      </w:r>
      <w:r>
        <w:rPr>
          <w:rFonts w:ascii="Times New Roman" w:hAnsi="Times New Roman"/>
          <w:sz w:val="24"/>
        </w:rPr>
        <w:t>服务品牌，依托覆盖全国的分支机构、庞大的电子化网络和多元化的金融产品，致力为广大客户提供优质的金融服务，与广大客户共创价值、共同成长。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中国农业银行是中国第一批开展托管业务的国内商业银行，经验丰富，服务优质，业绩突出，</w:t>
      </w:r>
      <w:r>
        <w:rPr>
          <w:rFonts w:ascii="Times New Roman" w:hAnsi="Times New Roman"/>
          <w:sz w:val="24"/>
        </w:rPr>
        <w:t>2004</w:t>
      </w:r>
      <w:r>
        <w:rPr>
          <w:rFonts w:ascii="Times New Roman" w:hAnsi="Times New Roman"/>
          <w:sz w:val="24"/>
        </w:rPr>
        <w:t>年被英国《全球托管人》评为中国</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w:t>
      </w:r>
      <w:r>
        <w:rPr>
          <w:rFonts w:ascii="Times New Roman" w:hAnsi="Times New Roman"/>
          <w:sz w:val="24"/>
        </w:rPr>
        <w:t>2007</w:t>
      </w:r>
      <w:r>
        <w:rPr>
          <w:rFonts w:ascii="Times New Roman" w:hAnsi="Times New Roman"/>
          <w:sz w:val="24"/>
        </w:rPr>
        <w:t>年中国农业银行通过了美国</w:t>
      </w:r>
      <w:r>
        <w:rPr>
          <w:rFonts w:ascii="Times New Roman" w:hAnsi="Times New Roman"/>
          <w:sz w:val="24"/>
        </w:rPr>
        <w:t>SAS70</w:t>
      </w:r>
      <w:r>
        <w:rPr>
          <w:rFonts w:ascii="Times New Roman" w:hAnsi="Times New Roman"/>
          <w:sz w:val="24"/>
        </w:rPr>
        <w:t>内部控制审计，并获得无保留意见的</w:t>
      </w:r>
      <w:r>
        <w:rPr>
          <w:rFonts w:ascii="Times New Roman" w:hAnsi="Times New Roman"/>
          <w:sz w:val="24"/>
        </w:rPr>
        <w:t>SAS70</w:t>
      </w:r>
      <w:r>
        <w:rPr>
          <w:rFonts w:ascii="Times New Roman" w:hAnsi="Times New Roman"/>
          <w:sz w:val="24"/>
        </w:rPr>
        <w:t>审计报告。</w:t>
      </w:r>
      <w:r>
        <w:rPr>
          <w:rFonts w:ascii="Times New Roman" w:hAnsi="Times New Roman"/>
          <w:sz w:val="24"/>
        </w:rPr>
        <w:lastRenderedPageBreak/>
        <w:t>自</w:t>
      </w:r>
      <w:r>
        <w:rPr>
          <w:rFonts w:ascii="Times New Roman" w:hAnsi="Times New Roman"/>
          <w:sz w:val="24"/>
        </w:rPr>
        <w:t>2010</w:t>
      </w:r>
      <w:r>
        <w:rPr>
          <w:rFonts w:ascii="Times New Roman" w:hAnsi="Times New Roman"/>
          <w:sz w:val="24"/>
        </w:rPr>
        <w:t>年起中国农业银行连续通过托管业务国际内控标准（</w:t>
      </w:r>
      <w:r>
        <w:rPr>
          <w:rFonts w:ascii="Times New Roman" w:hAnsi="Times New Roman"/>
          <w:sz w:val="24"/>
        </w:rPr>
        <w:t>ISAE3402</w:t>
      </w:r>
      <w:r>
        <w:rPr>
          <w:rFonts w:ascii="Times New Roman" w:hAnsi="Times New Roman"/>
          <w:sz w:val="24"/>
        </w:rPr>
        <w:t>）认证，表明了独立公正第三方对中国农业银行托管服务运作流程的风险管理、内部控制的健全有效性的全面认可。中国农业银行着力加强能力建设，品牌声誉进一步提升，在</w:t>
      </w:r>
      <w:r>
        <w:rPr>
          <w:rFonts w:ascii="Times New Roman" w:hAnsi="Times New Roman"/>
          <w:sz w:val="24"/>
        </w:rPr>
        <w:t>2010</w:t>
      </w:r>
      <w:r>
        <w:rPr>
          <w:rFonts w:ascii="Times New Roman" w:hAnsi="Times New Roman"/>
          <w:sz w:val="24"/>
        </w:rPr>
        <w:t>年首届</w:t>
      </w:r>
      <w:r>
        <w:rPr>
          <w:rFonts w:ascii="Times New Roman" w:hAnsi="Times New Roman"/>
          <w:sz w:val="24"/>
        </w:rPr>
        <w:t>“‘</w:t>
      </w:r>
      <w:r>
        <w:rPr>
          <w:rFonts w:ascii="Times New Roman" w:hAnsi="Times New Roman"/>
          <w:sz w:val="24"/>
        </w:rPr>
        <w:t>金牌理财</w:t>
      </w:r>
      <w:r>
        <w:rPr>
          <w:rFonts w:ascii="Times New Roman" w:hAnsi="Times New Roman"/>
          <w:sz w:val="24"/>
        </w:rPr>
        <w:t>’TOP10</w:t>
      </w:r>
      <w:r>
        <w:rPr>
          <w:rFonts w:ascii="Times New Roman" w:hAnsi="Times New Roman"/>
          <w:sz w:val="24"/>
        </w:rPr>
        <w:t>颁奖盛典</w:t>
      </w:r>
      <w:r>
        <w:rPr>
          <w:rFonts w:ascii="Times New Roman" w:hAnsi="Times New Roman"/>
          <w:sz w:val="24"/>
        </w:rPr>
        <w:t>”</w:t>
      </w:r>
      <w:r>
        <w:rPr>
          <w:rFonts w:ascii="Times New Roman" w:hAnsi="Times New Roman"/>
          <w:sz w:val="24"/>
        </w:rPr>
        <w:t>中成绩突出，获</w:t>
      </w:r>
      <w:r>
        <w:rPr>
          <w:rFonts w:ascii="Times New Roman" w:hAnsi="Times New Roman"/>
          <w:sz w:val="24"/>
        </w:rPr>
        <w:t>“</w:t>
      </w:r>
      <w:r>
        <w:rPr>
          <w:rFonts w:ascii="Times New Roman" w:hAnsi="Times New Roman"/>
          <w:sz w:val="24"/>
        </w:rPr>
        <w:t>最佳托管银行</w:t>
      </w:r>
      <w:r>
        <w:rPr>
          <w:rFonts w:ascii="Times New Roman" w:hAnsi="Times New Roman"/>
          <w:sz w:val="24"/>
        </w:rPr>
        <w:t>”</w:t>
      </w:r>
      <w:r>
        <w:rPr>
          <w:rFonts w:ascii="Times New Roman" w:hAnsi="Times New Roman"/>
          <w:sz w:val="24"/>
        </w:rPr>
        <w:t>奖。</w:t>
      </w:r>
      <w:r>
        <w:rPr>
          <w:rFonts w:ascii="Times New Roman" w:hAnsi="Times New Roman"/>
          <w:sz w:val="24"/>
        </w:rPr>
        <w:t>2010</w:t>
      </w:r>
      <w:r>
        <w:rPr>
          <w:rFonts w:ascii="Times New Roman" w:hAnsi="Times New Roman"/>
          <w:sz w:val="24"/>
        </w:rPr>
        <w:t>年再次荣获《首席财务官》杂志颁发的</w:t>
      </w:r>
      <w:r>
        <w:rPr>
          <w:rFonts w:ascii="Times New Roman" w:hAnsi="Times New Roman"/>
          <w:sz w:val="24"/>
        </w:rPr>
        <w:t>“</w:t>
      </w:r>
      <w:r>
        <w:rPr>
          <w:rFonts w:ascii="Times New Roman" w:hAnsi="Times New Roman"/>
          <w:sz w:val="24"/>
        </w:rPr>
        <w:t>最佳资产托管奖</w:t>
      </w:r>
      <w:r>
        <w:rPr>
          <w:rFonts w:ascii="Times New Roman" w:hAnsi="Times New Roman"/>
          <w:sz w:val="24"/>
        </w:rPr>
        <w:t>”</w:t>
      </w:r>
      <w:r>
        <w:rPr>
          <w:rFonts w:ascii="Times New Roman" w:hAnsi="Times New Roman"/>
          <w:sz w:val="24"/>
        </w:rPr>
        <w:t>。</w:t>
      </w:r>
      <w:r>
        <w:rPr>
          <w:rFonts w:ascii="Times New Roman" w:hAnsi="Times New Roman"/>
          <w:sz w:val="24"/>
        </w:rPr>
        <w:t>2012</w:t>
      </w:r>
      <w:r>
        <w:rPr>
          <w:rFonts w:ascii="Times New Roman" w:hAnsi="Times New Roman"/>
          <w:sz w:val="24"/>
        </w:rPr>
        <w:t>年荣获第十届中国财经风云榜</w:t>
      </w:r>
      <w:r>
        <w:rPr>
          <w:rFonts w:ascii="Times New Roman" w:hAnsi="Times New Roman"/>
          <w:sz w:val="24"/>
        </w:rPr>
        <w:t>“</w:t>
      </w:r>
      <w:r>
        <w:rPr>
          <w:rFonts w:ascii="Times New Roman" w:hAnsi="Times New Roman"/>
          <w:sz w:val="24"/>
        </w:rPr>
        <w:t>最佳资产托管银行</w:t>
      </w:r>
      <w:r>
        <w:rPr>
          <w:rFonts w:ascii="Times New Roman" w:hAnsi="Times New Roman"/>
          <w:sz w:val="24"/>
        </w:rPr>
        <w:t>”</w:t>
      </w:r>
      <w:r>
        <w:rPr>
          <w:rFonts w:ascii="Times New Roman" w:hAnsi="Times New Roman"/>
          <w:sz w:val="24"/>
        </w:rPr>
        <w:t>称号；</w:t>
      </w:r>
      <w:r>
        <w:rPr>
          <w:rFonts w:ascii="Times New Roman" w:hAnsi="Times New Roman"/>
          <w:sz w:val="24"/>
        </w:rPr>
        <w:t>2013</w:t>
      </w:r>
      <w:r>
        <w:rPr>
          <w:rFonts w:ascii="Times New Roman" w:hAnsi="Times New Roman"/>
          <w:sz w:val="24"/>
        </w:rPr>
        <w:t>年至</w:t>
      </w:r>
      <w:r>
        <w:rPr>
          <w:rFonts w:ascii="Times New Roman" w:hAnsi="Times New Roman"/>
          <w:sz w:val="24"/>
        </w:rPr>
        <w:t>2017</w:t>
      </w:r>
      <w:r>
        <w:rPr>
          <w:rFonts w:ascii="Times New Roman" w:hAnsi="Times New Roman"/>
          <w:sz w:val="24"/>
        </w:rPr>
        <w:t>年连续荣获上海清算所授予的</w:t>
      </w:r>
      <w:r>
        <w:rPr>
          <w:rFonts w:ascii="Times New Roman" w:hAnsi="Times New Roman"/>
          <w:sz w:val="24"/>
        </w:rPr>
        <w:t>“</w:t>
      </w:r>
      <w:r>
        <w:rPr>
          <w:rFonts w:ascii="Times New Roman" w:hAnsi="Times New Roman"/>
          <w:sz w:val="24"/>
        </w:rPr>
        <w:t>托管银行优秀奖</w:t>
      </w:r>
      <w:r>
        <w:rPr>
          <w:rFonts w:ascii="Times New Roman" w:hAnsi="Times New Roman"/>
          <w:sz w:val="24"/>
        </w:rPr>
        <w:t>”</w:t>
      </w:r>
      <w:r>
        <w:rPr>
          <w:rFonts w:ascii="Times New Roman" w:hAnsi="Times New Roman"/>
          <w:sz w:val="24"/>
        </w:rPr>
        <w:t>和中央国债登记结算有限责任公司授予的</w:t>
      </w:r>
      <w:r>
        <w:rPr>
          <w:rFonts w:ascii="Times New Roman" w:hAnsi="Times New Roman"/>
          <w:sz w:val="24"/>
        </w:rPr>
        <w:t>“</w:t>
      </w:r>
      <w:r>
        <w:rPr>
          <w:rFonts w:ascii="Times New Roman" w:hAnsi="Times New Roman"/>
          <w:sz w:val="24"/>
        </w:rPr>
        <w:t>优秀托管机构奖</w:t>
      </w:r>
      <w:r>
        <w:rPr>
          <w:rFonts w:ascii="Times New Roman" w:hAnsi="Times New Roman"/>
          <w:sz w:val="24"/>
        </w:rPr>
        <w:t>”</w:t>
      </w:r>
      <w:r>
        <w:rPr>
          <w:rFonts w:ascii="Times New Roman" w:hAnsi="Times New Roman"/>
          <w:sz w:val="24"/>
        </w:rPr>
        <w:t>称号；</w:t>
      </w:r>
      <w:r>
        <w:rPr>
          <w:rFonts w:ascii="Times New Roman" w:hAnsi="Times New Roman"/>
          <w:sz w:val="24"/>
        </w:rPr>
        <w:t>2015</w:t>
      </w:r>
      <w:r>
        <w:rPr>
          <w:rFonts w:ascii="Times New Roman" w:hAnsi="Times New Roman"/>
          <w:sz w:val="24"/>
        </w:rPr>
        <w:t>年、</w:t>
      </w:r>
      <w:r>
        <w:rPr>
          <w:rFonts w:ascii="Times New Roman" w:hAnsi="Times New Roman"/>
          <w:sz w:val="24"/>
        </w:rPr>
        <w:t>2016</w:t>
      </w:r>
      <w:r>
        <w:rPr>
          <w:rFonts w:ascii="Times New Roman" w:hAnsi="Times New Roman"/>
          <w:sz w:val="24"/>
        </w:rPr>
        <w:t>年荣获中国银行业协会授予的</w:t>
      </w:r>
      <w:r>
        <w:rPr>
          <w:rFonts w:ascii="Times New Roman" w:hAnsi="Times New Roman"/>
          <w:sz w:val="24"/>
        </w:rPr>
        <w:t>“</w:t>
      </w:r>
      <w:r>
        <w:rPr>
          <w:rFonts w:ascii="Times New Roman" w:hAnsi="Times New Roman"/>
          <w:sz w:val="24"/>
        </w:rPr>
        <w:t>养老金业务最佳发展奖</w:t>
      </w:r>
      <w:r>
        <w:rPr>
          <w:rFonts w:ascii="Times New Roman" w:hAnsi="Times New Roman"/>
          <w:sz w:val="24"/>
        </w:rPr>
        <w:t>”</w:t>
      </w:r>
      <w:r>
        <w:rPr>
          <w:rFonts w:ascii="Times New Roman" w:hAnsi="Times New Roman"/>
          <w:sz w:val="24"/>
        </w:rPr>
        <w:t>称号；</w:t>
      </w:r>
      <w:r>
        <w:rPr>
          <w:rFonts w:ascii="Times New Roman" w:hAnsi="Times New Roman"/>
          <w:sz w:val="24"/>
        </w:rPr>
        <w:t>2018</w:t>
      </w:r>
      <w:r>
        <w:rPr>
          <w:rFonts w:ascii="Times New Roman" w:hAnsi="Times New Roman"/>
          <w:sz w:val="24"/>
        </w:rPr>
        <w:t>年荣获中国基金报授予的公募基金</w:t>
      </w:r>
      <w:r>
        <w:rPr>
          <w:rFonts w:ascii="Times New Roman" w:hAnsi="Times New Roman"/>
          <w:sz w:val="24"/>
        </w:rPr>
        <w:t>20</w:t>
      </w:r>
      <w:r>
        <w:rPr>
          <w:rFonts w:ascii="Times New Roman" w:hAnsi="Times New Roman"/>
          <w:sz w:val="24"/>
        </w:rPr>
        <w:t>年</w:t>
      </w:r>
      <w:r>
        <w:rPr>
          <w:rFonts w:ascii="Times New Roman" w:hAnsi="Times New Roman"/>
          <w:sz w:val="24"/>
        </w:rPr>
        <w:t>“</w:t>
      </w:r>
      <w:r>
        <w:rPr>
          <w:rFonts w:ascii="Times New Roman" w:hAnsi="Times New Roman"/>
          <w:sz w:val="24"/>
        </w:rPr>
        <w:t>最佳基金托管银行</w:t>
      </w:r>
      <w:r>
        <w:rPr>
          <w:rFonts w:ascii="Times New Roman" w:hAnsi="Times New Roman"/>
          <w:sz w:val="24"/>
        </w:rPr>
        <w:t>”</w:t>
      </w:r>
      <w:r>
        <w:rPr>
          <w:rFonts w:ascii="Times New Roman" w:hAnsi="Times New Roman"/>
          <w:sz w:val="24"/>
        </w:rPr>
        <w:t>奖；</w:t>
      </w:r>
      <w:r>
        <w:rPr>
          <w:rFonts w:ascii="Times New Roman" w:hAnsi="Times New Roman"/>
          <w:sz w:val="24"/>
        </w:rPr>
        <w:t>2019</w:t>
      </w:r>
      <w:r>
        <w:rPr>
          <w:rFonts w:ascii="Times New Roman" w:hAnsi="Times New Roman"/>
          <w:sz w:val="24"/>
        </w:rPr>
        <w:t>年荣获证券时报授予的</w:t>
      </w:r>
      <w:r>
        <w:rPr>
          <w:rFonts w:ascii="Times New Roman" w:hAnsi="Times New Roman"/>
          <w:sz w:val="24"/>
        </w:rPr>
        <w:t>“2019</w:t>
      </w:r>
      <w:r>
        <w:rPr>
          <w:rFonts w:ascii="Times New Roman" w:hAnsi="Times New Roman"/>
          <w:sz w:val="24"/>
        </w:rPr>
        <w:t>年度资产托管银行天玑奖</w:t>
      </w:r>
      <w:r>
        <w:rPr>
          <w:rFonts w:ascii="Times New Roman" w:hAnsi="Times New Roman"/>
          <w:sz w:val="24"/>
        </w:rPr>
        <w:t>”</w:t>
      </w:r>
      <w:r>
        <w:rPr>
          <w:rFonts w:ascii="Times New Roman" w:hAnsi="Times New Roman"/>
          <w:sz w:val="24"/>
        </w:rPr>
        <w:t>称号。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中国农业银行证券投资基金托管部于</w:t>
      </w:r>
      <w:r>
        <w:rPr>
          <w:rFonts w:ascii="Times New Roman" w:hAnsi="Times New Roman"/>
          <w:sz w:val="24"/>
        </w:rPr>
        <w:t>1998</w:t>
      </w:r>
      <w:r>
        <w:rPr>
          <w:rFonts w:ascii="Times New Roman" w:hAnsi="Times New Roman"/>
          <w:sz w:val="24"/>
        </w:rPr>
        <w:t>年</w:t>
      </w:r>
      <w:r>
        <w:rPr>
          <w:rFonts w:ascii="Times New Roman" w:hAnsi="Times New Roman"/>
          <w:sz w:val="24"/>
        </w:rPr>
        <w:t>5</w:t>
      </w:r>
      <w:r>
        <w:rPr>
          <w:rFonts w:ascii="Times New Roman" w:hAnsi="Times New Roman"/>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中国农业银行托管业务部现有员工近</w:t>
      </w:r>
      <w:r>
        <w:rPr>
          <w:rFonts w:ascii="Times New Roman" w:hAnsi="Times New Roman"/>
          <w:sz w:val="24"/>
        </w:rPr>
        <w:t>310</w:t>
      </w:r>
      <w:r>
        <w:rPr>
          <w:rFonts w:ascii="Times New Roman" w:hAnsi="Times New Roman"/>
          <w:sz w:val="24"/>
        </w:rPr>
        <w:t>名，其中具有高级职称的专家</w:t>
      </w:r>
      <w:r>
        <w:rPr>
          <w:rFonts w:ascii="Times New Roman" w:hAnsi="Times New Roman"/>
          <w:sz w:val="24"/>
        </w:rPr>
        <w:t>60</w:t>
      </w:r>
      <w:r>
        <w:rPr>
          <w:rFonts w:ascii="Times New Roman" w:hAnsi="Times New Roman"/>
          <w:sz w:val="24"/>
        </w:rPr>
        <w:t>名，服务团队成员专业水平高、业务素质好、服务能力强，高级管理层均有</w:t>
      </w:r>
      <w:r>
        <w:rPr>
          <w:rFonts w:ascii="Times New Roman" w:hAnsi="Times New Roman"/>
          <w:sz w:val="24"/>
        </w:rPr>
        <w:t>20</w:t>
      </w:r>
      <w:r>
        <w:rPr>
          <w:rFonts w:ascii="Times New Roman" w:hAnsi="Times New Roman"/>
          <w:sz w:val="24"/>
        </w:rPr>
        <w:t>年以上金融从业经验和高级技术职称，精通国内外证券市场的运作。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截止到</w:t>
      </w:r>
      <w:r>
        <w:rPr>
          <w:rFonts w:ascii="Times New Roman" w:hAnsi="Times New Roman"/>
          <w:sz w:val="24"/>
        </w:rPr>
        <w:t>2020</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日，中国农业银行托管的封闭式证券投资基金和开放式证券投资基金共</w:t>
      </w:r>
      <w:r>
        <w:rPr>
          <w:rFonts w:ascii="Times New Roman" w:hAnsi="Times New Roman"/>
          <w:sz w:val="24"/>
        </w:rPr>
        <w:t>550</w:t>
      </w:r>
      <w:r>
        <w:rPr>
          <w:rFonts w:ascii="Times New Roman" w:hAnsi="Times New Roman"/>
          <w:sz w:val="24"/>
        </w:rPr>
        <w:t>只。</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（二）基金托管人的内部风险控制制度说明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严格遵守国家有关托管业务的法律法规、行业监管规章和行内有关管理规定</w:t>
      </w:r>
      <w:r>
        <w:rPr>
          <w:rFonts w:ascii="Times New Roman" w:hAnsi="Times New Roman"/>
          <w:sz w:val="24"/>
        </w:rPr>
        <w:t>,</w:t>
      </w:r>
      <w:r>
        <w:rPr>
          <w:rFonts w:ascii="Times New Roman" w:hAnsi="Times New Roman"/>
          <w:sz w:val="24"/>
        </w:rPr>
        <w:t>守法经营、规范运作、严格监察</w:t>
      </w:r>
      <w:r>
        <w:rPr>
          <w:rFonts w:ascii="Times New Roman" w:hAnsi="Times New Roman"/>
          <w:sz w:val="24"/>
        </w:rPr>
        <w:t>,</w:t>
      </w:r>
      <w:r>
        <w:rPr>
          <w:rFonts w:ascii="Times New Roman" w:hAnsi="Times New Roman"/>
          <w:sz w:val="24"/>
        </w:rPr>
        <w:t>确保业务的稳健运行</w:t>
      </w:r>
      <w:r>
        <w:rPr>
          <w:rFonts w:ascii="Times New Roman" w:hAnsi="Times New Roman"/>
          <w:sz w:val="24"/>
        </w:rPr>
        <w:t>,</w:t>
      </w:r>
      <w:r>
        <w:rPr>
          <w:rFonts w:ascii="Times New Roman" w:hAnsi="Times New Roman"/>
          <w:sz w:val="24"/>
        </w:rPr>
        <w:t>保证基金财产的安全完整</w:t>
      </w:r>
      <w:r>
        <w:rPr>
          <w:rFonts w:ascii="Times New Roman" w:hAnsi="Times New Roman"/>
          <w:sz w:val="24"/>
        </w:rPr>
        <w:t>,</w:t>
      </w:r>
      <w:r>
        <w:rPr>
          <w:rFonts w:ascii="Times New Roman" w:hAnsi="Times New Roman"/>
          <w:sz w:val="24"/>
        </w:rPr>
        <w:t>确保有关信息的真实、准确、完整、及时</w:t>
      </w:r>
      <w:r>
        <w:rPr>
          <w:rFonts w:ascii="Times New Roman" w:hAnsi="Times New Roman"/>
          <w:sz w:val="24"/>
        </w:rPr>
        <w:t>,</w:t>
      </w:r>
      <w:r>
        <w:rPr>
          <w:rFonts w:ascii="Times New Roman" w:hAnsi="Times New Roman"/>
          <w:sz w:val="24"/>
        </w:rPr>
        <w:t>保护基金份额持有人的合法权益。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、内部控制组织结构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风险管理委员会总体负责中国农业银行的风险管理与内部控制工作</w:t>
      </w:r>
      <w:r>
        <w:rPr>
          <w:rFonts w:ascii="Times New Roman" w:hAnsi="Times New Roman"/>
          <w:sz w:val="24"/>
        </w:rPr>
        <w:t>,</w:t>
      </w:r>
      <w:r>
        <w:rPr>
          <w:rFonts w:ascii="Times New Roman" w:hAnsi="Times New Roman"/>
          <w:sz w:val="24"/>
        </w:rPr>
        <w:t>对托管业务风险管理和内部控制工作进行监督和评价。托管业务部专门设置了风险管理处</w:t>
      </w:r>
      <w:r>
        <w:rPr>
          <w:rFonts w:ascii="Times New Roman" w:hAnsi="Times New Roman"/>
          <w:sz w:val="24"/>
        </w:rPr>
        <w:t>,</w:t>
      </w:r>
      <w:r>
        <w:rPr>
          <w:rFonts w:ascii="Times New Roman" w:hAnsi="Times New Roman"/>
          <w:sz w:val="24"/>
        </w:rPr>
        <w:t>配备了专职内控监督人员负责托管业务的内控监督工作</w:t>
      </w:r>
      <w:r>
        <w:rPr>
          <w:rFonts w:ascii="Times New Roman" w:hAnsi="Times New Roman"/>
          <w:sz w:val="24"/>
        </w:rPr>
        <w:t>,</w:t>
      </w:r>
      <w:r>
        <w:rPr>
          <w:rFonts w:ascii="Times New Roman" w:hAnsi="Times New Roman"/>
          <w:sz w:val="24"/>
        </w:rPr>
        <w:t>独立行使监督稽核职权。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、内部控制制度及措施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当基金出现异常交易行为时，基金托管人应当针对不同情况进行以下方式的处理：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、电话提示。对媒体和舆论反映集中的问题，电话提示基金管理人；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、书面警示。对本基金投资比例接近超标、资金头寸不足等问题，以书面方式对基金管理人进行提示；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、书面报告。对投资比例超标、清算资金透支以及其他涉嫌违规交易等行为，书面提示有关基金管理人并报中国证监会。</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7" w:name="_Toc57389332"/>
      <w:r>
        <w:rPr>
          <w:rFonts w:ascii="Times New Roman" w:hAnsi="Times New Roman"/>
          <w:sz w:val="30"/>
        </w:rPr>
        <w:lastRenderedPageBreak/>
        <w:t>五、相关服务机构</w:t>
      </w:r>
      <w:bookmarkEnd w:id="7"/>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个人投资者可以通过基金管理人网上直销交易平台办理开户、本基金的申购、赎回、定期定额投资等业务，具体交易细则请参阅基金管理人网站。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 fund001.com</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）名称：招商银行股份有限公司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住所：深圳市福田区深南大道</w:t>
      </w:r>
      <w:r>
        <w:rPr>
          <w:rFonts w:ascii="Times New Roman" w:hAnsi="Times New Roman"/>
          <w:sz w:val="24"/>
        </w:rPr>
        <w:t>7088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）名称：江苏常熟农村商业银行股份有限公司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住所：江苏省常熟市新世纪大道</w:t>
      </w:r>
      <w:r>
        <w:rPr>
          <w:rFonts w:ascii="Times New Roman" w:hAnsi="Times New Roman"/>
          <w:sz w:val="24"/>
        </w:rPr>
        <w:t>58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办公地址：江苏省常熟市新世纪大道</w:t>
      </w:r>
      <w:r>
        <w:rPr>
          <w:rFonts w:ascii="Times New Roman" w:hAnsi="Times New Roman"/>
          <w:sz w:val="24"/>
        </w:rPr>
        <w:t>58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法定代表人：宋建明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0512</w:t>
      </w:r>
      <w:r>
        <w:rPr>
          <w:rFonts w:ascii="Times New Roman" w:hAnsi="Times New Roman"/>
          <w:sz w:val="24"/>
        </w:rPr>
        <w:t>）</w:t>
      </w:r>
      <w:r>
        <w:rPr>
          <w:rFonts w:ascii="Times New Roman" w:hAnsi="Times New Roman"/>
          <w:sz w:val="24"/>
        </w:rPr>
        <w:t>52909128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0512</w:t>
      </w:r>
      <w:r>
        <w:rPr>
          <w:rFonts w:ascii="Times New Roman" w:hAnsi="Times New Roman"/>
          <w:sz w:val="24"/>
        </w:rPr>
        <w:t>）</w:t>
      </w:r>
      <w:r>
        <w:rPr>
          <w:rFonts w:ascii="Times New Roman" w:hAnsi="Times New Roman"/>
          <w:sz w:val="24"/>
        </w:rPr>
        <w:t>52909122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联系人：黄晓</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962000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www.csrcbank.com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）名称：中国农业银行股份有限公司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www.abchina.com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）名称：中国银河证券股份有限公司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法定代表人：陈共炎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010-83574507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）名称：华福证券有限责任公司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住所：福州市五四路</w:t>
      </w:r>
      <w:r>
        <w:rPr>
          <w:rFonts w:ascii="Times New Roman" w:hAnsi="Times New Roman"/>
          <w:sz w:val="24"/>
        </w:rPr>
        <w:t>157</w:t>
      </w:r>
      <w:r>
        <w:rPr>
          <w:rFonts w:ascii="Times New Roman" w:hAnsi="Times New Roman"/>
          <w:sz w:val="24"/>
        </w:rPr>
        <w:t>号新天地大厦</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办公地址：福州市五四路新天地大厦</w:t>
      </w:r>
      <w:r>
        <w:rPr>
          <w:rFonts w:ascii="Times New Roman" w:hAnsi="Times New Roman"/>
          <w:sz w:val="24"/>
        </w:rPr>
        <w:t>7</w:t>
      </w:r>
      <w:r>
        <w:rPr>
          <w:rFonts w:ascii="Times New Roman" w:hAnsi="Times New Roman"/>
          <w:sz w:val="24"/>
        </w:rPr>
        <w:t>至</w:t>
      </w:r>
      <w:r>
        <w:rPr>
          <w:rFonts w:ascii="Times New Roman" w:hAnsi="Times New Roman"/>
          <w:sz w:val="24"/>
        </w:rPr>
        <w:t>10</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法定代表人：黄金琳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0591</w:t>
      </w:r>
      <w:r>
        <w:rPr>
          <w:rFonts w:ascii="Times New Roman" w:hAnsi="Times New Roman"/>
          <w:sz w:val="24"/>
        </w:rPr>
        <w:t>）</w:t>
      </w:r>
      <w:r>
        <w:rPr>
          <w:rFonts w:ascii="Times New Roman" w:hAnsi="Times New Roman"/>
          <w:sz w:val="24"/>
        </w:rPr>
        <w:t>87383623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0591</w:t>
      </w:r>
      <w:r>
        <w:rPr>
          <w:rFonts w:ascii="Times New Roman" w:hAnsi="Times New Roman"/>
          <w:sz w:val="24"/>
        </w:rPr>
        <w:t>）</w:t>
      </w:r>
      <w:r>
        <w:rPr>
          <w:rFonts w:ascii="Times New Roman" w:hAnsi="Times New Roman"/>
          <w:sz w:val="24"/>
        </w:rPr>
        <w:t>87383610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0591</w:t>
      </w:r>
      <w:r>
        <w:rPr>
          <w:rFonts w:ascii="Times New Roman" w:hAnsi="Times New Roman"/>
          <w:sz w:val="24"/>
        </w:rPr>
        <w:t>）</w:t>
      </w:r>
      <w:r>
        <w:rPr>
          <w:rFonts w:ascii="Times New Roman" w:hAnsi="Times New Roman"/>
          <w:sz w:val="24"/>
        </w:rPr>
        <w:t>96326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www.hfzq.com.cn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）名称：中信建投证券股份有限公司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www.csc108.com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）名称：兴业证券股份有限公司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法定代表人：杨华辉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）名称：华龙证券有限责任公司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住所：兰州市城关区东岗西路</w:t>
      </w:r>
      <w:r>
        <w:rPr>
          <w:rFonts w:ascii="Times New Roman" w:hAnsi="Times New Roman"/>
          <w:sz w:val="24"/>
        </w:rPr>
        <w:t>638</w:t>
      </w:r>
      <w:r>
        <w:rPr>
          <w:rFonts w:ascii="Times New Roman" w:hAnsi="Times New Roman"/>
          <w:sz w:val="24"/>
        </w:rPr>
        <w:t>号财富中心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办公地址：兰州市城关区东岗西路</w:t>
      </w:r>
      <w:r>
        <w:rPr>
          <w:rFonts w:ascii="Times New Roman" w:hAnsi="Times New Roman"/>
          <w:sz w:val="24"/>
        </w:rPr>
        <w:t>638</w:t>
      </w:r>
      <w:r>
        <w:rPr>
          <w:rFonts w:ascii="Times New Roman" w:hAnsi="Times New Roman"/>
          <w:sz w:val="24"/>
        </w:rPr>
        <w:t>号财富中心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0931</w:t>
      </w:r>
      <w:r>
        <w:rPr>
          <w:rFonts w:ascii="Times New Roman" w:hAnsi="Times New Roman"/>
          <w:sz w:val="24"/>
        </w:rPr>
        <w:t>）</w:t>
      </w:r>
      <w:r>
        <w:rPr>
          <w:rFonts w:ascii="Times New Roman" w:hAnsi="Times New Roman"/>
          <w:sz w:val="24"/>
        </w:rPr>
        <w:t>4890208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0931</w:t>
      </w:r>
      <w:r>
        <w:rPr>
          <w:rFonts w:ascii="Times New Roman" w:hAnsi="Times New Roman"/>
          <w:sz w:val="24"/>
        </w:rPr>
        <w:t>）</w:t>
      </w:r>
      <w:r>
        <w:rPr>
          <w:rFonts w:ascii="Times New Roman" w:hAnsi="Times New Roman"/>
          <w:sz w:val="24"/>
        </w:rPr>
        <w:t>4890628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联系人：李昕田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4006898888</w:t>
      </w:r>
      <w:r>
        <w:rPr>
          <w:rFonts w:ascii="Times New Roman" w:hAnsi="Times New Roman"/>
          <w:sz w:val="24"/>
        </w:rPr>
        <w:t>、（</w:t>
      </w:r>
      <w:r>
        <w:rPr>
          <w:rFonts w:ascii="Times New Roman" w:hAnsi="Times New Roman"/>
          <w:sz w:val="24"/>
        </w:rPr>
        <w:t>0931</w:t>
      </w:r>
      <w:r>
        <w:rPr>
          <w:rFonts w:ascii="Times New Roman" w:hAnsi="Times New Roman"/>
          <w:sz w:val="24"/>
        </w:rPr>
        <w:t>）</w:t>
      </w:r>
      <w:r>
        <w:rPr>
          <w:rFonts w:ascii="Times New Roman" w:hAnsi="Times New Roman"/>
          <w:sz w:val="24"/>
        </w:rPr>
        <w:t>4890208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www.hlzqgs.com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）名称：长江证券股份有限公司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住所：武汉市新华路特</w:t>
      </w:r>
      <w:r>
        <w:rPr>
          <w:rFonts w:ascii="Times New Roman" w:hAnsi="Times New Roman"/>
          <w:sz w:val="24"/>
        </w:rPr>
        <w:t>8</w:t>
      </w:r>
      <w:r>
        <w:rPr>
          <w:rFonts w:ascii="Times New Roman" w:hAnsi="Times New Roman"/>
          <w:sz w:val="24"/>
        </w:rPr>
        <w:t>号长江证券大厦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办公地址：武汉市新华路特</w:t>
      </w:r>
      <w:r>
        <w:rPr>
          <w:rFonts w:ascii="Times New Roman" w:hAnsi="Times New Roman"/>
          <w:sz w:val="24"/>
        </w:rPr>
        <w:t>8</w:t>
      </w:r>
      <w:r>
        <w:rPr>
          <w:rFonts w:ascii="Times New Roman" w:hAnsi="Times New Roman"/>
          <w:sz w:val="24"/>
        </w:rPr>
        <w:t>号长江证券大厦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法定代表人：胡运钊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027</w:t>
      </w:r>
      <w:r>
        <w:rPr>
          <w:rFonts w:ascii="Times New Roman" w:hAnsi="Times New Roman"/>
          <w:sz w:val="24"/>
        </w:rPr>
        <w:t>）</w:t>
      </w:r>
      <w:r>
        <w:rPr>
          <w:rFonts w:ascii="Times New Roman" w:hAnsi="Times New Roman"/>
          <w:sz w:val="24"/>
        </w:rPr>
        <w:t>65799999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027</w:t>
      </w:r>
      <w:r>
        <w:rPr>
          <w:rFonts w:ascii="Times New Roman" w:hAnsi="Times New Roman"/>
          <w:sz w:val="24"/>
        </w:rPr>
        <w:t>）</w:t>
      </w:r>
      <w:r>
        <w:rPr>
          <w:rFonts w:ascii="Times New Roman" w:hAnsi="Times New Roman"/>
          <w:sz w:val="24"/>
        </w:rPr>
        <w:t>85481900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95579</w:t>
      </w:r>
      <w:r>
        <w:rPr>
          <w:rFonts w:ascii="Times New Roman" w:hAnsi="Times New Roman"/>
          <w:sz w:val="24"/>
        </w:rPr>
        <w:t>或</w:t>
      </w:r>
      <w:r>
        <w:rPr>
          <w:rFonts w:ascii="Times New Roman" w:hAnsi="Times New Roman"/>
          <w:sz w:val="24"/>
        </w:rPr>
        <w:t>4008-888-999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www.95579.com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）名称：国都证券股份有限公司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）名称：平安证券股份有限公司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95511-8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）名称：中信证券（山东）有限责任公司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95548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）名称：中泰证券股份有限公司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）名称：国金证券股份有限公司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）名称：渤海证券股份有限公司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）名称：信达证券股份有限公司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）名称：西南证券股份有限公司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www.swsc.com.cn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）名称：华融证券股份有限公司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法定代表人：宋德清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58568235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58568062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联系人：黄恒</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58568118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www.hrsec.com.cn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）名称：招商证券股份有限公司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法定代表人：霍达</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联系人：黄婵君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400-8888-111</w:t>
      </w:r>
      <w:r>
        <w:rPr>
          <w:rFonts w:ascii="Times New Roman" w:hAnsi="Times New Roman"/>
          <w:sz w:val="24"/>
        </w:rPr>
        <w:t>，</w:t>
      </w:r>
      <w:r>
        <w:rPr>
          <w:rFonts w:ascii="Times New Roman" w:hAnsi="Times New Roman"/>
          <w:sz w:val="24"/>
        </w:rPr>
        <w:t>95565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www.newone.com.cn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）名称：安信证券股份有限公司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）名称：中信证券股份有限公司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法定代表人：张佑君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010-60838888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95548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www.cs.ecitic.com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23</w:t>
      </w:r>
      <w:r>
        <w:rPr>
          <w:rFonts w:ascii="Times New Roman" w:hAnsi="Times New Roman"/>
          <w:sz w:val="24"/>
        </w:rPr>
        <w:t>）名称：华西证券股份有限公司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法定代表人：杨炯洋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联系人：周志茹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www.hx168.com.cn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）名称：东莞证券股份有限公司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住所：广东省东莞市莞城区可园南路一号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办公地址：广东省东莞市莞城区可园南路一号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22115712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22115712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www.dgzq.com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）名称：第一创业证券股份有限公司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法定代表人：刘学民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25832852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25831718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联系人：崔国良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4008881888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www.firstcapital.com.cn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）名称：东方财富证券股份有限公司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住所：西藏自治区拉萨市柳梧新区国际总部城</w:t>
      </w:r>
      <w:r>
        <w:rPr>
          <w:rFonts w:ascii="Times New Roman" w:hAnsi="Times New Roman"/>
          <w:sz w:val="24"/>
        </w:rPr>
        <w:t>10</w:t>
      </w:r>
      <w:r>
        <w:rPr>
          <w:rFonts w:ascii="Times New Roman" w:hAnsi="Times New Roman"/>
          <w:sz w:val="24"/>
        </w:rPr>
        <w:t>栋楼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办公地址：上海市徐汇区宛平南路</w:t>
      </w:r>
      <w:r>
        <w:rPr>
          <w:rFonts w:ascii="Times New Roman" w:hAnsi="Times New Roman"/>
          <w:sz w:val="24"/>
        </w:rPr>
        <w:t>88</w:t>
      </w:r>
      <w:r>
        <w:rPr>
          <w:rFonts w:ascii="Times New Roman" w:hAnsi="Times New Roman"/>
          <w:sz w:val="24"/>
        </w:rPr>
        <w:t>号东方财富大厦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法定代表人：徐伟琴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021</w:t>
      </w:r>
      <w:r>
        <w:rPr>
          <w:rFonts w:ascii="Times New Roman" w:hAnsi="Times New Roman"/>
          <w:sz w:val="24"/>
        </w:rPr>
        <w:t>）</w:t>
      </w:r>
      <w:r>
        <w:rPr>
          <w:rFonts w:ascii="Times New Roman" w:hAnsi="Times New Roman"/>
          <w:sz w:val="24"/>
        </w:rPr>
        <w:t>021-23586603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021-23586860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http://www.18.cn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）名称：德邦证券有限责任公司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法定代表人：姚文平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4008-888-128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www.tebon.com.cn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）名称：中信证券华南股份有限公司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法定代表人：胡伏云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020-88836999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020-88836984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www.gzs.com.cn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）名称：北京钱景财富投资管理有限公司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www.niuji.net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）名称：珠海盈米财富管理有限公司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）名称：北京汇成基金销售有限公司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联系人：丁向坤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）名称：上海利得基金销售有限公司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）名称：上海凯石财富基金销售有限公司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法定代表人：陈继武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021-63333319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021-63332523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4000 178 000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www.lingxianfund.com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）名称：北京虹点基金销售有限公司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）名称：上海陆金所资产管理有限公司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联系人：宁博宇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）名称：奕丰基金销售有限公司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）名称：北京恒天明泽基金销售有限公司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）名称：上海天天基金销售有限公司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）名称：和讯信息科技有限公司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4009200022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）名称：上海好买基金销售有限公司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）名称：上海长量基金销售投资顾问有限公司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）名称：深圳众禄基金销售有限公司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办公地址：深圳市罗湖区梨园路物资控股置地大厦</w:t>
      </w:r>
      <w:r>
        <w:rPr>
          <w:rFonts w:ascii="Times New Roman" w:hAnsi="Times New Roman"/>
          <w:sz w:val="24"/>
        </w:rPr>
        <w:t>8</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）名称：蚂蚁（杭州）基金销售有限公司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联系人：周嬿旻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）名称：中信期货有限公司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法定代表人：张皓</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010-60833754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021-60819988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联系人：刘宏莹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400-990-8826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网站：</w:t>
      </w:r>
      <w:r>
        <w:rPr>
          <w:rFonts w:ascii="Times New Roman" w:hAnsi="Times New Roman"/>
          <w:sz w:val="24"/>
        </w:rPr>
        <w:t>www.citicsf.com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）名称：天相投资顾问有限公司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法定代表人：林义相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）名称：浙江同花顺基金销售有限公司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法定代表人：凌顺平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）名称：宜信普泽投资顾问（北京）有限公司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010-85894285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400-6099-200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）名称：上海联泰资产管理有限公司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联系人：凌秋艳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）名称：深圳市新兰德证券投资咨询有限公司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）名称：北京展恒基金销售股份有限公司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）名称：一路财富（北京）信息科技有限公司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53</w:t>
      </w:r>
      <w:r>
        <w:rPr>
          <w:rFonts w:ascii="Times New Roman" w:hAnsi="Times New Roman"/>
          <w:sz w:val="24"/>
        </w:rPr>
        <w:t>）名称：中国国际金融股份有限公司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）名称：北京创金启富投资管理有限公司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法定代表人：梁蓉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联系人：李婷婷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400-6262-818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www.5irich.com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）名称：中证金牛（北京）投资咨询有限公司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www.jnlc.com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）名称：上海云湾投资管理有限公司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法定代表人：戴新装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）名称：北京新浪仓石基金销售有限公司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）名称：北京肯特瑞基金销售有限公司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）名称：北京蛋卷基金销售有限公司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）名称：凤凰金信（银川）投资管理有限公司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）名称：深圳市金斧子基金销售有限公司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法定代表人：赖任军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400-9500-888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www.jfzinv.com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）名称：上海基煜基金销售有限公司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）名称：格上富信投资顾问有限公司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400-066-8586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）名称：上海万得基金销售有限公司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）名称：天津万家财富资产管理有限公司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http://www.wanjiawealth.com/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）名称：上海挖财金融信息服务有限公司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）名称：嘉实财富管理有限公司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）名称：财通证券股份有限公司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注册地址：杭州市杭大路</w:t>
      </w:r>
      <w:r>
        <w:rPr>
          <w:rFonts w:ascii="Times New Roman" w:hAnsi="Times New Roman"/>
          <w:sz w:val="24"/>
        </w:rPr>
        <w:t>15</w:t>
      </w:r>
      <w:r>
        <w:rPr>
          <w:rFonts w:ascii="Times New Roman" w:hAnsi="Times New Roman"/>
          <w:sz w:val="24"/>
        </w:rPr>
        <w:t>号嘉华国际商务中心</w:t>
      </w:r>
      <w:r>
        <w:rPr>
          <w:rFonts w:ascii="Times New Roman" w:hAnsi="Times New Roman"/>
          <w:sz w:val="24"/>
        </w:rPr>
        <w:t>201</w:t>
      </w:r>
      <w:r>
        <w:rPr>
          <w:rFonts w:ascii="Times New Roman" w:hAnsi="Times New Roman"/>
          <w:sz w:val="24"/>
        </w:rPr>
        <w:t>、</w:t>
      </w:r>
      <w:r>
        <w:rPr>
          <w:rFonts w:ascii="Times New Roman" w:hAnsi="Times New Roman"/>
          <w:sz w:val="24"/>
        </w:rPr>
        <w:t>501</w:t>
      </w:r>
      <w:r>
        <w:rPr>
          <w:rFonts w:ascii="Times New Roman" w:hAnsi="Times New Roman"/>
          <w:sz w:val="24"/>
        </w:rPr>
        <w:t>、</w:t>
      </w:r>
      <w:r>
        <w:rPr>
          <w:rFonts w:ascii="Times New Roman" w:hAnsi="Times New Roman"/>
          <w:sz w:val="24"/>
        </w:rPr>
        <w:t>502</w:t>
      </w:r>
      <w:r>
        <w:rPr>
          <w:rFonts w:ascii="Times New Roman" w:hAnsi="Times New Roman"/>
          <w:sz w:val="24"/>
        </w:rPr>
        <w:t>、</w:t>
      </w:r>
      <w:r>
        <w:rPr>
          <w:rFonts w:ascii="Times New Roman" w:hAnsi="Times New Roman"/>
          <w:sz w:val="24"/>
        </w:rPr>
        <w:t>1103</w:t>
      </w:r>
      <w:r>
        <w:rPr>
          <w:rFonts w:ascii="Times New Roman" w:hAnsi="Times New Roman"/>
          <w:sz w:val="24"/>
        </w:rPr>
        <w:t>、</w:t>
      </w:r>
      <w:r>
        <w:rPr>
          <w:rFonts w:ascii="Times New Roman" w:hAnsi="Times New Roman"/>
          <w:sz w:val="24"/>
        </w:rPr>
        <w:t>1601-1615</w:t>
      </w:r>
      <w:r>
        <w:rPr>
          <w:rFonts w:ascii="Times New Roman" w:hAnsi="Times New Roman"/>
          <w:sz w:val="24"/>
        </w:rPr>
        <w:t>、</w:t>
      </w:r>
      <w:r>
        <w:rPr>
          <w:rFonts w:ascii="Times New Roman" w:hAnsi="Times New Roman"/>
          <w:sz w:val="24"/>
        </w:rPr>
        <w:t>1701-1716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办公地址：杭州市杭大路</w:t>
      </w:r>
      <w:r>
        <w:rPr>
          <w:rFonts w:ascii="Times New Roman" w:hAnsi="Times New Roman"/>
          <w:sz w:val="24"/>
        </w:rPr>
        <w:t>15</w:t>
      </w:r>
      <w:r>
        <w:rPr>
          <w:rFonts w:ascii="Times New Roman" w:hAnsi="Times New Roman"/>
          <w:sz w:val="24"/>
        </w:rPr>
        <w:t>号嘉华国际商务中心</w:t>
      </w:r>
      <w:r>
        <w:rPr>
          <w:rFonts w:ascii="Times New Roman" w:hAnsi="Times New Roman"/>
          <w:sz w:val="24"/>
        </w:rPr>
        <w:t>201</w:t>
      </w:r>
      <w:r>
        <w:rPr>
          <w:rFonts w:ascii="Times New Roman" w:hAnsi="Times New Roman"/>
          <w:sz w:val="24"/>
        </w:rPr>
        <w:t>、</w:t>
      </w:r>
      <w:r>
        <w:rPr>
          <w:rFonts w:ascii="Times New Roman" w:hAnsi="Times New Roman"/>
          <w:sz w:val="24"/>
        </w:rPr>
        <w:t>501</w:t>
      </w:r>
      <w:r>
        <w:rPr>
          <w:rFonts w:ascii="Times New Roman" w:hAnsi="Times New Roman"/>
          <w:sz w:val="24"/>
        </w:rPr>
        <w:t>、</w:t>
      </w:r>
      <w:r>
        <w:rPr>
          <w:rFonts w:ascii="Times New Roman" w:hAnsi="Times New Roman"/>
          <w:sz w:val="24"/>
        </w:rPr>
        <w:t>502</w:t>
      </w:r>
      <w:r>
        <w:rPr>
          <w:rFonts w:ascii="Times New Roman" w:hAnsi="Times New Roman"/>
          <w:sz w:val="24"/>
        </w:rPr>
        <w:t>、</w:t>
      </w:r>
      <w:r>
        <w:rPr>
          <w:rFonts w:ascii="Times New Roman" w:hAnsi="Times New Roman"/>
          <w:sz w:val="24"/>
        </w:rPr>
        <w:t>1103</w:t>
      </w:r>
      <w:r>
        <w:rPr>
          <w:rFonts w:ascii="Times New Roman" w:hAnsi="Times New Roman"/>
          <w:sz w:val="24"/>
        </w:rPr>
        <w:t>、</w:t>
      </w:r>
      <w:r>
        <w:rPr>
          <w:rFonts w:ascii="Times New Roman" w:hAnsi="Times New Roman"/>
          <w:sz w:val="24"/>
        </w:rPr>
        <w:t>1601-1615</w:t>
      </w:r>
      <w:r>
        <w:rPr>
          <w:rFonts w:ascii="Times New Roman" w:hAnsi="Times New Roman"/>
          <w:sz w:val="24"/>
        </w:rPr>
        <w:t>、</w:t>
      </w:r>
      <w:r>
        <w:rPr>
          <w:rFonts w:ascii="Times New Roman" w:hAnsi="Times New Roman"/>
          <w:sz w:val="24"/>
        </w:rPr>
        <w:t>1701-1716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沈继宁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0571-87789160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陶志华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95336,40086-96336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www.ctsec.com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）名称：南京苏宁基金销售有限公司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住所：南京市玄武区苏宁大道</w:t>
      </w:r>
      <w:r>
        <w:rPr>
          <w:rFonts w:ascii="Times New Roman" w:hAnsi="Times New Roman"/>
          <w:sz w:val="24"/>
        </w:rPr>
        <w:t>1-5</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）名称：北京百度百盈基金销售有限公司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联系人：霍博华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）名称：北京唐鼎耀华投资咨询有限公司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）名称：上海华夏财富投资管理有限公司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010-88066632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73</w:t>
      </w:r>
      <w:r>
        <w:rPr>
          <w:rFonts w:ascii="Times New Roman" w:hAnsi="Times New Roman"/>
          <w:sz w:val="24"/>
        </w:rPr>
        <w:t>）名称：江苏汇林保大基金销售有限公司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74</w:t>
      </w:r>
      <w:r>
        <w:rPr>
          <w:rFonts w:ascii="Times New Roman" w:hAnsi="Times New Roman"/>
          <w:sz w:val="24"/>
        </w:rPr>
        <w:t>）名称：上海大智慧基金销售有限公司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联系人：张蜓</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75</w:t>
      </w:r>
      <w:r>
        <w:rPr>
          <w:rFonts w:ascii="Times New Roman" w:hAnsi="Times New Roman"/>
          <w:sz w:val="24"/>
        </w:rPr>
        <w:t>）名称：玄元保险代理有限公司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www.licaimofang.cn</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76</w:t>
      </w:r>
      <w:r>
        <w:rPr>
          <w:rFonts w:ascii="Times New Roman" w:hAnsi="Times New Roman"/>
          <w:sz w:val="24"/>
        </w:rPr>
        <w:t>）名称：阳光人寿保险股份有限公司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77</w:t>
      </w:r>
      <w:r>
        <w:rPr>
          <w:rFonts w:ascii="Times New Roman" w:hAnsi="Times New Roman"/>
          <w:sz w:val="24"/>
        </w:rPr>
        <w:t>）名称：大连网金基金销售有限公司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78</w:t>
      </w:r>
      <w:r>
        <w:rPr>
          <w:rFonts w:ascii="Times New Roman" w:hAnsi="Times New Roman"/>
          <w:sz w:val="24"/>
        </w:rPr>
        <w:t>）名称：泛华普益基金销售有限公司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法定代表人：于海锋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028-8661-6229</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传真：无</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联系人：隋亚方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400-080-3388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https://www.puyifund.com/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基金管理人可根据有关法律法规的要求，选择其它符合要求的机构销售本基金，</w:t>
      </w:r>
      <w:r>
        <w:rPr>
          <w:rFonts w:ascii="Times New Roman" w:hAnsi="Times New Roman"/>
          <w:sz w:val="24"/>
        </w:rPr>
        <w:lastRenderedPageBreak/>
        <w:t>并在管理人网站公示。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负责人：俞卫锋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经办律师：黎明、丁媛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名称：普华永道中天会计师事务所（特殊普通合伙）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联系人：金诗涛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经办注册会计师：童咏静、金诗涛</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8" w:name="_Toc57389333"/>
      <w:r>
        <w:rPr>
          <w:rFonts w:ascii="Times New Roman" w:hAnsi="Times New Roman"/>
          <w:sz w:val="30"/>
        </w:rPr>
        <w:lastRenderedPageBreak/>
        <w:t>六、基金的募集</w:t>
      </w:r>
      <w:bookmarkEnd w:id="8"/>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本基金由基金管理人依照《基金法》、《运作办法》、基金合同及其他有关规定，并经中国证监会</w:t>
      </w:r>
      <w:r>
        <w:rPr>
          <w:rFonts w:ascii="Times New Roman" w:hAnsi="Times New Roman"/>
          <w:sz w:val="24"/>
        </w:rPr>
        <w:t>2016</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18</w:t>
      </w:r>
      <w:r>
        <w:rPr>
          <w:rFonts w:ascii="Times New Roman" w:hAnsi="Times New Roman"/>
          <w:sz w:val="24"/>
        </w:rPr>
        <w:t>日证监许可</w:t>
      </w:r>
      <w:r>
        <w:rPr>
          <w:rFonts w:ascii="Times New Roman" w:hAnsi="Times New Roman"/>
          <w:sz w:val="24"/>
        </w:rPr>
        <w:t>[2016]1085</w:t>
      </w:r>
      <w:r>
        <w:rPr>
          <w:rFonts w:ascii="Times New Roman" w:hAnsi="Times New Roman"/>
          <w:sz w:val="24"/>
        </w:rPr>
        <w:t>号文准予募集注册。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本基金为契约型开放式混合型基金。基金存续期间为不定期。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2016</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12</w:t>
      </w:r>
      <w:r>
        <w:rPr>
          <w:rFonts w:ascii="Times New Roman" w:hAnsi="Times New Roman"/>
          <w:sz w:val="24"/>
        </w:rPr>
        <w:t>日至</w:t>
      </w:r>
      <w:r>
        <w:rPr>
          <w:rFonts w:ascii="Times New Roman" w:hAnsi="Times New Roman"/>
          <w:sz w:val="24"/>
        </w:rPr>
        <w:t>2016</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31</w:t>
      </w:r>
      <w:r>
        <w:rPr>
          <w:rFonts w:ascii="Times New Roman" w:hAnsi="Times New Roman"/>
          <w:sz w:val="24"/>
        </w:rPr>
        <w:t>日进行发售，本基金设立募集期共募集</w:t>
      </w:r>
      <w:r>
        <w:rPr>
          <w:rFonts w:ascii="Times New Roman" w:hAnsi="Times New Roman"/>
          <w:sz w:val="24"/>
        </w:rPr>
        <w:t>316,618,672.08</w:t>
      </w:r>
      <w:r>
        <w:rPr>
          <w:rFonts w:ascii="Times New Roman" w:hAnsi="Times New Roman"/>
          <w:sz w:val="24"/>
        </w:rPr>
        <w:t>份基金份额，有效认购户数为</w:t>
      </w:r>
      <w:r>
        <w:rPr>
          <w:rFonts w:ascii="Times New Roman" w:hAnsi="Times New Roman"/>
          <w:sz w:val="24"/>
        </w:rPr>
        <w:t>6,355</w:t>
      </w:r>
      <w:r>
        <w:rPr>
          <w:rFonts w:ascii="Times New Roman" w:hAnsi="Times New Roman"/>
          <w:sz w:val="24"/>
        </w:rPr>
        <w:t>户。</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9" w:name="_Toc57389334"/>
      <w:r>
        <w:rPr>
          <w:rFonts w:ascii="Times New Roman" w:hAnsi="Times New Roman"/>
          <w:sz w:val="30"/>
        </w:rPr>
        <w:lastRenderedPageBreak/>
        <w:t>七、基金合同的生效</w:t>
      </w:r>
      <w:bookmarkEnd w:id="9"/>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2016</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7</w:t>
      </w:r>
      <w:r>
        <w:rPr>
          <w:rFonts w:ascii="Times New Roman" w:hAnsi="Times New Roman"/>
          <w:sz w:val="24"/>
        </w:rPr>
        <w:t>日正式生效。自基金合同生效之日起，本基金管理人正式开始管理本基金。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《基金合同》生效后，连续</w:t>
      </w:r>
      <w:r>
        <w:rPr>
          <w:rFonts w:ascii="Times New Roman" w:hAnsi="Times New Roman"/>
          <w:sz w:val="24"/>
        </w:rPr>
        <w:t>20</w:t>
      </w:r>
      <w:r>
        <w:rPr>
          <w:rFonts w:ascii="Times New Roman" w:hAnsi="Times New Roman"/>
          <w:sz w:val="24"/>
        </w:rPr>
        <w:t>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万元情形的，基金管理人应当在定期报告中予以披露。连续</w:t>
      </w:r>
      <w:r>
        <w:rPr>
          <w:rFonts w:ascii="Times New Roman" w:hAnsi="Times New Roman"/>
          <w:sz w:val="24"/>
        </w:rPr>
        <w:t>60</w:t>
      </w:r>
      <w:r>
        <w:rPr>
          <w:rFonts w:ascii="Times New Roman" w:hAnsi="Times New Roman"/>
          <w:sz w:val="24"/>
        </w:rPr>
        <w:t>个工作日出现前述情形的，基金管理人应当向中国证监会报告并提出解决方案，如转换运作方式、与其他基金合并或者终止基金合同等，并召开基金份额持有人大会进行表决。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法律法规另有规定时，从其规定。</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0" w:name="_Toc57389335"/>
      <w:r>
        <w:rPr>
          <w:rFonts w:ascii="Times New Roman" w:hAnsi="Times New Roman"/>
          <w:sz w:val="30"/>
        </w:rPr>
        <w:lastRenderedPageBreak/>
        <w:t>八、基金份额的申购与赎回</w:t>
      </w:r>
      <w:bookmarkEnd w:id="10"/>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投资人可通过下述场所按照规定的方式进行申购或赎回：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、本基金管理人的直销机构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个人投资者可以通过基金管理人网上直销交易平台办理开户、本基金的申购、赎回、定期定额投资等业务，具体交易细则请参阅基金管理人网站。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www.fund001.com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、除基金管理人之外的其他销售机构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若基金管理人或其指定的销售机构开通电话、传真或网上等交易方式，投资人可以通过上述方式进行申购与赎回。</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在开放日办理基金份额的申购和赎回，若该工作日为非港股通交易日，则本基金不开放，具体办理时间为上海证券交易所、深圳证券交易所的正常交易日的交易时间，但基金管理人根据法律法规、中国证监会的要求或基金合同的规定公</w:t>
      </w:r>
      <w:r>
        <w:rPr>
          <w:rFonts w:ascii="Times New Roman" w:hAnsi="Times New Roman"/>
          <w:sz w:val="24"/>
        </w:rPr>
        <w:lastRenderedPageBreak/>
        <w:t>告暂停申购、赎回时除外。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w:t>
      </w:r>
      <w:r>
        <w:rPr>
          <w:rFonts w:ascii="Times New Roman" w:hAnsi="Times New Roman"/>
          <w:sz w:val="24"/>
        </w:rPr>
        <w:t>/</w:t>
      </w:r>
      <w:r>
        <w:rPr>
          <w:rFonts w:ascii="Times New Roman" w:hAnsi="Times New Roman"/>
          <w:sz w:val="24"/>
        </w:rPr>
        <w:t>期货交易市场、证券</w:t>
      </w:r>
      <w:r>
        <w:rPr>
          <w:rFonts w:ascii="Times New Roman" w:hAnsi="Times New Roman"/>
          <w:sz w:val="24"/>
        </w:rPr>
        <w:t>/</w:t>
      </w:r>
      <w:r>
        <w:rPr>
          <w:rFonts w:ascii="Times New Roman" w:hAnsi="Times New Roman"/>
          <w:sz w:val="24"/>
        </w:rPr>
        <w:t>期货交易所交易时间变更或其他特殊情况，基金管理人将视情况对前述开放日及开放时间进行相应的调整，但应在实施日前依照《信息披露办法》的有关规定在指定媒介上公告。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、申购、赎回开始日及业务办理时间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日起开放申购、赎回业务。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（三）申购与赎回的原则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ascii="Times New Roman" w:hAnsi="Times New Roman"/>
          <w:sz w:val="24"/>
        </w:rPr>
        <w:t>1</w:t>
      </w:r>
      <w:r>
        <w:rPr>
          <w:rFonts w:ascii="Times New Roman" w:hAnsi="Times New Roman"/>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sz w:val="24"/>
        </w:rPr>
        <w:t>元，如果销售机构业务规则规定的最低单笔申</w:t>
      </w:r>
      <w:r>
        <w:rPr>
          <w:rFonts w:ascii="Times New Roman" w:hAnsi="Times New Roman"/>
          <w:sz w:val="24"/>
        </w:rPr>
        <w:lastRenderedPageBreak/>
        <w:t>购金额高于</w:t>
      </w:r>
      <w:r>
        <w:rPr>
          <w:rFonts w:ascii="Times New Roman" w:hAnsi="Times New Roman"/>
          <w:sz w:val="24"/>
        </w:rPr>
        <w:t>1</w:t>
      </w:r>
      <w:r>
        <w:rPr>
          <w:rFonts w:ascii="Times New Roman" w:hAnsi="Times New Roman"/>
          <w:sz w:val="24"/>
        </w:rPr>
        <w:t>元，以该销售机构的规定为准。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份时，若当日该账户同时有基金份额减少类业务（如赎回、转换出等）被确认，则基金管理人有权将投资人在该账户保留的本基金份额一次性全部赎回。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、申购和赎回的款项支付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投资人申购基金份额时，必须全额交付申购款项，若申购资金在规定时间内未全额到账则申购不成立。投资人全额交付申购款项，申购成立；登记机构确认基金份额时，申购生效。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投资人递交赎回申请，赎回成立；登记机构确认赎回时，赎回生效。投资人赎回申请成功后，基金管理人将在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遇交易所或交易市场数据传输延迟、通讯系统故障、银行数据交换系统故障或其它非基金管理人及基金托管人所能控制的因素影响业务处理流程，则赎回款顺延至上述情形消除后的下一个工作日划往投资者银行账户。在发生巨额赎回时，款项的支付办法参</w:t>
      </w:r>
      <w:r>
        <w:rPr>
          <w:rFonts w:ascii="Times New Roman" w:hAnsi="Times New Roman"/>
          <w:sz w:val="24"/>
        </w:rPr>
        <w:lastRenderedPageBreak/>
        <w:t>照基金合同有关条款处理。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、申购和赎回申请的确认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日后（包括该日）及时到销售网点柜台或以销售机构规定的其他方式查询申请的确认情况。若申购不成功，则申购款项退还给投资人。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基金管理人可在法律法规允许的范围内，依法对上述申购和赎回申请的确认时间进行调整，并必须在调整实施日前按照《信息披露办法》的有关规定在指定媒介上公告并报中国证监会备案。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、申购和赎回的登记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）基金管理人可在法律法规允许的范围内，对上述登记办理时间进行调整，并于开始实施前按照《信息披露办法》的有关规定在指定媒介上公告并报中国证监会备案。</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本基金的申购费用由基金申购人承担，不列入基金财产，主要用于本基金的市场推广、销售、登记等各项费用。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投资人可以多次申购本基金，申购费用按每笔申购申请单独计算。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232A3">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因红利自动再投资而产生的基金份额，不收取相应的申购费用。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本基金对通过基金管理人直销柜台申购本基金基金份额的养老金客户实施特定申购费率。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企业年金理事会委托的特定客户资产管理计划、企业年金养老金产品。如将来出现经养老基金监管部门认可的新的养老基金类型，基金管理人可在招募说明书更新或发布临时公告将其纳入养老金客户范围，并按规定向中国证监会备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通过基金管理人直销柜台申购本基金基金份额的养老金客户特定申购费率如下表：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5232A3">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本公司基金网上直销业务已开通的银行卡及各银行卡交易金额限额请参阅本公司网站。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本基金的赎回费用由赎回基金份额的基金份额持有人承担，在基金份额持有人赎回基金份额时收取，对持续持有期少于</w:t>
      </w:r>
      <w:r>
        <w:rPr>
          <w:rFonts w:ascii="Times New Roman" w:hAnsi="Times New Roman"/>
          <w:sz w:val="24"/>
        </w:rPr>
        <w:t>7</w:t>
      </w:r>
      <w:r>
        <w:rPr>
          <w:rFonts w:ascii="Times New Roman" w:hAnsi="Times New Roman"/>
          <w:sz w:val="24"/>
        </w:rPr>
        <w:t>日的投资人收取</w:t>
      </w:r>
      <w:r>
        <w:rPr>
          <w:rFonts w:ascii="Times New Roman" w:hAnsi="Times New Roman"/>
          <w:sz w:val="24"/>
        </w:rPr>
        <w:t>1.5%</w:t>
      </w:r>
      <w:r>
        <w:rPr>
          <w:rFonts w:ascii="Times New Roman" w:hAnsi="Times New Roman"/>
          <w:sz w:val="24"/>
        </w:rPr>
        <w:t>的赎回费，对持续持有期大于等于</w:t>
      </w:r>
      <w:r>
        <w:rPr>
          <w:rFonts w:ascii="Times New Roman" w:hAnsi="Times New Roman"/>
          <w:sz w:val="24"/>
        </w:rPr>
        <w:t>7</w:t>
      </w:r>
      <w:r>
        <w:rPr>
          <w:rFonts w:ascii="Times New Roman" w:hAnsi="Times New Roman"/>
          <w:sz w:val="24"/>
        </w:rPr>
        <w:t>日但少于</w:t>
      </w:r>
      <w:r>
        <w:rPr>
          <w:rFonts w:ascii="Times New Roman" w:hAnsi="Times New Roman"/>
          <w:sz w:val="24"/>
        </w:rPr>
        <w:t>30</w:t>
      </w:r>
      <w:r>
        <w:rPr>
          <w:rFonts w:ascii="Times New Roman" w:hAnsi="Times New Roman"/>
          <w:sz w:val="24"/>
        </w:rPr>
        <w:t>日的投资人收取</w:t>
      </w:r>
      <w:r>
        <w:rPr>
          <w:rFonts w:ascii="Times New Roman" w:hAnsi="Times New Roman"/>
          <w:sz w:val="24"/>
        </w:rPr>
        <w:t>0.75%</w:t>
      </w:r>
      <w:r>
        <w:rPr>
          <w:rFonts w:ascii="Times New Roman" w:hAnsi="Times New Roman"/>
          <w:sz w:val="24"/>
        </w:rPr>
        <w:t>的赎回费，并将上述赎回费全额计入基金财产；对持续持有期大于等于</w:t>
      </w:r>
      <w:r>
        <w:rPr>
          <w:rFonts w:ascii="Times New Roman" w:hAnsi="Times New Roman"/>
          <w:sz w:val="24"/>
        </w:rPr>
        <w:t>30</w:t>
      </w:r>
      <w:r>
        <w:rPr>
          <w:rFonts w:ascii="Times New Roman" w:hAnsi="Times New Roman"/>
          <w:sz w:val="24"/>
        </w:rPr>
        <w:t>日但少于</w:t>
      </w:r>
      <w:r>
        <w:rPr>
          <w:rFonts w:ascii="Times New Roman" w:hAnsi="Times New Roman"/>
          <w:sz w:val="24"/>
        </w:rPr>
        <w:t>3</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75%</w:t>
      </w:r>
      <w:r>
        <w:rPr>
          <w:rFonts w:ascii="Times New Roman" w:hAnsi="Times New Roman"/>
          <w:sz w:val="24"/>
        </w:rPr>
        <w:t>计入基金财产；对持续持有期大于等于</w:t>
      </w:r>
      <w:r>
        <w:rPr>
          <w:rFonts w:ascii="Times New Roman" w:hAnsi="Times New Roman"/>
          <w:sz w:val="24"/>
        </w:rPr>
        <w:t>3</w:t>
      </w:r>
      <w:r>
        <w:rPr>
          <w:rFonts w:ascii="Times New Roman" w:hAnsi="Times New Roman"/>
          <w:sz w:val="24"/>
        </w:rPr>
        <w:t>个月但少于</w:t>
      </w:r>
      <w:r>
        <w:rPr>
          <w:rFonts w:ascii="Times New Roman" w:hAnsi="Times New Roman"/>
          <w:sz w:val="24"/>
        </w:rPr>
        <w:t>6</w:t>
      </w:r>
      <w:r>
        <w:rPr>
          <w:rFonts w:ascii="Times New Roman" w:hAnsi="Times New Roman"/>
          <w:sz w:val="24"/>
        </w:rPr>
        <w:t>个月的投资人收取</w:t>
      </w:r>
      <w:r>
        <w:rPr>
          <w:rFonts w:ascii="Times New Roman" w:hAnsi="Times New Roman"/>
          <w:sz w:val="24"/>
        </w:rPr>
        <w:t>0.5%</w:t>
      </w:r>
      <w:r>
        <w:rPr>
          <w:rFonts w:ascii="Times New Roman" w:hAnsi="Times New Roman"/>
          <w:sz w:val="24"/>
        </w:rPr>
        <w:t>的赎回费，并将赎回费总额的</w:t>
      </w:r>
      <w:r>
        <w:rPr>
          <w:rFonts w:ascii="Times New Roman" w:hAnsi="Times New Roman"/>
          <w:sz w:val="24"/>
        </w:rPr>
        <w:t>50%</w:t>
      </w:r>
      <w:r>
        <w:rPr>
          <w:rFonts w:ascii="Times New Roman" w:hAnsi="Times New Roman"/>
          <w:sz w:val="24"/>
        </w:rPr>
        <w:t>计入基金财产；对持续持有期大于等于</w:t>
      </w:r>
      <w:r>
        <w:rPr>
          <w:rFonts w:ascii="Times New Roman" w:hAnsi="Times New Roman"/>
          <w:sz w:val="24"/>
        </w:rPr>
        <w:t>6</w:t>
      </w:r>
      <w:r>
        <w:rPr>
          <w:rFonts w:ascii="Times New Roman" w:hAnsi="Times New Roman"/>
          <w:sz w:val="24"/>
        </w:rPr>
        <w:t>个月的投资人，应当将赎回费总额的</w:t>
      </w:r>
      <w:r>
        <w:rPr>
          <w:rFonts w:ascii="Times New Roman" w:hAnsi="Times New Roman"/>
          <w:sz w:val="24"/>
        </w:rPr>
        <w:t>25%</w:t>
      </w:r>
      <w:r>
        <w:rPr>
          <w:rFonts w:ascii="Times New Roman" w:hAnsi="Times New Roman"/>
          <w:sz w:val="24"/>
        </w:rPr>
        <w:t>计入基金财产。上述</w:t>
      </w:r>
      <w:r>
        <w:rPr>
          <w:rFonts w:ascii="Times New Roman" w:hAnsi="Times New Roman"/>
          <w:sz w:val="24"/>
        </w:rPr>
        <w:t>“</w:t>
      </w:r>
      <w:r>
        <w:rPr>
          <w:rFonts w:ascii="Times New Roman" w:hAnsi="Times New Roman"/>
          <w:sz w:val="24"/>
        </w:rPr>
        <w:t>月</w:t>
      </w:r>
      <w:r>
        <w:rPr>
          <w:rFonts w:ascii="Times New Roman" w:hAnsi="Times New Roman"/>
          <w:sz w:val="24"/>
        </w:rPr>
        <w:t>”</w:t>
      </w:r>
      <w:r>
        <w:rPr>
          <w:rFonts w:ascii="Times New Roman" w:hAnsi="Times New Roman"/>
          <w:sz w:val="24"/>
        </w:rPr>
        <w:t>指的是</w:t>
      </w:r>
      <w:r>
        <w:rPr>
          <w:rFonts w:ascii="Times New Roman" w:hAnsi="Times New Roman"/>
          <w:sz w:val="24"/>
        </w:rPr>
        <w:t>30</w:t>
      </w:r>
      <w:r>
        <w:rPr>
          <w:rFonts w:ascii="Times New Roman" w:hAnsi="Times New Roman"/>
          <w:sz w:val="24"/>
        </w:rPr>
        <w:t>个自然日。未归入基金财产的部分用于支付登记费和其他必要的手续费。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5232A3">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5232A3">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）申购的有效份额为净申购金额除以当日的基金份额净值，有效份额单位为份，申购份额计算结果按四舍五入方法，保留到小数点后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）赎回金额为按实际确认的有效赎回份额乘以当日基金份额净值并扣除相</w:t>
      </w:r>
      <w:r>
        <w:rPr>
          <w:rFonts w:ascii="Times New Roman" w:hAnsi="Times New Roman"/>
          <w:sz w:val="24"/>
        </w:rPr>
        <w:lastRenderedPageBreak/>
        <w:t>应的费用（如有），赎回金额单位为元。赎回金额计算结果按四舍五入方法，保留到小数点后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日基金份额净值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例一：某投资者（非养老金客户）投资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元，申购费率为</w:t>
      </w:r>
      <w:r>
        <w:rPr>
          <w:rFonts w:ascii="Times New Roman" w:hAnsi="Times New Roman"/>
          <w:sz w:val="24"/>
        </w:rPr>
        <w:t>1.5%</w:t>
      </w:r>
      <w:r>
        <w:rPr>
          <w:rFonts w:ascii="Times New Roman" w:hAnsi="Times New Roman"/>
          <w:sz w:val="24"/>
        </w:rPr>
        <w:t>，则其可得到的申购份额为：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/1.040=37,893.14</w:t>
      </w:r>
      <w:r>
        <w:rPr>
          <w:rFonts w:ascii="Times New Roman" w:hAnsi="Times New Roman"/>
          <w:sz w:val="24"/>
        </w:rPr>
        <w:t>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即：某投资者（非养老金客户）投资</w:t>
      </w:r>
      <w:r>
        <w:rPr>
          <w:rFonts w:ascii="Times New Roman" w:hAnsi="Times New Roman"/>
          <w:sz w:val="24"/>
        </w:rPr>
        <w:t>40,000</w:t>
      </w:r>
      <w:r>
        <w:rPr>
          <w:rFonts w:ascii="Times New Roman" w:hAnsi="Times New Roman"/>
          <w:sz w:val="24"/>
        </w:rPr>
        <w:t>元申购本基金，假设申购当日基金份额净值为</w:t>
      </w:r>
      <w:r>
        <w:rPr>
          <w:rFonts w:ascii="Times New Roman" w:hAnsi="Times New Roman"/>
          <w:sz w:val="24"/>
        </w:rPr>
        <w:t>1.040</w:t>
      </w:r>
      <w:r>
        <w:rPr>
          <w:rFonts w:ascii="Times New Roman" w:hAnsi="Times New Roman"/>
          <w:sz w:val="24"/>
        </w:rPr>
        <w:t>元，则其可得到</w:t>
      </w:r>
      <w:r>
        <w:rPr>
          <w:rFonts w:ascii="Times New Roman" w:hAnsi="Times New Roman"/>
          <w:sz w:val="24"/>
        </w:rPr>
        <w:t>37,893.14</w:t>
      </w:r>
      <w:r>
        <w:rPr>
          <w:rFonts w:ascii="Times New Roman" w:hAnsi="Times New Roman"/>
          <w:sz w:val="24"/>
        </w:rPr>
        <w:t>份基金份额。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例二：某养老金客户投资</w:t>
      </w:r>
      <w:r>
        <w:rPr>
          <w:rFonts w:ascii="Times New Roman" w:hAnsi="Times New Roman"/>
          <w:sz w:val="24"/>
        </w:rPr>
        <w:t>100,000</w:t>
      </w:r>
      <w:r>
        <w:rPr>
          <w:rFonts w:ascii="Times New Roman" w:hAnsi="Times New Roman"/>
          <w:sz w:val="24"/>
        </w:rPr>
        <w:t>元通过基金管理人的直销柜台申购本基金，假设申购当日基金份额净值为</w:t>
      </w:r>
      <w:r>
        <w:rPr>
          <w:rFonts w:ascii="Times New Roman" w:hAnsi="Times New Roman"/>
          <w:sz w:val="24"/>
        </w:rPr>
        <w:t>1.040</w:t>
      </w:r>
      <w:r>
        <w:rPr>
          <w:rFonts w:ascii="Times New Roman" w:hAnsi="Times New Roman"/>
          <w:sz w:val="24"/>
        </w:rPr>
        <w:t>元，申购费率为</w:t>
      </w:r>
      <w:r>
        <w:rPr>
          <w:rFonts w:ascii="Times New Roman" w:hAnsi="Times New Roman"/>
          <w:sz w:val="24"/>
        </w:rPr>
        <w:t>0.6%</w:t>
      </w:r>
      <w:r>
        <w:rPr>
          <w:rFonts w:ascii="Times New Roman" w:hAnsi="Times New Roman"/>
          <w:sz w:val="24"/>
        </w:rPr>
        <w:t>，则其可得到的申购份额为：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1+0.6%</w:t>
      </w:r>
      <w:r>
        <w:rPr>
          <w:rFonts w:ascii="Times New Roman" w:hAnsi="Times New Roman"/>
          <w:sz w:val="24"/>
        </w:rPr>
        <w:t>）</w:t>
      </w:r>
      <w:r>
        <w:rPr>
          <w:rFonts w:ascii="Times New Roman" w:hAnsi="Times New Roman"/>
          <w:sz w:val="24"/>
        </w:rPr>
        <w:t>=99403.58</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=100,000-99403.58=596.42</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100,000-596.42</w:t>
      </w:r>
      <w:r>
        <w:rPr>
          <w:rFonts w:ascii="Times New Roman" w:hAnsi="Times New Roman"/>
          <w:sz w:val="24"/>
        </w:rPr>
        <w:t>）</w:t>
      </w:r>
      <w:r>
        <w:rPr>
          <w:rFonts w:ascii="Times New Roman" w:hAnsi="Times New Roman"/>
          <w:sz w:val="24"/>
        </w:rPr>
        <w:t>/1.040=95,580.37</w:t>
      </w:r>
      <w:r>
        <w:rPr>
          <w:rFonts w:ascii="Times New Roman" w:hAnsi="Times New Roman"/>
          <w:sz w:val="24"/>
        </w:rPr>
        <w:t>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即：该养老金客户投资</w:t>
      </w:r>
      <w:r>
        <w:rPr>
          <w:rFonts w:ascii="Times New Roman" w:hAnsi="Times New Roman"/>
          <w:sz w:val="24"/>
        </w:rPr>
        <w:t>100,000</w:t>
      </w:r>
      <w:r>
        <w:rPr>
          <w:rFonts w:ascii="Times New Roman" w:hAnsi="Times New Roman"/>
          <w:sz w:val="24"/>
        </w:rPr>
        <w:t>元通过基金管理人的直销柜台申购本基金，假设申购当日基金份额净值为</w:t>
      </w:r>
      <w:r>
        <w:rPr>
          <w:rFonts w:ascii="Times New Roman" w:hAnsi="Times New Roman"/>
          <w:sz w:val="24"/>
        </w:rPr>
        <w:t>1.040</w:t>
      </w:r>
      <w:r>
        <w:rPr>
          <w:rFonts w:ascii="Times New Roman" w:hAnsi="Times New Roman"/>
          <w:sz w:val="24"/>
        </w:rPr>
        <w:t>元，则其可得到</w:t>
      </w:r>
      <w:r>
        <w:rPr>
          <w:rFonts w:ascii="Times New Roman" w:hAnsi="Times New Roman"/>
          <w:sz w:val="24"/>
        </w:rPr>
        <w:t>95,580.37</w:t>
      </w:r>
      <w:r>
        <w:rPr>
          <w:rFonts w:ascii="Times New Roman" w:hAnsi="Times New Roman"/>
          <w:sz w:val="24"/>
        </w:rPr>
        <w:t>份基金份额。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赎回金额的计算方法如下：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日基金份额净值</w:t>
      </w:r>
      <w:r>
        <w:rPr>
          <w:rFonts w:ascii="Times New Roman" w:hAnsi="Times New Roman"/>
          <w:sz w:val="24"/>
        </w:rPr>
        <w:t>-</w:t>
      </w:r>
      <w:r>
        <w:rPr>
          <w:rFonts w:ascii="Times New Roman" w:hAnsi="Times New Roman"/>
          <w:sz w:val="24"/>
        </w:rPr>
        <w:t>赎回费用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例三：某投资者赎回持有的</w:t>
      </w:r>
      <w:r>
        <w:rPr>
          <w:rFonts w:ascii="Times New Roman" w:hAnsi="Times New Roman"/>
          <w:sz w:val="24"/>
        </w:rPr>
        <w:t>10,000</w:t>
      </w:r>
      <w:r>
        <w:rPr>
          <w:rFonts w:ascii="Times New Roman" w:hAnsi="Times New Roman"/>
          <w:sz w:val="24"/>
        </w:rPr>
        <w:t>份基金份额，持有期限为</w:t>
      </w:r>
      <w:r>
        <w:rPr>
          <w:rFonts w:ascii="Times New Roman" w:hAnsi="Times New Roman"/>
          <w:sz w:val="24"/>
        </w:rPr>
        <w:t>30</w:t>
      </w:r>
      <w:r>
        <w:rPr>
          <w:rFonts w:ascii="Times New Roman" w:hAnsi="Times New Roman"/>
          <w:sz w:val="24"/>
        </w:rPr>
        <w:t>日，对应的赎回费率为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w:t>
      </w:r>
      <w:r>
        <w:rPr>
          <w:rFonts w:ascii="Times New Roman" w:hAnsi="Times New Roman"/>
          <w:sz w:val="24"/>
        </w:rPr>
        <w:t>元，则其可得到的赎回金额为：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即：投资者赎回本基金</w:t>
      </w:r>
      <w:r>
        <w:rPr>
          <w:rFonts w:ascii="Times New Roman" w:hAnsi="Times New Roman"/>
          <w:sz w:val="24"/>
        </w:rPr>
        <w:t>10,000</w:t>
      </w:r>
      <w:r>
        <w:rPr>
          <w:rFonts w:ascii="Times New Roman" w:hAnsi="Times New Roman"/>
          <w:sz w:val="24"/>
        </w:rPr>
        <w:t>份基金份额，对应的赎回费率为</w:t>
      </w:r>
      <w:r>
        <w:rPr>
          <w:rFonts w:ascii="Times New Roman" w:hAnsi="Times New Roman"/>
          <w:sz w:val="24"/>
        </w:rPr>
        <w:t>0.5%</w:t>
      </w:r>
      <w:r>
        <w:rPr>
          <w:rFonts w:ascii="Times New Roman" w:hAnsi="Times New Roman"/>
          <w:sz w:val="24"/>
        </w:rPr>
        <w:t>，假设赎回当日基金份额净值是</w:t>
      </w:r>
      <w:r>
        <w:rPr>
          <w:rFonts w:ascii="Times New Roman" w:hAnsi="Times New Roman"/>
          <w:sz w:val="24"/>
        </w:rPr>
        <w:t>1.016</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基金份额净值＝基金资产净值总额</w:t>
      </w:r>
      <w:r>
        <w:rPr>
          <w:rFonts w:ascii="Times New Roman" w:hAnsi="Times New Roman"/>
          <w:sz w:val="24"/>
        </w:rPr>
        <w:t>/</w:t>
      </w:r>
      <w:r>
        <w:rPr>
          <w:rFonts w:ascii="Times New Roman" w:hAnsi="Times New Roman"/>
          <w:sz w:val="24"/>
        </w:rPr>
        <w:t>发行在外的基金份额总数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日（包括该日）内公告。遇特殊情况，经中国证监会同意，可以适当延迟计算或公告。本基金基金份额净值的计算，保留到小数点后</w:t>
      </w:r>
      <w:r>
        <w:rPr>
          <w:rFonts w:ascii="Times New Roman" w:hAnsi="Times New Roman"/>
          <w:sz w:val="24"/>
        </w:rPr>
        <w:t>3</w:t>
      </w:r>
      <w:r>
        <w:rPr>
          <w:rFonts w:ascii="Times New Roman" w:hAnsi="Times New Roman"/>
          <w:sz w:val="24"/>
        </w:rPr>
        <w:t>位，小数点后第</w:t>
      </w:r>
      <w:r>
        <w:rPr>
          <w:rFonts w:ascii="Times New Roman" w:hAnsi="Times New Roman"/>
          <w:sz w:val="24"/>
        </w:rPr>
        <w:t>4</w:t>
      </w:r>
      <w:r>
        <w:rPr>
          <w:rFonts w:ascii="Times New Roman" w:hAnsi="Times New Roman"/>
          <w:sz w:val="24"/>
        </w:rPr>
        <w:t>位四舍五入，由此误差产生的收益或损失由基金财产承担。</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发生下列情况时，基金管理人可拒绝或暂停接受投资人的申购申请：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、证券、期货交易所交易时间非正常停市，导致基金管理人无法计算当日基金资产净值。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、接受某笔或某些申购申请可能会影响或损害现有基金份额持有人利益时。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、基金资产规模过大，使基金管理人无法找到合适的投资品种，或其他可能对基金业绩产生负面影响，或出现其他损害现有基金份额持有人利益的情形。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、基金投资所处的主要市场休市时或本基金的资产组合中的重要部分发生暂停交易或其他重大事件，继续接受申购可能会影响或损害其他基金份额持有人利益时。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w:t>
      </w:r>
      <w:r>
        <w:rPr>
          <w:rFonts w:ascii="Times New Roman" w:hAnsi="Times New Roman"/>
          <w:sz w:val="24"/>
        </w:rPr>
        <w:lastRenderedPageBreak/>
        <w:t>基金管理人应当暂停接受基金申购申请。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集中度的情形。出现上述情形时，基金管理人有权将上述申购申请全部或部分确认失败。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、法律法规规定或中国证监会认定的其他情形。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9</w:t>
      </w:r>
      <w:r>
        <w:rPr>
          <w:rFonts w:ascii="Times New Roman" w:hAnsi="Times New Roman"/>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（九）暂停赎回或延缓支付赎回款项的情形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发生下列情形时，基金管理人可暂停接受投资人的赎回申请或延缓支付赎回款项：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、证券、期货交易所交易时间非正常停市，导致基金管理人无法计算当日基金资产净值。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、继续接受赎回申请将损害现有基金份额持有人利益的情形（例如基金投资所处的主要市场休市时或本基金的资产组合中的重要部分发生暂停交易或其他重大事件）时，可暂停接受投资人的赎回申请。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、基金合同约定、法律法规规定或中国证监会认定的其他情形。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rFonts w:ascii="Times New Roman" w:hAnsi="Times New Roman"/>
          <w:sz w:val="24"/>
        </w:rPr>
        <w:t>4</w:t>
      </w:r>
      <w:r>
        <w:rPr>
          <w:rFonts w:ascii="Times New Roman" w:hAnsi="Times New Roman"/>
          <w:sz w:val="24"/>
        </w:rPr>
        <w:t>项所述情形，按基金合同的相关</w:t>
      </w:r>
      <w:r>
        <w:rPr>
          <w:rFonts w:ascii="Times New Roman" w:hAnsi="Times New Roman"/>
          <w:sz w:val="24"/>
        </w:rPr>
        <w:lastRenderedPageBreak/>
        <w:t>条款处理。基金份额持有人在申请赎回时可事先选择将当日可能未获受理部分予以撤销。在暂停赎回的情况消除时，基金管理人应及时恢复赎回业务的办理并公告。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w:t>
      </w:r>
      <w:r>
        <w:rPr>
          <w:rFonts w:ascii="Times New Roman" w:hAnsi="Times New Roman"/>
          <w:sz w:val="24"/>
        </w:rPr>
        <w:lastRenderedPageBreak/>
        <w:t>款项，但不得超过</w:t>
      </w:r>
      <w:r>
        <w:rPr>
          <w:rFonts w:ascii="Times New Roman" w:hAnsi="Times New Roman"/>
          <w:sz w:val="24"/>
        </w:rPr>
        <w:t>20</w:t>
      </w:r>
      <w:r>
        <w:rPr>
          <w:rFonts w:ascii="Times New Roman" w:hAnsi="Times New Roman"/>
          <w:sz w:val="24"/>
        </w:rPr>
        <w:t>个工作日，并应当在指定媒介上进行公告。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当发生上述延期赎回并延期办理时，基金管理人应当通过邮寄、传真、刊登公告或者通知销售机构代为告知等方式在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（十一）暂停申购或赎回的公告和重新开放申购或赎回的公告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、暂停结束，基金重新开放申购或赎回时，基金管理人应依照《信息披露办法》的有关规定，不迟于重新开放日，在指定媒介上刊登基金重新开放申购或赎回公告，并公布最近一个开放日的基金份额净值。</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（十二）基金转换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（十三）基金的非交易过户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（十四）基金的转托管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（十五）定期定额投资计划</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定期定额投资计划是基金申购业务的一种方式，投资人可通过向相关销售机构</w:t>
      </w:r>
      <w:r>
        <w:rPr>
          <w:rFonts w:ascii="Times New Roman" w:hAnsi="Times New Roman"/>
          <w:sz w:val="24"/>
        </w:rPr>
        <w:lastRenderedPageBreak/>
        <w:t>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6</w:t>
      </w:r>
      <w:r>
        <w:rPr>
          <w:rFonts w:ascii="Times New Roman" w:hAnsi="Times New Roman"/>
          <w:sz w:val="24"/>
        </w:rPr>
        <w:t>日刊登公告自</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日起开通定期定额投资计划业务，具体开通销售机构名单和业务规则参见相关公告。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（十六）定期定额赎回业务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7</w:t>
      </w:r>
      <w:r>
        <w:rPr>
          <w:rFonts w:ascii="Times New Roman" w:hAnsi="Times New Roman"/>
          <w:sz w:val="24"/>
        </w:rPr>
        <w:t>日刊登公告自即日起在中国农业银行股份有限公司下属各代销网点开通定期定额赎回业务。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ascii="Times New Roman" w:hAnsi="Times New Roman"/>
          <w:sz w:val="24"/>
        </w:rPr>
        <w:t>95599</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（十七）基金份额的冻结和解冻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登记机构只受理国家有权机关依法要求的基金份额的冻结与解冻，以及登记机构认可、符合法律法规的其他情况下的冻结与解冻。</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（十八）基金上市交易和场内申购赎回业务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在未来系统条件允许的情况下，基金管理人可以根据相关证券交易所上市交易规则，安排本基金上市交易和</w:t>
      </w:r>
      <w:r>
        <w:rPr>
          <w:rFonts w:ascii="Times New Roman" w:hAnsi="Times New Roman"/>
          <w:sz w:val="24"/>
        </w:rPr>
        <w:t>/</w:t>
      </w:r>
      <w:r>
        <w:rPr>
          <w:rFonts w:ascii="Times New Roman" w:hAnsi="Times New Roman"/>
          <w:sz w:val="24"/>
        </w:rPr>
        <w:t>或开通场内申购赎回业务事宜。具体上市交易和</w:t>
      </w:r>
      <w:r>
        <w:rPr>
          <w:rFonts w:ascii="Times New Roman" w:hAnsi="Times New Roman"/>
          <w:sz w:val="24"/>
        </w:rPr>
        <w:t>/</w:t>
      </w:r>
      <w:r>
        <w:rPr>
          <w:rFonts w:ascii="Times New Roman" w:hAnsi="Times New Roman"/>
          <w:sz w:val="24"/>
        </w:rPr>
        <w:t>或开通场内申购赎回的安排由基金管理人届时提前发布公告，并告知基金托管人与相关机构。场内申购赎回业务按照证券交易所及登记机构的相关业务规则办理。</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（十九）基金份额的转让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（二十）其他业务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在不违反法律法规及中国证监会规定的前提下，基金管理人可在对基金份额持有人利益无实质性不利影响的情形下办理基金份额的质押业务或其他基金业务，基</w:t>
      </w:r>
      <w:r>
        <w:rPr>
          <w:rFonts w:ascii="Times New Roman" w:hAnsi="Times New Roman"/>
          <w:sz w:val="24"/>
        </w:rPr>
        <w:lastRenderedPageBreak/>
        <w:t>金管理人可制定相应的业务规则，并依照《信息披露办法》的有关规定进行公告。</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1" w:name="_Toc57389336"/>
      <w:r>
        <w:rPr>
          <w:rFonts w:ascii="Times New Roman" w:hAnsi="Times New Roman"/>
          <w:sz w:val="30"/>
        </w:rPr>
        <w:lastRenderedPageBreak/>
        <w:t>九、基金的投资</w:t>
      </w:r>
      <w:bookmarkEnd w:id="11"/>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本基金通过优化资产配置和灵活运用多种投资策略，把握沪港通及后续资本市场开放政策带来的投资机会，力争实现基金资产的长期稳定增值。</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（二）投资范围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本基金的投资范围为具有良好流动性的金融工具，包括国内依法发行上市的股票（含中小板、创业板及其他经中国证监会核准上市的股票</w:t>
      </w:r>
      <w:r w:rsidR="0079478B">
        <w:rPr>
          <w:rFonts w:hint="eastAsia"/>
          <w:bCs/>
          <w:sz w:val="24"/>
        </w:rPr>
        <w:t>、存托凭证</w:t>
      </w:r>
      <w:r>
        <w:rPr>
          <w:rFonts w:ascii="Times New Roman" w:hAnsi="Times New Roman"/>
          <w:sz w:val="24"/>
        </w:rPr>
        <w:t>）、港股通标的股票、债券、中期票据、货币市场工具、权证、资产支持证券、股指期货以及法律法规或中国证监会允许基金投资的其他金融工具（但须符合中国证监会相关规定）。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基金的投资组合比例为：股票资产</w:t>
      </w:r>
      <w:r w:rsidR="0079478B">
        <w:rPr>
          <w:rFonts w:hint="eastAsia"/>
          <w:bCs/>
          <w:sz w:val="24"/>
        </w:rPr>
        <w:t>（</w:t>
      </w:r>
      <w:r w:rsidR="0079478B">
        <w:rPr>
          <w:bCs/>
          <w:sz w:val="24"/>
        </w:rPr>
        <w:t>含</w:t>
      </w:r>
      <w:r w:rsidR="0079478B" w:rsidRPr="005E1D32">
        <w:rPr>
          <w:bCs/>
          <w:sz w:val="24"/>
        </w:rPr>
        <w:t>存托凭证</w:t>
      </w:r>
      <w:r w:rsidR="0079478B">
        <w:rPr>
          <w:rFonts w:hint="eastAsia"/>
          <w:bCs/>
          <w:sz w:val="24"/>
        </w:rPr>
        <w:t>）</w:t>
      </w:r>
      <w:r>
        <w:rPr>
          <w:rFonts w:ascii="Times New Roman" w:hAnsi="Times New Roman"/>
          <w:sz w:val="24"/>
        </w:rPr>
        <w:t>占基金资产的</w:t>
      </w:r>
      <w:r>
        <w:rPr>
          <w:rFonts w:ascii="Times New Roman" w:hAnsi="Times New Roman"/>
          <w:sz w:val="24"/>
        </w:rPr>
        <w:t>0%-95%</w:t>
      </w:r>
      <w:r>
        <w:rPr>
          <w:rFonts w:ascii="Times New Roman" w:hAnsi="Times New Roman"/>
          <w:sz w:val="24"/>
        </w:rPr>
        <w:t>（其中，投资于国内依法发行上市的股票的比例占基金资产的</w:t>
      </w:r>
      <w:r>
        <w:rPr>
          <w:rFonts w:ascii="Times New Roman" w:hAnsi="Times New Roman"/>
          <w:sz w:val="24"/>
        </w:rPr>
        <w:t>0-95%</w:t>
      </w:r>
      <w:r>
        <w:rPr>
          <w:rFonts w:ascii="Times New Roman" w:hAnsi="Times New Roman"/>
          <w:sz w:val="24"/>
        </w:rPr>
        <w:t>，投资于港股通标的股票的比例占基金资产的</w:t>
      </w:r>
      <w:r>
        <w:rPr>
          <w:rFonts w:ascii="Times New Roman" w:hAnsi="Times New Roman"/>
          <w:sz w:val="24"/>
        </w:rPr>
        <w:t>0-95%</w:t>
      </w:r>
      <w:r>
        <w:rPr>
          <w:rFonts w:ascii="Times New Roman" w:hAnsi="Times New Roman"/>
          <w:sz w:val="24"/>
        </w:rPr>
        <w:t>），其中投资于沪港深价值型相关证券的比例不低于非现金基金资产的</w:t>
      </w:r>
      <w:r>
        <w:rPr>
          <w:rFonts w:ascii="Times New Roman" w:hAnsi="Times New Roman"/>
          <w:sz w:val="24"/>
        </w:rPr>
        <w:t>80%</w:t>
      </w:r>
      <w:r>
        <w:rPr>
          <w:rFonts w:ascii="Times New Roman" w:hAnsi="Times New Roman"/>
          <w:sz w:val="24"/>
        </w:rPr>
        <w:t>，每个交易日日终在扣除股指期货合约需缴纳的保证金后，基金保留的现金或者投资于到期日在一年以内的政府债券的比例合计不低于基金资产净值的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（三）投资策略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、资产配置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本基金利用经交银施罗德研究团队修正后的投资时钟分析框架，通过</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w:t>
      </w:r>
      <w:r>
        <w:rPr>
          <w:rFonts w:ascii="Times New Roman" w:hAnsi="Times New Roman"/>
          <w:sz w:val="24"/>
        </w:rPr>
        <w:lastRenderedPageBreak/>
        <w:t>例，以规避或控制市场风险，提高基金收益率。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、股票投资策略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本基金管理人将坚持行业配置策略与个股精选策略相结合；个股选择层面，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遵循自下而上的积极策略。本基金对境内股票及港股通标的股票的选择，主要采取价值型选股策略。本基金重点关注的价值型股票为：在沪港深三地上市的公司中，优选兼具</w:t>
      </w:r>
      <w:r>
        <w:rPr>
          <w:rFonts w:ascii="Times New Roman" w:hAnsi="Times New Roman"/>
          <w:sz w:val="24"/>
        </w:rPr>
        <w:t xml:space="preserve"> “</w:t>
      </w:r>
      <w:r>
        <w:rPr>
          <w:rFonts w:ascii="Times New Roman" w:hAnsi="Times New Roman"/>
          <w:sz w:val="24"/>
        </w:rPr>
        <w:t>财务护城河</w:t>
      </w:r>
      <w:r>
        <w:rPr>
          <w:rFonts w:ascii="Times New Roman" w:hAnsi="Times New Roman"/>
          <w:sz w:val="24"/>
        </w:rPr>
        <w:t>”</w:t>
      </w:r>
      <w:r>
        <w:rPr>
          <w:rFonts w:ascii="Times New Roman" w:hAnsi="Times New Roman"/>
          <w:sz w:val="24"/>
        </w:rPr>
        <w:t>和</w:t>
      </w:r>
      <w:r>
        <w:rPr>
          <w:rFonts w:ascii="Times New Roman" w:hAnsi="Times New Roman"/>
          <w:sz w:val="24"/>
        </w:rPr>
        <w:t>“</w:t>
      </w:r>
      <w:r>
        <w:rPr>
          <w:rFonts w:ascii="Times New Roman" w:hAnsi="Times New Roman"/>
          <w:sz w:val="24"/>
        </w:rPr>
        <w:t>竞争优势</w:t>
      </w:r>
      <w:r>
        <w:rPr>
          <w:rFonts w:ascii="Times New Roman" w:hAnsi="Times New Roman"/>
          <w:sz w:val="24"/>
        </w:rPr>
        <w:t>”</w:t>
      </w:r>
      <w:r>
        <w:rPr>
          <w:rFonts w:ascii="Times New Roman" w:hAnsi="Times New Roman"/>
          <w:sz w:val="24"/>
        </w:rPr>
        <w:t>的公司，同时注重稳健回报。</w:t>
      </w:r>
      <w:r>
        <w:rPr>
          <w:rFonts w:ascii="Times New Roman" w:hAnsi="Times New Roman"/>
          <w:sz w:val="24"/>
        </w:rPr>
        <w:t>“</w:t>
      </w:r>
      <w:r>
        <w:rPr>
          <w:rFonts w:ascii="Times New Roman" w:hAnsi="Times New Roman"/>
          <w:sz w:val="24"/>
        </w:rPr>
        <w:t>财务护城河</w:t>
      </w:r>
      <w:r>
        <w:rPr>
          <w:rFonts w:ascii="Times New Roman" w:hAnsi="Times New Roman"/>
          <w:sz w:val="24"/>
        </w:rPr>
        <w:t>”</w:t>
      </w:r>
      <w:r>
        <w:rPr>
          <w:rFonts w:ascii="Times New Roman" w:hAnsi="Times New Roman"/>
          <w:sz w:val="24"/>
        </w:rPr>
        <w:t>指在企业利润率、现金流和分红回报等方面具有比较优势。具备</w:t>
      </w:r>
      <w:r>
        <w:rPr>
          <w:rFonts w:ascii="Times New Roman" w:hAnsi="Times New Roman"/>
          <w:sz w:val="24"/>
        </w:rPr>
        <w:t>“</w:t>
      </w:r>
      <w:r>
        <w:rPr>
          <w:rFonts w:ascii="Times New Roman" w:hAnsi="Times New Roman"/>
          <w:sz w:val="24"/>
        </w:rPr>
        <w:t>财务护城河</w:t>
      </w:r>
      <w:r>
        <w:rPr>
          <w:rFonts w:ascii="Times New Roman" w:hAnsi="Times New Roman"/>
          <w:sz w:val="24"/>
        </w:rPr>
        <w:t>”</w:t>
      </w:r>
      <w:r>
        <w:rPr>
          <w:rFonts w:ascii="Times New Roman" w:hAnsi="Times New Roman"/>
          <w:sz w:val="24"/>
        </w:rPr>
        <w:t>的企业更具长期成长实力，这是为投资者带来持续稳健收益的关键。同时，充分考虑行业研究员给予的行业判断，把握行业发展趋势。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本基金价值精选的选股策略是，首先建立一套完整的宏观跟踪框架和详实的股票池，进行持续的基本面对比跟踪并主动的防范风险、严控回撤，然后在</w:t>
      </w:r>
      <w:r>
        <w:rPr>
          <w:rFonts w:ascii="Times New Roman" w:hAnsi="Times New Roman"/>
          <w:sz w:val="24"/>
        </w:rPr>
        <w:t>A</w:t>
      </w:r>
      <w:r>
        <w:rPr>
          <w:rFonts w:ascii="Times New Roman" w:hAnsi="Times New Roman"/>
          <w:sz w:val="24"/>
        </w:rPr>
        <w:t>股和沪港通标的的范围内，基金经理通过对比财务信息，区分出重点池、风格池。最后通过对比公司的基本面变化趋势和估值差异，给出潜在投资标的的价格中枢判断，其中港股标的相对</w:t>
      </w:r>
      <w:r>
        <w:rPr>
          <w:rFonts w:ascii="Times New Roman" w:hAnsi="Times New Roman"/>
          <w:sz w:val="24"/>
        </w:rPr>
        <w:t>A</w:t>
      </w:r>
      <w:r>
        <w:rPr>
          <w:rFonts w:ascii="Times New Roman" w:hAnsi="Times New Roman"/>
          <w:sz w:val="24"/>
        </w:rPr>
        <w:t>股标的，会更加偏重分析现金流、管理层稳定性和流动性等指标。本基金将持续跟踪股票价格变动，制定投资操作方案，力求资产的稳健升值和绝对回报。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）在沪港深三地上市的公司中，优选兼具</w:t>
      </w:r>
      <w:r>
        <w:rPr>
          <w:rFonts w:ascii="Times New Roman" w:hAnsi="Times New Roman"/>
          <w:sz w:val="24"/>
        </w:rPr>
        <w:t xml:space="preserve"> “</w:t>
      </w:r>
      <w:r>
        <w:rPr>
          <w:rFonts w:ascii="Times New Roman" w:hAnsi="Times New Roman"/>
          <w:sz w:val="24"/>
        </w:rPr>
        <w:t>财务护城河</w:t>
      </w:r>
      <w:r>
        <w:rPr>
          <w:rFonts w:ascii="Times New Roman" w:hAnsi="Times New Roman"/>
          <w:sz w:val="24"/>
        </w:rPr>
        <w:t>”</w:t>
      </w:r>
      <w:r>
        <w:rPr>
          <w:rFonts w:ascii="Times New Roman" w:hAnsi="Times New Roman"/>
          <w:sz w:val="24"/>
        </w:rPr>
        <w:t>和</w:t>
      </w:r>
      <w:r>
        <w:rPr>
          <w:rFonts w:ascii="Times New Roman" w:hAnsi="Times New Roman"/>
          <w:sz w:val="24"/>
        </w:rPr>
        <w:t>“</w:t>
      </w:r>
      <w:r>
        <w:rPr>
          <w:rFonts w:ascii="Times New Roman" w:hAnsi="Times New Roman"/>
          <w:sz w:val="24"/>
        </w:rPr>
        <w:t>竞争优势</w:t>
      </w:r>
      <w:r>
        <w:rPr>
          <w:rFonts w:ascii="Times New Roman" w:hAnsi="Times New Roman"/>
          <w:sz w:val="24"/>
        </w:rPr>
        <w:t>”</w:t>
      </w:r>
      <w:r>
        <w:rPr>
          <w:rFonts w:ascii="Times New Roman" w:hAnsi="Times New Roman"/>
          <w:sz w:val="24"/>
        </w:rPr>
        <w:t>的公司，同时注重稳健回报。主要筛选指标包括：</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盈利能力指标（如</w:t>
      </w:r>
      <w:r>
        <w:rPr>
          <w:rFonts w:ascii="Times New Roman" w:hAnsi="Times New Roman"/>
          <w:sz w:val="24"/>
        </w:rPr>
        <w:t>P/E</w:t>
      </w:r>
      <w:r>
        <w:rPr>
          <w:rFonts w:ascii="Times New Roman" w:hAnsi="Times New Roman"/>
          <w:sz w:val="24"/>
        </w:rPr>
        <w:t>、</w:t>
      </w:r>
      <w:r>
        <w:rPr>
          <w:rFonts w:ascii="Times New Roman" w:hAnsi="Times New Roman"/>
          <w:sz w:val="24"/>
        </w:rPr>
        <w:t>P/Cash Flow</w:t>
      </w:r>
      <w:r>
        <w:rPr>
          <w:rFonts w:ascii="Times New Roman" w:hAnsi="Times New Roman"/>
          <w:sz w:val="24"/>
        </w:rPr>
        <w:t>、</w:t>
      </w:r>
      <w:r>
        <w:rPr>
          <w:rFonts w:ascii="Times New Roman" w:hAnsi="Times New Roman"/>
          <w:sz w:val="24"/>
        </w:rPr>
        <w:t>P/FCF</w:t>
      </w:r>
      <w:r>
        <w:rPr>
          <w:rFonts w:ascii="Times New Roman" w:hAnsi="Times New Roman"/>
          <w:sz w:val="24"/>
        </w:rPr>
        <w:t>、</w:t>
      </w:r>
      <w:r>
        <w:rPr>
          <w:rFonts w:ascii="Times New Roman" w:hAnsi="Times New Roman"/>
          <w:sz w:val="24"/>
        </w:rPr>
        <w:t>P/S</w:t>
      </w:r>
      <w:r>
        <w:rPr>
          <w:rFonts w:ascii="Times New Roman" w:hAnsi="Times New Roman"/>
          <w:sz w:val="24"/>
        </w:rPr>
        <w:t>、</w:t>
      </w:r>
      <w:r>
        <w:rPr>
          <w:rFonts w:ascii="Times New Roman" w:hAnsi="Times New Roman"/>
          <w:sz w:val="24"/>
        </w:rPr>
        <w:t>P/EBIT</w:t>
      </w:r>
      <w:r>
        <w:rPr>
          <w:rFonts w:ascii="Times New Roman" w:hAnsi="Times New Roman"/>
          <w:sz w:val="24"/>
        </w:rPr>
        <w:t>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经营效率指标（如</w:t>
      </w:r>
      <w:r>
        <w:rPr>
          <w:rFonts w:ascii="Times New Roman" w:hAnsi="Times New Roman"/>
          <w:sz w:val="24"/>
        </w:rPr>
        <w:t>ROE</w:t>
      </w:r>
      <w:r>
        <w:rPr>
          <w:rFonts w:ascii="Times New Roman" w:hAnsi="Times New Roman"/>
          <w:sz w:val="24"/>
        </w:rPr>
        <w:t>、</w:t>
      </w:r>
      <w:r>
        <w:rPr>
          <w:rFonts w:ascii="Times New Roman" w:hAnsi="Times New Roman"/>
          <w:sz w:val="24"/>
        </w:rPr>
        <w:t>ROA</w:t>
      </w:r>
      <w:r>
        <w:rPr>
          <w:rFonts w:ascii="Times New Roman" w:hAnsi="Times New Roman"/>
          <w:sz w:val="24"/>
        </w:rPr>
        <w:t>、</w:t>
      </w:r>
      <w:r>
        <w:rPr>
          <w:rFonts w:ascii="Times New Roman" w:hAnsi="Times New Roman"/>
          <w:sz w:val="24"/>
        </w:rPr>
        <w:t>Return on operating assets</w:t>
      </w:r>
      <w:r>
        <w:rPr>
          <w:rFonts w:ascii="Times New Roman" w:hAnsi="Times New Roman"/>
          <w:sz w:val="24"/>
        </w:rPr>
        <w:t>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财务状况指标（如</w:t>
      </w:r>
      <w:r>
        <w:rPr>
          <w:rFonts w:ascii="Times New Roman" w:hAnsi="Times New Roman"/>
          <w:sz w:val="24"/>
        </w:rPr>
        <w:t>D/A</w:t>
      </w:r>
      <w:r>
        <w:rPr>
          <w:rFonts w:ascii="Times New Roman" w:hAnsi="Times New Roman"/>
          <w:sz w:val="24"/>
        </w:rPr>
        <w:t>、流动比率等）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）分析管理层与中小股东的利益一致性，寻找管理层充分投入于创造股东财富的上市公司。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）比较行业发展潜力和业内竞争优势。结合行业、公司优势进行标的的二次优化，为投资者积极追求投资回报的增加。</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）关注双重上市公司</w:t>
      </w:r>
      <w:r>
        <w:rPr>
          <w:rFonts w:ascii="Times New Roman" w:hAnsi="Times New Roman"/>
          <w:sz w:val="24"/>
        </w:rPr>
        <w:t>A</w:t>
      </w:r>
      <w:r>
        <w:rPr>
          <w:rFonts w:ascii="Times New Roman" w:hAnsi="Times New Roman"/>
          <w:sz w:val="24"/>
        </w:rPr>
        <w:t>股与</w:t>
      </w:r>
      <w:r>
        <w:rPr>
          <w:rFonts w:ascii="Times New Roman" w:hAnsi="Times New Roman"/>
          <w:sz w:val="24"/>
        </w:rPr>
        <w:t>H</w:t>
      </w:r>
      <w:r>
        <w:rPr>
          <w:rFonts w:ascii="Times New Roman" w:hAnsi="Times New Roman"/>
          <w:sz w:val="24"/>
        </w:rPr>
        <w:t>股之间的套利机会。内地与香港投资者结构和交易规则不同将带来跨市场套利机会。本基金将积极关注</w:t>
      </w:r>
      <w:r>
        <w:rPr>
          <w:rFonts w:ascii="Times New Roman" w:hAnsi="Times New Roman"/>
          <w:sz w:val="24"/>
        </w:rPr>
        <w:t>AH</w:t>
      </w:r>
      <w:r>
        <w:rPr>
          <w:rFonts w:ascii="Times New Roman" w:hAnsi="Times New Roman"/>
          <w:sz w:val="24"/>
        </w:rPr>
        <w:t>折溢价，事件驱动等所带来的跨市场套利的机会。</w:t>
      </w:r>
    </w:p>
    <w:p w:rsidR="005232A3" w:rsidRDefault="0087043D">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对上述重点上市公司进行内在价值的评估和成长性跟踪研究，在明确的价值评估基础上精选优秀质地的投资标的构建股票组合。</w:t>
      </w:r>
    </w:p>
    <w:p w:rsidR="0079478B" w:rsidRPr="00DA6B0F" w:rsidRDefault="0079478B" w:rsidP="0079478B">
      <w:pPr>
        <w:spacing w:line="360" w:lineRule="auto"/>
        <w:ind w:firstLineChars="200" w:firstLine="480"/>
        <w:rPr>
          <w:bCs/>
          <w:sz w:val="24"/>
        </w:rPr>
      </w:pPr>
      <w:r w:rsidRPr="005E1D32">
        <w:rPr>
          <w:rFonts w:hint="eastAsia"/>
          <w:bCs/>
          <w:sz w:val="24"/>
        </w:rPr>
        <w:lastRenderedPageBreak/>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、债券投资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本基金的债券投资采取主动的投资管理方式，获得与风险相匹配的投资收益，以实现在一定程度上规避股票市场的系统性风险和保证基金资产的流动性。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、权证投资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、资产支持证券投资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、股指期货投资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基金的投资组合应遵循以下限制：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）股票资产</w:t>
      </w:r>
      <w:r w:rsidR="0079478B" w:rsidRPr="0079478B">
        <w:rPr>
          <w:rFonts w:ascii="Times New Roman" w:hAnsi="Times New Roman" w:hint="eastAsia"/>
          <w:sz w:val="24"/>
        </w:rPr>
        <w:t>（含存托凭证）</w:t>
      </w:r>
      <w:r>
        <w:rPr>
          <w:rFonts w:ascii="Times New Roman" w:hAnsi="Times New Roman"/>
          <w:sz w:val="24"/>
        </w:rPr>
        <w:t>占基金资产的</w:t>
      </w:r>
      <w:r>
        <w:rPr>
          <w:rFonts w:ascii="Times New Roman" w:hAnsi="Times New Roman"/>
          <w:sz w:val="24"/>
        </w:rPr>
        <w:t>0%-95%</w:t>
      </w:r>
      <w:r>
        <w:rPr>
          <w:rFonts w:ascii="Times New Roman" w:hAnsi="Times New Roman"/>
          <w:sz w:val="24"/>
        </w:rPr>
        <w:t>（其中，投资于国内依法发行上市的股票的比例占基金资产的</w:t>
      </w:r>
      <w:r>
        <w:rPr>
          <w:rFonts w:ascii="Times New Roman" w:hAnsi="Times New Roman"/>
          <w:sz w:val="24"/>
        </w:rPr>
        <w:t>0-95%</w:t>
      </w:r>
      <w:r>
        <w:rPr>
          <w:rFonts w:ascii="Times New Roman" w:hAnsi="Times New Roman"/>
          <w:sz w:val="24"/>
        </w:rPr>
        <w:t>，投资于港股通标的股票的比例占基金资产的</w:t>
      </w:r>
      <w:r>
        <w:rPr>
          <w:rFonts w:ascii="Times New Roman" w:hAnsi="Times New Roman"/>
          <w:sz w:val="24"/>
        </w:rPr>
        <w:t>0-95%</w:t>
      </w:r>
      <w:r>
        <w:rPr>
          <w:rFonts w:ascii="Times New Roman" w:hAnsi="Times New Roman"/>
          <w:sz w:val="24"/>
        </w:rPr>
        <w:t>），本基金投资于沪港深价值型相关证券的比例不低于非现金基金资产的</w:t>
      </w:r>
      <w:r>
        <w:rPr>
          <w:rFonts w:ascii="Times New Roman" w:hAnsi="Times New Roman"/>
          <w:sz w:val="24"/>
        </w:rPr>
        <w:t>80%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）每个交易日日终在扣除股指期货合约需缴纳的交易保证金后，保持不低于基金资产净值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％的现金或者到期日在一年以内的政府债券，其中现金不包括结算备付金、存出保证金和应收申购款等；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）本基金持有一家公司发行的证券（同一家公司在境内和香港同时上市的</w:t>
      </w:r>
      <w:r>
        <w:rPr>
          <w:rFonts w:ascii="Times New Roman" w:hAnsi="Times New Roman"/>
          <w:sz w:val="24"/>
        </w:rPr>
        <w:t xml:space="preserve">A+H </w:t>
      </w:r>
      <w:r>
        <w:rPr>
          <w:rFonts w:ascii="Times New Roman" w:hAnsi="Times New Roman"/>
          <w:sz w:val="24"/>
        </w:rPr>
        <w:t>股合计计算），其市值不超过基金资产净值的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）本基金管理人管理的全部基金持有一家公司发行的证券（同一家公司在境内和香港同时上市的</w:t>
      </w:r>
      <w:r>
        <w:rPr>
          <w:rFonts w:ascii="Times New Roman" w:hAnsi="Times New Roman"/>
          <w:sz w:val="24"/>
        </w:rPr>
        <w:t xml:space="preserve">A+H </w:t>
      </w:r>
      <w:r>
        <w:rPr>
          <w:rFonts w:ascii="Times New Roman" w:hAnsi="Times New Roman"/>
          <w:sz w:val="24"/>
        </w:rPr>
        <w:t>股合计计算），不超过该证券的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）本基金管理人管理的全部基金持有的同一权证，不得超过该权证的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w:t>
      </w:r>
      <w:r>
        <w:rPr>
          <w:rFonts w:ascii="Times New Roman" w:hAnsi="Times New Roman"/>
          <w:sz w:val="24"/>
        </w:rPr>
        <w:lastRenderedPageBreak/>
        <w:t>券回购到期后不得展期；</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）本基金若投资股指期货，则：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）本基金在任何交易日日终，持有的买入期货合约价值与有价证券市值之和，不得超过基金资产净值的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）本基金在任何交易日日终，持有的卖出期货合约价值不得超过基金持有的股票总市值的</w:t>
      </w:r>
      <w:r>
        <w:rPr>
          <w:rFonts w:ascii="Times New Roman" w:hAnsi="Times New Roman"/>
          <w:sz w:val="24"/>
        </w:rPr>
        <w:t>20%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）本基金所持有的股票市值和买入、卖出股指期货合约价值，合计（轧差计算）应当符合基金合同关于股票投资比例的有关约定；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）本基金的基金资产总值不得超过基金资产净值的</w:t>
      </w:r>
      <w:r>
        <w:rPr>
          <w:rFonts w:ascii="Times New Roman" w:hAnsi="Times New Roman"/>
          <w:sz w:val="24"/>
        </w:rPr>
        <w:t>140%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）本基金管理人管理的全部开放式基金（包括开放式基金以及处于开放期的定期开放基金）持有一家上市公司发行的可流通股票，不得超过该上市公司可流通股票的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79478B" w:rsidRPr="000F6F9D" w:rsidRDefault="0087043D" w:rsidP="0079478B">
      <w:pPr>
        <w:adjustRightInd w:val="0"/>
        <w:snapToGrid w:val="0"/>
        <w:spacing w:line="360" w:lineRule="auto"/>
        <w:ind w:firstLineChars="200" w:firstLine="480"/>
        <w:rPr>
          <w:rFonts w:ascii="宋体" w:hAnsi="宋体"/>
          <w:bCs/>
          <w:sz w:val="24"/>
          <w:szCs w:val="24"/>
        </w:rPr>
      </w:pPr>
      <w:r>
        <w:rPr>
          <w:rFonts w:ascii="Times New Roman" w:hAnsi="Times New Roman"/>
          <w:sz w:val="24"/>
        </w:rPr>
        <w:t>（</w:t>
      </w:r>
      <w:r>
        <w:rPr>
          <w:rFonts w:ascii="Times New Roman" w:hAnsi="Times New Roman"/>
          <w:sz w:val="24"/>
        </w:rPr>
        <w:t>21</w:t>
      </w:r>
      <w:r>
        <w:rPr>
          <w:rFonts w:ascii="Times New Roman" w:hAnsi="Times New Roman"/>
          <w:sz w:val="24"/>
        </w:rPr>
        <w:t>）</w:t>
      </w:r>
      <w:r w:rsidR="0079478B" w:rsidRPr="000F6F9D">
        <w:rPr>
          <w:rFonts w:ascii="宋体" w:hAnsi="宋体" w:hint="eastAsia"/>
          <w:bCs/>
          <w:sz w:val="24"/>
          <w:szCs w:val="24"/>
        </w:rPr>
        <w:t>本基金投资存托凭证的比例限制依照境内上市交易的股票执行；</w:t>
      </w:r>
    </w:p>
    <w:p w:rsidR="005232A3" w:rsidRDefault="0079478B" w:rsidP="0079478B">
      <w:pPr>
        <w:autoSpaceDE w:val="0"/>
        <w:autoSpaceDN w:val="0"/>
        <w:adjustRightInd w:val="0"/>
        <w:snapToGrid w:val="0"/>
        <w:spacing w:line="360" w:lineRule="auto"/>
        <w:ind w:firstLineChars="200" w:firstLine="480"/>
        <w:rPr>
          <w:rFonts w:ascii="宋体" w:hAnsi="宋体"/>
          <w:szCs w:val="24"/>
        </w:rPr>
      </w:pPr>
      <w:r w:rsidRPr="000F6F9D">
        <w:rPr>
          <w:rFonts w:ascii="宋体" w:hAnsi="宋体"/>
          <w:bCs/>
          <w:sz w:val="24"/>
          <w:szCs w:val="24"/>
        </w:rPr>
        <w:lastRenderedPageBreak/>
        <w:t>（</w:t>
      </w:r>
      <w:r w:rsidRPr="000F6F9D">
        <w:rPr>
          <w:rFonts w:ascii="宋体" w:hAnsi="宋体" w:hint="eastAsia"/>
          <w:bCs/>
          <w:sz w:val="24"/>
          <w:szCs w:val="24"/>
        </w:rPr>
        <w:t>2</w:t>
      </w:r>
      <w:r w:rsidRPr="000F6F9D">
        <w:rPr>
          <w:rFonts w:ascii="宋体" w:hAnsi="宋体"/>
          <w:bCs/>
          <w:sz w:val="24"/>
          <w:szCs w:val="24"/>
        </w:rPr>
        <w:t>2）</w:t>
      </w:r>
      <w:r w:rsidR="0087043D">
        <w:rPr>
          <w:rFonts w:ascii="Times New Roman" w:hAnsi="Times New Roman"/>
          <w:sz w:val="24"/>
        </w:rPr>
        <w:t>法律法规及中国证监会规定的和《基金合同》约定的其他投资限制。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18</w:t>
      </w:r>
      <w:r>
        <w:rPr>
          <w:rFonts w:ascii="Times New Roman" w:hAnsi="Times New Roman"/>
          <w:sz w:val="24"/>
        </w:rPr>
        <w:t>）、（</w:t>
      </w:r>
      <w:r>
        <w:rPr>
          <w:rFonts w:ascii="Times New Roman" w:hAnsi="Times New Roman"/>
          <w:sz w:val="24"/>
        </w:rPr>
        <w:t>19</w:t>
      </w:r>
      <w:r>
        <w:rPr>
          <w:rFonts w:ascii="Times New Roman" w:hAnsi="Times New Roman"/>
          <w:sz w:val="24"/>
        </w:rPr>
        <w:t>）项外，因证券、期货市场波动、证券发行人合并或基金规模变动等基金管理人之外的因素致使基金投资比例不符合上述规定投资比例的，基金管理人应当在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、禁止行为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为维护基金份额持有人的合法权益，基金财产不得用于下列投资或者活动：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）买卖其他基金份额，但是中国证监会另有规定的除外；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）法律、行政法规和中国证监会规定禁止的其他活动。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（五）业绩比较基准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沪深</w:t>
      </w:r>
      <w:r>
        <w:rPr>
          <w:rFonts w:ascii="Times New Roman" w:hAnsi="Times New Roman"/>
          <w:sz w:val="24"/>
        </w:rPr>
        <w:t>300</w:t>
      </w:r>
      <w:r>
        <w:rPr>
          <w:rFonts w:ascii="Times New Roman" w:hAnsi="Times New Roman"/>
          <w:sz w:val="24"/>
        </w:rPr>
        <w:t>指数收益率</w:t>
      </w:r>
      <w:r>
        <w:rPr>
          <w:rFonts w:ascii="Times New Roman" w:hAnsi="Times New Roman"/>
          <w:sz w:val="24"/>
        </w:rPr>
        <w:t>×40%+</w:t>
      </w:r>
      <w:r>
        <w:rPr>
          <w:rFonts w:ascii="Times New Roman" w:hAnsi="Times New Roman"/>
          <w:sz w:val="24"/>
        </w:rPr>
        <w:t>恒生指数收益率</w:t>
      </w:r>
      <w:r>
        <w:rPr>
          <w:rFonts w:ascii="Times New Roman" w:hAnsi="Times New Roman"/>
          <w:sz w:val="24"/>
        </w:rPr>
        <w:t>×40%+</w:t>
      </w:r>
      <w:r>
        <w:rPr>
          <w:rFonts w:ascii="Times New Roman" w:hAnsi="Times New Roman"/>
          <w:sz w:val="24"/>
        </w:rPr>
        <w:t>中证综合债券指数收益率</w:t>
      </w:r>
      <w:r>
        <w:rPr>
          <w:rFonts w:ascii="Times New Roman" w:hAnsi="Times New Roman"/>
          <w:sz w:val="24"/>
        </w:rPr>
        <w:t>×20%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沪深</w:t>
      </w:r>
      <w:r>
        <w:rPr>
          <w:rFonts w:ascii="Times New Roman" w:hAnsi="Times New Roman"/>
          <w:sz w:val="24"/>
        </w:rPr>
        <w:t>300</w:t>
      </w:r>
      <w:r>
        <w:rPr>
          <w:rFonts w:ascii="Times New Roman" w:hAnsi="Times New Roman"/>
          <w:sz w:val="24"/>
        </w:rPr>
        <w:t>指数是沪深证券交易所第一次联合发布的反映</w:t>
      </w:r>
      <w:r>
        <w:rPr>
          <w:rFonts w:ascii="Times New Roman" w:hAnsi="Times New Roman"/>
          <w:sz w:val="24"/>
        </w:rPr>
        <w:t>A</w:t>
      </w:r>
      <w:r>
        <w:rPr>
          <w:rFonts w:ascii="Times New Roman" w:hAnsi="Times New Roman"/>
          <w:sz w:val="24"/>
        </w:rPr>
        <w:t>股市场整体走势的指数，由中证指数公司编制和维护，是在上海和深圳证券市场中选取</w:t>
      </w:r>
      <w:r>
        <w:rPr>
          <w:rFonts w:ascii="Times New Roman" w:hAnsi="Times New Roman"/>
          <w:sz w:val="24"/>
        </w:rPr>
        <w:t>300</w:t>
      </w:r>
      <w:r>
        <w:rPr>
          <w:rFonts w:ascii="Times New Roman" w:hAnsi="Times New Roman"/>
          <w:sz w:val="24"/>
        </w:rPr>
        <w:t>只</w:t>
      </w:r>
      <w:r>
        <w:rPr>
          <w:rFonts w:ascii="Times New Roman" w:hAnsi="Times New Roman"/>
          <w:sz w:val="24"/>
        </w:rPr>
        <w:t>A</w:t>
      </w:r>
      <w:r>
        <w:rPr>
          <w:rFonts w:ascii="Times New Roman" w:hAnsi="Times New Roman"/>
          <w:sz w:val="24"/>
        </w:rPr>
        <w:t>股作为样本编制而成。该指数样本对沪深市场的覆盖度高，具有良好的市场代表性，投资者可以方便地从报纸、互联网等财经媒体中获取。沪深</w:t>
      </w:r>
      <w:r>
        <w:rPr>
          <w:rFonts w:ascii="Times New Roman" w:hAnsi="Times New Roman"/>
          <w:sz w:val="24"/>
        </w:rPr>
        <w:t>300</w:t>
      </w:r>
      <w:r>
        <w:rPr>
          <w:rFonts w:ascii="Times New Roman" w:hAnsi="Times New Roman"/>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恒生指数是由恒生指数服务有限公司编制，以香港股票市场中的</w:t>
      </w:r>
      <w:r>
        <w:rPr>
          <w:rFonts w:ascii="Times New Roman" w:hAnsi="Times New Roman"/>
          <w:sz w:val="24"/>
        </w:rPr>
        <w:t xml:space="preserve">50 </w:t>
      </w:r>
      <w:r>
        <w:rPr>
          <w:rFonts w:ascii="Times New Roman" w:hAnsi="Times New Roman"/>
          <w:sz w:val="24"/>
        </w:rPr>
        <w:t>家上市股票为成份股样本，以其发行量为权数的加权平均股价指数，是反映香港股市价幅趋势最有影响的一种股价指数。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（六）风险收益特征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本基金是一只混合型基金，其风险和预期收益高于债券型基金和货币市场基金，低于股票型基金。属于承担较高风险、预期收益较高的证券投资基金品种。根据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w:t>
      </w:r>
      <w:r>
        <w:rPr>
          <w:rFonts w:ascii="Times New Roman" w:hAnsi="Times New Roman"/>
          <w:sz w:val="24"/>
        </w:rPr>
        <w:lastRenderedPageBreak/>
        <w:t>但由于风险等级分类标准的变化，本基金的风险等级表述可能有相应变化，具体风险评级结果应以基金管理人和销售机构提供的评级结果为准。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本基金可投资港股通标的股票，会面临港股通机制下因投资环境、投资标的、市场制度以及交易规则等差异带来的特有风险。</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（七）基金管理人代表基金行使股东及债权人权利的处理原则及方法</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、基金管理人按照国家有关规定代表基金独立行使股东及债权人权利，保护基金份额持有人的利益；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（八）港股通标的股票投资的代理投票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通过港股通买入的股票记录在中国证券登记结算公司在香港中央结算公司开立的证券账户。中国证券登记结算公司以自己的名义，通过香港中央结算公司行使对该股票发行人的权利。中国证券登记结算公司行使对该股票发行人的权利，将通过证券公司事先征求包括基金管理人在内的内地投资者的意见，并按照其意见办理。法律法规另有规定的，从其规定。</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（九）投资决策依据和投资流程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、投资决策机制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中央交易室负责交易执行和一线监控。通过严格的交易制度和实时的一线监控功能，保证基金经理的投资指令在合法、合规的前提下得到高效的执行。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、投资管理流程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）投资决策委员会每月召开投资决策会议，对资产配置比例提出指导性意见，并讨论股票、债券的投资重点等；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）交易指令通过风控系统的自动合规核查后，由中央交易室执行，中央交易室对交易情况及时反馈；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投资决策委员会有权根据市场变化和实际情况的需要，对上述投资管理程序作出调整。</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（十）基金投资组合报告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基金管理人的董事会及董事保证本报告所载资料不存在虚假记载、误导性陈述或重大遗漏，并对其内容的真实性、准确性和完整性承担个别及连带责任。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基金托管人中国农业银行股份有限公司根据本基金合同规定，于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日复核了本报告中的财务指标、净值表现和投资组合报告等内容，保证复核内容不存在虚假记载、误导性陈述或者重大遗漏。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本报告期自</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日起至</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日止。本报告财务资料未经审计师审计。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rsidR="005232A3" w:rsidRDefault="0087043D">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499,634,761.34</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85.09</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499,634,761.34</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85.09</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86,817,365.15</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14.78</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762,261.89</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587,214,388.38</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报告期末按行业分类的境内股票投资组合</w:t>
      </w:r>
    </w:p>
    <w:p w:rsidR="005232A3" w:rsidRDefault="0087043D">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173,155,656.78</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29.63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13,029.12</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28,264.03</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29,681,888.96</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5.08</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12,226,963.77</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2.09</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15,808,137.42</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2.70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18,324,371.01</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3.14</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K</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14,813.40</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15,348.36</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17,714,799.60</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3.03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5232A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266,983,272.45</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45.68</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报告期末按行业分类的港股通投资股票投资组合</w:t>
      </w:r>
    </w:p>
    <w:tbl>
      <w:tblPr>
        <w:tblW w:w="5000" w:type="pct"/>
        <w:tblCellMar>
          <w:left w:w="0" w:type="dxa"/>
          <w:right w:w="0" w:type="dxa"/>
        </w:tblCellMar>
        <w:tblLook w:val="0000" w:firstRow="0" w:lastRow="0" w:firstColumn="0" w:lastColumn="0" w:noHBand="0" w:noVBand="0"/>
      </w:tblPr>
      <w:tblGrid>
        <w:gridCol w:w="1544"/>
        <w:gridCol w:w="4634"/>
        <w:gridCol w:w="2472"/>
      </w:tblGrid>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非日常生活消费品</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81,095,728.75</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13.87</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信息技术</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54,019,949.07</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9.24</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通讯服务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35,957,222.40</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6.15</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20,664,858.24</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3.54</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医疗保健</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17,444,349.44</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2.98</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11,872,913.15</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2.03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日常消费品</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8,330,265.60</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1.43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工业</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3,266,202.24</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232,651,488.89</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39.80</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注：以上分类采用全球行业分类标准（</w:t>
      </w:r>
      <w:r>
        <w:rPr>
          <w:rFonts w:ascii="Times New Roman" w:hAnsi="Times New Roman"/>
          <w:sz w:val="24"/>
        </w:rPr>
        <w:t>GICS</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00700.HK</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腾讯控股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35,957,222.40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6.15</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03690.HK</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美团点评－Ｗ</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31,871,174.40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5.45</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贵州茅台</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25,027,500.00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4.28</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24,360,000.00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4.17</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002475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立讯精密</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409,973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23,421,757.49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4.01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02382.HK</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舜宇光学科技</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20,790,515.20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3.56</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00388.HK</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香港交易所</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65,000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20,664,858.24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3.54</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03888.HK</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金山软件</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20,377,516.80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3.49</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00881.HK</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中升控股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458,500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19,479,882.35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3.33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18,748,500.00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3.21</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报告期末按公允价值占基金资产净值比例大小排序的前十名资产支持证券投资明细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11.2</w:t>
      </w:r>
      <w:r>
        <w:rPr>
          <w:rFonts w:ascii="Times New Roman" w:hAnsi="Times New Roman"/>
          <w:sz w:val="24"/>
        </w:rPr>
        <w:t>本基金投资的前十名股票中，没有超出基金合同规定的备选股票库之外的股票。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11.3</w:t>
      </w:r>
      <w:r>
        <w:rPr>
          <w:rFonts w:ascii="Times New Roman" w:hAnsi="Times New Roman"/>
          <w:sz w:val="24"/>
        </w:rPr>
        <w:t>其他资产构成</w:t>
      </w:r>
    </w:p>
    <w:p w:rsidR="005232A3" w:rsidRDefault="0087043D">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124,684.79</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392,043.77</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225,718.20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19,815.13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right"/>
              <w:rPr>
                <w:rFonts w:ascii="宋体" w:hAnsi="宋体"/>
                <w:color w:val="000000"/>
                <w:kern w:val="0"/>
                <w:sz w:val="25"/>
                <w:szCs w:val="24"/>
              </w:rPr>
            </w:pPr>
            <w:r>
              <w:rPr>
                <w:rFonts w:ascii="Times New Roman" w:hAnsi="Times New Roman"/>
                <w:color w:val="000000"/>
                <w:kern w:val="0"/>
                <w:sz w:val="25"/>
                <w:szCs w:val="24"/>
              </w:rPr>
              <w:t>762,261.89</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报告期末前十名股票中存在流通受限情况的说明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本基金本报告期末前十名股票中不存在流通受限情况。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2" w:name="_Toc57389337"/>
      <w:r>
        <w:rPr>
          <w:rFonts w:ascii="Times New Roman" w:hAnsi="Times New Roman"/>
          <w:sz w:val="30"/>
        </w:rPr>
        <w:lastRenderedPageBreak/>
        <w:t>十、基金的业绩</w:t>
      </w:r>
      <w:bookmarkEnd w:id="12"/>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下述基金业绩指标不包括持有人认购或交易基金的各项费用，计入费用后实际收益水平要低于所列数字。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、本报告期基金份额净值增长率及其与同期业绩比较基准收益率的比较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9.72%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25.68%</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1.62%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-4.14%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29.82%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0.35%</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33.06%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18.72%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年年度</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-4.77%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年年度</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32.90%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22.66%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0.29%</w:t>
            </w:r>
          </w:p>
        </w:tc>
      </w:tr>
      <w:tr w:rsidR="005232A3">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年（自基金合同生效起至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-0.42%</w:t>
            </w:r>
          </w:p>
        </w:tc>
      </w:tr>
    </w:tbl>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rsidR="005232A3" w:rsidRDefault="0087043D">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交银施罗德沪港深价值精选灵活配置混合型证券投资基金</w:t>
      </w:r>
    </w:p>
    <w:p w:rsidR="005232A3" w:rsidRDefault="0087043D">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份额累计净值增长率与业绩比较基准收益率历史走势对比图</w:t>
      </w:r>
    </w:p>
    <w:p w:rsidR="005232A3" w:rsidRDefault="0087043D">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2016</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7</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w:t>
      </w:r>
    </w:p>
    <w:p w:rsidR="005232A3" w:rsidRDefault="002C640C">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extent cx="5585460" cy="3284220"/>
            <wp:effectExtent l="0" t="0" r="0" b="0"/>
            <wp:docPr id="7"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5460" cy="3284220"/>
                    </a:xfrm>
                    <a:prstGeom prst="rect">
                      <a:avLst/>
                    </a:prstGeom>
                    <a:noFill/>
                    <a:ln>
                      <a:noFill/>
                    </a:ln>
                  </pic:spPr>
                </pic:pic>
              </a:graphicData>
            </a:graphic>
          </wp:inline>
        </w:drawing>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3" w:name="_Toc57389338"/>
      <w:r>
        <w:rPr>
          <w:rFonts w:ascii="Times New Roman" w:hAnsi="Times New Roman"/>
          <w:sz w:val="30"/>
        </w:rPr>
        <w:lastRenderedPageBreak/>
        <w:t>十一、基金的财产</w:t>
      </w:r>
      <w:bookmarkEnd w:id="13"/>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基金资产总值是指基金拥有的各类有价证券、股指期货合约、银行存款本息、基金应收申购款及其他资产的价值总和。</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（四）基金财产的保管和处分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4" w:name="_Toc57389339"/>
      <w:r>
        <w:rPr>
          <w:rFonts w:ascii="Times New Roman" w:hAnsi="Times New Roman"/>
          <w:sz w:val="30"/>
        </w:rPr>
        <w:lastRenderedPageBreak/>
        <w:t>十二、基金资产的估值</w:t>
      </w:r>
      <w:bookmarkEnd w:id="14"/>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（二）估值对象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基金所拥有的股票、债券、衍生工具和其它投资等持续以公允价值计量的金融资产及负债。</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（三）估值方法</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）交易所市场上市交易或挂牌转让的固定收益品种（另有规定的除外），选取第三方估值机构提供的相应品种当日的估值净价进行估值；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）交易所市场上市交易的可转换债券，按估值日收盘价减去可转换债券收盘价中所含债券应收利息后得到的净价进行估值；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）交易所市场挂牌转让的资产支持证券和私募债券，采用估值技术确定公允价值。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、证券交易所发行未上市期间的有价证券应区分如下情况处理：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）送股、转增股、配股和公开增发的新股，按估值日在证券交易所挂牌的同一股票的估值方法估值；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）首次公开发行未上市的股票和权证，采用估值技术确定公允价值；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）首次公开发行有明确锁定期的股票，同一股票在交易所上市后，按交易所上市的同一股票的估值方法估值；非公开发行有明确锁定期的股票，按监管机构或行业协会有关规定确定公允价值。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）交易所市场发行未上市或未挂牌转让的债券，采用估值技术确定公允价值。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、因持有股票而享有的配股权，采用估值技术确定公允价值。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、银行间市场上市交易的固定收益品种，选取第三方估值机构提供的相应品种当日的估值净价进行估值。银行间市场发行未上市的固定收益品种，采用估值技术确定公允价值。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、本基金投资股指期货合约，一般以估值当日结算价进行估值，估值当日无结算价的，且最近交易日后经济环境未发生重大变化的，采用最近交易日结算价估值。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、人民币对主要外汇的汇率应当以估值日中国人民银行或其授权机构公布的人民币汇率中间价为准。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、在任何情况下，基金管理人如采用本款第</w:t>
      </w:r>
      <w:r>
        <w:rPr>
          <w:rFonts w:ascii="Times New Roman" w:hAnsi="Times New Roman"/>
          <w:sz w:val="24"/>
        </w:rPr>
        <w:t>1</w:t>
      </w:r>
      <w:r>
        <w:rPr>
          <w:rFonts w:ascii="Times New Roman" w:hAnsi="Times New Roman"/>
          <w:sz w:val="24"/>
        </w:rPr>
        <w:t>－</w:t>
      </w:r>
      <w:r>
        <w:rPr>
          <w:rFonts w:ascii="Times New Roman" w:hAnsi="Times New Roman"/>
          <w:sz w:val="24"/>
        </w:rPr>
        <w:t>7</w:t>
      </w:r>
      <w:r>
        <w:rPr>
          <w:rFonts w:ascii="Times New Roman" w:hAnsi="Times New Roman"/>
          <w:sz w:val="24"/>
        </w:rPr>
        <w:t>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79478B" w:rsidRPr="00B0674C" w:rsidRDefault="0087043D" w:rsidP="0079478B">
      <w:pPr>
        <w:adjustRightInd w:val="0"/>
        <w:snapToGrid w:val="0"/>
        <w:spacing w:line="360" w:lineRule="auto"/>
        <w:ind w:firstLineChars="200" w:firstLine="480"/>
        <w:rPr>
          <w:bCs/>
          <w:sz w:val="24"/>
          <w:szCs w:val="24"/>
        </w:rPr>
      </w:pPr>
      <w:r>
        <w:rPr>
          <w:rFonts w:ascii="Times New Roman" w:hAnsi="Times New Roman"/>
          <w:sz w:val="24"/>
        </w:rPr>
        <w:t>9</w:t>
      </w:r>
      <w:r>
        <w:rPr>
          <w:rFonts w:ascii="Times New Roman" w:hAnsi="Times New Roman"/>
          <w:sz w:val="24"/>
        </w:rPr>
        <w:t>、</w:t>
      </w:r>
      <w:r w:rsidR="0079478B" w:rsidRPr="00B0674C">
        <w:rPr>
          <w:rFonts w:hint="eastAsia"/>
          <w:bCs/>
          <w:sz w:val="24"/>
          <w:szCs w:val="24"/>
        </w:rPr>
        <w:t>本基金投资存托凭证的估值核算依照境内上市交易的股票执行。</w:t>
      </w:r>
    </w:p>
    <w:p w:rsidR="005232A3" w:rsidRDefault="0079478B" w:rsidP="0079478B">
      <w:pPr>
        <w:autoSpaceDE w:val="0"/>
        <w:autoSpaceDN w:val="0"/>
        <w:adjustRightInd w:val="0"/>
        <w:snapToGrid w:val="0"/>
        <w:spacing w:line="360" w:lineRule="auto"/>
        <w:ind w:firstLineChars="200" w:firstLine="480"/>
        <w:rPr>
          <w:rFonts w:ascii="宋体" w:hAnsi="宋体"/>
          <w:szCs w:val="24"/>
        </w:rPr>
      </w:pPr>
      <w:r w:rsidRPr="00B0674C">
        <w:rPr>
          <w:rFonts w:hint="eastAsia"/>
          <w:bCs/>
          <w:sz w:val="24"/>
          <w:szCs w:val="24"/>
        </w:rPr>
        <w:t>1</w:t>
      </w:r>
      <w:r w:rsidRPr="00B0674C">
        <w:rPr>
          <w:bCs/>
          <w:sz w:val="24"/>
          <w:szCs w:val="24"/>
        </w:rPr>
        <w:t>0</w:t>
      </w:r>
      <w:r w:rsidRPr="00B0674C">
        <w:rPr>
          <w:bCs/>
          <w:sz w:val="24"/>
          <w:szCs w:val="24"/>
        </w:rPr>
        <w:t>、</w:t>
      </w:r>
      <w:r w:rsidR="0087043D">
        <w:rPr>
          <w:rFonts w:ascii="Times New Roman" w:hAnsi="Times New Roman"/>
          <w:sz w:val="24"/>
        </w:rPr>
        <w:t>相关法律法规以及监管部门有强制规定的，从其规定。如有新增事项，按法律法规以及监管部门最新规定估值。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、基金份额净值是按照每个工作日闭市后，基金资产净值除以当日基金份额的余额数量计算，精确到</w:t>
      </w:r>
      <w:r>
        <w:rPr>
          <w:rFonts w:ascii="Times New Roman" w:hAnsi="Times New Roman"/>
          <w:sz w:val="24"/>
        </w:rPr>
        <w:t>0.001</w:t>
      </w:r>
      <w:r>
        <w:rPr>
          <w:rFonts w:ascii="Times New Roman" w:hAnsi="Times New Roman"/>
          <w:sz w:val="24"/>
        </w:rPr>
        <w:t>元，小数点后第四位四舍五入。国家另有规定的，</w:t>
      </w:r>
      <w:r>
        <w:rPr>
          <w:rFonts w:ascii="Times New Roman" w:hAnsi="Times New Roman"/>
          <w:sz w:val="24"/>
        </w:rPr>
        <w:lastRenderedPageBreak/>
        <w:t>从其规定。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基金管理人于每个工作日计算基金资产净值及基金份额净值，并按规定公告。如遇特殊情况，经中国证监会同意，可以适当延迟计算或公告。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（五）估值错误的处理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基金管理人和基金托管人将采取必要、适当、合理的措施确保基金资产估值的准确性、及时性。当基金份额净值小数点后第</w:t>
      </w:r>
      <w:r>
        <w:rPr>
          <w:rFonts w:ascii="Times New Roman" w:hAnsi="Times New Roman"/>
          <w:sz w:val="24"/>
        </w:rPr>
        <w:t>3</w:t>
      </w:r>
      <w:r>
        <w:rPr>
          <w:rFonts w:ascii="Times New Roman" w:hAnsi="Times New Roman"/>
          <w:sz w:val="24"/>
        </w:rPr>
        <w:t>位以内（含第</w:t>
      </w:r>
      <w:r>
        <w:rPr>
          <w:rFonts w:ascii="Times New Roman" w:hAnsi="Times New Roman"/>
          <w:sz w:val="24"/>
        </w:rPr>
        <w:t>3</w:t>
      </w:r>
      <w:r>
        <w:rPr>
          <w:rFonts w:ascii="Times New Roman" w:hAnsi="Times New Roman"/>
          <w:sz w:val="24"/>
        </w:rPr>
        <w:t>位</w:t>
      </w:r>
      <w:r>
        <w:rPr>
          <w:rFonts w:ascii="Times New Roman" w:hAnsi="Times New Roman"/>
          <w:sz w:val="24"/>
        </w:rPr>
        <w:t xml:space="preserve">) </w:t>
      </w:r>
      <w:r>
        <w:rPr>
          <w:rFonts w:ascii="Times New Roman" w:hAnsi="Times New Roman"/>
          <w:sz w:val="24"/>
        </w:rPr>
        <w:t>发生估值错误时，视为基金份额净值错误。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、估值错误类型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 xml:space="preserve">”) </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对于因技术原因引起的差错，若系同行业现有技术水平无法预见、无法避免、无法抗拒，则属不可抗力，按照下述规定执行。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、估值错误处理原则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w:t>
      </w:r>
      <w:r>
        <w:rPr>
          <w:rFonts w:ascii="Times New Roman" w:hAnsi="Times New Roman"/>
          <w:sz w:val="24"/>
        </w:rPr>
        <w:lastRenderedPageBreak/>
        <w:t>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、估值错误处理程序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估值错误被发现后，有关的当事人应当及时进行处理，处理的程序如下：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w:t>
      </w:r>
      <w:r>
        <w:rPr>
          <w:rFonts w:ascii="Times New Roman" w:hAnsi="Times New Roman"/>
          <w:sz w:val="24"/>
        </w:rPr>
        <w:lastRenderedPageBreak/>
        <w:t>并报中国证监会备案；错误偏差达到基金份额净值的</w:t>
      </w:r>
      <w:r>
        <w:rPr>
          <w:rFonts w:ascii="Times New Roman" w:hAnsi="Times New Roman"/>
          <w:sz w:val="24"/>
        </w:rPr>
        <w:t>0.5%</w:t>
      </w:r>
      <w:r>
        <w:rPr>
          <w:rFonts w:ascii="Times New Roman" w:hAnsi="Times New Roman"/>
          <w:sz w:val="24"/>
        </w:rPr>
        <w:t>时，基金管理人应当公告。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）前述内容如法律法规或监管机关另有规定的，从其规定处理。</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（六）暂停估值的情形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、基金投资所涉及的证券、期货交易市场遇法定节假日或因其他原因暂停营业时；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、本基金的资产组合中重要部分发生暂停交易或其他重大事件，致使基金管理人、基金托管人无法准确评估基金资产价值时；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以上的资产出现无可参考的活跃市场价格且采用估值技术仍导致公允价值存在重大不确定性时，经与基金托管人协商确认后，基金管理人应当暂停估值；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、中国证监会和基金合同认定的其它情形。</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（七）基金净值的确认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（八）特殊情形的处理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、基金管理人或基金托管人按估值方法的第</w:t>
      </w:r>
      <w:r>
        <w:rPr>
          <w:rFonts w:ascii="Times New Roman" w:hAnsi="Times New Roman"/>
          <w:sz w:val="24"/>
        </w:rPr>
        <w:t>8</w:t>
      </w:r>
      <w:r>
        <w:rPr>
          <w:rFonts w:ascii="Times New Roman" w:hAnsi="Times New Roman"/>
          <w:sz w:val="24"/>
        </w:rPr>
        <w:t>项进行估值时，所造成的误差不作为基金资产估值错误处理。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5" w:name="_Toc57389340"/>
      <w:r>
        <w:rPr>
          <w:rFonts w:ascii="Times New Roman" w:hAnsi="Times New Roman"/>
          <w:sz w:val="30"/>
        </w:rPr>
        <w:lastRenderedPageBreak/>
        <w:t>十三、基金收益与分配</w:t>
      </w:r>
      <w:bookmarkEnd w:id="15"/>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个月可不进行收益分配；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、本基金收益分配方式分两种：现金分红与红利再投资，投资者可选择现金红利或将现金红利自动转为基金份额进行再投资；若投资者不选择，本基金默认的收益分配方式是现金分红；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、基金收益分配后基金份额净值不能低于面值，即基金收益分配基准日的基金份额净值减去每单位基金份额收益分配金额后不能低于面值；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、每一基金份额享有同等分配权；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、法律法规或监管机关另有规定的，从其规定。</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本基金收益分配方案由基金管理人拟定，并由基金托管人复核，依照《信息披露办法》的有关规定在指定媒介公告。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基金红利发放日距离收益分配基准日（即可供分配利润计算截止日）的时间不得超过</w:t>
      </w:r>
      <w:r>
        <w:rPr>
          <w:rFonts w:ascii="Times New Roman" w:hAnsi="Times New Roman"/>
          <w:sz w:val="24"/>
        </w:rPr>
        <w:t>15</w:t>
      </w:r>
      <w:r>
        <w:rPr>
          <w:rFonts w:ascii="Times New Roman" w:hAnsi="Times New Roman"/>
          <w:sz w:val="24"/>
        </w:rPr>
        <w:t>个工作日。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法律法规或监管机关另有规定的，从其规定。</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（六）基金收益分配中发生的费用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（七）收益分配方式的修改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投资人同一日多次申报收益分配方式变更的，按照《业务规则》执行，最终确认的收益分配方式以登记机构记录为准。</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6" w:name="_Toc57389341"/>
      <w:r>
        <w:rPr>
          <w:rFonts w:ascii="Times New Roman" w:hAnsi="Times New Roman"/>
          <w:sz w:val="30"/>
        </w:rPr>
        <w:lastRenderedPageBreak/>
        <w:t>十四、基金的费用与税收</w:t>
      </w:r>
      <w:bookmarkEnd w:id="16"/>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、《基金合同》生效后与基金相关的会计师费、律师费和诉讼费；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、基金的证券、期货交易费用；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、基金的开户费用、账户维护费用；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、因投资港股通标的股票而产生的各项合理费用；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、按照国家有关规定和《基金合同》约定，可以在基金财产中列支的其他费用。</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本基金的管理费按前一日基金资产净值的</w:t>
      </w:r>
      <w:r>
        <w:rPr>
          <w:rFonts w:ascii="Times New Roman" w:hAnsi="Times New Roman"/>
          <w:sz w:val="24"/>
        </w:rPr>
        <w:t>1.5%</w:t>
      </w:r>
      <w:r>
        <w:rPr>
          <w:rFonts w:ascii="Times New Roman" w:hAnsi="Times New Roman"/>
          <w:sz w:val="24"/>
        </w:rPr>
        <w:t>年费率计提。管理费的计算方法如下：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E×1.5%÷</w:t>
      </w:r>
      <w:r>
        <w:rPr>
          <w:rFonts w:ascii="Times New Roman" w:hAnsi="Times New Roman"/>
          <w:sz w:val="24"/>
        </w:rPr>
        <w:t>当年天数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个工作日内从基金资产中一次性支付给基金管理人。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若遇法定节假日、休息日或不可抗力致使无法按时支付的，顺延至最近可支付日支付。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0.25%</w:t>
      </w:r>
      <w:r>
        <w:rPr>
          <w:rFonts w:ascii="Times New Roman" w:hAnsi="Times New Roman"/>
          <w:sz w:val="24"/>
        </w:rPr>
        <w:t>的年费率计提。托管费的计算方法如下：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E×0.25%÷</w:t>
      </w:r>
      <w:r>
        <w:rPr>
          <w:rFonts w:ascii="Times New Roman" w:hAnsi="Times New Roman"/>
          <w:sz w:val="24"/>
        </w:rPr>
        <w:t>当年天数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H</w:t>
      </w:r>
      <w:r>
        <w:rPr>
          <w:rFonts w:ascii="Times New Roman" w:hAnsi="Times New Roman"/>
          <w:sz w:val="24"/>
        </w:rPr>
        <w:t>为每日应计提的基金托管费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w:t>
      </w:r>
      <w:r>
        <w:rPr>
          <w:rFonts w:ascii="Times New Roman" w:hAnsi="Times New Roman"/>
          <w:sz w:val="24"/>
        </w:rPr>
        <w:t>3</w:t>
      </w:r>
      <w:r>
        <w:rPr>
          <w:rFonts w:ascii="Times New Roman" w:hAnsi="Times New Roman"/>
          <w:sz w:val="24"/>
        </w:rPr>
        <w:t>个工作日内从基金资产中一次性支付给基金托管人。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若遇法定节假日、休息日或不可抗力致使无法按时支付的，顺延至最近可支付日支付。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10</w:t>
      </w:r>
      <w:r>
        <w:rPr>
          <w:rFonts w:ascii="Times New Roman" w:hAnsi="Times New Roman"/>
          <w:sz w:val="24"/>
        </w:rPr>
        <w:t>项费用，根据有关法规及相应协议规定，按费用实际支出金额列入当期费用，由基金托管人从基金财产中支付。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下列费用不列入基金费用：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、《基金合同》生效前的相关费用；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（五）基金税收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7" w:name="_Toc57389342"/>
      <w:r>
        <w:rPr>
          <w:rFonts w:ascii="Times New Roman" w:hAnsi="Times New Roman"/>
          <w:sz w:val="30"/>
        </w:rPr>
        <w:lastRenderedPageBreak/>
        <w:t>十五、基金的会计与审计</w:t>
      </w:r>
      <w:bookmarkEnd w:id="17"/>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、基金管理人聘请与基金管理人、基金托管人相互独立的具有证券、期货相关从业资格的会计师事务所及其注册会计师对本基金的年度财务报表进行审计。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、基金管理人认为有充足理由更换会计师事务所，须通报基金托管人。更换会计师事务所需按照《信息披露办法》的有关规定在指定媒介公告。</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8" w:name="_Toc57389343"/>
      <w:r>
        <w:rPr>
          <w:rFonts w:ascii="Times New Roman" w:hAnsi="Times New Roman"/>
          <w:sz w:val="30"/>
        </w:rPr>
        <w:lastRenderedPageBreak/>
        <w:t>十六、基金的信息披露</w:t>
      </w:r>
      <w:bookmarkEnd w:id="18"/>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w:t>
      </w:r>
      <w:r>
        <w:rPr>
          <w:rFonts w:ascii="Times New Roman" w:hAnsi="Times New Roman"/>
          <w:sz w:val="24"/>
        </w:rPr>
        <w:lastRenderedPageBreak/>
        <w:t>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《基金合同》生效后，在开始办理基金份额申购或者赎回前，基金管理人应当至少每周在指定网站披露一次基金份额净值和基金份额累计净值。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在开始办理基金份额申购或者赎回后，基金管理人应当在不晚于每个开放日的次日，通过指定网站、基金销售机构网站或者营业网点披露开放日的基金份额净值和基金份额累计净值。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基金管理人应当在《基金合同》、招募说明书等信息披露文件上载明基金份额申购、赎回价格的计算方式及有关申购、赎回费率，并保证投资者能够在基金销售机构网站或营业网点查阅或者复制前述信息资料。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w:t>
      </w:r>
      <w:r>
        <w:rPr>
          <w:rFonts w:ascii="Times New Roman" w:hAnsi="Times New Roman"/>
          <w:sz w:val="24"/>
        </w:rPr>
        <w:lastRenderedPageBreak/>
        <w:t>事项，基金托管人委托基金服务机构代为办理基金的核算、估值、复核等事项；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）管理费、托管费、申购费、赎回费等费用计提标准、计提方式和费率发生变更；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）基金份额净值计价错误达基金份额净值百分之零点五；</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）基金信息披露义务人认为可能对基金份额持有人权益或者基金份额的价格产生重大影响的其他事项或中国证监会规定的其他事项。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w:t>
      </w:r>
      <w:r>
        <w:rPr>
          <w:rFonts w:ascii="Times New Roman" w:hAnsi="Times New Roman"/>
          <w:sz w:val="24"/>
        </w:rPr>
        <w:lastRenderedPageBreak/>
        <w:t>有人权益的，相关信息披露义务人知悉后应当立即对该消息进行公开澄清，并将有关情况立即报告中国证监会。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、清算报告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本基金投资股指期货，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ascii="Times New Roman" w:hAnsi="Times New Roman"/>
          <w:sz w:val="24"/>
        </w:rPr>
        <w:t>10</w:t>
      </w:r>
      <w:r>
        <w:rPr>
          <w:rFonts w:ascii="Times New Roman" w:hAnsi="Times New Roman"/>
          <w:sz w:val="24"/>
        </w:rPr>
        <w:t>名资产支持证券明细。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、参与沪港通交易的信息披露</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在季度报告、中期报告、年度报告等定期报告和招募说明书（更新）等文件中披露参与沪港通交易的相关情况。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、中国证监会规定的其他信息。</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19" w:name="_Toc57389344"/>
      <w:r>
        <w:rPr>
          <w:rFonts w:ascii="Times New Roman" w:hAnsi="Times New Roman"/>
          <w:sz w:val="30"/>
        </w:rPr>
        <w:lastRenderedPageBreak/>
        <w:t>十七、风险揭示</w:t>
      </w:r>
      <w:bookmarkEnd w:id="19"/>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上一开放日总份额的百分之十时，投资人将可能无法及时赎回持有的全部基金份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w:t>
      </w:r>
      <w:r>
        <w:rPr>
          <w:rFonts w:ascii="Times New Roman" w:hAnsi="Times New Roman"/>
          <w:sz w:val="24"/>
        </w:rPr>
        <w:lastRenderedPageBreak/>
        <w:t>出投资决策后，基金运营状况与基金净值变化引致的投资风险，由投资人自行负担。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Times New Roman" w:hAnsi="Times New Roman"/>
          <w:sz w:val="24"/>
        </w:rPr>
        <w:lastRenderedPageBreak/>
        <w:t>资产变现能力差，可能会产生基金仓位调整的困难，导致流动性风险，可能影响基金份额净值。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若该工作日为非港股通交易日，则本基金不开放，具体办理时间为上海证券交易所、深圳证券交易所的正常交易日的交易时间，但基金管理人根据法律法规、中国证监会的要求或基金合同的规定公告暂停申购、赎回时除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个开放日以上（含本数）发生巨额赎回，如基金管理人认为有必要，可暂停接受基金的赎回申请；已经接受的赎回申请可以延缓支付赎回款项，但不得超过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（五）本基金投资策略所特有的风险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本基金属于混合型基金，股票资产占基金资产的</w:t>
      </w:r>
      <w:r>
        <w:rPr>
          <w:rFonts w:ascii="Times New Roman" w:hAnsi="Times New Roman"/>
          <w:sz w:val="24"/>
        </w:rPr>
        <w:t>0%-95%</w:t>
      </w:r>
      <w:r>
        <w:rPr>
          <w:rFonts w:ascii="Times New Roman" w:hAnsi="Times New Roman"/>
          <w:sz w:val="24"/>
        </w:rPr>
        <w:t>（其中，投资于国内依法发行上市的股票的比例占基金资产的</w:t>
      </w:r>
      <w:r>
        <w:rPr>
          <w:rFonts w:ascii="Times New Roman" w:hAnsi="Times New Roman"/>
          <w:sz w:val="24"/>
        </w:rPr>
        <w:t>0-95%</w:t>
      </w:r>
      <w:r>
        <w:rPr>
          <w:rFonts w:ascii="Times New Roman" w:hAnsi="Times New Roman"/>
          <w:sz w:val="24"/>
        </w:rPr>
        <w:t>，投资于港股通标的股票的比例占基金资产的</w:t>
      </w:r>
      <w:r>
        <w:rPr>
          <w:rFonts w:ascii="Times New Roman" w:hAnsi="Times New Roman"/>
          <w:sz w:val="24"/>
        </w:rPr>
        <w:t>0-95%</w:t>
      </w:r>
      <w:r>
        <w:rPr>
          <w:rFonts w:ascii="Times New Roman" w:hAnsi="Times New Roman"/>
          <w:sz w:val="24"/>
        </w:rPr>
        <w:t>），其中投资于沪港深价值型相关证券的比例不低于非现金基金资产的</w:t>
      </w:r>
      <w:r>
        <w:rPr>
          <w:rFonts w:ascii="Times New Roman" w:hAnsi="Times New Roman"/>
          <w:sz w:val="24"/>
        </w:rPr>
        <w:t>80%</w:t>
      </w:r>
      <w:r>
        <w:rPr>
          <w:rFonts w:ascii="Times New Roman" w:hAnsi="Times New Roman"/>
          <w:sz w:val="24"/>
        </w:rPr>
        <w:t>，因此，沪港深三地股市、境内债市的变化将影响到本基金的业绩表现。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）港股交易失败风险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港股通业务试点期间存在每日额度限制。在香港联合交易所开市前阶段，当日额度使用完毕的，新增的买单申报将面临失败的风险；在香港联合交易所持续交易时段，当日额度使用完毕的，当日本基金将面临不能通过港股通进行买入交易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）汇率风险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）境外市场的风险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）香港市场交易规则有别于内地</w:t>
      </w:r>
      <w:r>
        <w:rPr>
          <w:rFonts w:ascii="Times New Roman" w:hAnsi="Times New Roman"/>
          <w:sz w:val="24"/>
        </w:rPr>
        <w:t xml:space="preserve">A </w:t>
      </w:r>
      <w:r>
        <w:rPr>
          <w:rFonts w:ascii="Times New Roman" w:hAnsi="Times New Roman"/>
          <w:sz w:val="24"/>
        </w:rPr>
        <w:t>股市场规则，此外，在</w:t>
      </w:r>
      <w:r>
        <w:rPr>
          <w:rFonts w:ascii="Times New Roman" w:hAnsi="Times New Roman"/>
          <w:sz w:val="24"/>
        </w:rPr>
        <w:t>“</w:t>
      </w:r>
      <w:r>
        <w:rPr>
          <w:rFonts w:ascii="Times New Roman" w:hAnsi="Times New Roman"/>
          <w:sz w:val="24"/>
        </w:rPr>
        <w:t>沪港股票市场交易互联互通机制</w:t>
      </w:r>
      <w:r>
        <w:rPr>
          <w:rFonts w:ascii="Times New Roman" w:hAnsi="Times New Roman"/>
          <w:sz w:val="24"/>
        </w:rPr>
        <w:t>”</w:t>
      </w:r>
      <w:r>
        <w:rPr>
          <w:rFonts w:ascii="Times New Roman" w:hAnsi="Times New Roman"/>
          <w:sz w:val="24"/>
        </w:rPr>
        <w:t>下参与香港股票投资还将面临包括但不限于如下特殊风险：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）香港市场实行</w:t>
      </w:r>
      <w:r>
        <w:rPr>
          <w:rFonts w:ascii="Times New Roman" w:hAnsi="Times New Roman"/>
          <w:sz w:val="24"/>
        </w:rPr>
        <w:t xml:space="preserve">T+0 </w:t>
      </w:r>
      <w:r>
        <w:rPr>
          <w:rFonts w:ascii="Times New Roman" w:hAnsi="Times New Roman"/>
          <w:sz w:val="24"/>
        </w:rPr>
        <w:t>回转交易机制（即当日买入的股票，在交收前可以于当日卖出），且证券交易价格并无涨跌幅上下限的规定，因此每日涨跌幅空间相对较大，可能表现出比</w:t>
      </w:r>
      <w:r>
        <w:rPr>
          <w:rFonts w:ascii="Times New Roman" w:hAnsi="Times New Roman"/>
          <w:sz w:val="24"/>
        </w:rPr>
        <w:t>A</w:t>
      </w:r>
      <w:r>
        <w:rPr>
          <w:rFonts w:ascii="Times New Roman" w:hAnsi="Times New Roman"/>
          <w:sz w:val="24"/>
        </w:rPr>
        <w:t>股更为剧烈的股价波动；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只有沪港两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香港出现台风、黑色暴雨或者香港联合交易所规定的其他情形时，香港联合交易所将可能停市，投资者将面临在停市期间无法进行港股通交易的风险；出现上海证券交易所证券交易服务公司认定的交易异常情况时，上海证券交易所证券交易服务公司将可能暂停提供部分或者全部港股通服务，投资者将面临在暂停服务期间无法进行港股通交易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d</w:t>
      </w:r>
      <w:r>
        <w:rPr>
          <w:rFonts w:ascii="Times New Roman" w:hAnsi="Times New Roman"/>
          <w:sz w:val="24"/>
        </w:rPr>
        <w:t>）投资者因港股通股票权益分派、转换、上市公司被收购等情形或者异常情况，所取得的港股通股票以外的香港联合交易所上市证券，只能通过港股通卖出，但不得买入，上海证券交易所另有规定的除外；因港股通股票权益分派或者转换等情形取得的香港联合交易所上市股票的认购权利在香港联合交易所上市的，可以通过港股通卖出，但不得行权；因港股通股票权益分派、转换或者上市公司被收购等所取得的非香港联合交易所上市证券，可以享有相关权益，但不得通过港股通买入或卖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）本基金名为</w:t>
      </w:r>
      <w:r>
        <w:rPr>
          <w:rFonts w:ascii="Times New Roman" w:hAnsi="Times New Roman"/>
          <w:sz w:val="24"/>
        </w:rPr>
        <w:t>“</w:t>
      </w:r>
      <w:r>
        <w:rPr>
          <w:rFonts w:ascii="Times New Roman" w:hAnsi="Times New Roman"/>
          <w:sz w:val="24"/>
        </w:rPr>
        <w:t>沪港深</w:t>
      </w:r>
      <w:r>
        <w:rPr>
          <w:rFonts w:ascii="Times New Roman" w:hAnsi="Times New Roman"/>
          <w:sz w:val="24"/>
        </w:rPr>
        <w:t>”</w:t>
      </w:r>
      <w:r>
        <w:rPr>
          <w:rFonts w:ascii="Times New Roman" w:hAnsi="Times New Roman"/>
          <w:sz w:val="24"/>
        </w:rPr>
        <w:t>基金，但基金名称仅表明基金可以通过港股通机制投资港股，本基金可根据投资策略需要或不同配置地市场环境的变化，选择将部分基金资产投资于港股或选择不将基金资产投资于港股，基金资产并非必然投资港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）本基金可投资创业板股票，创业板个股上市后的前五个交易日不设价格涨跌幅限制，第六个交易日开始涨跌幅限制比例为</w:t>
      </w:r>
      <w:r>
        <w:rPr>
          <w:rFonts w:ascii="Times New Roman" w:hAnsi="Times New Roman"/>
          <w:sz w:val="24"/>
        </w:rPr>
        <w:t>20%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以上所述因素可能会给本基金投资带来特殊交易风险。</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（六）投资股指期货的特定风险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）市场风险是指由于股指期货价格变动而给投资者带来的风险。市场风险是股指期货投资中最主要的风险。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）流动性风险是指由于股指期货合约无法及时变现所带来的风险。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）基差风险是指股指期货合约价格和指数价格之间的价格差的波动所造成的风险，以及不同股指期货合约价格之间价格差的波动所造成的期现价差风险。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）保证金风险是指由于无法及时筹措资金满足建立或者维持股指期货合约头寸所要求的保证金而带来的风险。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）信用风险是指期货经纪公司违约而产生损失的风险。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6</w:t>
      </w:r>
      <w:r>
        <w:rPr>
          <w:rFonts w:ascii="Times New Roman" w:hAnsi="Times New Roman"/>
          <w:sz w:val="24"/>
        </w:rPr>
        <w:t>）操作风险是指由于内部流程的不完善，业务人员出现差错或者疏漏，或者系统出现故障等原因造成损失的风险。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此外，由于衍生品通常具有杠杆效应，价格波动比标的工具更为剧烈，并且其定价相当复杂，不适当的估值也有可能使基金资产面临损失风险。</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（七）投资科创板股票的特定风险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科创板整体投资门槛较高，个人投资者必须满足交易满两年并且资金在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万以上才可参与，二级市场上个人投资者参与度相对较低，机构持有个股大量流通盘导致个股流动性较差，基金组合存在无法及时变现及其他相关流动性风险。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）退市风险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科创板为新设板块，初期可投标的较少，投资者容易集中投资于少量个股，市场可能存在高集中度状况，整体存在集中度风险。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）系统性风险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rsidR="0079478B" w:rsidRPr="00081BEF" w:rsidRDefault="0087043D" w:rsidP="0079478B">
      <w:pPr>
        <w:widowControl/>
        <w:adjustRightInd w:val="0"/>
        <w:snapToGrid w:val="0"/>
        <w:spacing w:line="360" w:lineRule="auto"/>
        <w:ind w:firstLineChars="200" w:firstLine="422"/>
        <w:rPr>
          <w:rFonts w:hAnsi="宋体"/>
          <w:b/>
          <w:kern w:val="0"/>
          <w:sz w:val="24"/>
          <w:szCs w:val="24"/>
        </w:rPr>
      </w:pPr>
      <w:r w:rsidRPr="00BB248E">
        <w:rPr>
          <w:rFonts w:ascii="宋体" w:hAnsi="宋体" w:hint="eastAsia"/>
          <w:b/>
          <w:szCs w:val="24"/>
        </w:rPr>
        <w:t>（八）</w:t>
      </w:r>
      <w:r w:rsidR="0079478B" w:rsidRPr="002C640C">
        <w:rPr>
          <w:rFonts w:ascii="宋体" w:hAnsi="宋体" w:hint="eastAsia"/>
          <w:b/>
          <w:szCs w:val="24"/>
        </w:rPr>
        <w:t>投资存托凭证的特定风险</w:t>
      </w:r>
    </w:p>
    <w:p w:rsidR="0079478B" w:rsidRPr="00081BEF" w:rsidRDefault="0079478B" w:rsidP="0079478B">
      <w:pPr>
        <w:widowControl/>
        <w:adjustRightInd w:val="0"/>
        <w:snapToGrid w:val="0"/>
        <w:spacing w:line="360" w:lineRule="auto"/>
        <w:ind w:firstLineChars="200" w:firstLine="480"/>
        <w:rPr>
          <w:rFonts w:hAnsi="宋体"/>
          <w:bCs/>
          <w:kern w:val="0"/>
          <w:sz w:val="24"/>
          <w:szCs w:val="24"/>
        </w:rPr>
      </w:pPr>
      <w:r w:rsidRPr="00081BEF">
        <w:rPr>
          <w:rFonts w:hAnsi="宋体" w:hint="eastAsia"/>
          <w:kern w:val="0"/>
          <w:sz w:val="24"/>
          <w:szCs w:val="24"/>
        </w:rPr>
        <w:t>本基金可投资国内依法发行上市的存托凭证，基金净值可能受到存托凭证的境外基础证券价格波动影响，与存</w:t>
      </w:r>
      <w:r w:rsidRPr="00081BEF">
        <w:rPr>
          <w:rFonts w:hAnsi="宋体" w:hint="eastAsia"/>
          <w:bCs/>
          <w:kern w:val="0"/>
          <w:sz w:val="24"/>
          <w:szCs w:val="24"/>
        </w:rPr>
        <w:t>托凭证的境外基础证券、境外基础证券的发行人及境内外交易机制相关的风险可能直接或间接成为本基金风险。</w:t>
      </w:r>
    </w:p>
    <w:p w:rsidR="0079478B" w:rsidRPr="00E00939" w:rsidRDefault="0079478B" w:rsidP="0079478B">
      <w:pPr>
        <w:widowControl/>
        <w:adjustRightInd w:val="0"/>
        <w:snapToGrid w:val="0"/>
        <w:spacing w:line="360" w:lineRule="auto"/>
        <w:ind w:firstLineChars="200" w:firstLine="480"/>
        <w:rPr>
          <w:rFonts w:hAnsi="宋体"/>
          <w:bCs/>
          <w:kern w:val="0"/>
          <w:sz w:val="24"/>
          <w:szCs w:val="24"/>
        </w:rPr>
      </w:pPr>
      <w:r w:rsidRPr="00081BEF">
        <w:rPr>
          <w:rFonts w:hAnsi="宋体" w:hint="eastAsia"/>
          <w:bCs/>
          <w:kern w:val="0"/>
          <w:sz w:val="24"/>
          <w:szCs w:val="24"/>
        </w:rPr>
        <w:t>具体风险包括：</w:t>
      </w:r>
      <w:bookmarkStart w:id="20" w:name="_GoBack"/>
      <w:r w:rsidRPr="00E00939">
        <w:rPr>
          <w:rFonts w:hAnsi="宋体" w:hint="eastAsia"/>
          <w:bCs/>
          <w:kern w:val="0"/>
          <w:sz w:val="24"/>
          <w:szCs w:val="24"/>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bookmarkEnd w:id="20"/>
    <w:p w:rsidR="0079478B" w:rsidRPr="00081BEF" w:rsidRDefault="0079478B" w:rsidP="0079478B">
      <w:pPr>
        <w:widowControl/>
        <w:adjustRightInd w:val="0"/>
        <w:snapToGrid w:val="0"/>
        <w:spacing w:line="360" w:lineRule="auto"/>
        <w:ind w:firstLineChars="200" w:firstLine="480"/>
        <w:rPr>
          <w:rFonts w:hAnsi="宋体"/>
          <w:kern w:val="0"/>
          <w:sz w:val="24"/>
          <w:szCs w:val="24"/>
        </w:rPr>
      </w:pPr>
      <w:r w:rsidRPr="00081BEF">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rsidR="005232A3" w:rsidRPr="002C640C" w:rsidRDefault="0079478B" w:rsidP="0079478B">
      <w:pPr>
        <w:autoSpaceDE w:val="0"/>
        <w:autoSpaceDN w:val="0"/>
        <w:adjustRightInd w:val="0"/>
        <w:snapToGrid w:val="0"/>
        <w:spacing w:line="360" w:lineRule="auto"/>
        <w:ind w:firstLineChars="200" w:firstLine="422"/>
        <w:rPr>
          <w:rFonts w:ascii="宋体" w:hAnsi="宋体"/>
          <w:b/>
          <w:szCs w:val="24"/>
        </w:rPr>
      </w:pPr>
      <w:r w:rsidRPr="002C640C">
        <w:rPr>
          <w:rFonts w:ascii="宋体" w:hAnsi="宋体" w:hint="eastAsia"/>
          <w:b/>
          <w:szCs w:val="24"/>
        </w:rPr>
        <w:t>（九）</w:t>
      </w:r>
      <w:r w:rsidR="0087043D" w:rsidRPr="00BB248E">
        <w:rPr>
          <w:rFonts w:ascii="宋体" w:hAnsi="宋体" w:hint="eastAsia"/>
          <w:b/>
          <w:szCs w:val="24"/>
        </w:rPr>
        <w:t>其他风险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21" w:name="_Toc57389345"/>
      <w:r>
        <w:rPr>
          <w:rFonts w:ascii="Times New Roman" w:hAnsi="Times New Roman"/>
          <w:sz w:val="30"/>
        </w:rPr>
        <w:lastRenderedPageBreak/>
        <w:t>十八、基金合同的变更、终止与基金财产的清算</w:t>
      </w:r>
      <w:bookmarkEnd w:id="21"/>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（一）《基金合同》的变更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（二）《基金合同》的终止事由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、《基金合同》约定的其他情形；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、相关法律法规和中国证监会规定的其他情况。</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（三）基金财产的清算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w:t>
      </w:r>
      <w:r>
        <w:rPr>
          <w:rFonts w:ascii="Times New Roman" w:hAnsi="Times New Roman"/>
          <w:sz w:val="24"/>
        </w:rPr>
        <w:lastRenderedPageBreak/>
        <w:t>告出具法律意见书；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（四）清算费用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（五）基金财产清算剩余资产的分配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22" w:name="_Toc57389346"/>
      <w:r>
        <w:rPr>
          <w:rFonts w:ascii="Times New Roman" w:hAnsi="Times New Roman"/>
          <w:sz w:val="30"/>
        </w:rPr>
        <w:lastRenderedPageBreak/>
        <w:t>十九、基金合同内容摘要</w:t>
      </w:r>
      <w:bookmarkEnd w:id="22"/>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（一）基金份额持有人、基金管理人和基金托管人的权利与义务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根据《基金法》、《运作办法》及其他有关规定，基金管理人的权利包括但不限于：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）自《基金合同》生效之日起，根据法律法规和《基金合同》独立运用并管理基金财产；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）销售基金份额；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）按照规定召集基金份额持有人大会；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）在基金托管人更换时，提名新的基金托管人；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）选择、更换基金销售机构，对基金销售机构的相关行为进行监督和处理；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）依据《基金合同》及有关法律规定决定基金收益的分配方案；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）在《基金合同》约定的范围内，拒绝或暂停受理申购与赎回申请；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）在法律法规允许的前提下，为基金的利益依法为基金进行融资；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）选择、更换律师事务所、会计师事务所、证券经纪商、期货经纪机构或其他为基金提供服务的外部机构；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）在符合有关法律、法规的前提下，制定和调整有关基金认购、申购、赎</w:t>
      </w:r>
      <w:r>
        <w:rPr>
          <w:rFonts w:ascii="Times New Roman" w:hAnsi="Times New Roman"/>
          <w:sz w:val="24"/>
        </w:rPr>
        <w:lastRenderedPageBreak/>
        <w:t>回、转换等的业务规则；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）法律法规及中国证监会规定的和《基金合同》约定的其他权利。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根据《基金法》、《运作办法》及其他有关规定，基金管理人的义务包括但不限于：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）依法募集资金，办理或者委托经中国证监会认定的其他机构办理基金份额的发售、申购、赎回和登记事宜；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）自《基金合同》生效之日起，以诚实信用、谨慎勤勉的原则管理和运用基金财产；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）进行基金会计核算并编制基金财务会计报告；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）编制季度报告、中期报告和年度报告；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）严格按照《基金法》、《基金合同》及其他有关规定，履行信息披露及报告义务；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）按规定受理申购与赎回申请，及时、足额支付赎回款项；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）组织并参加基金财产清算小组，参与基金财产的保管、清理、估价、变现和分配；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）建立并保存基金份额持有人名册；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）法律法规及中国证监会规定的和《基金合同》约定的其他义务。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根据《基金法》、《运作办法》及其他有关规定，基金托管人的权利包括但不限于：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）自《基金合同》生效之日起，依法律法规和《基金合同》的规定安全保</w:t>
      </w:r>
      <w:r>
        <w:rPr>
          <w:rFonts w:ascii="Times New Roman" w:hAnsi="Times New Roman"/>
          <w:sz w:val="24"/>
        </w:rPr>
        <w:lastRenderedPageBreak/>
        <w:t>管基金财产；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）根据相关市场规则，为基金开设资金账户、证券账户等投资所需账户、协助开立股指期货业务相关账户及交易编码、为基金办理证券、期货交易资金清算；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）提议召开或召集基金份额持有人大会；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）在基金管理人更换时，提名新的基金管理人；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）法律法规及中国证监会规定的和《基金合同》约定的其他权利。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根据《基金法》、《运作办法》及其他有关规定，基金托管人的义务包括但不限于：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）按规定开设基金财产的资金账户和证券账户等投资所需账户，协助开立股指期货业务相关账户及交易编码，按照《基金合同》的约定，根据基金管理人的投资指令，及时办理清算、交割事宜；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）复核、审查基金管理人计算的基金资产净值、基金份额净值、基金份额申购、赎回价格；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9</w:t>
      </w:r>
      <w:r>
        <w:rPr>
          <w:rFonts w:ascii="Times New Roman" w:hAnsi="Times New Roman"/>
          <w:sz w:val="24"/>
        </w:rPr>
        <w:t>）办理与基金托管业务活动有关的信息披露事项；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）建立并保存基金份额持有人名册；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）按规定制作相关账册并与基金管理人核对；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）按照法律法规和《基金合同》的规定监督基金管理人的投资运作；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）参加基金财产清算小组，参与基金财产的保管、清理、估价、变现和分配；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）执行生效的基金份额持有人大会的决议；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）法律法规及中国证监会规定的和《基金合同》约定的其他义务。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每份基金份额具有同等的合法权益。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根据《基金法》、《运作办法》及其他有关规定，基金份额持有人的权利包括但不限于：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）分享基金财产收益；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）依法并按照基金合同和招募说明书的规定申请赎回或转让其持有的基金份额；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）按照规定要求召开基金份额持有人大会或者召集基金份额持有人大会；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）法律法规及中国证监会规定的和《基金合同》约定的其他权利。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根据《基金法》、《运作办法》及其他有关规定，基金份额持有人的义务包括但不限于：</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）认真阅读并遵守《基金合同》、招募说明书等信息披露文件；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）关注基金信息披露，及时行使权利和履行义务；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）缴纳基金认购、申购款项及法律法规和《基金合同》所规定的费用；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）在其持有的基金份额范围内，承担基金亏损或者《基金合同》终止的有限责任；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）不从事任何有损基金及其他《基金合同》当事人合法权益的活动；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）执行生效的基金份额持有人大会的决议；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）返还在基金交易过程中因任何原因获得的不当得利；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）遵守基金管理人、基金托管人、销售机构和登记机构的相关交易及业务规则；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11</w:t>
      </w:r>
      <w:r>
        <w:rPr>
          <w:rFonts w:ascii="Times New Roman" w:hAnsi="Times New Roman"/>
          <w:sz w:val="24"/>
        </w:rPr>
        <w:t>）法律法规及中国证监会规定的和《基金合同》约定的其他义务。</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（二）基金份额持有人大会召集、议事及表决的程序和规则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本基金份额持有人大会不设日常机构。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、召开事由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）当出现或需要决定下列事由之一的，应当召开基金份额持有人大会，法律法规和中国证监会另有规定的除外：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）更换基金管理人；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）更换基金托管人；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）转换基金运作方式；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）提高基金管理人、基金托管人的报酬标准；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）变更基金类别；</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）变更基金投资目标、范围或策略；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）变更基金份额持有人大会程序；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）对基金合同当事人权利和义务产生重大影响的其他事项；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）以下情况可由基金管理人和基金托管人协商后修改，不需召开基金份额持有人大会：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）调低基金管理费、基金托管费和其他应由本基金或基金份额持有人承担的费用；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）在法律法规和《基金合同》规定的范围内，且在对现有基金份额持有人利益无实质性不利影响的前提下调整本基金的申购费率、调低赎回费率、变更或增加收费方式；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）因相应的法律法规、登记机构的相关业务规则发生变动而应当对《基金合同》进行修改；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）在法律法规允许的情况下，且在对现有基金份额持有人利益无实质性不利影响的前提下，基金推出新业务或服务；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）在符合法律法规及本基金合同规定、并且对基金份额持有人利益无实质不利影响的前提下，调整本基金份额类别的设置；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）在不违反法律法规及对基金份额持有人利益无实质性不利影响的前提下，基金管理人、登记机构、销售机构调整有关基金认购、申购、赎回、转换、非交易过户、转托管等业务的规则；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）按照法律法规和《基金合同》规定不需召开基金份额持有人大会的以外的其他情形。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、会议召集人及召集方式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w:t>
      </w:r>
      <w:r>
        <w:rPr>
          <w:rFonts w:ascii="Times New Roman" w:hAnsi="Times New Roman"/>
          <w:sz w:val="24"/>
        </w:rPr>
        <w:lastRenderedPageBreak/>
        <w:t>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日，在指定媒介公告。基金份额持有人大会通知应至少载明以下内容：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）召集人需要通知的其他事项。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Times New Roman" w:hAnsi="Times New Roman"/>
          <w:sz w:val="24"/>
        </w:rPr>
        <w:lastRenderedPageBreak/>
        <w:t>或基金托管人拒不派代表对表决意见的计票进行监督的，不影响表决意见的计票效力。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基金份额持有人大会可通过现场开会方式、通讯开会方式或法律法规和监管机关允许的其他方式召开，会议的召开方式由会议召集人确定。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）通讯开会。通讯开会系指基金份额持有人将其对表决事项的投票以书面形式在表决截至日以前送达至召集人指定的地址。通讯开会应以书面方式进行表决。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）本人直接出具书面意见或授权他人代表出具书面意见的，基金份额持有人</w:t>
      </w:r>
      <w:r>
        <w:rPr>
          <w:rFonts w:ascii="Times New Roman" w:hAnsi="Times New Roman"/>
          <w:sz w:val="24"/>
        </w:rPr>
        <w:lastRenderedPageBreak/>
        <w:t>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、议事内容与程序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Times New Roman" w:hAnsi="Times New Roman"/>
          <w:sz w:val="24"/>
        </w:rPr>
        <w:lastRenderedPageBreak/>
        <w:t>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、表决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基金份额持有人大会的各项提案或同一项提案内并列的各项议题应当分开审议、逐项表决。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、生效与公告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基金份额持有人大会的决定的事项自表决通过之日起生效，召集人应当自通过之日起</w:t>
      </w:r>
      <w:r>
        <w:rPr>
          <w:rFonts w:ascii="Times New Roman" w:hAnsi="Times New Roman"/>
          <w:sz w:val="24"/>
        </w:rPr>
        <w:t>5</w:t>
      </w:r>
      <w:r>
        <w:rPr>
          <w:rFonts w:ascii="Times New Roman" w:hAnsi="Times New Roman"/>
          <w:sz w:val="24"/>
        </w:rPr>
        <w:t>日内报中国证监会备案。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基金份额持有人大会决议自生效之日起</w:t>
      </w:r>
      <w:r>
        <w:rPr>
          <w:rFonts w:ascii="Times New Roman" w:hAnsi="Times New Roman"/>
          <w:sz w:val="24"/>
        </w:rPr>
        <w:t>2</w:t>
      </w:r>
      <w:r>
        <w:rPr>
          <w:rFonts w:ascii="Times New Roman" w:hAnsi="Times New Roman"/>
          <w:sz w:val="24"/>
        </w:rPr>
        <w:t>日内在指定媒介上公告。如果采用通讯方式进行表决，在公告基金份额持有人大会决议时，必须将公证书全文、公证机构、公证员姓名等一同公告。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、本部分对基金份额持有人大会召开事由、召开条件、议事程序、表决条件等规定，凡是直接引用法律法规的部分，如将来法律法规修改导致相关内容被取消</w:t>
      </w:r>
      <w:r>
        <w:rPr>
          <w:rFonts w:ascii="Times New Roman" w:hAnsi="Times New Roman"/>
          <w:sz w:val="24"/>
        </w:rPr>
        <w:lastRenderedPageBreak/>
        <w:t>或变更的，基金管理人提前公告后，可直接对本部分内容进行修改和调整，无需召开基金份额持有人大会审议。</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（三）基金合同解除和终止的事由、程序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、《基金合同》的终止事由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）《基金合同》约定的其他情形；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）相关法律法规和中国证监会规定的其他情况。</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、基金财产的清算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）《基金合同》终止情形出现时，由基金财产清算小组统一接管基金财产；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）对基金财产和债权债务进行清理和确认；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）对基金财产进行估值和变现；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）制作清算报告；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）将清算报告报中国证监会备案并公告；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）对基金剩余财产进行分配。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、清算费用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、基金财产清算剩余资产的分配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、基金财产清算的公告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、基金财产清算账册及文件的保存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（四）争议解决方式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《基金合同》受中国法律管辖。</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（五）基金合同存放及投资者取得基金合同的方式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《基金合同》正本一式六份，除上报有关监管机构一式二份外，基金管理人、基金托管人各持有二份，每份具有同等的法律效力。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《基金合同》可印制成册，供投资者在基金管理人、基金托管人、销售机构的办公场所和营业场所查阅。</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23" w:name="_Toc57389347"/>
      <w:r>
        <w:rPr>
          <w:rFonts w:ascii="Times New Roman" w:hAnsi="Times New Roman"/>
          <w:sz w:val="30"/>
        </w:rPr>
        <w:lastRenderedPageBreak/>
        <w:t>二十、托管协议的内容摘要</w:t>
      </w:r>
      <w:bookmarkEnd w:id="23"/>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成立日期：</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[2005]128</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名称：中国农业银行股份有限公司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注册地址：北京市东城区建国门内大街</w:t>
      </w:r>
      <w:r>
        <w:rPr>
          <w:rFonts w:ascii="Times New Roman" w:hAnsi="Times New Roman"/>
          <w:sz w:val="24"/>
        </w:rPr>
        <w:t>69</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号凯晨世贸中心东座九层</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100031</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2009</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15</w:t>
      </w:r>
      <w:r>
        <w:rPr>
          <w:rFonts w:ascii="Times New Roman" w:hAnsi="Times New Roman"/>
          <w:sz w:val="24"/>
        </w:rPr>
        <w:t>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基金托管资格批准文号：中国证监会证监基字</w:t>
      </w:r>
      <w:r>
        <w:rPr>
          <w:rFonts w:ascii="Times New Roman" w:hAnsi="Times New Roman"/>
          <w:sz w:val="24"/>
        </w:rPr>
        <w:t>[1998]23</w:t>
      </w:r>
      <w:r>
        <w:rPr>
          <w:rFonts w:ascii="Times New Roman" w:hAnsi="Times New Roman"/>
          <w:sz w:val="24"/>
        </w:rPr>
        <w:t>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34,998,303.4</w:t>
      </w:r>
      <w:r>
        <w:rPr>
          <w:rFonts w:ascii="Times New Roman" w:hAnsi="Times New Roman"/>
          <w:sz w:val="24"/>
        </w:rPr>
        <w:t>万元人民币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w:t>
      </w:r>
      <w:r>
        <w:rPr>
          <w:rFonts w:ascii="Times New Roman" w:hAnsi="Times New Roman"/>
          <w:sz w:val="24"/>
        </w:rPr>
        <w:lastRenderedPageBreak/>
        <w:t>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本基金的投资范围为具有良好流动性的金融工具，包括国内依法发行上市的股票（含中小板、创业板及其他经中国证监会核准上市的股票</w:t>
      </w:r>
      <w:r w:rsidR="0079478B" w:rsidRPr="00B0674C">
        <w:rPr>
          <w:rFonts w:ascii="宋体" w:hAnsi="宋体" w:hint="eastAsia"/>
          <w:bCs/>
          <w:sz w:val="24"/>
          <w:szCs w:val="24"/>
        </w:rPr>
        <w:t>、存托凭证</w:t>
      </w:r>
      <w:r>
        <w:rPr>
          <w:rFonts w:ascii="Times New Roman" w:hAnsi="Times New Roman"/>
          <w:sz w:val="24"/>
        </w:rPr>
        <w:t>）、港股通标的股票、债券、中期票据、货币市场工具、权证、资产支持证券、股指期货以及法律法规或中国证监会允许基金投资的其他金融工具（但须符合中国证监会相关规定）。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基金的投资组合比例为：股票资产</w:t>
      </w:r>
      <w:r w:rsidR="0079478B" w:rsidRPr="00B0674C">
        <w:rPr>
          <w:rFonts w:ascii="宋体" w:hAnsi="宋体" w:hint="eastAsia"/>
          <w:bCs/>
          <w:sz w:val="24"/>
          <w:szCs w:val="24"/>
        </w:rPr>
        <w:t>（</w:t>
      </w:r>
      <w:r w:rsidR="0079478B" w:rsidRPr="00B0674C">
        <w:rPr>
          <w:rFonts w:ascii="宋体" w:hAnsi="宋体"/>
          <w:bCs/>
          <w:sz w:val="24"/>
          <w:szCs w:val="24"/>
        </w:rPr>
        <w:t>含存托凭证</w:t>
      </w:r>
      <w:r w:rsidR="0079478B" w:rsidRPr="00B0674C">
        <w:rPr>
          <w:rFonts w:ascii="宋体" w:hAnsi="宋体" w:hint="eastAsia"/>
          <w:bCs/>
          <w:sz w:val="24"/>
          <w:szCs w:val="24"/>
        </w:rPr>
        <w:t>）</w:t>
      </w:r>
      <w:r>
        <w:rPr>
          <w:rFonts w:ascii="Times New Roman" w:hAnsi="Times New Roman"/>
          <w:sz w:val="24"/>
        </w:rPr>
        <w:t>占基金资产的</w:t>
      </w:r>
      <w:r>
        <w:rPr>
          <w:rFonts w:ascii="Times New Roman" w:hAnsi="Times New Roman"/>
          <w:sz w:val="24"/>
        </w:rPr>
        <w:t>0%-95%</w:t>
      </w:r>
      <w:r>
        <w:rPr>
          <w:rFonts w:ascii="Times New Roman" w:hAnsi="Times New Roman"/>
          <w:sz w:val="24"/>
        </w:rPr>
        <w:t>（其中，投资于国内依法发行上市的股票的比例占基金资产的</w:t>
      </w:r>
      <w:r>
        <w:rPr>
          <w:rFonts w:ascii="Times New Roman" w:hAnsi="Times New Roman"/>
          <w:sz w:val="24"/>
        </w:rPr>
        <w:t>0-95%</w:t>
      </w:r>
      <w:r>
        <w:rPr>
          <w:rFonts w:ascii="Times New Roman" w:hAnsi="Times New Roman"/>
          <w:sz w:val="24"/>
        </w:rPr>
        <w:t>，投资于港股通标的股票的比例占基金资产的</w:t>
      </w:r>
      <w:r>
        <w:rPr>
          <w:rFonts w:ascii="Times New Roman" w:hAnsi="Times New Roman"/>
          <w:sz w:val="24"/>
        </w:rPr>
        <w:t>0-95%</w:t>
      </w:r>
      <w:r>
        <w:rPr>
          <w:rFonts w:ascii="Times New Roman" w:hAnsi="Times New Roman"/>
          <w:sz w:val="24"/>
        </w:rPr>
        <w:t>），其中投资于沪港深价值型相关证券的比例不低于非现金基金资产的</w:t>
      </w:r>
      <w:r>
        <w:rPr>
          <w:rFonts w:ascii="Times New Roman" w:hAnsi="Times New Roman"/>
          <w:sz w:val="24"/>
        </w:rPr>
        <w:t>80%</w:t>
      </w:r>
      <w:r>
        <w:rPr>
          <w:rFonts w:ascii="Times New Roman" w:hAnsi="Times New Roman"/>
          <w:sz w:val="24"/>
        </w:rPr>
        <w:t>，每个交易日日终在扣除股指期货合约需缴纳的保证金后，基金保留的现金或者投资于到期日在一年以内的政府债券的比例合计不低于基金资产净值的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、基金托管人根据有关法律法规的规定及基金合同的约定，对基金投资、融资比例进行监督。基金托管人按下述比例和调整期限进行监督：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）本基金持有一家公司发行的证券（同一家公司在境内和香港同时上市的</w:t>
      </w:r>
      <w:r>
        <w:rPr>
          <w:rFonts w:ascii="Times New Roman" w:hAnsi="Times New Roman"/>
          <w:sz w:val="24"/>
        </w:rPr>
        <w:t xml:space="preserve">A+H </w:t>
      </w:r>
      <w:r>
        <w:rPr>
          <w:rFonts w:ascii="Times New Roman" w:hAnsi="Times New Roman"/>
          <w:sz w:val="24"/>
        </w:rPr>
        <w:t>股合计计算），其市值不超过基金资产净值的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）本基金与本基金管理人管理的、且由本基金托管人托管的其他基金持有一家公司发行的证券（同一家公司在境内和香港同时上市的</w:t>
      </w:r>
      <w:r>
        <w:rPr>
          <w:rFonts w:ascii="Times New Roman" w:hAnsi="Times New Roman"/>
          <w:sz w:val="24"/>
        </w:rPr>
        <w:t xml:space="preserve">A+H </w:t>
      </w:r>
      <w:r>
        <w:rPr>
          <w:rFonts w:ascii="Times New Roman" w:hAnsi="Times New Roman"/>
          <w:sz w:val="24"/>
        </w:rPr>
        <w:t>股合计计算），其市值不超过该证券的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；本基金在全国银行间同业市场中的债券回购最长期限为</w:t>
      </w:r>
      <w:r>
        <w:rPr>
          <w:rFonts w:ascii="Times New Roman" w:hAnsi="Times New Roman"/>
          <w:sz w:val="24"/>
        </w:rPr>
        <w:t>1</w:t>
      </w:r>
      <w:r>
        <w:rPr>
          <w:rFonts w:ascii="Times New Roman" w:hAnsi="Times New Roman"/>
          <w:sz w:val="24"/>
        </w:rPr>
        <w:t>年，债券回购到期后不得展期。本基金的基金资产总值不得超过基金资产净值的</w:t>
      </w:r>
      <w:r>
        <w:rPr>
          <w:rFonts w:ascii="Times New Roman" w:hAnsi="Times New Roman"/>
          <w:sz w:val="24"/>
        </w:rPr>
        <w:t>140%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基金财产参与股票发行申购，本基金所申报的金额不超过本基金的总资产，本基金所申报的股票数量不超过拟发行股票公司本次发行股票的总量；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）本基金在任何交易日买入权证的总金额，不得超过上一交易日基金资产净值的</w:t>
      </w:r>
      <w:r>
        <w:rPr>
          <w:rFonts w:ascii="Times New Roman" w:hAnsi="Times New Roman"/>
          <w:sz w:val="24"/>
        </w:rPr>
        <w:t>0.5%</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；本基金与本基金管理人管理的、且由本基金托管人托管的其他基金持有的同一权证，不得超过该权证的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；本基金管理人管理的、且由本基金托管人托管的全部基金投资于同一原始权益人的各类资产支持证券，不得超过其各类资产支持证券合计规模的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）本基金持有的同一流通受限证券，其公允价值不得超过基金资产净值的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）股票资产</w:t>
      </w:r>
      <w:r w:rsidR="0079478B" w:rsidRPr="00B0674C">
        <w:rPr>
          <w:rFonts w:ascii="宋体" w:hAnsi="宋体" w:hint="eastAsia"/>
          <w:bCs/>
          <w:sz w:val="24"/>
          <w:szCs w:val="24"/>
        </w:rPr>
        <w:t>（</w:t>
      </w:r>
      <w:r w:rsidR="0079478B" w:rsidRPr="00B0674C">
        <w:rPr>
          <w:rFonts w:ascii="宋体" w:hAnsi="宋体"/>
          <w:bCs/>
          <w:sz w:val="24"/>
          <w:szCs w:val="24"/>
        </w:rPr>
        <w:t>含存托凭证</w:t>
      </w:r>
      <w:r w:rsidR="0079478B" w:rsidRPr="00B0674C">
        <w:rPr>
          <w:rFonts w:ascii="宋体" w:hAnsi="宋体" w:hint="eastAsia"/>
          <w:bCs/>
          <w:sz w:val="24"/>
          <w:szCs w:val="24"/>
        </w:rPr>
        <w:t>）</w:t>
      </w:r>
      <w:r>
        <w:rPr>
          <w:rFonts w:ascii="Times New Roman" w:hAnsi="Times New Roman"/>
          <w:sz w:val="24"/>
        </w:rPr>
        <w:t>占基金资产的</w:t>
      </w:r>
      <w:r>
        <w:rPr>
          <w:rFonts w:ascii="Times New Roman" w:hAnsi="Times New Roman"/>
          <w:sz w:val="24"/>
        </w:rPr>
        <w:t>0%-95%</w:t>
      </w:r>
      <w:r>
        <w:rPr>
          <w:rFonts w:ascii="Times New Roman" w:hAnsi="Times New Roman"/>
          <w:sz w:val="24"/>
        </w:rPr>
        <w:t>（其中，投资于国内依法发行上市的股票的比例占基金资产的</w:t>
      </w:r>
      <w:r>
        <w:rPr>
          <w:rFonts w:ascii="Times New Roman" w:hAnsi="Times New Roman"/>
          <w:sz w:val="24"/>
        </w:rPr>
        <w:t>0-95%</w:t>
      </w:r>
      <w:r>
        <w:rPr>
          <w:rFonts w:ascii="Times New Roman" w:hAnsi="Times New Roman"/>
          <w:sz w:val="24"/>
        </w:rPr>
        <w:t>，投资于港股通标的股票的比例占基金资产的</w:t>
      </w:r>
      <w:r>
        <w:rPr>
          <w:rFonts w:ascii="Times New Roman" w:hAnsi="Times New Roman"/>
          <w:sz w:val="24"/>
        </w:rPr>
        <w:t>0-95%</w:t>
      </w:r>
      <w:r>
        <w:rPr>
          <w:rFonts w:ascii="Times New Roman" w:hAnsi="Times New Roman"/>
          <w:sz w:val="24"/>
        </w:rPr>
        <w:t>），其中投资于沪港深价值型相关证券的比例不低于非现金基金资产的</w:t>
      </w:r>
      <w:r>
        <w:rPr>
          <w:rFonts w:ascii="Times New Roman" w:hAnsi="Times New Roman"/>
          <w:sz w:val="24"/>
        </w:rPr>
        <w:t>80%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每个交易日日终在扣除股指期货合约需缴纳的保证金后，基金保留的现金或者</w:t>
      </w:r>
      <w:r>
        <w:rPr>
          <w:rFonts w:ascii="Times New Roman" w:hAnsi="Times New Roman"/>
          <w:sz w:val="24"/>
        </w:rPr>
        <w:lastRenderedPageBreak/>
        <w:t>投资于到期日在一年以内的政府债券的比例合计不低于基金资产净值的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）本基金若投资股指期货，则：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）本基金在任何交易日日终，持有的买入股指期货合约价值，不得超过基金资产净值的</w:t>
      </w:r>
      <w:r>
        <w:rPr>
          <w:rFonts w:ascii="Times New Roman" w:hAnsi="Times New Roman"/>
          <w:sz w:val="24"/>
        </w:rPr>
        <w:t>10%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）本基金在任何交易日日终，持有的买入期货合约价值与有价证券市值之和，不得超过基金资产净值的</w:t>
      </w:r>
      <w:r>
        <w:rPr>
          <w:rFonts w:ascii="Times New Roman" w:hAnsi="Times New Roman"/>
          <w:sz w:val="24"/>
        </w:rPr>
        <w:t>95%</w:t>
      </w:r>
      <w:r>
        <w:rPr>
          <w:rFonts w:ascii="Times New Roman" w:hAnsi="Times New Roman"/>
          <w:sz w:val="24"/>
        </w:rPr>
        <w:t>。其中，有价证券指股票、债券（不含到期日在一年以内的政府债券）、权证、资产支持证券、买入返售金融资产（不含质押式回购）等；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）本基金在任何交易日日终，持有的卖出期货合约价值不得超过基金持有的股票总市值的</w:t>
      </w:r>
      <w:r>
        <w:rPr>
          <w:rFonts w:ascii="Times New Roman" w:hAnsi="Times New Roman"/>
          <w:sz w:val="24"/>
        </w:rPr>
        <w:t>20%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）本基金所持有的股票市值和买入、卖出股指期货合约价值，合计（轧差计算）应当符合基金合同关于股票投资比例的有关约定；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）本基金在任何交易日内交易（不包括平仓）的股指期货合约的成交金额不得超过上一交易日基金资产净值的</w:t>
      </w:r>
      <w:r>
        <w:rPr>
          <w:rFonts w:ascii="Times New Roman" w:hAnsi="Times New Roman"/>
          <w:sz w:val="24"/>
        </w:rPr>
        <w:t>20%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）本基金管理人管理的、且由本基金托管人托管的全部开放式基金（包括开放式基金以及处于开放期的定期开放基金）持有一家上市公司发行的可流通股票，不得超过该上市公司可流通股票的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；本基金管理人管理的、且由本基金托管人托管的全部投资组合持有一家上市公司发行的可流通股票，不得超过该上市公司可流通股票的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rsidR="0079478B" w:rsidRPr="00B0674C" w:rsidRDefault="0087043D" w:rsidP="0079478B">
      <w:pPr>
        <w:adjustRightInd w:val="0"/>
        <w:snapToGrid w:val="0"/>
        <w:spacing w:line="360" w:lineRule="auto"/>
        <w:ind w:firstLineChars="200" w:firstLine="480"/>
        <w:rPr>
          <w:rFonts w:ascii="宋体" w:hAnsi="宋体"/>
          <w:bCs/>
          <w:sz w:val="24"/>
          <w:szCs w:val="24"/>
        </w:rPr>
      </w:pPr>
      <w:r>
        <w:rPr>
          <w:rFonts w:ascii="Times New Roman" w:hAnsi="Times New Roman"/>
          <w:sz w:val="24"/>
        </w:rPr>
        <w:t>（</w:t>
      </w:r>
      <w:r>
        <w:rPr>
          <w:rFonts w:ascii="Times New Roman" w:hAnsi="Times New Roman"/>
          <w:sz w:val="24"/>
        </w:rPr>
        <w:t>14</w:t>
      </w:r>
      <w:r>
        <w:rPr>
          <w:rFonts w:ascii="Times New Roman" w:hAnsi="Times New Roman"/>
          <w:sz w:val="24"/>
        </w:rPr>
        <w:t>）</w:t>
      </w:r>
      <w:r w:rsidR="0079478B" w:rsidRPr="00B0674C">
        <w:rPr>
          <w:rFonts w:ascii="宋体" w:hAnsi="宋体" w:hint="eastAsia"/>
          <w:bCs/>
          <w:sz w:val="24"/>
          <w:szCs w:val="24"/>
        </w:rPr>
        <w:t>本基金投资存托凭证的比例限制依照境内上市交易的股票执行；</w:t>
      </w:r>
    </w:p>
    <w:p w:rsidR="005232A3" w:rsidRDefault="0079478B" w:rsidP="0079478B">
      <w:pPr>
        <w:autoSpaceDE w:val="0"/>
        <w:autoSpaceDN w:val="0"/>
        <w:adjustRightInd w:val="0"/>
        <w:snapToGrid w:val="0"/>
        <w:spacing w:line="360" w:lineRule="auto"/>
        <w:ind w:firstLineChars="200" w:firstLine="480"/>
        <w:rPr>
          <w:rFonts w:ascii="宋体" w:hAnsi="宋体"/>
          <w:szCs w:val="24"/>
        </w:rPr>
      </w:pPr>
      <w:r w:rsidRPr="003D603E">
        <w:rPr>
          <w:rFonts w:ascii="宋体" w:hAnsi="宋体" w:hint="eastAsia"/>
          <w:sz w:val="24"/>
          <w:szCs w:val="24"/>
        </w:rPr>
        <w:t>（1</w:t>
      </w:r>
      <w:r>
        <w:rPr>
          <w:rFonts w:ascii="宋体" w:hAnsi="宋体"/>
          <w:sz w:val="24"/>
          <w:szCs w:val="24"/>
        </w:rPr>
        <w:t>5</w:t>
      </w:r>
      <w:r w:rsidRPr="003D603E">
        <w:rPr>
          <w:rFonts w:ascii="宋体" w:hAnsi="宋体" w:hint="eastAsia"/>
          <w:sz w:val="24"/>
          <w:szCs w:val="24"/>
        </w:rPr>
        <w:t>）</w:t>
      </w:r>
      <w:r w:rsidR="0087043D">
        <w:rPr>
          <w:rFonts w:ascii="Times New Roman" w:hAnsi="Times New Roman"/>
          <w:sz w:val="24"/>
        </w:rPr>
        <w:t>法律法规及中国证监会规定的和《基金合同》约定的其他投资限制。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w:t>
      </w:r>
      <w:r>
        <w:rPr>
          <w:rFonts w:ascii="Times New Roman" w:hAnsi="Times New Roman"/>
          <w:sz w:val="24"/>
        </w:rPr>
        <w:lastRenderedPageBreak/>
        <w:t>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6</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13</w:t>
      </w:r>
      <w:r>
        <w:rPr>
          <w:rFonts w:ascii="Times New Roman" w:hAnsi="Times New Roman"/>
          <w:sz w:val="24"/>
        </w:rPr>
        <w:t>）项及第（</w:t>
      </w:r>
      <w:r>
        <w:rPr>
          <w:rFonts w:ascii="Times New Roman" w:hAnsi="Times New Roman"/>
          <w:sz w:val="24"/>
        </w:rPr>
        <w:t>9</w:t>
      </w:r>
      <w:r>
        <w:rPr>
          <w:rFonts w:ascii="Times New Roman" w:hAnsi="Times New Roman"/>
          <w:sz w:val="24"/>
        </w:rPr>
        <w:t>）项第二款外，因证券、期货市场波动、证券发行人合并或基金规模变动等基金管理人之外的因素致使基金投资比例不符合上述规定投资比例的，基金管理人应当在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、基金托管人根据有关法律法规的规定及基金合同的约定，对本协议第十五条第九项基金投资禁止行为进行监督。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w:t>
      </w:r>
      <w:r>
        <w:rPr>
          <w:rFonts w:ascii="Times New Roman" w:hAnsi="Times New Roman"/>
          <w:sz w:val="24"/>
        </w:rPr>
        <w:lastRenderedPageBreak/>
        <w:t>每半年对银行间债券市场交易对手名单进行更新，如基金管理人根据市场情况需要临时调整银行间债券市场交易对手名单，应向基金托管人说明理由，在与交易对手发生交易前</w:t>
      </w:r>
      <w:r>
        <w:rPr>
          <w:rFonts w:ascii="Times New Roman" w:hAnsi="Times New Roman"/>
          <w:sz w:val="24"/>
        </w:rPr>
        <w:t>2</w:t>
      </w:r>
      <w:r>
        <w:rPr>
          <w:rFonts w:ascii="Times New Roman" w:hAnsi="Times New Roman"/>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、基金托管人根据有关法律法规的规定及基金合同的约定，对基金管理人选择存款银行进行监督。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基金投资银行定期存款的，基金管理人应根据法律法规的规定及基金合同的约定选择存款银行。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）基金托管人应加强对基金银行存款业务的监督与核查，严格审查、复核相关协议、账户资料、投资指令、存款证实书等有关文件，切实履行托管职责。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基金托管人发现基金管理人在选择存款银行时有违反有关法律法规的规定及基金合同的约定的行为，应及时以书面形式通知基金管理人在</w:t>
      </w:r>
      <w:r>
        <w:rPr>
          <w:rFonts w:ascii="Times New Roman" w:hAnsi="Times New Roman"/>
          <w:sz w:val="24"/>
        </w:rPr>
        <w:t>10</w:t>
      </w:r>
      <w:r>
        <w:rPr>
          <w:rFonts w:ascii="Times New Roman" w:hAnsi="Times New Roman"/>
          <w:sz w:val="24"/>
        </w:rPr>
        <w:t>个工作日内纠正。基金管理人对基金托管人通知的违规事项未能在</w:t>
      </w:r>
      <w:r>
        <w:rPr>
          <w:rFonts w:ascii="Times New Roman" w:hAnsi="Times New Roman"/>
          <w:sz w:val="24"/>
        </w:rPr>
        <w:t>10</w:t>
      </w:r>
      <w:r>
        <w:rPr>
          <w:rFonts w:ascii="Times New Roman" w:hAnsi="Times New Roman"/>
          <w:sz w:val="24"/>
        </w:rPr>
        <w:t>个工作日内纠正的，基金托管人应报告中国证监会。基金托管人发现基金管理人有重大违规行为，应立即报告中国证监会，同时通知基金管理人在</w:t>
      </w:r>
      <w:r>
        <w:rPr>
          <w:rFonts w:ascii="Times New Roman" w:hAnsi="Times New Roman"/>
          <w:sz w:val="24"/>
        </w:rPr>
        <w:t>10</w:t>
      </w:r>
      <w:r>
        <w:rPr>
          <w:rFonts w:ascii="Times New Roman" w:hAnsi="Times New Roman"/>
          <w:sz w:val="24"/>
        </w:rPr>
        <w:t>个工作日内纠正或拒绝结算。</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如果基金管理人未经基金托管人的审核擅自将不实的业绩表现数据印制在宣传</w:t>
      </w:r>
      <w:r>
        <w:rPr>
          <w:rFonts w:ascii="Times New Roman" w:hAnsi="Times New Roman"/>
          <w:sz w:val="24"/>
        </w:rPr>
        <w:lastRenderedPageBreak/>
        <w:t>推介材料上，则基金托管人对此不承担任何责任，并将在发现后立即报告中国证监会。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、基金托管人根据有关法律法规的规定及基金合同的约定，对基金投资流通受限证券进行监督。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）基金投资流通受限证券，应遵守《关于基金投资非公开发行股票等流通受限证券有关问题的通知》等有关法律法规规定。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）在投资流通受限证券之前，基金管理人应至少提前一个交易日向基金托管人提供有关非公开定向增发流通受限证券的相关信息，具体应当包括但不限于如下文件（如有）：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）基金管理人应保证基金投资的流通受限证券登记存管在本基金名下，并</w:t>
      </w:r>
      <w:r>
        <w:rPr>
          <w:rFonts w:ascii="Times New Roman" w:hAnsi="Times New Roman"/>
          <w:sz w:val="24"/>
        </w:rPr>
        <w:lastRenderedPageBreak/>
        <w:t>保证基金托管人能够正常查询。因基金管理人原因产生的流通受限证券登记存管问题，造成基金财产的损失或基金托管人无法安全保管基金财产的责任与损失，由基金管理人承担。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ascii="Times New Roman" w:hAnsi="Times New Roman"/>
          <w:sz w:val="24"/>
        </w:rPr>
        <w:t>,</w:t>
      </w:r>
      <w:r>
        <w:rPr>
          <w:rFonts w:ascii="Times New Roman" w:hAnsi="Times New Roman"/>
          <w:sz w:val="24"/>
        </w:rPr>
        <w:t>基金托管人有权随时对通知事项进行复查</w:t>
      </w:r>
      <w:r>
        <w:rPr>
          <w:rFonts w:ascii="Times New Roman" w:hAnsi="Times New Roman"/>
          <w:sz w:val="24"/>
        </w:rPr>
        <w:t xml:space="preserve">, </w:t>
      </w:r>
      <w:r>
        <w:rPr>
          <w:rFonts w:ascii="Times New Roman" w:hAnsi="Times New Roman"/>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w:t>
      </w:r>
      <w:r>
        <w:rPr>
          <w:rFonts w:ascii="Times New Roman" w:hAnsi="Times New Roman"/>
          <w:sz w:val="24"/>
        </w:rPr>
        <w:lastRenderedPageBreak/>
        <w:t>告中国证监会。</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（四）基金财产保管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）基金托管人应安全保管基金财产。未经基金管理人依据合法程序作出的合法合规指令，基金托管人不得自行运用、处分、分配基金的任何财产。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）基金托管人按照规定开设基金财产的资金账户和证券账户，协助开立股指期货业务相关账户及交易编码。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w:t>
      </w:r>
      <w:r>
        <w:rPr>
          <w:rFonts w:ascii="Times New Roman" w:hAnsi="Times New Roman"/>
          <w:sz w:val="24"/>
        </w:rPr>
        <w:lastRenderedPageBreak/>
        <w:t>基金财产，如有特殊情况双方可另行协商解决。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）除依据法律法规和基金合同的规定外，基金托管人不得委托第三人托管基金财产。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、基金募集期间及募集资金的验资</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）基金募集期间的认购款项应存于专用账户。该账户由基金管理人或基金管理人委托的登记机构开立并管理。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Pr>
          <w:rFonts w:ascii="Times New Roman" w:hAnsi="Times New Roman"/>
          <w:sz w:val="24"/>
        </w:rPr>
        <w:t>2</w:t>
      </w:r>
      <w:r>
        <w:rPr>
          <w:rFonts w:ascii="Times New Roman" w:hAnsi="Times New Roman"/>
          <w:sz w:val="24"/>
        </w:rPr>
        <w:t>名或</w:t>
      </w:r>
      <w:r>
        <w:rPr>
          <w:rFonts w:ascii="Times New Roman" w:hAnsi="Times New Roman"/>
          <w:sz w:val="24"/>
        </w:rPr>
        <w:t>2</w:t>
      </w:r>
      <w:r>
        <w:rPr>
          <w:rFonts w:ascii="Times New Roman" w:hAnsi="Times New Roman"/>
          <w:sz w:val="24"/>
        </w:rPr>
        <w:t>名以上中国注册会计师签字方为有效。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）若基金募集期限届满，未能达到基金备案的条件，由基金管理人按规定办理退款等事宜，基金托管人应提供充分协助。</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、基金资金账户的开立和管理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）基金托管人应负责本基金的资金账户的开设和管理。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）基金托管资金账户的开立和管理应符合相关法律法规的有关规定。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）在符合法律法规规定的条件下，基金托管人可以通过基金托管人专用账户办理基金资产的支付。</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、基金证券账户和结算备付金账户的开立和管理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）基金托管人在中国证券登记结算有限责任公司上海分公司、深圳分公司为本基金开立基金托管人与基金联名的证券账户。</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）基金证券账户的开立和证券账户卡的保管由基金托管人负责，账户资产的管理和运用由基金管理人负责。</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、债券托管专户的开设和管理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、其他账户的开立和管理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）因业务发展需要而开立的其他账户，可以根据法律法规和基金合同的规定，在基金管理人和基金托管人商议后开立。新账户按有关规则使用并管理。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）法律法规等有关规定对相关账户的开立和管理另有规定的，从其规定办理。</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、基金财产投资的有关有价凭证等的保管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w:t>
      </w:r>
      <w:r>
        <w:rPr>
          <w:rFonts w:ascii="Times New Roman" w:hAnsi="Times New Roman"/>
          <w:sz w:val="24"/>
        </w:rPr>
        <w:lastRenderedPageBreak/>
        <w:t>基金托管人以外机构实际有效控制的证券不承担保管责任。</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ascii="Times New Roman" w:hAnsi="Times New Roman"/>
          <w:sz w:val="24"/>
        </w:rPr>
        <w:t>15</w:t>
      </w:r>
      <w:r>
        <w:rPr>
          <w:rFonts w:ascii="Times New Roman" w:hAnsi="Times New Roman"/>
          <w:sz w:val="24"/>
        </w:rPr>
        <w:t>年。</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（五）基金资产净值计算与复核</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基金份额净值是指计算日基金资产净值除以计算日基金份额总数后得到的数值。基金份额净值的计算，精确到</w:t>
      </w:r>
      <w:r>
        <w:rPr>
          <w:rFonts w:ascii="Times New Roman" w:hAnsi="Times New Roman"/>
          <w:sz w:val="24"/>
        </w:rPr>
        <w:t>0.001</w:t>
      </w:r>
      <w:r>
        <w:rPr>
          <w:rFonts w:ascii="Times New Roman" w:hAnsi="Times New Roman"/>
          <w:sz w:val="24"/>
        </w:rPr>
        <w:t>元，小数点后第四位四舍五入，由此产生的误差计入基金财产。国家另有规定的，从其规定。</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基金管理人于每工作日计算基金资产净值及基金份额净值，并按规定公告，但根据法律法规或基金合同的规定暂停估值时除外。</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、复核程序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（六）基金份额持有人名册的登记与保管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日的基金份额持有人名册。基金份额持有人名册的内容至少应包括持有人的名称和持有的基金份额。</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基金管理人应及时向基金托管人提交基金份额持有人名册。每年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日和</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基金管理人和基金托管人应妥善保管基金份额持有人名册，保存期限为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本协议适用中华人民共和国法律并从其解释。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本协议双方当事人经协商一致，可以对协议进行修改。修改后的新协议，其内容不得与基金合同的规定有任何冲突。基金托管协议的变更应报中国证监会备案。</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）发生法律法规、中国证监会或基金合同规定的其他终止事项。</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24" w:name="_Toc57389348"/>
      <w:r>
        <w:rPr>
          <w:rFonts w:ascii="Times New Roman" w:hAnsi="Times New Roman"/>
          <w:sz w:val="30"/>
        </w:rPr>
        <w:lastRenderedPageBreak/>
        <w:t>二十一、对基金份额持有人的服务</w:t>
      </w:r>
      <w:bookmarkEnd w:id="24"/>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已开通基金网上直销服务，个人投资者可以直接通过本基金管理人的网上直销交易平台办理开户和本基金基金份额的申购、赎回、定期定额投资等业务。通过网上直销交易平台办理本基金申购和定期定额投资业务的个人投资者将享受申购费率的优惠。具体优惠费率请参见公司网站列示的网上直销交易平台申购、定期定额投资费率表或相关公告。基金网上直销交易平台已开通的银行卡及各银行卡交易金额限额请参阅本基金管理人网站。</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在条件成熟的时候，本基金管理人将根据基金网上直销业务的发展状况，适时调整可用于网上直销交易平台的银行卡种类，敬请投资人留意相关公告。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投资人如果想查询申购和赎回等交易情况、分红方式状态、基金账户余额、基金产品与服务等信息，请拨打本基金管理人客户服务电话（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投资人可以拨打本基金管理人客户服务电话投诉直销机构的人员和服务。</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（四）基金转换业务</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在条件成熟时，本基金管理人可通过销售机构为投资人提供基金转换业务服务，具体实施方法另行公告。</w:t>
      </w:r>
    </w:p>
    <w:p w:rsidR="005232A3" w:rsidRDefault="0087043D">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本基金已开通定期定额投资计划，具体实施方法请参见相关公告。</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25" w:name="_Toc57389349"/>
      <w:r>
        <w:rPr>
          <w:rFonts w:ascii="Times New Roman" w:hAnsi="Times New Roman"/>
          <w:sz w:val="30"/>
        </w:rPr>
        <w:lastRenderedPageBreak/>
        <w:t>二十二、其他应披露事项</w:t>
      </w:r>
      <w:bookmarkEnd w:id="25"/>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2019-11-21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2019-11-21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2019-11-21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2019-11-21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关于旗下部分基金于</w:t>
            </w:r>
            <w:r>
              <w:rPr>
                <w:rFonts w:ascii="Times New Roman" w:hAnsi="Times New Roman"/>
                <w:color w:val="000000"/>
                <w:kern w:val="0"/>
                <w:sz w:val="25"/>
                <w:szCs w:val="24"/>
              </w:rPr>
              <w:t>2019</w:t>
            </w:r>
            <w:r>
              <w:rPr>
                <w:rFonts w:ascii="Times New Roman" w:hAnsi="Times New Roman"/>
                <w:color w:val="000000"/>
                <w:kern w:val="0"/>
                <w:sz w:val="25"/>
                <w:szCs w:val="24"/>
              </w:rPr>
              <w:t>年底及</w:t>
            </w:r>
            <w:r>
              <w:rPr>
                <w:rFonts w:ascii="Times New Roman" w:hAnsi="Times New Roman"/>
                <w:color w:val="000000"/>
                <w:kern w:val="0"/>
                <w:sz w:val="25"/>
                <w:szCs w:val="24"/>
              </w:rPr>
              <w:t>2020</w:t>
            </w:r>
            <w:r>
              <w:rPr>
                <w:rFonts w:ascii="Times New Roman" w:hAnsi="Times New Roman"/>
                <w:color w:val="000000"/>
                <w:kern w:val="0"/>
                <w:sz w:val="25"/>
                <w:szCs w:val="24"/>
              </w:rPr>
              <w:t>年非港股通交易日暂停基金交易业务的提示性公告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2019-12-24</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rsidR="005232A3">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5232A3">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5232A3">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25</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交银施罗德沪港深价值精选灵活配置混合型证券投资基金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5232A3" w:rsidRDefault="0087043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bl>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26" w:name="_Toc57389350"/>
      <w:r>
        <w:rPr>
          <w:rFonts w:ascii="Times New Roman" w:hAnsi="Times New Roman"/>
          <w:sz w:val="30"/>
        </w:rPr>
        <w:lastRenderedPageBreak/>
        <w:t>二十三、招募说明书的存放及查阅方式</w:t>
      </w:r>
      <w:bookmarkEnd w:id="26"/>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rsidR="00B439CC" w:rsidRDefault="0087043D"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5232A3" w:rsidRDefault="0087043D">
      <w:pPr>
        <w:pStyle w:val="1"/>
        <w:snapToGrid w:val="0"/>
        <w:spacing w:beforeLines="0" w:before="240" w:after="240"/>
        <w:rPr>
          <w:rFonts w:ascii="宋体" w:hAnsi="宋体"/>
          <w:szCs w:val="30"/>
        </w:rPr>
      </w:pPr>
      <w:bookmarkStart w:id="27" w:name="_Toc57389351"/>
      <w:r>
        <w:rPr>
          <w:rFonts w:ascii="Times New Roman" w:hAnsi="Times New Roman"/>
          <w:sz w:val="30"/>
        </w:rPr>
        <w:lastRenderedPageBreak/>
        <w:t>二十四、备查文件</w:t>
      </w:r>
      <w:bookmarkEnd w:id="27"/>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（一）中国证监会准予交银施罗德沪港深价值精选灵活配置混合型证券投资基金募集注册的文件</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（二）《交银施罗德沪港深价值精选灵活配置混合型证券投资基金基金合同》</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（三）《交银施罗德沪港深价值精选灵活配置混合型证券投资基金托管协议》</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rsidR="005232A3" w:rsidRDefault="0087043D">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（六）关于申请募集注册交银施罗沪港深价值精选灵活配置混合型证券投资基金的法律意见书</w:t>
      </w:r>
    </w:p>
    <w:sectPr w:rsidR="005232A3">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DF1" w:rsidRDefault="00AA3DF1">
      <w:r>
        <w:separator/>
      </w:r>
    </w:p>
  </w:endnote>
  <w:endnote w:type="continuationSeparator" w:id="0">
    <w:p w:rsidR="00AA3DF1" w:rsidRDefault="00AA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A3" w:rsidRDefault="002C640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A3" w:rsidRDefault="0087043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00939">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5232A3" w:rsidRDefault="0087043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00939">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A3" w:rsidRDefault="002C640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2A3" w:rsidRDefault="0087043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00939">
                            <w:rPr>
                              <w:rFonts w:ascii="Times New Roman" w:hAnsi="Times New Roman"/>
                              <w:noProof/>
                              <w:kern w:val="0"/>
                              <w:sz w:val="18"/>
                              <w:szCs w:val="18"/>
                            </w:rPr>
                            <w:t>90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5232A3" w:rsidRDefault="0087043D">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00939">
                      <w:rPr>
                        <w:rFonts w:ascii="Times New Roman" w:hAnsi="Times New Roman"/>
                        <w:noProof/>
                        <w:kern w:val="0"/>
                        <w:sz w:val="18"/>
                        <w:szCs w:val="18"/>
                      </w:rPr>
                      <w:t>90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DF1" w:rsidRDefault="00AA3DF1">
      <w:r>
        <w:separator/>
      </w:r>
    </w:p>
  </w:footnote>
  <w:footnote w:type="continuationSeparator" w:id="0">
    <w:p w:rsidR="00AA3DF1" w:rsidRDefault="00AA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87043D">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5232A3" w:rsidRDefault="0087043D">
    <w:pPr>
      <w:pStyle w:val="a3"/>
      <w:jc w:val="right"/>
      <w:rPr>
        <w:rFonts w:ascii="宋体" w:hAnsi="宋体"/>
      </w:rPr>
    </w:pPr>
    <w:r>
      <w:rPr>
        <w:rFonts w:ascii="宋体" w:hAnsi="宋体" w:hint="eastAsia"/>
      </w:rPr>
      <w:t>交银施罗德沪港深价值精选灵活配置混合型证券投资基金(更新)招募说明书(2020年第1号)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A3" w:rsidRDefault="005232A3">
    <w:pPr>
      <w:pStyle w:val="10"/>
      <w:jc w:val="right"/>
    </w:pPr>
  </w:p>
  <w:p w:rsidR="005232A3" w:rsidRDefault="005232A3">
    <w:pPr>
      <w:pStyle w:val="10"/>
      <w:jc w:val="right"/>
    </w:pPr>
  </w:p>
  <w:p w:rsidR="005232A3" w:rsidRDefault="005232A3">
    <w:pPr>
      <w:pStyle w:val="a3"/>
      <w:jc w:val="right"/>
    </w:pPr>
  </w:p>
  <w:p w:rsidR="009E65D0" w:rsidRDefault="0087043D">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5232A3" w:rsidRDefault="0087043D">
    <w:pPr>
      <w:pStyle w:val="a3"/>
      <w:jc w:val="right"/>
      <w:rPr>
        <w:rFonts w:ascii="宋体" w:hAnsi="宋体"/>
      </w:rPr>
    </w:pPr>
    <w:r>
      <w:rPr>
        <w:rFonts w:ascii="宋体" w:hAnsi="宋体" w:hint="eastAsia"/>
      </w:rPr>
      <w:t>交银施罗德沪港深价值精选灵活配置混合型证券投资基金(更新)招募说明书(2020年第1号)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2A3" w:rsidRDefault="005232A3">
    <w:pPr>
      <w:pStyle w:val="a3"/>
      <w:jc w:val="right"/>
    </w:pPr>
  </w:p>
  <w:p w:rsidR="005232A3" w:rsidRDefault="005232A3">
    <w:pPr>
      <w:pStyle w:val="a3"/>
      <w:jc w:val="right"/>
    </w:pPr>
  </w:p>
  <w:p w:rsidR="005232A3" w:rsidRDefault="005232A3">
    <w:pPr>
      <w:pStyle w:val="a3"/>
      <w:jc w:val="right"/>
    </w:pPr>
  </w:p>
  <w:p w:rsidR="009E65D0" w:rsidRDefault="0087043D">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5232A3" w:rsidRDefault="0087043D">
    <w:pPr>
      <w:pStyle w:val="a3"/>
      <w:jc w:val="right"/>
      <w:rPr>
        <w:rFonts w:ascii="宋体" w:hAnsi="宋体"/>
      </w:rPr>
    </w:pPr>
    <w:r>
      <w:rPr>
        <w:rFonts w:ascii="宋体" w:hAnsi="宋体" w:hint="eastAsia"/>
      </w:rPr>
      <w:t>交银施罗德沪港深价值精选灵活配置混合型证券投资基金(更新)招募说明书(2020年</w:t>
    </w:r>
    <w:r w:rsidR="0079478B">
      <w:rPr>
        <w:rFonts w:ascii="宋体" w:hAnsi="宋体" w:hint="eastAsia"/>
      </w:rPr>
      <w:t>第</w:t>
    </w:r>
    <w:r w:rsidR="0079478B">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C640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5FD"/>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32A3"/>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06B6F"/>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478B"/>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043D"/>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DF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012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39"/>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C132DF-D090-4DDE-9EFD-2DF1C8FF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139</Pages>
  <Words>14470</Words>
  <Characters>82480</Characters>
  <Application>Microsoft Office Word</Application>
  <DocSecurity>0</DocSecurity>
  <Lines>687</Lines>
  <Paragraphs>193</Paragraphs>
  <ScaleCrop>false</ScaleCrop>
  <Company>Microsoft</Company>
  <LinksUpToDate>false</LinksUpToDate>
  <CharactersWithSpaces>96757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喻秋燕</cp:lastModifiedBy>
  <cp:revision>3</cp:revision>
  <cp:lastPrinted>2013-02-18T03:10:00Z</cp:lastPrinted>
  <dcterms:created xsi:type="dcterms:W3CDTF">2020-12-16T08:51:00Z</dcterms:created>
  <dcterms:modified xsi:type="dcterms:W3CDTF">2020-12-16T08:55:00Z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