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503698">
      <w:pPr>
        <w:rPr>
          <w:sz w:val="32"/>
        </w:rPr>
      </w:pPr>
    </w:p>
    <w:p w:rsidR="00C92FC0" w:rsidRPr="00EB07BC" w:rsidRDefault="00503698">
      <w:pPr>
        <w:rPr>
          <w:sz w:val="32"/>
        </w:rPr>
      </w:pPr>
    </w:p>
    <w:p w:rsidR="00C92FC0" w:rsidRPr="00EB07BC" w:rsidRDefault="00503698">
      <w:pPr>
        <w:rPr>
          <w:sz w:val="32"/>
        </w:rPr>
      </w:pPr>
    </w:p>
    <w:p w:rsidR="00C92FC0" w:rsidRPr="00EB07BC" w:rsidRDefault="00A05F48">
      <w:pPr>
        <w:jc w:val="center"/>
        <w:rPr>
          <w:sz w:val="32"/>
        </w:rPr>
      </w:pPr>
      <w:r>
        <w:rPr>
          <w:noProof/>
        </w:rPr>
        <w:drawing>
          <wp:inline distT="0" distB="0" distL="0" distR="0">
            <wp:extent cx="4343400" cy="571500"/>
            <wp:effectExtent l="0" t="0" r="0" b="0"/>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D3765" w:rsidRDefault="007D376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7D3765" w:rsidRDefault="007D376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7D3765" w:rsidRDefault="0059707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交银施罗德定期支付双息平衡混合型证券投资基金</w:t>
      </w:r>
    </w:p>
    <w:p w:rsidR="007D3765" w:rsidRDefault="0059707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7D3765" w:rsidRDefault="0059707E">
      <w:pPr>
        <w:snapToGrid w:val="0"/>
        <w:spacing w:line="360" w:lineRule="auto"/>
        <w:jc w:val="center"/>
        <w:rPr>
          <w:rFonts w:ascii="宋体" w:hAnsi="宋体"/>
          <w:b/>
          <w:sz w:val="30"/>
          <w:szCs w:val="30"/>
        </w:rPr>
      </w:pPr>
      <w:r>
        <w:rPr>
          <w:rFonts w:ascii="Times New Roman" w:hAnsi="Times New Roman"/>
          <w:b/>
          <w:color w:val="000000"/>
          <w:sz w:val="32"/>
          <w:szCs w:val="32"/>
        </w:rPr>
        <w:t>(2020</w:t>
      </w:r>
      <w:r>
        <w:rPr>
          <w:rFonts w:ascii="Times New Roman" w:hAnsi="Times New Roman"/>
          <w:b/>
          <w:color w:val="000000"/>
          <w:sz w:val="32"/>
          <w:szCs w:val="32"/>
        </w:rPr>
        <w:t>年第</w:t>
      </w:r>
      <w:r w:rsidR="00AA345B">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59707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7D3765" w:rsidRDefault="0059707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7D376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3765" w:rsidRDefault="0059707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二〇二〇年</w:t>
      </w:r>
      <w:r w:rsidR="00AA345B">
        <w:rPr>
          <w:rFonts w:ascii="Times New Roman" w:hAnsi="Times New Roman" w:hint="eastAsia"/>
          <w:b/>
          <w:spacing w:val="2"/>
          <w:w w:val="99"/>
          <w:kern w:val="0"/>
          <w:sz w:val="28"/>
          <w:szCs w:val="32"/>
        </w:rPr>
        <w:t>十</w:t>
      </w:r>
      <w:r w:rsidR="00692B5A">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7D3765" w:rsidRDefault="007D3765">
      <w:pPr>
        <w:autoSpaceDE w:val="0"/>
        <w:autoSpaceDN w:val="0"/>
        <w:adjustRightInd w:val="0"/>
        <w:snapToGrid w:val="0"/>
        <w:spacing w:line="360" w:lineRule="auto"/>
        <w:ind w:left="1347" w:rightChars="6" w:right="13"/>
        <w:rPr>
          <w:rFonts w:ascii="宋体" w:hAnsi="宋体"/>
          <w:kern w:val="0"/>
          <w:sz w:val="32"/>
          <w:szCs w:val="32"/>
        </w:rPr>
        <w:sectPr w:rsidR="007D376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7D3765" w:rsidRDefault="0059707E">
      <w:pPr>
        <w:pStyle w:val="1"/>
        <w:snapToGrid w:val="0"/>
        <w:spacing w:beforeLines="0" w:before="240" w:after="240"/>
        <w:rPr>
          <w:rFonts w:ascii="宋体" w:hAnsi="宋体"/>
          <w:kern w:val="0"/>
        </w:rPr>
      </w:pPr>
      <w:bookmarkStart w:id="0" w:name="_Toc324920538"/>
      <w:bookmarkStart w:id="1" w:name="_Toc496884613"/>
      <w:bookmarkStart w:id="2" w:name="_Toc54104432"/>
      <w:r>
        <w:rPr>
          <w:rFonts w:ascii="Times New Roman" w:hAnsi="Times New Roman"/>
          <w:kern w:val="0"/>
        </w:rPr>
        <w:lastRenderedPageBreak/>
        <w:t>重要提示</w:t>
      </w:r>
      <w:bookmarkEnd w:id="0"/>
      <w:bookmarkEnd w:id="1"/>
      <w:bookmarkEnd w:id="2"/>
    </w:p>
    <w:p w:rsidR="007D3765" w:rsidRDefault="005970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交银施罗德定期支付双息平衡混合型证券投资基金（以下简称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753</w:t>
      </w:r>
      <w:r>
        <w:rPr>
          <w:rFonts w:ascii="Times New Roman" w:hAnsi="Times New Roman"/>
          <w:kern w:val="0"/>
          <w:sz w:val="24"/>
        </w:rPr>
        <w:t>号文核准募集。本基金基金合同于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日正式生效。</w:t>
      </w:r>
    </w:p>
    <w:p w:rsidR="007D3765" w:rsidRDefault="005970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7D3765" w:rsidRDefault="005970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7D3765" w:rsidRDefault="005970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市场风险、管理风险、流动性风险、信用风险、本基金投资策略所特有的风险、投资科创板股票的特定风险、本基金定期支付相关的特定风险，例如定期支付不等同于收益分配、年化现金支付比率不代表基金实际投资收益率、定期支付被确认失败的风险、年化现金支付比率发生调整的风险等等。本基金是一只混合型基金，在证券投资基金中属于较高风险的品种，其长期平均风险和预期收益高于货币市场基金和债券型基金，低于股票型基金。</w:t>
      </w:r>
    </w:p>
    <w:p w:rsidR="00AA345B" w:rsidRPr="00AA345B" w:rsidRDefault="0059707E" w:rsidP="00AA345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投资有风险，投资人在投资本基金前应认真阅读本基金的招募说明书和基金合同、基</w:t>
      </w:r>
      <w:r>
        <w:rPr>
          <w:rFonts w:ascii="Times New Roman" w:hAnsi="Times New Roman"/>
          <w:kern w:val="0"/>
          <w:sz w:val="24"/>
        </w:rPr>
        <w:lastRenderedPageBreak/>
        <w:t>金产品资料概要。基金的过往业绩并不代表未来表现。基金管理人管理的其他基金的业绩并不构成对本基金业绩表现的保证。</w:t>
      </w:r>
    </w:p>
    <w:p w:rsidR="00AA345B" w:rsidRPr="00AA345B" w:rsidRDefault="00AA345B" w:rsidP="00AA345B">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AA345B">
        <w:rPr>
          <w:rFonts w:ascii="Times New Roman" w:hAnsi="Times New Roman" w:hint="eastAsia"/>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AA345B">
        <w:rPr>
          <w:rFonts w:ascii="Times New Roman" w:hAnsi="Times New Roman"/>
          <w:bCs/>
          <w:kern w:val="0"/>
          <w:sz w:val="24"/>
        </w:rPr>
        <w:t>“</w:t>
      </w:r>
      <w:r w:rsidRPr="00AA345B">
        <w:rPr>
          <w:rFonts w:ascii="Times New Roman" w:hAnsi="Times New Roman" w:hint="eastAsia"/>
          <w:bCs/>
          <w:kern w:val="0"/>
          <w:sz w:val="24"/>
        </w:rPr>
        <w:t>风险揭示</w:t>
      </w:r>
      <w:r w:rsidRPr="00AA345B">
        <w:rPr>
          <w:rFonts w:ascii="Times New Roman" w:hAnsi="Times New Roman"/>
          <w:bCs/>
          <w:kern w:val="0"/>
          <w:sz w:val="24"/>
        </w:rPr>
        <w:t>”</w:t>
      </w:r>
      <w:r w:rsidRPr="00AA345B">
        <w:rPr>
          <w:rFonts w:ascii="Times New Roman" w:hAnsi="Times New Roman" w:hint="eastAsia"/>
          <w:bCs/>
          <w:kern w:val="0"/>
          <w:sz w:val="24"/>
        </w:rPr>
        <w:t>章节内容。</w:t>
      </w:r>
    </w:p>
    <w:p w:rsidR="007D3765" w:rsidRDefault="00AA345B" w:rsidP="00AA345B">
      <w:pPr>
        <w:autoSpaceDE w:val="0"/>
        <w:autoSpaceDN w:val="0"/>
        <w:adjustRightInd w:val="0"/>
        <w:snapToGrid w:val="0"/>
        <w:spacing w:line="360" w:lineRule="auto"/>
        <w:ind w:leftChars="50" w:left="105" w:firstLineChars="200" w:firstLine="480"/>
        <w:rPr>
          <w:rFonts w:ascii="宋体" w:hAnsi="宋体"/>
          <w:kern w:val="0"/>
          <w:sz w:val="24"/>
        </w:rPr>
      </w:pPr>
      <w:r w:rsidRPr="00AA345B">
        <w:rPr>
          <w:rFonts w:ascii="Times New Roman" w:hAnsi="Times New Roman" w:hint="eastAsia"/>
          <w:bCs/>
          <w:kern w:val="0"/>
          <w:sz w:val="24"/>
        </w:rPr>
        <w:t>本基金可根据投资策略需要或市场环境的变化，选择将部分基金资产投资于存托凭证或选择不将基金资产投资于存托凭证，基金资产并非必然投资存托凭证。</w:t>
      </w:r>
    </w:p>
    <w:p w:rsidR="007D3765" w:rsidRDefault="00AA345B">
      <w:pPr>
        <w:autoSpaceDE w:val="0"/>
        <w:autoSpaceDN w:val="0"/>
        <w:adjustRightInd w:val="0"/>
        <w:snapToGrid w:val="0"/>
        <w:spacing w:line="360" w:lineRule="auto"/>
        <w:ind w:leftChars="50" w:left="105" w:firstLineChars="200" w:firstLine="480"/>
        <w:rPr>
          <w:rFonts w:ascii="宋体" w:hAnsi="宋体"/>
          <w:kern w:val="0"/>
          <w:sz w:val="24"/>
        </w:rPr>
      </w:pPr>
      <w:r w:rsidRPr="00E262D5">
        <w:rPr>
          <w:rFonts w:ascii="宋体" w:hAnsi="宋体" w:hint="eastAsia"/>
          <w:iCs/>
          <w:kern w:val="0"/>
          <w:sz w:val="24"/>
          <w:u w:val="single"/>
        </w:rPr>
        <w:t>本基金本次更新招募说明书对基金合同变更的相关信息进行更新，基金合同变更相关信息截止日为2020年</w:t>
      </w:r>
      <w:r w:rsidR="00692B5A">
        <w:rPr>
          <w:rFonts w:ascii="宋体" w:hAnsi="宋体"/>
          <w:iCs/>
          <w:kern w:val="0"/>
          <w:sz w:val="24"/>
          <w:u w:val="single"/>
        </w:rPr>
        <w:t>12</w:t>
      </w:r>
      <w:r w:rsidRPr="00E262D5">
        <w:rPr>
          <w:rFonts w:ascii="宋体" w:hAnsi="宋体" w:hint="eastAsia"/>
          <w:iCs/>
          <w:kern w:val="0"/>
          <w:sz w:val="24"/>
          <w:u w:val="single"/>
        </w:rPr>
        <w:t>月</w:t>
      </w:r>
      <w:r w:rsidR="00692B5A">
        <w:rPr>
          <w:rFonts w:ascii="宋体" w:hAnsi="宋体"/>
          <w:iCs/>
          <w:kern w:val="0"/>
          <w:sz w:val="24"/>
          <w:u w:val="single"/>
        </w:rPr>
        <w:t>28</w:t>
      </w:r>
      <w:r w:rsidRPr="00E262D5">
        <w:rPr>
          <w:rFonts w:ascii="宋体" w:hAnsi="宋体" w:hint="eastAsia"/>
          <w:iCs/>
          <w:kern w:val="0"/>
          <w:sz w:val="24"/>
          <w:u w:val="single"/>
        </w:rPr>
        <w:t>日。</w:t>
      </w:r>
      <w:r w:rsidR="0059707E">
        <w:rPr>
          <w:rFonts w:ascii="Times New Roman" w:hAnsi="Times New Roman"/>
          <w:kern w:val="0"/>
          <w:sz w:val="24"/>
        </w:rPr>
        <w:t>本招募说明书所载</w:t>
      </w:r>
      <w:r w:rsidR="00FD0D6C">
        <w:rPr>
          <w:rFonts w:ascii="Times New Roman" w:hAnsi="Times New Roman"/>
          <w:kern w:val="0"/>
          <w:sz w:val="24"/>
        </w:rPr>
        <w:t>其他</w:t>
      </w:r>
      <w:r w:rsidR="0059707E">
        <w:rPr>
          <w:rFonts w:ascii="Times New Roman" w:hAnsi="Times New Roman"/>
          <w:kern w:val="0"/>
          <w:sz w:val="24"/>
        </w:rPr>
        <w:t>内容截止日为</w:t>
      </w:r>
      <w:r w:rsidR="0059707E">
        <w:rPr>
          <w:rFonts w:ascii="Times New Roman" w:hAnsi="Times New Roman"/>
          <w:kern w:val="0"/>
          <w:sz w:val="24"/>
        </w:rPr>
        <w:t>2020</w:t>
      </w:r>
      <w:r w:rsidR="0059707E">
        <w:rPr>
          <w:rFonts w:ascii="Times New Roman" w:hAnsi="Times New Roman"/>
          <w:kern w:val="0"/>
          <w:sz w:val="24"/>
        </w:rPr>
        <w:t>年</w:t>
      </w:r>
      <w:r w:rsidR="0059707E">
        <w:rPr>
          <w:rFonts w:ascii="Times New Roman" w:hAnsi="Times New Roman"/>
          <w:kern w:val="0"/>
          <w:sz w:val="24"/>
        </w:rPr>
        <w:t>09</w:t>
      </w:r>
      <w:r w:rsidR="0059707E">
        <w:rPr>
          <w:rFonts w:ascii="Times New Roman" w:hAnsi="Times New Roman"/>
          <w:kern w:val="0"/>
          <w:sz w:val="24"/>
        </w:rPr>
        <w:t>月</w:t>
      </w:r>
      <w:r w:rsidR="0059707E">
        <w:rPr>
          <w:rFonts w:ascii="Times New Roman" w:hAnsi="Times New Roman"/>
          <w:kern w:val="0"/>
          <w:sz w:val="24"/>
        </w:rPr>
        <w:t>10</w:t>
      </w:r>
      <w:r w:rsidR="0059707E">
        <w:rPr>
          <w:rFonts w:ascii="Times New Roman" w:hAnsi="Times New Roman"/>
          <w:kern w:val="0"/>
          <w:sz w:val="24"/>
        </w:rPr>
        <w:t>日，有关财务数据和净值表现截止日为</w:t>
      </w:r>
      <w:r w:rsidR="0059707E">
        <w:rPr>
          <w:rFonts w:ascii="Times New Roman" w:hAnsi="Times New Roman"/>
          <w:kern w:val="0"/>
          <w:sz w:val="24"/>
        </w:rPr>
        <w:t>2020</w:t>
      </w:r>
      <w:r w:rsidR="0059707E">
        <w:rPr>
          <w:rFonts w:ascii="Times New Roman" w:hAnsi="Times New Roman"/>
          <w:kern w:val="0"/>
          <w:sz w:val="24"/>
        </w:rPr>
        <w:t>年</w:t>
      </w:r>
      <w:r w:rsidR="0059707E">
        <w:rPr>
          <w:rFonts w:ascii="Times New Roman" w:hAnsi="Times New Roman"/>
          <w:kern w:val="0"/>
          <w:sz w:val="24"/>
        </w:rPr>
        <w:t>06</w:t>
      </w:r>
      <w:r w:rsidR="0059707E">
        <w:rPr>
          <w:rFonts w:ascii="Times New Roman" w:hAnsi="Times New Roman"/>
          <w:kern w:val="0"/>
          <w:sz w:val="24"/>
        </w:rPr>
        <w:t>月</w:t>
      </w:r>
      <w:r w:rsidR="0059707E">
        <w:rPr>
          <w:rFonts w:ascii="Times New Roman" w:hAnsi="Times New Roman"/>
          <w:kern w:val="0"/>
          <w:sz w:val="24"/>
        </w:rPr>
        <w:t>30</w:t>
      </w:r>
      <w:r w:rsidR="0059707E">
        <w:rPr>
          <w:rFonts w:ascii="Times New Roman" w:hAnsi="Times New Roman"/>
          <w:kern w:val="0"/>
          <w:sz w:val="24"/>
        </w:rPr>
        <w:t>日。本招募说明书所载的财务数据未经审计。</w:t>
      </w:r>
    </w:p>
    <w:p w:rsidR="007D3765" w:rsidRDefault="007D3765">
      <w:pPr>
        <w:autoSpaceDE w:val="0"/>
        <w:autoSpaceDN w:val="0"/>
        <w:adjustRightInd w:val="0"/>
        <w:snapToGrid w:val="0"/>
        <w:spacing w:before="51" w:line="360" w:lineRule="auto"/>
        <w:ind w:left="120" w:rightChars="6" w:right="13" w:firstLine="480"/>
        <w:rPr>
          <w:rFonts w:ascii="宋体" w:hAnsi="宋体"/>
          <w:kern w:val="0"/>
          <w:szCs w:val="24"/>
        </w:rPr>
        <w:sectPr w:rsidR="007D3765">
          <w:headerReference w:type="default" r:id="rId12"/>
          <w:pgSz w:w="11920" w:h="16840"/>
          <w:pgMar w:top="1440" w:right="1680" w:bottom="280" w:left="1680" w:header="0" w:footer="1073" w:gutter="0"/>
          <w:pgNumType w:start="1"/>
          <w:cols w:space="720"/>
        </w:sectPr>
      </w:pPr>
    </w:p>
    <w:p w:rsidR="006C2AC6" w:rsidRPr="006C2AC6" w:rsidRDefault="0059707E" w:rsidP="006C2AC6">
      <w:pPr>
        <w:pStyle w:val="ad"/>
        <w:snapToGrid w:val="0"/>
        <w:spacing w:after="240" w:line="360" w:lineRule="auto"/>
        <w:jc w:val="center"/>
        <w:rPr>
          <w:rFonts w:ascii="宋体" w:hAnsi="宋体"/>
          <w:noProof/>
          <w:sz w:val="24"/>
        </w:rPr>
      </w:pPr>
      <w:r w:rsidRPr="006C2AC6">
        <w:rPr>
          <w:rFonts w:ascii="宋体" w:hAnsi="宋体"/>
          <w:color w:val="000000"/>
          <w:position w:val="-4"/>
          <w:sz w:val="24"/>
          <w:szCs w:val="30"/>
        </w:rPr>
        <w:lastRenderedPageBreak/>
        <w:t>目</w:t>
      </w:r>
      <w:r w:rsidRPr="006C2AC6">
        <w:rPr>
          <w:rFonts w:ascii="宋体" w:hAnsi="宋体"/>
          <w:color w:val="000000"/>
          <w:position w:val="-4"/>
          <w:sz w:val="24"/>
          <w:szCs w:val="30"/>
        </w:rPr>
        <w:tab/>
        <w:t>录</w:t>
      </w:r>
      <w:r w:rsidR="006C2AC6" w:rsidRPr="006C2AC6">
        <w:rPr>
          <w:rFonts w:ascii="宋体" w:hAnsi="宋体"/>
          <w:color w:val="000000"/>
          <w:position w:val="-4"/>
          <w:sz w:val="24"/>
          <w:szCs w:val="30"/>
        </w:rPr>
        <w:fldChar w:fldCharType="begin"/>
      </w:r>
      <w:r w:rsidR="006C2AC6" w:rsidRPr="006C2AC6">
        <w:rPr>
          <w:rFonts w:ascii="宋体" w:hAnsi="宋体"/>
          <w:color w:val="000000"/>
          <w:position w:val="-4"/>
          <w:sz w:val="24"/>
          <w:szCs w:val="30"/>
        </w:rPr>
        <w:instrText xml:space="preserve"> TOC \o "1-3" \f - \h \t "-1" </w:instrText>
      </w:r>
      <w:r w:rsidR="006C2AC6" w:rsidRPr="006C2AC6">
        <w:rPr>
          <w:rFonts w:ascii="宋体" w:hAnsi="宋体"/>
          <w:color w:val="000000"/>
          <w:position w:val="-4"/>
          <w:sz w:val="24"/>
          <w:szCs w:val="30"/>
        </w:rPr>
        <w:fldChar w:fldCharType="separate"/>
      </w:r>
    </w:p>
    <w:p w:rsidR="006C2AC6" w:rsidRPr="00162AE1" w:rsidRDefault="00503698" w:rsidP="006C2AC6">
      <w:pPr>
        <w:pStyle w:val="10"/>
        <w:tabs>
          <w:tab w:val="right" w:leader="dot" w:pos="8550"/>
        </w:tabs>
        <w:spacing w:line="360" w:lineRule="auto"/>
        <w:rPr>
          <w:rFonts w:ascii="宋体" w:hAnsi="宋体"/>
          <w:noProof/>
          <w:sz w:val="24"/>
        </w:rPr>
      </w:pPr>
      <w:hyperlink w:anchor="_Toc54104432" w:history="1">
        <w:r w:rsidR="006C2AC6" w:rsidRPr="006C2AC6">
          <w:rPr>
            <w:rStyle w:val="aa"/>
            <w:rFonts w:ascii="宋体" w:hAnsi="宋体" w:hint="eastAsia"/>
            <w:noProof/>
            <w:kern w:val="0"/>
            <w:sz w:val="24"/>
          </w:rPr>
          <w:t>重要提示</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_Toc54104432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3" w:history="1">
        <w:r w:rsidR="006C2AC6" w:rsidRPr="006C2AC6">
          <w:rPr>
            <w:rStyle w:val="aa"/>
            <w:rFonts w:ascii="宋体" w:hAnsi="宋体" w:hint="eastAsia"/>
            <w:noProof/>
            <w:sz w:val="24"/>
          </w:rPr>
          <w:t>一、绪言</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_Toc54104433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5</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4" w:history="1">
        <w:r w:rsidR="006C2AC6" w:rsidRPr="006C2AC6">
          <w:rPr>
            <w:rStyle w:val="aa"/>
            <w:rFonts w:ascii="宋体" w:hAnsi="宋体" w:hint="eastAsia"/>
            <w:noProof/>
            <w:sz w:val="24"/>
          </w:rPr>
          <w:t>二、释义</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_Toc54104434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6</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5" w:history="1">
        <w:r w:rsidR="006C2AC6" w:rsidRPr="006C2AC6">
          <w:rPr>
            <w:rStyle w:val="aa"/>
            <w:rFonts w:ascii="宋体" w:hAnsi="宋体" w:hint="eastAsia"/>
            <w:noProof/>
            <w:sz w:val="24"/>
          </w:rPr>
          <w:t>三、基金管理人</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_Toc54104435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11</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6" w:history="1">
        <w:r w:rsidR="006C2AC6" w:rsidRPr="006C2AC6">
          <w:rPr>
            <w:rStyle w:val="aa"/>
            <w:rFonts w:ascii="宋体" w:hAnsi="宋体" w:hint="eastAsia"/>
            <w:noProof/>
            <w:sz w:val="24"/>
          </w:rPr>
          <w:t>四、基金托管人</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_Toc54104436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19</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7" w:history="1">
        <w:r w:rsidR="006C2AC6" w:rsidRPr="006C2AC6">
          <w:rPr>
            <w:rStyle w:val="aa"/>
            <w:rFonts w:ascii="宋体" w:hAnsi="宋体" w:hint="eastAsia"/>
            <w:noProof/>
            <w:sz w:val="24"/>
          </w:rPr>
          <w:t>五、相关服务机构</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_Toc54104437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22</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8" w:history="1">
        <w:r w:rsidR="006C2AC6" w:rsidRPr="006C2AC6">
          <w:rPr>
            <w:rStyle w:val="aa"/>
            <w:rFonts w:ascii="宋体" w:hAnsi="宋体" w:hint="eastAsia"/>
            <w:noProof/>
            <w:sz w:val="24"/>
          </w:rPr>
          <w:t>六、基金的募集</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_Toc54104438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54</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39" w:history="1">
        <w:r w:rsidR="006C2AC6" w:rsidRPr="006C2AC6">
          <w:rPr>
            <w:rStyle w:val="aa"/>
            <w:rFonts w:ascii="宋体" w:hAnsi="宋体" w:hint="eastAsia"/>
            <w:noProof/>
            <w:sz w:val="24"/>
          </w:rPr>
          <w:t>七、基金合同的生效</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_Toc54104439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55</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0" w:history="1">
        <w:r w:rsidR="006C2AC6" w:rsidRPr="006C2AC6">
          <w:rPr>
            <w:rStyle w:val="aa"/>
            <w:rFonts w:ascii="宋体" w:hAnsi="宋体" w:hint="eastAsia"/>
            <w:noProof/>
            <w:sz w:val="24"/>
          </w:rPr>
          <w:t>八、基金份额的申购与赎回</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_Toc54104440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56</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1" w:history="1">
        <w:r w:rsidR="006C2AC6" w:rsidRPr="006C2AC6">
          <w:rPr>
            <w:rStyle w:val="aa"/>
            <w:rFonts w:ascii="宋体" w:hAnsi="宋体" w:hint="eastAsia"/>
            <w:noProof/>
            <w:sz w:val="24"/>
          </w:rPr>
          <w:t>九、基金的转换</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_Toc54104441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68</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2" w:history="1">
        <w:r w:rsidR="006C2AC6" w:rsidRPr="006C2AC6">
          <w:rPr>
            <w:rStyle w:val="aa"/>
            <w:rFonts w:ascii="宋体" w:hAnsi="宋体" w:hint="eastAsia"/>
            <w:noProof/>
            <w:sz w:val="24"/>
          </w:rPr>
          <w:t>十、基金的定期支付</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_Toc54104442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75</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3" w:history="1">
        <w:r w:rsidR="006C2AC6" w:rsidRPr="006C2AC6">
          <w:rPr>
            <w:rStyle w:val="aa"/>
            <w:rFonts w:ascii="宋体" w:hAnsi="宋体" w:hint="eastAsia"/>
            <w:noProof/>
            <w:sz w:val="24"/>
          </w:rPr>
          <w:t>十一、基金的投资</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_Toc54104443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79</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4" w:history="1">
        <w:r w:rsidR="006C2AC6" w:rsidRPr="006C2AC6">
          <w:rPr>
            <w:rStyle w:val="aa"/>
            <w:rFonts w:ascii="宋体" w:hAnsi="宋体" w:hint="eastAsia"/>
            <w:noProof/>
            <w:sz w:val="24"/>
          </w:rPr>
          <w:t>十二、基金的业绩</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_Toc54104444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92</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5" w:history="1">
        <w:r w:rsidR="006C2AC6" w:rsidRPr="006C2AC6">
          <w:rPr>
            <w:rStyle w:val="aa"/>
            <w:rFonts w:ascii="宋体" w:hAnsi="宋体" w:hint="eastAsia"/>
            <w:noProof/>
            <w:sz w:val="24"/>
          </w:rPr>
          <w:t>十三、基金的财产</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_Toc54104445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94</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6" w:history="1">
        <w:r w:rsidR="006C2AC6" w:rsidRPr="006C2AC6">
          <w:rPr>
            <w:rStyle w:val="aa"/>
            <w:rFonts w:ascii="宋体" w:hAnsi="宋体" w:hint="eastAsia"/>
            <w:noProof/>
            <w:sz w:val="24"/>
          </w:rPr>
          <w:t>十四、基金资产的估值</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_Toc54104446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95</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7" w:history="1">
        <w:r w:rsidR="006C2AC6" w:rsidRPr="006C2AC6">
          <w:rPr>
            <w:rStyle w:val="aa"/>
            <w:rFonts w:ascii="宋体" w:hAnsi="宋体" w:hint="eastAsia"/>
            <w:noProof/>
            <w:sz w:val="24"/>
          </w:rPr>
          <w:t>十五、基金收益与分配</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_Toc54104447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100</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8" w:history="1">
        <w:r w:rsidR="006C2AC6" w:rsidRPr="006C2AC6">
          <w:rPr>
            <w:rStyle w:val="aa"/>
            <w:rFonts w:ascii="宋体" w:hAnsi="宋体" w:hint="eastAsia"/>
            <w:noProof/>
            <w:sz w:val="24"/>
          </w:rPr>
          <w:t>十六、基金的费用与税收</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_Toc54104448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101</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49" w:history="1">
        <w:r w:rsidR="006C2AC6" w:rsidRPr="006C2AC6">
          <w:rPr>
            <w:rStyle w:val="aa"/>
            <w:rFonts w:ascii="宋体" w:hAnsi="宋体" w:hint="eastAsia"/>
            <w:noProof/>
            <w:sz w:val="24"/>
          </w:rPr>
          <w:t>十七、基金的会计与审计</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_Toc54104449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103</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0" w:history="1">
        <w:r w:rsidR="006C2AC6" w:rsidRPr="006C2AC6">
          <w:rPr>
            <w:rStyle w:val="aa"/>
            <w:rFonts w:ascii="宋体" w:hAnsi="宋体" w:hint="eastAsia"/>
            <w:noProof/>
            <w:sz w:val="24"/>
          </w:rPr>
          <w:t>十八、基金的信息披露</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_Toc54104450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104</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1" w:history="1">
        <w:r w:rsidR="006C2AC6" w:rsidRPr="006C2AC6">
          <w:rPr>
            <w:rStyle w:val="aa"/>
            <w:rFonts w:ascii="宋体" w:hAnsi="宋体" w:hint="eastAsia"/>
            <w:noProof/>
            <w:sz w:val="24"/>
          </w:rPr>
          <w:t>十九、风险揭示</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_Toc54104451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110</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2" w:history="1">
        <w:r w:rsidR="006C2AC6" w:rsidRPr="006C2AC6">
          <w:rPr>
            <w:rStyle w:val="aa"/>
            <w:rFonts w:ascii="宋体" w:hAnsi="宋体" w:hint="eastAsia"/>
            <w:noProof/>
            <w:sz w:val="24"/>
          </w:rPr>
          <w:t>二十、基金合同的变更、终止与基金财产的清算</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_Toc54104452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118</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3" w:history="1">
        <w:r w:rsidR="006C2AC6" w:rsidRPr="006C2AC6">
          <w:rPr>
            <w:rStyle w:val="aa"/>
            <w:rFonts w:ascii="宋体" w:hAnsi="宋体" w:hint="eastAsia"/>
            <w:noProof/>
            <w:sz w:val="24"/>
          </w:rPr>
          <w:t>二十一、基金合同内容摘要</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_Toc54104453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120</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4" w:history="1">
        <w:r w:rsidR="006C2AC6" w:rsidRPr="006C2AC6">
          <w:rPr>
            <w:rStyle w:val="aa"/>
            <w:rFonts w:ascii="宋体" w:hAnsi="宋体" w:hint="eastAsia"/>
            <w:noProof/>
            <w:sz w:val="24"/>
          </w:rPr>
          <w:t>二十二、托管协议的内容摘要</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_Toc54104454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134</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5" w:history="1">
        <w:r w:rsidR="006C2AC6" w:rsidRPr="006C2AC6">
          <w:rPr>
            <w:rStyle w:val="aa"/>
            <w:rFonts w:ascii="宋体" w:hAnsi="宋体" w:hint="eastAsia"/>
            <w:noProof/>
            <w:sz w:val="24"/>
          </w:rPr>
          <w:t>二十三、对基金份额持有人的服务</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_Toc54104455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151</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6" w:history="1">
        <w:r w:rsidR="006C2AC6" w:rsidRPr="006C2AC6">
          <w:rPr>
            <w:rStyle w:val="aa"/>
            <w:rFonts w:ascii="宋体" w:hAnsi="宋体" w:hint="eastAsia"/>
            <w:noProof/>
            <w:sz w:val="24"/>
          </w:rPr>
          <w:t>二十四、其他应披露事项</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_Toc54104456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153</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7" w:history="1">
        <w:r w:rsidR="006C2AC6" w:rsidRPr="006C2AC6">
          <w:rPr>
            <w:rStyle w:val="aa"/>
            <w:rFonts w:ascii="宋体" w:hAnsi="宋体" w:hint="eastAsia"/>
            <w:noProof/>
            <w:sz w:val="24"/>
          </w:rPr>
          <w:t>二十五、招募说明书的存放及查阅方式</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_Toc54104457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156</w:t>
        </w:r>
        <w:r w:rsidR="006C2AC6" w:rsidRPr="006C2AC6">
          <w:rPr>
            <w:rFonts w:ascii="宋体" w:hAnsi="宋体"/>
            <w:noProof/>
            <w:sz w:val="24"/>
          </w:rPr>
          <w:fldChar w:fldCharType="end"/>
        </w:r>
      </w:hyperlink>
    </w:p>
    <w:p w:rsidR="006C2AC6" w:rsidRPr="00162AE1" w:rsidRDefault="00503698" w:rsidP="006C2AC6">
      <w:pPr>
        <w:pStyle w:val="10"/>
        <w:tabs>
          <w:tab w:val="right" w:leader="dot" w:pos="8550"/>
        </w:tabs>
        <w:spacing w:line="360" w:lineRule="auto"/>
        <w:rPr>
          <w:rFonts w:ascii="宋体" w:hAnsi="宋体"/>
          <w:noProof/>
          <w:sz w:val="24"/>
        </w:rPr>
      </w:pPr>
      <w:hyperlink w:anchor="_Toc54104458" w:history="1">
        <w:r w:rsidR="006C2AC6" w:rsidRPr="006C2AC6">
          <w:rPr>
            <w:rStyle w:val="aa"/>
            <w:rFonts w:ascii="宋体" w:hAnsi="宋体" w:hint="eastAsia"/>
            <w:noProof/>
            <w:sz w:val="24"/>
          </w:rPr>
          <w:t>二十六、备查文件</w:t>
        </w:r>
        <w:r w:rsidR="006C2AC6" w:rsidRPr="006C2AC6">
          <w:rPr>
            <w:rFonts w:ascii="宋体" w:hAnsi="宋体"/>
            <w:noProof/>
            <w:sz w:val="24"/>
          </w:rPr>
          <w:tab/>
        </w:r>
        <w:r w:rsidR="006C2AC6" w:rsidRPr="006C2AC6">
          <w:rPr>
            <w:rFonts w:ascii="宋体" w:hAnsi="宋体"/>
            <w:noProof/>
            <w:sz w:val="24"/>
          </w:rPr>
          <w:fldChar w:fldCharType="begin"/>
        </w:r>
        <w:r w:rsidR="006C2AC6" w:rsidRPr="006C2AC6">
          <w:rPr>
            <w:rFonts w:ascii="宋体" w:hAnsi="宋体"/>
            <w:noProof/>
            <w:sz w:val="24"/>
          </w:rPr>
          <w:instrText xml:space="preserve"> PAGEREF _Toc54104458 \h </w:instrText>
        </w:r>
        <w:r w:rsidR="006C2AC6" w:rsidRPr="006C2AC6">
          <w:rPr>
            <w:rFonts w:ascii="宋体" w:hAnsi="宋体"/>
            <w:noProof/>
            <w:sz w:val="24"/>
          </w:rPr>
        </w:r>
        <w:r w:rsidR="006C2AC6" w:rsidRPr="006C2AC6">
          <w:rPr>
            <w:rFonts w:ascii="宋体" w:hAnsi="宋体"/>
            <w:noProof/>
            <w:sz w:val="24"/>
          </w:rPr>
          <w:fldChar w:fldCharType="separate"/>
        </w:r>
        <w:r w:rsidR="00692B5A">
          <w:rPr>
            <w:rFonts w:ascii="宋体" w:hAnsi="宋体"/>
            <w:noProof/>
            <w:sz w:val="24"/>
          </w:rPr>
          <w:t>157</w:t>
        </w:r>
        <w:r w:rsidR="006C2AC6" w:rsidRPr="006C2AC6">
          <w:rPr>
            <w:rFonts w:ascii="宋体" w:hAnsi="宋体"/>
            <w:noProof/>
            <w:sz w:val="24"/>
          </w:rPr>
          <w:fldChar w:fldCharType="end"/>
        </w:r>
      </w:hyperlink>
    </w:p>
    <w:p w:rsidR="007D3765" w:rsidRPr="006C2AC6" w:rsidRDefault="006C2AC6" w:rsidP="006C2AC6">
      <w:pPr>
        <w:pStyle w:val="ad"/>
        <w:snapToGrid w:val="0"/>
        <w:spacing w:after="240" w:line="360" w:lineRule="auto"/>
        <w:jc w:val="center"/>
        <w:rPr>
          <w:rFonts w:ascii="宋体" w:hAnsi="宋体"/>
          <w:color w:val="000000"/>
          <w:sz w:val="24"/>
        </w:rPr>
      </w:pPr>
      <w:r w:rsidRPr="006C2AC6">
        <w:rPr>
          <w:rFonts w:ascii="宋体" w:hAnsi="宋体"/>
          <w:color w:val="000000"/>
          <w:position w:val="-4"/>
          <w:sz w:val="24"/>
          <w:szCs w:val="30"/>
        </w:rPr>
        <w:lastRenderedPageBreak/>
        <w:fldChar w:fldCharType="end"/>
      </w:r>
    </w:p>
    <w:p w:rsidR="007D3765" w:rsidRDefault="007D3765">
      <w:pPr>
        <w:autoSpaceDE w:val="0"/>
        <w:autoSpaceDN w:val="0"/>
        <w:adjustRightInd w:val="0"/>
        <w:snapToGrid w:val="0"/>
        <w:spacing w:line="360" w:lineRule="auto"/>
        <w:ind w:left="120" w:rightChars="6" w:right="13"/>
        <w:rPr>
          <w:rFonts w:ascii="宋体" w:hAnsi="宋体"/>
          <w:kern w:val="0"/>
          <w:szCs w:val="24"/>
        </w:rPr>
        <w:sectPr w:rsidR="007D3765">
          <w:pgSz w:w="11920" w:h="16840"/>
          <w:pgMar w:top="1480" w:right="1680" w:bottom="280" w:left="1680" w:header="0" w:footer="1073" w:gutter="0"/>
          <w:cols w:space="720"/>
        </w:sectPr>
      </w:pPr>
    </w:p>
    <w:p w:rsidR="007D3765" w:rsidRDefault="0059707E">
      <w:pPr>
        <w:pStyle w:val="1"/>
        <w:snapToGrid w:val="0"/>
        <w:spacing w:beforeLines="0" w:before="240" w:after="240"/>
        <w:rPr>
          <w:rFonts w:ascii="宋体" w:hAnsi="宋体"/>
          <w:szCs w:val="30"/>
        </w:rPr>
      </w:pPr>
      <w:bookmarkStart w:id="3" w:name="_Toc54104433"/>
      <w:r>
        <w:rPr>
          <w:rFonts w:ascii="Times New Roman" w:hAnsi="Times New Roman"/>
          <w:sz w:val="30"/>
        </w:rPr>
        <w:lastRenderedPageBreak/>
        <w:t>一、绪言</w:t>
      </w:r>
      <w:bookmarkEnd w:id="3"/>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《交银施罗德定期支付双息平衡混合型证券投资基金招募说明书》（以下简称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公开募集证券投资基金运作管理办法》、《证券投资基金销售管理办法》、《公开募集证券投资基金信息披露管理办法》、《公开募集开放式证券投资基金流动性风险管理规定》</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和其他相关法律法规的规定以及《交银施罗德定期支付双息平衡混合型证券投资基金基金合同》（以下简称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Times New Roman" w:hAnsi="Times New Roman"/>
          <w:sz w:val="24"/>
        </w:rPr>
        <w:t>,</w:t>
      </w:r>
      <w:r>
        <w:rPr>
          <w:rFonts w:ascii="Times New Roman" w:hAnsi="Times New Roman"/>
          <w:sz w:val="24"/>
        </w:rPr>
        <w:t>或对本招募说明书作任何解释或者说明。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本招募说明书关于基金产品资料概要的编制、披露及更新等内容，将不晚于</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日起执行。</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4" w:name="_Toc54104434"/>
      <w:r>
        <w:rPr>
          <w:rFonts w:ascii="Times New Roman" w:hAnsi="Times New Roman"/>
          <w:sz w:val="30"/>
        </w:rPr>
        <w:t>二、释义</w:t>
      </w:r>
      <w:bookmarkEnd w:id="4"/>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、基金或本基金：指交银施罗德定期支付双息平衡混合型证券投资基金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、基金托管人或本基金托管人：指中国农业银行股份有限公司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、基金合同：指《交银施罗德定期支付双息平衡混合型证券投资基金基金合同》及对该基金合同的任何有效修订和补充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、托管协议：指基金管理人与基金托管人就本基金签订之《交银施罗德定期支付双息平衡混合型证券投资基金托管协议》及对该托管协议的任何有效修订和补充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、招募说明书或本招募说明书：指《交银施罗德定期支付双息平衡混合型证券投资基金招募说明书》及其更新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、基金份额发售公告：指《交银施罗德定期支付双息平衡混合型证券投资基金基金份额发售公告》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、基金产品资料概要：指《交银施罗德定期支付双息平衡混合型证券投资基金基金产品资料概要》及其更新（基金合同关于基金产品资料概要的编制、披露及更新等内容，将不晚于</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日起执行）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、中国：指中华人民共和国（仅为基金合同之目的，不包括香港特别行政区、澳门特别行政区及台湾地区）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日经第十届全国人民代表大会常务委员会第五次会议通过，自</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日起实施的《中华人民共和国证券投资基金法》及颁布机关对其不时做出的修订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、《销售办法》：指中国证监会</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15</w:t>
      </w:r>
      <w:r>
        <w:rPr>
          <w:rFonts w:ascii="Times New Roman" w:hAnsi="Times New Roman"/>
          <w:sz w:val="24"/>
        </w:rPr>
        <w:t>日颁布、同年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日实施的《证券投资基金销售管理办法》及颁布机关对其不时做出的修订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日实施的《公开募集证券投资基金信息披露管理办法》及颁布机关对其不时做出的修订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、《运作办法》：指中国证监会</w:t>
      </w:r>
      <w:r>
        <w:rPr>
          <w:rFonts w:ascii="Times New Roman" w:hAnsi="Times New Roman"/>
          <w:sz w:val="24"/>
        </w:rPr>
        <w:t>2014</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7</w:t>
      </w:r>
      <w:r>
        <w:rPr>
          <w:rFonts w:ascii="Times New Roman" w:hAnsi="Times New Roman"/>
          <w:sz w:val="24"/>
        </w:rPr>
        <w:t>日颁布、同年</w:t>
      </w:r>
      <w:r>
        <w:rPr>
          <w:rFonts w:ascii="Times New Roman" w:hAnsi="Times New Roman"/>
          <w:sz w:val="24"/>
        </w:rPr>
        <w:t>8</w:t>
      </w:r>
      <w:r>
        <w:rPr>
          <w:rFonts w:ascii="Times New Roman" w:hAnsi="Times New Roman"/>
          <w:sz w:val="24"/>
        </w:rPr>
        <w:t>月</w:t>
      </w:r>
      <w:r>
        <w:rPr>
          <w:rFonts w:ascii="Times New Roman" w:hAnsi="Times New Roman"/>
          <w:sz w:val="24"/>
        </w:rPr>
        <w:t>8</w:t>
      </w:r>
      <w:r>
        <w:rPr>
          <w:rFonts w:ascii="Times New Roman" w:hAnsi="Times New Roman"/>
          <w:sz w:val="24"/>
        </w:rPr>
        <w:t>日实施的《公开募集证券投资基金运作管理办法》及颁布机关对其不时做出的修订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、中国证监会：指中国证券监督管理委员会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、基金合同当事人：指受基金合同约束，根据基金合同享有权利并承担义务的法律主体，包括基金管理人、基金托管人和基金份额持有人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、个人投资者：指依据有关法律法规规定可投资于证券投资基金的自然人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、机构投资者：指依法可以投资证券投资基金的、在中国境内合法登记并存续或经有关政府部门批准设立并存续的企业法人、事业法人、社会团体或其他组织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、投资人或投资者：指个人投资者、机构投资者和合格境外机构投资者以及法律法规或中国证监会允许购买证券投资基金的其他投资人的合称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、直销机构：指交银施罗德基金管理有限公司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、代销机构：指符合《销售办法》和中国证监会规定的其他条件，取得基金销售业务资格并与基金管理人签订了基金销售服务代理协议，代为办理基金销售业务的机构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、销售机构：指直销机构和代销机构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30</w:t>
      </w:r>
      <w:r>
        <w:rPr>
          <w:rFonts w:ascii="Times New Roman" w:hAnsi="Times New Roman"/>
          <w:sz w:val="24"/>
        </w:rPr>
        <w:t>、基金账户：指登记机构为投资人开立的、记录其持有的、基金管理人所管理的基金份额余额及其变动情况的账户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、基金合同终止日：指基金合同规定的基金合同终止事由出现后，基金财产清算完毕，清算结果报中国证监会备案并予以公告的日期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、存续期：指基金合同生效至终止之间的不定期期限</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、工作日：指上海证券交易所、深圳证券交易所的正常交易日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、开放日：指为投资人办理基金份额申购、赎回或其他业务的工作日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、开放时间：指开放日基金接受申购、赎回或其他交易的时间段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、《业务规则》：指《交银施罗德基金管理有限公司开放式基金业务规则》，是规范基金管理人所管理的开放式证券投资基金登记方面的业务规则，由基金管理人和投资人共同遵守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、认购：指在基金募集期内，投资人根据基金合同和招募说明书的规定申请购买基金份额的行为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Pr>
          <w:rFonts w:ascii="Times New Roman" w:hAnsi="Times New Roman"/>
          <w:sz w:val="24"/>
        </w:rPr>
        <w:t>、申购：指基金合同生效后，投资人根据基金合同和招募说明书的规定申请购买基金份额的行为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、赎回：指基金合同生效后，基金份额持有人按基金合同和招募说明书规定的条件要求将基金份额兑换为现金的行为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、基金转换：指基金份额持有人按照本基金合同和基金管理人届时有效公告规定的条件，申请将其持有基金管理人管理的、某一基金的基金份额转换为基金管</w:t>
      </w:r>
      <w:r>
        <w:rPr>
          <w:rFonts w:ascii="Times New Roman" w:hAnsi="Times New Roman"/>
          <w:sz w:val="24"/>
        </w:rPr>
        <w:lastRenderedPageBreak/>
        <w:t>理人管理的其他基金基金份额的行为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、转托管：指基金份额持有人在本基金的不同销售机构之间实施的变更所持基金份额销售机构的操作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rFonts w:ascii="Times New Roman" w:hAnsi="Times New Roman"/>
          <w:sz w:val="24"/>
        </w:rPr>
        <w:t>10%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、元：指人民币元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、基金收益：指基金投资所得红利、股息、债券利息、买卖证券价差、银行存款利息、已实现的其他合法收入及因运用基金财产带来的成本和费用的节约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、基金资产总值：指基金拥有的各类有价证券、银行存款本息、基金应收申购款及其他资产的价值总和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Pr>
          <w:rFonts w:ascii="Times New Roman" w:hAnsi="Times New Roman"/>
          <w:sz w:val="24"/>
        </w:rPr>
        <w:t>、基金资产净值：指基金资产总值减去基金负债后的价值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Pr>
          <w:rFonts w:ascii="Times New Roman" w:hAnsi="Times New Roman"/>
          <w:sz w:val="24"/>
        </w:rPr>
        <w:t>、基金份额净值：指计算日基金资产净值除以计算日基金份额总数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Pr>
          <w:rFonts w:ascii="Times New Roman" w:hAnsi="Times New Roman"/>
          <w:sz w:val="24"/>
        </w:rPr>
        <w:t>、基金资产估值：指计算评估基金资产和负债的价值，以确定基金资产净值和基金份额净值的过程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Pr>
          <w:rFonts w:ascii="Times New Roman" w:hAnsi="Times New Roman"/>
          <w:sz w:val="24"/>
        </w:rPr>
        <w:t>、定期支付：指本基金按照基金合同的约定，每月定期向基金份额持有人支付一定现金的业务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57</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58</w:t>
      </w:r>
      <w:r>
        <w:rPr>
          <w:rFonts w:ascii="Times New Roman" w:hAnsi="Times New Roman"/>
          <w:sz w:val="24"/>
        </w:rPr>
        <w:t>、不可抗力：指本基金合同当事人不能预见、不能避免且不能克服的客观事</w:t>
      </w:r>
      <w:r>
        <w:rPr>
          <w:rFonts w:ascii="Times New Roman" w:hAnsi="Times New Roman"/>
          <w:sz w:val="24"/>
        </w:rPr>
        <w:lastRenderedPageBreak/>
        <w:t>件。</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5" w:name="_Toc54104435"/>
      <w:r>
        <w:rPr>
          <w:rFonts w:ascii="Times New Roman" w:hAnsi="Times New Roman"/>
          <w:sz w:val="30"/>
        </w:rPr>
        <w:t>三、基金管理人</w:t>
      </w:r>
      <w:bookmarkEnd w:id="5"/>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35"/>
        <w:gridCol w:w="4335"/>
      </w:tblGrid>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周曦女士，董事，硕士。现任交通银行总行个人金融业务部副总经理兼风险管理部副总经理。历任交通银行湖南省分行风险管理部、资产保全部、法律合规部、个人金融业务部总经理，交通银行总行个人金融业务部总经理助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王忆军先生，监事长，硕士。现任交银金融学院常务副院长，交通银行人力资</w:t>
      </w:r>
      <w:r>
        <w:rPr>
          <w:rFonts w:ascii="Times New Roman" w:hAnsi="Times New Roman"/>
          <w:sz w:val="24"/>
        </w:rPr>
        <w:lastRenderedPageBreak/>
        <w:t>源部副总经理、教育培训部总经理。历任交通银行办公室副处长，交通银行公司业务部副处长、高级经理、总经理助理、副总经理，交通银行投资银行部副总经理，交通银行江苏分行副行长，交通银行战略投资部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、本基金基金经理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杨浩先生，基金经理。北京邮电大学通信与信息系统专业硕士，</w:t>
      </w:r>
      <w:r>
        <w:rPr>
          <w:rFonts w:ascii="Times New Roman" w:hAnsi="Times New Roman"/>
          <w:sz w:val="24"/>
        </w:rPr>
        <w:t>10</w:t>
      </w:r>
      <w:r>
        <w:rPr>
          <w:rFonts w:ascii="Times New Roman" w:hAnsi="Times New Roman"/>
          <w:sz w:val="24"/>
        </w:rPr>
        <w:t>年基金行业从业经验。</w:t>
      </w:r>
      <w:r>
        <w:rPr>
          <w:rFonts w:ascii="Times New Roman" w:hAnsi="Times New Roman"/>
          <w:sz w:val="24"/>
        </w:rPr>
        <w:t>2010</w:t>
      </w:r>
      <w:r>
        <w:rPr>
          <w:rFonts w:ascii="Times New Roman" w:hAnsi="Times New Roman"/>
          <w:sz w:val="24"/>
        </w:rPr>
        <w:t>年加入交银施罗德基金管理有限公司，曾任行业分析师，现任权益部基金经理。现任交银施罗德定期支付双息平衡混合型证券投资基金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15</w:t>
      </w:r>
      <w:r>
        <w:rPr>
          <w:rFonts w:ascii="Times New Roman" w:hAnsi="Times New Roman"/>
          <w:sz w:val="24"/>
        </w:rPr>
        <w:t>日至今</w:t>
      </w:r>
      <w:r>
        <w:rPr>
          <w:rFonts w:ascii="Times New Roman" w:hAnsi="Times New Roman"/>
          <w:sz w:val="24"/>
        </w:rPr>
        <w:t>)</w:t>
      </w:r>
      <w:r>
        <w:rPr>
          <w:rFonts w:ascii="Times New Roman" w:hAnsi="Times New Roman"/>
          <w:sz w:val="24"/>
        </w:rPr>
        <w:t>、交银施罗德新生活力灵活配置混合型证券投资基金</w:t>
      </w:r>
      <w:r>
        <w:rPr>
          <w:rFonts w:ascii="Times New Roman" w:hAnsi="Times New Roman"/>
          <w:sz w:val="24"/>
        </w:rPr>
        <w:t>(2016</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11</w:t>
      </w:r>
      <w:r>
        <w:rPr>
          <w:rFonts w:ascii="Times New Roman" w:hAnsi="Times New Roman"/>
          <w:sz w:val="24"/>
        </w:rPr>
        <w:t>日至今</w:t>
      </w:r>
      <w:r>
        <w:rPr>
          <w:rFonts w:ascii="Times New Roman" w:hAnsi="Times New Roman"/>
          <w:sz w:val="24"/>
        </w:rPr>
        <w:t>)</w:t>
      </w:r>
      <w:r>
        <w:rPr>
          <w:rFonts w:ascii="Times New Roman" w:hAnsi="Times New Roman"/>
          <w:sz w:val="24"/>
        </w:rPr>
        <w:t>、交银施罗德科锐科技创新混合型证券投资基金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、交银施罗德内核驱动混合型证券投资基金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13</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项廷锋先生，</w:t>
      </w:r>
      <w:r>
        <w:rPr>
          <w:rFonts w:ascii="Times New Roman" w:hAnsi="Times New Roman"/>
          <w:sz w:val="24"/>
        </w:rPr>
        <w:t>2013</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04</w:t>
      </w:r>
      <w:r>
        <w:rPr>
          <w:rFonts w:ascii="Times New Roman" w:hAnsi="Times New Roman"/>
          <w:sz w:val="24"/>
        </w:rPr>
        <w:t>日至</w:t>
      </w:r>
      <w:r>
        <w:rPr>
          <w:rFonts w:ascii="Times New Roman" w:hAnsi="Times New Roman"/>
          <w:sz w:val="24"/>
        </w:rPr>
        <w:t>2014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18</w:t>
      </w:r>
      <w:r>
        <w:rPr>
          <w:rFonts w:ascii="Times New Roman" w:hAnsi="Times New Roman"/>
          <w:sz w:val="24"/>
        </w:rPr>
        <w:t>日任本基金基金经理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李德亮先生，</w:t>
      </w:r>
      <w:r>
        <w:rPr>
          <w:rFonts w:ascii="Times New Roman" w:hAnsi="Times New Roman"/>
          <w:sz w:val="24"/>
        </w:rPr>
        <w:t>2013</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04</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28</w:t>
      </w:r>
      <w:r>
        <w:rPr>
          <w:rFonts w:ascii="Times New Roman" w:hAnsi="Times New Roman"/>
          <w:sz w:val="24"/>
        </w:rPr>
        <w:t>日任本基金基金经理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张迎军先生，</w:t>
      </w:r>
      <w:r>
        <w:rPr>
          <w:rFonts w:ascii="Times New Roman" w:hAnsi="Times New Roman"/>
          <w:sz w:val="24"/>
        </w:rPr>
        <w:t>2013</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04</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10</w:t>
      </w:r>
      <w:r>
        <w:rPr>
          <w:rFonts w:ascii="Times New Roman" w:hAnsi="Times New Roman"/>
          <w:sz w:val="24"/>
        </w:rPr>
        <w:t>日任本基金基金经理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10</w:t>
      </w:r>
      <w:r>
        <w:rPr>
          <w:rFonts w:ascii="Times New Roman" w:hAnsi="Times New Roman"/>
          <w:sz w:val="24"/>
        </w:rPr>
        <w:t>、保存基金财产管理业务活动的记录、账册、报表和其他相关资料；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w:t>
      </w:r>
      <w:r>
        <w:rPr>
          <w:rFonts w:ascii="Times New Roman" w:hAnsi="Times New Roman"/>
          <w:sz w:val="24"/>
        </w:rPr>
        <w:lastRenderedPageBreak/>
        <w:t>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）风险管理部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w:t>
      </w:r>
      <w:r>
        <w:rPr>
          <w:rFonts w:ascii="Times New Roman" w:hAnsi="Times New Roman"/>
          <w:sz w:val="24"/>
        </w:rPr>
        <w:lastRenderedPageBreak/>
        <w:t>公司建立了自下而上的风险报告程序，对风险隐患进行层层汇报，使各个层次的人员及时掌握风险状况，从而以最快速度作出决策。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6" w:name="_Toc54104436"/>
      <w:r>
        <w:rPr>
          <w:rFonts w:ascii="Times New Roman" w:hAnsi="Times New Roman"/>
          <w:sz w:val="30"/>
        </w:rPr>
        <w:t>四、基金托管人</w:t>
      </w:r>
      <w:bookmarkEnd w:id="6"/>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w:t>
      </w:r>
      <w:r>
        <w:rPr>
          <w:rFonts w:ascii="Times New Roman" w:hAnsi="Times New Roman"/>
          <w:sz w:val="24"/>
        </w:rPr>
        <w:lastRenderedPageBreak/>
        <w:t>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lastRenderedPageBreak/>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、内部控制制度及措施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7" w:name="_Toc54104437"/>
      <w:r>
        <w:rPr>
          <w:rFonts w:ascii="Times New Roman" w:hAnsi="Times New Roman"/>
          <w:sz w:val="30"/>
        </w:rPr>
        <w:t>五、相关服务机构</w:t>
      </w:r>
      <w:bookmarkEnd w:id="7"/>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）名称：中国农业银行股份有限公司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）名称：东莞农村商业银行股份有限公司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法定代表人：王耀球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联系人：林培珊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www.drcbank.com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）名称：中信银行股份有限公司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联系人：丰靖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）名称：招商银行股份有限公司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法定代表人：李建红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）名称：江苏常熟农村商业银行股份有限公司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法定代表人：宋建明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联系人：黄晓</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962000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www.csrcbank.com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）名称：江苏江南农村商业银行股份有限公司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法定代表人：陆向阳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0519-80585939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0519-89995170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联系人：蒋姣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96005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http://www.jnbank.com.cn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）名称：中国建设银行股份有限公司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法定代表人：田国立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www.ccb.com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）名称：中国民生银行股份有限公司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住所：北京市西城区复兴门内大街</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法定代表人：洪崎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95568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）名称：上海浦东发展银行股份有限公司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名称：上海浦东发展银行股份有限公司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法定代表人：高国富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www.spdb.com.cn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）名称：中国光大银行股份有限公司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法定代表人：唐双宁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68098778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68560661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）名称：光大证券股份有限公司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）名称：中信证券股份有限公司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）名称：中国中金财富证券有限公司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）名称：中信建投证券股份有限公司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）名称：兴业证券股份有限公司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）名称：华融证券股份有限公司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法定代表人：宋德清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www.hrsec.com.cn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）名称：西南证券股份有限公司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）名称：信达证券股份有限公司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）名称：国金证券股份有限公司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）名称：长城证券有限责任公司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法定代表人：黄耀华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联系人：匡婷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www.cc168.com.cn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）名称：瑞银证券有限责任公司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法定代表人：程宜荪</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58328112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58328740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联系人：牟冲</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400-887-8827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www.ubssecurities.com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）名称：江海证券有限公司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住所：黑龙江省哈尔滨市香坊区赣水路</w:t>
      </w:r>
      <w:r>
        <w:rPr>
          <w:rFonts w:ascii="Times New Roman" w:hAnsi="Times New Roman"/>
          <w:sz w:val="24"/>
        </w:rPr>
        <w:t>56</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法定代表人：孙名扬</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400-666-2288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www.jhzq.com.cn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）名称：中泰证券股份有限公司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）名称：申万宏源西部证券有限公司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www.hysec.com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）名称：中信证券（山东）有限责任公司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法定代表人：姜晓林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）名称：中国银河证券股份有限公司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）名称：申万宏源证券有限公司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）名称：国都证券股份有限公司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）名称：联讯证券股份有限公司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www.lxzq.com.cn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）名称：华西证券股份有限公司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联系人：周志茹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）名称：平安证券股份有限公司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）名称：第一创业证券股份有限公司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法定代表人：刘学民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联系人：崔国良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www.firstcapital.com.cn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）名称：五矿证券有限公司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4028</w:t>
      </w:r>
      <w:r>
        <w:rPr>
          <w:rFonts w:ascii="Times New Roman" w:hAnsi="Times New Roman"/>
          <w:sz w:val="24"/>
        </w:rPr>
        <w:t>号荣超经贸中心</w:t>
      </w:r>
      <w:r>
        <w:rPr>
          <w:rFonts w:ascii="Times New Roman" w:hAnsi="Times New Roman"/>
          <w:sz w:val="24"/>
        </w:rPr>
        <w:t>47</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法定代表人：赵立功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公司客服电话：</w:t>
      </w:r>
      <w:r>
        <w:rPr>
          <w:rFonts w:ascii="Times New Roman" w:hAnsi="Times New Roman"/>
          <w:sz w:val="24"/>
        </w:rPr>
        <w:t>400180028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传真号：</w:t>
      </w:r>
      <w:r>
        <w:rPr>
          <w:rFonts w:ascii="Times New Roman" w:hAnsi="Times New Roman"/>
          <w:sz w:val="24"/>
        </w:rPr>
        <w:t>075582545500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www.wkzq.com.cn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）名称：东方财富证券股份有限公司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住所：西藏自治区拉萨市柳梧新区国际总部城</w:t>
      </w:r>
      <w:r>
        <w:rPr>
          <w:rFonts w:ascii="Times New Roman" w:hAnsi="Times New Roman"/>
          <w:sz w:val="24"/>
        </w:rPr>
        <w:t>10</w:t>
      </w:r>
      <w:r>
        <w:rPr>
          <w:rFonts w:ascii="Times New Roman" w:hAnsi="Times New Roman"/>
          <w:sz w:val="24"/>
        </w:rPr>
        <w:t>栋楼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法定代表人：徐伟琴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http://www.18.cn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）名称：安信证券股份有限公司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）名称：国泰君安证券股份有限公司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注册地址：中国（上海）自由贸易试验区商城路</w:t>
      </w:r>
      <w:r>
        <w:rPr>
          <w:rFonts w:ascii="Times New Roman" w:hAnsi="Times New Roman"/>
          <w:sz w:val="24"/>
        </w:rPr>
        <w:t>618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）名称：德邦证券有限责任公司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）名称：山西证券股份有限公司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住所：山西省太原市府西街</w:t>
      </w:r>
      <w:r>
        <w:rPr>
          <w:rFonts w:ascii="Times New Roman" w:hAnsi="Times New Roman"/>
          <w:sz w:val="24"/>
        </w:rPr>
        <w:t>69</w:t>
      </w:r>
      <w:r>
        <w:rPr>
          <w:rFonts w:ascii="Times New Roman" w:hAnsi="Times New Roman"/>
          <w:sz w:val="24"/>
        </w:rPr>
        <w:t>号山西国际贸易中心东塔楼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办公地址：山西省太原市府西街</w:t>
      </w:r>
      <w:r>
        <w:rPr>
          <w:rFonts w:ascii="Times New Roman" w:hAnsi="Times New Roman"/>
          <w:sz w:val="24"/>
        </w:rPr>
        <w:t>69</w:t>
      </w:r>
      <w:r>
        <w:rPr>
          <w:rFonts w:ascii="Times New Roman" w:hAnsi="Times New Roman"/>
          <w:sz w:val="24"/>
        </w:rPr>
        <w:t>号山西国际贸易中心东塔楼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法定代表人：侯巍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0351—8686815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联系人：谢武兵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400-666-1618</w:t>
      </w:r>
      <w:r>
        <w:rPr>
          <w:rFonts w:ascii="Times New Roman" w:hAnsi="Times New Roman"/>
          <w:sz w:val="24"/>
        </w:rPr>
        <w:t>、</w:t>
      </w:r>
      <w:r>
        <w:rPr>
          <w:rFonts w:ascii="Times New Roman" w:hAnsi="Times New Roman"/>
          <w:sz w:val="24"/>
        </w:rPr>
        <w:t>95573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www.i618.com.cn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）名称：大同证券有限责任公司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注册地址：山西省大同市城区迎宾街</w:t>
      </w:r>
      <w:r>
        <w:rPr>
          <w:rFonts w:ascii="Times New Roman" w:hAnsi="Times New Roman"/>
          <w:sz w:val="24"/>
        </w:rPr>
        <w:t>15</w:t>
      </w:r>
      <w:r>
        <w:rPr>
          <w:rFonts w:ascii="Times New Roman" w:hAnsi="Times New Roman"/>
          <w:sz w:val="24"/>
        </w:rPr>
        <w:t>号桐城中央</w:t>
      </w:r>
      <w:r>
        <w:rPr>
          <w:rFonts w:ascii="Times New Roman" w:hAnsi="Times New Roman"/>
          <w:sz w:val="24"/>
        </w:rPr>
        <w:t>21</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办公地址：太原市长治路</w:t>
      </w:r>
      <w:r>
        <w:rPr>
          <w:rFonts w:ascii="Times New Roman" w:hAnsi="Times New Roman"/>
          <w:sz w:val="24"/>
        </w:rPr>
        <w:t xml:space="preserve"> 111 </w:t>
      </w:r>
      <w:r>
        <w:rPr>
          <w:rFonts w:ascii="Times New Roman" w:hAnsi="Times New Roman"/>
          <w:sz w:val="24"/>
        </w:rPr>
        <w:t>号山西世贸中心</w:t>
      </w:r>
      <w:r>
        <w:rPr>
          <w:rFonts w:ascii="Times New Roman" w:hAnsi="Times New Roman"/>
          <w:sz w:val="24"/>
        </w:rPr>
        <w:t xml:space="preserve"> A </w:t>
      </w:r>
      <w:r>
        <w:rPr>
          <w:rFonts w:ascii="Times New Roman" w:hAnsi="Times New Roman"/>
          <w:sz w:val="24"/>
        </w:rPr>
        <w:t>座</w:t>
      </w:r>
      <w:r>
        <w:rPr>
          <w:rFonts w:ascii="Times New Roman" w:hAnsi="Times New Roman"/>
          <w:sz w:val="24"/>
        </w:rPr>
        <w:t xml:space="preserve"> F12</w:t>
      </w:r>
      <w:r>
        <w:rPr>
          <w:rFonts w:ascii="Times New Roman" w:hAnsi="Times New Roman"/>
          <w:sz w:val="24"/>
        </w:rPr>
        <w:t>、</w:t>
      </w:r>
      <w:r>
        <w:rPr>
          <w:rFonts w:ascii="Times New Roman" w:hAnsi="Times New Roman"/>
          <w:sz w:val="24"/>
        </w:rPr>
        <w:t>F13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030600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法定代表人：董祥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rFonts w:ascii="Times New Roman" w:hAnsi="Times New Roman"/>
          <w:sz w:val="24"/>
        </w:rPr>
        <w:t>0351</w:t>
      </w:r>
      <w:r>
        <w:rPr>
          <w:rFonts w:ascii="Times New Roman" w:hAnsi="Times New Roman"/>
          <w:sz w:val="24"/>
        </w:rPr>
        <w:t>）</w:t>
      </w:r>
      <w:r>
        <w:rPr>
          <w:rFonts w:ascii="Times New Roman" w:hAnsi="Times New Roman"/>
          <w:sz w:val="24"/>
        </w:rPr>
        <w:t>4130322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w:t>
      </w:r>
      <w:r>
        <w:rPr>
          <w:rFonts w:ascii="Times New Roman" w:hAnsi="Times New Roman"/>
          <w:sz w:val="24"/>
        </w:rPr>
        <w:t xml:space="preserve"> </w:t>
      </w:r>
      <w:r>
        <w:rPr>
          <w:rFonts w:ascii="Times New Roman" w:hAnsi="Times New Roman"/>
          <w:sz w:val="24"/>
        </w:rPr>
        <w:t>真：（</w:t>
      </w:r>
      <w:r>
        <w:rPr>
          <w:rFonts w:ascii="Times New Roman" w:hAnsi="Times New Roman"/>
          <w:sz w:val="24"/>
        </w:rPr>
        <w:t>0351</w:t>
      </w:r>
      <w:r>
        <w:rPr>
          <w:rFonts w:ascii="Times New Roman" w:hAnsi="Times New Roman"/>
          <w:sz w:val="24"/>
        </w:rPr>
        <w:t>）</w:t>
      </w:r>
      <w:r>
        <w:rPr>
          <w:rFonts w:ascii="Times New Roman" w:hAnsi="Times New Roman"/>
          <w:sz w:val="24"/>
        </w:rPr>
        <w:t>7219891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4007121212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www.dtsbc.com.cn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）名称：联储证券有限责任公司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住所：深圳市福田区福田街道岗厦社区深南大道南侧金地中心大厦</w:t>
      </w:r>
      <w:r>
        <w:rPr>
          <w:rFonts w:ascii="Times New Roman" w:hAnsi="Times New Roman"/>
          <w:sz w:val="24"/>
        </w:rPr>
        <w:t>9</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办公地址：北京市朝阳区安定路</w:t>
      </w:r>
      <w:r>
        <w:rPr>
          <w:rFonts w:ascii="Times New Roman" w:hAnsi="Times New Roman"/>
          <w:sz w:val="24"/>
        </w:rPr>
        <w:t>5</w:t>
      </w:r>
      <w:r>
        <w:rPr>
          <w:rFonts w:ascii="Times New Roman" w:hAnsi="Times New Roman"/>
          <w:sz w:val="24"/>
        </w:rPr>
        <w:t>号院</w:t>
      </w:r>
      <w:r>
        <w:rPr>
          <w:rFonts w:ascii="Times New Roman" w:hAnsi="Times New Roman"/>
          <w:sz w:val="24"/>
        </w:rPr>
        <w:t>3</w:t>
      </w:r>
      <w:r>
        <w:rPr>
          <w:rFonts w:ascii="Times New Roman" w:hAnsi="Times New Roman"/>
          <w:sz w:val="24"/>
        </w:rPr>
        <w:t>号楼中建财富国际中心</w:t>
      </w:r>
      <w:r>
        <w:rPr>
          <w:rFonts w:ascii="Times New Roman" w:hAnsi="Times New Roman"/>
          <w:sz w:val="24"/>
        </w:rPr>
        <w:t>27</w:t>
      </w:r>
      <w:r>
        <w:rPr>
          <w:rFonts w:ascii="Times New Roman" w:hAnsi="Times New Roman"/>
          <w:sz w:val="24"/>
        </w:rPr>
        <w:t>层联储证券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法定代表人：吕春卫</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010-86499401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祝博文、张婉婷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 400-620-6868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www.lczq.com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）名称：招商证券股份有限公司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法定代表人：霍达</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）名称：华泰证券股份有限公司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联系人：胡子豪</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）名称：浙商证券股份有限公司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住所：浙江省杭州市江干区五星路</w:t>
      </w:r>
      <w:r>
        <w:rPr>
          <w:rFonts w:ascii="Times New Roman" w:hAnsi="Times New Roman"/>
          <w:sz w:val="24"/>
        </w:rPr>
        <w:t>201</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办公地址：浙江省杭州市江干区五星路</w:t>
      </w:r>
      <w:r>
        <w:rPr>
          <w:rFonts w:ascii="Times New Roman" w:hAnsi="Times New Roman"/>
          <w:sz w:val="24"/>
        </w:rPr>
        <w:t>201</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法定代表人：吴承根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87901964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87901955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联系人：胡相斌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95345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www.stocke.com.cn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）名称：海通证券股份有限公司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）名称：恒泰证券股份有限公司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住所：内蒙古呼和浩特市新城区新华东街</w:t>
      </w:r>
      <w:r>
        <w:rPr>
          <w:rFonts w:ascii="Times New Roman" w:hAnsi="Times New Roman"/>
          <w:sz w:val="24"/>
        </w:rPr>
        <w:t>111</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办公地址：内蒙古呼和浩特市新城区新华东街</w:t>
      </w:r>
      <w:r>
        <w:rPr>
          <w:rFonts w:ascii="Times New Roman" w:hAnsi="Times New Roman"/>
          <w:sz w:val="24"/>
        </w:rPr>
        <w:t>111</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法定代表人：庞介民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0471</w:t>
      </w:r>
      <w:r>
        <w:rPr>
          <w:rFonts w:ascii="Times New Roman" w:hAnsi="Times New Roman"/>
          <w:sz w:val="24"/>
        </w:rPr>
        <w:t>）</w:t>
      </w:r>
      <w:r>
        <w:rPr>
          <w:rFonts w:ascii="Times New Roman" w:hAnsi="Times New Roman"/>
          <w:sz w:val="24"/>
        </w:rPr>
        <w:t>4979037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0471</w:t>
      </w:r>
      <w:r>
        <w:rPr>
          <w:rFonts w:ascii="Times New Roman" w:hAnsi="Times New Roman"/>
          <w:sz w:val="24"/>
        </w:rPr>
        <w:t>）</w:t>
      </w:r>
      <w:r>
        <w:rPr>
          <w:rFonts w:ascii="Times New Roman" w:hAnsi="Times New Roman"/>
          <w:sz w:val="24"/>
        </w:rPr>
        <w:t>4961259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联系人：王旭华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0471</w:t>
      </w:r>
      <w:r>
        <w:rPr>
          <w:rFonts w:ascii="Times New Roman" w:hAnsi="Times New Roman"/>
          <w:sz w:val="24"/>
        </w:rPr>
        <w:t>）</w:t>
      </w:r>
      <w:r>
        <w:rPr>
          <w:rFonts w:ascii="Times New Roman" w:hAnsi="Times New Roman"/>
          <w:sz w:val="24"/>
        </w:rPr>
        <w:t>4960762</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68405273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www.cnht.com.cn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）名称：中信证券华南股份有限公司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法定代表人：胡伏云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020-88836999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020-88836984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www.gzs.com.cn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）名称：国信证券股份有限公司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）名称：方正证券股份有限公司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）名称：长城国瑞证券有限公司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0592</w:t>
      </w:r>
      <w:r>
        <w:rPr>
          <w:rFonts w:ascii="Times New Roman" w:hAnsi="Times New Roman"/>
          <w:sz w:val="24"/>
        </w:rPr>
        <w:t>）</w:t>
      </w:r>
      <w:r>
        <w:rPr>
          <w:rFonts w:ascii="Times New Roman" w:hAnsi="Times New Roman"/>
          <w:sz w:val="24"/>
        </w:rPr>
        <w:t>5161642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0592</w:t>
      </w:r>
      <w:r>
        <w:rPr>
          <w:rFonts w:ascii="Times New Roman" w:hAnsi="Times New Roman"/>
          <w:sz w:val="24"/>
        </w:rPr>
        <w:t>）</w:t>
      </w:r>
      <w:r>
        <w:rPr>
          <w:rFonts w:ascii="Times New Roman" w:hAnsi="Times New Roman"/>
          <w:sz w:val="24"/>
        </w:rPr>
        <w:t>5161640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0592</w:t>
      </w:r>
      <w:r>
        <w:rPr>
          <w:rFonts w:ascii="Times New Roman" w:hAnsi="Times New Roman"/>
          <w:sz w:val="24"/>
        </w:rPr>
        <w:t>）</w:t>
      </w:r>
      <w:r>
        <w:rPr>
          <w:rFonts w:ascii="Times New Roman" w:hAnsi="Times New Roman"/>
          <w:sz w:val="24"/>
        </w:rPr>
        <w:t>5163588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www.xmzq.cn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）名称：北京钱景财富投资管理有限公司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）名称：上海大智慧基金销售有限公司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）名称：上海利得基金销售有限公司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）名称：上海凯石财富基金销售有限公司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）名称：北京虹点基金销售有限公司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）名称：上海好买基金销售有限公司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）名称：上海长量基金销售投资顾问有限公司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）名称：深圳众禄基金销售有限公司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）名称：蚂蚁（杭州）基金销售有限公司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www.fund123.cn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）名称：天相投资顾问有限公司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法定代表人：林义相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）名称：深圳市新兰德证券投资咨询有限公司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）名称：北京展恒基金销售股份有限公司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）名称：一路财富（北京）信息科技有限公司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）名称：中国国际金融股份有限公司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）名称：和讯信息科技有限公司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）名称：上海天天基金销售有限公司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联系人：潘世友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）名称：上海联泰资产管理有限公司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）名称：珠海盈米财富管理有限公司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）名称：上海基煜基金销售有限公司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www.jiyufund.com.cn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）名称：宜信普泽投资顾问（北京）有限公司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）名称：浙江同花顺基金销售有限公司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）名称：中信期货有限公司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74</w:t>
      </w:r>
      <w:r>
        <w:rPr>
          <w:rFonts w:ascii="Times New Roman" w:hAnsi="Times New Roman"/>
          <w:sz w:val="24"/>
        </w:rPr>
        <w:t>）名称：上海陆金所资产管理有限公司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）名称：北京恒天明泽基金销售有限公司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）名称：北京汇成基金销售有限公司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）名称：奕丰基金销售有限公司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）名称：北京创金启富投资管理有限公司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）名称：上海云湾投资管理有限公司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80</w:t>
      </w:r>
      <w:r>
        <w:rPr>
          <w:rFonts w:ascii="Times New Roman" w:hAnsi="Times New Roman"/>
          <w:sz w:val="24"/>
        </w:rPr>
        <w:t>）名称：中证金牛（北京）投资咨询有限公司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81</w:t>
      </w:r>
      <w:r>
        <w:rPr>
          <w:rFonts w:ascii="Times New Roman" w:hAnsi="Times New Roman"/>
          <w:sz w:val="24"/>
        </w:rPr>
        <w:t>）名称：北京新浪仓石基金销售有限公司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82</w:t>
      </w:r>
      <w:r>
        <w:rPr>
          <w:rFonts w:ascii="Times New Roman" w:hAnsi="Times New Roman"/>
          <w:sz w:val="24"/>
        </w:rPr>
        <w:t>）名称：北京肯特瑞基金销售有限公司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83</w:t>
      </w:r>
      <w:r>
        <w:rPr>
          <w:rFonts w:ascii="Times New Roman" w:hAnsi="Times New Roman"/>
          <w:sz w:val="24"/>
        </w:rPr>
        <w:t>）名称：北京蛋卷基金销售有限公司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84</w:t>
      </w:r>
      <w:r>
        <w:rPr>
          <w:rFonts w:ascii="Times New Roman" w:hAnsi="Times New Roman"/>
          <w:sz w:val="24"/>
        </w:rPr>
        <w:t>）名称：凤凰金信（银川）投资管理有限公司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85</w:t>
      </w:r>
      <w:r>
        <w:rPr>
          <w:rFonts w:ascii="Times New Roman" w:hAnsi="Times New Roman"/>
          <w:sz w:val="24"/>
        </w:rPr>
        <w:t>）名称：深圳市金斧子基金销售有限公司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86</w:t>
      </w:r>
      <w:r>
        <w:rPr>
          <w:rFonts w:ascii="Times New Roman" w:hAnsi="Times New Roman"/>
          <w:sz w:val="24"/>
        </w:rPr>
        <w:t>）名称：格上富信投资顾问有限公司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400-066-8586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87</w:t>
      </w:r>
      <w:r>
        <w:rPr>
          <w:rFonts w:ascii="Times New Roman" w:hAnsi="Times New Roman"/>
          <w:sz w:val="24"/>
        </w:rPr>
        <w:t>）名称：上海万得基金销售有限公司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88</w:t>
      </w:r>
      <w:r>
        <w:rPr>
          <w:rFonts w:ascii="Times New Roman" w:hAnsi="Times New Roman"/>
          <w:sz w:val="24"/>
        </w:rPr>
        <w:t>）名称：天津万家财富资产管理有限公司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89</w:t>
      </w:r>
      <w:r>
        <w:rPr>
          <w:rFonts w:ascii="Times New Roman" w:hAnsi="Times New Roman"/>
          <w:sz w:val="24"/>
        </w:rPr>
        <w:t>）名称：上海挖财金融信息服务有限公司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90</w:t>
      </w:r>
      <w:r>
        <w:rPr>
          <w:rFonts w:ascii="Times New Roman" w:hAnsi="Times New Roman"/>
          <w:sz w:val="24"/>
        </w:rPr>
        <w:t>）名称：嘉实财富管理有限公司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91</w:t>
      </w:r>
      <w:r>
        <w:rPr>
          <w:rFonts w:ascii="Times New Roman" w:hAnsi="Times New Roman"/>
          <w:sz w:val="24"/>
        </w:rPr>
        <w:t>）名称：财通证券股份有限公司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注册地址：杭州市杭大路</w:t>
      </w:r>
      <w:r>
        <w:rPr>
          <w:rFonts w:ascii="Times New Roman" w:hAnsi="Times New Roman"/>
          <w:sz w:val="24"/>
        </w:rPr>
        <w:t>15</w:t>
      </w:r>
      <w:r>
        <w:rPr>
          <w:rFonts w:ascii="Times New Roman" w:hAnsi="Times New Roman"/>
          <w:sz w:val="24"/>
        </w:rPr>
        <w:t>号嘉华国际商务中心</w:t>
      </w:r>
      <w:r>
        <w:rPr>
          <w:rFonts w:ascii="Times New Roman" w:hAnsi="Times New Roman"/>
          <w:sz w:val="24"/>
        </w:rPr>
        <w:t>201</w:t>
      </w:r>
      <w:r>
        <w:rPr>
          <w:rFonts w:ascii="Times New Roman" w:hAnsi="Times New Roman"/>
          <w:sz w:val="24"/>
        </w:rPr>
        <w:t>、</w:t>
      </w:r>
      <w:r>
        <w:rPr>
          <w:rFonts w:ascii="Times New Roman" w:hAnsi="Times New Roman"/>
          <w:sz w:val="24"/>
        </w:rPr>
        <w:t>501</w:t>
      </w:r>
      <w:r>
        <w:rPr>
          <w:rFonts w:ascii="Times New Roman" w:hAnsi="Times New Roman"/>
          <w:sz w:val="24"/>
        </w:rPr>
        <w:t>、</w:t>
      </w:r>
      <w:r>
        <w:rPr>
          <w:rFonts w:ascii="Times New Roman" w:hAnsi="Times New Roman"/>
          <w:sz w:val="24"/>
        </w:rPr>
        <w:t>502</w:t>
      </w:r>
      <w:r>
        <w:rPr>
          <w:rFonts w:ascii="Times New Roman" w:hAnsi="Times New Roman"/>
          <w:sz w:val="24"/>
        </w:rPr>
        <w:t>、</w:t>
      </w:r>
      <w:r>
        <w:rPr>
          <w:rFonts w:ascii="Times New Roman" w:hAnsi="Times New Roman"/>
          <w:sz w:val="24"/>
        </w:rPr>
        <w:t>1103</w:t>
      </w:r>
      <w:r>
        <w:rPr>
          <w:rFonts w:ascii="Times New Roman" w:hAnsi="Times New Roman"/>
          <w:sz w:val="24"/>
        </w:rPr>
        <w:t>、</w:t>
      </w:r>
      <w:r>
        <w:rPr>
          <w:rFonts w:ascii="Times New Roman" w:hAnsi="Times New Roman"/>
          <w:sz w:val="24"/>
        </w:rPr>
        <w:t>1601-1615</w:t>
      </w:r>
      <w:r>
        <w:rPr>
          <w:rFonts w:ascii="Times New Roman" w:hAnsi="Times New Roman"/>
          <w:sz w:val="24"/>
        </w:rPr>
        <w:t>、</w:t>
      </w:r>
      <w:r>
        <w:rPr>
          <w:rFonts w:ascii="Times New Roman" w:hAnsi="Times New Roman"/>
          <w:sz w:val="24"/>
        </w:rPr>
        <w:t>1701-1716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办公地址：杭州市杭大路</w:t>
      </w:r>
      <w:r>
        <w:rPr>
          <w:rFonts w:ascii="Times New Roman" w:hAnsi="Times New Roman"/>
          <w:sz w:val="24"/>
        </w:rPr>
        <w:t>15</w:t>
      </w:r>
      <w:r>
        <w:rPr>
          <w:rFonts w:ascii="Times New Roman" w:hAnsi="Times New Roman"/>
          <w:sz w:val="24"/>
        </w:rPr>
        <w:t>号嘉华国际商务中心</w:t>
      </w:r>
      <w:r>
        <w:rPr>
          <w:rFonts w:ascii="Times New Roman" w:hAnsi="Times New Roman"/>
          <w:sz w:val="24"/>
        </w:rPr>
        <w:t>201</w:t>
      </w:r>
      <w:r>
        <w:rPr>
          <w:rFonts w:ascii="Times New Roman" w:hAnsi="Times New Roman"/>
          <w:sz w:val="24"/>
        </w:rPr>
        <w:t>、</w:t>
      </w:r>
      <w:r>
        <w:rPr>
          <w:rFonts w:ascii="Times New Roman" w:hAnsi="Times New Roman"/>
          <w:sz w:val="24"/>
        </w:rPr>
        <w:t>501</w:t>
      </w:r>
      <w:r>
        <w:rPr>
          <w:rFonts w:ascii="Times New Roman" w:hAnsi="Times New Roman"/>
          <w:sz w:val="24"/>
        </w:rPr>
        <w:t>、</w:t>
      </w:r>
      <w:r>
        <w:rPr>
          <w:rFonts w:ascii="Times New Roman" w:hAnsi="Times New Roman"/>
          <w:sz w:val="24"/>
        </w:rPr>
        <w:t>502</w:t>
      </w:r>
      <w:r>
        <w:rPr>
          <w:rFonts w:ascii="Times New Roman" w:hAnsi="Times New Roman"/>
          <w:sz w:val="24"/>
        </w:rPr>
        <w:t>、</w:t>
      </w:r>
      <w:r>
        <w:rPr>
          <w:rFonts w:ascii="Times New Roman" w:hAnsi="Times New Roman"/>
          <w:sz w:val="24"/>
        </w:rPr>
        <w:t>1103</w:t>
      </w:r>
      <w:r>
        <w:rPr>
          <w:rFonts w:ascii="Times New Roman" w:hAnsi="Times New Roman"/>
          <w:sz w:val="24"/>
        </w:rPr>
        <w:t>、</w:t>
      </w:r>
      <w:r>
        <w:rPr>
          <w:rFonts w:ascii="Times New Roman" w:hAnsi="Times New Roman"/>
          <w:sz w:val="24"/>
        </w:rPr>
        <w:t>1601-1615</w:t>
      </w:r>
      <w:r>
        <w:rPr>
          <w:rFonts w:ascii="Times New Roman" w:hAnsi="Times New Roman"/>
          <w:sz w:val="24"/>
        </w:rPr>
        <w:t>、</w:t>
      </w:r>
      <w:r>
        <w:rPr>
          <w:rFonts w:ascii="Times New Roman" w:hAnsi="Times New Roman"/>
          <w:sz w:val="24"/>
        </w:rPr>
        <w:t>1701-1716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沈继宁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0571-87789160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陶志华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95336,40086-96336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www.ctsec.com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92</w:t>
      </w:r>
      <w:r>
        <w:rPr>
          <w:rFonts w:ascii="Times New Roman" w:hAnsi="Times New Roman"/>
          <w:sz w:val="24"/>
        </w:rPr>
        <w:t>）名称：南京苏宁基金销售有限公司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93</w:t>
      </w:r>
      <w:r>
        <w:rPr>
          <w:rFonts w:ascii="Times New Roman" w:hAnsi="Times New Roman"/>
          <w:sz w:val="24"/>
        </w:rPr>
        <w:t>）名称：北京百度百盈基金销售有限公司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张旭阳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94</w:t>
      </w:r>
      <w:r>
        <w:rPr>
          <w:rFonts w:ascii="Times New Roman" w:hAnsi="Times New Roman"/>
          <w:sz w:val="24"/>
        </w:rPr>
        <w:t>）名称：腾安基金销售（深圳）有限公司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办公地址：深圳市南山区海天二路</w:t>
      </w:r>
      <w:r>
        <w:rPr>
          <w:rFonts w:ascii="Times New Roman" w:hAnsi="Times New Roman"/>
          <w:sz w:val="24"/>
        </w:rPr>
        <w:t>33</w:t>
      </w:r>
      <w:r>
        <w:rPr>
          <w:rFonts w:ascii="Times New Roman" w:hAnsi="Times New Roman"/>
          <w:sz w:val="24"/>
        </w:rPr>
        <w:t>号腾讯滨海大厦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法定代表人：刘明军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联系人：谭广峰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http://www.tenganxinxi.com/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95</w:t>
      </w:r>
      <w:r>
        <w:rPr>
          <w:rFonts w:ascii="Times New Roman" w:hAnsi="Times New Roman"/>
          <w:sz w:val="24"/>
        </w:rPr>
        <w:t>）名称：北京唐鼎耀华投资咨询有限公司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96</w:t>
      </w:r>
      <w:r>
        <w:rPr>
          <w:rFonts w:ascii="Times New Roman" w:hAnsi="Times New Roman"/>
          <w:sz w:val="24"/>
        </w:rPr>
        <w:t>）名称：上海华夏财富投资管理有限公司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张静怡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97</w:t>
      </w:r>
      <w:r>
        <w:rPr>
          <w:rFonts w:ascii="Times New Roman" w:hAnsi="Times New Roman"/>
          <w:sz w:val="24"/>
        </w:rPr>
        <w:t>）名称：江苏汇林保大基金销售有限公司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98</w:t>
      </w:r>
      <w:r>
        <w:rPr>
          <w:rFonts w:ascii="Times New Roman" w:hAnsi="Times New Roman"/>
          <w:sz w:val="24"/>
        </w:rPr>
        <w:t>）名称：玄元保险代理有限公司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99</w:t>
      </w:r>
      <w:r>
        <w:rPr>
          <w:rFonts w:ascii="Times New Roman" w:hAnsi="Times New Roman"/>
          <w:sz w:val="24"/>
        </w:rPr>
        <w:t>）名称：阳光人寿保险股份有限公司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100</w:t>
      </w:r>
      <w:r>
        <w:rPr>
          <w:rFonts w:ascii="Times New Roman" w:hAnsi="Times New Roman"/>
          <w:sz w:val="24"/>
        </w:rPr>
        <w:t>）名称：大连网金基金销售有限公司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基金管理人可根据有关法律法规的要求，选择其它符合要求的机构销售本基金，并在管理人网站公示。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6</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经办注册会计师：童咏静、朱宏宇</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8" w:name="_Toc54104438"/>
      <w:r>
        <w:rPr>
          <w:rFonts w:ascii="Times New Roman" w:hAnsi="Times New Roman"/>
          <w:sz w:val="30"/>
        </w:rPr>
        <w:t>六、基金的募集</w:t>
      </w:r>
      <w:bookmarkEnd w:id="8"/>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[2013]753</w:t>
      </w:r>
      <w:r>
        <w:rPr>
          <w:rFonts w:ascii="Times New Roman" w:hAnsi="Times New Roman"/>
          <w:sz w:val="24"/>
        </w:rPr>
        <w:t>号文核准募集发售。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本基金为契约型开放式混合型基金。基金存续期间为不定期。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7</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30</w:t>
      </w:r>
      <w:r>
        <w:rPr>
          <w:rFonts w:ascii="Times New Roman" w:hAnsi="Times New Roman"/>
          <w:sz w:val="24"/>
        </w:rPr>
        <w:t>日进行发售。本基金设立募集期共募集</w:t>
      </w:r>
      <w:r>
        <w:rPr>
          <w:rFonts w:ascii="Times New Roman" w:hAnsi="Times New Roman"/>
          <w:sz w:val="24"/>
        </w:rPr>
        <w:t>642,313,653.44</w:t>
      </w:r>
      <w:r>
        <w:rPr>
          <w:rFonts w:ascii="Times New Roman" w:hAnsi="Times New Roman"/>
          <w:sz w:val="24"/>
        </w:rPr>
        <w:t>份基金份额，有效认购户数为</w:t>
      </w:r>
      <w:r>
        <w:rPr>
          <w:rFonts w:ascii="Times New Roman" w:hAnsi="Times New Roman"/>
          <w:sz w:val="24"/>
        </w:rPr>
        <w:t>7,039</w:t>
      </w:r>
      <w:r>
        <w:rPr>
          <w:rFonts w:ascii="Times New Roman" w:hAnsi="Times New Roman"/>
          <w:sz w:val="24"/>
        </w:rPr>
        <w:t>户。</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9" w:name="_Toc54104439"/>
      <w:r>
        <w:rPr>
          <w:rFonts w:ascii="Times New Roman" w:hAnsi="Times New Roman"/>
          <w:sz w:val="30"/>
        </w:rPr>
        <w:t>七、基金合同的生效</w:t>
      </w:r>
      <w:bookmarkEnd w:id="9"/>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2013</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4</w:t>
      </w:r>
      <w:r>
        <w:rPr>
          <w:rFonts w:ascii="Times New Roman" w:hAnsi="Times New Roman"/>
          <w:sz w:val="24"/>
        </w:rPr>
        <w:t>日正式生效。自基金合同生效之日起，本基金管理人正式开始管理本基金。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万元的，基金管理人应当及时报告中国证监会；连续</w:t>
      </w:r>
      <w:r>
        <w:rPr>
          <w:rFonts w:ascii="Times New Roman" w:hAnsi="Times New Roman"/>
          <w:sz w:val="24"/>
        </w:rPr>
        <w:t>20</w:t>
      </w:r>
      <w:r>
        <w:rPr>
          <w:rFonts w:ascii="Times New Roman" w:hAnsi="Times New Roman"/>
          <w:sz w:val="24"/>
        </w:rPr>
        <w:t>个工作日出现前述情形的，基金管理人应当向中国证监会说明原因并报送解决方案。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0" w:name="_Toc54104440"/>
      <w:r>
        <w:rPr>
          <w:rFonts w:ascii="Times New Roman" w:hAnsi="Times New Roman"/>
          <w:sz w:val="30"/>
        </w:rPr>
        <w:t>八、基金份额的申购与赎回</w:t>
      </w:r>
      <w:bookmarkEnd w:id="10"/>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由投资者主动申请办理的申购、赎回等业务适用本部分的约定。本基金定期支付发起的自动赎回适用本招募说明书第九部分</w:t>
      </w:r>
      <w:r>
        <w:rPr>
          <w:rFonts w:ascii="Times New Roman" w:hAnsi="Times New Roman"/>
          <w:sz w:val="24"/>
        </w:rPr>
        <w:t>“</w:t>
      </w:r>
      <w:r>
        <w:rPr>
          <w:rFonts w:ascii="Times New Roman" w:hAnsi="Times New Roman"/>
          <w:sz w:val="24"/>
        </w:rPr>
        <w:t>基金的定期支付</w:t>
      </w:r>
      <w:r>
        <w:rPr>
          <w:rFonts w:ascii="Times New Roman" w:hAnsi="Times New Roman"/>
          <w:sz w:val="24"/>
        </w:rPr>
        <w:t>”</w:t>
      </w:r>
      <w:r>
        <w:rPr>
          <w:rFonts w:ascii="Times New Roman" w:hAnsi="Times New Roman"/>
          <w:sz w:val="24"/>
        </w:rPr>
        <w:t>的约定。</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本基金直销机构为本公司以及本公司的网上直销交易平台。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个人投资者可以通过本公司网上直销交易平台办理开户、本基金的申购、赎回、定期定额投资、转换等业务，具体交易细则请参阅本公司网站。网上直销交易平台网址：</w:t>
      </w:r>
      <w:r>
        <w:rPr>
          <w:rFonts w:ascii="Times New Roman" w:hAnsi="Times New Roman"/>
          <w:sz w:val="24"/>
        </w:rPr>
        <w:t>www.fund001.com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本基金的代销机构参见本招募说明书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投资人可通过上述销售机构办理基金申购、赎回业务的营业场所或按上述销售机构提供的其他方式进行申购或赎回。本基金管理人可根据情况变更或增减基金代销机构，并在管理人网站公示。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若基金管理人或其指定的代销机构开通电话、传真或网上等交易方式，投资人可以通过上述方式进行申购与赎回。</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、申购的开始日及业务办理时间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w:t>
      </w:r>
      <w:r>
        <w:rPr>
          <w:rFonts w:ascii="Times New Roman" w:hAnsi="Times New Roman"/>
          <w:sz w:val="24"/>
        </w:rPr>
        <w:t>日起开放申购业务。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、赎回的开始日及业务办理时间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w:t>
      </w:r>
      <w:r>
        <w:rPr>
          <w:rFonts w:ascii="Times New Roman" w:hAnsi="Times New Roman"/>
          <w:sz w:val="24"/>
        </w:rPr>
        <w:t>日起开放赎回业务。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、当日的申购与赎回申请可以在基金管理人规定的时间以内撤销，但申请经登记机构正式受理的不得撤销；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w:t>
      </w:r>
      <w:r>
        <w:rPr>
          <w:rFonts w:ascii="Times New Roman" w:hAnsi="Times New Roman"/>
          <w:sz w:val="24"/>
        </w:rPr>
        <w:lastRenderedPageBreak/>
        <w:t>金）记录的投资人不受首次申购最低金额的限制。通过本公司网上直销交易平台办理基金申购业务的不受直销机构单笔申购最低金额的限制，申购最低金额为单笔</w:t>
      </w:r>
      <w:r>
        <w:rPr>
          <w:rFonts w:ascii="Times New Roman" w:hAnsi="Times New Roman"/>
          <w:sz w:val="24"/>
        </w:rPr>
        <w:t xml:space="preserve">1 </w:t>
      </w:r>
      <w:r>
        <w:rPr>
          <w:rFonts w:ascii="Times New Roman" w:hAnsi="Times New Roman"/>
          <w:sz w:val="24"/>
        </w:rPr>
        <w:t>元。本基金直销机构单笔申购最低金额可由基金管理人酌情调整。各代销机构接受申购申请的最低金额为单笔</w:t>
      </w:r>
      <w:r>
        <w:rPr>
          <w:rFonts w:ascii="Times New Roman" w:hAnsi="Times New Roman"/>
          <w:sz w:val="24"/>
        </w:rPr>
        <w:t>1</w:t>
      </w:r>
      <w:r>
        <w:rPr>
          <w:rFonts w:ascii="Times New Roman" w:hAnsi="Times New Roman"/>
          <w:sz w:val="24"/>
        </w:rPr>
        <w:t>元，如果代销机构业务规则规定的最低单笔申购金额高于</w:t>
      </w:r>
      <w:r>
        <w:rPr>
          <w:rFonts w:ascii="Times New Roman" w:hAnsi="Times New Roman"/>
          <w:sz w:val="24"/>
        </w:rPr>
        <w:t>1</w:t>
      </w:r>
      <w:r>
        <w:rPr>
          <w:rFonts w:ascii="Times New Roman" w:hAnsi="Times New Roman"/>
          <w:sz w:val="24"/>
        </w:rPr>
        <w:t>元，以代销机构的规定为准。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份时，若当日该账户同时有份额减少类业务（如赎回、转换出、定期支付发起的自动赎回等）被确认，则基金管理人有权将投资人在该账户保留的本基金份额一次性全部赎回。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、本基金当月进行定期支付，当月自动赎回用以定期支付的基金份额从当月定期支付基准日（</w:t>
      </w:r>
      <w:r>
        <w:rPr>
          <w:rFonts w:ascii="Times New Roman" w:hAnsi="Times New Roman"/>
          <w:sz w:val="24"/>
        </w:rPr>
        <w:t>T</w:t>
      </w:r>
      <w:r>
        <w:rPr>
          <w:rFonts w:ascii="Times New Roman" w:hAnsi="Times New Roman"/>
          <w:sz w:val="24"/>
        </w:rPr>
        <w:t>日）的下一工作日起（含该日）从投资人的基金交易账户中扣减，基金交易账户中扣减后的基金份额余额自</w:t>
      </w:r>
      <w:r>
        <w:rPr>
          <w:rFonts w:ascii="Times New Roman" w:hAnsi="Times New Roman"/>
          <w:sz w:val="24"/>
        </w:rPr>
        <w:t>T+2</w:t>
      </w:r>
      <w:r>
        <w:rPr>
          <w:rFonts w:ascii="Times New Roman" w:hAnsi="Times New Roman"/>
          <w:sz w:val="24"/>
        </w:rPr>
        <w:t>日起（含该日）方可查询，可能会导致基金份额持有人在定期支付基准日（</w:t>
      </w:r>
      <w:r>
        <w:rPr>
          <w:rFonts w:ascii="Times New Roman" w:hAnsi="Times New Roman"/>
          <w:sz w:val="24"/>
        </w:rPr>
        <w:t>T</w:t>
      </w:r>
      <w:r>
        <w:rPr>
          <w:rFonts w:ascii="Times New Roman" w:hAnsi="Times New Roman"/>
          <w:sz w:val="24"/>
        </w:rPr>
        <w:t>日）的下一工作日（</w:t>
      </w:r>
      <w:r>
        <w:rPr>
          <w:rFonts w:ascii="Times New Roman" w:hAnsi="Times New Roman"/>
          <w:sz w:val="24"/>
        </w:rPr>
        <w:t>T+1</w:t>
      </w:r>
      <w:r>
        <w:rPr>
          <w:rFonts w:ascii="Times New Roman" w:hAnsi="Times New Roman"/>
          <w:sz w:val="24"/>
        </w:rPr>
        <w:t>日）提交的赎回或转换出申请因提交申请的份额余额大于实际的份额余额而被确认失败。对于发生基金份额持有人在</w:t>
      </w:r>
      <w:r>
        <w:rPr>
          <w:rFonts w:ascii="Times New Roman" w:hAnsi="Times New Roman"/>
          <w:sz w:val="24"/>
        </w:rPr>
        <w:t>T+1</w:t>
      </w:r>
      <w:r>
        <w:rPr>
          <w:rFonts w:ascii="Times New Roman" w:hAnsi="Times New Roman"/>
          <w:sz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日提交的有效申请，投资人可在</w:t>
      </w:r>
      <w:r>
        <w:rPr>
          <w:rFonts w:ascii="Times New Roman" w:hAnsi="Times New Roman"/>
          <w:sz w:val="24"/>
        </w:rPr>
        <w:t>T+2</w:t>
      </w:r>
      <w:r>
        <w:rPr>
          <w:rFonts w:ascii="Times New Roman" w:hAnsi="Times New Roman"/>
          <w:sz w:val="24"/>
        </w:rPr>
        <w:t>日后（包括该日）到销售网点柜台或以销售机构规定的其他方式查询申请的确认情况。若申购不成功，则申购款项退还给投资人。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、申购和赎回的款项支付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日（包括该日）内支付赎回款项。在发生巨额赎回时，款项的支付办法参照本基金合同有关条款处理。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、申购和赎回的注册登记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日为投资人增加权益并办理注册登记手续，投资人自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日为投资人扣除权益并办理相应的注册登记手续。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）基金管理人可在法律法规允许的范围内，对上述注册登记办理时间进行调整，并于开始实施前按照《信息披露办法》的有关规定在指定媒介上公告并报中国证监会备案。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（六）基金的申购费和赎回费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本基金的申购费用由基金申购人承担，不列入基金财产，主要用于本基金的市场推广、销售、登记等各项费用。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投资人可以多次申购本基金，申购费率按每笔申购申请单独计算。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本基金的申购费率如下：</w:t>
      </w:r>
    </w:p>
    <w:tbl>
      <w:tblPr>
        <w:tblW w:w="5000" w:type="pct"/>
        <w:tblCellMar>
          <w:left w:w="0" w:type="dxa"/>
          <w:right w:w="0" w:type="dxa"/>
        </w:tblCellMar>
        <w:tblLook w:val="0000" w:firstRow="0" w:lastRow="0" w:firstColumn="0" w:lastColumn="0" w:noHBand="0" w:noVBand="0"/>
      </w:tblPr>
      <w:tblGrid>
        <w:gridCol w:w="1238"/>
        <w:gridCol w:w="3716"/>
        <w:gridCol w:w="3716"/>
      </w:tblGrid>
      <w:tr w:rsidR="007D376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因红利自动再投资而产生的基金份额，不收取相应的申购费用。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）通过本基金管理人直销柜台办理本基金申购业务的投资者，享受申购费率一折优惠；若享有折扣前的原申购费率为固定费用的，则按原固定费率执行，不再享有费率折扣。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赎回费用由赎回基金份额的基金份额持有人承担，在基金份额持有人赎回基金份额时收取，不低于赎回费总额的</w:t>
      </w:r>
      <w:r>
        <w:rPr>
          <w:rFonts w:ascii="Times New Roman" w:hAnsi="Times New Roman"/>
          <w:sz w:val="24"/>
        </w:rPr>
        <w:t>25%</w:t>
      </w:r>
      <w:r>
        <w:rPr>
          <w:rFonts w:ascii="Times New Roman" w:hAnsi="Times New Roman"/>
          <w:sz w:val="24"/>
        </w:rPr>
        <w:t>应归基金财产，其余用于支付登记费和其他必要的手续费。其中，对持续持有期少于</w:t>
      </w:r>
      <w:r>
        <w:rPr>
          <w:rFonts w:ascii="Times New Roman" w:hAnsi="Times New Roman"/>
          <w:sz w:val="24"/>
        </w:rPr>
        <w:t>7</w:t>
      </w:r>
      <w:r>
        <w:rPr>
          <w:rFonts w:ascii="Times New Roman" w:hAnsi="Times New Roman"/>
          <w:sz w:val="24"/>
        </w:rPr>
        <w:t>日的基金份额持有人收取不低于</w:t>
      </w:r>
      <w:r>
        <w:rPr>
          <w:rFonts w:ascii="Times New Roman" w:hAnsi="Times New Roman"/>
          <w:sz w:val="24"/>
        </w:rPr>
        <w:t>1.5%</w:t>
      </w:r>
      <w:r>
        <w:rPr>
          <w:rFonts w:ascii="Times New Roman" w:hAnsi="Times New Roman"/>
          <w:sz w:val="24"/>
        </w:rPr>
        <w:t>的</w:t>
      </w:r>
      <w:r>
        <w:rPr>
          <w:rFonts w:ascii="Times New Roman" w:hAnsi="Times New Roman"/>
          <w:sz w:val="24"/>
        </w:rPr>
        <w:lastRenderedPageBreak/>
        <w:t>赎回费并全额计入基金财产。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本基金的赎回费率如下：</w:t>
      </w:r>
    </w:p>
    <w:tbl>
      <w:tblPr>
        <w:tblW w:w="5000" w:type="pct"/>
        <w:tblCellMar>
          <w:left w:w="0" w:type="dxa"/>
          <w:right w:w="0" w:type="dxa"/>
        </w:tblCellMar>
        <w:tblLook w:val="0000" w:firstRow="0" w:lastRow="0" w:firstColumn="0" w:lastColumn="0" w:noHBand="0" w:noVBand="0"/>
      </w:tblPr>
      <w:tblGrid>
        <w:gridCol w:w="1238"/>
        <w:gridCol w:w="3716"/>
        <w:gridCol w:w="3716"/>
      </w:tblGrid>
      <w:tr w:rsidR="007D376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7D376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、基金管理人可以在基金合同约定的范围内调整费率或收费方式，并最迟应于新的费率或收费方式实施日前依照《信息披露办法》的有关规定在指定媒介上公告。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）申购的有效份额为按实际确认的申购金额在扣除相应的费用后，以当日基金份额净值为基准计算，申购份额计算结果保留到小数点后</w:t>
      </w:r>
      <w:r>
        <w:rPr>
          <w:rFonts w:ascii="Times New Roman" w:hAnsi="Times New Roman"/>
          <w:sz w:val="24"/>
        </w:rPr>
        <w:t>2</w:t>
      </w:r>
      <w:r>
        <w:rPr>
          <w:rFonts w:ascii="Times New Roman" w:hAnsi="Times New Roman"/>
          <w:sz w:val="24"/>
        </w:rPr>
        <w:t>位，小数点后两位以后的部分四舍五入，由此误差产生的收益或损失由基金财产承担。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）赎回金额为按实际确认的有效赎回份额乘以当日基金份额净值并扣除相应的费用，赎回金额计算结果保留到小数点后</w:t>
      </w:r>
      <w:r>
        <w:rPr>
          <w:rFonts w:ascii="Times New Roman" w:hAnsi="Times New Roman"/>
          <w:sz w:val="24"/>
        </w:rPr>
        <w:t>2</w:t>
      </w:r>
      <w:r>
        <w:rPr>
          <w:rFonts w:ascii="Times New Roman" w:hAnsi="Times New Roman"/>
          <w:sz w:val="24"/>
        </w:rPr>
        <w:t>位，小数点后两位以后的部分四舍五入，由此误差产生的收益或损失由基金财产承担。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例二：某投资人投资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元，申购费率为</w:t>
      </w:r>
      <w:r>
        <w:rPr>
          <w:rFonts w:ascii="Times New Roman" w:hAnsi="Times New Roman"/>
          <w:sz w:val="24"/>
        </w:rPr>
        <w:t>1.5%</w:t>
      </w:r>
      <w:r>
        <w:rPr>
          <w:rFonts w:ascii="Times New Roman" w:hAnsi="Times New Roman"/>
          <w:sz w:val="24"/>
        </w:rPr>
        <w:t>，则其可得到的申购份额为：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/1.040=37,893.14</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例三：某投资人赎回认购（申购）持有的</w:t>
      </w:r>
      <w:r>
        <w:rPr>
          <w:rFonts w:ascii="Times New Roman" w:hAnsi="Times New Roman"/>
          <w:sz w:val="24"/>
        </w:rPr>
        <w:t>10,000</w:t>
      </w:r>
      <w:r>
        <w:rPr>
          <w:rFonts w:ascii="Times New Roman" w:hAnsi="Times New Roman"/>
          <w:sz w:val="24"/>
        </w:rPr>
        <w:t>份基金份额，对应的赎回费率为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=10,000×1.016×0.5%</w:t>
      </w:r>
      <w:r>
        <w:rPr>
          <w:rFonts w:ascii="Times New Roman" w:hAnsi="Times New Roman"/>
          <w:sz w:val="24"/>
        </w:rPr>
        <w:t>＝</w:t>
      </w:r>
      <w:r>
        <w:rPr>
          <w:rFonts w:ascii="Times New Roman" w:hAnsi="Times New Roman"/>
          <w:sz w:val="24"/>
        </w:rPr>
        <w:t>50.80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=10,000×1.016-50.80</w:t>
      </w:r>
      <w:r>
        <w:rPr>
          <w:rFonts w:ascii="Times New Roman" w:hAnsi="Times New Roman"/>
          <w:sz w:val="24"/>
        </w:rPr>
        <w:t>＝</w:t>
      </w:r>
      <w:r>
        <w:rPr>
          <w:rFonts w:ascii="Times New Roman" w:hAnsi="Times New Roman"/>
          <w:sz w:val="24"/>
        </w:rPr>
        <w:t>10,109.20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即：投资人赎回本基金</w:t>
      </w:r>
      <w:r>
        <w:rPr>
          <w:rFonts w:ascii="Times New Roman" w:hAnsi="Times New Roman"/>
          <w:sz w:val="24"/>
        </w:rPr>
        <w:t>10,000</w:t>
      </w:r>
      <w:r>
        <w:rPr>
          <w:rFonts w:ascii="Times New Roman" w:hAnsi="Times New Roman"/>
          <w:sz w:val="24"/>
        </w:rPr>
        <w:t>份基金份额，假设赎回当日基金份额净值是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基金份额净值＝基金资产净值总额</w:t>
      </w:r>
      <w:r>
        <w:rPr>
          <w:rFonts w:ascii="Times New Roman" w:hAnsi="Times New Roman"/>
          <w:sz w:val="24"/>
        </w:rPr>
        <w:t>/</w:t>
      </w:r>
      <w:r>
        <w:rPr>
          <w:rFonts w:ascii="Times New Roman" w:hAnsi="Times New Roman"/>
          <w:sz w:val="24"/>
        </w:rPr>
        <w:t>发行在外的基金份额总数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日内公告。遇特殊情况，经中国证监会同意，可以适当延迟计算或公告。本基金基金份额净值的计算，保留到小数点后</w:t>
      </w:r>
      <w:r>
        <w:rPr>
          <w:rFonts w:ascii="Times New Roman" w:hAnsi="Times New Roman"/>
          <w:sz w:val="24"/>
        </w:rPr>
        <w:t>3</w:t>
      </w:r>
      <w:r>
        <w:rPr>
          <w:rFonts w:ascii="Times New Roman" w:hAnsi="Times New Roman"/>
          <w:sz w:val="24"/>
        </w:rPr>
        <w:t>位，小数点后第</w:t>
      </w:r>
      <w:r>
        <w:rPr>
          <w:rFonts w:ascii="Times New Roman" w:hAnsi="Times New Roman"/>
          <w:sz w:val="24"/>
        </w:rPr>
        <w:t>4</w:t>
      </w:r>
      <w:r>
        <w:rPr>
          <w:rFonts w:ascii="Times New Roman" w:hAnsi="Times New Roman"/>
          <w:sz w:val="24"/>
        </w:rPr>
        <w:t>位四舍五入，由此误差产生的收益或损失由基金财产承担。</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、证券交易所交易时间临时停市，导致基金管理人无法计算当日基金资产净值。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、基金管理人认为接受某笔或某些申购申请可能会影响或损害现有基金份额持有人利益时。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集中度的情形。出现上述情形时，基金管理人有权将上述申购申请全部或部分确认失败。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、基金资产规模过大，使基金管理人无法找到合适的投资品种，或其他可能对基金业绩产生负面影响，从而损害现有基金份额持有人利益的情形。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、法律法规规定或中国证监会认定的其他情形。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、证券交易所交易时间临时停市，导致基金管理人无法计算当日基金资产净值。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、连续两个或两个以上开放日发生巨额赎回。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、法律法规规定或中国证监会认定的其他情形。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w:t>
      </w:r>
      <w:r>
        <w:rPr>
          <w:rFonts w:ascii="Times New Roman" w:hAnsi="Times New Roman"/>
          <w:sz w:val="24"/>
        </w:rPr>
        <w:lastRenderedPageBreak/>
        <w:t>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rFonts w:ascii="Times New Roman" w:hAnsi="Times New Roman"/>
          <w:sz w:val="24"/>
        </w:rPr>
        <w:t>10%</w:t>
      </w:r>
      <w:r>
        <w:rPr>
          <w:rFonts w:ascii="Times New Roman" w:hAnsi="Times New Roman"/>
          <w:sz w:val="24"/>
        </w:rPr>
        <w:t>，即认为是发生了巨额赎回。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w:t>
      </w:r>
      <w:r>
        <w:rPr>
          <w:rFonts w:ascii="Times New Roman" w:hAnsi="Times New Roman"/>
          <w:sz w:val="24"/>
        </w:rPr>
        <w:lastRenderedPageBreak/>
        <w:t>有人在当日选择取消赎回，则其当日未获受理的部分赎回申请将被撤销。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当发生上述延期赎回并延期办理时，基金管理人应当通过邮寄、传真、刊登公告或者通知代销机构代为告知等方式在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、暂停结束，基金重新开放申购或赎回时，基金管理人应依照《信息披露管理办法》的有关规定，在指定媒介上刊登基金重新开放申购或赎回公告，并公告最近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（十二）基金的非交易过户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（十三）基金的转托管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如果基金管理人、登记机构、办理转托管的销售机构出现技术系统性能限制或出于其它合理原因，可以暂停该业务或者拒绝基金份额持有人的转托管申请。</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（十四）定期定额投资计划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Times New Roman" w:hAnsi="Times New Roman"/>
          <w:sz w:val="24"/>
        </w:rPr>
        <w:t>2013</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28</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w:t>
      </w:r>
      <w:r>
        <w:rPr>
          <w:rFonts w:ascii="Times New Roman" w:hAnsi="Times New Roman"/>
          <w:sz w:val="24"/>
        </w:rPr>
        <w:t>日起开通定期定额投资计划业务，具体开通销售机构名单和业务规则参见相关公告。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（十五）定期定额赎回业务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2013</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28</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w:t>
      </w:r>
      <w:r>
        <w:rPr>
          <w:rFonts w:ascii="Times New Roman" w:hAnsi="Times New Roman"/>
          <w:sz w:val="24"/>
        </w:rPr>
        <w:t>日起在中国农业银行股份有限公司下属各代销网点开通定期定额赎回业务。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（十六）基金份额的冻结和解冻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（十七）基金份额的折算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基金合同生效后，本基金可以进行份额折算。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、基金份额折算的时间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基金管理人应事先确定基金份额折算日，并依照《信息披露办法》的有关规定提前公告。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、基金份额折算的原则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基金份额折算由基金管理人向登记机构申请办理，并由登记机构进行基金份额的变更登记。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基金份额折算后，本基金的基金份额总额与基金份额持有人持有的基金份额数额将发生调整，但调整后的基金份额持有人持有的基金份额占基金份额总额的比例</w:t>
      </w:r>
      <w:r>
        <w:rPr>
          <w:rFonts w:ascii="Times New Roman" w:hAnsi="Times New Roman"/>
          <w:sz w:val="24"/>
        </w:rPr>
        <w:lastRenderedPageBreak/>
        <w:t>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、基金份额折算的方法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基金份额折算的具体方法在基金份额折算公告中列示。</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1" w:name="_Toc54104441"/>
      <w:r>
        <w:rPr>
          <w:rFonts w:ascii="Times New Roman" w:hAnsi="Times New Roman"/>
          <w:sz w:val="30"/>
        </w:rPr>
        <w:t>九、基金的转换</w:t>
      </w:r>
      <w:bookmarkEnd w:id="11"/>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2013</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28</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w:t>
      </w:r>
      <w:r>
        <w:rPr>
          <w:rFonts w:ascii="Times New Roman" w:hAnsi="Times New Roman"/>
          <w:sz w:val="24"/>
        </w:rPr>
        <w:t>日起开放日常转换业务。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w:t>
      </w:r>
      <w:r>
        <w:rPr>
          <w:rFonts w:ascii="Times New Roman" w:hAnsi="Times New Roman"/>
          <w:sz w:val="24"/>
        </w:rPr>
        <w:lastRenderedPageBreak/>
        <w:t>后两位以后的部分四舍五入，误差部分归基金财产。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w:t>
      </w:r>
      <w:r>
        <w:rPr>
          <w:rFonts w:ascii="Times New Roman" w:hAnsi="Times New Roman"/>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、基金管理人可以根据法律法规及基金合同的规定对上述收费方式和费率进行调整，并应于调整后的收费方式和费率在实施前依照《信息披露办法》的有关规定在中国证监会指定媒介上公告。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五入，误差部分归基金财产。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例一：某投资者持有交银趋势前端收费模式的基金份额</w:t>
      </w:r>
      <w:r>
        <w:rPr>
          <w:rFonts w:ascii="Times New Roman" w:hAnsi="Times New Roman"/>
          <w:sz w:val="24"/>
        </w:rPr>
        <w:t>100,000</w:t>
      </w:r>
      <w:r>
        <w:rPr>
          <w:rFonts w:ascii="Times New Roman" w:hAnsi="Times New Roman"/>
          <w:sz w:val="24"/>
        </w:rPr>
        <w:t>份，持有期半年，转换申请当日交银趋势的基金份额净值为</w:t>
      </w:r>
      <w:r>
        <w:rPr>
          <w:rFonts w:ascii="Times New Roman" w:hAnsi="Times New Roman"/>
          <w:sz w:val="24"/>
        </w:rPr>
        <w:t>1.010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份交银趋势前端基金份额转换为交银成长前端基金份额，则转入交银成长确认的基金份额为：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类基金份额转换为交银趋势前端基金份额，则转入交银趋势确认的基金份额为：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lastRenderedPageBreak/>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例六：某投资者持有交银先锋后端收费模式的基金份额</w:t>
      </w:r>
      <w:r>
        <w:rPr>
          <w:rFonts w:ascii="Times New Roman" w:hAnsi="Times New Roman"/>
          <w:sz w:val="24"/>
        </w:rPr>
        <w:t>100,000</w:t>
      </w:r>
      <w:r>
        <w:rPr>
          <w:rFonts w:ascii="Times New Roman" w:hAnsi="Times New Roman"/>
          <w:sz w:val="24"/>
        </w:rPr>
        <w:t>份，持有期一年半，转换申请当日交银先锋的基金份额净值为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份交银先锋后端基金份额转换为交银货币，则转入交银货币的基金份额为：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w:t>
      </w:r>
      <w:r>
        <w:rPr>
          <w:rFonts w:ascii="Times New Roman" w:hAnsi="Times New Roman"/>
          <w:sz w:val="24"/>
        </w:rPr>
        <w:lastRenderedPageBreak/>
        <w:t>理基金转换业务时，转出方的基金必须处于可赎回状态，转入方的基金必须处于可申购状态。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2" w:name="_Toc54104442"/>
      <w:r>
        <w:rPr>
          <w:rFonts w:ascii="Times New Roman" w:hAnsi="Times New Roman"/>
          <w:sz w:val="30"/>
        </w:rPr>
        <w:t>十、基金的定期支付</w:t>
      </w:r>
      <w:bookmarkEnd w:id="12"/>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来在法律法规允许的前提下，基金管理人可在履行适当程序后采用除自动赎回基金份额以外的其他方式进行定期支付，并在新的方式开始实施前依照《信息披露办法》的有关规定在指定媒介上公告并报中国证监会备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（一）定期支付的时间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基金每月对投资人进行</w:t>
      </w:r>
      <w:r>
        <w:rPr>
          <w:rFonts w:ascii="Times New Roman" w:hAnsi="Times New Roman"/>
          <w:sz w:val="24"/>
        </w:rPr>
        <w:t>1</w:t>
      </w:r>
      <w:r>
        <w:rPr>
          <w:rFonts w:ascii="Times New Roman" w:hAnsi="Times New Roman"/>
          <w:sz w:val="24"/>
        </w:rPr>
        <w:t>次定期支付，若基金合同生效不满</w:t>
      </w:r>
      <w:r>
        <w:rPr>
          <w:rFonts w:ascii="Times New Roman" w:hAnsi="Times New Roman"/>
          <w:sz w:val="24"/>
        </w:rPr>
        <w:t>3</w:t>
      </w:r>
      <w:r>
        <w:rPr>
          <w:rFonts w:ascii="Times New Roman" w:hAnsi="Times New Roman"/>
          <w:sz w:val="24"/>
        </w:rPr>
        <w:t>个月可不进行支付。发生下列情形时，基金管理人可暂停当月的定期支付：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、因不可抗力导致基金管理人不能支付定期支付的款项。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、定期支付基准日发生基金合同规定的暂停基金资产估值情况。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、定期支付基准日证券交易所交易时间临时停市，导致基金管理人无法计算当日基金资产净值。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、定期支付基准日发生基金合同第六部分约定的暂停赎回或者延缓支付赎回款项的情形且基金管理人决定暂停接受投资人的赎回申请或者延缓支付赎回款项。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发生上述情形之一且基金管理人决定暂停当月的定期支付时，基金管理人应当根据有关规定在指定媒介上刊登暂停定期支付业务公告并报中国证监会备案。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（二）定期支付的支付基准日、权益登记日及款项支付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基金进行定期支付的，当月的第一个工作日（</w:t>
      </w:r>
      <w:r>
        <w:rPr>
          <w:rFonts w:ascii="Times New Roman" w:hAnsi="Times New Roman"/>
          <w:sz w:val="24"/>
        </w:rPr>
        <w:t>T</w:t>
      </w:r>
      <w:r>
        <w:rPr>
          <w:rFonts w:ascii="Times New Roman" w:hAnsi="Times New Roman"/>
          <w:sz w:val="24"/>
        </w:rPr>
        <w:t>日）为本基金的定期支付基准日，该月的现金支付金额以该日的基金资产净值为基础计算得出。当月的第一个工作日（</w:t>
      </w:r>
      <w:r>
        <w:rPr>
          <w:rFonts w:ascii="Times New Roman" w:hAnsi="Times New Roman"/>
          <w:sz w:val="24"/>
        </w:rPr>
        <w:t>T</w:t>
      </w:r>
      <w:r>
        <w:rPr>
          <w:rFonts w:ascii="Times New Roman" w:hAnsi="Times New Roman"/>
          <w:sz w:val="24"/>
        </w:rPr>
        <w:t>日）也是该月定期支付的权益登记日，即该日登记在册的基金份额持有人为该月定期支付的对象。对于</w:t>
      </w:r>
      <w:r>
        <w:rPr>
          <w:rFonts w:ascii="Times New Roman" w:hAnsi="Times New Roman"/>
          <w:sz w:val="24"/>
        </w:rPr>
        <w:t>T</w:t>
      </w:r>
      <w:r>
        <w:rPr>
          <w:rFonts w:ascii="Times New Roman" w:hAnsi="Times New Roman"/>
          <w:sz w:val="24"/>
        </w:rPr>
        <w:t>日登记在册的基金份额持有人，登记机构在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日确定自动赎回用于现金支付的基金份额数并将上述用于现金支付的基金份额从基金</w:t>
      </w:r>
      <w:r>
        <w:rPr>
          <w:rFonts w:ascii="Times New Roman" w:hAnsi="Times New Roman"/>
          <w:sz w:val="24"/>
        </w:rPr>
        <w:lastRenderedPageBreak/>
        <w:t>份额持有人账户中进行扣减。基金管理人将通过登记机构及其相关销售机构在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日（包括该日）内将支付款项划往基金份额持有人账户。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基金管理人可在法律法规允许的范围内，依法对上述定期支付的时间安排进行调整，并必须在调整实施日前按照《信息披露办法》的有关规定在指定媒介上公告并报中国证监会备案。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（三）定期支付金额的计算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每次定期支付按照年化现金支付比率计算现金支付金额并自动赎回对应金额的基金份额数以用于向基金份额持有人进行现金支付，现金支付金额和自动赎回用于现金支付的基金份额按照单个基金交易账户进行计算，具体计算公式如下：</w:t>
      </w:r>
    </w:p>
    <w:p w:rsidR="007D3765" w:rsidRDefault="00A05F48">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extent cx="1333500" cy="510540"/>
            <wp:effectExtent l="0" t="0" r="0" b="3810"/>
            <wp:docPr id="6"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510540"/>
                    </a:xfrm>
                    <a:prstGeom prst="rect">
                      <a:avLst/>
                    </a:prstGeom>
                    <a:noFill/>
                    <a:ln>
                      <a:noFill/>
                    </a:ln>
                  </pic:spPr>
                </pic:pic>
              </a:graphicData>
            </a:graphic>
          </wp:inline>
        </w:drawing>
      </w:r>
    </w:p>
    <w:p w:rsidR="007D3765" w:rsidRDefault="00A05F48">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extent cx="990600" cy="182880"/>
            <wp:effectExtent l="0" t="0" r="0" b="762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82880"/>
                    </a:xfrm>
                    <a:prstGeom prst="rect">
                      <a:avLst/>
                    </a:prstGeom>
                    <a:noFill/>
                    <a:ln>
                      <a:noFill/>
                    </a:ln>
                  </pic:spPr>
                </pic:pic>
              </a:graphicData>
            </a:graphic>
          </wp:inline>
        </w:drawing>
      </w:r>
    </w:p>
    <w:p w:rsidR="007D3765" w:rsidRDefault="00A05F48">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extent cx="739140" cy="182880"/>
            <wp:effectExtent l="0" t="0" r="3810" b="762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140" cy="182880"/>
                    </a:xfrm>
                    <a:prstGeom prst="rect">
                      <a:avLst/>
                    </a:prstGeom>
                    <a:noFill/>
                    <a:ln>
                      <a:noFill/>
                    </a:ln>
                  </pic:spPr>
                </pic:pic>
              </a:graphicData>
            </a:graphic>
          </wp:inline>
        </w:drawing>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Di</w:t>
      </w:r>
      <w:r>
        <w:rPr>
          <w:rFonts w:ascii="Times New Roman" w:hAnsi="Times New Roman"/>
          <w:sz w:val="24"/>
        </w:rPr>
        <w:t>为第</w:t>
      </w:r>
      <w:r>
        <w:rPr>
          <w:rFonts w:ascii="Times New Roman" w:hAnsi="Times New Roman"/>
          <w:sz w:val="24"/>
        </w:rPr>
        <w:t>i</w:t>
      </w:r>
      <w:r>
        <w:rPr>
          <w:rFonts w:ascii="Times New Roman" w:hAnsi="Times New Roman"/>
          <w:sz w:val="24"/>
        </w:rPr>
        <w:t>次定期支付权益登记日登记在册的每份基金份额对应的现金支付金额；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ni</w:t>
      </w:r>
      <w:r>
        <w:rPr>
          <w:rFonts w:ascii="Times New Roman" w:hAnsi="Times New Roman"/>
          <w:sz w:val="24"/>
        </w:rPr>
        <w:t>为第</w:t>
      </w:r>
      <w:r>
        <w:rPr>
          <w:rFonts w:ascii="Times New Roman" w:hAnsi="Times New Roman"/>
          <w:sz w:val="24"/>
        </w:rPr>
        <w:t>i</w:t>
      </w:r>
      <w:r>
        <w:rPr>
          <w:rFonts w:ascii="Times New Roman" w:hAnsi="Times New Roman"/>
          <w:sz w:val="24"/>
        </w:rPr>
        <w:t>次定期支付该基金交易账户对应的自动赎回用于现金支付的份额数，计算结果四舍五入保留到小数点后两位；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Ci</w:t>
      </w:r>
      <w:r>
        <w:rPr>
          <w:rFonts w:ascii="Times New Roman" w:hAnsi="Times New Roman"/>
          <w:sz w:val="24"/>
        </w:rPr>
        <w:t>为第</w:t>
      </w:r>
      <w:r>
        <w:rPr>
          <w:rFonts w:ascii="Times New Roman" w:hAnsi="Times New Roman"/>
          <w:sz w:val="24"/>
        </w:rPr>
        <w:t>i</w:t>
      </w:r>
      <w:r>
        <w:rPr>
          <w:rFonts w:ascii="Times New Roman" w:hAnsi="Times New Roman"/>
          <w:sz w:val="24"/>
        </w:rPr>
        <w:t>次定期支付该基金交易账户实际可获得的现金支付金额，计算结果四舍五入保留到小数点后两位；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Pi</w:t>
      </w:r>
      <w:r>
        <w:rPr>
          <w:rFonts w:ascii="Times New Roman" w:hAnsi="Times New Roman"/>
          <w:sz w:val="24"/>
        </w:rPr>
        <w:t>为第</w:t>
      </w:r>
      <w:r>
        <w:rPr>
          <w:rFonts w:ascii="Times New Roman" w:hAnsi="Times New Roman"/>
          <w:sz w:val="24"/>
        </w:rPr>
        <w:t>i</w:t>
      </w:r>
      <w:r>
        <w:rPr>
          <w:rFonts w:ascii="Times New Roman" w:hAnsi="Times New Roman"/>
          <w:sz w:val="24"/>
        </w:rPr>
        <w:t>次定期支付权益登记日的基金份额净值；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R</w:t>
      </w:r>
      <w:r>
        <w:rPr>
          <w:rFonts w:ascii="Times New Roman" w:hAnsi="Times New Roman"/>
          <w:sz w:val="24"/>
        </w:rPr>
        <w:t>为年化现金支付比率；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ti</w:t>
      </w:r>
      <w:r>
        <w:rPr>
          <w:rFonts w:ascii="Times New Roman" w:hAnsi="Times New Roman"/>
          <w:sz w:val="24"/>
        </w:rPr>
        <w:t>（</w:t>
      </w:r>
      <w:r>
        <w:rPr>
          <w:rFonts w:ascii="Times New Roman" w:hAnsi="Times New Roman"/>
          <w:sz w:val="24"/>
        </w:rPr>
        <w:t>i&gt;1</w:t>
      </w:r>
      <w:r>
        <w:rPr>
          <w:rFonts w:ascii="Times New Roman" w:hAnsi="Times New Roman"/>
          <w:sz w:val="24"/>
        </w:rPr>
        <w:t>）为第</w:t>
      </w:r>
      <w:r>
        <w:rPr>
          <w:rFonts w:ascii="Times New Roman" w:hAnsi="Times New Roman"/>
          <w:sz w:val="24"/>
        </w:rPr>
        <w:t>i-1</w:t>
      </w:r>
      <w:r>
        <w:rPr>
          <w:rFonts w:ascii="Times New Roman" w:hAnsi="Times New Roman"/>
          <w:sz w:val="24"/>
        </w:rPr>
        <w:t>次定期支付权益登记日（不含该日）至第</w:t>
      </w:r>
      <w:r>
        <w:rPr>
          <w:rFonts w:ascii="Times New Roman" w:hAnsi="Times New Roman"/>
          <w:sz w:val="24"/>
        </w:rPr>
        <w:t>i</w:t>
      </w:r>
      <w:r>
        <w:rPr>
          <w:rFonts w:ascii="Times New Roman" w:hAnsi="Times New Roman"/>
          <w:sz w:val="24"/>
        </w:rPr>
        <w:t>次定期支付权益登记日（含该日）之间的天数，</w:t>
      </w:r>
      <w:r>
        <w:rPr>
          <w:rFonts w:ascii="Times New Roman" w:hAnsi="Times New Roman"/>
          <w:sz w:val="24"/>
        </w:rPr>
        <w:t>t1</w:t>
      </w:r>
      <w:r>
        <w:rPr>
          <w:rFonts w:ascii="Times New Roman" w:hAnsi="Times New Roman"/>
          <w:sz w:val="24"/>
        </w:rPr>
        <w:t>为基金合同生效日（含该日）至第</w:t>
      </w:r>
      <w:r>
        <w:rPr>
          <w:rFonts w:ascii="Times New Roman" w:hAnsi="Times New Roman"/>
          <w:sz w:val="24"/>
        </w:rPr>
        <w:t>1</w:t>
      </w:r>
      <w:r>
        <w:rPr>
          <w:rFonts w:ascii="Times New Roman" w:hAnsi="Times New Roman"/>
          <w:sz w:val="24"/>
        </w:rPr>
        <w:t>次定期支付权益登记日（含该日）之间的天数；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为</w:t>
      </w:r>
      <w:r>
        <w:rPr>
          <w:rFonts w:ascii="Times New Roman" w:hAnsi="Times New Roman"/>
          <w:sz w:val="24"/>
        </w:rPr>
        <w:t>365</w:t>
      </w:r>
      <w:r>
        <w:rPr>
          <w:rFonts w:ascii="Times New Roman" w:hAnsi="Times New Roman"/>
          <w:sz w:val="24"/>
        </w:rPr>
        <w:t>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Mi</w:t>
      </w:r>
      <w:r>
        <w:rPr>
          <w:rFonts w:ascii="Times New Roman" w:hAnsi="Times New Roman"/>
          <w:sz w:val="24"/>
        </w:rPr>
        <w:t>为第</w:t>
      </w:r>
      <w:r>
        <w:rPr>
          <w:rFonts w:ascii="Times New Roman" w:hAnsi="Times New Roman"/>
          <w:sz w:val="24"/>
        </w:rPr>
        <w:t>i</w:t>
      </w:r>
      <w:r>
        <w:rPr>
          <w:rFonts w:ascii="Times New Roman" w:hAnsi="Times New Roman"/>
          <w:sz w:val="24"/>
        </w:rPr>
        <w:t>次定期支付权益登记日基金份额持有人在该基金交易账户确认持有的份额数。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由于计算过程尾差的处理，投资人实际可获得的现金支付金额（即</w:t>
      </w:r>
      <w:r>
        <w:rPr>
          <w:rFonts w:ascii="Times New Roman" w:hAnsi="Times New Roman"/>
          <w:sz w:val="24"/>
        </w:rPr>
        <w:t>Ci</w:t>
      </w:r>
      <w:r>
        <w:rPr>
          <w:rFonts w:ascii="Times New Roman" w:hAnsi="Times New Roman"/>
          <w:sz w:val="24"/>
        </w:rPr>
        <w:t>），与按照每份基金份额对应的现金支付金额乘以其权益登记日持有的份额数（即</w:t>
      </w:r>
      <w:r>
        <w:rPr>
          <w:rFonts w:ascii="Times New Roman" w:hAnsi="Times New Roman"/>
          <w:sz w:val="24"/>
        </w:rPr>
        <w:t>DiMi</w:t>
      </w:r>
      <w:r>
        <w:rPr>
          <w:rFonts w:ascii="Times New Roman" w:hAnsi="Times New Roman"/>
          <w:sz w:val="24"/>
        </w:rPr>
        <w:t>）</w:t>
      </w:r>
      <w:r>
        <w:rPr>
          <w:rFonts w:ascii="Times New Roman" w:hAnsi="Times New Roman"/>
          <w:sz w:val="24"/>
        </w:rPr>
        <w:lastRenderedPageBreak/>
        <w:t>计算得到的结果可能存在一定尾差。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本基金当前的年化现金支付比率为</w:t>
      </w:r>
      <w:r>
        <w:rPr>
          <w:rFonts w:ascii="Times New Roman" w:hAnsi="Times New Roman"/>
          <w:sz w:val="24"/>
        </w:rPr>
        <w:t>6%</w:t>
      </w:r>
      <w:r>
        <w:rPr>
          <w:rFonts w:ascii="Times New Roman" w:hAnsi="Times New Roman"/>
          <w:sz w:val="24"/>
        </w:rPr>
        <w:t>，基金管理人可以根据基金实际运作情况和市场环境的变化，在履行适当程序后对上述约定的年化现金支付比率进行调整，并至少在调整前一个月公告，上述调整不须召开份额持有人大会。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例四：假设本基金合同生效日为</w:t>
      </w:r>
      <w:r>
        <w:rPr>
          <w:rFonts w:ascii="Times New Roman" w:hAnsi="Times New Roman"/>
          <w:sz w:val="24"/>
        </w:rPr>
        <w:t>2013</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8</w:t>
      </w:r>
      <w:r>
        <w:rPr>
          <w:rFonts w:ascii="Times New Roman" w:hAnsi="Times New Roman"/>
          <w:sz w:val="24"/>
        </w:rPr>
        <w:t>日，于</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月进行了第一次定期支付，</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w:t>
      </w:r>
      <w:r>
        <w:rPr>
          <w:rFonts w:ascii="Times New Roman" w:hAnsi="Times New Roman"/>
          <w:sz w:val="24"/>
        </w:rPr>
        <w:t>日为当月定期支付基准日和权益登记日，假设该日的基金份额净值为</w:t>
      </w:r>
      <w:r>
        <w:rPr>
          <w:rFonts w:ascii="Times New Roman" w:hAnsi="Times New Roman"/>
          <w:sz w:val="24"/>
        </w:rPr>
        <w:t>1.010</w:t>
      </w:r>
      <w:r>
        <w:rPr>
          <w:rFonts w:ascii="Times New Roman" w:hAnsi="Times New Roman"/>
          <w:sz w:val="24"/>
        </w:rPr>
        <w:t>元，</w:t>
      </w:r>
      <w:r>
        <w:rPr>
          <w:rFonts w:ascii="Times New Roman" w:hAnsi="Times New Roman"/>
          <w:sz w:val="24"/>
        </w:rPr>
        <w:t>2013</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8</w:t>
      </w:r>
      <w:r>
        <w:rPr>
          <w:rFonts w:ascii="Times New Roman" w:hAnsi="Times New Roman"/>
          <w:sz w:val="24"/>
        </w:rPr>
        <w:t>日（含）至</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w:t>
      </w:r>
      <w:r>
        <w:rPr>
          <w:rFonts w:ascii="Times New Roman" w:hAnsi="Times New Roman"/>
          <w:sz w:val="24"/>
        </w:rPr>
        <w:t>日（含）之间的天数为</w:t>
      </w:r>
      <w:r>
        <w:rPr>
          <w:rFonts w:ascii="Times New Roman" w:hAnsi="Times New Roman"/>
          <w:sz w:val="24"/>
        </w:rPr>
        <w:t>53</w:t>
      </w:r>
      <w:r>
        <w:rPr>
          <w:rFonts w:ascii="Times New Roman" w:hAnsi="Times New Roman"/>
          <w:sz w:val="24"/>
        </w:rPr>
        <w:t>天，则该次定期支付每份基金份额对应的现金支付金额为：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D1=1.010×(6%×53/365)=0.008799</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若某基金份额持有人的基金交易账户在</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w:t>
      </w:r>
      <w:r>
        <w:rPr>
          <w:rFonts w:ascii="Times New Roman" w:hAnsi="Times New Roman"/>
          <w:sz w:val="24"/>
        </w:rPr>
        <w:t>日确认持有的份额数为</w:t>
      </w:r>
      <w:r>
        <w:rPr>
          <w:rFonts w:ascii="Times New Roman" w:hAnsi="Times New Roman"/>
          <w:sz w:val="24"/>
        </w:rPr>
        <w:t>1,000</w:t>
      </w:r>
      <w:r>
        <w:rPr>
          <w:rFonts w:ascii="Times New Roman" w:hAnsi="Times New Roman"/>
          <w:sz w:val="24"/>
        </w:rPr>
        <w:t>份</w:t>
      </w:r>
      <w:r>
        <w:rPr>
          <w:rFonts w:ascii="Times New Roman" w:hAnsi="Times New Roman"/>
          <w:sz w:val="24"/>
        </w:rPr>
        <w:t>,</w:t>
      </w:r>
      <w:r>
        <w:rPr>
          <w:rFonts w:ascii="Times New Roman" w:hAnsi="Times New Roman"/>
          <w:sz w:val="24"/>
        </w:rPr>
        <w:t>则第一次定期支付该基金交易账户对应的自动赎回用于现金支付的份额数为：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n1=1,000×1.010×(6%×53/365)/1.010=8.71</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第一次定期支付该基金交易账户实际可获得的现金支付金额为：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C1=8.71×1.010=8.80</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例五：延续例四的假设条件，假设本基金于</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月进行了第二次定期支付，</w:t>
      </w:r>
      <w:r>
        <w:rPr>
          <w:rFonts w:ascii="Times New Roman" w:hAnsi="Times New Roman"/>
          <w:sz w:val="24"/>
        </w:rPr>
        <w:t xml:space="preserve"> 2013</w:t>
      </w:r>
      <w:r>
        <w:rPr>
          <w:rFonts w:ascii="Times New Roman" w:hAnsi="Times New Roman"/>
          <w:sz w:val="24"/>
        </w:rPr>
        <w:t>年</w:t>
      </w:r>
      <w:r>
        <w:rPr>
          <w:rFonts w:ascii="Times New Roman" w:hAnsi="Times New Roman"/>
          <w:sz w:val="24"/>
        </w:rPr>
        <w:t>5</w:t>
      </w:r>
      <w:r>
        <w:rPr>
          <w:rFonts w:ascii="Times New Roman" w:hAnsi="Times New Roman"/>
          <w:sz w:val="24"/>
        </w:rPr>
        <w:t>月因为发生了基金合同约定暂停定期支付的情形且基金管理人决定暂停了当月的定期支付，本基金又于</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月进行第三次定期支付。</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日和</w:t>
      </w:r>
      <w:r>
        <w:rPr>
          <w:rFonts w:ascii="Times New Roman" w:hAnsi="Times New Roman"/>
          <w:sz w:val="24"/>
        </w:rPr>
        <w:t>6</w:t>
      </w:r>
      <w:r>
        <w:rPr>
          <w:rFonts w:ascii="Times New Roman" w:hAnsi="Times New Roman"/>
          <w:sz w:val="24"/>
        </w:rPr>
        <w:t>月</w:t>
      </w:r>
      <w:r>
        <w:rPr>
          <w:rFonts w:ascii="Times New Roman" w:hAnsi="Times New Roman"/>
          <w:sz w:val="24"/>
        </w:rPr>
        <w:t>3</w:t>
      </w:r>
      <w:r>
        <w:rPr>
          <w:rFonts w:ascii="Times New Roman" w:hAnsi="Times New Roman"/>
          <w:sz w:val="24"/>
        </w:rPr>
        <w:t>日分别为第二次和第三次定期支付的基准日和权益登记日，假设</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日的基金份额净值为</w:t>
      </w:r>
      <w:r>
        <w:rPr>
          <w:rFonts w:ascii="Times New Roman" w:hAnsi="Times New Roman"/>
          <w:sz w:val="24"/>
        </w:rPr>
        <w:t>0.996</w:t>
      </w:r>
      <w:r>
        <w:rPr>
          <w:rFonts w:ascii="Times New Roman" w:hAnsi="Times New Roman"/>
          <w:sz w:val="24"/>
        </w:rPr>
        <w:t>元</w:t>
      </w:r>
      <w:r>
        <w:rPr>
          <w:rFonts w:ascii="Times New Roman" w:hAnsi="Times New Roman"/>
          <w:sz w:val="24"/>
        </w:rPr>
        <w:t>, 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w:t>
      </w:r>
      <w:r>
        <w:rPr>
          <w:rFonts w:ascii="Times New Roman" w:hAnsi="Times New Roman"/>
          <w:sz w:val="24"/>
        </w:rPr>
        <w:t>日的基金份额净值为</w:t>
      </w:r>
      <w:r>
        <w:rPr>
          <w:rFonts w:ascii="Times New Roman" w:hAnsi="Times New Roman"/>
          <w:sz w:val="24"/>
        </w:rPr>
        <w:t>1.018</w:t>
      </w:r>
      <w:r>
        <w:rPr>
          <w:rFonts w:ascii="Times New Roman" w:hAnsi="Times New Roman"/>
          <w:sz w:val="24"/>
        </w:rPr>
        <w:t>元，</w:t>
      </w:r>
      <w:r>
        <w:rPr>
          <w:rFonts w:ascii="Times New Roman" w:hAnsi="Times New Roman"/>
          <w:sz w:val="24"/>
        </w:rPr>
        <w:t xml:space="preserve"> 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w:t>
      </w:r>
      <w:r>
        <w:rPr>
          <w:rFonts w:ascii="Times New Roman" w:hAnsi="Times New Roman"/>
          <w:sz w:val="24"/>
        </w:rPr>
        <w:t>日（不含）至</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日（含）之间的天数为</w:t>
      </w:r>
      <w:r>
        <w:rPr>
          <w:rFonts w:ascii="Times New Roman" w:hAnsi="Times New Roman"/>
          <w:sz w:val="24"/>
        </w:rPr>
        <w:t>31</w:t>
      </w:r>
      <w:r>
        <w:rPr>
          <w:rFonts w:ascii="Times New Roman" w:hAnsi="Times New Roman"/>
          <w:sz w:val="24"/>
        </w:rPr>
        <w:t>天，</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日（不含）至</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w:t>
      </w:r>
      <w:r>
        <w:rPr>
          <w:rFonts w:ascii="Times New Roman" w:hAnsi="Times New Roman"/>
          <w:sz w:val="24"/>
        </w:rPr>
        <w:t>日（含）之间的天数为</w:t>
      </w:r>
      <w:r>
        <w:rPr>
          <w:rFonts w:ascii="Times New Roman" w:hAnsi="Times New Roman"/>
          <w:sz w:val="24"/>
        </w:rPr>
        <w:t>63</w:t>
      </w:r>
      <w:r>
        <w:rPr>
          <w:rFonts w:ascii="Times New Roman" w:hAnsi="Times New Roman"/>
          <w:sz w:val="24"/>
        </w:rPr>
        <w:t>天，则第二次和第三次定期支付每份基金份额对应的现金支付金额分别为：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D2=0.996×(6%×31/365)=0.005076</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D3=1.018×(6%×63/365)=0.010543</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若某基金份额持有人的基金交易账户在</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日和</w:t>
      </w:r>
      <w:r>
        <w:rPr>
          <w:rFonts w:ascii="Times New Roman" w:hAnsi="Times New Roman"/>
          <w:sz w:val="24"/>
        </w:rPr>
        <w:t>6</w:t>
      </w:r>
      <w:r>
        <w:rPr>
          <w:rFonts w:ascii="Times New Roman" w:hAnsi="Times New Roman"/>
          <w:sz w:val="24"/>
        </w:rPr>
        <w:t>月</w:t>
      </w:r>
      <w:r>
        <w:rPr>
          <w:rFonts w:ascii="Times New Roman" w:hAnsi="Times New Roman"/>
          <w:sz w:val="24"/>
        </w:rPr>
        <w:t>3</w:t>
      </w:r>
      <w:r>
        <w:rPr>
          <w:rFonts w:ascii="Times New Roman" w:hAnsi="Times New Roman"/>
          <w:sz w:val="24"/>
        </w:rPr>
        <w:t>日确认持有的份额数仍为</w:t>
      </w:r>
      <w:r>
        <w:rPr>
          <w:rFonts w:ascii="Times New Roman" w:hAnsi="Times New Roman"/>
          <w:sz w:val="24"/>
        </w:rPr>
        <w:t>1,000</w:t>
      </w:r>
      <w:r>
        <w:rPr>
          <w:rFonts w:ascii="Times New Roman" w:hAnsi="Times New Roman"/>
          <w:sz w:val="24"/>
        </w:rPr>
        <w:t>份，则第二次和第三次定期支付该基金交易账户对应的自动赎回用于现金支付的份额数分别为：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n2=1000×0.996×(6%×31/365)/0.996=5.10</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n3=1000×1.018×(6%×63/365)/1.018=10.36</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第二次和第三次定期支付该基金交易账户实际可获得的现金支付金额分别为：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C2=5.10×0.996=5.08</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C3=10.36×1.018=10.55</w:t>
      </w:r>
      <w:r>
        <w:rPr>
          <w:rFonts w:ascii="Times New Roman" w:hAnsi="Times New Roman"/>
          <w:sz w:val="24"/>
        </w:rPr>
        <w:t>元</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（四）定期支付的确认原则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、定期支付每期自动赎回用以现金支付的基金份额时，按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的原则进行处理，即先自动赎回登记确认日期在先的基金份额；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若因当日该账户同时有其他的份额减少业务被确认而导致基金份额余额不足时，当期的定期支付业务将被确认失败，即该账户当期不进行现金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基金管理人可在法律法规允许的情况下，对上述原则进行调整。基金管理人必须在新规则开始实施前依照《信息披露办法》的有关规定在指定媒介上公告并报中国证监会备案。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例六：假设本基金于</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月进行了定期支付，</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日为当月定期支付的基准日和权益登记日。假设某基金份额持有人的基金交易账户在</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日确认持有的份额数为</w:t>
      </w:r>
      <w:r>
        <w:rPr>
          <w:rFonts w:ascii="Times New Roman" w:hAnsi="Times New Roman"/>
          <w:sz w:val="24"/>
        </w:rPr>
        <w:t>10,000</w:t>
      </w:r>
      <w:r>
        <w:rPr>
          <w:rFonts w:ascii="Times New Roman" w:hAnsi="Times New Roman"/>
          <w:sz w:val="24"/>
        </w:rPr>
        <w:t>份，根据计算公式计算当月该基金交易账户对应的自动赎回用于现金支付的份额数为</w:t>
      </w:r>
      <w:r>
        <w:rPr>
          <w:rFonts w:ascii="Times New Roman" w:hAnsi="Times New Roman"/>
          <w:sz w:val="24"/>
        </w:rPr>
        <w:t>65</w:t>
      </w:r>
      <w:r>
        <w:rPr>
          <w:rFonts w:ascii="Times New Roman" w:hAnsi="Times New Roman"/>
          <w:sz w:val="24"/>
        </w:rPr>
        <w:t>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若该基金份额持有人于</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日提交申请赎回份额</w:t>
      </w:r>
      <w:r>
        <w:rPr>
          <w:rFonts w:ascii="Times New Roman" w:hAnsi="Times New Roman"/>
          <w:sz w:val="24"/>
        </w:rPr>
        <w:t>9,500</w:t>
      </w:r>
      <w:r>
        <w:rPr>
          <w:rFonts w:ascii="Times New Roman" w:hAnsi="Times New Roman"/>
          <w:sz w:val="24"/>
        </w:rPr>
        <w:t>份，该赎回申请将优先于定期支付自动赎回业务被确认，确认后该基金账户的剩余份额为</w:t>
      </w:r>
      <w:r>
        <w:rPr>
          <w:rFonts w:ascii="Times New Roman" w:hAnsi="Times New Roman"/>
          <w:sz w:val="24"/>
        </w:rPr>
        <w:t>500</w:t>
      </w:r>
      <w:r>
        <w:rPr>
          <w:rFonts w:ascii="Times New Roman" w:hAnsi="Times New Roman"/>
          <w:sz w:val="24"/>
        </w:rPr>
        <w:t>份，高于定期支付自动赎回的份额，则该次定期支付业务也被确认成功，即该份额持有人除获得申请赎回份额的赎回款，还将获得该次定期支付的现金支付金额。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若该基金份额持有人于</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日提交申请赎回份额</w:t>
      </w:r>
      <w:r>
        <w:rPr>
          <w:rFonts w:ascii="Times New Roman" w:hAnsi="Times New Roman"/>
          <w:sz w:val="24"/>
        </w:rPr>
        <w:t>9,940</w:t>
      </w:r>
      <w:r>
        <w:rPr>
          <w:rFonts w:ascii="Times New Roman" w:hAnsi="Times New Roman"/>
          <w:sz w:val="24"/>
        </w:rPr>
        <w:t>份，该赎回申请将优先于定期支付自动赎回业务被确认，确认后该基金账户的剩余份额为</w:t>
      </w:r>
      <w:r>
        <w:rPr>
          <w:rFonts w:ascii="Times New Roman" w:hAnsi="Times New Roman"/>
          <w:sz w:val="24"/>
        </w:rPr>
        <w:t>60</w:t>
      </w:r>
      <w:r>
        <w:rPr>
          <w:rFonts w:ascii="Times New Roman" w:hAnsi="Times New Roman"/>
          <w:sz w:val="24"/>
        </w:rPr>
        <w:t>份，低于定期支付自动赎回的份额，则该次定期支付业务将被确认失败，即该账户当月不再进行现金支付，该份额持有人只获得申请赎回份额的赎回款。</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3" w:name="_Toc54104443"/>
      <w:r>
        <w:rPr>
          <w:rFonts w:ascii="Times New Roman" w:hAnsi="Times New Roman"/>
          <w:sz w:val="30"/>
        </w:rPr>
        <w:t>十一、基金的投资</w:t>
      </w:r>
      <w:bookmarkEnd w:id="13"/>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本基金精选具有长期增长潜力和较好分红能力的股票，以及具有较高息票率的债券，力争实现基金资产的长期增值。</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本基金的投资范围为具有良好流动性的金融工具，包括国内依法上市的股票（含中小板、创业板及其他中国证监会允许基金投资的股票</w:t>
      </w:r>
      <w:r w:rsidR="00B15920">
        <w:rPr>
          <w:rFonts w:hint="eastAsia"/>
          <w:bCs/>
          <w:sz w:val="24"/>
        </w:rPr>
        <w:t>、存托凭证</w:t>
      </w:r>
      <w:r>
        <w:rPr>
          <w:rFonts w:ascii="Times New Roman" w:hAnsi="Times New Roman"/>
          <w:sz w:val="24"/>
        </w:rPr>
        <w:t>）、债券、货币市场工具、权证以及法律法规或中国证监会允许基金投资的其它金融工具（但须符合中国证监会的相关规定）。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本基金的投资组合比例为：股票</w:t>
      </w:r>
      <w:r w:rsidR="00B15920">
        <w:rPr>
          <w:rFonts w:hint="eastAsia"/>
          <w:bCs/>
          <w:sz w:val="24"/>
        </w:rPr>
        <w:t>（</w:t>
      </w:r>
      <w:r w:rsidR="00B15920">
        <w:rPr>
          <w:bCs/>
          <w:sz w:val="24"/>
        </w:rPr>
        <w:t>含</w:t>
      </w:r>
      <w:r w:rsidR="00B15920" w:rsidRPr="005E1D32">
        <w:rPr>
          <w:bCs/>
          <w:sz w:val="24"/>
        </w:rPr>
        <w:t>存托凭证</w:t>
      </w:r>
      <w:r w:rsidR="00B15920">
        <w:rPr>
          <w:rFonts w:hint="eastAsia"/>
          <w:bCs/>
          <w:sz w:val="24"/>
        </w:rPr>
        <w:t>）</w:t>
      </w:r>
      <w:r>
        <w:rPr>
          <w:rFonts w:ascii="Times New Roman" w:hAnsi="Times New Roman"/>
          <w:sz w:val="24"/>
        </w:rPr>
        <w:t>、权证等权益类资产占基金资产净值的</w:t>
      </w:r>
      <w:r>
        <w:rPr>
          <w:rFonts w:ascii="Times New Roman" w:hAnsi="Times New Roman"/>
          <w:sz w:val="24"/>
        </w:rPr>
        <w:t>30%-70%</w:t>
      </w:r>
      <w:r>
        <w:rPr>
          <w:rFonts w:ascii="Times New Roman" w:hAnsi="Times New Roman"/>
          <w:sz w:val="24"/>
        </w:rPr>
        <w:t>，其中权证的投资比例不超过基金资产净值的</w:t>
      </w:r>
      <w:r>
        <w:rPr>
          <w:rFonts w:ascii="Times New Roman" w:hAnsi="Times New Roman"/>
          <w:sz w:val="24"/>
        </w:rPr>
        <w:t>3%</w:t>
      </w:r>
      <w:r>
        <w:rPr>
          <w:rFonts w:ascii="Times New Roman" w:hAnsi="Times New Roman"/>
          <w:sz w:val="24"/>
        </w:rPr>
        <w:t>；债券、资产支持证券、货币市场工具、银行存款等固定收益类资产和现金不低于基金资产净值的</w:t>
      </w:r>
      <w:r>
        <w:rPr>
          <w:rFonts w:ascii="Times New Roman" w:hAnsi="Times New Roman"/>
          <w:sz w:val="24"/>
        </w:rPr>
        <w:t>30%</w:t>
      </w:r>
      <w:r>
        <w:rPr>
          <w:rFonts w:ascii="Times New Roman" w:hAnsi="Times New Roman"/>
          <w:sz w:val="24"/>
        </w:rPr>
        <w:t>，其中现金或到期日在一年以内的政府债券投资比例不低于基金资产净值的</w:t>
      </w:r>
      <w:r>
        <w:rPr>
          <w:rFonts w:ascii="Times New Roman" w:hAnsi="Times New Roman"/>
          <w:sz w:val="24"/>
        </w:rPr>
        <w:t>5%</w:t>
      </w:r>
      <w:r>
        <w:rPr>
          <w:rFonts w:ascii="Times New Roman" w:hAnsi="Times New Roman"/>
          <w:sz w:val="24"/>
        </w:rPr>
        <w:t>，现金不包括结算备付金、存出保证金和应收申购款等。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如法律法规或监管机构以后允许基金投资其他品种，基金管理人在履行适当程序后，可以将其纳入投资范围，并可依据届时有效的法律法规适时合理地调整投资范围。</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、资产配置策略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在资产配置过程中，本基金对于经济周期的判断主要通过分析经济增长与通货</w:t>
      </w:r>
      <w:r>
        <w:rPr>
          <w:rFonts w:ascii="Times New Roman" w:hAnsi="Times New Roman"/>
          <w:sz w:val="24"/>
        </w:rPr>
        <w:lastRenderedPageBreak/>
        <w:t>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）品质筛选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筛选出在公司治理、财务及管理品质上符合基本品质要求的上市公司，构建备选股票池，主要筛选指标包括：盈利能力指标、经营效率指标和财务状况指标。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）现金分红能力和估值水平评估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在上述品质筛选的基础上，本基金采取定性和定量的方法对备选股票进行综合分析，通过综合分析上市公司分红历史和分红预期等因素对上市公司的现金分红能力进行评估，在优选红利股票的同时</w:t>
      </w:r>
      <w:r>
        <w:rPr>
          <w:rFonts w:ascii="Times New Roman" w:hAnsi="Times New Roman"/>
          <w:sz w:val="24"/>
        </w:rPr>
        <w:t>,</w:t>
      </w:r>
      <w:r>
        <w:rPr>
          <w:rFonts w:ascii="Times New Roman" w:hAnsi="Times New Roman"/>
          <w:sz w:val="24"/>
        </w:rPr>
        <w:t>本基金将注重考查具有长期增长潜力的公司：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）定量分析指标主要包括分红能力指标、分红意愿指标、估值水平指标等。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分红能力指标包括盈利性指标（如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等）和现金流指标（如经营性现金支出</w:t>
      </w:r>
      <w:r>
        <w:rPr>
          <w:rFonts w:ascii="Times New Roman" w:hAnsi="Times New Roman"/>
          <w:sz w:val="24"/>
        </w:rPr>
        <w:t>/</w:t>
      </w:r>
      <w:r>
        <w:rPr>
          <w:rFonts w:ascii="Times New Roman" w:hAnsi="Times New Roman"/>
          <w:sz w:val="24"/>
        </w:rPr>
        <w:t>折旧、自由现金流</w:t>
      </w:r>
      <w:r>
        <w:rPr>
          <w:rFonts w:ascii="Times New Roman" w:hAnsi="Times New Roman"/>
          <w:sz w:val="24"/>
        </w:rPr>
        <w:t>/</w:t>
      </w:r>
      <w:r>
        <w:rPr>
          <w:rFonts w:ascii="Times New Roman" w:hAnsi="Times New Roman"/>
          <w:sz w:val="24"/>
        </w:rPr>
        <w:t>销售等）。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分红意愿指标包括股息支付比例、股利分配率等。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估值水平指标包括市盈率（</w:t>
      </w:r>
      <w:r>
        <w:rPr>
          <w:rFonts w:ascii="Times New Roman" w:hAnsi="Times New Roman"/>
          <w:sz w:val="24"/>
        </w:rPr>
        <w:t>P/E</w:t>
      </w:r>
      <w:r>
        <w:rPr>
          <w:rFonts w:ascii="Times New Roman" w:hAnsi="Times New Roman"/>
          <w:sz w:val="24"/>
        </w:rPr>
        <w:t>）、市净率</w:t>
      </w:r>
      <w:r>
        <w:rPr>
          <w:rFonts w:ascii="Times New Roman" w:hAnsi="Times New Roman"/>
          <w:sz w:val="24"/>
        </w:rPr>
        <w:t>(P/B)</w:t>
      </w:r>
      <w:r>
        <w:rPr>
          <w:rFonts w:ascii="Times New Roman" w:hAnsi="Times New Roman"/>
          <w:sz w:val="24"/>
        </w:rPr>
        <w:t>、市价现金流比率（</w:t>
      </w:r>
      <w:r>
        <w:rPr>
          <w:rFonts w:ascii="Times New Roman" w:hAnsi="Times New Roman"/>
          <w:sz w:val="24"/>
        </w:rPr>
        <w:t>P/CF</w:t>
      </w:r>
      <w:r>
        <w:rPr>
          <w:rFonts w:ascii="Times New Roman" w:hAnsi="Times New Roman"/>
          <w:sz w:val="24"/>
        </w:rPr>
        <w:t>）等。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）定性分析主要集中于对公司基本面因素，本基金将重点考察上市公司的治理结构、盈利持续性和财务稳定性等因素</w:t>
      </w:r>
      <w:r>
        <w:rPr>
          <w:rFonts w:ascii="Times New Roman" w:hAnsi="Times New Roman"/>
          <w:sz w:val="24"/>
        </w:rPr>
        <w:t>,</w:t>
      </w:r>
      <w:r>
        <w:rPr>
          <w:rFonts w:ascii="Times New Roman" w:hAnsi="Times New Roman"/>
          <w:sz w:val="24"/>
        </w:rPr>
        <w:t>深入挖掘上市公司的潜在价值。定性分</w:t>
      </w:r>
      <w:r>
        <w:rPr>
          <w:rFonts w:ascii="Times New Roman" w:hAnsi="Times New Roman"/>
          <w:sz w:val="24"/>
        </w:rPr>
        <w:lastRenderedPageBreak/>
        <w:t>析时重点关注具有以下特征的优质公司：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所处行业具有良好的行业发展空间；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具有良好公司治理结构，公司注重股东回报，管理层能力较强，内部运作机制顺畅；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已建立起市场化经营机制、决策效率高、对市场变化反应灵敏；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行业地位突出，具有较强的核心竞争力，并具有与行业竞争结构相适应的、清晰的竞争战略；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在行业内拥有成本优势、规模优势、品牌优势、技术优势或其它特定优势，公司主要业务或产品市场份额处于行业前列；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⑥</w:t>
      </w:r>
      <w:r>
        <w:rPr>
          <w:rFonts w:ascii="Times New Roman" w:hAnsi="Times New Roman"/>
          <w:sz w:val="24"/>
        </w:rPr>
        <w:t>财务稳健，经营效率及盈利能力较强等。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）股票选择及组合优化</w:t>
      </w:r>
    </w:p>
    <w:p w:rsidR="00B15920" w:rsidRPr="00B15920" w:rsidRDefault="0059707E" w:rsidP="00B15920">
      <w:pPr>
        <w:adjustRightInd w:val="0"/>
        <w:snapToGrid w:val="0"/>
        <w:spacing w:line="360" w:lineRule="auto"/>
        <w:ind w:firstLineChars="200" w:firstLine="480"/>
        <w:rPr>
          <w:rFonts w:ascii="宋体" w:hAnsi="宋体"/>
          <w:bCs/>
          <w:sz w:val="24"/>
          <w:szCs w:val="24"/>
        </w:rPr>
      </w:pPr>
      <w:r>
        <w:rPr>
          <w:rFonts w:ascii="Times New Roman" w:hAnsi="Times New Roman"/>
          <w:sz w:val="24"/>
        </w:rPr>
        <w:t>本基金将综合定性分析与定量价值评估的结果，精选估值合理或被低估以及具有上升潜力和投资价值的股票构建股票投资组合，并根据股票的预期收益与风险水平对投资组合进行优化。</w:t>
      </w:r>
    </w:p>
    <w:p w:rsidR="00B15920" w:rsidRPr="00B15920" w:rsidRDefault="00B15920" w:rsidP="00B15920">
      <w:pPr>
        <w:adjustRightInd w:val="0"/>
        <w:snapToGrid w:val="0"/>
        <w:spacing w:line="360" w:lineRule="auto"/>
        <w:ind w:firstLineChars="200" w:firstLine="480"/>
        <w:rPr>
          <w:rFonts w:ascii="宋体" w:hAnsi="宋体"/>
          <w:bCs/>
          <w:sz w:val="24"/>
          <w:szCs w:val="24"/>
        </w:rPr>
      </w:pPr>
      <w:r w:rsidRPr="00B15920">
        <w:rPr>
          <w:rFonts w:ascii="宋体" w:hAnsi="宋体" w:hint="eastAsia"/>
          <w:bCs/>
          <w:sz w:val="24"/>
          <w:szCs w:val="24"/>
        </w:rPr>
        <w:t>（</w:t>
      </w:r>
      <w:r w:rsidRPr="00B15920">
        <w:rPr>
          <w:rFonts w:ascii="宋体" w:hAnsi="宋体"/>
          <w:bCs/>
          <w:sz w:val="24"/>
          <w:szCs w:val="24"/>
        </w:rPr>
        <w:t>4</w:t>
      </w:r>
      <w:r w:rsidRPr="00B15920">
        <w:rPr>
          <w:rFonts w:ascii="宋体" w:hAnsi="宋体" w:hint="eastAsia"/>
          <w:bCs/>
          <w:sz w:val="24"/>
          <w:szCs w:val="24"/>
        </w:rPr>
        <w:t>）存托凭证的投资策略</w:t>
      </w:r>
    </w:p>
    <w:p w:rsidR="007D3765" w:rsidRDefault="00B15920" w:rsidP="00B15920">
      <w:pPr>
        <w:autoSpaceDE w:val="0"/>
        <w:autoSpaceDN w:val="0"/>
        <w:adjustRightInd w:val="0"/>
        <w:snapToGrid w:val="0"/>
        <w:spacing w:line="360" w:lineRule="auto"/>
        <w:ind w:firstLineChars="200" w:firstLine="480"/>
        <w:rPr>
          <w:rFonts w:ascii="宋体" w:hAnsi="宋体"/>
          <w:szCs w:val="24"/>
        </w:rPr>
      </w:pPr>
      <w:r w:rsidRPr="00B15920">
        <w:rPr>
          <w:rFonts w:ascii="宋体" w:hAnsi="宋体" w:hint="eastAsia"/>
          <w:bCs/>
          <w:sz w:val="24"/>
          <w:szCs w:val="24"/>
        </w:rPr>
        <w:t>本基金投资存托凭证的策略依照境内上市交易的股票投资策略执行。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）久期管理策略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在全球经济的框架下，本基金管理人对宏观经济运行趋势及其引致的财政货币政策变化做出判断，密切跟踪</w:t>
      </w:r>
      <w:r>
        <w:rPr>
          <w:rFonts w:ascii="Times New Roman" w:hAnsi="Times New Roman"/>
          <w:sz w:val="24"/>
        </w:rPr>
        <w:t>CPI</w:t>
      </w:r>
      <w:r>
        <w:rPr>
          <w:rFonts w:ascii="Times New Roman" w:hAnsi="Times New Roman"/>
          <w:sz w:val="24"/>
        </w:rPr>
        <w:t>、</w:t>
      </w:r>
      <w:r>
        <w:rPr>
          <w:rFonts w:ascii="Times New Roman" w:hAnsi="Times New Roman"/>
          <w:sz w:val="24"/>
        </w:rPr>
        <w:t>PPI</w:t>
      </w:r>
      <w:r>
        <w:rPr>
          <w:rFonts w:ascii="Times New Roman" w:hAnsi="Times New Roman"/>
          <w:sz w:val="24"/>
        </w:rPr>
        <w:t>、汇率、</w:t>
      </w:r>
      <w:r>
        <w:rPr>
          <w:rFonts w:ascii="Times New Roman" w:hAnsi="Times New Roman"/>
          <w:sz w:val="24"/>
        </w:rPr>
        <w:t>M2</w:t>
      </w:r>
      <w:r>
        <w:rPr>
          <w:rFonts w:ascii="Times New Roman" w:hAnsi="Times New Roman"/>
          <w:sz w:val="24"/>
        </w:rPr>
        <w:t>等利率敏感指标，运用数量化工具，对未来市场利率趋势进行分析与预测，并据此确定合理的债券组合目标久</w:t>
      </w:r>
      <w:r>
        <w:rPr>
          <w:rFonts w:ascii="Times New Roman" w:hAnsi="Times New Roman"/>
          <w:sz w:val="24"/>
        </w:rPr>
        <w:lastRenderedPageBreak/>
        <w:t>期，通过合理的久期控制实现对利率风险的有效管理。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）债券的类属配置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）信用债券投资策略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信用债券同时承载了利率风险与信用风险，而信用风险对信用债券表现的影响胜于利率风险。具体而言，本基金信用债券的投资遵循以下流程：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信用债券研究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信用分析师通过系统的案头研究、走访发行主体、咨询发行中介等各种形式，</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地分析宏观经济运行趋势、行业（或产业）经济前景，</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地分析发行主体的发展前景、偿债能力、国家信用支撑等。通过交银施罗德的信用债券信用评级指标体系，对信用债券进行信用评级，并在信用评级的基础上，建立本基金的信用债券池。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信用债券投资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本基金从信用债券池中精选债券构建信用债券投资组合，主要考虑以下因素：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信用债券信用评级的变化。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不同信用等级的信用债券，以及同一信用等级不同标的债券之间的信用利差变化。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）资产支持证券（含资产收益计划）投资策略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）可转换债券投资策略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可转换债券是介于股票和债券之间的投资品种，兼具股性和债性的双重特征。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本基金对于可转换债券股性的研究将完全依托于公司投研团队对标的股票的研究，在此基础上量化投资部利用可转换债券定价模型，充分考虑转债发行后目标转</w:t>
      </w:r>
      <w:r>
        <w:rPr>
          <w:rFonts w:ascii="Times New Roman" w:hAnsi="Times New Roman"/>
          <w:sz w:val="24"/>
        </w:rPr>
        <w:lastRenderedPageBreak/>
        <w:t>债标的股票股价波动率可能出现的变化，对目标转债的股性进行合理定价。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对于本基金可转换债券债性的研究，将引进公司信用债券信用评级指标体系，对可转换债券的发行主体及标的债券进行信用评级，并在信用评级的基础上对其进行合理定价。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通过对标的转债股性与债性的合理定价，力求寻找出被市场低估的品种，构建本基金可转换债券的投资组合。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）本基金股票</w:t>
      </w:r>
      <w:r w:rsidR="00B15920" w:rsidRPr="00766D39">
        <w:rPr>
          <w:rFonts w:hint="eastAsia"/>
          <w:bCs/>
          <w:sz w:val="24"/>
        </w:rPr>
        <w:t>（</w:t>
      </w:r>
      <w:r w:rsidR="00B15920" w:rsidRPr="00766D39">
        <w:rPr>
          <w:bCs/>
          <w:sz w:val="24"/>
        </w:rPr>
        <w:t>含存托凭证</w:t>
      </w:r>
      <w:r w:rsidR="00B15920" w:rsidRPr="00766D39">
        <w:rPr>
          <w:rFonts w:hint="eastAsia"/>
          <w:bCs/>
          <w:sz w:val="24"/>
        </w:rPr>
        <w:t>）</w:t>
      </w:r>
      <w:r>
        <w:rPr>
          <w:rFonts w:ascii="Times New Roman" w:hAnsi="Times New Roman"/>
          <w:sz w:val="24"/>
        </w:rPr>
        <w:t>、权证等权益类资产占基金资产净值的</w:t>
      </w:r>
      <w:r>
        <w:rPr>
          <w:rFonts w:ascii="Times New Roman" w:hAnsi="Times New Roman"/>
          <w:sz w:val="24"/>
        </w:rPr>
        <w:t>30%-70%</w:t>
      </w:r>
      <w:r>
        <w:rPr>
          <w:rFonts w:ascii="Times New Roman" w:hAnsi="Times New Roman"/>
          <w:sz w:val="24"/>
        </w:rPr>
        <w:t>，债券、资产支持证券、货币市场工具、银行存款等固定收益类资产和现金不低于基金资产净值的</w:t>
      </w:r>
      <w:r>
        <w:rPr>
          <w:rFonts w:ascii="Times New Roman" w:hAnsi="Times New Roman"/>
          <w:sz w:val="24"/>
        </w:rPr>
        <w:t>30%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）本基金持有一家上市公司的股票，其市值不超过基金资产净值的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 xml:space="preserve"> 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）本基金与私募类证券资管产品及中国证监会认定的其他主体为交易对手开展逆回购交易的，可接受质押品的资质要求应当与本基金合同约定的投资范围保持一致；</w:t>
      </w:r>
    </w:p>
    <w:p w:rsidR="00B15920" w:rsidRPr="00B15920" w:rsidRDefault="0059707E" w:rsidP="00B15920">
      <w:pPr>
        <w:adjustRightInd w:val="0"/>
        <w:snapToGrid w:val="0"/>
        <w:spacing w:line="360" w:lineRule="auto"/>
        <w:ind w:firstLineChars="200" w:firstLine="480"/>
        <w:rPr>
          <w:rFonts w:ascii="Times New Roman" w:hAnsi="Times New Roman"/>
          <w:bCs/>
          <w:sz w:val="24"/>
          <w:szCs w:val="20"/>
        </w:rPr>
      </w:pPr>
      <w:r>
        <w:rPr>
          <w:rFonts w:ascii="Times New Roman" w:hAnsi="Times New Roman"/>
          <w:sz w:val="24"/>
        </w:rPr>
        <w:t>（</w:t>
      </w:r>
      <w:r>
        <w:rPr>
          <w:rFonts w:ascii="Times New Roman" w:hAnsi="Times New Roman"/>
          <w:sz w:val="24"/>
        </w:rPr>
        <w:t>18</w:t>
      </w:r>
      <w:r>
        <w:rPr>
          <w:rFonts w:ascii="Times New Roman" w:hAnsi="Times New Roman"/>
          <w:sz w:val="24"/>
        </w:rPr>
        <w:t>）</w:t>
      </w:r>
      <w:r w:rsidR="00B15920" w:rsidRPr="00B15920">
        <w:rPr>
          <w:rFonts w:ascii="Times New Roman" w:hAnsi="Times New Roman" w:hint="eastAsia"/>
          <w:bCs/>
          <w:sz w:val="24"/>
          <w:szCs w:val="20"/>
        </w:rPr>
        <w:t>本基金投资存托凭证的比例限制依照境内上市交易的股票执行；</w:t>
      </w:r>
    </w:p>
    <w:p w:rsidR="007D3765" w:rsidRDefault="00B15920" w:rsidP="00B15920">
      <w:pPr>
        <w:autoSpaceDE w:val="0"/>
        <w:autoSpaceDN w:val="0"/>
        <w:adjustRightInd w:val="0"/>
        <w:snapToGrid w:val="0"/>
        <w:spacing w:line="360" w:lineRule="auto"/>
        <w:ind w:firstLineChars="200" w:firstLine="480"/>
        <w:rPr>
          <w:rFonts w:ascii="宋体" w:hAnsi="宋体"/>
          <w:szCs w:val="24"/>
        </w:rPr>
      </w:pPr>
      <w:r w:rsidRPr="00B15920">
        <w:rPr>
          <w:rFonts w:ascii="Times New Roman" w:hAnsi="Times New Roman"/>
          <w:bCs/>
          <w:sz w:val="24"/>
          <w:szCs w:val="20"/>
        </w:rPr>
        <w:t>（</w:t>
      </w:r>
      <w:r w:rsidRPr="00B15920">
        <w:rPr>
          <w:rFonts w:ascii="Times New Roman" w:hAnsi="Times New Roman"/>
          <w:bCs/>
          <w:sz w:val="24"/>
          <w:szCs w:val="20"/>
        </w:rPr>
        <w:t>1</w:t>
      </w:r>
      <w:r>
        <w:rPr>
          <w:rFonts w:ascii="Times New Roman" w:hAnsi="Times New Roman"/>
          <w:bCs/>
          <w:sz w:val="24"/>
          <w:szCs w:val="20"/>
        </w:rPr>
        <w:t>9</w:t>
      </w:r>
      <w:r w:rsidRPr="00B15920">
        <w:rPr>
          <w:rFonts w:ascii="Times New Roman" w:hAnsi="Times New Roman"/>
          <w:bCs/>
          <w:sz w:val="24"/>
          <w:szCs w:val="20"/>
        </w:rPr>
        <w:t>）</w:t>
      </w:r>
      <w:r w:rsidR="0059707E">
        <w:rPr>
          <w:rFonts w:ascii="Times New Roman" w:hAnsi="Times New Roman"/>
          <w:sz w:val="24"/>
        </w:rPr>
        <w:t>法律法规及中国证监会规定的和基金合同约定的其他投资限制。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）项外，因证券市场波动、上市公司合并、基金规模变动、股权分置改革中支付对价等基金管理人之外的因素致使基金投资比例不符合上述规定投资比例的，基金管理人应当在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个交易日内进行调整，法律法规另有规定的从其规定。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个月内使基金的投资组合比例符合基金合同的有关约定。基金托管人对基金的投资的监督与检查自本基金合同生效之日起开始。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法律法规或监管部门取消或修改上述限制，如适用于本基金，基金管理人在履行适当程序后，则本基金投资所受限制相应调整。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为维护基金份额持有人的合法权益，基金财产不得用于下列投资或者活动：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）向他人贷款或者提供担保；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）买卖其他基金份额，但是国务院另有规定的除外；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）向其基金管理人、基金托管人出资或者买卖其基金管理人、基金托管人发行的股票或者债券；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）买卖与其基金管理人、基金托管人有控股关系的股东或者与其基金管理人、基金托管人有其他重大利害关系的公司发行的证券或者承销期内承销的证券；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）从事内幕交易、操纵证券交易价格及其他不正当的证券交易活动；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）依照法律法规有关规定，由中国证监会规定禁止的其他活动。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如法律法规或监管部门取消上述禁止性规定，本基金管理人在履行适当程序后可不受上述规定的限制。</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w:t>
      </w:r>
      <w:r>
        <w:rPr>
          <w:rFonts w:ascii="Times New Roman" w:hAnsi="Times New Roman"/>
          <w:sz w:val="24"/>
        </w:rPr>
        <w:t>50%×</w:t>
      </w:r>
      <w:r>
        <w:rPr>
          <w:rFonts w:ascii="Times New Roman" w:hAnsi="Times New Roman"/>
          <w:sz w:val="24"/>
        </w:rPr>
        <w:t>中证红利指数收益率</w:t>
      </w:r>
      <w:r>
        <w:rPr>
          <w:rFonts w:ascii="Times New Roman" w:hAnsi="Times New Roman"/>
          <w:sz w:val="24"/>
        </w:rPr>
        <w:t>+50%×</w:t>
      </w:r>
      <w:r>
        <w:rPr>
          <w:rFonts w:ascii="Times New Roman" w:hAnsi="Times New Roman"/>
          <w:sz w:val="24"/>
        </w:rPr>
        <w:t>中债综合全价指数收益率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中证红利指数挑选在上海证券交易所和深圳证券交易所上市的现金股息率高、分红比较稳定、具有一定规模及流动性的</w:t>
      </w:r>
      <w:r>
        <w:rPr>
          <w:rFonts w:ascii="Times New Roman" w:hAnsi="Times New Roman"/>
          <w:sz w:val="24"/>
        </w:rPr>
        <w:t xml:space="preserve">100 </w:t>
      </w:r>
      <w:r>
        <w:rPr>
          <w:rFonts w:ascii="Times New Roman" w:hAnsi="Times New Roman"/>
          <w:sz w:val="24"/>
        </w:rPr>
        <w:t>只股票作为样本，以反映</w:t>
      </w:r>
      <w:r>
        <w:rPr>
          <w:rFonts w:ascii="Times New Roman" w:hAnsi="Times New Roman"/>
          <w:sz w:val="24"/>
        </w:rPr>
        <w:t xml:space="preserve">A </w:t>
      </w:r>
      <w:r>
        <w:rPr>
          <w:rFonts w:ascii="Times New Roman" w:hAnsi="Times New Roman"/>
          <w:sz w:val="24"/>
        </w:rPr>
        <w:t>股市场红利股票的整体状况和走势。该指数具有较好的权威性、市场代表性，作为衡量本基金股票投资部分业绩的比较基准，较为合适。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债综合全价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考虑到本基金的投资比例及各投资对象价格的变动对基金净值的不同影响，本基金对上述两个基准指数按照目标资产配置比例分配权重，作为综合衡量本基金投资业绩的比较基准。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本基金是一只混合型基金，在证券投资基金中属于较高风险的品种，其长期平均风险和预期收益高于货币市场基金和债券型基金，低于股票型基金。根据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（七）基金的融资融券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本基金可以按照届时有效的有关法律法规和政策的规定进行融资融券。</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（八）基金管理人代表基金行使股东及债权人权利的处理原则及方法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、基金管理人按照国家有关规定代表基金独立行使股东及债权人权利，保护基金份额持有人的利益；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（九）投资决策依据和投资流程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w:t>
      </w:r>
      <w:r>
        <w:rPr>
          <w:rFonts w:ascii="Times New Roman" w:hAnsi="Times New Roman"/>
          <w:sz w:val="24"/>
        </w:rPr>
        <w:lastRenderedPageBreak/>
        <w:t>功能，保证基金经理的投资指令在合法、合规的前提下得到高效的执行。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）交易指令通过风控系统的自动合规核查后，由中央交易室执行，中央交易室对交易情况及时反馈；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（十）基金投资组合报告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w:t>
      </w:r>
      <w:r>
        <w:rPr>
          <w:rFonts w:ascii="Times New Roman" w:hAnsi="Times New Roman"/>
          <w:sz w:val="24"/>
        </w:rPr>
        <w:t>,</w:t>
      </w:r>
      <w:r>
        <w:rPr>
          <w:rFonts w:ascii="Times New Roman" w:hAnsi="Times New Roman"/>
          <w:sz w:val="24"/>
        </w:rPr>
        <w:t>保证复核内容不存在虚假记载、误导性陈述或者重大遗漏。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日。本报告财务资料未经审计师审计。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3,038,957,405.10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62.21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3,038,957,405.10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62.21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193,967,179.48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3.97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193,967,179.48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3.97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1,265,711,272.86</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25.91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298,212,343.01</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6.10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88,542,532.36</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4,885,390,732.81</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报告期末按行业分类的境内股票投资组合</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98,742,027.33</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2.05</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1,621,414,506.26</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33.72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12,766.32</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269,051,560.22</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5.60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455,175,742.68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9.47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42,544,392.26</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0.88</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L</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41,297,570.08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0.86</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25,549,276.00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0.53</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162,081,950.25</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3.37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323,087,613.70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6.72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3,038,957,405.10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63.20</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2"/>
        <w:gridCol w:w="1625"/>
        <w:gridCol w:w="1625"/>
        <w:gridCol w:w="1626"/>
        <w:gridCol w:w="1626"/>
        <w:gridCol w:w="1626"/>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芒果超媒</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4,281,418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279,148,453.60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5.81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4,819,273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263,458,233.10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5.48</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002841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视源股份</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2,405,628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234,093,098.56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4.87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603517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绝味食品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2,948,962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208,609,571.88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4.34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10,508,846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186,006,574.20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3.87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三花智控</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8,245,111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180,567,930.90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3.76</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002555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三七互娱</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3,817,899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177,052,673.20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3.68</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002607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中公教育</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5,840,791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162,081,950.25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3.37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3,908,450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158,800,323.50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中天科技</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13,271,889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151,963,129.05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3.16</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189,811,000.00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3.95</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7D376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189,811,000.00</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3.95</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4,156,179.48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193,967,179.48</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4.03</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2"/>
        <w:gridCol w:w="1625"/>
        <w:gridCol w:w="1625"/>
        <w:gridCol w:w="1626"/>
        <w:gridCol w:w="1626"/>
        <w:gridCol w:w="1626"/>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w:t>
            </w:r>
            <w:r>
              <w:rPr>
                <w:rFonts w:ascii="Times New Roman" w:hAnsi="Times New Roman"/>
                <w:color w:val="000000"/>
                <w:kern w:val="0"/>
                <w:sz w:val="25"/>
                <w:szCs w:val="24"/>
              </w:rPr>
              <w:t>(</w:t>
            </w:r>
            <w:r>
              <w:rPr>
                <w:rFonts w:ascii="Times New Roman" w:hAnsi="Times New Roman"/>
                <w:color w:val="000000"/>
                <w:kern w:val="0"/>
                <w:sz w:val="25"/>
                <w:szCs w:val="24"/>
              </w:rPr>
              <w:t>张</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190307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进出</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130,273,000.00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200211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59,538,000.00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1.24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瀚蓝转债</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18,710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2,342,117.80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113587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泛微转债</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11,150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1,115,000.00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128102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海大转债</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4,932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699,061.68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报告期末按公允价值占基金资产净值比例大小排序的前十名资产支持证券投资明细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11.3</w:t>
      </w:r>
      <w:r>
        <w:rPr>
          <w:rFonts w:ascii="Times New Roman" w:hAnsi="Times New Roman"/>
          <w:sz w:val="24"/>
        </w:rPr>
        <w:t>其他资产构成</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7"/>
        <w:gridCol w:w="4645"/>
        <w:gridCol w:w="2478"/>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814,497.77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2,679,467.44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85,048,567.15</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88,542,532.36</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报告期末前十名股票中存在流通受限情况的说明</w:t>
      </w:r>
    </w:p>
    <w:p w:rsidR="007D3765" w:rsidRDefault="0059707E">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2"/>
        <w:gridCol w:w="1625"/>
        <w:gridCol w:w="1625"/>
        <w:gridCol w:w="1626"/>
        <w:gridCol w:w="1626"/>
        <w:gridCol w:w="1626"/>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002841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视源股份</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79,277,000.00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002555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三七互娱</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21,775,000.00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8,049,000.00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4" w:name="_Toc54104444"/>
      <w:r>
        <w:rPr>
          <w:rFonts w:ascii="Times New Roman" w:hAnsi="Times New Roman"/>
          <w:sz w:val="30"/>
        </w:rPr>
        <w:t>十二、基金的业绩</w:t>
      </w:r>
      <w:bookmarkEnd w:id="14"/>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300"/>
        <w:gridCol w:w="1300"/>
        <w:gridCol w:w="1300"/>
        <w:gridCol w:w="1301"/>
        <w:gridCol w:w="1301"/>
        <w:gridCol w:w="1301"/>
        <w:gridCol w:w="867"/>
      </w:tblGrid>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17.11%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16.17%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0.41%</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24.48%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-3.34%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27.82%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0.54%</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46.29%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8.71%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37.58%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0.55%</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-6.43%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0.62%</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32.50%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6.69%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25.81%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0.50%</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-4.08%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4.13%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0.57%</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59.94%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17.50%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42.44%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0.76%</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28.13%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27.64%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0.28%</w:t>
            </w:r>
          </w:p>
        </w:tc>
      </w:tr>
      <w:tr w:rsidR="007D376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3.45%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-0.50%</w:t>
            </w:r>
          </w:p>
        </w:tc>
      </w:tr>
    </w:tbl>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7D3765" w:rsidRDefault="0059707E">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交银施罗德定期支付双息平衡混合型证券投资基金</w:t>
      </w:r>
    </w:p>
    <w:p w:rsidR="007D3765" w:rsidRDefault="0059707E">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rsidR="007D3765" w:rsidRDefault="0059707E">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2013</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4</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rsidR="007D3765" w:rsidRDefault="00A05F48">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extent cx="5585460" cy="3291840"/>
            <wp:effectExtent l="0" t="0" r="0" b="381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5460" cy="3291840"/>
                    </a:xfrm>
                    <a:prstGeom prst="rect">
                      <a:avLst/>
                    </a:prstGeom>
                    <a:noFill/>
                    <a:ln>
                      <a:noFill/>
                    </a:ln>
                  </pic:spPr>
                </pic:pic>
              </a:graphicData>
            </a:graphic>
          </wp:inline>
        </w:drawing>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5" w:name="_Toc54104445"/>
      <w:r>
        <w:rPr>
          <w:rFonts w:ascii="Times New Roman" w:hAnsi="Times New Roman"/>
          <w:sz w:val="30"/>
        </w:rPr>
        <w:t>十三、基金的财产</w:t>
      </w:r>
      <w:bookmarkEnd w:id="15"/>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6" w:name="_Toc54104446"/>
      <w:r>
        <w:rPr>
          <w:rFonts w:ascii="Times New Roman" w:hAnsi="Times New Roman"/>
          <w:sz w:val="30"/>
        </w:rPr>
        <w:t>十四、基金资产的估值</w:t>
      </w:r>
      <w:bookmarkEnd w:id="16"/>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基金所拥有的股票、权证、债券和银行存款本息、应收款项、其它投资等资产及负债。</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（三）估值方法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）首次公开发行未上市的股票、债券和权证，采用估值技术确定公允价值，在估值技术难以可靠计量公允价值的情况下，按成本估值；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、全国银行间债券市场交易的债券、资产支持证券等固定收益品种，采用估值技术确定公允价值。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、同一债券同时在两个或两个以上市场交易的，按债券所处的市场分别估值。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rsidR="007934AB" w:rsidRPr="007934AB" w:rsidRDefault="0059707E" w:rsidP="007934AB">
      <w:pPr>
        <w:adjustRightInd w:val="0"/>
        <w:snapToGrid w:val="0"/>
        <w:spacing w:line="360" w:lineRule="auto"/>
        <w:ind w:firstLineChars="200" w:firstLine="480"/>
        <w:rPr>
          <w:rFonts w:ascii="Times New Roman" w:hAnsi="宋体"/>
          <w:bCs/>
          <w:sz w:val="24"/>
          <w:szCs w:val="24"/>
        </w:rPr>
      </w:pPr>
      <w:r>
        <w:rPr>
          <w:rFonts w:ascii="Times New Roman" w:hAnsi="Times New Roman"/>
          <w:sz w:val="24"/>
        </w:rPr>
        <w:t>6</w:t>
      </w:r>
      <w:r>
        <w:rPr>
          <w:rFonts w:ascii="Times New Roman" w:hAnsi="Times New Roman"/>
          <w:sz w:val="24"/>
        </w:rPr>
        <w:t>、</w:t>
      </w:r>
      <w:r w:rsidR="007934AB" w:rsidRPr="007934AB">
        <w:rPr>
          <w:rFonts w:ascii="Times New Roman" w:hAnsi="宋体" w:hint="eastAsia"/>
          <w:bCs/>
          <w:sz w:val="24"/>
          <w:szCs w:val="24"/>
        </w:rPr>
        <w:t>本基金投资存托凭证的估值核算依照境内上市交易的股票执行。</w:t>
      </w:r>
    </w:p>
    <w:p w:rsidR="007D3765" w:rsidRDefault="007934AB" w:rsidP="007934AB">
      <w:pPr>
        <w:autoSpaceDE w:val="0"/>
        <w:autoSpaceDN w:val="0"/>
        <w:adjustRightInd w:val="0"/>
        <w:snapToGrid w:val="0"/>
        <w:spacing w:line="360" w:lineRule="auto"/>
        <w:ind w:firstLineChars="200" w:firstLine="480"/>
        <w:rPr>
          <w:rFonts w:ascii="宋体" w:hAnsi="宋体"/>
          <w:szCs w:val="24"/>
        </w:rPr>
      </w:pPr>
      <w:r w:rsidRPr="007934AB">
        <w:rPr>
          <w:rFonts w:ascii="Times New Roman" w:hAnsi="宋体" w:hint="eastAsia"/>
          <w:bCs/>
          <w:sz w:val="24"/>
          <w:szCs w:val="24"/>
        </w:rPr>
        <w:t>7</w:t>
      </w:r>
      <w:r w:rsidRPr="007934AB">
        <w:rPr>
          <w:rFonts w:ascii="Times New Roman" w:hAnsi="宋体" w:hint="eastAsia"/>
          <w:bCs/>
          <w:sz w:val="24"/>
          <w:szCs w:val="24"/>
        </w:rPr>
        <w:t>、</w:t>
      </w:r>
      <w:r w:rsidR="0059707E">
        <w:rPr>
          <w:rFonts w:ascii="Times New Roman" w:hAnsi="Times New Roman"/>
          <w:sz w:val="24"/>
        </w:rPr>
        <w:t>相关法律法规以及监管部门有强制规定的，从其规定。如有新增事项，按国家最新规定估值。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0.001</w:t>
      </w:r>
      <w:r>
        <w:rPr>
          <w:rFonts w:ascii="Times New Roman" w:hAnsi="Times New Roman"/>
          <w:sz w:val="24"/>
        </w:rPr>
        <w:t>元，小数点后第四位四舍五入。国家另有规定的，从其规定。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每个工作日计算基金资产净值及基金份额净值，并按规定公告。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（五）估值错误的处理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位）发生估值错误时，视为基金份额净值错误。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本基金基金合同的当事人应按照以下约定处理：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对于因技术原因引起的估值错误，若系同行业现有技术水平无法预见、无法避免、无法抗拒，则属不可抗力，按照下述规定执行。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w:t>
      </w:r>
      <w:r>
        <w:rPr>
          <w:rFonts w:ascii="Times New Roman" w:hAnsi="Times New Roman"/>
          <w:sz w:val="24"/>
        </w:rPr>
        <w:lastRenderedPageBreak/>
        <w:t>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（六）暂停估值的情形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、基金投资所涉及的证券交易市场遇法定节假日或因其他原因暂停营业时；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、占基金相当比例的投资品种的估值出现重大转变，而基金管理人为保障基金份额持有人的利益，已决定延迟估值；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、中国证监会和基金合同认定的其它情形。</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（七）基金净值的确认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（八）特殊情况的处理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7" w:name="_Toc54104447"/>
      <w:r>
        <w:rPr>
          <w:rFonts w:ascii="Times New Roman" w:hAnsi="Times New Roman"/>
          <w:sz w:val="30"/>
        </w:rPr>
        <w:t>十五、基金收益与分配</w:t>
      </w:r>
      <w:bookmarkEnd w:id="17"/>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在存续期内，本基金按照基金合同的约定每月定期向基金份额持有人支付一定的现金，除上述定期支付外，本基金不另外进行收益分配。关于定期支付的相关规定见本招募说明书第九部分</w:t>
      </w:r>
      <w:r>
        <w:rPr>
          <w:rFonts w:ascii="Times New Roman" w:hAnsi="Times New Roman"/>
          <w:sz w:val="24"/>
        </w:rPr>
        <w:t>“</w:t>
      </w:r>
      <w:r>
        <w:rPr>
          <w:rFonts w:ascii="Times New Roman" w:hAnsi="Times New Roman"/>
          <w:sz w:val="24"/>
        </w:rPr>
        <w:t>基金的定期支付</w:t>
      </w:r>
      <w:r>
        <w:rPr>
          <w:rFonts w:ascii="Times New Roman" w:hAnsi="Times New Roman"/>
          <w:sz w:val="24"/>
        </w:rPr>
        <w:t>”</w:t>
      </w:r>
      <w:r>
        <w:rPr>
          <w:rFonts w:ascii="Times New Roman" w:hAnsi="Times New Roman"/>
          <w:sz w:val="24"/>
        </w:rPr>
        <w:t>。</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8" w:name="_Toc54104448"/>
      <w:r>
        <w:rPr>
          <w:rFonts w:ascii="Times New Roman" w:hAnsi="Times New Roman"/>
          <w:sz w:val="30"/>
        </w:rPr>
        <w:t>十六、基金的费用与税收</w:t>
      </w:r>
      <w:bookmarkEnd w:id="18"/>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、按照国家有关规定和基金合同约定，可以在基金财产中列支的其他费用。</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1.5%</w:t>
      </w:r>
      <w:r>
        <w:rPr>
          <w:rFonts w:ascii="Times New Roman" w:hAnsi="Times New Roman"/>
          <w:sz w:val="24"/>
        </w:rPr>
        <w:t>年费率计提。管理费的计算方法如下：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E×1.5%÷</w:t>
      </w:r>
      <w:r>
        <w:rPr>
          <w:rFonts w:ascii="Times New Roman" w:hAnsi="Times New Roman"/>
          <w:sz w:val="24"/>
        </w:rPr>
        <w:t>当年天数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基金管理费每日计算，逐日累计至每月月末，按月支付，由基金管理人向基金托管人发送基金管理费划款指令，基金托管人复核后于次月前</w:t>
      </w:r>
      <w:r>
        <w:rPr>
          <w:rFonts w:ascii="Times New Roman" w:hAnsi="Times New Roman"/>
          <w:sz w:val="24"/>
        </w:rPr>
        <w:t>3</w:t>
      </w:r>
      <w:r>
        <w:rPr>
          <w:rFonts w:ascii="Times New Roman" w:hAnsi="Times New Roman"/>
          <w:sz w:val="24"/>
        </w:rPr>
        <w:t>个工作日内从基金财产中一次性支付给基金管理人。若遇不可抗力致使无法按时支付的，支付日期顺延至最近可支付日支付。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0.25%</w:t>
      </w:r>
      <w:r>
        <w:rPr>
          <w:rFonts w:ascii="Times New Roman" w:hAnsi="Times New Roman"/>
          <w:sz w:val="24"/>
        </w:rPr>
        <w:t>的年费率计提。托管费的计算方法如下：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E</w:t>
      </w:r>
      <w:r>
        <w:rPr>
          <w:rFonts w:ascii="Times New Roman" w:hAnsi="Times New Roman"/>
          <w:sz w:val="24"/>
        </w:rPr>
        <w:t>为前一日的基金资产净值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基金托管费每日计算，逐日累计至每月月末，按月支付，由基金管理人向基金托管人发送基金托管费划款指令，基金托管人复核后于次月前</w:t>
      </w:r>
      <w:r>
        <w:rPr>
          <w:rFonts w:ascii="Times New Roman" w:hAnsi="Times New Roman"/>
          <w:sz w:val="24"/>
        </w:rPr>
        <w:t>3</w:t>
      </w:r>
      <w:r>
        <w:rPr>
          <w:rFonts w:ascii="Times New Roman" w:hAnsi="Times New Roman"/>
          <w:sz w:val="24"/>
        </w:rPr>
        <w:t>个工作日内从基金财产中一次性支取。若遇不可抗力致使无法按时支付的，支付日期顺延至最近可支付日支付。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9</w:t>
      </w:r>
      <w:r>
        <w:rPr>
          <w:rFonts w:ascii="Times New Roman" w:hAnsi="Times New Roman"/>
          <w:sz w:val="24"/>
        </w:rPr>
        <w:t>项费用，根据有关法规及相应协议规定，按费用实际支出金额列入当期费用，由基金托管人从基金财产中支付。</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（四）基金税收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19" w:name="_Toc54104449"/>
      <w:r>
        <w:rPr>
          <w:rFonts w:ascii="Times New Roman" w:hAnsi="Times New Roman"/>
          <w:sz w:val="30"/>
        </w:rPr>
        <w:t>十七、基金的会计与审计</w:t>
      </w:r>
      <w:bookmarkEnd w:id="19"/>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、基金管理人聘请与基金管理人、基金托管人相互独立的具有证券、期货相关业务资格的会计师事务所及其注册会计师对本基金的年度财务报表进行审计。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0" w:name="_Toc54104450"/>
      <w:r>
        <w:rPr>
          <w:rFonts w:ascii="Times New Roman" w:hAnsi="Times New Roman"/>
          <w:sz w:val="30"/>
        </w:rPr>
        <w:t>十八、基金的信息披露</w:t>
      </w:r>
      <w:bookmarkEnd w:id="20"/>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w:t>
      </w:r>
      <w:r>
        <w:rPr>
          <w:rFonts w:ascii="Times New Roman" w:hAnsi="Times New Roman"/>
          <w:sz w:val="24"/>
        </w:rPr>
        <w:lastRenderedPageBreak/>
        <w:t>重大利益的事项的法律文件。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在开始办理基金份额申购或者赎回后，基金管理人应当在不晚于每个开放日的次日，通过指定网站、销售机构网站或者营业网点披露开放日的基金份额净值和基金份额累计净值。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基金管理人应当在不晚于半年度和年度最后一日的次日，在指定网站披露半年度和年度最后一日的基金份额净值和基金份额累计净值。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22</w:t>
      </w:r>
      <w:r>
        <w:rPr>
          <w:rFonts w:ascii="Times New Roman" w:hAnsi="Times New Roman"/>
          <w:sz w:val="24"/>
        </w:rPr>
        <w:t>）基金信息披露义务人认为可能对基金份额持有人权益或者基金份额的价格产生重大影响的其他事项或中国证监会规定的其他事项。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、中国证监会规定的其他信息。</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基金信息披露义务人公开披露基金信息，应当符合中国证监会相关基金信息披露内容与格式准则等法规规定。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1" w:name="_Toc54104451"/>
      <w:r>
        <w:rPr>
          <w:rFonts w:ascii="Times New Roman" w:hAnsi="Times New Roman"/>
          <w:sz w:val="30"/>
        </w:rPr>
        <w:t>十九、风险揭示</w:t>
      </w:r>
      <w:bookmarkEnd w:id="21"/>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定期支付时的自动赎回份额不纳入以上赎回份额计算）超过基金总份额的百分之十时，投资人将可能无法及时赎回持有的全部基金份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w:t>
      </w:r>
      <w:r>
        <w:rPr>
          <w:rFonts w:ascii="Times New Roman" w:hAnsi="Times New Roman"/>
          <w:sz w:val="24"/>
        </w:rPr>
        <w:lastRenderedPageBreak/>
        <w:t>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w:t>
      </w:r>
      <w:r>
        <w:rPr>
          <w:rFonts w:ascii="Times New Roman" w:hAnsi="Times New Roman"/>
          <w:sz w:val="24"/>
        </w:rPr>
        <w:lastRenderedPageBreak/>
        <w:t>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rFonts w:ascii="Times New Roman" w:hAnsi="Times New Roman"/>
          <w:sz w:val="24"/>
        </w:rPr>
        <w:t>10%</w:t>
      </w:r>
      <w:r>
        <w:rPr>
          <w:rFonts w:ascii="Times New Roman" w:hAnsi="Times New Roman"/>
          <w:sz w:val="24"/>
        </w:rPr>
        <w:t>，即认为是发生了巨额赎回。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w:t>
      </w:r>
      <w:r>
        <w:rPr>
          <w:rFonts w:ascii="Times New Roman" w:hAnsi="Times New Roman"/>
          <w:sz w:val="24"/>
        </w:rPr>
        <w:lastRenderedPageBreak/>
        <w:t>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（五）本基金投资策略所特有的风险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w:t>
      </w:r>
      <w:r>
        <w:rPr>
          <w:rFonts w:ascii="Times New Roman" w:hAnsi="Times New Roman"/>
          <w:sz w:val="24"/>
        </w:rPr>
        <w:lastRenderedPageBreak/>
        <w:t>越大盘走势。此外，本基金在调整资产配置比例时，可能由于基金经理的预判与市场的实际表现存在较大差异，出现资产配置不合理的风险，从而对基金收益造成不利影响。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（六）本基金定期支付相关的特定风险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、定期支付不等同于收益分配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、年化现金支付比率不代表基金实际投资收益率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、定期支付被确认失败的风险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、年化现金支付比率发生调整的风险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有权根据基金实际运作情况和市场环境的变化调整年化现金支付比率。因此未来年化现金支付比率可能会发生变化，可能高于也可能低于当前的年化现金支付比率。年化现金支付比率的变化会影响定期支付数额，并将会对投资者的实际投资收益产生正面或负面的影响。</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r w:rsidR="00DD6D4B">
        <w:rPr>
          <w:rFonts w:ascii="宋体" w:hAnsi="宋体" w:hint="eastAsia"/>
          <w:b/>
          <w:szCs w:val="24"/>
        </w:rPr>
        <w:t>七</w:t>
      </w:r>
      <w:r w:rsidRPr="00BB248E">
        <w:rPr>
          <w:rFonts w:ascii="宋体" w:hAnsi="宋体" w:hint="eastAsia"/>
          <w:b/>
          <w:szCs w:val="24"/>
        </w:rPr>
        <w:t>）投资科创板股票的特定风险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w:t>
      </w:r>
      <w:r>
        <w:rPr>
          <w:rFonts w:ascii="Times New Roman" w:hAnsi="Times New Roman"/>
          <w:sz w:val="24"/>
        </w:rPr>
        <w:lastRenderedPageBreak/>
        <w:t>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rsidR="007934AB" w:rsidRPr="007934AB" w:rsidRDefault="0059707E" w:rsidP="007934AB">
      <w:pPr>
        <w:autoSpaceDE w:val="0"/>
        <w:autoSpaceDN w:val="0"/>
        <w:adjustRightInd w:val="0"/>
        <w:snapToGrid w:val="0"/>
        <w:spacing w:line="360" w:lineRule="auto"/>
        <w:ind w:firstLineChars="200" w:firstLine="422"/>
        <w:rPr>
          <w:rFonts w:ascii="宋体" w:hAnsi="宋体"/>
          <w:b/>
          <w:bCs/>
          <w:szCs w:val="24"/>
        </w:rPr>
      </w:pPr>
      <w:r w:rsidRPr="00BB248E">
        <w:rPr>
          <w:rFonts w:ascii="宋体" w:hAnsi="宋体" w:hint="eastAsia"/>
          <w:b/>
          <w:szCs w:val="24"/>
        </w:rPr>
        <w:t>（</w:t>
      </w:r>
      <w:r w:rsidR="00DD6D4B">
        <w:rPr>
          <w:rFonts w:ascii="宋体" w:hAnsi="宋体" w:hint="eastAsia"/>
          <w:b/>
          <w:szCs w:val="24"/>
        </w:rPr>
        <w:t>八</w:t>
      </w:r>
      <w:r w:rsidRPr="00BB248E">
        <w:rPr>
          <w:rFonts w:ascii="宋体" w:hAnsi="宋体" w:hint="eastAsia"/>
          <w:b/>
          <w:szCs w:val="24"/>
        </w:rPr>
        <w:t>）</w:t>
      </w:r>
      <w:r w:rsidR="007934AB" w:rsidRPr="007934AB">
        <w:rPr>
          <w:rFonts w:ascii="宋体" w:hAnsi="宋体" w:hint="eastAsia"/>
          <w:b/>
          <w:bCs/>
          <w:szCs w:val="24"/>
        </w:rPr>
        <w:t>投资存托凭证的特定风险</w:t>
      </w:r>
    </w:p>
    <w:p w:rsidR="007934AB" w:rsidRPr="00692B5A" w:rsidRDefault="007934AB" w:rsidP="007934AB">
      <w:pPr>
        <w:autoSpaceDE w:val="0"/>
        <w:autoSpaceDN w:val="0"/>
        <w:adjustRightInd w:val="0"/>
        <w:snapToGrid w:val="0"/>
        <w:spacing w:line="360" w:lineRule="auto"/>
        <w:ind w:firstLineChars="200" w:firstLine="480"/>
        <w:rPr>
          <w:rFonts w:ascii="Times New Roman" w:hAnsi="Times New Roman"/>
          <w:sz w:val="24"/>
        </w:rPr>
      </w:pPr>
      <w:r w:rsidRPr="00692B5A">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7934AB" w:rsidRPr="00A05F48" w:rsidRDefault="007934AB" w:rsidP="007934AB">
      <w:pPr>
        <w:autoSpaceDE w:val="0"/>
        <w:autoSpaceDN w:val="0"/>
        <w:adjustRightInd w:val="0"/>
        <w:snapToGrid w:val="0"/>
        <w:spacing w:line="360" w:lineRule="auto"/>
        <w:ind w:firstLineChars="200" w:firstLine="480"/>
        <w:rPr>
          <w:rFonts w:ascii="Times New Roman" w:hAnsi="Times New Roman"/>
          <w:sz w:val="24"/>
        </w:rPr>
      </w:pPr>
      <w:r w:rsidRPr="00336698">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w:t>
      </w:r>
      <w:r w:rsidRPr="00A05F48">
        <w:rPr>
          <w:rFonts w:ascii="Times New Roman" w:hAnsi="Times New Roman" w:hint="eastAsia"/>
          <w:sz w:val="24"/>
        </w:rPr>
        <w:t>上市的基础证券发行人，在持续信息披露监管方面与境内可能存在差异的风险；境内外法律制度、监管环境差异可能导致的其他风险。</w:t>
      </w:r>
    </w:p>
    <w:p w:rsidR="007934AB" w:rsidRPr="00A05F48" w:rsidRDefault="007934AB" w:rsidP="007934AB">
      <w:pPr>
        <w:autoSpaceDE w:val="0"/>
        <w:autoSpaceDN w:val="0"/>
        <w:adjustRightInd w:val="0"/>
        <w:snapToGrid w:val="0"/>
        <w:spacing w:line="360" w:lineRule="auto"/>
        <w:ind w:firstLineChars="200" w:firstLine="480"/>
        <w:rPr>
          <w:rFonts w:ascii="Times New Roman" w:hAnsi="Times New Roman"/>
          <w:sz w:val="24"/>
        </w:rPr>
      </w:pPr>
      <w:r w:rsidRPr="00A05F48">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rsidR="007D3765" w:rsidRDefault="007934AB" w:rsidP="007934AB">
      <w:pPr>
        <w:autoSpaceDE w:val="0"/>
        <w:autoSpaceDN w:val="0"/>
        <w:adjustRightInd w:val="0"/>
        <w:snapToGrid w:val="0"/>
        <w:spacing w:line="360" w:lineRule="auto"/>
        <w:ind w:firstLineChars="200" w:firstLine="422"/>
        <w:rPr>
          <w:rFonts w:ascii="宋体" w:hAnsi="宋体"/>
          <w:szCs w:val="24"/>
        </w:rPr>
      </w:pPr>
      <w:r w:rsidRPr="007934AB">
        <w:rPr>
          <w:rFonts w:ascii="宋体" w:hAnsi="宋体" w:hint="eastAsia"/>
          <w:b/>
          <w:szCs w:val="24"/>
        </w:rPr>
        <w:t>（</w:t>
      </w:r>
      <w:r w:rsidR="00DD6D4B">
        <w:rPr>
          <w:rFonts w:ascii="宋体" w:hAnsi="宋体" w:hint="eastAsia"/>
          <w:b/>
          <w:szCs w:val="24"/>
        </w:rPr>
        <w:t>九</w:t>
      </w:r>
      <w:bookmarkStart w:id="22" w:name="_GoBack"/>
      <w:bookmarkEnd w:id="22"/>
      <w:r w:rsidRPr="007934AB">
        <w:rPr>
          <w:rFonts w:ascii="宋体" w:hAnsi="宋体" w:hint="eastAsia"/>
          <w:b/>
          <w:szCs w:val="24"/>
        </w:rPr>
        <w:t>）</w:t>
      </w:r>
      <w:r w:rsidR="0059707E" w:rsidRPr="00BB248E">
        <w:rPr>
          <w:rFonts w:ascii="宋体" w:hAnsi="宋体" w:hint="eastAsia"/>
          <w:b/>
          <w:szCs w:val="24"/>
        </w:rPr>
        <w:t>其他风险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、对主要业务人员如基金经理的依赖而可能产生的风险；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3" w:name="_Toc54104452"/>
      <w:r>
        <w:rPr>
          <w:rFonts w:ascii="Times New Roman" w:hAnsi="Times New Roman"/>
          <w:sz w:val="30"/>
        </w:rPr>
        <w:t>二十、基金合同的变更、终止与基金财产的清算</w:t>
      </w:r>
      <w:bookmarkEnd w:id="23"/>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、关于基金合同变更的基金份额持有人大会决议经中国证监会核准或出具无异议意见后方可执行，自决议生效后两日内依照《信息披露办法》的规定在指定媒介公告。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、基金合同约定的其他情形；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）对基金财产进行估值和变现；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）对基金财产进行分配。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个月，若遇基金持有的股票或其他有价证券出现长期休市、停牌或其他流通受限的情形除外。</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4" w:name="_Toc54104453"/>
      <w:r>
        <w:rPr>
          <w:rFonts w:ascii="Times New Roman" w:hAnsi="Times New Roman"/>
          <w:sz w:val="30"/>
        </w:rPr>
        <w:t>二十一、基金合同内容摘要</w:t>
      </w:r>
      <w:bookmarkEnd w:id="24"/>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（一）基金合同当事人及权利义务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）销售基金份额；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）召集基金份额持有人大会；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）在基金托管人更换时，提名新的基金托管人；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）依据基金合同及有关法律规定决定基金收益的分配方案；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）在基金合同约定的范围内，拒绝或暂停受理申购与赎回申请；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）在法律法规允许的前提下，为基金的利益依法为基金进行融资融券；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）选择、更换律师事务所、会计师事务所、证券经纪商或其他为基金提供服务的外部机构；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16</w:t>
      </w:r>
      <w:r>
        <w:rPr>
          <w:rFonts w:ascii="Times New Roman" w:hAnsi="Times New Roman"/>
          <w:sz w:val="24"/>
        </w:rPr>
        <w:t>）在符合有关法律、法规的前提下，制定和调整有关基金认购、申购、赎回、转换和非交易过户等的业务规则；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）法律法规及中国证监会规定的和基金合同约定的其他权利。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）自基金合同生效之日起</w:t>
      </w:r>
      <w:r>
        <w:rPr>
          <w:rFonts w:ascii="Times New Roman" w:hAnsi="Times New Roman"/>
          <w:sz w:val="24"/>
        </w:rPr>
        <w:t>,</w:t>
      </w:r>
      <w:r>
        <w:rPr>
          <w:rFonts w:ascii="Times New Roman" w:hAnsi="Times New Roman"/>
          <w:sz w:val="24"/>
        </w:rPr>
        <w:t>以诚实信用、谨慎勤勉的原则管理和运用基金财产；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w:t>
      </w:r>
      <w:r>
        <w:rPr>
          <w:rFonts w:ascii="Times New Roman" w:hAnsi="Times New Roman"/>
          <w:sz w:val="24"/>
        </w:rPr>
        <w:t>,</w:t>
      </w:r>
      <w:r>
        <w:rPr>
          <w:rFonts w:ascii="Times New Roman" w:hAnsi="Times New Roman"/>
          <w:sz w:val="24"/>
        </w:rPr>
        <w:t>对所管理的不同基金分别管理，分别记账，进行证券投资；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）除依据《基金法》、基金合同及其他有关规定外</w:t>
      </w:r>
      <w:r>
        <w:rPr>
          <w:rFonts w:ascii="Times New Roman" w:hAnsi="Times New Roman"/>
          <w:sz w:val="24"/>
        </w:rPr>
        <w:t>,</w:t>
      </w:r>
      <w:r>
        <w:rPr>
          <w:rFonts w:ascii="Times New Roman" w:hAnsi="Times New Roman"/>
          <w:sz w:val="24"/>
        </w:rPr>
        <w:t>不得利用基金财产为自己及任何第三人谋取利益，不得委托第三人运作基金财产；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）依法接受基金托管人的监督；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）进行基金会计核算并编制基金财务会计报告；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）编制季度报告、中期报告和年度报告；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14</w:t>
      </w:r>
      <w:r>
        <w:rPr>
          <w:rFonts w:ascii="Times New Roman" w:hAnsi="Times New Roman"/>
          <w:sz w:val="24"/>
        </w:rPr>
        <w:t>）按规定受理申购与赎回申请，及时、足额支付赎回款项；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）基金管理人在募集期间未能达到基金的备案条件，基金合同不能生效，基金管理人承担全部募集费用，将已募集资金并加计银行同期存款利息在基金募集期结束后</w:t>
      </w:r>
      <w:r>
        <w:rPr>
          <w:rFonts w:ascii="Times New Roman" w:hAnsi="Times New Roman"/>
          <w:sz w:val="24"/>
        </w:rPr>
        <w:t>30</w:t>
      </w:r>
      <w:r>
        <w:rPr>
          <w:rFonts w:ascii="Times New Roman" w:hAnsi="Times New Roman"/>
          <w:sz w:val="24"/>
        </w:rPr>
        <w:t>日内退还基金认购人；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）执行生效的基金份额持有人大会的决议；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）建立并保存基金份额持有人名册；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）法律法规及中国证监会规定的和基金合同约定的其他义务。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）自基金合同生效之日起，依法律法规和基金合同的规定安全保管基金财产；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）根据相关市场规则，为基金开设证券账户、为基金办理证券交易资金清算；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）提议召开或召集基金份额持有人大会；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）在基金管理人更换时，提名新的基金管理人；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）法律法规及中国证监会规定的和基金合同约定的其他权利。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）以诚实信用、勤勉尽责的原则持有并安全保管基金财产；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）按规定开设基金财产的资金账户和证券账户</w:t>
      </w:r>
      <w:r>
        <w:rPr>
          <w:rFonts w:ascii="Times New Roman" w:hAnsi="Times New Roman"/>
          <w:sz w:val="24"/>
        </w:rPr>
        <w:t>,</w:t>
      </w:r>
      <w:r>
        <w:rPr>
          <w:rFonts w:ascii="Times New Roman" w:hAnsi="Times New Roman"/>
          <w:sz w:val="24"/>
        </w:rPr>
        <w:t>按照基金合同的约定，根据基金管理人的投资指令，及时办理清算、交割事宜；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）复核、审查基金管理人计算的基金资产净值、基金份额净值、基金份额申购、赎回价格、基金业绩数据等；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9</w:t>
      </w:r>
      <w:r>
        <w:rPr>
          <w:rFonts w:ascii="Times New Roman" w:hAnsi="Times New Roman"/>
          <w:sz w:val="24"/>
        </w:rPr>
        <w:t>）办理与基金托管业务活动有关的信息披露事项；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）建立并保存基金份额持有人名册；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）按规定制作相关账册并与基金管理人核对；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）按照法律法规和基金合同的规定监督基金管理人的投资运作；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）执行生效的基金份额持有人大会的决定；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）法律法规及中国证监会规定的和基金合同约定的其他义务。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w:t>
      </w:r>
      <w:r>
        <w:rPr>
          <w:rFonts w:ascii="Times New Roman" w:hAnsi="Times New Roman"/>
          <w:sz w:val="24"/>
        </w:rPr>
        <w:lastRenderedPageBreak/>
        <w:t>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）分享基金财产收益；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）参与分配清算后的剩余基金财产；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）依法申请赎回其持有的基金份额；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）按照规定要求召开基金份额持有人大会；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）查阅或者复制公开披露的基金信息资料；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）监督基金管理人的投资运作；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）对基金管理人、基金托管人、基金销售机构损害其合法权益的行为依法提起诉讼或仲裁；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）法律法规及中国证监会规定的和基金合同约定的其他权利。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）认真阅读并遵守基金合同；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）了解所投资基金产品，了解自身风险承受能力，自行承担投资风险；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）关注基金信息披露，及时行使权利和履行义务；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）缴纳基金认购、申购、赎回款项及法律法规和基金合同所规定的费用；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）不从事任何有损基金及其他基金合同当事人合法权益的活动；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）执行生效的基金份额持有人大会的决定；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）返还在基金交易过程中因任何原因获得的不当得利；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）遵守基金管理人、基金托管人、销售机构和登记机构的相关交易及业务规则；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）法律法规及中国证监会规定的和基金合同约定的其他义务。</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w:t>
      </w:r>
      <w:r>
        <w:rPr>
          <w:rFonts w:ascii="Times New Roman" w:hAnsi="Times New Roman"/>
          <w:sz w:val="24"/>
        </w:rPr>
        <w:lastRenderedPageBreak/>
        <w:t>有权代表基金份额持有人出席会议并表决。基金份额持有人持有的每一基金份额拥有平等的投票权。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）提高基金管理人、基金托管人的报酬标准；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）对基金当事人权利和义务产生重大影响的其他事项；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）调低基金管理费、基金托管费和其他应由本基金或基金份额持有人承担的费用；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）在法律法规和基金合同规定的范围内调整本基金的申购费率、调低赎回费率、变更或增加收费方式；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）因相应的法律法规发生变动而应当对基金合同进行修改；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）基金管理人根据基金实际运作情况和市场环境的变化，对年化现金支付比率进行调整；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）按照法律法规和基金合同规定不需召开基金份额持有人大会的以外的其他情形。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w:t>
      </w:r>
      <w:r>
        <w:rPr>
          <w:rFonts w:ascii="Times New Roman" w:hAnsi="Times New Roman"/>
          <w:sz w:val="24"/>
        </w:rPr>
        <w:lastRenderedPageBreak/>
        <w:t>告。基金份额持有人大会通知应至少载明以下内容：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）会议通知公布前报中国证监会备案。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）在法律法规或监管机关允许的情况下，本基金亦可采用网络、电话等其他非书面方式由基金份额持有人向其授权代表进行授权。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w:t>
      </w:r>
      <w:r>
        <w:rPr>
          <w:rFonts w:ascii="Times New Roman" w:hAnsi="Times New Roman"/>
          <w:sz w:val="24"/>
        </w:rPr>
        <w:lastRenderedPageBreak/>
        <w:t>在基金份额持有人大会召开前及时公告。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）选举产生一名基金份额持有人作为该次基金份额持有人大会的主持人。基金管理人和基金托管人拒不出席或主持基金份额持有人大会，不影响基金份额持有人大会作出的决议的效力。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w:t>
      </w:r>
      <w:r>
        <w:rPr>
          <w:rFonts w:ascii="Times New Roman" w:hAnsi="Times New Roman"/>
          <w:sz w:val="24"/>
        </w:rPr>
        <w:t>2/3</w:t>
      </w:r>
      <w:r>
        <w:rPr>
          <w:rFonts w:ascii="Times New Roman" w:hAnsi="Times New Roman"/>
          <w:sz w:val="24"/>
        </w:rPr>
        <w:t>以上（含</w:t>
      </w:r>
      <w:r>
        <w:rPr>
          <w:rFonts w:ascii="Times New Roman" w:hAnsi="Times New Roman"/>
          <w:sz w:val="24"/>
        </w:rPr>
        <w:t>2/3</w:t>
      </w:r>
      <w:r>
        <w:rPr>
          <w:rFonts w:ascii="Times New Roman" w:hAnsi="Times New Roman"/>
          <w:sz w:val="24"/>
        </w:rPr>
        <w:t>）通过方可做出。转换基金运作方式、更换基金管理人或者基金托管人、终止基金合同以特别决议通过方为有效。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w:t>
      </w:r>
      <w:r>
        <w:rPr>
          <w:rFonts w:ascii="Times New Roman" w:hAnsi="Times New Roman"/>
          <w:sz w:val="24"/>
        </w:rPr>
        <w:lastRenderedPageBreak/>
        <w:t>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r>
        <w:rPr>
          <w:rFonts w:ascii="Times New Roman" w:hAnsi="Times New Roman"/>
          <w:sz w:val="24"/>
        </w:rPr>
        <w:t>,</w:t>
      </w:r>
      <w:r>
        <w:rPr>
          <w:rFonts w:ascii="Times New Roman" w:hAnsi="Times New Roman"/>
          <w:sz w:val="24"/>
        </w:rPr>
        <w:t>基金管理人或基金托管人拒不出席大会的，不影响计票的效力。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日内报中国证监会核准或者备案。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基金份额持有人大会的决议自中国证监会依法核准或者出具无异议意见之日起</w:t>
      </w:r>
      <w:r>
        <w:rPr>
          <w:rFonts w:ascii="Times New Roman" w:hAnsi="Times New Roman"/>
          <w:sz w:val="24"/>
        </w:rPr>
        <w:lastRenderedPageBreak/>
        <w:t>生效。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、法律法规或监管部门对基金份额持有人大会另有规定的，从其规定。</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）关于基金合同变更的基金份额持有人大会决议经中国证监会核准或出具无异议意见后方可执行，自决议生效后两日内依照《信息披露办法》的规定在指定媒介公告。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）基金合同约定的其他情形；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（四）争议的处理和适用的法律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（五）基金合同存放及投资者取得基金合同的方式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基金合同可印制成册，供投资者在基金管理人、基金托管人、销售机构的办公场所和营业场所查阅，但应以基金合同正本为准。</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5" w:name="_Toc54104454"/>
      <w:r>
        <w:rPr>
          <w:rFonts w:ascii="Times New Roman" w:hAnsi="Times New Roman"/>
          <w:sz w:val="30"/>
        </w:rPr>
        <w:t>二十二、托管协议的内容摘要</w:t>
      </w:r>
      <w:bookmarkEnd w:id="25"/>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基金托管资格批准文号：中国证监会证监基字</w:t>
      </w:r>
      <w:r>
        <w:rPr>
          <w:rFonts w:ascii="Times New Roman" w:hAnsi="Times New Roman"/>
          <w:sz w:val="24"/>
        </w:rPr>
        <w:t>[1998]23</w:t>
      </w:r>
      <w:r>
        <w:rPr>
          <w:rFonts w:ascii="Times New Roman" w:hAnsi="Times New Roman"/>
          <w:sz w:val="24"/>
        </w:rPr>
        <w:t>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Pr>
          <w:rFonts w:ascii="Times New Roman" w:hAnsi="Times New Roman"/>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本基金的投资范围为具有良好流动性的金融工具，包括国内依法上市的股票（含中小板、创业板及其他中国证监会允许基金投资的股票</w:t>
      </w:r>
      <w:r w:rsidR="00C6509F">
        <w:rPr>
          <w:rFonts w:hint="eastAsia"/>
          <w:bCs/>
          <w:sz w:val="24"/>
        </w:rPr>
        <w:t>、存托凭证</w:t>
      </w:r>
      <w:r>
        <w:rPr>
          <w:rFonts w:ascii="Times New Roman" w:hAnsi="Times New Roman"/>
          <w:sz w:val="24"/>
        </w:rPr>
        <w:t>）、债券、货币市场工具、权证以及法律法规或中国证监会允许基金投资的其它金融工具（但须符合中国证监会的相关规定）。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本基金的投资组合比例为：股票</w:t>
      </w:r>
      <w:r w:rsidR="00C6509F">
        <w:rPr>
          <w:rFonts w:hint="eastAsia"/>
          <w:bCs/>
          <w:sz w:val="24"/>
        </w:rPr>
        <w:t>（</w:t>
      </w:r>
      <w:r w:rsidR="00C6509F">
        <w:rPr>
          <w:bCs/>
          <w:sz w:val="24"/>
        </w:rPr>
        <w:t>含</w:t>
      </w:r>
      <w:r w:rsidR="00C6509F" w:rsidRPr="005E1D32">
        <w:rPr>
          <w:bCs/>
          <w:sz w:val="24"/>
        </w:rPr>
        <w:t>存托凭证</w:t>
      </w:r>
      <w:r w:rsidR="00C6509F">
        <w:rPr>
          <w:rFonts w:hint="eastAsia"/>
          <w:bCs/>
          <w:sz w:val="24"/>
        </w:rPr>
        <w:t>）</w:t>
      </w:r>
      <w:r>
        <w:rPr>
          <w:rFonts w:ascii="Times New Roman" w:hAnsi="Times New Roman"/>
          <w:sz w:val="24"/>
        </w:rPr>
        <w:t>、权证等权益类资产占基金资产净值的</w:t>
      </w:r>
      <w:r>
        <w:rPr>
          <w:rFonts w:ascii="Times New Roman" w:hAnsi="Times New Roman"/>
          <w:sz w:val="24"/>
        </w:rPr>
        <w:t>30%-70%</w:t>
      </w:r>
      <w:r>
        <w:rPr>
          <w:rFonts w:ascii="Times New Roman" w:hAnsi="Times New Roman"/>
          <w:sz w:val="24"/>
        </w:rPr>
        <w:t>，其中权证的投资比例不超过基金资产净值的</w:t>
      </w:r>
      <w:r>
        <w:rPr>
          <w:rFonts w:ascii="Times New Roman" w:hAnsi="Times New Roman"/>
          <w:sz w:val="24"/>
        </w:rPr>
        <w:t>3%</w:t>
      </w:r>
      <w:r>
        <w:rPr>
          <w:rFonts w:ascii="Times New Roman" w:hAnsi="Times New Roman"/>
          <w:sz w:val="24"/>
        </w:rPr>
        <w:t>；债券、资产支持证券、货币市场工具、银行存款等固定收益类资产和现金不低于基金资产净值的</w:t>
      </w:r>
      <w:r>
        <w:rPr>
          <w:rFonts w:ascii="Times New Roman" w:hAnsi="Times New Roman"/>
          <w:sz w:val="24"/>
        </w:rPr>
        <w:t>30%</w:t>
      </w:r>
      <w:r>
        <w:rPr>
          <w:rFonts w:ascii="Times New Roman" w:hAnsi="Times New Roman"/>
          <w:sz w:val="24"/>
        </w:rPr>
        <w:t>，其中现金或到期日在一年以内的政府债券投资比例不低于基金资产净值的</w:t>
      </w:r>
      <w:r>
        <w:rPr>
          <w:rFonts w:ascii="Times New Roman" w:hAnsi="Times New Roman"/>
          <w:sz w:val="24"/>
        </w:rPr>
        <w:t>5%</w:t>
      </w:r>
      <w:r>
        <w:rPr>
          <w:rFonts w:ascii="Times New Roman" w:hAnsi="Times New Roman"/>
          <w:sz w:val="24"/>
        </w:rPr>
        <w:t>，现金不包括结算备付金、存出保证金和应收申购款等。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如法律法规或监管机构以后允许基金投资其他品种，基金管理人在履行适当程序后，可以将其纳入投资范围，并可依据届时有效的法律法规适时合理地调整投资范围。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）本基金持有一家上市公司的股票，其市值不超过基金资产净值的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）本基金与本基金管理人管理的且由本托管人托管的其他基金持有一家公司发行的证券，其市值不超过该证券的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）进入全国银行间同业市场进行债券回购的资金余额不超过基金资产净值的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）本基金参与股票发行申购，本基金所申报的金额不超过本基金的总资产，本基金所申报的股票数量不超过拟发行股票公司本次发行股票的总量；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）本基金在任何交易日买入权证的总金额，不得超过上一交易日基金资产净值的</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；本基金与本基金管理人管理的其他基金持有的同一权证，不得超过该权证的</w:t>
      </w:r>
      <w:r>
        <w:rPr>
          <w:rFonts w:ascii="Times New Roman" w:hAnsi="Times New Roman"/>
          <w:sz w:val="24"/>
        </w:rPr>
        <w:t>10%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；本基金管理人管理的全部证券投资基金投资于同一原始权益人的各类资产支持证券，不得超过其各类资产支持证券合计规模的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）本基金不得违反基金合同中有关投资范围、投资策略、投资比例的规定；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）本基金管理人管理的且由本基金托管人托管的全部开放式基金（包括开放式基金以及处于开放期的定期开放基金）持有一家上市公司发行的可流通股票，不得超过该上市公司可流通股票的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；本基金管理人管理的且由本基金托管人托管的全部投资组合持有一家上市公司发行的可流通股票，不得超过该上市公司可流通股票的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w:t>
      </w:r>
      <w:r>
        <w:rPr>
          <w:rFonts w:ascii="Times New Roman" w:hAnsi="Times New Roman"/>
          <w:sz w:val="24"/>
        </w:rPr>
        <w:lastRenderedPageBreak/>
        <w:t>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C6509F" w:rsidRPr="00C6509F" w:rsidRDefault="0059707E" w:rsidP="00C6509F">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13</w:t>
      </w:r>
      <w:r>
        <w:rPr>
          <w:rFonts w:ascii="Times New Roman" w:hAnsi="Times New Roman"/>
          <w:sz w:val="24"/>
        </w:rPr>
        <w:t>）</w:t>
      </w:r>
      <w:r w:rsidR="00C6509F" w:rsidRPr="00C6509F">
        <w:rPr>
          <w:rFonts w:ascii="Times New Roman" w:hAnsi="Times New Roman" w:hint="eastAsia"/>
          <w:bCs/>
          <w:sz w:val="24"/>
        </w:rPr>
        <w:t>本基金投资存托凭证的比例限制依照境内上市交易的股票执行；</w:t>
      </w:r>
    </w:p>
    <w:p w:rsidR="007D3765" w:rsidRDefault="00C6509F" w:rsidP="00C6509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w:t>
      </w:r>
      <w:r w:rsidR="0059707E">
        <w:rPr>
          <w:rFonts w:ascii="Times New Roman" w:hAnsi="Times New Roman"/>
          <w:sz w:val="24"/>
        </w:rPr>
        <w:t>法律法规或监管部门对上述比例限制另有规定的，从其规定。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个月内使基金的投资组合比例符合基金合同的有关约定。除上述第（</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12</w:t>
      </w:r>
      <w:r>
        <w:rPr>
          <w:rFonts w:ascii="Times New Roman" w:hAnsi="Times New Roman"/>
          <w:sz w:val="24"/>
        </w:rPr>
        <w:t>）项外，因证券市场波动、上市公司合并、基金规模变动等基金管理人之外的因素致使基金投资比例不符合上述规定的投资比例的，基金管理人应当在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上述投资组合限制条款中，若属法律法规或监管部门的强制性规定，则当法律法规或监管部门取消或修改上述限制，如适用于本基金，基金管理人在履行适当程序后，本基金投资所受限制相应调整。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w:t>
      </w:r>
      <w:r>
        <w:rPr>
          <w:rFonts w:ascii="Times New Roman" w:hAnsi="Times New Roman"/>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1</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、基金托管人根据有关法律法规的规定及基金合同的约定，对基金管理人选择存款银行进行监督。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）基金托管人应加强对基金银行存款业务的监督与核查，严格审查、复核相关协议、账户资料、投资指令、存款证实书等有关文件，切实履行托管职责。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基金托管人发现基金管理人在选择存款银行时有违反有关法律法规的规定及基金合同的约定的行为，应及时以书面形式通知基金管理人在</w:t>
      </w:r>
      <w:r>
        <w:rPr>
          <w:rFonts w:ascii="Times New Roman" w:hAnsi="Times New Roman"/>
          <w:sz w:val="24"/>
        </w:rPr>
        <w:t>10</w:t>
      </w:r>
      <w:r>
        <w:rPr>
          <w:rFonts w:ascii="Times New Roman" w:hAnsi="Times New Roman"/>
          <w:sz w:val="24"/>
        </w:rPr>
        <w:t>个工作日内纠正。基金管理人对基金托管人通知的违规事项未能在</w:t>
      </w:r>
      <w:r>
        <w:rPr>
          <w:rFonts w:ascii="Times New Roman" w:hAnsi="Times New Roman"/>
          <w:sz w:val="24"/>
        </w:rPr>
        <w:t>10</w:t>
      </w:r>
      <w:r>
        <w:rPr>
          <w:rFonts w:ascii="Times New Roman" w:hAnsi="Times New Roman"/>
          <w:sz w:val="24"/>
        </w:rPr>
        <w:t>个工作日内纠正的，基金托管人应报告中国证监会。基金托管人发现基金管理人有重大违规行为，应立即报告中国证监会，同时通知基金管理人在</w:t>
      </w:r>
      <w:r>
        <w:rPr>
          <w:rFonts w:ascii="Times New Roman" w:hAnsi="Times New Roman"/>
          <w:sz w:val="24"/>
        </w:rPr>
        <w:t>10</w:t>
      </w:r>
      <w:r>
        <w:rPr>
          <w:rFonts w:ascii="Times New Roman" w:hAnsi="Times New Roman"/>
          <w:sz w:val="24"/>
        </w:rPr>
        <w:t>个工作日内纠正或拒绝结算。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）基金投资流通受限证券，应遵守《关于规范基金投资非公开发行证券行为的紧急通知》、《关于基金投资非公开发行股票等流通受限证券有关问题的通知》等有关法律法规规定。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）在投资流通受限证券之前，基金管理人应至少提前一个交易日向基金托管人提供有关非公开定向增发流通受限证券的相关信息，具体应当包括但不限于如下文件（如有）：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w:t>
      </w:r>
      <w:r>
        <w:rPr>
          <w:rFonts w:ascii="Times New Roman" w:hAnsi="Times New Roman"/>
          <w:sz w:val="24"/>
        </w:rPr>
        <w:lastRenderedPageBreak/>
        <w:t>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、基金托管人发现基金管理人有重大违规行为，应及时报告中国证监会，同</w:t>
      </w:r>
      <w:r>
        <w:rPr>
          <w:rFonts w:ascii="Times New Roman" w:hAnsi="Times New Roman"/>
          <w:sz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）基金托管人应安全保管基金财产。未经基金管理人依据合法程序作出的合法合规指令，基金托管人不得自行运用、处分、分配基金的任何财产。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w:t>
      </w:r>
      <w:r>
        <w:rPr>
          <w:rFonts w:ascii="Times New Roman" w:hAnsi="Times New Roman"/>
          <w:sz w:val="24"/>
        </w:rPr>
        <w:lastRenderedPageBreak/>
        <w:t>他业务和其他基金的托管业务实行严格的分账管理，确保基金财产的完整与独立。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）基金募集期间的认购款项应存于专用账户。该账户由基金管理人或基金管理人委托的登记机构开立并管理。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）若基金募集期限届满，未能达到基金备案的条件，由基金管理人按规定办理退款等事宜，基金托管人应提供充分协助。</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、基金托管资金账户的开立和管理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）基金托管人在中国证券登记结算有限责任公司上海分公司、深圳分公司为本基金开立基金托管人与基金联名的证券账户。</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、债券托管专户的开设和管理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）因业务发展需要而开立的其他账户，可以根据法律法规和基金合同的规定，在基金管理人和基金托管人商议后开立。新账户按有关规则使用并管理。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、基金财产投资的有关有价凭证等的保管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w:t>
      </w:r>
      <w:r>
        <w:rPr>
          <w:rFonts w:ascii="Times New Roman" w:hAnsi="Times New Roman"/>
          <w:sz w:val="24"/>
        </w:rPr>
        <w:lastRenderedPageBreak/>
        <w:t>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（五）基金资产净值计算和会计核算</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基金份额净值是指计算日基金资产净值除以计算日基金份额总数后得到的数值。基金份额净值的计算，精确到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每工作日计算基金资产净值及基金份额净值，并按规定公告，但根据法律法规或基金合同的规定暂停估值时除外。</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基金所拥有的股票、权证、债券和银行存款本息、应收款项、其它投资等资产及负债。</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w:t>
      </w:r>
      <w:r>
        <w:rPr>
          <w:rFonts w:ascii="Times New Roman" w:hAnsi="Times New Roman"/>
          <w:sz w:val="24"/>
        </w:rPr>
        <w:lastRenderedPageBreak/>
        <w:t>盘价）估值；如最近交易日后经济环境发生了重大变化或证券发行机构未发生影响证券价格的重大事件的，可参考类似投资品种的现行市价及重大变化因素，调整最近交易市价，确定公允价格；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、交易所市场上市交易或挂牌转让的固定收益品种（另有规定的除外），选取第三方估值机构提供的相应品种当日的估值净价进行估值；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、送股、转增股、配股和公开增发的新股，按估值日在证券交易所挂牌的同一股票的估值方法估值；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、首次公开发行未上市的股票、债券和权证，采用估值技术确定公允价值，在估值技术难以可靠计量公允价值的情况下，按成本估值；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）在全国银行间债券市场交易的债券、资产支持证券等固定收益品种，采用估值技术确定公允价值。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）同一债券同时在两个或两个以上市场交易的，按债券所处的市场分别估值。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rsidR="007934AB" w:rsidRPr="007934AB" w:rsidRDefault="0059707E" w:rsidP="007934AB">
      <w:pPr>
        <w:adjustRightInd w:val="0"/>
        <w:snapToGrid w:val="0"/>
        <w:spacing w:line="360" w:lineRule="auto"/>
        <w:ind w:firstLineChars="200" w:firstLine="480"/>
        <w:rPr>
          <w:rFonts w:ascii="Times New Roman" w:hAnsi="宋体"/>
          <w:bCs/>
          <w:sz w:val="24"/>
          <w:szCs w:val="24"/>
        </w:rPr>
      </w:pPr>
      <w:r>
        <w:rPr>
          <w:rFonts w:ascii="Times New Roman" w:hAnsi="Times New Roman"/>
          <w:sz w:val="24"/>
        </w:rPr>
        <w:t>6</w:t>
      </w:r>
      <w:r>
        <w:rPr>
          <w:rFonts w:ascii="Times New Roman" w:hAnsi="Times New Roman"/>
          <w:sz w:val="24"/>
        </w:rPr>
        <w:t>）</w:t>
      </w:r>
      <w:r w:rsidR="007934AB" w:rsidRPr="007934AB">
        <w:rPr>
          <w:rFonts w:ascii="Times New Roman" w:hAnsi="宋体" w:hint="eastAsia"/>
          <w:bCs/>
          <w:sz w:val="24"/>
          <w:szCs w:val="24"/>
        </w:rPr>
        <w:t>本基金投资存托凭证的估值核算依照境内上市交易的股票执行。</w:t>
      </w:r>
    </w:p>
    <w:p w:rsidR="007D3765" w:rsidRDefault="007934AB" w:rsidP="007934AB">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sidR="0059707E">
        <w:rPr>
          <w:rFonts w:ascii="Times New Roman" w:hAnsi="Times New Roman"/>
          <w:sz w:val="24"/>
        </w:rPr>
        <w:t>相关法律法规以及监管部门有强制规定的，从其规定。如有新增事项，按国家最新规定估值。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）基金管理人、基金托管人按估值方法的第</w:t>
      </w:r>
      <w:r>
        <w:rPr>
          <w:rFonts w:ascii="Times New Roman" w:hAnsi="Times New Roman"/>
          <w:sz w:val="24"/>
        </w:rPr>
        <w:t>5</w:t>
      </w:r>
      <w:r>
        <w:rPr>
          <w:rFonts w:ascii="Times New Roman" w:hAnsi="Times New Roman"/>
          <w:sz w:val="24"/>
        </w:rPr>
        <w:t>）项进行估值时，所造成的误差不作为基金份额净值错误处理。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、基金估值错误的处理方式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）当基金份额净值错误给基金和基金份额持有人造成损失需要进行赔偿时，基金管理人和基金托管人应根据实际情况界定双方承担的责任，经确认后按以下条款进行赔偿：</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）本基金的基金会计责任方由基金管理人担任。与本基金有关的会计问题，如经双方在平等基础上充分讨论后，尚不能达成一致时，按基金会计责任方的建议</w:t>
      </w:r>
      <w:r>
        <w:rPr>
          <w:rFonts w:ascii="Times New Roman" w:hAnsi="Times New Roman"/>
          <w:sz w:val="24"/>
        </w:rPr>
        <w:lastRenderedPageBreak/>
        <w:t>执行，由此给基金份额持有人和基金造成的损失，由基金管理人负责赔付。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）基金投资所涉及的证券交易市场遇法定节假日或因其他原因暂停营业时；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）因不可抗力致使基金管理人、基金托管人无法准确评估基金资产价值时；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）中国证监会和基金合同认定的其他情形。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、基金账册的建立</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、基金财务报表与报告的编制和复核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w:t>
      </w:r>
      <w:r>
        <w:rPr>
          <w:rFonts w:ascii="Times New Roman" w:hAnsi="Times New Roman"/>
          <w:sz w:val="24"/>
        </w:rPr>
        <w:t>5</w:t>
      </w:r>
      <w:r>
        <w:rPr>
          <w:rFonts w:ascii="Times New Roman" w:hAnsi="Times New Roman"/>
          <w:sz w:val="24"/>
        </w:rPr>
        <w:t>个工作日内完成；季度报告应在季度结束之日起</w:t>
      </w:r>
      <w:r>
        <w:rPr>
          <w:rFonts w:ascii="Times New Roman" w:hAnsi="Times New Roman"/>
          <w:sz w:val="24"/>
        </w:rPr>
        <w:t>15</w:t>
      </w:r>
      <w:r>
        <w:rPr>
          <w:rFonts w:ascii="Times New Roman" w:hAnsi="Times New Roman"/>
          <w:sz w:val="24"/>
        </w:rPr>
        <w:t>个工作日内编制完毕并予以公告；中期报告在会计年度半年终了后两个月内编制完毕并予以公告；年度报告在会计年度结束后三个月内编制完毕并予以公告。基金合同生效不足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基金管理人在月度报表完成当日，将报表盖章后提供给基金托管人复核；基金托管人在收到后应在</w:t>
      </w:r>
      <w:r>
        <w:rPr>
          <w:rFonts w:ascii="Times New Roman" w:hAnsi="Times New Roman"/>
          <w:sz w:val="24"/>
        </w:rPr>
        <w:t>3</w:t>
      </w:r>
      <w:r>
        <w:rPr>
          <w:rFonts w:ascii="Times New Roman" w:hAnsi="Times New Roman"/>
          <w:sz w:val="24"/>
        </w:rPr>
        <w:t>日内进行复核，并将复核结果书面通知基金管理人。基金管理人在季度报告完成当日，将有关报告提供给基金托管人复核，基金托管人应在收到后</w:t>
      </w:r>
      <w:r>
        <w:rPr>
          <w:rFonts w:ascii="Times New Roman" w:hAnsi="Times New Roman"/>
          <w:sz w:val="24"/>
        </w:rPr>
        <w:t>7</w:t>
      </w:r>
      <w:r>
        <w:rPr>
          <w:rFonts w:ascii="Times New Roman" w:hAnsi="Times New Roman"/>
          <w:sz w:val="24"/>
        </w:rPr>
        <w:t>个工作日内完成复核，并将复核结果书面通知基金管理人。基金管理人在中期报告完成当日，将有关报告提供给基金托管人复核，基金托管人应在收到后</w:t>
      </w:r>
      <w:r>
        <w:rPr>
          <w:rFonts w:ascii="Times New Roman" w:hAnsi="Times New Roman"/>
          <w:sz w:val="24"/>
        </w:rPr>
        <w:t>30</w:t>
      </w:r>
      <w:r>
        <w:rPr>
          <w:rFonts w:ascii="Times New Roman" w:hAnsi="Times New Roman"/>
          <w:sz w:val="24"/>
        </w:rPr>
        <w:t>日内完成复核，并将复核结果书面通知基金管理人。基金管理人在年度报告完成当日，将有关报告提供基金托管人复核，基金托管人应在收到后</w:t>
      </w:r>
      <w:r>
        <w:rPr>
          <w:rFonts w:ascii="Times New Roman" w:hAnsi="Times New Roman"/>
          <w:sz w:val="24"/>
        </w:rPr>
        <w:t>45</w:t>
      </w:r>
      <w:r>
        <w:rPr>
          <w:rFonts w:ascii="Times New Roman" w:hAnsi="Times New Roman"/>
          <w:sz w:val="24"/>
        </w:rPr>
        <w:t>日内完成复核，并将复核结果书面通知基金管理人。基金管理人和基金托管人之间的上述文件往来均以加密传真的方式或双方商定的其他方式进行。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w:t>
      </w:r>
      <w:r>
        <w:rPr>
          <w:rFonts w:ascii="Times New Roman" w:hAnsi="Times New Roman"/>
          <w:sz w:val="24"/>
        </w:rPr>
        <w:lastRenderedPageBreak/>
        <w:t>书，双方各自留存一份。如果基金管理人与基金托管人不能于应当发布公告之日之前就相关报表达成一致，基金管理人有权按照其编制的报表对外发布公告，基金托管人有权就相关情况报中国证监会备案。</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本协议双方当事人经协商一致，可以对协议进行修改。修改后的新协议，其内容不得与基金合同的规定有任何冲突。基金托管协议的变更报中国证监会核准或备案后生效。</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、托管协议终止的情形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）发生法律法规、中国证监会或基金合同规定的其他终止事项。</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6" w:name="_Toc54104455"/>
      <w:r>
        <w:rPr>
          <w:rFonts w:ascii="Times New Roman" w:hAnsi="Times New Roman"/>
          <w:sz w:val="30"/>
        </w:rPr>
        <w:t>二十三、对基金份额持有人的服务</w:t>
      </w:r>
      <w:bookmarkEnd w:id="26"/>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在条件成熟的时候，本基金管理人将根据基金网上直销业务的发展状况，适时调整可用于基金网上直销交易平台的银行卡种类，敬请投资人留意相关公告。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投资人如果想查询申购和赎回等交易情况、分红方式状态、基金账户余额、基金产品与服务等信息，请拨打本基金管理人客户服务电话（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投资人可以拨打本基金管理人客户服务电话投诉直销机构的人员和服务。</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（四）基金转换业务</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本基金已开通转换业务，具体实施方法请参见相关公告。</w:t>
      </w:r>
    </w:p>
    <w:p w:rsidR="007D3765" w:rsidRDefault="0059707E">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投资人也可登录本基金管理人网站，直接提出有关本基金的问题和建议。</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7" w:name="_Toc54104456"/>
      <w:r>
        <w:rPr>
          <w:rFonts w:ascii="Times New Roman" w:hAnsi="Times New Roman"/>
          <w:sz w:val="30"/>
        </w:rPr>
        <w:t>二十四、其他应披露事项</w:t>
      </w:r>
      <w:bookmarkEnd w:id="27"/>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关于交银施罗德定期支付双息平衡混合型证券投资基金暂停大额申购（转换转入、定期定额投资）的公告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2019-12-23</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关于增加联储证券有限责任公司为旗下基金销售机构的公告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2019-12-27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2020-01-03</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关于交银施罗德定期支付双息平衡混合型证券投资基金调整大额申购（转换转入、定期定额投资）业务限额的公告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2020-01-09</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7D376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关于增加浙商证券股份有限公司为旗下基金销售机构的公告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2020-03-04</w:t>
            </w:r>
          </w:p>
        </w:tc>
      </w:tr>
      <w:tr w:rsidR="007D376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关于增加恒泰证券股份有限公司为旗下基金销售机构的公告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2020-04-09</w:t>
            </w:r>
          </w:p>
        </w:tc>
      </w:tr>
      <w:tr w:rsidR="007D376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关于增加国信证券股份有限公司为旗下基金销售机构的公告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2020-06-10</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关于增加方正证券股份有限公司为旗下基金销售机构的公告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2020-06-18</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关于增加华鑫证券有限责任公司为旗下基金销售机构的公告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2020-06-22</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关于增加中国光大银行股份有限公司为旗下基金销售机构的公告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2020-07-06</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关于增加长城国瑞证券有限公司为旗下基金销售机构的公告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2020-07-07</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关于增加厦门银行股份有限公司为旗下基金销售机构的公告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关于增加东莞证券股份有限公司为旗下基金的销售机构的公告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2020-08-14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2020-08-14</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7D376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3765" w:rsidRDefault="005970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bl>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8" w:name="_Toc54104457"/>
      <w:r>
        <w:rPr>
          <w:rFonts w:ascii="Times New Roman" w:hAnsi="Times New Roman"/>
          <w:sz w:val="30"/>
        </w:rPr>
        <w:t>二十五、招募说明书的存放及查阅方式</w:t>
      </w:r>
      <w:bookmarkEnd w:id="28"/>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rsidR="00B439CC" w:rsidRDefault="0059707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3765" w:rsidRDefault="0059707E">
      <w:pPr>
        <w:pStyle w:val="1"/>
        <w:snapToGrid w:val="0"/>
        <w:spacing w:beforeLines="0" w:before="240" w:after="240"/>
        <w:rPr>
          <w:rFonts w:ascii="宋体" w:hAnsi="宋体"/>
          <w:szCs w:val="30"/>
        </w:rPr>
      </w:pPr>
      <w:bookmarkStart w:id="29" w:name="_Toc54104458"/>
      <w:r>
        <w:rPr>
          <w:rFonts w:ascii="Times New Roman" w:hAnsi="Times New Roman"/>
          <w:sz w:val="30"/>
        </w:rPr>
        <w:t>二十六、备查文件</w:t>
      </w:r>
      <w:bookmarkEnd w:id="29"/>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（一）中国证监会批准交银施罗德定期支付双息平衡混合型证券投资基金募集的文件</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（二）《交银施罗德定期支付双息平衡混合型证券投资基金基金合同》</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（三）《交银施罗德定期支付双息平衡混合型证券投资基金托管协议》</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rsidR="007D3765" w:rsidRDefault="0059707E">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（六）关于申请募集交银施罗德定期支付双息平衡混合型证券投资基金之法律意见书</w:t>
      </w:r>
    </w:p>
    <w:sectPr w:rsidR="007D3765">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98" w:rsidRDefault="00503698">
      <w:r>
        <w:separator/>
      </w:r>
    </w:p>
  </w:endnote>
  <w:endnote w:type="continuationSeparator" w:id="0">
    <w:p w:rsidR="00503698" w:rsidRDefault="0050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65" w:rsidRDefault="00A05F4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5" w:rsidRDefault="005970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05F48">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7D3765" w:rsidRDefault="005970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05F48">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65" w:rsidRDefault="00A05F4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5" w:rsidRDefault="005970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05F48">
                            <w:rPr>
                              <w:rFonts w:ascii="Times New Roman" w:hAnsi="Times New Roman"/>
                              <w:noProof/>
                              <w:kern w:val="0"/>
                              <w:sz w:val="18"/>
                              <w:szCs w:val="18"/>
                            </w:rPr>
                            <w:t>117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7D3765" w:rsidRDefault="005970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05F48">
                      <w:rPr>
                        <w:rFonts w:ascii="Times New Roman" w:hAnsi="Times New Roman"/>
                        <w:noProof/>
                        <w:kern w:val="0"/>
                        <w:sz w:val="18"/>
                        <w:szCs w:val="18"/>
                      </w:rPr>
                      <w:t>117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98" w:rsidRDefault="00503698">
      <w:r>
        <w:separator/>
      </w:r>
    </w:p>
  </w:footnote>
  <w:footnote w:type="continuationSeparator" w:id="0">
    <w:p w:rsidR="00503698" w:rsidRDefault="0050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A05F48">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7D3765" w:rsidRDefault="0059707E">
    <w:pPr>
      <w:pStyle w:val="a3"/>
      <w:jc w:val="right"/>
      <w:rPr>
        <w:rFonts w:ascii="宋体" w:hAnsi="宋体"/>
      </w:rPr>
    </w:pPr>
    <w:r>
      <w:rPr>
        <w:rFonts w:ascii="宋体" w:hAnsi="宋体" w:hint="eastAsia"/>
      </w:rPr>
      <w:t>交银施罗德定期支付双息平衡混合型证券投资基金(更新)招募说明书(2020年第1号)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65" w:rsidRDefault="007D3765">
    <w:pPr>
      <w:pStyle w:val="10"/>
      <w:jc w:val="right"/>
    </w:pPr>
  </w:p>
  <w:p w:rsidR="007D3765" w:rsidRDefault="007D3765">
    <w:pPr>
      <w:pStyle w:val="10"/>
      <w:jc w:val="right"/>
    </w:pPr>
  </w:p>
  <w:p w:rsidR="007D3765" w:rsidRDefault="007D3765">
    <w:pPr>
      <w:pStyle w:val="a3"/>
      <w:jc w:val="right"/>
    </w:pPr>
  </w:p>
  <w:p w:rsidR="009E65D0" w:rsidRDefault="00A05F48">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7D3765" w:rsidRDefault="0059707E">
    <w:pPr>
      <w:pStyle w:val="a3"/>
      <w:jc w:val="right"/>
      <w:rPr>
        <w:rFonts w:ascii="宋体" w:hAnsi="宋体"/>
      </w:rPr>
    </w:pPr>
    <w:r>
      <w:rPr>
        <w:rFonts w:ascii="宋体" w:hAnsi="宋体" w:hint="eastAsia"/>
      </w:rPr>
      <w:t>交银施罗德定期支付双息平衡混合型证券投资基金(更新)招募说明书(2020年第</w:t>
    </w:r>
    <w:r w:rsidR="00AA345B">
      <w:rPr>
        <w:rFonts w:ascii="宋体" w:hAnsi="宋体" w:hint="eastAsia"/>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65" w:rsidRDefault="007D3765">
    <w:pPr>
      <w:pStyle w:val="a3"/>
      <w:jc w:val="right"/>
    </w:pPr>
  </w:p>
  <w:p w:rsidR="007D3765" w:rsidRDefault="007D3765">
    <w:pPr>
      <w:pStyle w:val="a3"/>
      <w:jc w:val="right"/>
    </w:pPr>
  </w:p>
  <w:p w:rsidR="007D3765" w:rsidRDefault="007D3765">
    <w:pPr>
      <w:pStyle w:val="a3"/>
      <w:jc w:val="right"/>
    </w:pPr>
  </w:p>
  <w:p w:rsidR="009E65D0" w:rsidRDefault="00A05F48">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7D3765" w:rsidRDefault="0059707E">
    <w:pPr>
      <w:pStyle w:val="a3"/>
      <w:jc w:val="right"/>
      <w:rPr>
        <w:rFonts w:ascii="宋体" w:hAnsi="宋体"/>
      </w:rPr>
    </w:pPr>
    <w:r>
      <w:rPr>
        <w:rFonts w:ascii="宋体" w:hAnsi="宋体" w:hint="eastAsia"/>
      </w:rPr>
      <w:t>交银施罗德定期支付双息平衡混合型证券投资基金(更新)招募说明书(2020年第</w:t>
    </w:r>
    <w:r w:rsidR="00AA345B">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180C"/>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AE1"/>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698"/>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38FC"/>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1B64"/>
    <w:rsid w:val="00502A45"/>
    <w:rsid w:val="00503698"/>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07E"/>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5C2C"/>
    <w:rsid w:val="006067DC"/>
    <w:rsid w:val="00610629"/>
    <w:rsid w:val="00611BCD"/>
    <w:rsid w:val="0061258D"/>
    <w:rsid w:val="006142EC"/>
    <w:rsid w:val="006155A5"/>
    <w:rsid w:val="00617824"/>
    <w:rsid w:val="00624214"/>
    <w:rsid w:val="00625419"/>
    <w:rsid w:val="00626D1A"/>
    <w:rsid w:val="00627429"/>
    <w:rsid w:val="0063089C"/>
    <w:rsid w:val="006310D0"/>
    <w:rsid w:val="00632A91"/>
    <w:rsid w:val="006345E8"/>
    <w:rsid w:val="0063765C"/>
    <w:rsid w:val="006403CB"/>
    <w:rsid w:val="006410B0"/>
    <w:rsid w:val="0064139F"/>
    <w:rsid w:val="00641404"/>
    <w:rsid w:val="00641EDA"/>
    <w:rsid w:val="00642B97"/>
    <w:rsid w:val="00643680"/>
    <w:rsid w:val="00644453"/>
    <w:rsid w:val="00644B32"/>
    <w:rsid w:val="006460A3"/>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B5A"/>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2AC6"/>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34AB"/>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3765"/>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2BA"/>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5F48"/>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45B"/>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5920"/>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09F"/>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D6D4B"/>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921"/>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0D6C"/>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B294AC-BF02-4087-96EC-2FD7F0E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16029</Words>
  <Characters>91368</Characters>
  <Application>Microsoft Office Word</Application>
  <DocSecurity>0</DocSecurity>
  <Lines>761</Lines>
  <Paragraphs>214</Paragraphs>
  <ScaleCrop>false</ScaleCrop>
  <Company>Microsoft</Company>
  <LinksUpToDate>false</LinksUpToDate>
  <CharactersWithSpaces>107183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喻秋燕</cp:lastModifiedBy>
  <cp:revision>2</cp:revision>
  <cp:lastPrinted>2013-02-18T03:10:00Z</cp:lastPrinted>
  <dcterms:created xsi:type="dcterms:W3CDTF">2020-12-16T09:50:00Z</dcterms:created>
  <dcterms:modified xsi:type="dcterms:W3CDTF">2020-12-16T09:50:00Z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