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交银施罗德基金管理有限公司关于交银施罗德多策略回报灵活配置混合型证券投资基金基金经理变更的公告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交银施罗德多策略回报灵活配置混合型证券投资基金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交银多策略回报灵活配置混合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因工作需要，经交银施罗德基金管理有限公司领导办公会议审议通过，李娜女士不再担任交银施罗德多策略回报灵活配置混合型证券投资基金基金经理。上述事项已在中国证券投资基金业协会完成变更登记手续。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