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D31FA2" w14:textId="7395ACA8" w:rsidR="00FC2918" w:rsidRPr="00335FE8" w:rsidRDefault="00880454" w:rsidP="006A53E7">
      <w:pPr>
        <w:jc w:val="center"/>
        <w:rPr>
          <w:rFonts w:ascii="黑体" w:eastAsia="黑体" w:hAnsi="黑体"/>
          <w:b/>
          <w:sz w:val="36"/>
        </w:rPr>
      </w:pPr>
      <w:bookmarkStart w:id="0" w:name="_GoBack"/>
      <w:bookmarkEnd w:id="0"/>
      <w:r w:rsidRPr="00335FE8">
        <w:rPr>
          <w:rFonts w:ascii="黑体" w:eastAsia="黑体" w:hAnsi="黑体" w:hint="eastAsia"/>
          <w:b/>
          <w:sz w:val="36"/>
        </w:rPr>
        <w:t>交银施罗德</w:t>
      </w:r>
      <w:r w:rsidR="005D517A">
        <w:rPr>
          <w:rFonts w:ascii="黑体" w:eastAsia="黑体" w:hAnsi="黑体" w:hint="eastAsia"/>
          <w:b/>
          <w:sz w:val="36"/>
        </w:rPr>
        <w:t>启道</w:t>
      </w:r>
      <w:r w:rsidRPr="00335FE8">
        <w:rPr>
          <w:rFonts w:ascii="黑体" w:eastAsia="黑体" w:hAnsi="黑体" w:hint="eastAsia"/>
          <w:b/>
          <w:sz w:val="36"/>
        </w:rPr>
        <w:t>混合型证券投资基金</w:t>
      </w:r>
    </w:p>
    <w:p w14:paraId="780BB4A1" w14:textId="77777777"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5BD03A0C"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6A53E7" w:rsidRPr="00335FE8">
        <w:rPr>
          <w:rFonts w:ascii="仿宋_GB2312" w:eastAsia="仿宋_GB2312" w:hAnsi="宋体" w:cs="宋体" w:hint="eastAsia"/>
          <w:kern w:val="0"/>
          <w:szCs w:val="21"/>
        </w:rPr>
        <w:t>2020-</w:t>
      </w:r>
      <w:r w:rsidR="00C660AA">
        <w:rPr>
          <w:rFonts w:ascii="仿宋_GB2312" w:eastAsia="仿宋_GB2312" w:hAnsi="宋体" w:cs="宋体"/>
          <w:kern w:val="0"/>
          <w:szCs w:val="21"/>
        </w:rPr>
        <w:t>12</w:t>
      </w:r>
      <w:r w:rsidR="006A53E7" w:rsidRPr="00335FE8">
        <w:rPr>
          <w:rFonts w:ascii="仿宋_GB2312" w:eastAsia="仿宋_GB2312" w:hAnsi="宋体" w:cs="宋体" w:hint="eastAsia"/>
          <w:kern w:val="0"/>
          <w:szCs w:val="21"/>
        </w:rPr>
        <w:t>-</w:t>
      </w:r>
      <w:r w:rsidR="00C660AA">
        <w:rPr>
          <w:rFonts w:ascii="仿宋_GB2312" w:eastAsia="仿宋_GB2312" w:hAnsi="宋体" w:cs="宋体"/>
          <w:kern w:val="0"/>
          <w:szCs w:val="21"/>
        </w:rPr>
        <w:t>17</w:t>
      </w:r>
    </w:p>
    <w:p w14:paraId="7D15B036" w14:textId="4992E3CB" w:rsidR="00264C81" w:rsidRDefault="006A24E3"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Pr="00DA7C34">
        <w:rPr>
          <w:rFonts w:ascii="Times New Roman" w:hAnsi="Times New Roman" w:cs="Times New Roman"/>
        </w:rPr>
        <w:t>2020-</w:t>
      </w:r>
      <w:r w:rsidR="00C660AA">
        <w:rPr>
          <w:rFonts w:ascii="Times New Roman" w:hAnsi="Times New Roman" w:cs="Times New Roman"/>
        </w:rPr>
        <w:t>12</w:t>
      </w:r>
      <w:r w:rsidRPr="00DA7C34">
        <w:rPr>
          <w:rFonts w:ascii="Times New Roman" w:hAnsi="Times New Roman" w:cs="Times New Roman"/>
        </w:rPr>
        <w:t>-</w:t>
      </w:r>
      <w:r w:rsidR="00C660AA">
        <w:rPr>
          <w:rFonts w:ascii="Times New Roman" w:hAnsi="Times New Roman" w:cs="Times New Roman"/>
        </w:rPr>
        <w:t>18</w:t>
      </w:r>
      <w:r w:rsidR="00C660AA" w:rsidRPr="00DA7C34" w:rsidDel="005D517A">
        <w:rPr>
          <w:rFonts w:ascii="Times New Roman" w:hAnsi="Times New Roman" w:cs="Times New Roman"/>
        </w:rPr>
        <w:t xml:space="preserve"> </w:t>
      </w:r>
      <w:r w:rsidR="00C660AA">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6"/>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490"/>
        <w:gridCol w:w="3344"/>
        <w:gridCol w:w="1891"/>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3C0AAC13" w:rsidR="00AF7A1E" w:rsidRPr="00335FE8" w:rsidRDefault="00AF7A1E" w:rsidP="00AF7A1E">
            <w:pPr>
              <w:rPr>
                <w:rFonts w:ascii="仿宋_GB2312" w:eastAsia="仿宋_GB2312"/>
                <w:szCs w:val="21"/>
              </w:rPr>
            </w:pPr>
            <w:r w:rsidRPr="00335FE8">
              <w:rPr>
                <w:rFonts w:ascii="仿宋_GB2312" w:eastAsia="仿宋_GB2312" w:hint="eastAsia"/>
                <w:szCs w:val="21"/>
              </w:rPr>
              <w:t>交银</w:t>
            </w:r>
            <w:r w:rsidR="005D517A">
              <w:rPr>
                <w:rFonts w:ascii="仿宋_GB2312" w:eastAsia="仿宋_GB2312" w:hint="eastAsia"/>
                <w:szCs w:val="21"/>
              </w:rPr>
              <w:t>启道</w:t>
            </w:r>
            <w:r w:rsidRPr="00335FE8">
              <w:rPr>
                <w:rFonts w:ascii="仿宋_GB2312" w:eastAsia="仿宋_GB2312" w:hint="eastAsia"/>
                <w:szCs w:val="21"/>
              </w:rPr>
              <w:t>混合</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0282E497" w:rsidR="00AF7A1E" w:rsidRPr="00335FE8" w:rsidRDefault="00C660AA" w:rsidP="00AF7A1E">
            <w:pPr>
              <w:rPr>
                <w:rFonts w:ascii="仿宋_GB2312" w:eastAsia="仿宋_GB2312"/>
                <w:szCs w:val="21"/>
              </w:rPr>
            </w:pPr>
            <w:r w:rsidRPr="00C660AA">
              <w:rPr>
                <w:rFonts w:ascii="仿宋_GB2312" w:eastAsia="仿宋_GB2312"/>
                <w:szCs w:val="21"/>
              </w:rPr>
              <w:t>010483</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中国建设银行股份有限公司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2AEB1F86" w:rsidR="00AF7A1E" w:rsidRPr="00335FE8" w:rsidRDefault="00A73621" w:rsidP="00AF7A1E">
            <w:pPr>
              <w:rPr>
                <w:rFonts w:ascii="仿宋_GB2312" w:eastAsia="仿宋_GB2312"/>
                <w:szCs w:val="21"/>
              </w:rPr>
            </w:pPr>
            <w:r>
              <w:rPr>
                <w:rFonts w:ascii="仿宋_GB2312" w:eastAsia="仿宋_GB2312" w:hint="eastAsia"/>
                <w:szCs w:val="21"/>
              </w:rPr>
              <w:t>-</w:t>
            </w:r>
            <w:r w:rsidR="00C93845" w:rsidRPr="00335FE8" w:rsidDel="005D517A">
              <w:rPr>
                <w:rFonts w:ascii="仿宋_GB2312" w:eastAsia="仿宋_GB2312" w:hint="eastAsia"/>
                <w:szCs w:val="21"/>
              </w:rPr>
              <w:t xml:space="preserve"> </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混合型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25373913" w:rsidR="006A53E7" w:rsidRPr="00335FE8" w:rsidRDefault="005D517A" w:rsidP="006A53E7">
            <w:pPr>
              <w:jc w:val="left"/>
              <w:rPr>
                <w:rFonts w:ascii="仿宋_GB2312" w:eastAsia="仿宋_GB2312"/>
                <w:szCs w:val="21"/>
              </w:rPr>
            </w:pPr>
            <w:r>
              <w:rPr>
                <w:rFonts w:ascii="仿宋_GB2312" w:eastAsia="仿宋_GB2312" w:hint="eastAsia"/>
                <w:szCs w:val="21"/>
              </w:rPr>
              <w:t>周中</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167F20EE" w:rsidR="006A53E7" w:rsidRPr="00335FE8" w:rsidRDefault="00A73621" w:rsidP="006A53E7">
            <w:pPr>
              <w:jc w:val="left"/>
              <w:rPr>
                <w:rFonts w:ascii="仿宋_GB2312" w:eastAsia="仿宋_GB2312"/>
                <w:szCs w:val="21"/>
              </w:rPr>
            </w:pPr>
            <w:r>
              <w:rPr>
                <w:rFonts w:ascii="仿宋_GB2312" w:eastAsia="仿宋_GB2312" w:hint="eastAsia"/>
                <w:szCs w:val="21"/>
              </w:rPr>
              <w:t>-</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43040775" w:rsidR="006A53E7" w:rsidRPr="00335FE8" w:rsidRDefault="00737C54" w:rsidP="006A53E7">
            <w:pPr>
              <w:jc w:val="left"/>
              <w:rPr>
                <w:rFonts w:ascii="仿宋_GB2312" w:eastAsia="仿宋_GB2312"/>
                <w:szCs w:val="21"/>
              </w:rPr>
            </w:pPr>
            <w:r w:rsidRPr="00335FE8">
              <w:rPr>
                <w:rFonts w:ascii="仿宋_GB2312" w:eastAsia="仿宋_GB2312" w:hint="eastAsia"/>
                <w:szCs w:val="21"/>
              </w:rPr>
              <w:t>2009-07-01</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42C36A06" w:rsidR="002E7E5E" w:rsidRPr="00335FE8" w:rsidRDefault="006A24E3" w:rsidP="006A53E7">
            <w:pPr>
              <w:ind w:firstLine="420"/>
              <w:jc w:val="left"/>
              <w:rPr>
                <w:rFonts w:ascii="仿宋_GB2312" w:eastAsia="仿宋_GB2312"/>
                <w:szCs w:val="21"/>
              </w:rPr>
            </w:pPr>
            <w:r>
              <w:rPr>
                <w:rFonts w:ascii="仿宋_GB2312" w:eastAsia="仿宋_GB2312"/>
                <w:szCs w:val="21"/>
              </w:rPr>
              <w:t>《基金合同》生效后，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6"/>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本基金在严格控制风险的前提下，充分发挥专业研究与管理能力，追求超越业绩比较基准的投资收益，力争为投资者提供长期稳健的投资回报。</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41D7999" w14:textId="1F4D5084"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本基金的投资范围为具有良好流动性的金融工具，包括国内依法发行上市的股票（含中小板、创业板及其他经中国证监会核准或注册上市的股票</w:t>
            </w:r>
            <w:r w:rsidR="00535053" w:rsidRPr="00535053">
              <w:rPr>
                <w:rFonts w:ascii="仿宋_GB2312" w:eastAsia="仿宋_GB2312" w:hint="eastAsia"/>
                <w:szCs w:val="21"/>
              </w:rPr>
              <w:t>、存托凭证</w:t>
            </w:r>
            <w:r w:rsidRPr="00335FE8">
              <w:rPr>
                <w:rFonts w:ascii="仿宋_GB2312" w:eastAsia="仿宋_GB2312" w:hint="eastAsia"/>
                <w:szCs w:val="21"/>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29CEDF3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如法律法规或监管机构以后允许基金投资其他品种，基金管理人在履行适当程序后，可以将其纳入投资范围。</w:t>
            </w:r>
          </w:p>
          <w:p w14:paraId="005510FA" w14:textId="662CD9B2"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基金的投资组合比例为：股票投资</w:t>
            </w:r>
            <w:r w:rsidR="00535053" w:rsidRPr="00535053">
              <w:rPr>
                <w:rFonts w:ascii="仿宋_GB2312" w:eastAsia="仿宋_GB2312" w:hint="eastAsia"/>
                <w:szCs w:val="21"/>
              </w:rPr>
              <w:t>（含存托凭证）</w:t>
            </w:r>
            <w:r w:rsidRPr="00335FE8">
              <w:rPr>
                <w:rFonts w:ascii="仿宋_GB2312" w:eastAsia="仿宋_GB2312" w:hint="eastAsia"/>
                <w:szCs w:val="21"/>
              </w:rPr>
              <w:t>占基金资产的比例为60%-95%，其中投资于港股通标的股票的比例占股票资产的0%-50%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5A7906C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700711AF" w14:textId="0BC1767C"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w:t>
            </w:r>
            <w:r w:rsidR="006758D5">
              <w:rPr>
                <w:rFonts w:ascii="仿宋_GB2312" w:eastAsia="仿宋_GB2312" w:hint="eastAsia"/>
                <w:szCs w:val="21"/>
              </w:rPr>
              <w:t>个股和</w:t>
            </w:r>
            <w:r w:rsidRPr="00335FE8">
              <w:rPr>
                <w:rFonts w:ascii="仿宋_GB2312" w:eastAsia="仿宋_GB2312" w:hint="eastAsia"/>
                <w:szCs w:val="21"/>
              </w:rPr>
              <w:t>个券；在保持总体风险水平相对稳定的基础上，力争获取投资组合的较高回报。</w:t>
            </w:r>
          </w:p>
          <w:p w14:paraId="5A3E50A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1、大类资产配置；2、股票投资策略；3、债券投资策略；4、资产支持证券投资策略；5、股指期货投资策略。</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3A9B81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沪深300指数收益率×65%+恒生指数收益率×5%+中证综合债券指数收益率×30%</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4109246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本基金是一只混合型基金，其预期风险和预期收益高于债券型基金和货币市场基金，低于股票型基金。</w:t>
            </w:r>
          </w:p>
        </w:tc>
      </w:tr>
    </w:tbl>
    <w:p w14:paraId="765DA506" w14:textId="0C9EF19E"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w:t>
      </w:r>
      <w:r w:rsidR="005D517A">
        <w:rPr>
          <w:rFonts w:ascii="仿宋_GB2312" w:eastAsia="仿宋_GB2312" w:hint="eastAsia"/>
          <w:szCs w:val="21"/>
        </w:rPr>
        <w:t>启道</w:t>
      </w:r>
      <w:r w:rsidRPr="00335FE8">
        <w:rPr>
          <w:rFonts w:ascii="仿宋_GB2312" w:eastAsia="仿宋_GB2312" w:hint="eastAsia"/>
          <w:szCs w:val="21"/>
        </w:rPr>
        <w:t>混合型证券投资基金招募说明书》第九部分“基金的投资”。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4ABB93A" w14:textId="10658C16"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无。</w:t>
      </w:r>
    </w:p>
    <w:p w14:paraId="16C549AC"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29A81A50" w14:textId="77777777" w:rsidR="00D373CC" w:rsidRPr="00335FE8" w:rsidRDefault="00D373CC" w:rsidP="00D373CC">
      <w:pPr>
        <w:ind w:firstLine="420"/>
        <w:jc w:val="left"/>
        <w:rPr>
          <w:rFonts w:ascii="仿宋_GB2312" w:eastAsia="仿宋_GB2312"/>
          <w:szCs w:val="21"/>
        </w:rPr>
      </w:pPr>
      <w:r w:rsidRPr="00335FE8">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6"/>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7"/>
        <w:gridCol w:w="2818"/>
        <w:gridCol w:w="1754"/>
        <w:gridCol w:w="1989"/>
      </w:tblGrid>
      <w:tr w:rsidR="00D373CC" w:rsidRPr="00335FE8" w14:paraId="2A054CB7" w14:textId="77777777" w:rsidTr="00B907D6">
        <w:trPr>
          <w:jc w:val="center"/>
        </w:trPr>
        <w:tc>
          <w:tcPr>
            <w:tcW w:w="2747"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818"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54"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1989"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B907D6" w:rsidRPr="00335FE8" w14:paraId="342A0F5B" w14:textId="77777777" w:rsidTr="00B907D6">
        <w:trPr>
          <w:jc w:val="center"/>
        </w:trPr>
        <w:tc>
          <w:tcPr>
            <w:tcW w:w="2747" w:type="dxa"/>
            <w:vMerge w:val="restart"/>
            <w:vAlign w:val="center"/>
          </w:tcPr>
          <w:p w14:paraId="741CD741" w14:textId="5E820FC1" w:rsidR="00B907D6" w:rsidRPr="00335FE8" w:rsidRDefault="00B907D6" w:rsidP="00B907D6">
            <w:pPr>
              <w:widowControl/>
              <w:jc w:val="left"/>
              <w:rPr>
                <w:rFonts w:ascii="仿宋_GB2312" w:eastAsia="仿宋_GB2312" w:hAnsi="宋体" w:cs="宋体"/>
                <w:kern w:val="0"/>
                <w:szCs w:val="21"/>
              </w:rPr>
            </w:pPr>
            <w:r>
              <w:rPr>
                <w:rFonts w:ascii="仿宋_GB2312" w:eastAsia="仿宋_GB2312" w:hAnsi="宋体" w:cs="宋体" w:hint="eastAsia"/>
                <w:kern w:val="0"/>
                <w:szCs w:val="21"/>
              </w:rPr>
              <w:t>认</w:t>
            </w:r>
            <w:r w:rsidRPr="00335FE8">
              <w:rPr>
                <w:rFonts w:ascii="仿宋_GB2312" w:eastAsia="仿宋_GB2312" w:hAnsi="宋体" w:cs="宋体" w:hint="eastAsia"/>
                <w:kern w:val="0"/>
                <w:szCs w:val="21"/>
              </w:rPr>
              <w:t>购费</w:t>
            </w:r>
          </w:p>
        </w:tc>
        <w:tc>
          <w:tcPr>
            <w:tcW w:w="2818" w:type="dxa"/>
          </w:tcPr>
          <w:p w14:paraId="117AC590" w14:textId="44F9EF8A" w:rsidR="00B907D6" w:rsidRPr="00335FE8" w:rsidRDefault="00B907D6" w:rsidP="00B907D6">
            <w:pPr>
              <w:rPr>
                <w:rFonts w:ascii="仿宋_GB2312" w:eastAsia="仿宋_GB2312"/>
                <w:szCs w:val="21"/>
              </w:rPr>
            </w:pPr>
            <w:r w:rsidRPr="00335FE8">
              <w:rPr>
                <w:rFonts w:ascii="仿宋_GB2312" w:eastAsia="仿宋_GB2312" w:hint="eastAsia"/>
                <w:szCs w:val="21"/>
              </w:rPr>
              <w:t>M＜100万元</w:t>
            </w:r>
          </w:p>
        </w:tc>
        <w:tc>
          <w:tcPr>
            <w:tcW w:w="1754" w:type="dxa"/>
            <w:vAlign w:val="center"/>
          </w:tcPr>
          <w:p w14:paraId="2DF9DCFC" w14:textId="11A667A7" w:rsidR="00B907D6" w:rsidRPr="00335FE8" w:rsidRDefault="00B907D6" w:rsidP="00B907D6">
            <w:pPr>
              <w:rPr>
                <w:rFonts w:ascii="仿宋_GB2312" w:eastAsia="仿宋_GB2312"/>
                <w:szCs w:val="21"/>
              </w:rPr>
            </w:pPr>
            <w:r w:rsidRPr="00335FE8">
              <w:rPr>
                <w:rFonts w:ascii="仿宋_GB2312" w:eastAsia="仿宋_GB2312" w:hint="eastAsia"/>
                <w:szCs w:val="21"/>
              </w:rPr>
              <w:t>1.</w:t>
            </w:r>
            <w:r>
              <w:rPr>
                <w:rFonts w:ascii="仿宋_GB2312" w:eastAsia="仿宋_GB2312"/>
                <w:szCs w:val="21"/>
              </w:rPr>
              <w:t>2</w:t>
            </w:r>
            <w:r w:rsidRPr="00335FE8">
              <w:rPr>
                <w:rFonts w:ascii="仿宋_GB2312" w:eastAsia="仿宋_GB2312" w:hint="eastAsia"/>
                <w:szCs w:val="21"/>
              </w:rPr>
              <w:t>%</w:t>
            </w:r>
          </w:p>
        </w:tc>
        <w:tc>
          <w:tcPr>
            <w:tcW w:w="1989" w:type="dxa"/>
            <w:vAlign w:val="center"/>
          </w:tcPr>
          <w:p w14:paraId="659F87CF" w14:textId="77777777" w:rsidR="00B907D6" w:rsidRPr="00335FE8" w:rsidRDefault="00B907D6" w:rsidP="00B907D6">
            <w:pPr>
              <w:widowControl/>
              <w:jc w:val="left"/>
              <w:rPr>
                <w:rFonts w:ascii="仿宋_GB2312" w:eastAsia="仿宋_GB2312" w:hAnsi="宋体" w:cs="宋体"/>
                <w:kern w:val="0"/>
                <w:szCs w:val="21"/>
              </w:rPr>
            </w:pPr>
          </w:p>
        </w:tc>
      </w:tr>
      <w:tr w:rsidR="00B907D6" w:rsidRPr="00335FE8" w14:paraId="63C31FAB" w14:textId="77777777" w:rsidTr="00B907D6">
        <w:trPr>
          <w:jc w:val="center"/>
        </w:trPr>
        <w:tc>
          <w:tcPr>
            <w:tcW w:w="2747" w:type="dxa"/>
            <w:vMerge/>
            <w:vAlign w:val="center"/>
          </w:tcPr>
          <w:p w14:paraId="4C9BD2E6" w14:textId="77777777" w:rsidR="00B907D6" w:rsidRPr="00335FE8" w:rsidRDefault="00B907D6" w:rsidP="00B907D6">
            <w:pPr>
              <w:widowControl/>
              <w:jc w:val="left"/>
              <w:rPr>
                <w:rFonts w:ascii="仿宋_GB2312" w:eastAsia="仿宋_GB2312" w:hAnsi="宋体" w:cs="宋体"/>
                <w:kern w:val="0"/>
                <w:szCs w:val="21"/>
              </w:rPr>
            </w:pPr>
          </w:p>
        </w:tc>
        <w:tc>
          <w:tcPr>
            <w:tcW w:w="2818" w:type="dxa"/>
          </w:tcPr>
          <w:p w14:paraId="10F6AE47" w14:textId="6EF475CF" w:rsidR="00B907D6" w:rsidRPr="00335FE8" w:rsidRDefault="00B907D6" w:rsidP="00B907D6">
            <w:pPr>
              <w:rPr>
                <w:rFonts w:ascii="仿宋_GB2312" w:eastAsia="仿宋_GB2312"/>
                <w:szCs w:val="21"/>
              </w:rPr>
            </w:pPr>
            <w:r w:rsidRPr="00335FE8">
              <w:rPr>
                <w:rFonts w:ascii="仿宋_GB2312" w:eastAsia="仿宋_GB2312" w:hint="eastAsia"/>
                <w:szCs w:val="21"/>
              </w:rPr>
              <w:t>100万元≤M＜200万元</w:t>
            </w:r>
          </w:p>
        </w:tc>
        <w:tc>
          <w:tcPr>
            <w:tcW w:w="1754" w:type="dxa"/>
            <w:vAlign w:val="center"/>
          </w:tcPr>
          <w:p w14:paraId="6288A2C5" w14:textId="257FAB26" w:rsidR="00B907D6" w:rsidRPr="00335FE8" w:rsidRDefault="00B907D6" w:rsidP="00B907D6">
            <w:pPr>
              <w:rPr>
                <w:rFonts w:ascii="仿宋_GB2312" w:eastAsia="仿宋_GB2312"/>
                <w:szCs w:val="21"/>
              </w:rPr>
            </w:pPr>
            <w:r>
              <w:rPr>
                <w:rFonts w:ascii="仿宋_GB2312" w:eastAsia="仿宋_GB2312"/>
                <w:szCs w:val="21"/>
              </w:rPr>
              <w:t>0</w:t>
            </w:r>
            <w:r w:rsidRPr="00335FE8">
              <w:rPr>
                <w:rFonts w:ascii="仿宋_GB2312" w:eastAsia="仿宋_GB2312" w:hint="eastAsia"/>
                <w:szCs w:val="21"/>
              </w:rPr>
              <w:t>.</w:t>
            </w:r>
            <w:r>
              <w:rPr>
                <w:rFonts w:ascii="仿宋_GB2312" w:eastAsia="仿宋_GB2312"/>
                <w:szCs w:val="21"/>
              </w:rPr>
              <w:t>8</w:t>
            </w:r>
            <w:r w:rsidRPr="00335FE8">
              <w:rPr>
                <w:rFonts w:ascii="仿宋_GB2312" w:eastAsia="仿宋_GB2312" w:hint="eastAsia"/>
                <w:szCs w:val="21"/>
              </w:rPr>
              <w:t>%</w:t>
            </w:r>
          </w:p>
        </w:tc>
        <w:tc>
          <w:tcPr>
            <w:tcW w:w="1989" w:type="dxa"/>
            <w:vAlign w:val="center"/>
          </w:tcPr>
          <w:p w14:paraId="2ED95CA0" w14:textId="77777777" w:rsidR="00B907D6" w:rsidRPr="00335FE8" w:rsidRDefault="00B907D6" w:rsidP="00B907D6">
            <w:pPr>
              <w:widowControl/>
              <w:jc w:val="left"/>
              <w:rPr>
                <w:rFonts w:ascii="仿宋_GB2312" w:eastAsia="仿宋_GB2312" w:hAnsi="宋体" w:cs="宋体"/>
                <w:kern w:val="0"/>
                <w:szCs w:val="21"/>
              </w:rPr>
            </w:pPr>
          </w:p>
        </w:tc>
      </w:tr>
      <w:tr w:rsidR="00B907D6" w:rsidRPr="00335FE8" w14:paraId="68CEEBFF" w14:textId="77777777" w:rsidTr="00B907D6">
        <w:trPr>
          <w:jc w:val="center"/>
        </w:trPr>
        <w:tc>
          <w:tcPr>
            <w:tcW w:w="2747" w:type="dxa"/>
            <w:vMerge/>
            <w:vAlign w:val="center"/>
          </w:tcPr>
          <w:p w14:paraId="4FA2D024" w14:textId="77777777" w:rsidR="00B907D6" w:rsidRPr="00335FE8" w:rsidRDefault="00B907D6" w:rsidP="00B907D6">
            <w:pPr>
              <w:widowControl/>
              <w:jc w:val="left"/>
              <w:rPr>
                <w:rFonts w:ascii="仿宋_GB2312" w:eastAsia="仿宋_GB2312" w:hAnsi="宋体" w:cs="宋体"/>
                <w:kern w:val="0"/>
                <w:szCs w:val="21"/>
              </w:rPr>
            </w:pPr>
          </w:p>
        </w:tc>
        <w:tc>
          <w:tcPr>
            <w:tcW w:w="2818" w:type="dxa"/>
          </w:tcPr>
          <w:p w14:paraId="3417D9EF" w14:textId="629F77D3" w:rsidR="00B907D6" w:rsidRPr="00335FE8" w:rsidRDefault="00B907D6" w:rsidP="00B907D6">
            <w:pPr>
              <w:rPr>
                <w:rFonts w:ascii="仿宋_GB2312" w:eastAsia="仿宋_GB2312"/>
                <w:szCs w:val="21"/>
              </w:rPr>
            </w:pPr>
            <w:r w:rsidRPr="00335FE8">
              <w:rPr>
                <w:rFonts w:ascii="仿宋_GB2312" w:eastAsia="仿宋_GB2312" w:hint="eastAsia"/>
                <w:szCs w:val="21"/>
              </w:rPr>
              <w:t>200万元≤M＜500万元</w:t>
            </w:r>
          </w:p>
        </w:tc>
        <w:tc>
          <w:tcPr>
            <w:tcW w:w="1754" w:type="dxa"/>
            <w:vAlign w:val="center"/>
          </w:tcPr>
          <w:p w14:paraId="12106C09" w14:textId="7859951C" w:rsidR="00B907D6" w:rsidRPr="00335FE8" w:rsidRDefault="00B907D6" w:rsidP="00B907D6">
            <w:pPr>
              <w:rPr>
                <w:rFonts w:ascii="仿宋_GB2312" w:eastAsia="仿宋_GB2312"/>
                <w:szCs w:val="21"/>
              </w:rPr>
            </w:pPr>
            <w:r w:rsidRPr="00335FE8">
              <w:rPr>
                <w:rFonts w:ascii="仿宋_GB2312" w:eastAsia="仿宋_GB2312" w:hint="eastAsia"/>
                <w:szCs w:val="21"/>
              </w:rPr>
              <w:t>0.</w:t>
            </w:r>
            <w:r>
              <w:rPr>
                <w:rFonts w:ascii="仿宋_GB2312" w:eastAsia="仿宋_GB2312"/>
                <w:szCs w:val="21"/>
              </w:rPr>
              <w:t>3</w:t>
            </w:r>
            <w:r w:rsidRPr="00335FE8">
              <w:rPr>
                <w:rFonts w:ascii="仿宋_GB2312" w:eastAsia="仿宋_GB2312" w:hint="eastAsia"/>
                <w:szCs w:val="21"/>
              </w:rPr>
              <w:t>%</w:t>
            </w:r>
          </w:p>
        </w:tc>
        <w:tc>
          <w:tcPr>
            <w:tcW w:w="1989" w:type="dxa"/>
            <w:vAlign w:val="center"/>
          </w:tcPr>
          <w:p w14:paraId="1B0D5051" w14:textId="77777777" w:rsidR="00B907D6" w:rsidRPr="00335FE8" w:rsidRDefault="00B907D6" w:rsidP="00B907D6">
            <w:pPr>
              <w:widowControl/>
              <w:jc w:val="left"/>
              <w:rPr>
                <w:rFonts w:ascii="仿宋_GB2312" w:eastAsia="仿宋_GB2312" w:hAnsi="宋体" w:cs="宋体"/>
                <w:kern w:val="0"/>
                <w:szCs w:val="21"/>
              </w:rPr>
            </w:pPr>
          </w:p>
        </w:tc>
      </w:tr>
      <w:tr w:rsidR="00B907D6" w:rsidRPr="00335FE8" w14:paraId="29A52280" w14:textId="77777777" w:rsidTr="00B907D6">
        <w:trPr>
          <w:jc w:val="center"/>
        </w:trPr>
        <w:tc>
          <w:tcPr>
            <w:tcW w:w="2747" w:type="dxa"/>
            <w:vMerge/>
            <w:vAlign w:val="center"/>
          </w:tcPr>
          <w:p w14:paraId="654074CB" w14:textId="77777777" w:rsidR="00B907D6" w:rsidRPr="00335FE8" w:rsidRDefault="00B907D6" w:rsidP="00B907D6">
            <w:pPr>
              <w:widowControl/>
              <w:jc w:val="left"/>
              <w:rPr>
                <w:rFonts w:ascii="仿宋_GB2312" w:eastAsia="仿宋_GB2312" w:hAnsi="宋体" w:cs="宋体"/>
                <w:kern w:val="0"/>
                <w:szCs w:val="21"/>
              </w:rPr>
            </w:pPr>
          </w:p>
        </w:tc>
        <w:tc>
          <w:tcPr>
            <w:tcW w:w="2818" w:type="dxa"/>
          </w:tcPr>
          <w:p w14:paraId="74CD83CF" w14:textId="0BE6A3BE" w:rsidR="00B907D6" w:rsidRPr="00335FE8" w:rsidRDefault="00B907D6" w:rsidP="00B907D6">
            <w:pPr>
              <w:rPr>
                <w:rFonts w:ascii="仿宋_GB2312" w:eastAsia="仿宋_GB2312"/>
                <w:szCs w:val="21"/>
              </w:rPr>
            </w:pPr>
            <w:r w:rsidRPr="00335FE8">
              <w:rPr>
                <w:rFonts w:ascii="仿宋_GB2312" w:eastAsia="仿宋_GB2312" w:hint="eastAsia"/>
                <w:szCs w:val="21"/>
              </w:rPr>
              <w:t>500万元≤M</w:t>
            </w:r>
          </w:p>
        </w:tc>
        <w:tc>
          <w:tcPr>
            <w:tcW w:w="1754" w:type="dxa"/>
            <w:vAlign w:val="center"/>
          </w:tcPr>
          <w:p w14:paraId="0B4683E7" w14:textId="2A24788E" w:rsidR="00B907D6" w:rsidRPr="00335FE8" w:rsidRDefault="00B907D6" w:rsidP="00B907D6">
            <w:pPr>
              <w:rPr>
                <w:rFonts w:ascii="仿宋_GB2312" w:eastAsia="仿宋_GB2312"/>
                <w:szCs w:val="21"/>
              </w:rPr>
            </w:pPr>
            <w:r w:rsidRPr="00335FE8">
              <w:rPr>
                <w:rFonts w:ascii="仿宋_GB2312" w:eastAsia="仿宋_GB2312" w:hint="eastAsia"/>
                <w:szCs w:val="21"/>
              </w:rPr>
              <w:t>1,000元每笔</w:t>
            </w:r>
          </w:p>
        </w:tc>
        <w:tc>
          <w:tcPr>
            <w:tcW w:w="1989" w:type="dxa"/>
            <w:vAlign w:val="center"/>
          </w:tcPr>
          <w:p w14:paraId="2B3EF762" w14:textId="77777777" w:rsidR="00B907D6" w:rsidRPr="00335FE8" w:rsidRDefault="00B907D6" w:rsidP="00B907D6">
            <w:pPr>
              <w:widowControl/>
              <w:jc w:val="left"/>
              <w:rPr>
                <w:rFonts w:ascii="仿宋_GB2312" w:eastAsia="仿宋_GB2312" w:hAnsi="宋体" w:cs="宋体"/>
                <w:kern w:val="0"/>
                <w:szCs w:val="21"/>
              </w:rPr>
            </w:pPr>
          </w:p>
        </w:tc>
      </w:tr>
      <w:tr w:rsidR="00B907D6" w:rsidRPr="00335FE8" w14:paraId="5D9E2518" w14:textId="77777777" w:rsidTr="00B907D6">
        <w:trPr>
          <w:jc w:val="center"/>
        </w:trPr>
        <w:tc>
          <w:tcPr>
            <w:tcW w:w="2747" w:type="dxa"/>
            <w:vMerge w:val="restart"/>
            <w:vAlign w:val="center"/>
          </w:tcPr>
          <w:p w14:paraId="285CD1C3" w14:textId="77777777" w:rsidR="00B907D6" w:rsidRPr="00335FE8" w:rsidRDefault="00B907D6" w:rsidP="00B907D6">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818" w:type="dxa"/>
          </w:tcPr>
          <w:p w14:paraId="0BE7F20C"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M＜100万元</w:t>
            </w:r>
          </w:p>
        </w:tc>
        <w:tc>
          <w:tcPr>
            <w:tcW w:w="1754" w:type="dxa"/>
            <w:vAlign w:val="center"/>
          </w:tcPr>
          <w:p w14:paraId="5C3D5F6B"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1.5%</w:t>
            </w:r>
          </w:p>
        </w:tc>
        <w:tc>
          <w:tcPr>
            <w:tcW w:w="1989" w:type="dxa"/>
            <w:vAlign w:val="center"/>
          </w:tcPr>
          <w:p w14:paraId="39827A64" w14:textId="77777777" w:rsidR="00B907D6" w:rsidRPr="00335FE8" w:rsidRDefault="00B907D6" w:rsidP="00B907D6">
            <w:pPr>
              <w:widowControl/>
              <w:jc w:val="left"/>
              <w:rPr>
                <w:rFonts w:ascii="仿宋_GB2312" w:eastAsia="仿宋_GB2312" w:hAnsi="宋体" w:cs="宋体"/>
                <w:kern w:val="0"/>
                <w:szCs w:val="21"/>
              </w:rPr>
            </w:pPr>
          </w:p>
        </w:tc>
      </w:tr>
      <w:tr w:rsidR="00B907D6" w:rsidRPr="00335FE8" w14:paraId="4E2001A6" w14:textId="77777777" w:rsidTr="00B907D6">
        <w:trPr>
          <w:jc w:val="center"/>
        </w:trPr>
        <w:tc>
          <w:tcPr>
            <w:tcW w:w="2747" w:type="dxa"/>
            <w:vMerge/>
            <w:vAlign w:val="center"/>
          </w:tcPr>
          <w:p w14:paraId="1701F099" w14:textId="77777777" w:rsidR="00B907D6" w:rsidRPr="00335FE8" w:rsidRDefault="00B907D6" w:rsidP="00B907D6">
            <w:pPr>
              <w:widowControl/>
              <w:jc w:val="left"/>
              <w:rPr>
                <w:rFonts w:ascii="仿宋_GB2312" w:eastAsia="仿宋_GB2312" w:hAnsi="宋体" w:cs="宋体"/>
                <w:kern w:val="0"/>
                <w:szCs w:val="21"/>
              </w:rPr>
            </w:pPr>
          </w:p>
        </w:tc>
        <w:tc>
          <w:tcPr>
            <w:tcW w:w="2818" w:type="dxa"/>
          </w:tcPr>
          <w:p w14:paraId="4077E01E"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100万元≤M＜200万元</w:t>
            </w:r>
          </w:p>
        </w:tc>
        <w:tc>
          <w:tcPr>
            <w:tcW w:w="1754" w:type="dxa"/>
            <w:vAlign w:val="center"/>
          </w:tcPr>
          <w:p w14:paraId="51DDC420"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1.2%</w:t>
            </w:r>
          </w:p>
        </w:tc>
        <w:tc>
          <w:tcPr>
            <w:tcW w:w="1989" w:type="dxa"/>
            <w:vAlign w:val="center"/>
          </w:tcPr>
          <w:p w14:paraId="53E6541D" w14:textId="77777777" w:rsidR="00B907D6" w:rsidRPr="00335FE8" w:rsidRDefault="00B907D6" w:rsidP="00B907D6">
            <w:pPr>
              <w:widowControl/>
              <w:jc w:val="left"/>
              <w:rPr>
                <w:rFonts w:ascii="仿宋_GB2312" w:eastAsia="仿宋_GB2312" w:hAnsi="宋体" w:cs="宋体"/>
                <w:kern w:val="0"/>
                <w:szCs w:val="21"/>
              </w:rPr>
            </w:pPr>
          </w:p>
        </w:tc>
      </w:tr>
      <w:tr w:rsidR="00B907D6" w:rsidRPr="00335FE8" w14:paraId="02BF8E86" w14:textId="77777777" w:rsidTr="00B907D6">
        <w:trPr>
          <w:jc w:val="center"/>
        </w:trPr>
        <w:tc>
          <w:tcPr>
            <w:tcW w:w="2747" w:type="dxa"/>
            <w:vMerge/>
            <w:vAlign w:val="center"/>
          </w:tcPr>
          <w:p w14:paraId="4635C06A" w14:textId="77777777" w:rsidR="00B907D6" w:rsidRPr="00335FE8" w:rsidRDefault="00B907D6" w:rsidP="00B907D6">
            <w:pPr>
              <w:widowControl/>
              <w:jc w:val="left"/>
              <w:rPr>
                <w:rFonts w:ascii="仿宋_GB2312" w:eastAsia="仿宋_GB2312" w:hAnsi="宋体" w:cs="宋体"/>
                <w:kern w:val="0"/>
                <w:szCs w:val="21"/>
              </w:rPr>
            </w:pPr>
          </w:p>
        </w:tc>
        <w:tc>
          <w:tcPr>
            <w:tcW w:w="2818" w:type="dxa"/>
          </w:tcPr>
          <w:p w14:paraId="17238138"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200万元≤M＜500万元</w:t>
            </w:r>
          </w:p>
        </w:tc>
        <w:tc>
          <w:tcPr>
            <w:tcW w:w="1754" w:type="dxa"/>
            <w:vAlign w:val="center"/>
          </w:tcPr>
          <w:p w14:paraId="48210B99"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0.5%</w:t>
            </w:r>
          </w:p>
        </w:tc>
        <w:tc>
          <w:tcPr>
            <w:tcW w:w="1989" w:type="dxa"/>
            <w:vAlign w:val="center"/>
          </w:tcPr>
          <w:p w14:paraId="36C6C6A6" w14:textId="77777777" w:rsidR="00B907D6" w:rsidRPr="00335FE8" w:rsidRDefault="00B907D6" w:rsidP="00B907D6">
            <w:pPr>
              <w:widowControl/>
              <w:jc w:val="left"/>
              <w:rPr>
                <w:rFonts w:ascii="仿宋_GB2312" w:eastAsia="仿宋_GB2312" w:hAnsi="宋体" w:cs="宋体"/>
                <w:kern w:val="0"/>
                <w:szCs w:val="21"/>
              </w:rPr>
            </w:pPr>
          </w:p>
        </w:tc>
      </w:tr>
      <w:tr w:rsidR="00B907D6" w:rsidRPr="00335FE8" w14:paraId="4E758480" w14:textId="77777777" w:rsidTr="00B907D6">
        <w:trPr>
          <w:jc w:val="center"/>
        </w:trPr>
        <w:tc>
          <w:tcPr>
            <w:tcW w:w="2747" w:type="dxa"/>
            <w:vMerge/>
            <w:vAlign w:val="center"/>
          </w:tcPr>
          <w:p w14:paraId="09CB5159" w14:textId="77777777" w:rsidR="00B907D6" w:rsidRPr="00335FE8" w:rsidRDefault="00B907D6" w:rsidP="00B907D6">
            <w:pPr>
              <w:widowControl/>
              <w:jc w:val="left"/>
              <w:rPr>
                <w:rFonts w:ascii="仿宋_GB2312" w:eastAsia="仿宋_GB2312" w:hAnsi="宋体" w:cs="宋体"/>
                <w:kern w:val="0"/>
                <w:szCs w:val="21"/>
              </w:rPr>
            </w:pPr>
          </w:p>
        </w:tc>
        <w:tc>
          <w:tcPr>
            <w:tcW w:w="2818" w:type="dxa"/>
          </w:tcPr>
          <w:p w14:paraId="57FC6C52"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500万元≤M</w:t>
            </w:r>
          </w:p>
        </w:tc>
        <w:tc>
          <w:tcPr>
            <w:tcW w:w="1754" w:type="dxa"/>
            <w:vAlign w:val="center"/>
          </w:tcPr>
          <w:p w14:paraId="09D45DF9"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1,000元每笔</w:t>
            </w:r>
          </w:p>
        </w:tc>
        <w:tc>
          <w:tcPr>
            <w:tcW w:w="1989" w:type="dxa"/>
            <w:vAlign w:val="center"/>
          </w:tcPr>
          <w:p w14:paraId="3325DBFF" w14:textId="77777777" w:rsidR="00B907D6" w:rsidRPr="00335FE8" w:rsidRDefault="00B907D6" w:rsidP="00B907D6">
            <w:pPr>
              <w:widowControl/>
              <w:jc w:val="left"/>
              <w:rPr>
                <w:rFonts w:ascii="仿宋_GB2312" w:eastAsia="仿宋_GB2312" w:hAnsi="宋体" w:cs="宋体"/>
                <w:kern w:val="0"/>
                <w:szCs w:val="21"/>
              </w:rPr>
            </w:pPr>
          </w:p>
        </w:tc>
      </w:tr>
      <w:tr w:rsidR="00B907D6" w:rsidRPr="00335FE8" w14:paraId="707C1AA1" w14:textId="77777777" w:rsidTr="00B907D6">
        <w:trPr>
          <w:jc w:val="center"/>
        </w:trPr>
        <w:tc>
          <w:tcPr>
            <w:tcW w:w="2747" w:type="dxa"/>
            <w:vMerge w:val="restart"/>
            <w:vAlign w:val="center"/>
          </w:tcPr>
          <w:p w14:paraId="0D690B8E" w14:textId="77777777" w:rsidR="00B907D6" w:rsidRPr="00335FE8" w:rsidRDefault="00B907D6" w:rsidP="00B907D6">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818" w:type="dxa"/>
          </w:tcPr>
          <w:p w14:paraId="11ECED07"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N＜7天</w:t>
            </w:r>
          </w:p>
        </w:tc>
        <w:tc>
          <w:tcPr>
            <w:tcW w:w="1754" w:type="dxa"/>
            <w:vAlign w:val="center"/>
          </w:tcPr>
          <w:p w14:paraId="494DDFFD"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1.5%</w:t>
            </w:r>
          </w:p>
        </w:tc>
        <w:tc>
          <w:tcPr>
            <w:tcW w:w="1989" w:type="dxa"/>
            <w:vAlign w:val="center"/>
          </w:tcPr>
          <w:p w14:paraId="4B96BA76" w14:textId="77777777" w:rsidR="00B907D6" w:rsidRPr="00335FE8" w:rsidRDefault="00B907D6" w:rsidP="00B907D6">
            <w:pPr>
              <w:rPr>
                <w:rFonts w:ascii="仿宋_GB2312" w:eastAsia="仿宋_GB2312"/>
                <w:szCs w:val="21"/>
              </w:rPr>
            </w:pPr>
          </w:p>
        </w:tc>
      </w:tr>
      <w:tr w:rsidR="00B907D6" w:rsidRPr="00335FE8" w14:paraId="7AC9A7F0" w14:textId="77777777" w:rsidTr="00B907D6">
        <w:trPr>
          <w:jc w:val="center"/>
        </w:trPr>
        <w:tc>
          <w:tcPr>
            <w:tcW w:w="2747" w:type="dxa"/>
            <w:vMerge/>
            <w:vAlign w:val="center"/>
          </w:tcPr>
          <w:p w14:paraId="6416838E" w14:textId="77777777" w:rsidR="00B907D6" w:rsidRPr="00335FE8" w:rsidRDefault="00B907D6" w:rsidP="00B907D6">
            <w:pPr>
              <w:widowControl/>
              <w:jc w:val="left"/>
              <w:rPr>
                <w:rFonts w:ascii="仿宋_GB2312" w:eastAsia="仿宋_GB2312" w:hAnsi="宋体" w:cs="宋体"/>
                <w:kern w:val="0"/>
                <w:szCs w:val="21"/>
              </w:rPr>
            </w:pPr>
          </w:p>
        </w:tc>
        <w:tc>
          <w:tcPr>
            <w:tcW w:w="2818" w:type="dxa"/>
          </w:tcPr>
          <w:p w14:paraId="4EC1BC2C"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7天≤N＜30天</w:t>
            </w:r>
          </w:p>
        </w:tc>
        <w:tc>
          <w:tcPr>
            <w:tcW w:w="1754" w:type="dxa"/>
            <w:vAlign w:val="center"/>
          </w:tcPr>
          <w:p w14:paraId="795CB8CD"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0.75%</w:t>
            </w:r>
          </w:p>
        </w:tc>
        <w:tc>
          <w:tcPr>
            <w:tcW w:w="1989" w:type="dxa"/>
            <w:vAlign w:val="center"/>
          </w:tcPr>
          <w:p w14:paraId="752A81FC" w14:textId="77777777" w:rsidR="00B907D6" w:rsidRPr="00335FE8" w:rsidRDefault="00B907D6" w:rsidP="00B907D6">
            <w:pPr>
              <w:rPr>
                <w:rFonts w:ascii="仿宋_GB2312" w:eastAsia="仿宋_GB2312"/>
                <w:szCs w:val="21"/>
              </w:rPr>
            </w:pPr>
          </w:p>
        </w:tc>
      </w:tr>
      <w:tr w:rsidR="00B907D6" w:rsidRPr="00335FE8" w14:paraId="4ED9056B" w14:textId="77777777" w:rsidTr="00B907D6">
        <w:trPr>
          <w:jc w:val="center"/>
        </w:trPr>
        <w:tc>
          <w:tcPr>
            <w:tcW w:w="2747" w:type="dxa"/>
            <w:vMerge/>
            <w:vAlign w:val="center"/>
          </w:tcPr>
          <w:p w14:paraId="253CAB15" w14:textId="77777777" w:rsidR="00B907D6" w:rsidRPr="00335FE8" w:rsidRDefault="00B907D6" w:rsidP="00B907D6">
            <w:pPr>
              <w:widowControl/>
              <w:jc w:val="left"/>
              <w:rPr>
                <w:rFonts w:ascii="仿宋_GB2312" w:eastAsia="仿宋_GB2312" w:hAnsi="宋体" w:cs="宋体"/>
                <w:kern w:val="0"/>
                <w:szCs w:val="21"/>
              </w:rPr>
            </w:pPr>
          </w:p>
        </w:tc>
        <w:tc>
          <w:tcPr>
            <w:tcW w:w="2818" w:type="dxa"/>
          </w:tcPr>
          <w:p w14:paraId="237C1913"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30天≤N＜365天</w:t>
            </w:r>
          </w:p>
        </w:tc>
        <w:tc>
          <w:tcPr>
            <w:tcW w:w="1754" w:type="dxa"/>
            <w:vAlign w:val="center"/>
          </w:tcPr>
          <w:p w14:paraId="6ADABC93"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0.5%</w:t>
            </w:r>
          </w:p>
        </w:tc>
        <w:tc>
          <w:tcPr>
            <w:tcW w:w="1989" w:type="dxa"/>
            <w:vAlign w:val="center"/>
          </w:tcPr>
          <w:p w14:paraId="648148F7" w14:textId="77777777" w:rsidR="00B907D6" w:rsidRPr="00335FE8" w:rsidRDefault="00B907D6" w:rsidP="00B907D6">
            <w:pPr>
              <w:rPr>
                <w:rFonts w:ascii="仿宋_GB2312" w:eastAsia="仿宋_GB2312"/>
                <w:szCs w:val="21"/>
              </w:rPr>
            </w:pPr>
          </w:p>
        </w:tc>
      </w:tr>
      <w:tr w:rsidR="00B907D6" w:rsidRPr="00335FE8" w14:paraId="7513393E" w14:textId="77777777" w:rsidTr="00B907D6">
        <w:trPr>
          <w:jc w:val="center"/>
        </w:trPr>
        <w:tc>
          <w:tcPr>
            <w:tcW w:w="2747" w:type="dxa"/>
            <w:vMerge/>
            <w:vAlign w:val="center"/>
          </w:tcPr>
          <w:p w14:paraId="76B1C3F7" w14:textId="77777777" w:rsidR="00B907D6" w:rsidRPr="00335FE8" w:rsidRDefault="00B907D6" w:rsidP="00B907D6">
            <w:pPr>
              <w:widowControl/>
              <w:jc w:val="left"/>
              <w:rPr>
                <w:rFonts w:ascii="仿宋_GB2312" w:eastAsia="仿宋_GB2312" w:hAnsi="宋体" w:cs="宋体"/>
                <w:kern w:val="0"/>
                <w:szCs w:val="21"/>
              </w:rPr>
            </w:pPr>
          </w:p>
        </w:tc>
        <w:tc>
          <w:tcPr>
            <w:tcW w:w="2818" w:type="dxa"/>
          </w:tcPr>
          <w:p w14:paraId="1CB7E2BA"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365天≤N＜730天</w:t>
            </w:r>
          </w:p>
        </w:tc>
        <w:tc>
          <w:tcPr>
            <w:tcW w:w="1754" w:type="dxa"/>
            <w:vAlign w:val="center"/>
          </w:tcPr>
          <w:p w14:paraId="5581C71F"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0.25%</w:t>
            </w:r>
          </w:p>
        </w:tc>
        <w:tc>
          <w:tcPr>
            <w:tcW w:w="1989" w:type="dxa"/>
            <w:vAlign w:val="center"/>
          </w:tcPr>
          <w:p w14:paraId="6EC0CA06" w14:textId="77777777" w:rsidR="00B907D6" w:rsidRPr="00335FE8" w:rsidRDefault="00B907D6" w:rsidP="00B907D6">
            <w:pPr>
              <w:rPr>
                <w:rFonts w:ascii="仿宋_GB2312" w:eastAsia="仿宋_GB2312"/>
                <w:szCs w:val="21"/>
              </w:rPr>
            </w:pPr>
          </w:p>
        </w:tc>
      </w:tr>
      <w:tr w:rsidR="00B907D6" w:rsidRPr="00335FE8" w14:paraId="557CB617" w14:textId="77777777" w:rsidTr="00B907D6">
        <w:trPr>
          <w:jc w:val="center"/>
        </w:trPr>
        <w:tc>
          <w:tcPr>
            <w:tcW w:w="2747" w:type="dxa"/>
            <w:vMerge/>
            <w:vAlign w:val="center"/>
          </w:tcPr>
          <w:p w14:paraId="7D880378" w14:textId="77777777" w:rsidR="00B907D6" w:rsidRPr="00335FE8" w:rsidRDefault="00B907D6" w:rsidP="00B907D6">
            <w:pPr>
              <w:widowControl/>
              <w:jc w:val="left"/>
              <w:rPr>
                <w:rFonts w:ascii="仿宋_GB2312" w:eastAsia="仿宋_GB2312" w:hAnsi="宋体" w:cs="宋体"/>
                <w:kern w:val="0"/>
                <w:szCs w:val="21"/>
              </w:rPr>
            </w:pPr>
          </w:p>
        </w:tc>
        <w:tc>
          <w:tcPr>
            <w:tcW w:w="2818" w:type="dxa"/>
          </w:tcPr>
          <w:p w14:paraId="65FA0DD9"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730天≤N</w:t>
            </w:r>
          </w:p>
        </w:tc>
        <w:tc>
          <w:tcPr>
            <w:tcW w:w="1754" w:type="dxa"/>
            <w:vAlign w:val="center"/>
          </w:tcPr>
          <w:p w14:paraId="44F23664" w14:textId="77777777" w:rsidR="00B907D6" w:rsidRPr="00335FE8" w:rsidRDefault="00B907D6" w:rsidP="00B907D6">
            <w:pPr>
              <w:rPr>
                <w:rFonts w:ascii="仿宋_GB2312" w:eastAsia="仿宋_GB2312"/>
                <w:szCs w:val="21"/>
              </w:rPr>
            </w:pPr>
            <w:r w:rsidRPr="00335FE8">
              <w:rPr>
                <w:rFonts w:ascii="仿宋_GB2312" w:eastAsia="仿宋_GB2312" w:hint="eastAsia"/>
                <w:szCs w:val="21"/>
              </w:rPr>
              <w:t>0%</w:t>
            </w:r>
          </w:p>
        </w:tc>
        <w:tc>
          <w:tcPr>
            <w:tcW w:w="1989" w:type="dxa"/>
            <w:vAlign w:val="center"/>
          </w:tcPr>
          <w:p w14:paraId="1B1D7E23" w14:textId="77777777" w:rsidR="00B907D6" w:rsidRPr="00335FE8" w:rsidRDefault="00B907D6" w:rsidP="00B907D6">
            <w:pPr>
              <w:rPr>
                <w:rFonts w:ascii="仿宋_GB2312" w:eastAsia="仿宋_GB2312"/>
                <w:szCs w:val="21"/>
              </w:rPr>
            </w:pPr>
          </w:p>
        </w:tc>
      </w:tr>
    </w:tbl>
    <w:p w14:paraId="2C628518" w14:textId="4486D21E"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2、本基金管理人对养老金客户实施特定</w:t>
      </w:r>
      <w:r w:rsidR="00172C96">
        <w:rPr>
          <w:rFonts w:ascii="仿宋_GB2312" w:eastAsia="仿宋_GB2312" w:hint="eastAsia"/>
          <w:szCs w:val="21"/>
        </w:rPr>
        <w:t>认购费率/</w:t>
      </w:r>
      <w:r w:rsidRPr="00335FE8">
        <w:rPr>
          <w:rFonts w:ascii="仿宋_GB2312" w:eastAsia="仿宋_GB2312" w:hint="eastAsia"/>
          <w:szCs w:val="21"/>
        </w:rPr>
        <w:t>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6"/>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1.50%</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0.25%</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w:t>
            </w:r>
          </w:p>
        </w:tc>
      </w:tr>
      <w:tr w:rsidR="00D373CC" w:rsidRPr="00335FE8" w14:paraId="164AD75F" w14:textId="77777777" w:rsidTr="009F4EAE">
        <w:trPr>
          <w:jc w:val="center"/>
        </w:trPr>
        <w:tc>
          <w:tcPr>
            <w:tcW w:w="2547" w:type="dxa"/>
          </w:tcPr>
          <w:p w14:paraId="5A98C368"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318D56E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lastRenderedPageBreak/>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503524F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21D8D0B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15CB7E9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1、市场风险</w:t>
      </w:r>
    </w:p>
    <w:p w14:paraId="3AC3D0E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（1）政策风险、（2）经济周期风险、（3）利率风险、（4）上市公司经营风险、（5）购买力风险</w:t>
      </w:r>
    </w:p>
    <w:p w14:paraId="0531FF4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2、管理风险</w:t>
      </w:r>
    </w:p>
    <w:p w14:paraId="6A1B9DC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4080208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4、信用风险</w:t>
      </w:r>
    </w:p>
    <w:p w14:paraId="0E6D8B7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5、本基金的特有风险</w:t>
      </w:r>
    </w:p>
    <w:p w14:paraId="1B8CA16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7D18132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1FA498B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（3）本基金可投资港股通标的股票，会面临港股通机制下因投资环境、投资标的、市场制度以及交易规则等差异带来的特有风险，具体如下：</w:t>
      </w:r>
    </w:p>
    <w:p w14:paraId="08845A0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港股交易失败风险、2）汇率风险、3）境外市场的风险、4）本基金可根据投资策略需要或不同配置地市场环境的变化，选择将部分基金资产投资于港股或选择不将基金资产投资于港股，基金资产并非必然投资港股。</w:t>
      </w:r>
    </w:p>
    <w:p w14:paraId="587DE64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以上所述因素可能会给本基金投资带来特殊交易风险。</w:t>
      </w:r>
    </w:p>
    <w:p w14:paraId="70F80CA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（4）基金合同提前终止风险。连续50个工作日出现基金份额持有人数量不满200人或者基金资产净值低于5000万元情形的，基金管理人提前终止基金合同，不需召开基金份额持有人大会。</w:t>
      </w:r>
    </w:p>
    <w:p w14:paraId="770B55B6" w14:textId="492B0320"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（5）本基金可投资创业板股票，创业板个股上市后的前五个交易日不设价格涨跌幅限制，第六个交易日开始涨跌幅限制比例为20%。</w:t>
      </w:r>
    </w:p>
    <w:p w14:paraId="08E4138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6、投资股指期货的特定风险</w:t>
      </w:r>
    </w:p>
    <w:p w14:paraId="30CE68A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7992A2F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此外，由于衍生品通常具有杠杆效应，价格波动比标的工具更为剧烈，并且其定价相当复杂，不适当的估值也有可能使基金资产面临损失风险。</w:t>
      </w:r>
    </w:p>
    <w:p w14:paraId="0983C49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7、投资资产支持证券的特定风险</w:t>
      </w:r>
    </w:p>
    <w:p w14:paraId="1F189D8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0E5F4BD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8、投资流通受限证券的特定风险</w:t>
      </w:r>
    </w:p>
    <w:p w14:paraId="78EE034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910FDA4" w14:textId="77777777" w:rsidR="00535053" w:rsidRPr="00535053" w:rsidRDefault="00F811C4" w:rsidP="00535053">
      <w:pPr>
        <w:ind w:firstLine="420"/>
        <w:jc w:val="left"/>
        <w:rPr>
          <w:rFonts w:ascii="仿宋_GB2312" w:eastAsia="仿宋_GB2312"/>
          <w:szCs w:val="21"/>
        </w:rPr>
      </w:pPr>
      <w:r w:rsidRPr="00335FE8">
        <w:rPr>
          <w:rFonts w:ascii="仿宋_GB2312" w:eastAsia="仿宋_GB2312" w:hint="eastAsia"/>
          <w:szCs w:val="21"/>
        </w:rPr>
        <w:t>9、</w:t>
      </w:r>
      <w:r w:rsidR="00535053" w:rsidRPr="00535053">
        <w:rPr>
          <w:rFonts w:ascii="仿宋_GB2312" w:eastAsia="仿宋_GB2312" w:hint="eastAsia"/>
          <w:szCs w:val="21"/>
        </w:rPr>
        <w:t>投资存托凭证的特定风险</w:t>
      </w:r>
    </w:p>
    <w:p w14:paraId="0BDF4D6E" w14:textId="77777777" w:rsidR="00535053" w:rsidRPr="00535053" w:rsidRDefault="00535053" w:rsidP="00535053">
      <w:pPr>
        <w:ind w:firstLine="420"/>
        <w:jc w:val="left"/>
        <w:rPr>
          <w:rFonts w:ascii="仿宋_GB2312" w:eastAsia="仿宋_GB2312"/>
          <w:szCs w:val="21"/>
        </w:rPr>
      </w:pPr>
      <w:r w:rsidRPr="00535053">
        <w:rPr>
          <w:rFonts w:ascii="仿宋_GB2312" w:eastAsia="仿宋_GB2312" w:hint="eastAsia"/>
          <w:szCs w:val="21"/>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10AA2811" w14:textId="77777777" w:rsidR="00535053" w:rsidRPr="00535053" w:rsidRDefault="00535053" w:rsidP="00535053">
      <w:pPr>
        <w:ind w:firstLine="420"/>
        <w:jc w:val="left"/>
        <w:rPr>
          <w:rFonts w:ascii="仿宋_GB2312" w:eastAsia="仿宋_GB2312"/>
          <w:szCs w:val="21"/>
        </w:rPr>
      </w:pPr>
      <w:r w:rsidRPr="00535053">
        <w:rPr>
          <w:rFonts w:ascii="仿宋_GB2312" w:eastAsia="仿宋_GB2312" w:hint="eastAsia"/>
          <w:szCs w:val="21"/>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w:t>
      </w:r>
      <w:r w:rsidRPr="00535053">
        <w:rPr>
          <w:rFonts w:ascii="仿宋_GB2312" w:eastAsia="仿宋_GB2312" w:hint="eastAsia"/>
          <w:szCs w:val="21"/>
        </w:rPr>
        <w:lastRenderedPageBreak/>
        <w:t>托凭证退市的风险；已在境外上市的基础证券发行人，在持续信息披露监管方面与境内可能存在差异的风险；境内外法律制度、监管环境差异可能导致的其他风险。</w:t>
      </w:r>
    </w:p>
    <w:p w14:paraId="5767CA10" w14:textId="6ACFC301" w:rsidR="00535053" w:rsidRDefault="00535053" w:rsidP="00535053">
      <w:pPr>
        <w:ind w:firstLine="420"/>
        <w:jc w:val="left"/>
        <w:rPr>
          <w:rFonts w:ascii="仿宋_GB2312" w:eastAsia="仿宋_GB2312"/>
          <w:szCs w:val="21"/>
        </w:rPr>
      </w:pPr>
      <w:r w:rsidRPr="00535053">
        <w:rPr>
          <w:rFonts w:ascii="仿宋_GB2312" w:eastAsia="仿宋_GB2312" w:hint="eastAsia"/>
          <w:szCs w:val="21"/>
        </w:rPr>
        <w:t>本基金可根据投资策略需要或市场环境的变化，选择将部分基金资产投资于存托凭证或选择不将基金资产投资于存托凭证，基金资产并非必然投资存托凭证。</w:t>
      </w:r>
    </w:p>
    <w:p w14:paraId="5E0071CA" w14:textId="68143A69" w:rsidR="00F811C4" w:rsidRPr="00335FE8" w:rsidRDefault="00535053" w:rsidP="00F811C4">
      <w:pPr>
        <w:ind w:firstLine="420"/>
        <w:jc w:val="left"/>
        <w:rPr>
          <w:rFonts w:ascii="仿宋_GB2312" w:eastAsia="仿宋_GB2312"/>
          <w:szCs w:val="21"/>
        </w:rPr>
      </w:pPr>
      <w:r>
        <w:rPr>
          <w:rFonts w:ascii="仿宋_GB2312" w:eastAsia="仿宋_GB2312" w:hint="eastAsia"/>
          <w:szCs w:val="21"/>
        </w:rPr>
        <w:t>1</w:t>
      </w:r>
      <w:r>
        <w:rPr>
          <w:rFonts w:ascii="仿宋_GB2312" w:eastAsia="仿宋_GB2312"/>
          <w:szCs w:val="21"/>
        </w:rPr>
        <w:t>0</w:t>
      </w:r>
      <w:r>
        <w:rPr>
          <w:rFonts w:ascii="仿宋_GB2312" w:eastAsia="仿宋_GB2312" w:hint="eastAsia"/>
          <w:szCs w:val="21"/>
        </w:rPr>
        <w:t>、</w:t>
      </w:r>
      <w:r w:rsidR="00F811C4" w:rsidRPr="00335FE8">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521A38C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30242A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18C3D84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2C4C42C8" w14:textId="77777777" w:rsidR="00F811C4" w:rsidRPr="009D67E6" w:rsidRDefault="00F811C4" w:rsidP="00F811C4">
      <w:pPr>
        <w:ind w:firstLine="420"/>
        <w:jc w:val="left"/>
        <w:rPr>
          <w:rFonts w:ascii="仿宋_GB2312" w:eastAsia="仿宋_GB2312"/>
          <w:b/>
          <w:szCs w:val="21"/>
        </w:rPr>
      </w:pPr>
      <w:r w:rsidRPr="009D67E6">
        <w:rPr>
          <w:rFonts w:ascii="仿宋_GB2312" w:eastAsia="仿宋_GB2312" w:hint="eastAsia"/>
          <w:b/>
          <w:szCs w:val="21"/>
        </w:rPr>
        <w:t>因基金合同而产生的或与基金合同有关的一切争议，如经友好协商未能解决的，任何一方均有权将争议提交中国国际经济贸易仲裁委员会，按其届时有效的仲裁规则进行仲裁。仲裁地点为北京市。</w:t>
      </w:r>
    </w:p>
    <w:p w14:paraId="04AAAE3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22EAAA0F"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1F8AC3C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2984E02A" w14:textId="1223BD84"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w:t>
      </w:r>
      <w:r w:rsidR="005D517A">
        <w:rPr>
          <w:rFonts w:ascii="仿宋_GB2312" w:eastAsia="仿宋_GB2312" w:hint="eastAsia"/>
          <w:szCs w:val="21"/>
        </w:rPr>
        <w:t>启道</w:t>
      </w:r>
      <w:r w:rsidRPr="00335FE8">
        <w:rPr>
          <w:rFonts w:ascii="仿宋_GB2312" w:eastAsia="仿宋_GB2312" w:hint="eastAsia"/>
          <w:szCs w:val="21"/>
        </w:rPr>
        <w:t>混合型证券投资基金基金合同》、</w:t>
      </w:r>
    </w:p>
    <w:p w14:paraId="69987A4E" w14:textId="002A3119"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w:t>
      </w:r>
      <w:r w:rsidR="005D517A">
        <w:rPr>
          <w:rFonts w:ascii="仿宋_GB2312" w:eastAsia="仿宋_GB2312" w:hint="eastAsia"/>
          <w:szCs w:val="21"/>
        </w:rPr>
        <w:t>启道</w:t>
      </w:r>
      <w:r w:rsidRPr="00335FE8">
        <w:rPr>
          <w:rFonts w:ascii="仿宋_GB2312" w:eastAsia="仿宋_GB2312" w:hint="eastAsia"/>
          <w:szCs w:val="21"/>
        </w:rPr>
        <w:t>混合型证券投资基金托管协议》、</w:t>
      </w:r>
    </w:p>
    <w:p w14:paraId="1998F461" w14:textId="6DAA2BC6"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w:t>
      </w:r>
      <w:r w:rsidR="005D517A">
        <w:rPr>
          <w:rFonts w:ascii="仿宋_GB2312" w:eastAsia="仿宋_GB2312" w:hint="eastAsia"/>
          <w:szCs w:val="21"/>
        </w:rPr>
        <w:t>启道</w:t>
      </w:r>
      <w:r w:rsidRPr="00335FE8">
        <w:rPr>
          <w:rFonts w:ascii="仿宋_GB2312" w:eastAsia="仿宋_GB2312" w:hint="eastAsia"/>
          <w:szCs w:val="21"/>
        </w:rPr>
        <w:t>混合型证券投资基金招募说明书》</w:t>
      </w:r>
    </w:p>
    <w:p w14:paraId="1BE3F2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12D13FE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008CE1F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37C5E69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3E2D4172"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693495F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C3DD67" w14:textId="77777777" w:rsidR="00211052" w:rsidRDefault="00211052" w:rsidP="00880454">
      <w:r>
        <w:separator/>
      </w:r>
    </w:p>
  </w:endnote>
  <w:endnote w:type="continuationSeparator" w:id="0">
    <w:p w14:paraId="37B29E5F" w14:textId="77777777" w:rsidR="00211052" w:rsidRDefault="00211052"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FZHTJW--GB1-0">
    <w:panose1 w:val="00000000000000000000"/>
    <w:charset w:val="86"/>
    <w:family w:val="auto"/>
    <w:notTrueType/>
    <w:pitch w:val="default"/>
    <w:sig w:usb0="00000001" w:usb1="080E0000" w:usb2="00000010" w:usb3="00000000" w:csb0="00040000" w:csb1="00000000"/>
  </w:font>
  <w:font w:name="FZFSJW--GB1-0">
    <w:altName w:val="等线"/>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552E1" w14:textId="77777777" w:rsidR="00211052" w:rsidRDefault="00211052" w:rsidP="00880454">
      <w:r>
        <w:separator/>
      </w:r>
    </w:p>
  </w:footnote>
  <w:footnote w:type="continuationSeparator" w:id="0">
    <w:p w14:paraId="66BB2964" w14:textId="77777777" w:rsidR="00211052" w:rsidRDefault="00211052" w:rsidP="008804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94816"/>
    <w:rsid w:val="000B76F8"/>
    <w:rsid w:val="00131F08"/>
    <w:rsid w:val="00141DC8"/>
    <w:rsid w:val="00172C96"/>
    <w:rsid w:val="0019752C"/>
    <w:rsid w:val="001B5815"/>
    <w:rsid w:val="001E402A"/>
    <w:rsid w:val="00211052"/>
    <w:rsid w:val="00274717"/>
    <w:rsid w:val="00287210"/>
    <w:rsid w:val="002F5DBC"/>
    <w:rsid w:val="00335FE8"/>
    <w:rsid w:val="003B2E73"/>
    <w:rsid w:val="003E751E"/>
    <w:rsid w:val="00401C56"/>
    <w:rsid w:val="00447692"/>
    <w:rsid w:val="00472EB4"/>
    <w:rsid w:val="004A275D"/>
    <w:rsid w:val="004E4A05"/>
    <w:rsid w:val="004F3C39"/>
    <w:rsid w:val="00535053"/>
    <w:rsid w:val="005D517A"/>
    <w:rsid w:val="006240B9"/>
    <w:rsid w:val="006758D5"/>
    <w:rsid w:val="006A24E3"/>
    <w:rsid w:val="006A53E7"/>
    <w:rsid w:val="00736352"/>
    <w:rsid w:val="00737C54"/>
    <w:rsid w:val="007838D6"/>
    <w:rsid w:val="007A64C5"/>
    <w:rsid w:val="00846D41"/>
    <w:rsid w:val="00846EFA"/>
    <w:rsid w:val="00880454"/>
    <w:rsid w:val="008A6FA6"/>
    <w:rsid w:val="00902522"/>
    <w:rsid w:val="0090269C"/>
    <w:rsid w:val="009230EA"/>
    <w:rsid w:val="009728DC"/>
    <w:rsid w:val="009C0C41"/>
    <w:rsid w:val="009D67E6"/>
    <w:rsid w:val="009E399D"/>
    <w:rsid w:val="009F4EAE"/>
    <w:rsid w:val="00A1119B"/>
    <w:rsid w:val="00A443E6"/>
    <w:rsid w:val="00A73621"/>
    <w:rsid w:val="00AB59CB"/>
    <w:rsid w:val="00AF7A1E"/>
    <w:rsid w:val="00B42325"/>
    <w:rsid w:val="00B4676F"/>
    <w:rsid w:val="00B907D6"/>
    <w:rsid w:val="00BB77CD"/>
    <w:rsid w:val="00BC2101"/>
    <w:rsid w:val="00C0525C"/>
    <w:rsid w:val="00C13119"/>
    <w:rsid w:val="00C27D16"/>
    <w:rsid w:val="00C44DE6"/>
    <w:rsid w:val="00C660AA"/>
    <w:rsid w:val="00C93845"/>
    <w:rsid w:val="00CD7637"/>
    <w:rsid w:val="00D04A15"/>
    <w:rsid w:val="00D373CC"/>
    <w:rsid w:val="00DB319C"/>
    <w:rsid w:val="00E51B6D"/>
    <w:rsid w:val="00F317B5"/>
    <w:rsid w:val="00F75715"/>
    <w:rsid w:val="00F811C4"/>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0454"/>
    <w:rPr>
      <w:sz w:val="18"/>
      <w:szCs w:val="18"/>
    </w:rPr>
  </w:style>
  <w:style w:type="paragraph" w:styleId="a4">
    <w:name w:val="footer"/>
    <w:basedOn w:val="a"/>
    <w:link w:val="Char0"/>
    <w:uiPriority w:val="99"/>
    <w:unhideWhenUsed/>
    <w:rsid w:val="00880454"/>
    <w:pPr>
      <w:tabs>
        <w:tab w:val="center" w:pos="4153"/>
        <w:tab w:val="right" w:pos="8306"/>
      </w:tabs>
      <w:snapToGrid w:val="0"/>
      <w:jc w:val="left"/>
    </w:pPr>
    <w:rPr>
      <w:sz w:val="18"/>
      <w:szCs w:val="18"/>
    </w:rPr>
  </w:style>
  <w:style w:type="character" w:customStyle="1" w:styleId="Char0">
    <w:name w:val="页脚 Char"/>
    <w:basedOn w:val="a0"/>
    <w:link w:val="a4"/>
    <w:uiPriority w:val="99"/>
    <w:rsid w:val="00880454"/>
    <w:rPr>
      <w:sz w:val="18"/>
      <w:szCs w:val="18"/>
    </w:rPr>
  </w:style>
  <w:style w:type="paragraph" w:styleId="a5">
    <w:name w:val="List Paragraph"/>
    <w:basedOn w:val="a"/>
    <w:uiPriority w:val="34"/>
    <w:qFormat/>
    <w:rsid w:val="006A53E7"/>
    <w:pPr>
      <w:ind w:firstLineChars="200" w:firstLine="420"/>
    </w:pPr>
  </w:style>
  <w:style w:type="table" w:styleId="a6">
    <w:name w:val="Table Grid"/>
    <w:basedOn w:val="a1"/>
    <w:uiPriority w:val="39"/>
    <w:rsid w:val="006A53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AF7A1E"/>
    <w:rPr>
      <w:sz w:val="21"/>
      <w:szCs w:val="21"/>
    </w:rPr>
  </w:style>
  <w:style w:type="paragraph" w:styleId="a8">
    <w:name w:val="annotation text"/>
    <w:basedOn w:val="a"/>
    <w:link w:val="Char1"/>
    <w:uiPriority w:val="99"/>
    <w:semiHidden/>
    <w:unhideWhenUsed/>
    <w:rsid w:val="00AF7A1E"/>
    <w:pPr>
      <w:jc w:val="left"/>
    </w:pPr>
  </w:style>
  <w:style w:type="character" w:customStyle="1" w:styleId="Char1">
    <w:name w:val="批注文字 Char"/>
    <w:basedOn w:val="a0"/>
    <w:link w:val="a8"/>
    <w:uiPriority w:val="99"/>
    <w:semiHidden/>
    <w:rsid w:val="00AF7A1E"/>
  </w:style>
  <w:style w:type="paragraph" w:styleId="a9">
    <w:name w:val="annotation subject"/>
    <w:basedOn w:val="a8"/>
    <w:next w:val="a8"/>
    <w:link w:val="Char2"/>
    <w:uiPriority w:val="99"/>
    <w:semiHidden/>
    <w:unhideWhenUsed/>
    <w:rsid w:val="00AF7A1E"/>
    <w:rPr>
      <w:b/>
      <w:bCs/>
    </w:rPr>
  </w:style>
  <w:style w:type="character" w:customStyle="1" w:styleId="Char2">
    <w:name w:val="批注主题 Char"/>
    <w:basedOn w:val="Char1"/>
    <w:link w:val="a9"/>
    <w:uiPriority w:val="99"/>
    <w:semiHidden/>
    <w:rsid w:val="00AF7A1E"/>
    <w:rPr>
      <w:b/>
      <w:bCs/>
    </w:rPr>
  </w:style>
  <w:style w:type="paragraph" w:styleId="aa">
    <w:name w:val="Balloon Text"/>
    <w:basedOn w:val="a"/>
    <w:link w:val="Char3"/>
    <w:uiPriority w:val="99"/>
    <w:semiHidden/>
    <w:unhideWhenUsed/>
    <w:rsid w:val="00AF7A1E"/>
    <w:rPr>
      <w:sz w:val="18"/>
      <w:szCs w:val="18"/>
    </w:rPr>
  </w:style>
  <w:style w:type="character" w:customStyle="1" w:styleId="Char3">
    <w:name w:val="批注框文本 Char"/>
    <w:basedOn w:val="a0"/>
    <w:link w:val="aa"/>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张敏峻</cp:lastModifiedBy>
  <cp:revision>2</cp:revision>
  <dcterms:created xsi:type="dcterms:W3CDTF">2020-12-16T06:23:00Z</dcterms:created>
  <dcterms:modified xsi:type="dcterms:W3CDTF">2020-12-16T06:23:00Z</dcterms:modified>
</cp:coreProperties>
</file>