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1FA2" w14:textId="6A6C00E1"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交银施罗德国证新能源指数证券投资基金</w:t>
      </w:r>
      <w:r w:rsidR="00735012">
        <w:rPr>
          <w:rFonts w:ascii="黑体" w:eastAsia="黑体" w:hAnsi="黑体" w:hint="eastAsia"/>
          <w:b/>
          <w:sz w:val="36"/>
        </w:rPr>
        <w:t>（LOF）</w:t>
      </w:r>
    </w:p>
    <w:p w14:paraId="7F13E0DC"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34A0EFEA"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2020-</w:t>
      </w:r>
      <w:r w:rsidR="00735012">
        <w:rPr>
          <w:rFonts w:ascii="仿宋_GB2312" w:eastAsia="仿宋_GB2312" w:hAnsi="宋体" w:cs="宋体"/>
          <w:kern w:val="0"/>
          <w:szCs w:val="21"/>
        </w:rPr>
        <w:t>11</w:t>
      </w:r>
      <w:r w:rsidR="006A53E7" w:rsidRPr="00335FE8">
        <w:rPr>
          <w:rFonts w:ascii="仿宋_GB2312" w:eastAsia="仿宋_GB2312" w:hAnsi="宋体" w:cs="宋体" w:hint="eastAsia"/>
          <w:kern w:val="0"/>
          <w:szCs w:val="21"/>
        </w:rPr>
        <w:t>-</w:t>
      </w:r>
      <w:r w:rsidR="00735012">
        <w:rPr>
          <w:rFonts w:ascii="仿宋_GB2312" w:eastAsia="仿宋_GB2312" w:hAnsi="宋体" w:cs="宋体"/>
          <w:kern w:val="0"/>
          <w:szCs w:val="21"/>
        </w:rPr>
        <w:t>27</w:t>
      </w:r>
    </w:p>
    <w:p w14:paraId="7D15B036" w14:textId="5E716D37" w:rsidR="00264C81" w:rsidRDefault="005F3C93"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Pr="00DA7C34">
        <w:rPr>
          <w:rFonts w:ascii="Times New Roman" w:hAnsi="Times New Roman" w:cs="Times New Roman"/>
        </w:rPr>
        <w:t>2020-</w:t>
      </w:r>
      <w:r w:rsidR="00735012">
        <w:rPr>
          <w:rFonts w:ascii="Times New Roman" w:hAnsi="Times New Roman" w:cs="Times New Roman"/>
        </w:rPr>
        <w:t>11</w:t>
      </w:r>
      <w:r w:rsidRPr="00DA7C34">
        <w:rPr>
          <w:rFonts w:ascii="Times New Roman" w:hAnsi="Times New Roman" w:cs="Times New Roman"/>
        </w:rPr>
        <w:t>-</w:t>
      </w:r>
      <w:r w:rsidR="00735012">
        <w:rPr>
          <w:rFonts w:ascii="Times New Roman" w:hAnsi="Times New Roman" w:cs="Times New Roman"/>
        </w:rPr>
        <w:t>30</w:t>
      </w:r>
      <w:r w:rsidR="00735012">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02"/>
        <w:gridCol w:w="1590"/>
        <w:gridCol w:w="2771"/>
        <w:gridCol w:w="506"/>
        <w:gridCol w:w="1620"/>
        <w:gridCol w:w="283"/>
      </w:tblGrid>
      <w:tr w:rsidR="00AF7A1E" w:rsidRPr="00335FE8" w14:paraId="09F84DD9" w14:textId="77777777" w:rsidTr="00603D6A">
        <w:trPr>
          <w:jc w:val="center"/>
        </w:trPr>
        <w:tc>
          <w:tcPr>
            <w:tcW w:w="2302"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590" w:type="dxa"/>
            <w:vAlign w:val="center"/>
          </w:tcPr>
          <w:p w14:paraId="5D6CBBC0" w14:textId="4077BB3C" w:rsidR="00AF7A1E" w:rsidRPr="00335FE8" w:rsidRDefault="00AF7A1E" w:rsidP="00AF7A1E">
            <w:pPr>
              <w:rPr>
                <w:rFonts w:ascii="仿宋_GB2312" w:eastAsia="仿宋_GB2312"/>
                <w:szCs w:val="21"/>
              </w:rPr>
            </w:pPr>
            <w:r w:rsidRPr="00335FE8">
              <w:rPr>
                <w:rFonts w:ascii="仿宋_GB2312" w:eastAsia="仿宋_GB2312" w:hint="eastAsia"/>
                <w:szCs w:val="21"/>
              </w:rPr>
              <w:t>交银国证新能源指数</w:t>
            </w:r>
            <w:r w:rsidR="00735012">
              <w:rPr>
                <w:rFonts w:ascii="仿宋_GB2312" w:eastAsia="仿宋_GB2312" w:hint="eastAsia"/>
                <w:szCs w:val="21"/>
              </w:rPr>
              <w:t>（LOF）</w:t>
            </w:r>
          </w:p>
        </w:tc>
        <w:tc>
          <w:tcPr>
            <w:tcW w:w="3277" w:type="dxa"/>
            <w:gridSpan w:val="2"/>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903" w:type="dxa"/>
            <w:gridSpan w:val="2"/>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164905</w:t>
            </w:r>
          </w:p>
        </w:tc>
      </w:tr>
      <w:tr w:rsidR="00AF7A1E" w:rsidRPr="00335FE8" w14:paraId="41AC4DB8" w14:textId="77777777" w:rsidTr="00603D6A">
        <w:trPr>
          <w:jc w:val="center"/>
        </w:trPr>
        <w:tc>
          <w:tcPr>
            <w:tcW w:w="2302"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590"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277" w:type="dxa"/>
            <w:gridSpan w:val="2"/>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903" w:type="dxa"/>
            <w:gridSpan w:val="2"/>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中国建设银行股份有限公司</w:t>
            </w:r>
          </w:p>
        </w:tc>
      </w:tr>
      <w:tr w:rsidR="00603D6A" w:rsidRPr="00603D6A" w14:paraId="3ABF0FC0" w14:textId="7B908F78" w:rsidTr="00427A2C">
        <w:trPr>
          <w:gridAfter w:val="1"/>
          <w:wAfter w:w="283" w:type="dxa"/>
          <w:jc w:val="center"/>
        </w:trPr>
        <w:tc>
          <w:tcPr>
            <w:tcW w:w="2302" w:type="dxa"/>
            <w:vAlign w:val="center"/>
          </w:tcPr>
          <w:p w14:paraId="4009215D" w14:textId="77777777" w:rsidR="00603D6A" w:rsidRPr="00335FE8" w:rsidRDefault="00603D6A" w:rsidP="00603D6A">
            <w:pPr>
              <w:rPr>
                <w:rFonts w:ascii="仿宋_GB2312" w:eastAsia="仿宋_GB2312"/>
                <w:szCs w:val="21"/>
              </w:rPr>
            </w:pPr>
            <w:r w:rsidRPr="00335FE8">
              <w:rPr>
                <w:rFonts w:ascii="仿宋_GB2312" w:eastAsia="仿宋_GB2312" w:hint="eastAsia"/>
                <w:szCs w:val="21"/>
              </w:rPr>
              <w:t>基金合同生效日</w:t>
            </w:r>
          </w:p>
        </w:tc>
        <w:tc>
          <w:tcPr>
            <w:tcW w:w="1590" w:type="dxa"/>
            <w:vAlign w:val="center"/>
          </w:tcPr>
          <w:p w14:paraId="3951C1D4" w14:textId="409201F7" w:rsidR="00603D6A" w:rsidRPr="00335FE8" w:rsidRDefault="00603D6A" w:rsidP="00603D6A">
            <w:pPr>
              <w:rPr>
                <w:rFonts w:ascii="仿宋_GB2312" w:eastAsia="仿宋_GB2312"/>
                <w:szCs w:val="21"/>
              </w:rPr>
            </w:pPr>
            <w:r w:rsidRPr="00335FE8">
              <w:rPr>
                <w:rFonts w:ascii="仿宋_GB2312" w:eastAsia="仿宋_GB2312" w:hint="eastAsia"/>
                <w:szCs w:val="21"/>
              </w:rPr>
              <w:t>20</w:t>
            </w:r>
            <w:r>
              <w:rPr>
                <w:rFonts w:ascii="仿宋_GB2312" w:eastAsia="仿宋_GB2312"/>
                <w:szCs w:val="21"/>
              </w:rPr>
              <w:t>20</w:t>
            </w:r>
            <w:r w:rsidRPr="00335FE8">
              <w:rPr>
                <w:rFonts w:ascii="仿宋_GB2312" w:eastAsia="仿宋_GB2312" w:hint="eastAsia"/>
                <w:szCs w:val="21"/>
              </w:rPr>
              <w:t>-</w:t>
            </w:r>
            <w:r>
              <w:rPr>
                <w:rFonts w:ascii="仿宋_GB2312" w:eastAsia="仿宋_GB2312"/>
                <w:szCs w:val="21"/>
              </w:rPr>
              <w:t>11</w:t>
            </w:r>
            <w:r w:rsidRPr="00335FE8">
              <w:rPr>
                <w:rFonts w:ascii="仿宋_GB2312" w:eastAsia="仿宋_GB2312" w:hint="eastAsia"/>
                <w:szCs w:val="21"/>
              </w:rPr>
              <w:t>-</w:t>
            </w:r>
            <w:r>
              <w:rPr>
                <w:rFonts w:ascii="仿宋_GB2312" w:eastAsia="仿宋_GB2312"/>
                <w:szCs w:val="21"/>
              </w:rPr>
              <w:t>30</w:t>
            </w:r>
          </w:p>
        </w:tc>
        <w:tc>
          <w:tcPr>
            <w:tcW w:w="2771" w:type="dxa"/>
            <w:vAlign w:val="center"/>
          </w:tcPr>
          <w:p w14:paraId="73DCE44E" w14:textId="7C6AAF77" w:rsidR="00603D6A" w:rsidRPr="00335FE8" w:rsidRDefault="00603D6A" w:rsidP="00427A2C">
            <w:r w:rsidRPr="00427A2C">
              <w:rPr>
                <w:rFonts w:ascii="仿宋_GB2312" w:eastAsia="仿宋_GB2312" w:hint="eastAsia"/>
                <w:szCs w:val="21"/>
              </w:rPr>
              <w:t>上市交易所及上市日期</w:t>
            </w:r>
          </w:p>
        </w:tc>
        <w:tc>
          <w:tcPr>
            <w:tcW w:w="2126" w:type="dxa"/>
            <w:gridSpan w:val="2"/>
            <w:vAlign w:val="center"/>
          </w:tcPr>
          <w:p w14:paraId="7C2F6BF5" w14:textId="59F50B2A" w:rsidR="00603D6A" w:rsidRPr="00335FE8" w:rsidRDefault="00603D6A" w:rsidP="00427A2C">
            <w:r>
              <w:rPr>
                <w:rFonts w:hint="eastAsia"/>
              </w:rPr>
              <w:t xml:space="preserve"> </w:t>
            </w:r>
            <w:r>
              <w:t xml:space="preserve">    </w:t>
            </w:r>
            <w:r w:rsidRPr="00427A2C">
              <w:rPr>
                <w:rFonts w:ascii="仿宋_GB2312" w:eastAsia="仿宋_GB2312" w:hint="eastAsia"/>
                <w:szCs w:val="21"/>
              </w:rPr>
              <w:t>暂未上市</w:t>
            </w:r>
          </w:p>
        </w:tc>
      </w:tr>
      <w:tr w:rsidR="00603D6A" w:rsidRPr="00335FE8" w14:paraId="507652FE" w14:textId="77777777" w:rsidTr="00603D6A">
        <w:trPr>
          <w:jc w:val="center"/>
        </w:trPr>
        <w:tc>
          <w:tcPr>
            <w:tcW w:w="2302" w:type="dxa"/>
            <w:vAlign w:val="center"/>
          </w:tcPr>
          <w:p w14:paraId="4ECBFFB5" w14:textId="77777777" w:rsidR="00603D6A" w:rsidRPr="00335FE8" w:rsidRDefault="00603D6A" w:rsidP="00603D6A">
            <w:pPr>
              <w:rPr>
                <w:rFonts w:ascii="仿宋_GB2312" w:eastAsia="仿宋_GB2312"/>
                <w:szCs w:val="21"/>
              </w:rPr>
            </w:pPr>
            <w:r w:rsidRPr="00335FE8">
              <w:rPr>
                <w:rFonts w:ascii="仿宋_GB2312" w:eastAsia="仿宋_GB2312" w:hint="eastAsia"/>
                <w:szCs w:val="21"/>
              </w:rPr>
              <w:t>基金类型</w:t>
            </w:r>
          </w:p>
        </w:tc>
        <w:tc>
          <w:tcPr>
            <w:tcW w:w="1590" w:type="dxa"/>
            <w:vAlign w:val="center"/>
          </w:tcPr>
          <w:p w14:paraId="031D9D1F" w14:textId="77777777" w:rsidR="00603D6A" w:rsidRPr="00335FE8" w:rsidRDefault="00603D6A" w:rsidP="00603D6A">
            <w:pPr>
              <w:rPr>
                <w:rFonts w:ascii="仿宋_GB2312" w:eastAsia="仿宋_GB2312"/>
                <w:szCs w:val="21"/>
              </w:rPr>
            </w:pPr>
            <w:r w:rsidRPr="00335FE8">
              <w:rPr>
                <w:rFonts w:ascii="仿宋_GB2312" w:eastAsia="仿宋_GB2312" w:hint="eastAsia"/>
                <w:szCs w:val="21"/>
              </w:rPr>
              <w:t>股票型</w:t>
            </w:r>
          </w:p>
        </w:tc>
        <w:tc>
          <w:tcPr>
            <w:tcW w:w="3277" w:type="dxa"/>
            <w:gridSpan w:val="2"/>
            <w:vAlign w:val="center"/>
          </w:tcPr>
          <w:p w14:paraId="222163FD" w14:textId="77777777" w:rsidR="00603D6A" w:rsidRPr="00335FE8" w:rsidRDefault="00603D6A" w:rsidP="00603D6A">
            <w:pPr>
              <w:rPr>
                <w:rFonts w:ascii="仿宋_GB2312" w:eastAsia="仿宋_GB2312" w:hAnsi="宋体" w:cs="宋体"/>
                <w:szCs w:val="21"/>
              </w:rPr>
            </w:pPr>
            <w:r w:rsidRPr="00335FE8">
              <w:rPr>
                <w:rFonts w:ascii="仿宋_GB2312" w:eastAsia="仿宋_GB2312" w:hint="eastAsia"/>
                <w:szCs w:val="21"/>
              </w:rPr>
              <w:t>交易币种</w:t>
            </w:r>
          </w:p>
        </w:tc>
        <w:tc>
          <w:tcPr>
            <w:tcW w:w="1903" w:type="dxa"/>
            <w:gridSpan w:val="2"/>
            <w:vAlign w:val="center"/>
          </w:tcPr>
          <w:p w14:paraId="76059D74" w14:textId="77777777" w:rsidR="00603D6A" w:rsidRPr="00335FE8" w:rsidRDefault="00603D6A" w:rsidP="00603D6A">
            <w:pPr>
              <w:rPr>
                <w:rFonts w:ascii="仿宋_GB2312" w:eastAsia="仿宋_GB2312"/>
                <w:szCs w:val="21"/>
              </w:rPr>
            </w:pPr>
            <w:r w:rsidRPr="00335FE8">
              <w:rPr>
                <w:rFonts w:ascii="仿宋_GB2312" w:eastAsia="仿宋_GB2312" w:hint="eastAsia"/>
                <w:szCs w:val="21"/>
              </w:rPr>
              <w:t>人民币</w:t>
            </w:r>
          </w:p>
        </w:tc>
      </w:tr>
      <w:tr w:rsidR="00603D6A" w:rsidRPr="00335FE8" w14:paraId="4310B39E" w14:textId="77777777" w:rsidTr="00603D6A">
        <w:trPr>
          <w:jc w:val="center"/>
        </w:trPr>
        <w:tc>
          <w:tcPr>
            <w:tcW w:w="2302" w:type="dxa"/>
            <w:vAlign w:val="center"/>
          </w:tcPr>
          <w:p w14:paraId="665AAAD2" w14:textId="77777777" w:rsidR="00603D6A" w:rsidRPr="00335FE8" w:rsidRDefault="00603D6A" w:rsidP="00603D6A">
            <w:pPr>
              <w:rPr>
                <w:rFonts w:ascii="仿宋_GB2312" w:eastAsia="仿宋_GB2312"/>
                <w:szCs w:val="21"/>
              </w:rPr>
            </w:pPr>
            <w:r w:rsidRPr="00335FE8">
              <w:rPr>
                <w:rFonts w:ascii="仿宋_GB2312" w:eastAsia="仿宋_GB2312" w:hint="eastAsia"/>
                <w:szCs w:val="21"/>
              </w:rPr>
              <w:t>运作方式</w:t>
            </w:r>
          </w:p>
        </w:tc>
        <w:tc>
          <w:tcPr>
            <w:tcW w:w="1590" w:type="dxa"/>
            <w:vAlign w:val="center"/>
          </w:tcPr>
          <w:p w14:paraId="3F581E3E" w14:textId="77777777" w:rsidR="00603D6A" w:rsidRPr="00335FE8" w:rsidRDefault="00603D6A" w:rsidP="00603D6A">
            <w:pPr>
              <w:rPr>
                <w:rFonts w:ascii="仿宋_GB2312" w:eastAsia="仿宋_GB2312"/>
                <w:szCs w:val="21"/>
              </w:rPr>
            </w:pPr>
            <w:r w:rsidRPr="00335FE8">
              <w:rPr>
                <w:rFonts w:ascii="仿宋_GB2312" w:eastAsia="仿宋_GB2312" w:hint="eastAsia"/>
                <w:szCs w:val="21"/>
              </w:rPr>
              <w:t>普通开放式</w:t>
            </w:r>
          </w:p>
        </w:tc>
        <w:tc>
          <w:tcPr>
            <w:tcW w:w="3277" w:type="dxa"/>
            <w:gridSpan w:val="2"/>
            <w:vAlign w:val="center"/>
          </w:tcPr>
          <w:p w14:paraId="328D1634" w14:textId="77777777" w:rsidR="00603D6A" w:rsidRPr="00335FE8" w:rsidRDefault="00603D6A" w:rsidP="00603D6A">
            <w:pPr>
              <w:rPr>
                <w:rFonts w:ascii="仿宋_GB2312" w:eastAsia="仿宋_GB2312" w:hAnsi="宋体" w:cs="宋体"/>
                <w:szCs w:val="21"/>
              </w:rPr>
            </w:pPr>
            <w:r w:rsidRPr="00335FE8">
              <w:rPr>
                <w:rFonts w:ascii="仿宋_GB2312" w:eastAsia="仿宋_GB2312" w:hint="eastAsia"/>
                <w:szCs w:val="21"/>
              </w:rPr>
              <w:t>开放频率</w:t>
            </w:r>
          </w:p>
        </w:tc>
        <w:tc>
          <w:tcPr>
            <w:tcW w:w="1903" w:type="dxa"/>
            <w:gridSpan w:val="2"/>
            <w:vAlign w:val="center"/>
          </w:tcPr>
          <w:p w14:paraId="69998F05" w14:textId="77777777" w:rsidR="00603D6A" w:rsidRPr="00335FE8" w:rsidRDefault="00603D6A" w:rsidP="00603D6A">
            <w:pPr>
              <w:rPr>
                <w:rFonts w:ascii="仿宋_GB2312" w:eastAsia="仿宋_GB2312"/>
                <w:szCs w:val="21"/>
              </w:rPr>
            </w:pPr>
            <w:r w:rsidRPr="00335FE8">
              <w:rPr>
                <w:rFonts w:ascii="仿宋_GB2312" w:eastAsia="仿宋_GB2312" w:hint="eastAsia"/>
                <w:szCs w:val="21"/>
              </w:rPr>
              <w:t>每个开放日</w:t>
            </w:r>
          </w:p>
        </w:tc>
      </w:tr>
      <w:tr w:rsidR="00603D6A" w:rsidRPr="00335FE8" w14:paraId="5B2ABDA5" w14:textId="77777777" w:rsidTr="00603D6A">
        <w:trPr>
          <w:jc w:val="center"/>
        </w:trPr>
        <w:tc>
          <w:tcPr>
            <w:tcW w:w="2302" w:type="dxa"/>
            <w:vMerge w:val="restart"/>
          </w:tcPr>
          <w:p w14:paraId="72C79773" w14:textId="77777777" w:rsidR="00603D6A" w:rsidRPr="00335FE8" w:rsidRDefault="00603D6A" w:rsidP="00603D6A">
            <w:pPr>
              <w:jc w:val="left"/>
              <w:rPr>
                <w:rFonts w:ascii="仿宋_GB2312" w:eastAsia="仿宋_GB2312"/>
                <w:szCs w:val="21"/>
              </w:rPr>
            </w:pPr>
            <w:r w:rsidRPr="00335FE8">
              <w:rPr>
                <w:rFonts w:ascii="仿宋_GB2312" w:eastAsia="仿宋_GB2312" w:hint="eastAsia"/>
                <w:szCs w:val="21"/>
              </w:rPr>
              <w:t>基金经理</w:t>
            </w:r>
          </w:p>
        </w:tc>
        <w:tc>
          <w:tcPr>
            <w:tcW w:w="1590" w:type="dxa"/>
            <w:vMerge w:val="restart"/>
          </w:tcPr>
          <w:p w14:paraId="6E0A1BEC" w14:textId="77777777" w:rsidR="00603D6A" w:rsidRPr="00335FE8" w:rsidRDefault="00603D6A" w:rsidP="00603D6A">
            <w:pPr>
              <w:jc w:val="left"/>
              <w:rPr>
                <w:rFonts w:ascii="仿宋_GB2312" w:eastAsia="仿宋_GB2312"/>
                <w:szCs w:val="21"/>
              </w:rPr>
            </w:pPr>
            <w:r w:rsidRPr="00335FE8">
              <w:rPr>
                <w:rFonts w:ascii="仿宋_GB2312" w:eastAsia="仿宋_GB2312" w:hint="eastAsia"/>
                <w:szCs w:val="21"/>
              </w:rPr>
              <w:t>蔡铮</w:t>
            </w:r>
          </w:p>
        </w:tc>
        <w:tc>
          <w:tcPr>
            <w:tcW w:w="3277" w:type="dxa"/>
            <w:gridSpan w:val="2"/>
          </w:tcPr>
          <w:p w14:paraId="14DE2466" w14:textId="77777777" w:rsidR="00603D6A" w:rsidRPr="00335FE8" w:rsidRDefault="00603D6A" w:rsidP="00603D6A">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1903" w:type="dxa"/>
            <w:gridSpan w:val="2"/>
          </w:tcPr>
          <w:p w14:paraId="292713AE" w14:textId="37AC1009" w:rsidR="00603D6A" w:rsidRPr="00335FE8" w:rsidRDefault="00603D6A" w:rsidP="00603D6A">
            <w:pPr>
              <w:jc w:val="left"/>
              <w:rPr>
                <w:rFonts w:ascii="仿宋_GB2312" w:eastAsia="仿宋_GB2312"/>
                <w:szCs w:val="21"/>
              </w:rPr>
            </w:pPr>
            <w:r w:rsidRPr="00335FE8">
              <w:rPr>
                <w:rFonts w:ascii="仿宋_GB2312" w:eastAsia="仿宋_GB2312" w:hint="eastAsia"/>
                <w:szCs w:val="21"/>
              </w:rPr>
              <w:t>20</w:t>
            </w:r>
            <w:r>
              <w:rPr>
                <w:rFonts w:ascii="仿宋_GB2312" w:eastAsia="仿宋_GB2312"/>
                <w:szCs w:val="21"/>
              </w:rPr>
              <w:t>20</w:t>
            </w:r>
            <w:r w:rsidRPr="00335FE8">
              <w:rPr>
                <w:rFonts w:ascii="仿宋_GB2312" w:eastAsia="仿宋_GB2312" w:hint="eastAsia"/>
                <w:szCs w:val="21"/>
              </w:rPr>
              <w:t>-</w:t>
            </w:r>
            <w:r>
              <w:rPr>
                <w:rFonts w:ascii="仿宋_GB2312" w:eastAsia="仿宋_GB2312"/>
                <w:szCs w:val="21"/>
              </w:rPr>
              <w:t>11</w:t>
            </w:r>
            <w:r w:rsidRPr="00335FE8">
              <w:rPr>
                <w:rFonts w:ascii="仿宋_GB2312" w:eastAsia="仿宋_GB2312" w:hint="eastAsia"/>
                <w:szCs w:val="21"/>
              </w:rPr>
              <w:t>-</w:t>
            </w:r>
            <w:r>
              <w:rPr>
                <w:rFonts w:ascii="仿宋_GB2312" w:eastAsia="仿宋_GB2312"/>
                <w:szCs w:val="21"/>
              </w:rPr>
              <w:t>30</w:t>
            </w:r>
          </w:p>
        </w:tc>
      </w:tr>
      <w:tr w:rsidR="00603D6A" w:rsidRPr="00335FE8" w14:paraId="1621AC04" w14:textId="77777777" w:rsidTr="00603D6A">
        <w:trPr>
          <w:jc w:val="center"/>
        </w:trPr>
        <w:tc>
          <w:tcPr>
            <w:tcW w:w="2302" w:type="dxa"/>
            <w:vMerge/>
          </w:tcPr>
          <w:p w14:paraId="11BA4F11" w14:textId="77777777" w:rsidR="00603D6A" w:rsidRPr="00335FE8" w:rsidRDefault="00603D6A" w:rsidP="00603D6A">
            <w:pPr>
              <w:jc w:val="left"/>
              <w:rPr>
                <w:rFonts w:ascii="仿宋_GB2312" w:eastAsia="仿宋_GB2312"/>
                <w:szCs w:val="21"/>
              </w:rPr>
            </w:pPr>
          </w:p>
        </w:tc>
        <w:tc>
          <w:tcPr>
            <w:tcW w:w="1590" w:type="dxa"/>
            <w:vMerge/>
          </w:tcPr>
          <w:p w14:paraId="3377F6C6" w14:textId="77777777" w:rsidR="00603D6A" w:rsidRPr="00335FE8" w:rsidRDefault="00603D6A" w:rsidP="00603D6A">
            <w:pPr>
              <w:jc w:val="left"/>
              <w:rPr>
                <w:rFonts w:ascii="仿宋_GB2312" w:eastAsia="仿宋_GB2312"/>
                <w:szCs w:val="21"/>
              </w:rPr>
            </w:pPr>
          </w:p>
        </w:tc>
        <w:tc>
          <w:tcPr>
            <w:tcW w:w="3277" w:type="dxa"/>
            <w:gridSpan w:val="2"/>
          </w:tcPr>
          <w:p w14:paraId="1C42DB3B" w14:textId="77777777" w:rsidR="00603D6A" w:rsidRPr="00335FE8" w:rsidRDefault="00603D6A" w:rsidP="00603D6A">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903" w:type="dxa"/>
            <w:gridSpan w:val="2"/>
          </w:tcPr>
          <w:p w14:paraId="4BE11CFB" w14:textId="77777777" w:rsidR="00603D6A" w:rsidRPr="00335FE8" w:rsidRDefault="00603D6A" w:rsidP="00603D6A">
            <w:pPr>
              <w:jc w:val="left"/>
              <w:rPr>
                <w:rFonts w:ascii="仿宋_GB2312" w:eastAsia="仿宋_GB2312"/>
                <w:szCs w:val="21"/>
              </w:rPr>
            </w:pPr>
            <w:r w:rsidRPr="00335FE8">
              <w:rPr>
                <w:rFonts w:ascii="仿宋_GB2312" w:eastAsia="仿宋_GB2312" w:hint="eastAsia"/>
                <w:szCs w:val="21"/>
              </w:rPr>
              <w:t>2009-12-14</w:t>
            </w:r>
          </w:p>
        </w:tc>
      </w:tr>
      <w:tr w:rsidR="00603D6A" w:rsidRPr="00335FE8" w14:paraId="523BA655" w14:textId="77777777" w:rsidTr="00603D6A">
        <w:trPr>
          <w:jc w:val="center"/>
        </w:trPr>
        <w:tc>
          <w:tcPr>
            <w:tcW w:w="2302" w:type="dxa"/>
          </w:tcPr>
          <w:p w14:paraId="24D0DF56" w14:textId="0F151508" w:rsidR="00603D6A" w:rsidRPr="00335FE8" w:rsidRDefault="00603D6A" w:rsidP="00603D6A">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70" w:type="dxa"/>
            <w:gridSpan w:val="5"/>
          </w:tcPr>
          <w:p w14:paraId="3F9E59C4" w14:textId="611FBECC" w:rsidR="00603D6A" w:rsidRDefault="00603D6A" w:rsidP="00603D6A">
            <w:pPr>
              <w:ind w:firstLine="420"/>
              <w:jc w:val="left"/>
              <w:rPr>
                <w:rFonts w:ascii="仿宋_GB2312" w:eastAsia="仿宋_GB2312"/>
                <w:szCs w:val="21"/>
              </w:rPr>
            </w:pPr>
            <w:r>
              <w:rPr>
                <w:rFonts w:ascii="仿宋_GB2312" w:eastAsia="仿宋_GB2312"/>
                <w:szCs w:val="21"/>
              </w:rPr>
              <w:t>场内简称：交银新能，交易代码：164905；</w:t>
            </w:r>
            <w:r w:rsidRPr="00735012">
              <w:rPr>
                <w:rFonts w:ascii="仿宋_GB2312" w:eastAsia="仿宋_GB2312" w:hint="eastAsia"/>
                <w:szCs w:val="21"/>
              </w:rPr>
              <w:t>交银施罗德国证新能源指数证券投资基金（LOF）由交银施罗德国证新能源指数分级证券投资基金</w:t>
            </w:r>
            <w:r>
              <w:rPr>
                <w:rFonts w:ascii="仿宋_GB2312" w:eastAsia="仿宋_GB2312" w:hint="eastAsia"/>
                <w:szCs w:val="21"/>
              </w:rPr>
              <w:t>转型</w:t>
            </w:r>
            <w:r w:rsidRPr="00735012">
              <w:rPr>
                <w:rFonts w:ascii="仿宋_GB2312" w:eastAsia="仿宋_GB2312" w:hint="eastAsia"/>
                <w:szCs w:val="21"/>
              </w:rPr>
              <w:t>而来。上述转型于20</w:t>
            </w:r>
            <w:r>
              <w:rPr>
                <w:rFonts w:ascii="仿宋_GB2312" w:eastAsia="仿宋_GB2312"/>
                <w:szCs w:val="21"/>
              </w:rPr>
              <w:t>20</w:t>
            </w:r>
            <w:r w:rsidRPr="00735012">
              <w:rPr>
                <w:rFonts w:ascii="仿宋_GB2312" w:eastAsia="仿宋_GB2312" w:hint="eastAsia"/>
                <w:szCs w:val="21"/>
              </w:rPr>
              <w:t>年</w:t>
            </w:r>
            <w:r>
              <w:rPr>
                <w:rFonts w:ascii="仿宋_GB2312" w:eastAsia="仿宋_GB2312"/>
                <w:szCs w:val="21"/>
              </w:rPr>
              <w:t>11</w:t>
            </w:r>
            <w:r w:rsidRPr="00735012">
              <w:rPr>
                <w:rFonts w:ascii="仿宋_GB2312" w:eastAsia="仿宋_GB2312" w:hint="eastAsia"/>
                <w:szCs w:val="21"/>
              </w:rPr>
              <w:t>月</w:t>
            </w:r>
            <w:r>
              <w:rPr>
                <w:rFonts w:ascii="仿宋_GB2312" w:eastAsia="仿宋_GB2312"/>
                <w:szCs w:val="21"/>
              </w:rPr>
              <w:t>30</w:t>
            </w:r>
            <w:r w:rsidRPr="00735012">
              <w:rPr>
                <w:rFonts w:ascii="仿宋_GB2312" w:eastAsia="仿宋_GB2312" w:hint="eastAsia"/>
                <w:szCs w:val="21"/>
              </w:rPr>
              <w:t>日正式实施，自基金转型实施日起，《交银施罗德国证新能源指数分级证券投资基金基金合同》失效，且《交银施罗德国证新能源指数证券投资基金（LOF）基金合同》同时生效</w:t>
            </w:r>
            <w:r>
              <w:rPr>
                <w:rFonts w:ascii="仿宋_GB2312" w:eastAsia="仿宋_GB2312" w:hint="eastAsia"/>
                <w:szCs w:val="21"/>
              </w:rPr>
              <w:t>，</w:t>
            </w:r>
            <w:r w:rsidRPr="00735012">
              <w:rPr>
                <w:rFonts w:ascii="仿宋_GB2312" w:eastAsia="仿宋_GB2312" w:hint="eastAsia"/>
                <w:szCs w:val="21"/>
              </w:rPr>
              <w:t>交银施罗德国证新能源指数分级证券投资基金正式变更为交银施罗德国证新能源指数证券投资基金（LOF）。</w:t>
            </w:r>
          </w:p>
          <w:p w14:paraId="396F283C" w14:textId="53535F80" w:rsidR="00603D6A" w:rsidRPr="00335FE8" w:rsidRDefault="00603D6A" w:rsidP="00603D6A">
            <w:pPr>
              <w:ind w:firstLine="420"/>
              <w:jc w:val="left"/>
              <w:rPr>
                <w:rFonts w:ascii="仿宋_GB2312" w:eastAsia="仿宋_GB2312"/>
                <w:szCs w:val="21"/>
              </w:rPr>
            </w:pPr>
            <w:r w:rsidRPr="00A444E8">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本基金采用指数化投资，紧密跟踪标的指数，追求跟踪偏离度与跟踪误差最小化。本基金力争控制本基金日均跟踪偏离度的绝对值不超过0.35%，年跟踪误差不超过4%。</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25B3E1BB" w14:textId="77777777" w:rsidR="00A444E8" w:rsidRPr="00A444E8" w:rsidRDefault="00A444E8" w:rsidP="00A444E8">
            <w:pPr>
              <w:ind w:firstLine="420"/>
              <w:jc w:val="left"/>
              <w:rPr>
                <w:rFonts w:ascii="仿宋_GB2312" w:eastAsia="仿宋_GB2312"/>
                <w:szCs w:val="21"/>
              </w:rPr>
            </w:pPr>
            <w:r w:rsidRPr="00A444E8">
              <w:rPr>
                <w:rFonts w:ascii="仿宋_GB2312" w:eastAsia="仿宋_GB2312" w:hint="eastAsia"/>
                <w:szCs w:val="21"/>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00E779EF" w14:textId="77777777" w:rsidR="00A444E8" w:rsidRPr="00A444E8" w:rsidRDefault="00A444E8" w:rsidP="00A444E8">
            <w:pPr>
              <w:ind w:firstLine="420"/>
              <w:jc w:val="left"/>
              <w:rPr>
                <w:rFonts w:ascii="仿宋_GB2312" w:eastAsia="仿宋_GB2312"/>
                <w:szCs w:val="21"/>
              </w:rPr>
            </w:pPr>
            <w:r w:rsidRPr="00A444E8">
              <w:rPr>
                <w:rFonts w:ascii="仿宋_GB2312" w:eastAsia="仿宋_GB2312" w:hint="eastAsia"/>
                <w:szCs w:val="21"/>
              </w:rPr>
              <w:lastRenderedPageBreak/>
              <w:t>如法律法规或监管机构以后允许基金投资其他品种，基金管理人在履行适当程序后，可以将其纳入投资范围。</w:t>
            </w:r>
          </w:p>
          <w:p w14:paraId="4B3D85BD" w14:textId="77777777" w:rsidR="00A444E8" w:rsidRPr="00A444E8" w:rsidRDefault="00A444E8" w:rsidP="00A444E8">
            <w:pPr>
              <w:ind w:firstLine="420"/>
              <w:jc w:val="left"/>
              <w:rPr>
                <w:rFonts w:ascii="仿宋_GB2312" w:eastAsia="仿宋_GB2312"/>
                <w:szCs w:val="21"/>
              </w:rPr>
            </w:pPr>
            <w:r w:rsidRPr="00A444E8">
              <w:rPr>
                <w:rFonts w:ascii="仿宋_GB2312" w:eastAsia="仿宋_GB2312" w:hint="eastAsia"/>
                <w:szCs w:val="21"/>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w:t>
            </w:r>
          </w:p>
          <w:p w14:paraId="50AD24E3" w14:textId="0A597268" w:rsidR="00F811C4" w:rsidRPr="00335FE8" w:rsidRDefault="00A444E8" w:rsidP="00F811C4">
            <w:pPr>
              <w:ind w:firstLine="420"/>
              <w:jc w:val="left"/>
              <w:rPr>
                <w:rFonts w:ascii="仿宋_GB2312" w:eastAsia="仿宋_GB2312"/>
                <w:szCs w:val="21"/>
              </w:rPr>
            </w:pPr>
            <w:r w:rsidRPr="00A444E8">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7E260414" w14:textId="77777777" w:rsidR="00A444E8" w:rsidRPr="00A444E8" w:rsidRDefault="00A444E8" w:rsidP="00A444E8">
            <w:pPr>
              <w:ind w:firstLine="420"/>
              <w:jc w:val="left"/>
              <w:rPr>
                <w:rFonts w:ascii="仿宋_GB2312" w:eastAsia="仿宋_GB2312"/>
                <w:szCs w:val="21"/>
              </w:rPr>
            </w:pPr>
            <w:r w:rsidRPr="00A444E8">
              <w:rPr>
                <w:rFonts w:ascii="仿宋_GB2312" w:eastAsia="仿宋_GB2312" w:hint="eastAsia"/>
                <w:szCs w:val="21"/>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75E65F88" w14:textId="653C3064" w:rsidR="00F811C4" w:rsidRPr="00335FE8" w:rsidRDefault="00A6761D" w:rsidP="00F811C4">
            <w:pPr>
              <w:ind w:firstLine="420"/>
              <w:jc w:val="left"/>
              <w:rPr>
                <w:rFonts w:ascii="仿宋_GB2312" w:eastAsia="仿宋_GB2312"/>
                <w:szCs w:val="21"/>
              </w:rPr>
            </w:pPr>
            <w:r w:rsidRPr="00A6761D">
              <w:rPr>
                <w:rFonts w:ascii="仿宋_GB2312" w:eastAsia="仿宋_GB2312" w:hint="eastAsia"/>
                <w:szCs w:val="21"/>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r w:rsidR="004647F4">
              <w:rPr>
                <w:rFonts w:ascii="仿宋_GB2312" w:eastAsia="仿宋_GB2312" w:hint="eastAsia"/>
                <w:szCs w:val="21"/>
              </w:rPr>
              <w:t>。</w:t>
            </w:r>
            <w:bookmarkStart w:id="0" w:name="_GoBack"/>
            <w:bookmarkEnd w:id="0"/>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1EBECA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国证新能源指数收益率×95%＋银行活期存款利率（税后）×5%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72E198A7" w14:textId="1D923CC4" w:rsidR="00F811C4" w:rsidRPr="00335FE8" w:rsidRDefault="00A444E8" w:rsidP="00F811C4">
            <w:pPr>
              <w:ind w:firstLine="420"/>
              <w:jc w:val="left"/>
              <w:rPr>
                <w:rFonts w:ascii="仿宋_GB2312" w:eastAsia="仿宋_GB2312"/>
                <w:szCs w:val="21"/>
              </w:rPr>
            </w:pPr>
            <w:r w:rsidRPr="00A444E8">
              <w:rPr>
                <w:rFonts w:ascii="仿宋_GB2312" w:eastAsia="仿宋_GB2312" w:hint="eastAsia"/>
                <w:szCs w:val="21"/>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tc>
      </w:tr>
    </w:tbl>
    <w:p w14:paraId="765DA506" w14:textId="2C12D58C"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详见《交银施罗德国证新能源指数证券投资基金</w:t>
      </w:r>
      <w:r w:rsidR="00A444E8">
        <w:rPr>
          <w:rFonts w:ascii="仿宋_GB2312" w:eastAsia="仿宋_GB2312" w:hint="eastAsia"/>
          <w:szCs w:val="21"/>
        </w:rPr>
        <w:t>（LOF）</w:t>
      </w:r>
      <w:r w:rsidRPr="00335FE8">
        <w:rPr>
          <w:rFonts w:ascii="仿宋_GB2312" w:eastAsia="仿宋_GB2312" w:hint="eastAsia"/>
          <w:szCs w:val="21"/>
        </w:rPr>
        <w:t>招募说明书》第</w:t>
      </w:r>
      <w:r w:rsidR="00A444E8">
        <w:rPr>
          <w:rFonts w:ascii="仿宋_GB2312" w:eastAsia="仿宋_GB2312" w:hint="eastAsia"/>
          <w:szCs w:val="21"/>
        </w:rPr>
        <w:t>九</w:t>
      </w:r>
      <w:r w:rsidRPr="00335FE8">
        <w:rPr>
          <w:rFonts w:ascii="仿宋_GB2312" w:eastAsia="仿宋_GB2312" w:hint="eastAsia"/>
          <w:szCs w:val="21"/>
        </w:rPr>
        <w:t>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69971973" w:rsidR="00D373CC" w:rsidRPr="00427A2C" w:rsidRDefault="006B1399" w:rsidP="00427A2C">
      <w:pPr>
        <w:jc w:val="left"/>
        <w:rPr>
          <w:rFonts w:ascii="仿宋_GB2312" w:eastAsia="仿宋_GB2312"/>
          <w:szCs w:val="21"/>
        </w:rPr>
      </w:pPr>
      <w:r w:rsidRPr="00427A2C">
        <w:rPr>
          <w:rFonts w:ascii="仿宋_GB2312" w:eastAsia="仿宋_GB2312" w:hint="eastAsia"/>
          <w:szCs w:val="21"/>
        </w:rPr>
        <w:t>无</w:t>
      </w:r>
    </w:p>
    <w:p w14:paraId="34ABB93A" w14:textId="30710EFB" w:rsidR="00D373CC"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7C5889DF" w14:textId="6B818446" w:rsidR="006B1399" w:rsidRPr="00427A2C" w:rsidRDefault="006B1399" w:rsidP="00D373CC">
      <w:pPr>
        <w:jc w:val="left"/>
        <w:rPr>
          <w:rFonts w:ascii="仿宋_GB2312" w:eastAsia="仿宋_GB2312"/>
          <w:szCs w:val="21"/>
        </w:rPr>
      </w:pPr>
      <w:r w:rsidRPr="00427A2C">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1.2%</w:t>
            </w:r>
          </w:p>
        </w:tc>
        <w:tc>
          <w:tcPr>
            <w:tcW w:w="2126"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场外份额</w:t>
            </w:r>
          </w:p>
        </w:tc>
      </w:tr>
      <w:tr w:rsidR="009C0C41" w:rsidRPr="00335FE8" w14:paraId="4E2001A6" w14:textId="77777777" w:rsidTr="009C0C41">
        <w:trPr>
          <w:jc w:val="center"/>
        </w:trPr>
        <w:tc>
          <w:tcPr>
            <w:tcW w:w="30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2126" w:type="dxa"/>
            <w:vAlign w:val="center"/>
          </w:tcPr>
          <w:p w14:paraId="2EE83371"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场外份额</w:t>
            </w:r>
          </w:p>
        </w:tc>
      </w:tr>
      <w:tr w:rsidR="009C0C41" w:rsidRPr="00335FE8" w14:paraId="11FB22B2" w14:textId="77777777" w:rsidTr="009C0C41">
        <w:trPr>
          <w:jc w:val="center"/>
        </w:trPr>
        <w:tc>
          <w:tcPr>
            <w:tcW w:w="3000" w:type="dxa"/>
            <w:vMerge/>
            <w:vAlign w:val="center"/>
          </w:tcPr>
          <w:p w14:paraId="1D0A43AE"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2DD3249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843" w:type="dxa"/>
            <w:vAlign w:val="center"/>
          </w:tcPr>
          <w:p w14:paraId="182F2EB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126" w:type="dxa"/>
            <w:vAlign w:val="center"/>
          </w:tcPr>
          <w:p w14:paraId="651FDA00"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场外份额</w:t>
            </w:r>
          </w:p>
        </w:tc>
      </w:tr>
      <w:tr w:rsidR="009C0C41" w:rsidRPr="00335FE8" w14:paraId="446F8583" w14:textId="77777777" w:rsidTr="009C0C41">
        <w:trPr>
          <w:jc w:val="center"/>
        </w:trPr>
        <w:tc>
          <w:tcPr>
            <w:tcW w:w="3000" w:type="dxa"/>
            <w:vMerge/>
            <w:vAlign w:val="center"/>
          </w:tcPr>
          <w:p w14:paraId="6A6EC155"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35FBBC5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843" w:type="dxa"/>
            <w:vAlign w:val="center"/>
          </w:tcPr>
          <w:p w14:paraId="1574FCA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0.4%</w:t>
            </w:r>
          </w:p>
        </w:tc>
        <w:tc>
          <w:tcPr>
            <w:tcW w:w="2126" w:type="dxa"/>
            <w:vAlign w:val="center"/>
          </w:tcPr>
          <w:p w14:paraId="440D11C5"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场外份额</w:t>
            </w:r>
          </w:p>
        </w:tc>
      </w:tr>
      <w:tr w:rsidR="009C0C41" w:rsidRPr="00335FE8" w14:paraId="75AD45E4" w14:textId="77777777" w:rsidTr="009C0C41">
        <w:trPr>
          <w:jc w:val="center"/>
        </w:trPr>
        <w:tc>
          <w:tcPr>
            <w:tcW w:w="3000" w:type="dxa"/>
            <w:vMerge/>
            <w:vAlign w:val="center"/>
          </w:tcPr>
          <w:p w14:paraId="0561CF5B"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145C849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843" w:type="dxa"/>
            <w:vAlign w:val="center"/>
          </w:tcPr>
          <w:p w14:paraId="3C5766F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126" w:type="dxa"/>
            <w:vAlign w:val="center"/>
          </w:tcPr>
          <w:p w14:paraId="001661A9"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场外份额</w:t>
            </w:r>
          </w:p>
        </w:tc>
      </w:tr>
      <w:tr w:rsidR="009C0C41" w:rsidRPr="00335FE8" w14:paraId="4B83F209" w14:textId="77777777" w:rsidTr="009C0C41">
        <w:trPr>
          <w:jc w:val="center"/>
        </w:trPr>
        <w:tc>
          <w:tcPr>
            <w:tcW w:w="2930" w:type="dxa"/>
            <w:vMerge w:val="restart"/>
            <w:vAlign w:val="center"/>
          </w:tcPr>
          <w:p w14:paraId="135F3032"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45C8B2B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3F7D44C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43C3D9B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场外份额</w:t>
            </w:r>
          </w:p>
        </w:tc>
      </w:tr>
      <w:tr w:rsidR="009C0C41" w:rsidRPr="00335FE8" w14:paraId="5A5B7678" w14:textId="77777777" w:rsidTr="009C0C41">
        <w:trPr>
          <w:jc w:val="center"/>
        </w:trPr>
        <w:tc>
          <w:tcPr>
            <w:tcW w:w="2930" w:type="dxa"/>
            <w:vMerge/>
            <w:vAlign w:val="center"/>
          </w:tcPr>
          <w:p w14:paraId="1FE911B9"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B59A08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7天≤N＜366天</w:t>
            </w:r>
          </w:p>
        </w:tc>
        <w:tc>
          <w:tcPr>
            <w:tcW w:w="1843" w:type="dxa"/>
            <w:vAlign w:val="center"/>
          </w:tcPr>
          <w:p w14:paraId="486F347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1843" w:type="dxa"/>
            <w:vAlign w:val="center"/>
          </w:tcPr>
          <w:p w14:paraId="6D3D0E5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场外份额</w:t>
            </w:r>
          </w:p>
        </w:tc>
      </w:tr>
      <w:tr w:rsidR="009C0C41" w:rsidRPr="00335FE8" w14:paraId="3CFFB6BD" w14:textId="77777777" w:rsidTr="009C0C41">
        <w:trPr>
          <w:jc w:val="center"/>
        </w:trPr>
        <w:tc>
          <w:tcPr>
            <w:tcW w:w="2930" w:type="dxa"/>
            <w:vMerge/>
            <w:vAlign w:val="center"/>
          </w:tcPr>
          <w:p w14:paraId="01DCBE3A"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0C7A686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366天≤N＜731天</w:t>
            </w:r>
          </w:p>
        </w:tc>
        <w:tc>
          <w:tcPr>
            <w:tcW w:w="1843" w:type="dxa"/>
            <w:vAlign w:val="center"/>
          </w:tcPr>
          <w:p w14:paraId="4F02F24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0.2%</w:t>
            </w:r>
          </w:p>
        </w:tc>
        <w:tc>
          <w:tcPr>
            <w:tcW w:w="1843" w:type="dxa"/>
            <w:vAlign w:val="center"/>
          </w:tcPr>
          <w:p w14:paraId="3F15A8F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场外份额</w:t>
            </w:r>
          </w:p>
        </w:tc>
      </w:tr>
      <w:tr w:rsidR="009C0C41" w:rsidRPr="00335FE8" w14:paraId="1C6D5CCC" w14:textId="77777777" w:rsidTr="009C0C41">
        <w:trPr>
          <w:jc w:val="center"/>
        </w:trPr>
        <w:tc>
          <w:tcPr>
            <w:tcW w:w="2930" w:type="dxa"/>
            <w:vMerge/>
            <w:vAlign w:val="center"/>
          </w:tcPr>
          <w:p w14:paraId="3912548A"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0F4210D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731天≤N</w:t>
            </w:r>
          </w:p>
        </w:tc>
        <w:tc>
          <w:tcPr>
            <w:tcW w:w="1843" w:type="dxa"/>
            <w:vAlign w:val="center"/>
          </w:tcPr>
          <w:p w14:paraId="748CF8B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5F2EAB4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场外份额</w:t>
            </w:r>
          </w:p>
        </w:tc>
      </w:tr>
      <w:tr w:rsidR="009C0C41" w:rsidRPr="00335FE8" w14:paraId="51A242B1" w14:textId="77777777" w:rsidTr="009C0C41">
        <w:trPr>
          <w:jc w:val="center"/>
        </w:trPr>
        <w:tc>
          <w:tcPr>
            <w:tcW w:w="2930" w:type="dxa"/>
            <w:vMerge/>
            <w:vAlign w:val="center"/>
          </w:tcPr>
          <w:p w14:paraId="2A8DB2B6"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190DB73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3E3AEE0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75C9969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场内份额</w:t>
            </w:r>
          </w:p>
        </w:tc>
      </w:tr>
      <w:tr w:rsidR="009C0C41" w:rsidRPr="00335FE8" w14:paraId="75D6A4A8" w14:textId="77777777" w:rsidTr="009C0C41">
        <w:trPr>
          <w:jc w:val="center"/>
        </w:trPr>
        <w:tc>
          <w:tcPr>
            <w:tcW w:w="2930" w:type="dxa"/>
            <w:vMerge/>
            <w:vAlign w:val="center"/>
          </w:tcPr>
          <w:p w14:paraId="58E5709E"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751E41F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w:t>
            </w:r>
          </w:p>
        </w:tc>
        <w:tc>
          <w:tcPr>
            <w:tcW w:w="1843" w:type="dxa"/>
            <w:vAlign w:val="center"/>
          </w:tcPr>
          <w:p w14:paraId="24D4FE5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1843" w:type="dxa"/>
            <w:vAlign w:val="center"/>
          </w:tcPr>
          <w:p w14:paraId="1A2E1B3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场内份额</w:t>
            </w:r>
          </w:p>
        </w:tc>
      </w:tr>
    </w:tbl>
    <w:p w14:paraId="4677AA28"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3、本基金的场内申购费率由场内销售机构参照上表场外前端申购费率设定。4、场内交易费用以证券公司实际收取为准。</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1.00%</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0.22%</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r>
      <w:tr w:rsidR="00D373CC" w:rsidRPr="00335FE8" w14:paraId="5064CD5C" w14:textId="77777777" w:rsidTr="009F4EAE">
        <w:trPr>
          <w:jc w:val="center"/>
        </w:trPr>
        <w:tc>
          <w:tcPr>
            <w:tcW w:w="2547" w:type="dxa"/>
          </w:tcPr>
          <w:p w14:paraId="77C7945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3E940A8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462726F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670F158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48B95AD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09DEEDE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（1）政策风险、（2）经济周期风险、（3）利率风险、（4）上市公司经营风险、（5）购买力风险</w:t>
      </w:r>
    </w:p>
    <w:p w14:paraId="4859A42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31FBB2A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200190E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4、信用风险</w:t>
      </w:r>
    </w:p>
    <w:p w14:paraId="771FC3E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5、本基金投资策略所特有的指数化投资风险</w:t>
      </w:r>
    </w:p>
    <w:p w14:paraId="18AB6FA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（1）标的指数回报与股票市场平均回报偏离的风险、（2）标的指数波动的风险、（3）基金投资组合回报与标的指数回报偏离的风险、（4）标的指数变更的风险</w:t>
      </w:r>
    </w:p>
    <w:p w14:paraId="03E7218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6、基金运作的特定风险</w:t>
      </w:r>
    </w:p>
    <w:p w14:paraId="6D8A2951" w14:textId="190A0E44" w:rsidR="005571DE" w:rsidRDefault="00F811C4" w:rsidP="00F811C4">
      <w:pPr>
        <w:ind w:firstLine="420"/>
        <w:jc w:val="left"/>
        <w:rPr>
          <w:rFonts w:ascii="仿宋_GB2312" w:eastAsia="仿宋_GB2312"/>
          <w:szCs w:val="21"/>
        </w:rPr>
      </w:pPr>
      <w:r w:rsidRPr="00335FE8">
        <w:rPr>
          <w:rFonts w:ascii="仿宋_GB2312" w:eastAsia="仿宋_GB2312" w:hint="eastAsia"/>
          <w:szCs w:val="21"/>
        </w:rPr>
        <w:t>（1）</w:t>
      </w:r>
      <w:r w:rsidR="00A6761D" w:rsidRPr="00A6761D">
        <w:rPr>
          <w:rFonts w:ascii="仿宋_GB2312" w:eastAsia="仿宋_GB2312" w:hint="eastAsia"/>
          <w:szCs w:val="21"/>
        </w:rPr>
        <w:t>基金上市交易的风险</w:t>
      </w:r>
    </w:p>
    <w:p w14:paraId="59B5C1BC" w14:textId="77777777" w:rsidR="005571DE" w:rsidRDefault="005571DE" w:rsidP="00F811C4">
      <w:pPr>
        <w:ind w:firstLine="420"/>
        <w:jc w:val="left"/>
        <w:rPr>
          <w:rFonts w:ascii="仿宋_GB2312" w:eastAsia="仿宋_GB2312"/>
          <w:szCs w:val="21"/>
        </w:rPr>
      </w:pPr>
      <w:r w:rsidRPr="005571DE">
        <w:rPr>
          <w:rFonts w:ascii="仿宋_GB2312" w:eastAsia="仿宋_GB2312" w:hint="eastAsia"/>
          <w:szCs w:val="21"/>
        </w:rPr>
        <w:t>本基金在符合相关法律法规要求的前提下将申请在深圳证券交易所挂牌上市，由于上市期间可能因信息披露导致基金停牌，投资者在停牌期间不能买卖本基金上市交易份额，产生风险；同时，可能因上市后交易对手不足而产生流动性风险。</w:t>
      </w:r>
    </w:p>
    <w:p w14:paraId="2EDADE35" w14:textId="31D20D49" w:rsidR="005571DE" w:rsidRDefault="00F811C4" w:rsidP="00F811C4">
      <w:pPr>
        <w:ind w:firstLine="420"/>
        <w:jc w:val="left"/>
        <w:rPr>
          <w:rFonts w:ascii="仿宋_GB2312" w:eastAsia="仿宋_GB2312"/>
          <w:szCs w:val="21"/>
        </w:rPr>
      </w:pPr>
      <w:r w:rsidRPr="00335FE8">
        <w:rPr>
          <w:rFonts w:ascii="仿宋_GB2312" w:eastAsia="仿宋_GB2312" w:hint="eastAsia"/>
          <w:szCs w:val="21"/>
        </w:rPr>
        <w:t>（2）</w:t>
      </w:r>
      <w:r w:rsidR="00A6761D" w:rsidRPr="00A6761D">
        <w:rPr>
          <w:rFonts w:ascii="仿宋_GB2312" w:eastAsia="仿宋_GB2312" w:hint="eastAsia"/>
          <w:szCs w:val="21"/>
        </w:rPr>
        <w:t>基金份额二级市场交易价格折溢价的风险</w:t>
      </w:r>
    </w:p>
    <w:p w14:paraId="4411926E" w14:textId="62548767" w:rsidR="005571DE" w:rsidRDefault="005571DE" w:rsidP="00F811C4">
      <w:pPr>
        <w:ind w:firstLine="420"/>
        <w:jc w:val="left"/>
        <w:rPr>
          <w:rFonts w:ascii="仿宋_GB2312" w:eastAsia="仿宋_GB2312"/>
          <w:szCs w:val="21"/>
        </w:rPr>
      </w:pPr>
      <w:r w:rsidRPr="005571DE">
        <w:rPr>
          <w:rFonts w:ascii="仿宋_GB2312" w:eastAsia="仿宋_GB2312" w:hint="eastAsia"/>
          <w:szCs w:val="21"/>
        </w:rPr>
        <w:t>尽管本基金将通过有效的套利机制使基金份额二级市场交易价格的折溢价控制在一定</w:t>
      </w:r>
      <w:r w:rsidRPr="005571DE">
        <w:rPr>
          <w:rFonts w:ascii="仿宋_GB2312" w:eastAsia="仿宋_GB2312" w:hint="eastAsia"/>
          <w:szCs w:val="21"/>
        </w:rPr>
        <w:lastRenderedPageBreak/>
        <w:t>范围内，但基金份额在证券交易所的交易价格受诸多因素影响，存在不同于基金份额净值的情形，即存在价格折溢价的风险。</w:t>
      </w:r>
    </w:p>
    <w:p w14:paraId="06FBC3A4" w14:textId="77777777" w:rsidR="005571DE" w:rsidRDefault="00F811C4" w:rsidP="00F811C4">
      <w:pPr>
        <w:ind w:firstLine="420"/>
        <w:jc w:val="left"/>
        <w:rPr>
          <w:rFonts w:ascii="仿宋_GB2312" w:eastAsia="仿宋_GB2312"/>
          <w:szCs w:val="21"/>
        </w:rPr>
      </w:pPr>
      <w:r w:rsidRPr="00335FE8">
        <w:rPr>
          <w:rFonts w:ascii="仿宋_GB2312" w:eastAsia="仿宋_GB2312" w:hint="eastAsia"/>
          <w:szCs w:val="21"/>
        </w:rPr>
        <w:t>（3）</w:t>
      </w:r>
      <w:r w:rsidR="00A6761D" w:rsidRPr="00A6761D">
        <w:rPr>
          <w:rFonts w:ascii="仿宋_GB2312" w:eastAsia="仿宋_GB2312" w:hint="eastAsia"/>
          <w:szCs w:val="21"/>
        </w:rPr>
        <w:t>退市风险</w:t>
      </w:r>
    </w:p>
    <w:p w14:paraId="527C17FB" w14:textId="0F60975A" w:rsidR="005571DE" w:rsidRDefault="005571DE" w:rsidP="00F811C4">
      <w:pPr>
        <w:ind w:firstLine="420"/>
        <w:jc w:val="left"/>
        <w:rPr>
          <w:rFonts w:ascii="仿宋_GB2312" w:eastAsia="仿宋_GB2312"/>
          <w:szCs w:val="21"/>
        </w:rPr>
      </w:pPr>
      <w:r w:rsidRPr="005571DE">
        <w:rPr>
          <w:rFonts w:ascii="仿宋_GB2312" w:eastAsia="仿宋_GB2312" w:hint="eastAsia"/>
          <w:szCs w:val="21"/>
        </w:rPr>
        <w:t>因本基金不再符合证券交易所上市条件被终止上市，或被基金份额持有人大会决议提前终止上市，导致基金份额不能继续进行二级市场交易的风险。</w:t>
      </w:r>
    </w:p>
    <w:p w14:paraId="02CC697C" w14:textId="5287F85A" w:rsidR="005571DE" w:rsidRDefault="00F811C4" w:rsidP="00F811C4">
      <w:pPr>
        <w:ind w:firstLine="420"/>
        <w:jc w:val="left"/>
        <w:rPr>
          <w:rFonts w:ascii="仿宋_GB2312" w:eastAsia="仿宋_GB2312"/>
          <w:szCs w:val="21"/>
        </w:rPr>
      </w:pPr>
      <w:r w:rsidRPr="00335FE8">
        <w:rPr>
          <w:rFonts w:ascii="仿宋_GB2312" w:eastAsia="仿宋_GB2312" w:hint="eastAsia"/>
          <w:szCs w:val="21"/>
        </w:rPr>
        <w:t>（4）</w:t>
      </w:r>
      <w:r w:rsidR="00A6761D" w:rsidRPr="00A6761D">
        <w:rPr>
          <w:rFonts w:ascii="仿宋_GB2312" w:eastAsia="仿宋_GB2312" w:hint="eastAsia"/>
          <w:szCs w:val="21"/>
        </w:rPr>
        <w:t>本基金为股票型基金，投资于国证新能源指数成份股及其备选成份股的比例不低于非现金基金资产的90%，因投资权益类资产而面临权益类资产市场的系统性风险和个股风险；</w:t>
      </w:r>
    </w:p>
    <w:p w14:paraId="601C4B8F" w14:textId="4EC32D0D" w:rsidR="005571DE" w:rsidRDefault="00F811C4" w:rsidP="00F811C4">
      <w:pPr>
        <w:ind w:firstLine="420"/>
        <w:jc w:val="left"/>
        <w:rPr>
          <w:rFonts w:ascii="仿宋_GB2312" w:eastAsia="仿宋_GB2312"/>
          <w:szCs w:val="21"/>
        </w:rPr>
      </w:pPr>
      <w:r w:rsidRPr="00335FE8">
        <w:rPr>
          <w:rFonts w:ascii="仿宋_GB2312" w:eastAsia="仿宋_GB2312" w:hint="eastAsia"/>
          <w:szCs w:val="21"/>
        </w:rPr>
        <w:t>（5）</w:t>
      </w:r>
      <w:r w:rsidR="00A6761D" w:rsidRPr="00A6761D">
        <w:rPr>
          <w:rFonts w:ascii="仿宋_GB2312" w:eastAsia="仿宋_GB2312" w:hint="eastAsia"/>
          <w:szCs w:val="21"/>
        </w:rPr>
        <w:t>基金合同提前终止风险。连续50个工作日出现基金份额持有人数量不满200人或者基金资产净值低于5000万元情形的，基金管理人提前终止基金合同，不需召开基金份额持有人大会。</w:t>
      </w:r>
    </w:p>
    <w:p w14:paraId="54FDF2F0" w14:textId="30A421D1"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5571DE">
        <w:rPr>
          <w:rFonts w:ascii="仿宋_GB2312" w:eastAsia="仿宋_GB2312"/>
          <w:szCs w:val="21"/>
        </w:rPr>
        <w:t>6</w:t>
      </w:r>
      <w:r w:rsidRPr="00335FE8">
        <w:rPr>
          <w:rFonts w:ascii="仿宋_GB2312" w:eastAsia="仿宋_GB2312" w:hint="eastAsia"/>
          <w:szCs w:val="21"/>
        </w:rPr>
        <w:t>）本基金可投资创业板股票，创业板个股上市后的前五个交易日不设价格涨跌幅限制，第六个交易日开始涨跌幅限制比例为20%。</w:t>
      </w:r>
    </w:p>
    <w:p w14:paraId="2D5DB23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7、投资股指期货的特定风险</w:t>
      </w:r>
    </w:p>
    <w:p w14:paraId="7E899C7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5E596ABE" w14:textId="6C5FE87F" w:rsidR="00F811C4" w:rsidRDefault="00F811C4">
      <w:pPr>
        <w:ind w:firstLine="420"/>
        <w:jc w:val="left"/>
        <w:rPr>
          <w:rFonts w:ascii="仿宋_GB2312" w:eastAsia="仿宋_GB2312"/>
          <w:szCs w:val="21"/>
        </w:rPr>
      </w:pPr>
      <w:r w:rsidRPr="00335FE8">
        <w:rPr>
          <w:rFonts w:ascii="仿宋_GB2312" w:eastAsia="仿宋_GB2312" w:hint="eastAsia"/>
          <w:szCs w:val="21"/>
        </w:rPr>
        <w:t>此外，由于衍生品通常具有杠杆效应，价格波动比标的工具更为剧烈，并且其定价相当复杂，不适当的估值也有可能使基金资产面临损失风险。</w:t>
      </w:r>
    </w:p>
    <w:p w14:paraId="72C8035A" w14:textId="0F9B3635" w:rsidR="00A6761D" w:rsidRDefault="00A6761D" w:rsidP="00427A2C">
      <w:pPr>
        <w:ind w:firstLine="420"/>
        <w:jc w:val="left"/>
        <w:rPr>
          <w:rFonts w:ascii="仿宋_GB2312" w:eastAsia="仿宋_GB2312"/>
          <w:szCs w:val="21"/>
        </w:rPr>
      </w:pPr>
      <w:r>
        <w:rPr>
          <w:rFonts w:ascii="仿宋_GB2312" w:eastAsia="仿宋_GB2312" w:hint="eastAsia"/>
          <w:szCs w:val="21"/>
        </w:rPr>
        <w:t>8、</w:t>
      </w:r>
      <w:r w:rsidRPr="00427A2C">
        <w:rPr>
          <w:rFonts w:ascii="仿宋_GB2312" w:eastAsia="仿宋_GB2312"/>
          <w:szCs w:val="21"/>
        </w:rPr>
        <w:t>投资</w:t>
      </w:r>
      <w:r w:rsidRPr="00427A2C">
        <w:rPr>
          <w:rFonts w:ascii="仿宋_GB2312" w:eastAsia="仿宋_GB2312" w:hint="eastAsia"/>
          <w:szCs w:val="21"/>
        </w:rPr>
        <w:t>资产支持证券</w:t>
      </w:r>
      <w:r w:rsidRPr="00427A2C">
        <w:rPr>
          <w:rFonts w:ascii="仿宋_GB2312" w:eastAsia="仿宋_GB2312"/>
          <w:szCs w:val="21"/>
        </w:rPr>
        <w:t>的特定风险</w:t>
      </w:r>
    </w:p>
    <w:p w14:paraId="37ECB009" w14:textId="694E9AE5" w:rsidR="005571DE" w:rsidRPr="00427A2C" w:rsidRDefault="005571DE" w:rsidP="00427A2C">
      <w:pPr>
        <w:ind w:firstLine="420"/>
        <w:jc w:val="left"/>
        <w:rPr>
          <w:rFonts w:ascii="仿宋_GB2312" w:eastAsia="仿宋_GB2312"/>
          <w:szCs w:val="21"/>
        </w:rPr>
      </w:pPr>
      <w:r w:rsidRPr="005571DE">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B77ECE5" w14:textId="679B906D" w:rsidR="00A6761D" w:rsidRDefault="00A6761D" w:rsidP="00F811C4">
      <w:pPr>
        <w:ind w:firstLine="420"/>
        <w:jc w:val="left"/>
        <w:rPr>
          <w:rFonts w:ascii="仿宋_GB2312" w:eastAsia="仿宋_GB2312"/>
          <w:szCs w:val="21"/>
        </w:rPr>
      </w:pPr>
      <w:r>
        <w:rPr>
          <w:rFonts w:ascii="仿宋_GB2312" w:eastAsia="仿宋_GB2312" w:hint="eastAsia"/>
          <w:szCs w:val="21"/>
        </w:rPr>
        <w:t>9、</w:t>
      </w:r>
      <w:r w:rsidRPr="00427A2C">
        <w:rPr>
          <w:rFonts w:ascii="仿宋_GB2312" w:eastAsia="仿宋_GB2312" w:hint="eastAsia"/>
          <w:szCs w:val="21"/>
        </w:rPr>
        <w:t>投资流通受限证券的特定风险</w:t>
      </w:r>
    </w:p>
    <w:p w14:paraId="3BF49D39" w14:textId="230F3E79" w:rsidR="005571DE" w:rsidRPr="00A6761D" w:rsidRDefault="005571DE" w:rsidP="00F811C4">
      <w:pPr>
        <w:ind w:firstLine="420"/>
        <w:jc w:val="left"/>
        <w:rPr>
          <w:rFonts w:ascii="仿宋_GB2312" w:eastAsia="仿宋_GB2312"/>
          <w:szCs w:val="21"/>
        </w:rPr>
      </w:pPr>
      <w:r w:rsidRPr="005571DE">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760DFCE" w14:textId="36673058" w:rsidR="00F811C4" w:rsidRPr="00335FE8" w:rsidRDefault="00A6761D" w:rsidP="00F811C4">
      <w:pPr>
        <w:ind w:firstLine="420"/>
        <w:jc w:val="left"/>
        <w:rPr>
          <w:rFonts w:ascii="仿宋_GB2312" w:eastAsia="仿宋_GB2312"/>
          <w:szCs w:val="21"/>
        </w:rPr>
      </w:pPr>
      <w:r>
        <w:rPr>
          <w:rFonts w:ascii="仿宋_GB2312" w:eastAsia="仿宋_GB2312"/>
          <w:szCs w:val="21"/>
        </w:rPr>
        <w:t>10</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4A76A11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440E3B6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710AC98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45E1D5FF" w14:textId="77777777" w:rsidR="00F811C4" w:rsidRPr="00427A2C" w:rsidRDefault="00F811C4" w:rsidP="00F811C4">
      <w:pPr>
        <w:ind w:firstLine="420"/>
        <w:jc w:val="left"/>
        <w:rPr>
          <w:rFonts w:ascii="仿宋_GB2312" w:eastAsia="仿宋_GB2312"/>
          <w:b/>
          <w:szCs w:val="21"/>
        </w:rPr>
      </w:pPr>
      <w:r w:rsidRPr="00427A2C">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03DB7A0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0748DF3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11A77A1A" w14:textId="2FB6828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●《交银施罗德国证新能源指数证券投资基金</w:t>
      </w:r>
      <w:r w:rsidR="004304CA">
        <w:rPr>
          <w:rFonts w:ascii="仿宋_GB2312" w:eastAsia="仿宋_GB2312" w:hint="eastAsia"/>
          <w:szCs w:val="21"/>
        </w:rPr>
        <w:t>（LOF）</w:t>
      </w:r>
      <w:r w:rsidRPr="00335FE8">
        <w:rPr>
          <w:rFonts w:ascii="仿宋_GB2312" w:eastAsia="仿宋_GB2312" w:hint="eastAsia"/>
          <w:szCs w:val="21"/>
        </w:rPr>
        <w:t>基金合同》、</w:t>
      </w:r>
    </w:p>
    <w:p w14:paraId="6103F15D" w14:textId="07B93CDF"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《交银施罗德国证新能源指数证券投资基金</w:t>
      </w:r>
      <w:r w:rsidR="004304CA">
        <w:rPr>
          <w:rFonts w:ascii="仿宋_GB2312" w:eastAsia="仿宋_GB2312" w:hint="eastAsia"/>
          <w:szCs w:val="21"/>
        </w:rPr>
        <w:t>（LOF）</w:t>
      </w:r>
      <w:r w:rsidRPr="00335FE8">
        <w:rPr>
          <w:rFonts w:ascii="仿宋_GB2312" w:eastAsia="仿宋_GB2312" w:hint="eastAsia"/>
          <w:szCs w:val="21"/>
        </w:rPr>
        <w:t>托管协议》、</w:t>
      </w:r>
    </w:p>
    <w:p w14:paraId="6F4F6648" w14:textId="6860FEB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《交银施罗德国证新能源指数证券投资基金</w:t>
      </w:r>
      <w:r w:rsidR="004304CA">
        <w:rPr>
          <w:rFonts w:ascii="仿宋_GB2312" w:eastAsia="仿宋_GB2312" w:hint="eastAsia"/>
          <w:szCs w:val="21"/>
        </w:rPr>
        <w:t>（LOF）</w:t>
      </w:r>
      <w:r w:rsidRPr="00335FE8">
        <w:rPr>
          <w:rFonts w:ascii="仿宋_GB2312" w:eastAsia="仿宋_GB2312" w:hint="eastAsia"/>
          <w:szCs w:val="21"/>
        </w:rPr>
        <w:t>招募说明书》</w:t>
      </w:r>
    </w:p>
    <w:p w14:paraId="5413CEC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16F023B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159746F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678AA55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CF596C7"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4A6358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C190" w14:textId="77777777" w:rsidR="00DD131B" w:rsidRDefault="00DD131B" w:rsidP="00880454">
      <w:r>
        <w:separator/>
      </w:r>
    </w:p>
  </w:endnote>
  <w:endnote w:type="continuationSeparator" w:id="0">
    <w:p w14:paraId="6C30E030" w14:textId="77777777" w:rsidR="00DD131B" w:rsidRDefault="00DD131B"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549C" w14:textId="77777777" w:rsidR="00DD131B" w:rsidRDefault="00DD131B" w:rsidP="00880454">
      <w:r>
        <w:separator/>
      </w:r>
    </w:p>
  </w:footnote>
  <w:footnote w:type="continuationSeparator" w:id="0">
    <w:p w14:paraId="312BBEA3" w14:textId="77777777" w:rsidR="00DD131B" w:rsidRDefault="00DD131B"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0"/>
    <w:rsid w:val="00094816"/>
    <w:rsid w:val="000D4DAD"/>
    <w:rsid w:val="00131F08"/>
    <w:rsid w:val="00184E87"/>
    <w:rsid w:val="0019752C"/>
    <w:rsid w:val="001E402A"/>
    <w:rsid w:val="00287210"/>
    <w:rsid w:val="002F5DBC"/>
    <w:rsid w:val="00335FE8"/>
    <w:rsid w:val="00360C0F"/>
    <w:rsid w:val="00363CF5"/>
    <w:rsid w:val="003B54FE"/>
    <w:rsid w:val="003E751E"/>
    <w:rsid w:val="00401C56"/>
    <w:rsid w:val="00427A2C"/>
    <w:rsid w:val="004304CA"/>
    <w:rsid w:val="00434F9D"/>
    <w:rsid w:val="00447692"/>
    <w:rsid w:val="004546AD"/>
    <w:rsid w:val="004647F4"/>
    <w:rsid w:val="004A275D"/>
    <w:rsid w:val="00505AE8"/>
    <w:rsid w:val="005144C1"/>
    <w:rsid w:val="00537D11"/>
    <w:rsid w:val="005571DE"/>
    <w:rsid w:val="005F3C93"/>
    <w:rsid w:val="00603D6A"/>
    <w:rsid w:val="006240B9"/>
    <w:rsid w:val="006A53E7"/>
    <w:rsid w:val="006B1399"/>
    <w:rsid w:val="006F5A41"/>
    <w:rsid w:val="00735012"/>
    <w:rsid w:val="007A47D7"/>
    <w:rsid w:val="007A64C5"/>
    <w:rsid w:val="00846EFA"/>
    <w:rsid w:val="00880454"/>
    <w:rsid w:val="008A6FA6"/>
    <w:rsid w:val="00902522"/>
    <w:rsid w:val="0090269C"/>
    <w:rsid w:val="009230A2"/>
    <w:rsid w:val="00931184"/>
    <w:rsid w:val="00963362"/>
    <w:rsid w:val="009728DC"/>
    <w:rsid w:val="009C0C41"/>
    <w:rsid w:val="009C3C2B"/>
    <w:rsid w:val="009F4EAE"/>
    <w:rsid w:val="00A444E8"/>
    <w:rsid w:val="00A6761D"/>
    <w:rsid w:val="00A7141F"/>
    <w:rsid w:val="00AB59CB"/>
    <w:rsid w:val="00AF7A1E"/>
    <w:rsid w:val="00B17059"/>
    <w:rsid w:val="00BC6B9E"/>
    <w:rsid w:val="00C0525C"/>
    <w:rsid w:val="00C638DE"/>
    <w:rsid w:val="00C66495"/>
    <w:rsid w:val="00CD7637"/>
    <w:rsid w:val="00D04A15"/>
    <w:rsid w:val="00D373CC"/>
    <w:rsid w:val="00DA315D"/>
    <w:rsid w:val="00DB319C"/>
    <w:rsid w:val="00DD131B"/>
    <w:rsid w:val="00E51B6D"/>
    <w:rsid w:val="00F03C4F"/>
    <w:rsid w:val="00F07C6F"/>
    <w:rsid w:val="00F75715"/>
    <w:rsid w:val="00F811C4"/>
    <w:rsid w:val="00F922D7"/>
    <w:rsid w:val="00FC2918"/>
    <w:rsid w:val="00FE4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5</cp:revision>
  <dcterms:created xsi:type="dcterms:W3CDTF">2020-11-27T05:22:00Z</dcterms:created>
  <dcterms:modified xsi:type="dcterms:W3CDTF">2020-11-27T06:20:00Z</dcterms:modified>
</cp:coreProperties>
</file>