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r>
        <w:t xml:space="preserve">  </w:t>
      </w:r>
    </w:p>
    <w:p w:rsidR="00896C5A" w:rsidRPr="00456F57" w:rsidRDefault="00AE7235">
      <w:pPr>
        <w:adjustRightInd w:val="0"/>
        <w:snapToGrid w:val="0"/>
        <w:spacing w:line="360" w:lineRule="auto"/>
        <w:jc w:val="center"/>
        <w:rPr>
          <w:rFonts w:cs="Arial"/>
          <w:sz w:val="24"/>
        </w:rPr>
      </w:pPr>
      <w:bookmarkStart w:id="1" w:name="CLAUSE_50b73158620945faab35c13b1828f8a5"/>
      <w:bookmarkEnd w:id="0"/>
      <w:r>
        <w:t xml:space="preserve"> </w:t>
      </w:r>
      <w:bookmarkStart w:id="2" w:name="CTS_50b73158620945faab35c13b1828f8a5"/>
      <w:bookmarkEnd w:id="2"/>
      <w:r w:rsidRPr="00E77CC9">
        <w:rPr>
          <w:noProof/>
          <w:sz w:val="44"/>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896C5A" w:rsidRPr="00456F57" w:rsidRDefault="00896C5A">
      <w:pPr>
        <w:adjustRightInd w:val="0"/>
        <w:snapToGrid w:val="0"/>
        <w:spacing w:line="360" w:lineRule="auto"/>
        <w:jc w:val="center"/>
        <w:rPr>
          <w:rFonts w:cs="Arial"/>
          <w:sz w:val="24"/>
        </w:rPr>
      </w:pPr>
    </w:p>
    <w:p w:rsidR="00896C5A" w:rsidRPr="00456F57" w:rsidRDefault="00896C5A">
      <w:pPr>
        <w:adjustRightInd w:val="0"/>
        <w:snapToGrid w:val="0"/>
        <w:spacing w:line="360" w:lineRule="auto"/>
        <w:jc w:val="center"/>
        <w:rPr>
          <w:rFonts w:cs="Arial"/>
          <w:sz w:val="24"/>
        </w:rPr>
      </w:pPr>
    </w:p>
    <w:p w:rsidR="004828D8" w:rsidRDefault="004E0435" w:rsidP="004828D8">
      <w:pPr>
        <w:adjustRightInd w:val="0"/>
        <w:snapToGrid w:val="0"/>
        <w:spacing w:line="360" w:lineRule="auto"/>
        <w:jc w:val="center"/>
        <w:rPr>
          <w:rFonts w:ascii="黑体" w:hAnsi="黑体"/>
          <w:b/>
          <w:sz w:val="44"/>
        </w:rPr>
      </w:pPr>
      <w:r>
        <w:rPr>
          <w:rFonts w:ascii="黑体" w:hAnsi="黑体" w:hint="eastAsia"/>
          <w:b/>
          <w:sz w:val="44"/>
        </w:rPr>
        <w:t>交银施罗德瑞丰</w:t>
      </w:r>
      <w:r w:rsidR="000E3B08" w:rsidRPr="000E3B08">
        <w:rPr>
          <w:rFonts w:ascii="黑体" w:hAnsi="黑体" w:hint="eastAsia"/>
          <w:b/>
          <w:sz w:val="44"/>
        </w:rPr>
        <w:t>三年封闭运作</w:t>
      </w:r>
      <w:r w:rsidR="00CC694F">
        <w:rPr>
          <w:rFonts w:ascii="黑体" w:hAnsi="黑体" w:hint="eastAsia"/>
          <w:b/>
          <w:sz w:val="44"/>
        </w:rPr>
        <w:t>混合型证券</w:t>
      </w:r>
    </w:p>
    <w:p w:rsidR="00896C5A" w:rsidRPr="004E0435" w:rsidRDefault="00CC694F" w:rsidP="004828D8">
      <w:pPr>
        <w:adjustRightInd w:val="0"/>
        <w:snapToGrid w:val="0"/>
        <w:spacing w:line="360" w:lineRule="auto"/>
        <w:jc w:val="center"/>
        <w:rPr>
          <w:rFonts w:ascii="黑体" w:hAnsi="黑体"/>
          <w:b/>
          <w:sz w:val="44"/>
        </w:rPr>
      </w:pPr>
      <w:r>
        <w:rPr>
          <w:rFonts w:ascii="黑体" w:hAnsi="黑体" w:hint="eastAsia"/>
          <w:b/>
          <w:sz w:val="44"/>
        </w:rPr>
        <w:t>投资基金</w:t>
      </w:r>
      <w:r w:rsidR="00712663" w:rsidRPr="009D2821">
        <w:rPr>
          <w:rFonts w:ascii="黑体" w:hAnsi="黑体" w:hint="eastAsia"/>
          <w:b/>
          <w:sz w:val="44"/>
        </w:rPr>
        <w:t>托管协议</w:t>
      </w:r>
    </w:p>
    <w:p w:rsidR="00896C5A" w:rsidRPr="00E77CC9" w:rsidRDefault="00896C5A">
      <w:pPr>
        <w:adjustRightInd w:val="0"/>
        <w:snapToGrid w:val="0"/>
        <w:spacing w:line="360" w:lineRule="auto"/>
        <w:jc w:val="center"/>
        <w:rPr>
          <w:rFonts w:ascii="黑体" w:hAnsi="黑体"/>
          <w:b/>
          <w:sz w:val="48"/>
        </w:rPr>
      </w:pPr>
    </w:p>
    <w:p w:rsidR="00896C5A" w:rsidRPr="00E77CC9" w:rsidRDefault="00896C5A">
      <w:pPr>
        <w:adjustRightInd w:val="0"/>
        <w:snapToGrid w:val="0"/>
        <w:spacing w:line="360" w:lineRule="auto"/>
        <w:jc w:val="center"/>
        <w:rPr>
          <w:rFonts w:ascii="黑体" w:hAnsi="黑体"/>
          <w:b/>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101B49" w:rsidRPr="00E77CC9" w:rsidRDefault="00101B49" w:rsidP="00E77CC9">
      <w:pPr>
        <w:adjustRightInd w:val="0"/>
        <w:snapToGrid w:val="0"/>
        <w:spacing w:line="360" w:lineRule="auto"/>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101B49" w:rsidRPr="00E77CC9" w:rsidRDefault="00101B49" w:rsidP="00E77CC9">
      <w:pPr>
        <w:adjustRightInd w:val="0"/>
        <w:snapToGrid w:val="0"/>
        <w:spacing w:line="360" w:lineRule="auto"/>
        <w:rPr>
          <w:sz w:val="24"/>
        </w:rPr>
      </w:pPr>
    </w:p>
    <w:p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rsidR="00101B49" w:rsidRDefault="00101B49" w:rsidP="00E77CC9">
      <w:pPr>
        <w:adjustRightInd w:val="0"/>
        <w:snapToGrid w:val="0"/>
        <w:spacing w:line="360" w:lineRule="auto"/>
        <w:ind w:firstLineChars="1075" w:firstLine="2258"/>
      </w:pPr>
    </w:p>
    <w:p w:rsidR="00206B78" w:rsidRDefault="00630010">
      <w:pPr>
        <w:adjustRightInd w:val="0"/>
        <w:snapToGrid w:val="0"/>
        <w:spacing w:line="360" w:lineRule="auto"/>
        <w:jc w:val="center"/>
        <w:rPr>
          <w:rFonts w:ascii="黑体" w:hAnsi="黑体"/>
          <w:sz w:val="30"/>
        </w:rPr>
      </w:pPr>
      <w:r w:rsidRPr="00372795">
        <w:rPr>
          <w:rFonts w:ascii="黑体" w:hAnsi="黑体" w:hint="eastAsia"/>
          <w:sz w:val="30"/>
        </w:rPr>
        <w:t>二零</w:t>
      </w:r>
      <w:r w:rsidR="00325E66" w:rsidRPr="00325E66">
        <w:rPr>
          <w:rFonts w:ascii="黑体" w:hAnsi="黑体" w:hint="eastAsia"/>
          <w:bCs/>
          <w:sz w:val="30"/>
        </w:rPr>
        <w:t>二零</w:t>
      </w:r>
      <w:r w:rsidRPr="00372795">
        <w:rPr>
          <w:rFonts w:ascii="黑体" w:hAnsi="黑体" w:hint="eastAsia"/>
          <w:sz w:val="30"/>
        </w:rPr>
        <w:t>年</w:t>
      </w:r>
      <w:r w:rsidR="00496563">
        <w:rPr>
          <w:rFonts w:ascii="黑体" w:hAnsi="黑体" w:hint="eastAsia"/>
          <w:sz w:val="30"/>
        </w:rPr>
        <w:t>十</w:t>
      </w:r>
      <w:r w:rsidR="00E37798">
        <w:rPr>
          <w:rFonts w:ascii="黑体" w:hAnsi="黑体" w:hint="eastAsia"/>
          <w:sz w:val="30"/>
        </w:rPr>
        <w:t>一</w:t>
      </w:r>
      <w:r w:rsidRPr="00372795">
        <w:rPr>
          <w:rFonts w:ascii="黑体" w:hAnsi="黑体" w:hint="eastAsia"/>
          <w:sz w:val="30"/>
        </w:rPr>
        <w:t>月</w:t>
      </w:r>
    </w:p>
    <w:p w:rsidR="00896C5A" w:rsidRPr="00456F57" w:rsidRDefault="00896C5A">
      <w:pPr>
        <w:adjustRightInd w:val="0"/>
        <w:snapToGrid w:val="0"/>
        <w:spacing w:line="360" w:lineRule="auto"/>
        <w:jc w:val="center"/>
        <w:rPr>
          <w:sz w:val="24"/>
        </w:rPr>
      </w:pPr>
    </w:p>
    <w:p w:rsidR="00896C5A" w:rsidRDefault="00896C5A">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Pr="00456F57" w:rsidRDefault="00411479">
      <w:pPr>
        <w:adjustRightInd w:val="0"/>
        <w:snapToGrid w:val="0"/>
        <w:spacing w:line="360" w:lineRule="auto"/>
        <w:jc w:val="center"/>
        <w:rPr>
          <w:sz w:val="24"/>
        </w:rPr>
      </w:pPr>
    </w:p>
    <w:p w:rsidR="00896C5A" w:rsidRPr="00E77CC9" w:rsidRDefault="00896C5A">
      <w:pPr>
        <w:adjustRightInd w:val="0"/>
        <w:snapToGrid w:val="0"/>
        <w:spacing w:line="360" w:lineRule="auto"/>
        <w:rPr>
          <w:sz w:val="24"/>
        </w:rPr>
      </w:pPr>
    </w:p>
    <w:p w:rsidR="00896C5A" w:rsidRPr="00E77CC9" w:rsidRDefault="00101B49">
      <w:pPr>
        <w:spacing w:line="360" w:lineRule="auto"/>
        <w:jc w:val="center"/>
        <w:rPr>
          <w:rFonts w:ascii="宋体" w:hAnsi="宋体"/>
          <w:b/>
          <w:sz w:val="24"/>
        </w:rPr>
      </w:pPr>
      <w:r w:rsidRPr="00E77CC9">
        <w:rPr>
          <w:rFonts w:ascii="宋体" w:hAnsi="宋体" w:hint="eastAsia"/>
          <w:b/>
          <w:sz w:val="24"/>
        </w:rPr>
        <w:t>目</w:t>
      </w:r>
      <w:r w:rsidRPr="00E77CC9">
        <w:rPr>
          <w:rFonts w:ascii="宋体" w:hAnsi="宋体"/>
          <w:b/>
          <w:sz w:val="24"/>
        </w:rPr>
        <w:t xml:space="preserve">    </w:t>
      </w:r>
      <w:r w:rsidRPr="00E77CC9">
        <w:rPr>
          <w:rFonts w:ascii="宋体" w:hAnsi="宋体" w:hint="eastAsia"/>
          <w:b/>
          <w:sz w:val="24"/>
        </w:rPr>
        <w:t>录</w:t>
      </w:r>
    </w:p>
    <w:p w:rsidR="00101B49" w:rsidRPr="00E77CC9" w:rsidRDefault="00E72662" w:rsidP="00BA1FCF">
      <w:pPr>
        <w:pStyle w:val="TOC2"/>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6E63FD">
          <w:rPr>
            <w:noProof/>
            <w:webHidden/>
          </w:rPr>
          <w:t>4</w:t>
        </w:r>
        <w:r>
          <w:rPr>
            <w:noProof/>
            <w:webHidden/>
          </w:rPr>
          <w:fldChar w:fldCharType="end"/>
        </w:r>
      </w:hyperlink>
    </w:p>
    <w:p w:rsidR="00101B49" w:rsidRPr="00E77CC9" w:rsidRDefault="005B1CC0" w:rsidP="00BA1FCF">
      <w:pPr>
        <w:pStyle w:val="TOC2"/>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6E63FD">
          <w:rPr>
            <w:noProof/>
            <w:webHidden/>
          </w:rPr>
          <w:t>5</w:t>
        </w:r>
        <w:r w:rsidR="00E72662">
          <w:rPr>
            <w:noProof/>
            <w:webHidden/>
          </w:rPr>
          <w:fldChar w:fldCharType="end"/>
        </w:r>
      </w:hyperlink>
    </w:p>
    <w:p w:rsidR="00101B49" w:rsidRPr="00E77CC9" w:rsidRDefault="005B1CC0" w:rsidP="00BA1FCF">
      <w:pPr>
        <w:pStyle w:val="TOC2"/>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6E63FD">
          <w:rPr>
            <w:noProof/>
            <w:webHidden/>
          </w:rPr>
          <w:t>6</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6E63FD">
          <w:rPr>
            <w:noProof/>
            <w:webHidden/>
          </w:rPr>
          <w:t>17</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3" w:name="_Hlt433117871"/>
        <w:bookmarkStart w:id="4" w:name="_Hlt433117872"/>
        <w:r w:rsidR="00CC30EC" w:rsidRPr="003E701A">
          <w:rPr>
            <w:rStyle w:val="af5"/>
            <w:rFonts w:ascii="宋体" w:hAnsi="宋体" w:hint="eastAsia"/>
            <w:noProof/>
          </w:rPr>
          <w:t>管</w:t>
        </w:r>
        <w:bookmarkEnd w:id="3"/>
        <w:bookmarkEnd w:id="4"/>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6E63FD">
          <w:rPr>
            <w:noProof/>
            <w:webHidden/>
          </w:rPr>
          <w:t>18</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6E63FD">
          <w:rPr>
            <w:noProof/>
            <w:webHidden/>
          </w:rPr>
          <w:t>22</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6E63FD">
          <w:rPr>
            <w:noProof/>
            <w:webHidden/>
          </w:rPr>
          <w:t>26</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6E63FD">
          <w:rPr>
            <w:noProof/>
            <w:webHidden/>
          </w:rPr>
          <w:t>29</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6E63FD">
          <w:rPr>
            <w:noProof/>
            <w:webHidden/>
          </w:rPr>
          <w:t>31</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6E63FD">
          <w:rPr>
            <w:noProof/>
            <w:webHidden/>
          </w:rPr>
          <w:t>32</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6E63FD">
          <w:rPr>
            <w:noProof/>
            <w:webHidden/>
          </w:rPr>
          <w:t>35</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6E63FD">
          <w:rPr>
            <w:noProof/>
            <w:webHidden/>
          </w:rPr>
          <w:t>36</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6E63FD">
          <w:rPr>
            <w:noProof/>
            <w:webHidden/>
          </w:rPr>
          <w:t>37</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6E63FD">
          <w:rPr>
            <w:noProof/>
            <w:webHidden/>
          </w:rPr>
          <w:t>38</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6E63FD">
          <w:rPr>
            <w:noProof/>
            <w:webHidden/>
          </w:rPr>
          <w:t>39</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6E63FD">
          <w:rPr>
            <w:noProof/>
            <w:webHidden/>
          </w:rPr>
          <w:t>40</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6E63FD">
          <w:rPr>
            <w:noProof/>
            <w:webHidden/>
          </w:rPr>
          <w:t>41</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6E63FD">
          <w:rPr>
            <w:noProof/>
            <w:webHidden/>
          </w:rPr>
          <w:t>42</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6E63FD">
          <w:rPr>
            <w:noProof/>
            <w:webHidden/>
          </w:rPr>
          <w:t>43</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6E63FD">
          <w:rPr>
            <w:noProof/>
            <w:webHidden/>
          </w:rPr>
          <w:t>44</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6E63FD">
          <w:rPr>
            <w:noProof/>
            <w:webHidden/>
          </w:rPr>
          <w:t>45</w:t>
        </w:r>
        <w:r w:rsidR="00E72662">
          <w:rPr>
            <w:noProof/>
            <w:webHidden/>
          </w:rPr>
          <w:fldChar w:fldCharType="end"/>
        </w:r>
      </w:hyperlink>
    </w:p>
    <w:p w:rsidR="00101B49" w:rsidRPr="00E77CC9" w:rsidRDefault="005B1CC0" w:rsidP="00E77CC9">
      <w:pPr>
        <w:pStyle w:val="TOC2"/>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6E63FD">
          <w:rPr>
            <w:noProof/>
            <w:webHidden/>
          </w:rPr>
          <w:t>46</w:t>
        </w:r>
        <w:r w:rsidR="00E72662">
          <w:rPr>
            <w:noProof/>
            <w:webHidden/>
          </w:rPr>
          <w:fldChar w:fldCharType="end"/>
        </w:r>
      </w:hyperlink>
    </w:p>
    <w:p w:rsidR="0038018C" w:rsidRPr="0038018C" w:rsidRDefault="00E72662" w:rsidP="00CC30EC">
      <w:pPr>
        <w:pStyle w:val="TOC2"/>
        <w:tabs>
          <w:tab w:val="right" w:leader="dot" w:pos="8494"/>
        </w:tabs>
        <w:spacing w:line="360" w:lineRule="auto"/>
        <w:rPr>
          <w:noProof/>
        </w:rPr>
      </w:pPr>
      <w:r w:rsidRPr="00E77CC9">
        <w:fldChar w:fldCharType="end"/>
      </w:r>
      <w:r w:rsidR="00CC30EC" w:rsidDel="00CC30EC">
        <w:rPr>
          <w:noProof/>
        </w:rPr>
        <w:t xml:space="preserve"> </w:t>
      </w:r>
    </w:p>
    <w:p w:rsidR="00101B49" w:rsidRPr="00E77CC9" w:rsidRDefault="00101B49" w:rsidP="00E77CC9">
      <w:pPr>
        <w:pStyle w:val="TOC2"/>
        <w:tabs>
          <w:tab w:val="right" w:leader="dot" w:pos="8494"/>
        </w:tabs>
        <w:spacing w:line="360" w:lineRule="auto"/>
        <w:rPr>
          <w:rFonts w:ascii="宋体" w:hAnsi="宋体"/>
          <w:sz w:val="24"/>
        </w:rPr>
      </w:pPr>
    </w:p>
    <w:p w:rsidR="00896C5A" w:rsidRPr="00E77CC9" w:rsidRDefault="00101B49">
      <w:pPr>
        <w:spacing w:line="360" w:lineRule="auto"/>
        <w:rPr>
          <w:rFonts w:ascii="宋体" w:hAnsi="宋体"/>
          <w:sz w:val="24"/>
        </w:rPr>
      </w:pPr>
      <w:r w:rsidRPr="00E77CC9">
        <w:rPr>
          <w:rFonts w:ascii="宋体" w:hAnsi="宋体"/>
          <w:sz w:val="24"/>
        </w:rPr>
        <w:br w:type="page"/>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的基金托管人；</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CC694F">
        <w:rPr>
          <w:rFonts w:ascii="宋体" w:hAnsi="宋体" w:cs="Arial" w:hint="eastAsia"/>
          <w:kern w:val="0"/>
          <w:sz w:val="24"/>
        </w:rPr>
        <w:t>交</w:t>
      </w:r>
      <w:proofErr w:type="gramEnd"/>
      <w:r w:rsidR="00CC694F">
        <w:rPr>
          <w:rFonts w:ascii="宋体" w:hAnsi="宋体" w:cs="Arial" w:hint="eastAsia"/>
          <w:kern w:val="0"/>
          <w:sz w:val="24"/>
        </w:rPr>
        <w:t>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rsidR="00896C5A" w:rsidRPr="00E77CC9" w:rsidRDefault="00896C5A">
      <w:pPr>
        <w:spacing w:line="360" w:lineRule="auto"/>
        <w:rPr>
          <w:rFonts w:ascii="宋体" w:hAnsi="宋体"/>
          <w:sz w:val="24"/>
          <w:lang w:val="en-GB"/>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5" w:name="_Toc348082029"/>
      <w:bookmarkStart w:id="6" w:name="_Toc488938610"/>
      <w:bookmarkStart w:id="7" w:name="_Toc384992691"/>
      <w:r w:rsidRPr="00E77CC9">
        <w:rPr>
          <w:rFonts w:ascii="宋体" w:hAnsi="宋体" w:hint="eastAsia"/>
          <w:sz w:val="24"/>
        </w:rPr>
        <w:lastRenderedPageBreak/>
        <w:t>一、基金托管协议当事人</w:t>
      </w:r>
      <w:bookmarkEnd w:id="5"/>
      <w:bookmarkEnd w:id="6"/>
      <w:bookmarkEnd w:id="7"/>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8" w:name="_Toc348082030"/>
      <w:bookmarkStart w:id="9" w:name="_Toc488938611"/>
      <w:bookmarkStart w:id="10" w:name="_Toc384992692"/>
      <w:r w:rsidRPr="00E77CC9">
        <w:rPr>
          <w:rFonts w:ascii="宋体" w:hAnsi="宋体" w:hint="eastAsia"/>
          <w:sz w:val="24"/>
        </w:rPr>
        <w:lastRenderedPageBreak/>
        <w:t>二、基金托管协议的依据、目的和原则</w:t>
      </w:r>
      <w:bookmarkEnd w:id="8"/>
      <w:bookmarkEnd w:id="9"/>
      <w:bookmarkEnd w:id="10"/>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rsidR="00896C5A" w:rsidRPr="00E77CC9" w:rsidRDefault="00896C5A">
      <w:pPr>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 w:name="_Toc348082031"/>
      <w:bookmarkStart w:id="12" w:name="_Toc488938612"/>
      <w:bookmarkStart w:id="13" w:name="_Toc384992693"/>
      <w:bookmarkStart w:id="14" w:name="_GoBack"/>
      <w:bookmarkEnd w:id="14"/>
      <w:r w:rsidRPr="00E77CC9">
        <w:rPr>
          <w:rFonts w:ascii="宋体" w:hAnsi="宋体" w:hint="eastAsia"/>
          <w:sz w:val="24"/>
        </w:rPr>
        <w:lastRenderedPageBreak/>
        <w:t>三、基金托管人对基金管理人的业务监督和核查</w:t>
      </w:r>
      <w:bookmarkEnd w:id="11"/>
      <w:bookmarkEnd w:id="12"/>
      <w:bookmarkEnd w:id="13"/>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77CC9">
        <w:rPr>
          <w:rFonts w:ascii="宋体" w:hAnsi="宋体" w:hint="eastAsia"/>
          <w:sz w:val="24"/>
        </w:rPr>
        <w:t>事先或</w:t>
      </w:r>
      <w:proofErr w:type="gramEnd"/>
      <w:r w:rsidRPr="00E77CC9">
        <w:rPr>
          <w:rFonts w:ascii="宋体" w:hAnsi="宋体" w:hint="eastAsia"/>
          <w:sz w:val="24"/>
        </w:rPr>
        <w:t>定期向基金托管人提供投资品种池，以便基金托管人对基金实际投资是否符合基金合同关于证券选择标准的约定进行监督。</w:t>
      </w:r>
    </w:p>
    <w:p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w:t>
      </w:r>
      <w:r w:rsidR="002951AC" w:rsidRPr="002951AC">
        <w:rPr>
          <w:rFonts w:hint="eastAsia"/>
          <w:bCs/>
          <w:sz w:val="24"/>
        </w:rPr>
        <w:t>国内依法发行上市的</w:t>
      </w:r>
      <w:r w:rsidR="00195B9F" w:rsidRPr="00FD72A5">
        <w:rPr>
          <w:rFonts w:hint="eastAsia"/>
          <w:bCs/>
          <w:sz w:val="24"/>
        </w:rPr>
        <w:t>股票</w:t>
      </w:r>
      <w:r w:rsidR="00195B9F">
        <w:rPr>
          <w:rFonts w:hint="eastAsia"/>
          <w:bCs/>
          <w:sz w:val="24"/>
        </w:rPr>
        <w:t>（</w:t>
      </w:r>
      <w:r w:rsidR="00195B9F" w:rsidRPr="003C72B2">
        <w:rPr>
          <w:rFonts w:hint="eastAsia"/>
          <w:bCs/>
          <w:sz w:val="24"/>
        </w:rPr>
        <w:t>含中小板、创业板及其他经中国证监会核准上市的股票</w:t>
      </w:r>
      <w:r w:rsidR="00325E66">
        <w:rPr>
          <w:rFonts w:hint="eastAsia"/>
          <w:bCs/>
          <w:sz w:val="24"/>
        </w:rPr>
        <w:t>、存托凭证</w:t>
      </w:r>
      <w:r w:rsidR="00195B9F">
        <w:rPr>
          <w:bCs/>
          <w:sz w:val="24"/>
        </w:rPr>
        <w:t>）</w:t>
      </w:r>
      <w:r w:rsidR="00195B9F">
        <w:rPr>
          <w:rFonts w:hint="eastAsia"/>
          <w:bCs/>
          <w:sz w:val="24"/>
        </w:rPr>
        <w:t>、</w:t>
      </w:r>
      <w:r w:rsidR="002951AC" w:rsidRPr="002951AC">
        <w:rPr>
          <w:rFonts w:hint="eastAsia"/>
          <w:bCs/>
          <w:sz w:val="24"/>
        </w:rPr>
        <w:t>港股通标的股票、</w:t>
      </w:r>
      <w:r w:rsidR="005B0A60" w:rsidRPr="005B0A60">
        <w:rPr>
          <w:rFonts w:hint="eastAsia"/>
          <w:bCs/>
          <w:sz w:val="24"/>
        </w:rPr>
        <w:t>债券（含国债、央行票据、金融债券、政府支持债券、政府支持机构债券、地方政府债券、企业债券、公司债券</w:t>
      </w:r>
      <w:r w:rsidR="00195B9F" w:rsidRPr="00195B9F">
        <w:rPr>
          <w:rFonts w:hint="eastAsia"/>
          <w:bCs/>
          <w:sz w:val="24"/>
        </w:rPr>
        <w:t>、</w:t>
      </w:r>
      <w:r w:rsidR="005B0A60" w:rsidRPr="005B0A60">
        <w:rPr>
          <w:rFonts w:hint="eastAsia"/>
          <w:bCs/>
          <w:sz w:val="24"/>
        </w:rPr>
        <w:t>可转换债券（</w:t>
      </w:r>
      <w:proofErr w:type="gramStart"/>
      <w:r w:rsidR="005B0A60" w:rsidRPr="005B0A60">
        <w:rPr>
          <w:rFonts w:hint="eastAsia"/>
          <w:bCs/>
          <w:sz w:val="24"/>
        </w:rPr>
        <w:t>含可分离</w:t>
      </w:r>
      <w:proofErr w:type="gramEnd"/>
      <w:r w:rsidR="005B0A60" w:rsidRPr="005B0A60">
        <w:rPr>
          <w:rFonts w:hint="eastAsia"/>
          <w:bCs/>
          <w:sz w:val="24"/>
        </w:rPr>
        <w:t>交易可转换债券</w:t>
      </w:r>
      <w:proofErr w:type="gramStart"/>
      <w:r w:rsidR="00EA0B13">
        <w:rPr>
          <w:rFonts w:hint="eastAsia"/>
          <w:bCs/>
          <w:sz w:val="24"/>
        </w:rPr>
        <w:t>的纯债部分</w:t>
      </w:r>
      <w:proofErr w:type="gramEnd"/>
      <w:r w:rsidR="005B0A60" w:rsidRPr="005B0A60">
        <w:rPr>
          <w:rFonts w:hint="eastAsia"/>
          <w:bCs/>
          <w:sz w:val="24"/>
        </w:rPr>
        <w:t>）、可交换公司债券、</w:t>
      </w:r>
      <w:r w:rsidR="00EA0B13">
        <w:rPr>
          <w:rFonts w:hint="eastAsia"/>
          <w:bCs/>
          <w:sz w:val="24"/>
        </w:rPr>
        <w:t>公开发行的</w:t>
      </w:r>
      <w:r w:rsidR="005B0A60" w:rsidRPr="005B0A60">
        <w:rPr>
          <w:rFonts w:hint="eastAsia"/>
          <w:bCs/>
          <w:sz w:val="24"/>
        </w:rPr>
        <w:t>次级债券、中期票据、短期融资</w:t>
      </w:r>
      <w:proofErr w:type="gramStart"/>
      <w:r w:rsidR="005B0A60" w:rsidRPr="005B0A60">
        <w:rPr>
          <w:rFonts w:hint="eastAsia"/>
          <w:bCs/>
          <w:sz w:val="24"/>
        </w:rPr>
        <w:t>券</w:t>
      </w:r>
      <w:proofErr w:type="gramEnd"/>
      <w:r w:rsidR="005B0A60" w:rsidRPr="005B0A60">
        <w:rPr>
          <w:rFonts w:hint="eastAsia"/>
          <w:bCs/>
          <w:sz w:val="24"/>
        </w:rPr>
        <w:t>、超短期融资</w:t>
      </w:r>
      <w:proofErr w:type="gramStart"/>
      <w:r w:rsidR="005B0A60" w:rsidRPr="005B0A60">
        <w:rPr>
          <w:rFonts w:hint="eastAsia"/>
          <w:bCs/>
          <w:sz w:val="24"/>
        </w:rPr>
        <w:t>券</w:t>
      </w:r>
      <w:proofErr w:type="gramEnd"/>
      <w:r w:rsidR="005B0A60" w:rsidRPr="005B0A60">
        <w:rPr>
          <w:rFonts w:hint="eastAsia"/>
          <w:bCs/>
          <w:sz w:val="24"/>
        </w:rPr>
        <w:t>等）、资产支持证券、货币市场工具、债券回购、同业存单、银行存款（</w:t>
      </w:r>
      <w:proofErr w:type="gramStart"/>
      <w:r w:rsidR="005B0A60" w:rsidRPr="005B0A60">
        <w:rPr>
          <w:rFonts w:hint="eastAsia"/>
          <w:bCs/>
          <w:sz w:val="24"/>
        </w:rPr>
        <w:t>含协议</w:t>
      </w:r>
      <w:proofErr w:type="gramEnd"/>
      <w:r w:rsidR="005B0A60" w:rsidRPr="005B0A60">
        <w:rPr>
          <w:rFonts w:hint="eastAsia"/>
          <w:bCs/>
          <w:sz w:val="24"/>
        </w:rPr>
        <w:t>存款、定期存款及其他银行存款）、股指期货以及法律法规或中国证监会允许基金投资的其他金融工具</w:t>
      </w:r>
      <w:r w:rsidR="00B638DC">
        <w:rPr>
          <w:rFonts w:hint="eastAsia"/>
          <w:bCs/>
          <w:sz w:val="24"/>
        </w:rPr>
        <w:t>。</w:t>
      </w:r>
    </w:p>
    <w:p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rsidR="004E0435" w:rsidRDefault="008A273A" w:rsidP="008A273A">
      <w:pPr>
        <w:spacing w:line="360" w:lineRule="auto"/>
        <w:ind w:firstLine="480"/>
        <w:rPr>
          <w:bCs/>
          <w:sz w:val="24"/>
        </w:rPr>
      </w:pPr>
      <w:r w:rsidRPr="00610824">
        <w:rPr>
          <w:bCs/>
          <w:sz w:val="24"/>
        </w:rPr>
        <w:t>基金的投资组合比例为</w:t>
      </w:r>
      <w:r>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002951AC" w:rsidRPr="002951AC">
        <w:rPr>
          <w:rFonts w:hint="eastAsia"/>
          <w:bCs/>
          <w:sz w:val="24"/>
        </w:rPr>
        <w:t>，股票投资</w:t>
      </w:r>
      <w:r w:rsidR="00325E66">
        <w:rPr>
          <w:rFonts w:hint="eastAsia"/>
          <w:bCs/>
          <w:sz w:val="24"/>
        </w:rPr>
        <w:t>（</w:t>
      </w:r>
      <w:proofErr w:type="gramStart"/>
      <w:r w:rsidR="00325E66">
        <w:rPr>
          <w:bCs/>
          <w:sz w:val="24"/>
        </w:rPr>
        <w:t>含</w:t>
      </w:r>
      <w:r w:rsidR="00325E66" w:rsidRPr="005E1D32">
        <w:rPr>
          <w:bCs/>
          <w:sz w:val="24"/>
        </w:rPr>
        <w:t>存托</w:t>
      </w:r>
      <w:proofErr w:type="gramEnd"/>
      <w:r w:rsidR="00325E66" w:rsidRPr="005E1D32">
        <w:rPr>
          <w:bCs/>
          <w:sz w:val="24"/>
        </w:rPr>
        <w:t>凭证</w:t>
      </w:r>
      <w:r w:rsidR="00325E66">
        <w:rPr>
          <w:rFonts w:hint="eastAsia"/>
          <w:bCs/>
          <w:sz w:val="24"/>
        </w:rPr>
        <w:t>）</w:t>
      </w:r>
      <w:r w:rsidR="002951AC" w:rsidRPr="002951AC">
        <w:rPr>
          <w:rFonts w:hint="eastAsia"/>
          <w:bCs/>
          <w:sz w:val="24"/>
        </w:rPr>
        <w:t>占基金资产的比例为</w:t>
      </w:r>
      <w:r w:rsidR="002951AC" w:rsidRPr="002951AC">
        <w:rPr>
          <w:rFonts w:hint="eastAsia"/>
          <w:bCs/>
          <w:sz w:val="24"/>
        </w:rPr>
        <w:t>50%-95%</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）；封闭期内，股票投资</w:t>
      </w:r>
      <w:r w:rsidR="00325E66">
        <w:rPr>
          <w:rFonts w:hint="eastAsia"/>
          <w:bCs/>
          <w:sz w:val="24"/>
        </w:rPr>
        <w:t>（</w:t>
      </w:r>
      <w:proofErr w:type="gramStart"/>
      <w:r w:rsidR="00325E66">
        <w:rPr>
          <w:bCs/>
          <w:sz w:val="24"/>
        </w:rPr>
        <w:t>含</w:t>
      </w:r>
      <w:r w:rsidR="00325E66" w:rsidRPr="005E1D32">
        <w:rPr>
          <w:bCs/>
          <w:sz w:val="24"/>
        </w:rPr>
        <w:t>存托</w:t>
      </w:r>
      <w:proofErr w:type="gramEnd"/>
      <w:r w:rsidR="00325E66" w:rsidRPr="005E1D32">
        <w:rPr>
          <w:bCs/>
          <w:sz w:val="24"/>
        </w:rPr>
        <w:t>凭证</w:t>
      </w:r>
      <w:r w:rsidR="00325E66">
        <w:rPr>
          <w:rFonts w:hint="eastAsia"/>
          <w:bCs/>
          <w:sz w:val="24"/>
        </w:rPr>
        <w:t>）</w:t>
      </w:r>
      <w:r w:rsidR="002951AC" w:rsidRPr="002951AC">
        <w:rPr>
          <w:rFonts w:hint="eastAsia"/>
          <w:bCs/>
          <w:sz w:val="24"/>
        </w:rPr>
        <w:t>占基金资产的比例为</w:t>
      </w:r>
      <w:r w:rsidR="002951AC" w:rsidRPr="002951AC">
        <w:rPr>
          <w:rFonts w:hint="eastAsia"/>
          <w:bCs/>
          <w:sz w:val="24"/>
        </w:rPr>
        <w:t>50%-100%</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0E3B08" w:rsidRPr="000E3B08">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D1DD6">
        <w:rPr>
          <w:rFonts w:hint="eastAsia"/>
          <w:bCs/>
          <w:sz w:val="24"/>
        </w:rPr>
        <w:t>下限</w:t>
      </w:r>
      <w:r w:rsidR="000E3B08" w:rsidRPr="000E3B08">
        <w:rPr>
          <w:rFonts w:hint="eastAsia"/>
          <w:bCs/>
          <w:sz w:val="24"/>
        </w:rPr>
        <w:t>比例限制</w:t>
      </w:r>
      <w:r w:rsidR="002951AC" w:rsidRPr="002951AC">
        <w:rPr>
          <w:rFonts w:hint="eastAsia"/>
          <w:bCs/>
          <w:sz w:val="24"/>
        </w:rPr>
        <w:t>。</w:t>
      </w:r>
    </w:p>
    <w:p w:rsidR="008A273A" w:rsidRDefault="004E0435" w:rsidP="008A273A">
      <w:pPr>
        <w:spacing w:line="360" w:lineRule="auto"/>
        <w:ind w:firstLine="480"/>
        <w:rPr>
          <w:bCs/>
          <w:sz w:val="24"/>
        </w:rPr>
      </w:pPr>
      <w:r w:rsidRPr="00C50887">
        <w:rPr>
          <w:rFonts w:hint="eastAsia"/>
          <w:bCs/>
          <w:sz w:val="24"/>
        </w:rPr>
        <w:t>本基金转为</w:t>
      </w:r>
      <w:r w:rsidR="00D959DA">
        <w:rPr>
          <w:rFonts w:hint="eastAsia"/>
          <w:bCs/>
          <w:sz w:val="24"/>
        </w:rPr>
        <w:t>上市</w:t>
      </w:r>
      <w:r w:rsidRPr="00C50887">
        <w:rPr>
          <w:rFonts w:hint="eastAsia"/>
          <w:bCs/>
          <w:sz w:val="24"/>
        </w:rPr>
        <w:t>开放式基金</w:t>
      </w:r>
      <w:r>
        <w:rPr>
          <w:rFonts w:hint="eastAsia"/>
          <w:bCs/>
          <w:sz w:val="24"/>
        </w:rPr>
        <w:t>（</w:t>
      </w:r>
      <w:r>
        <w:rPr>
          <w:rFonts w:hint="eastAsia"/>
          <w:bCs/>
          <w:sz w:val="24"/>
        </w:rPr>
        <w:t>LOF</w:t>
      </w:r>
      <w:r>
        <w:rPr>
          <w:bCs/>
          <w:sz w:val="24"/>
        </w:rPr>
        <w:t>）</w:t>
      </w:r>
      <w:r w:rsidRPr="00C50887">
        <w:rPr>
          <w:rFonts w:hint="eastAsia"/>
          <w:bCs/>
          <w:sz w:val="24"/>
        </w:rPr>
        <w:t>后</w:t>
      </w:r>
      <w:r>
        <w:rPr>
          <w:rFonts w:hint="eastAsia"/>
          <w:bCs/>
          <w:sz w:val="24"/>
        </w:rPr>
        <w:t>，</w:t>
      </w:r>
      <w:r w:rsidR="002951AC" w:rsidRPr="002951AC">
        <w:rPr>
          <w:rFonts w:hint="eastAsia"/>
          <w:bCs/>
          <w:sz w:val="24"/>
        </w:rPr>
        <w:t>每个交易日日终，在扣除股指期货合约需缴纳的交易保证金后，本基金保留的现金或者投资于到期日在一年以内的政府债券的比例合计不低于基金资产净值的</w:t>
      </w:r>
      <w:r w:rsidR="002951AC" w:rsidRPr="002951AC">
        <w:rPr>
          <w:rFonts w:hint="eastAsia"/>
          <w:bCs/>
          <w:sz w:val="24"/>
        </w:rPr>
        <w:t>5%</w:t>
      </w:r>
      <w:r w:rsidR="002951AC" w:rsidRPr="002951AC">
        <w:rPr>
          <w:rFonts w:hint="eastAsia"/>
          <w:bCs/>
          <w:sz w:val="24"/>
        </w:rPr>
        <w:t>；在封闭期内，本基金不受</w:t>
      </w:r>
      <w:r w:rsidR="00D959DA">
        <w:rPr>
          <w:bCs/>
          <w:sz w:val="24"/>
        </w:rPr>
        <w:t>前</w:t>
      </w:r>
      <w:r w:rsidR="002951AC" w:rsidRPr="002951AC">
        <w:rPr>
          <w:rFonts w:hint="eastAsia"/>
          <w:bCs/>
          <w:sz w:val="24"/>
        </w:rPr>
        <w:t>述</w:t>
      </w:r>
      <w:r w:rsidR="002951AC" w:rsidRPr="002951AC">
        <w:rPr>
          <w:rFonts w:hint="eastAsia"/>
          <w:bCs/>
          <w:sz w:val="24"/>
        </w:rPr>
        <w:t>5%</w:t>
      </w:r>
      <w:r w:rsidR="002951AC" w:rsidRPr="002951AC">
        <w:rPr>
          <w:rFonts w:hint="eastAsia"/>
          <w:bCs/>
          <w:sz w:val="24"/>
        </w:rPr>
        <w:t>的限制，但每个交易日日终在扣除股指期货合约需缴纳的交易保证金后，应当保持不低于交易保证金一倍的现金</w:t>
      </w:r>
      <w:r w:rsidR="006D1DD6">
        <w:rPr>
          <w:rFonts w:hint="eastAsia"/>
          <w:bCs/>
          <w:sz w:val="24"/>
        </w:rPr>
        <w:t>；</w:t>
      </w:r>
      <w:r w:rsidR="006D1DD6" w:rsidRPr="002951AC">
        <w:rPr>
          <w:rFonts w:hint="eastAsia"/>
          <w:bCs/>
          <w:sz w:val="24"/>
        </w:rPr>
        <w:t>其中现金不包括结算备付金、存出保证金、应收申购款等</w:t>
      </w:r>
      <w:r w:rsidR="008A273A" w:rsidRPr="00610824">
        <w:rPr>
          <w:rFonts w:hint="eastAsia"/>
          <w:bCs/>
          <w:sz w:val="24"/>
        </w:rPr>
        <w:t>。</w:t>
      </w:r>
    </w:p>
    <w:p w:rsidR="00D25D20" w:rsidRPr="00106DD3" w:rsidRDefault="00D25D20" w:rsidP="008A273A">
      <w:pPr>
        <w:spacing w:line="360" w:lineRule="auto"/>
        <w:ind w:firstLine="480"/>
        <w:rPr>
          <w:bCs/>
          <w:sz w:val="24"/>
        </w:rPr>
      </w:pPr>
      <w:r w:rsidRPr="00106DD3">
        <w:rPr>
          <w:rFonts w:hint="eastAsia"/>
          <w:bCs/>
          <w:sz w:val="24"/>
        </w:rPr>
        <w:lastRenderedPageBreak/>
        <w:t>如果法律法规或中国证监会变更投资品种的投资比例限制，基金管理人在履行适当程序后，可以调整上述投资品种的投资比例。</w:t>
      </w:r>
    </w:p>
    <w:p w:rsidR="00896C5A" w:rsidRPr="00456F57" w:rsidRDefault="002D6BC2">
      <w:pPr>
        <w:spacing w:line="360" w:lineRule="auto"/>
        <w:ind w:firstLineChars="200" w:firstLine="480"/>
        <w:rPr>
          <w:bCs/>
          <w:sz w:val="24"/>
        </w:rPr>
      </w:pPr>
      <w:r w:rsidRPr="00456F57">
        <w:rPr>
          <w:bCs/>
          <w:sz w:val="24"/>
        </w:rPr>
        <w:t>基金的投资组合应遵循以下限制：</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1</w:t>
      </w:r>
      <w:r w:rsidRPr="002951AC">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Pr="002951AC">
        <w:rPr>
          <w:rFonts w:hint="eastAsia"/>
          <w:bCs/>
          <w:sz w:val="24"/>
        </w:rPr>
        <w:t>，股票投资</w:t>
      </w:r>
      <w:r w:rsidR="007973B6" w:rsidRPr="00766D39">
        <w:rPr>
          <w:rFonts w:hint="eastAsia"/>
          <w:bCs/>
          <w:sz w:val="24"/>
        </w:rPr>
        <w:t>（</w:t>
      </w:r>
      <w:proofErr w:type="gramStart"/>
      <w:r w:rsidR="007973B6" w:rsidRPr="00766D39">
        <w:rPr>
          <w:bCs/>
          <w:sz w:val="24"/>
        </w:rPr>
        <w:t>含存托</w:t>
      </w:r>
      <w:proofErr w:type="gramEnd"/>
      <w:r w:rsidR="007973B6" w:rsidRPr="00766D39">
        <w:rPr>
          <w:bCs/>
          <w:sz w:val="24"/>
        </w:rPr>
        <w:t>凭证</w:t>
      </w:r>
      <w:r w:rsidR="007973B6" w:rsidRPr="00766D39">
        <w:rPr>
          <w:rFonts w:hint="eastAsia"/>
          <w:bCs/>
          <w:sz w:val="24"/>
        </w:rPr>
        <w:t>）</w:t>
      </w:r>
      <w:r w:rsidRPr="002951AC">
        <w:rPr>
          <w:rFonts w:hint="eastAsia"/>
          <w:bCs/>
          <w:sz w:val="24"/>
        </w:rPr>
        <w:t>占基金资产的比例为</w:t>
      </w:r>
      <w:r w:rsidRPr="002951AC">
        <w:rPr>
          <w:rFonts w:hint="eastAsia"/>
          <w:bCs/>
          <w:sz w:val="24"/>
        </w:rPr>
        <w:t>50%-95%</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）；封闭期内，股票投资</w:t>
      </w:r>
      <w:r w:rsidR="007973B6" w:rsidRPr="00766D39">
        <w:rPr>
          <w:rFonts w:hint="eastAsia"/>
          <w:bCs/>
          <w:sz w:val="24"/>
        </w:rPr>
        <w:t>（</w:t>
      </w:r>
      <w:proofErr w:type="gramStart"/>
      <w:r w:rsidR="007973B6" w:rsidRPr="00766D39">
        <w:rPr>
          <w:bCs/>
          <w:sz w:val="24"/>
        </w:rPr>
        <w:t>含存托</w:t>
      </w:r>
      <w:proofErr w:type="gramEnd"/>
      <w:r w:rsidR="007973B6" w:rsidRPr="00766D39">
        <w:rPr>
          <w:bCs/>
          <w:sz w:val="24"/>
        </w:rPr>
        <w:t>凭证</w:t>
      </w:r>
      <w:r w:rsidR="007973B6" w:rsidRPr="00766D39">
        <w:rPr>
          <w:rFonts w:hint="eastAsia"/>
          <w:bCs/>
          <w:sz w:val="24"/>
        </w:rPr>
        <w:t>）</w:t>
      </w:r>
      <w:r w:rsidRPr="002951AC">
        <w:rPr>
          <w:rFonts w:hint="eastAsia"/>
          <w:bCs/>
          <w:sz w:val="24"/>
        </w:rPr>
        <w:t>占基金资产的比例为</w:t>
      </w:r>
      <w:r w:rsidRPr="002951AC">
        <w:rPr>
          <w:rFonts w:hint="eastAsia"/>
          <w:bCs/>
          <w:sz w:val="24"/>
        </w:rPr>
        <w:t>50%-100%</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D959DA">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94A60">
        <w:rPr>
          <w:rFonts w:hint="eastAsia"/>
          <w:bCs/>
          <w:sz w:val="24"/>
        </w:rPr>
        <w:t>下限</w:t>
      </w:r>
      <w:r w:rsidR="000E3B08" w:rsidRPr="000E3B08">
        <w:rPr>
          <w:rFonts w:hint="eastAsia"/>
          <w:bCs/>
          <w:sz w:val="24"/>
        </w:rPr>
        <w:t>比例限制；</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2</w:t>
      </w:r>
      <w:r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Pr="002951AC">
        <w:rPr>
          <w:rFonts w:hint="eastAsia"/>
          <w:bCs/>
          <w:sz w:val="24"/>
        </w:rPr>
        <w:t>每个交易日日终，在扣除股指期货合约需缴纳的交易保证金后，本基金持有的现金或到期日在一年以内的政府债券不低于基金资产净值的</w:t>
      </w:r>
      <w:r w:rsidRPr="002951AC">
        <w:rPr>
          <w:rFonts w:hint="eastAsia"/>
          <w:bCs/>
          <w:sz w:val="24"/>
        </w:rPr>
        <w:t>5%</w:t>
      </w:r>
      <w:r w:rsidRPr="002951AC">
        <w:rPr>
          <w:rFonts w:hint="eastAsia"/>
          <w:bCs/>
          <w:sz w:val="24"/>
        </w:rPr>
        <w:t>；在封闭期内，本基金不受</w:t>
      </w:r>
      <w:r w:rsidR="00D959DA">
        <w:rPr>
          <w:bCs/>
          <w:sz w:val="24"/>
        </w:rPr>
        <w:t>前</w:t>
      </w:r>
      <w:r w:rsidRPr="002951AC">
        <w:rPr>
          <w:rFonts w:hint="eastAsia"/>
          <w:bCs/>
          <w:sz w:val="24"/>
        </w:rPr>
        <w:t>述</w:t>
      </w:r>
      <w:r w:rsidRPr="002951AC">
        <w:rPr>
          <w:rFonts w:hint="eastAsia"/>
          <w:bCs/>
          <w:sz w:val="24"/>
        </w:rPr>
        <w:t>5%</w:t>
      </w:r>
      <w:r w:rsidRPr="002951AC">
        <w:rPr>
          <w:rFonts w:hint="eastAsia"/>
          <w:bCs/>
          <w:sz w:val="24"/>
        </w:rPr>
        <w:t>的限制，但每个交易日日终在扣除股指期货合约需缴纳的交易保证金后，应当保持不低于交易保证金一倍的现金；</w:t>
      </w:r>
      <w:r w:rsidR="006D1DD6" w:rsidRPr="002951AC">
        <w:rPr>
          <w:rFonts w:hint="eastAsia"/>
          <w:bCs/>
          <w:sz w:val="24"/>
        </w:rPr>
        <w:t>其中现金不包括结算备付金、存出保证金、应收申购款等</w:t>
      </w:r>
      <w:r w:rsidR="006D1DD6">
        <w:rPr>
          <w:rFonts w:hint="eastAsia"/>
          <w:bCs/>
          <w:sz w:val="24"/>
        </w:rPr>
        <w:t>；</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3</w:t>
      </w:r>
      <w:r w:rsidRPr="002951AC">
        <w:rPr>
          <w:rFonts w:hint="eastAsia"/>
          <w:bCs/>
          <w:sz w:val="24"/>
        </w:rPr>
        <w:t>）</w:t>
      </w:r>
      <w:r w:rsidRPr="002951AC">
        <w:rPr>
          <w:rFonts w:hint="eastAsia"/>
          <w:bCs/>
          <w:sz w:val="24"/>
        </w:rPr>
        <w:t xml:space="preserve"> </w:t>
      </w:r>
      <w:r w:rsidRPr="002951AC">
        <w:rPr>
          <w:rFonts w:hint="eastAsia"/>
          <w:bCs/>
          <w:sz w:val="24"/>
        </w:rPr>
        <w:t>本基金持有一家公司发行的证券（同一家公司在内地和香港同时上市的</w:t>
      </w:r>
      <w:r w:rsidRPr="002951AC">
        <w:rPr>
          <w:rFonts w:hint="eastAsia"/>
          <w:bCs/>
          <w:sz w:val="24"/>
        </w:rPr>
        <w:t xml:space="preserve">A+H </w:t>
      </w:r>
      <w:r w:rsidRPr="002951AC">
        <w:rPr>
          <w:rFonts w:hint="eastAsia"/>
          <w:bCs/>
          <w:sz w:val="24"/>
        </w:rPr>
        <w:t>股合计计算），其市值不超过基金资产净值的</w:t>
      </w:r>
      <w:r w:rsidRPr="002951AC">
        <w:rPr>
          <w:rFonts w:hint="eastAsia"/>
          <w:bCs/>
          <w:sz w:val="24"/>
        </w:rPr>
        <w:t>10%</w:t>
      </w:r>
      <w:r w:rsidRPr="002951AC">
        <w:rPr>
          <w:rFonts w:hint="eastAsia"/>
          <w:bCs/>
          <w:sz w:val="24"/>
        </w:rPr>
        <w:t>；</w:t>
      </w:r>
    </w:p>
    <w:p w:rsidR="00582D4A" w:rsidRPr="00582D4A" w:rsidRDefault="002951AC" w:rsidP="00582D4A">
      <w:pPr>
        <w:spacing w:line="360" w:lineRule="auto"/>
        <w:ind w:firstLineChars="200" w:firstLine="480"/>
        <w:rPr>
          <w:bCs/>
          <w:sz w:val="24"/>
        </w:rPr>
      </w:pPr>
      <w:r w:rsidRPr="002951AC">
        <w:rPr>
          <w:rFonts w:hint="eastAsia"/>
          <w:bCs/>
          <w:sz w:val="24"/>
        </w:rPr>
        <w:t>（</w:t>
      </w:r>
      <w:r w:rsidRPr="002951AC">
        <w:rPr>
          <w:rFonts w:hint="eastAsia"/>
          <w:bCs/>
          <w:sz w:val="24"/>
        </w:rPr>
        <w:t>4</w:t>
      </w:r>
      <w:r w:rsidRPr="002951AC">
        <w:rPr>
          <w:rFonts w:hint="eastAsia"/>
          <w:bCs/>
          <w:sz w:val="24"/>
        </w:rPr>
        <w:t>）本基金管理人管理的全部基金持有一家公司发行的证券（同一家公司在内地和香港同时上市的</w:t>
      </w:r>
      <w:r w:rsidRPr="002951AC">
        <w:rPr>
          <w:rFonts w:hint="eastAsia"/>
          <w:bCs/>
          <w:sz w:val="24"/>
        </w:rPr>
        <w:t xml:space="preserve">A+H </w:t>
      </w:r>
      <w:r w:rsidRPr="002951AC">
        <w:rPr>
          <w:rFonts w:hint="eastAsia"/>
          <w:bCs/>
          <w:sz w:val="24"/>
        </w:rPr>
        <w:t>股合计计算），不超过该证券的</w:t>
      </w:r>
      <w:r w:rsidRPr="002951AC">
        <w:rPr>
          <w:rFonts w:hint="eastAsia"/>
          <w:bCs/>
          <w:sz w:val="24"/>
        </w:rPr>
        <w:t>10%</w:t>
      </w:r>
      <w:r w:rsidR="000E3B08" w:rsidRPr="000E3B08">
        <w:rPr>
          <w:rFonts w:hint="eastAsia"/>
          <w:bCs/>
          <w:sz w:val="24"/>
        </w:rPr>
        <w:t>，完全按照有关指数的构成比例进行证券投资的基金品种可以不受此条款规定的比例限制</w:t>
      </w:r>
      <w:r w:rsidRPr="002951AC">
        <w:rPr>
          <w:rFonts w:hint="eastAsia"/>
          <w:bCs/>
          <w:sz w:val="24"/>
        </w:rPr>
        <w:t>；</w:t>
      </w:r>
    </w:p>
    <w:p w:rsidR="00582D4A" w:rsidRPr="00582D4A" w:rsidRDefault="00582D4A" w:rsidP="002640F2">
      <w:pPr>
        <w:spacing w:line="360" w:lineRule="auto"/>
        <w:ind w:firstLineChars="200" w:firstLine="480"/>
        <w:rPr>
          <w:bCs/>
          <w:sz w:val="24"/>
        </w:rPr>
      </w:pPr>
      <w:r w:rsidRPr="00582D4A">
        <w:rPr>
          <w:rFonts w:hint="eastAsia"/>
          <w:bCs/>
          <w:sz w:val="24"/>
        </w:rPr>
        <w:t>（</w:t>
      </w:r>
      <w:r w:rsidR="002951AC">
        <w:rPr>
          <w:bCs/>
          <w:sz w:val="24"/>
        </w:rPr>
        <w:t>5</w:t>
      </w:r>
      <w:r w:rsidRPr="00582D4A">
        <w:rPr>
          <w:rFonts w:hint="eastAsia"/>
          <w:bCs/>
          <w:sz w:val="24"/>
        </w:rPr>
        <w:t>）本基金投资于同一原始权益人的各类资产支持证券的比例，不得超过基金资产净值的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6</w:t>
      </w:r>
      <w:r w:rsidRPr="00582D4A">
        <w:rPr>
          <w:rFonts w:hint="eastAsia"/>
          <w:bCs/>
          <w:sz w:val="24"/>
        </w:rPr>
        <w:t>）本基金持有的全部资产支持证券，其市值不得超过基金资产净值的</w:t>
      </w:r>
      <w:r w:rsidRPr="00582D4A">
        <w:rPr>
          <w:rFonts w:hint="eastAsia"/>
          <w:bCs/>
          <w:sz w:val="24"/>
        </w:rPr>
        <w:t>20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7</w:t>
      </w:r>
      <w:r w:rsidRPr="00582D4A">
        <w:rPr>
          <w:rFonts w:hint="eastAsia"/>
          <w:bCs/>
          <w:sz w:val="24"/>
        </w:rPr>
        <w:t>）本基金持有的同一（指同一信用级别）资产支持证券的比例，不得超过该资产支持证券规模的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8</w:t>
      </w:r>
      <w:r w:rsidRPr="00582D4A">
        <w:rPr>
          <w:rFonts w:hint="eastAsia"/>
          <w:bCs/>
          <w:sz w:val="24"/>
        </w:rPr>
        <w:t>）本基金管理人管理的全部基金投资于同一原始权益人的各类资产支持证券，不得超过其各类资产支持证券合计规模的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9</w:t>
      </w:r>
      <w:r w:rsidRPr="00582D4A">
        <w:rPr>
          <w:rFonts w:hint="eastAsia"/>
          <w:bCs/>
          <w:sz w:val="24"/>
        </w:rPr>
        <w:t>）本基金应投资于信用级别评级为</w:t>
      </w:r>
      <w:r w:rsidRPr="00582D4A">
        <w:rPr>
          <w:rFonts w:hint="eastAsia"/>
          <w:bCs/>
          <w:sz w:val="24"/>
        </w:rPr>
        <w:t>BBB</w:t>
      </w:r>
      <w:r w:rsidRPr="00582D4A">
        <w:rPr>
          <w:rFonts w:hint="eastAsia"/>
          <w:bCs/>
          <w:sz w:val="24"/>
        </w:rPr>
        <w:t>以上（含</w:t>
      </w:r>
      <w:r w:rsidRPr="00582D4A">
        <w:rPr>
          <w:rFonts w:hint="eastAsia"/>
          <w:bCs/>
          <w:sz w:val="24"/>
        </w:rPr>
        <w:t>BBB</w:t>
      </w:r>
      <w:r w:rsidRPr="00582D4A">
        <w:rPr>
          <w:rFonts w:hint="eastAsia"/>
          <w:bCs/>
          <w:sz w:val="24"/>
        </w:rPr>
        <w:t>）的资产支持证券。基金持有资产支持证券期间，如果其信用等级下降、不再符合投资标准，应在评级报告发布之日起</w:t>
      </w:r>
      <w:r w:rsidRPr="00582D4A">
        <w:rPr>
          <w:rFonts w:hint="eastAsia"/>
          <w:bCs/>
          <w:sz w:val="24"/>
        </w:rPr>
        <w:t>3</w:t>
      </w:r>
      <w:r w:rsidRPr="00582D4A">
        <w:rPr>
          <w:rFonts w:hint="eastAsia"/>
          <w:bCs/>
          <w:sz w:val="24"/>
        </w:rPr>
        <w:t>个月内予以全部卖出；</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10</w:t>
      </w:r>
      <w:r w:rsidRPr="00582D4A">
        <w:rPr>
          <w:rFonts w:hint="eastAsia"/>
          <w:bCs/>
          <w:sz w:val="24"/>
        </w:rPr>
        <w:t>）基金财产参与股票发行申购，本基金所申报的金额不超过本基金的总资产，本基金所申报的股票数量不超过拟发行股票公司本次发行股票的总量；</w:t>
      </w:r>
    </w:p>
    <w:p w:rsidR="00582D4A" w:rsidRDefault="00582D4A" w:rsidP="00582D4A">
      <w:pPr>
        <w:spacing w:line="360" w:lineRule="auto"/>
        <w:ind w:firstLineChars="200" w:firstLine="480"/>
        <w:rPr>
          <w:bCs/>
          <w:sz w:val="24"/>
        </w:rPr>
      </w:pPr>
      <w:r w:rsidRPr="00582D4A">
        <w:rPr>
          <w:rFonts w:hint="eastAsia"/>
          <w:bCs/>
          <w:sz w:val="24"/>
        </w:rPr>
        <w:lastRenderedPageBreak/>
        <w:t>（</w:t>
      </w:r>
      <w:r w:rsidR="002640F2">
        <w:rPr>
          <w:bCs/>
          <w:sz w:val="24"/>
        </w:rPr>
        <w:t>11</w:t>
      </w:r>
      <w:r w:rsidRPr="00582D4A">
        <w:rPr>
          <w:rFonts w:hint="eastAsia"/>
          <w:bCs/>
          <w:sz w:val="24"/>
        </w:rPr>
        <w:t>）本基金进入全国银行间同业市场进行债券回购的资金余额不得超过基金资产净值的</w:t>
      </w:r>
      <w:r w:rsidRPr="00582D4A">
        <w:rPr>
          <w:rFonts w:hint="eastAsia"/>
          <w:bCs/>
          <w:sz w:val="24"/>
        </w:rPr>
        <w:t>40%</w:t>
      </w:r>
      <w:r w:rsidRPr="00582D4A">
        <w:rPr>
          <w:rFonts w:hint="eastAsia"/>
          <w:bCs/>
          <w:sz w:val="24"/>
        </w:rPr>
        <w:t>，进入全国银行间同业市场进行债券回购的最长期限为</w:t>
      </w:r>
      <w:r w:rsidRPr="00582D4A">
        <w:rPr>
          <w:rFonts w:hint="eastAsia"/>
          <w:bCs/>
          <w:sz w:val="24"/>
        </w:rPr>
        <w:t>1</w:t>
      </w:r>
      <w:r w:rsidRPr="00582D4A">
        <w:rPr>
          <w:rFonts w:hint="eastAsia"/>
          <w:bCs/>
          <w:sz w:val="24"/>
        </w:rPr>
        <w:t>年，债券回购到期后不得展期；</w:t>
      </w:r>
    </w:p>
    <w:p w:rsidR="002951AC" w:rsidRPr="00582D4A" w:rsidRDefault="002951AC" w:rsidP="00582D4A">
      <w:pPr>
        <w:spacing w:line="360" w:lineRule="auto"/>
        <w:ind w:firstLineChars="200" w:firstLine="480"/>
        <w:rPr>
          <w:bCs/>
          <w:sz w:val="24"/>
        </w:rPr>
      </w:pPr>
      <w:r w:rsidRPr="002951AC">
        <w:rPr>
          <w:rFonts w:hint="eastAsia"/>
          <w:bCs/>
          <w:sz w:val="24"/>
        </w:rPr>
        <w:t>（</w:t>
      </w:r>
      <w:r w:rsidR="002640F2">
        <w:rPr>
          <w:bCs/>
          <w:sz w:val="24"/>
        </w:rPr>
        <w:t>12</w:t>
      </w:r>
      <w:r w:rsidRPr="002951AC">
        <w:rPr>
          <w:rFonts w:hint="eastAsia"/>
          <w:bCs/>
          <w:sz w:val="24"/>
        </w:rPr>
        <w:t>）本基金管理人管理的全部开放式基金（包括开放式基金以及处于开放期的定期开放基金）持有一家上市公司发行的可流通股票，不得超过该上市公司可流通股票的</w:t>
      </w:r>
      <w:r w:rsidRPr="002951AC">
        <w:rPr>
          <w:rFonts w:hint="eastAsia"/>
          <w:bCs/>
          <w:sz w:val="24"/>
        </w:rPr>
        <w:t>15%</w:t>
      </w:r>
      <w:r w:rsidRPr="002951AC">
        <w:rPr>
          <w:rFonts w:hint="eastAsia"/>
          <w:bCs/>
          <w:sz w:val="24"/>
        </w:rPr>
        <w:t>；本基金管理人管理的全部投资组合持有一家上市公司发行的可流通股票，不得超过该上市公司可流通股票的</w:t>
      </w:r>
      <w:r w:rsidRPr="002951AC">
        <w:rPr>
          <w:rFonts w:hint="eastAsia"/>
          <w:bCs/>
          <w:sz w:val="24"/>
        </w:rPr>
        <w:t>30%</w:t>
      </w:r>
      <w:r w:rsidRPr="002951AC">
        <w:rPr>
          <w:rFonts w:hint="eastAsia"/>
          <w:bCs/>
          <w:sz w:val="24"/>
        </w:rPr>
        <w:t>；完全按照有关指数的构成比例进行证券投资的开放式基金以及中国证监会认定的特殊投资组合可不受前述比例限制；</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13</w:t>
      </w:r>
      <w:r w:rsidRPr="00582D4A">
        <w:rPr>
          <w:rFonts w:hint="eastAsia"/>
          <w:bCs/>
          <w:sz w:val="24"/>
        </w:rPr>
        <w:t>）</w:t>
      </w:r>
      <w:r w:rsidR="000E3B08" w:rsidRPr="000E3B08">
        <w:rPr>
          <w:rFonts w:hint="eastAsia"/>
          <w:bCs/>
          <w:sz w:val="24"/>
        </w:rPr>
        <w:t>本基金转为</w:t>
      </w:r>
      <w:r w:rsidR="00D959DA" w:rsidRPr="00D959DA">
        <w:rPr>
          <w:rFonts w:hint="eastAsia"/>
          <w:bCs/>
          <w:sz w:val="24"/>
        </w:rPr>
        <w:t>上市开放式基金（</w:t>
      </w:r>
      <w:r w:rsidR="00D959DA" w:rsidRPr="00D959DA">
        <w:rPr>
          <w:rFonts w:hint="eastAsia"/>
          <w:bCs/>
          <w:sz w:val="24"/>
        </w:rPr>
        <w:t>LOF</w:t>
      </w:r>
      <w:r w:rsidR="00D959DA" w:rsidRPr="00D959DA">
        <w:rPr>
          <w:rFonts w:hint="eastAsia"/>
          <w:bCs/>
          <w:sz w:val="24"/>
        </w:rPr>
        <w:t>）</w:t>
      </w:r>
      <w:r w:rsidR="00D959DA">
        <w:rPr>
          <w:rFonts w:hint="eastAsia"/>
          <w:bCs/>
          <w:sz w:val="24"/>
        </w:rPr>
        <w:t>后</w:t>
      </w:r>
      <w:r w:rsidR="000E3B08" w:rsidRPr="000E3B08">
        <w:rPr>
          <w:rFonts w:hint="eastAsia"/>
          <w:bCs/>
          <w:sz w:val="24"/>
        </w:rPr>
        <w:t>，</w:t>
      </w:r>
      <w:r w:rsidRPr="00582D4A">
        <w:rPr>
          <w:rFonts w:hint="eastAsia"/>
          <w:bCs/>
          <w:sz w:val="24"/>
        </w:rPr>
        <w:t>本基金主动投资于流动性受限资产的市值合计不得超过该基金资产净值的</w:t>
      </w:r>
      <w:r w:rsidRPr="00582D4A">
        <w:rPr>
          <w:rFonts w:hint="eastAsia"/>
          <w:bCs/>
          <w:sz w:val="24"/>
        </w:rPr>
        <w:t>15%</w:t>
      </w:r>
      <w:r w:rsidRPr="00582D4A">
        <w:rPr>
          <w:rFonts w:hint="eastAsia"/>
          <w:bCs/>
          <w:sz w:val="24"/>
        </w:rPr>
        <w:t>；因证券市场波动、上市公司股票停牌、基金规模变动等基金管理人之外的因素致使基金不符合该比例限制的，基金管理人不得主动新增流动性受限资产的投资；</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14</w:t>
      </w:r>
      <w:r w:rsidRPr="00582D4A">
        <w:rPr>
          <w:rFonts w:hint="eastAsia"/>
          <w:bCs/>
          <w:sz w:val="24"/>
        </w:rPr>
        <w:t>）本基金与私募类</w:t>
      </w:r>
      <w:proofErr w:type="gramStart"/>
      <w:r w:rsidRPr="00582D4A">
        <w:rPr>
          <w:rFonts w:hint="eastAsia"/>
          <w:bCs/>
          <w:sz w:val="24"/>
        </w:rPr>
        <w:t>证券资管产品</w:t>
      </w:r>
      <w:proofErr w:type="gramEnd"/>
      <w:r w:rsidRPr="00582D4A">
        <w:rPr>
          <w:rFonts w:hint="eastAsia"/>
          <w:bCs/>
          <w:sz w:val="24"/>
        </w:rPr>
        <w:t>及中国证监会认定的其他主体为交易对手开展逆回购交易的，可接受质押品的资质要求应当与基金合同约定的投资范围保持一致；</w:t>
      </w:r>
    </w:p>
    <w:p w:rsidR="00582D4A" w:rsidRDefault="002951AC" w:rsidP="00582D4A">
      <w:pPr>
        <w:spacing w:line="360" w:lineRule="auto"/>
        <w:ind w:firstLineChars="200" w:firstLine="480"/>
        <w:rPr>
          <w:bCs/>
          <w:sz w:val="24"/>
        </w:rPr>
      </w:pPr>
      <w:r w:rsidRPr="002951AC">
        <w:rPr>
          <w:rFonts w:hint="eastAsia"/>
          <w:bCs/>
          <w:sz w:val="24"/>
        </w:rPr>
        <w:t>（</w:t>
      </w:r>
      <w:r w:rsidR="002640F2">
        <w:rPr>
          <w:bCs/>
          <w:sz w:val="24"/>
        </w:rPr>
        <w:t>15</w:t>
      </w:r>
      <w:r w:rsidRPr="002951AC">
        <w:rPr>
          <w:rFonts w:hint="eastAsia"/>
          <w:bCs/>
          <w:sz w:val="24"/>
        </w:rPr>
        <w:t>）在封闭期内，本基金的基金资产总值不得超过基金资产净值的</w:t>
      </w:r>
      <w:r w:rsidRPr="002951AC">
        <w:rPr>
          <w:rFonts w:hint="eastAsia"/>
          <w:bCs/>
          <w:sz w:val="24"/>
        </w:rPr>
        <w:t>200%</w:t>
      </w:r>
      <w:r w:rsidRPr="002951AC">
        <w:rPr>
          <w:rFonts w:hint="eastAsia"/>
          <w:bCs/>
          <w:sz w:val="24"/>
        </w:rPr>
        <w:t>；在</w:t>
      </w:r>
      <w:r w:rsidR="004E0435" w:rsidRPr="00C50887">
        <w:rPr>
          <w:rFonts w:hint="eastAsia"/>
          <w:bCs/>
          <w:sz w:val="24"/>
        </w:rPr>
        <w:t>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Pr="002951AC">
        <w:rPr>
          <w:rFonts w:hint="eastAsia"/>
          <w:bCs/>
          <w:sz w:val="24"/>
        </w:rPr>
        <w:t>，本基金的基金资产总值不得超过基金资产净值的</w:t>
      </w:r>
      <w:r w:rsidRPr="002951AC">
        <w:rPr>
          <w:rFonts w:hint="eastAsia"/>
          <w:bCs/>
          <w:sz w:val="24"/>
        </w:rPr>
        <w:t>140%</w:t>
      </w:r>
      <w:r w:rsidRPr="002951AC">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16</w:t>
      </w:r>
      <w:r w:rsidRPr="00582D4A">
        <w:rPr>
          <w:rFonts w:hint="eastAsia"/>
          <w:bCs/>
          <w:sz w:val="24"/>
        </w:rPr>
        <w:t>）本基金参与股指期货交易，则：</w:t>
      </w:r>
    </w:p>
    <w:p w:rsidR="00582D4A" w:rsidRPr="00582D4A" w:rsidRDefault="00582D4A" w:rsidP="00582D4A">
      <w:pPr>
        <w:spacing w:line="360" w:lineRule="auto"/>
        <w:ind w:firstLineChars="200" w:firstLine="480"/>
        <w:rPr>
          <w:bCs/>
          <w:sz w:val="24"/>
        </w:rPr>
      </w:pPr>
      <w:r w:rsidRPr="00582D4A">
        <w:rPr>
          <w:rFonts w:hint="eastAsia"/>
          <w:bCs/>
          <w:sz w:val="24"/>
        </w:rPr>
        <w:t>1</w:t>
      </w:r>
      <w:r w:rsidRPr="00582D4A">
        <w:rPr>
          <w:rFonts w:hint="eastAsia"/>
          <w:bCs/>
          <w:sz w:val="24"/>
        </w:rPr>
        <w:t>）本基金在任何交易日日终，持有的买入股指期货合约价值，不得超过基金资产净值的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2</w:t>
      </w:r>
      <w:r w:rsidRPr="00582D4A">
        <w:rPr>
          <w:rFonts w:hint="eastAsia"/>
          <w:bCs/>
          <w:sz w:val="24"/>
        </w:rPr>
        <w:t>）</w:t>
      </w:r>
      <w:r w:rsidR="002951AC" w:rsidRPr="002951AC">
        <w:rPr>
          <w:rFonts w:hint="eastAsia"/>
          <w:bCs/>
          <w:sz w:val="24"/>
        </w:rPr>
        <w:t>本基金在封闭期内的任何交易日日终，持有的买入股指期货合约价值与有价证券市值之和，不得超过基金资产净值的</w:t>
      </w:r>
      <w:r w:rsidR="002951AC" w:rsidRPr="002951AC">
        <w:rPr>
          <w:rFonts w:hint="eastAsia"/>
          <w:bCs/>
          <w:sz w:val="24"/>
        </w:rPr>
        <w:t>100%</w:t>
      </w:r>
      <w:r w:rsidR="002951AC"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002951AC" w:rsidRPr="002951AC">
        <w:rPr>
          <w:rFonts w:hint="eastAsia"/>
          <w:bCs/>
          <w:sz w:val="24"/>
        </w:rPr>
        <w:t>任何交易日日终，持有的买入股指期货合约价值与有价证券市值之和，不得超过基金资产净值的</w:t>
      </w:r>
      <w:r w:rsidR="002951AC" w:rsidRPr="002951AC">
        <w:rPr>
          <w:rFonts w:hint="eastAsia"/>
          <w:bCs/>
          <w:sz w:val="24"/>
        </w:rPr>
        <w:t>95%</w:t>
      </w:r>
      <w:r w:rsidR="002951AC" w:rsidRPr="002951AC">
        <w:rPr>
          <w:rFonts w:hint="eastAsia"/>
          <w:bCs/>
          <w:sz w:val="24"/>
        </w:rPr>
        <w:t>。其中，有价证券指股票、债券（不含到期日在一年以内的政府债券）、资产支持证券、买入返售金融资产（不含质押式回购）等</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3</w:t>
      </w:r>
      <w:r w:rsidRPr="00582D4A">
        <w:rPr>
          <w:rFonts w:hint="eastAsia"/>
          <w:bCs/>
          <w:sz w:val="24"/>
        </w:rPr>
        <w:t>）本基金在任何交易日日终，持有的卖出股指期货合约价值不得超过基金持有的股票总市值的</w:t>
      </w:r>
      <w:r w:rsidRPr="00582D4A">
        <w:rPr>
          <w:rFonts w:hint="eastAsia"/>
          <w:bCs/>
          <w:sz w:val="24"/>
        </w:rPr>
        <w:t>20%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4</w:t>
      </w:r>
      <w:r w:rsidRPr="00582D4A">
        <w:rPr>
          <w:rFonts w:hint="eastAsia"/>
          <w:bCs/>
          <w:sz w:val="24"/>
        </w:rPr>
        <w:t>）本基金所持有的股票市值和买入、卖出股指期货合约价值，合计（轧差计</w:t>
      </w:r>
      <w:r w:rsidRPr="00582D4A">
        <w:rPr>
          <w:rFonts w:hint="eastAsia"/>
          <w:bCs/>
          <w:sz w:val="24"/>
        </w:rPr>
        <w:lastRenderedPageBreak/>
        <w:t>算）应当符合基金合同关于股票投资比例的有关约定；</w:t>
      </w:r>
    </w:p>
    <w:p w:rsidR="00582D4A" w:rsidRPr="00582D4A" w:rsidRDefault="00582D4A" w:rsidP="00582D4A">
      <w:pPr>
        <w:spacing w:line="360" w:lineRule="auto"/>
        <w:ind w:firstLineChars="200" w:firstLine="480"/>
        <w:rPr>
          <w:bCs/>
          <w:sz w:val="24"/>
        </w:rPr>
      </w:pPr>
      <w:r w:rsidRPr="00582D4A">
        <w:rPr>
          <w:rFonts w:hint="eastAsia"/>
          <w:bCs/>
          <w:sz w:val="24"/>
        </w:rPr>
        <w:t>5</w:t>
      </w:r>
      <w:r w:rsidRPr="00582D4A">
        <w:rPr>
          <w:rFonts w:hint="eastAsia"/>
          <w:bCs/>
          <w:sz w:val="24"/>
        </w:rPr>
        <w:t>）本基金在任何交易日内交易（不包括平仓）的股指期货合约的成交金额不得超过上一交易日基金资产净值的</w:t>
      </w:r>
      <w:r w:rsidRPr="00582D4A">
        <w:rPr>
          <w:rFonts w:hint="eastAsia"/>
          <w:bCs/>
          <w:sz w:val="24"/>
        </w:rPr>
        <w:t>20%</w:t>
      </w:r>
      <w:r w:rsidRPr="00582D4A">
        <w:rPr>
          <w:rFonts w:hint="eastAsia"/>
          <w:bCs/>
          <w:sz w:val="24"/>
        </w:rPr>
        <w:t>；</w:t>
      </w:r>
    </w:p>
    <w:p w:rsidR="008D7D5C" w:rsidRPr="008D7D5C" w:rsidRDefault="008D7D5C" w:rsidP="008D7D5C">
      <w:pPr>
        <w:spacing w:line="360" w:lineRule="auto"/>
        <w:ind w:firstLineChars="200" w:firstLine="480"/>
        <w:rPr>
          <w:bCs/>
          <w:sz w:val="24"/>
          <w:szCs w:val="20"/>
        </w:rPr>
      </w:pPr>
      <w:r w:rsidRPr="008D7D5C">
        <w:rPr>
          <w:rFonts w:hint="eastAsia"/>
          <w:bCs/>
          <w:sz w:val="24"/>
          <w:szCs w:val="20"/>
        </w:rPr>
        <w:t>（</w:t>
      </w:r>
      <w:r w:rsidRPr="008D7D5C">
        <w:rPr>
          <w:rFonts w:hint="eastAsia"/>
          <w:bCs/>
          <w:sz w:val="24"/>
          <w:szCs w:val="20"/>
        </w:rPr>
        <w:t>1</w:t>
      </w:r>
      <w:r w:rsidRPr="008D7D5C">
        <w:rPr>
          <w:bCs/>
          <w:sz w:val="24"/>
          <w:szCs w:val="20"/>
        </w:rPr>
        <w:t>7</w:t>
      </w:r>
      <w:r w:rsidRPr="008D7D5C">
        <w:rPr>
          <w:rFonts w:hint="eastAsia"/>
          <w:bCs/>
          <w:sz w:val="24"/>
          <w:szCs w:val="20"/>
        </w:rPr>
        <w:t>）本基金投资存托凭证的比例限制依照境内上市交易的股票执行；</w:t>
      </w:r>
    </w:p>
    <w:p w:rsidR="00465799" w:rsidRDefault="00582D4A" w:rsidP="00D9351F">
      <w:pPr>
        <w:spacing w:line="360" w:lineRule="auto"/>
        <w:ind w:firstLineChars="200" w:firstLine="480"/>
        <w:rPr>
          <w:rFonts w:ascii="宋体" w:hAnsi="宋体"/>
          <w:sz w:val="24"/>
        </w:rPr>
      </w:pPr>
      <w:r w:rsidRPr="00582D4A">
        <w:rPr>
          <w:rFonts w:hint="eastAsia"/>
          <w:bCs/>
          <w:sz w:val="24"/>
        </w:rPr>
        <w:t>（</w:t>
      </w:r>
      <w:r w:rsidR="008D7D5C">
        <w:rPr>
          <w:bCs/>
          <w:sz w:val="24"/>
        </w:rPr>
        <w:t>18</w:t>
      </w:r>
      <w:r w:rsidRPr="00582D4A">
        <w:rPr>
          <w:rFonts w:hint="eastAsia"/>
          <w:bCs/>
          <w:sz w:val="24"/>
        </w:rPr>
        <w:t>）法律法规及中国证监会规定的和《基金合同》约定的其他投资限制。</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rsidR="00101B49" w:rsidRPr="00E77CC9" w:rsidRDefault="00D9351F" w:rsidP="00D00BB6">
      <w:pPr>
        <w:spacing w:line="360" w:lineRule="auto"/>
        <w:ind w:firstLineChars="200" w:firstLine="480"/>
        <w:rPr>
          <w:rFonts w:ascii="宋体" w:hAnsi="宋体"/>
          <w:sz w:val="24"/>
        </w:rPr>
      </w:pPr>
      <w:r>
        <w:rPr>
          <w:sz w:val="24"/>
        </w:rPr>
        <w:t>除上述（</w:t>
      </w:r>
      <w:r>
        <w:rPr>
          <w:sz w:val="24"/>
        </w:rPr>
        <w:t>2</w:t>
      </w:r>
      <w:r>
        <w:rPr>
          <w:sz w:val="24"/>
        </w:rPr>
        <w:t>）、（</w:t>
      </w:r>
      <w:r w:rsidR="002640F2">
        <w:rPr>
          <w:sz w:val="24"/>
        </w:rPr>
        <w:t>9</w:t>
      </w:r>
      <w:r>
        <w:rPr>
          <w:sz w:val="24"/>
        </w:rPr>
        <w:t>）、（</w:t>
      </w:r>
      <w:r w:rsidR="002640F2">
        <w:rPr>
          <w:sz w:val="24"/>
        </w:rPr>
        <w:t>13</w:t>
      </w:r>
      <w:r>
        <w:rPr>
          <w:sz w:val="24"/>
        </w:rPr>
        <w:t>）、（</w:t>
      </w:r>
      <w:r w:rsidR="002640F2">
        <w:rPr>
          <w:sz w:val="24"/>
        </w:rPr>
        <w:t>14</w:t>
      </w:r>
      <w:r>
        <w:rPr>
          <w:sz w:val="24"/>
        </w:rPr>
        <w:t>）情形之外，</w:t>
      </w:r>
      <w:r w:rsidR="00101B49" w:rsidRPr="00E77CC9">
        <w:rPr>
          <w:rFonts w:ascii="宋体" w:hAnsi="宋体" w:hint="eastAsia"/>
          <w:sz w:val="24"/>
        </w:rPr>
        <w:t>因</w:t>
      </w:r>
      <w:r w:rsidR="008A2276" w:rsidRPr="004D4661">
        <w:rPr>
          <w:rFonts w:ascii="宋体" w:hAnsi="宋体" w:hint="eastAsia"/>
          <w:sz w:val="24"/>
        </w:rPr>
        <w:t>证券</w:t>
      </w:r>
      <w:r>
        <w:rPr>
          <w:rFonts w:ascii="宋体" w:hAnsi="宋体" w:hint="eastAsia"/>
          <w:sz w:val="24"/>
        </w:rPr>
        <w:t>、</w:t>
      </w:r>
      <w:r>
        <w:rPr>
          <w:rFonts w:ascii="宋体" w:hAnsi="宋体"/>
          <w:sz w:val="24"/>
        </w:rPr>
        <w:t>期货</w:t>
      </w:r>
      <w:r w:rsidR="008A2276" w:rsidRPr="004D4661">
        <w:rPr>
          <w:rFonts w:ascii="宋体" w:hAnsi="宋体" w:hint="eastAsia"/>
          <w:sz w:val="24"/>
        </w:rPr>
        <w:t>市场</w:t>
      </w:r>
      <w:r w:rsidR="00101B49" w:rsidRPr="00E77CC9">
        <w:rPr>
          <w:rFonts w:ascii="宋体" w:hAnsi="宋体" w:hint="eastAsia"/>
          <w:sz w:val="24"/>
        </w:rPr>
        <w:t>波动、证券发行人合并</w:t>
      </w:r>
      <w:r w:rsidR="00D00BB6">
        <w:rPr>
          <w:rFonts w:ascii="宋体" w:hAnsi="宋体" w:hint="eastAsia"/>
          <w:sz w:val="24"/>
        </w:rPr>
        <w:t>、</w:t>
      </w:r>
      <w:r w:rsidR="00101B49" w:rsidRPr="00E77CC9">
        <w:rPr>
          <w:rFonts w:ascii="宋体" w:hAnsi="宋体" w:hint="eastAsia"/>
          <w:sz w:val="24"/>
        </w:rPr>
        <w:t>基金规模变动等基金管理人之外的原因</w:t>
      </w:r>
      <w:r w:rsidR="00101B49" w:rsidRPr="00E77CC9">
        <w:rPr>
          <w:rFonts w:ascii="宋体" w:hAnsi="宋体"/>
          <w:sz w:val="24"/>
        </w:rPr>
        <w:t>导致投资</w:t>
      </w:r>
      <w:r w:rsidR="00101B49" w:rsidRPr="00E77CC9">
        <w:rPr>
          <w:rFonts w:ascii="宋体" w:hAnsi="宋体" w:hint="eastAsia"/>
          <w:sz w:val="24"/>
        </w:rPr>
        <w:t>比例不符合</w:t>
      </w:r>
      <w:r w:rsidR="00101B49" w:rsidRPr="00E77CC9">
        <w:rPr>
          <w:rFonts w:ascii="宋体" w:hAnsi="宋体"/>
          <w:sz w:val="24"/>
        </w:rPr>
        <w:t>上述</w:t>
      </w:r>
      <w:r w:rsidR="00101B49" w:rsidRPr="00E77CC9">
        <w:rPr>
          <w:rFonts w:ascii="宋体" w:hAnsi="宋体" w:hint="eastAsia"/>
          <w:sz w:val="24"/>
        </w:rPr>
        <w:t>规定的</w:t>
      </w:r>
      <w:r w:rsidR="00101B49" w:rsidRPr="00E77CC9">
        <w:rPr>
          <w:rFonts w:ascii="宋体" w:hAnsi="宋体"/>
          <w:sz w:val="24"/>
        </w:rPr>
        <w:t>，基金管理人应在10个交易日内进行调整</w:t>
      </w:r>
      <w:r w:rsidR="00754294">
        <w:rPr>
          <w:rFonts w:hint="eastAsia"/>
          <w:bCs/>
          <w:sz w:val="24"/>
        </w:rPr>
        <w:t>，</w:t>
      </w:r>
      <w:r w:rsidR="00754294">
        <w:rPr>
          <w:bCs/>
          <w:sz w:val="24"/>
        </w:rPr>
        <w:t>但中国证监会规定的特殊情形除外</w:t>
      </w:r>
      <w:r w:rsidR="00101B49" w:rsidRPr="00E77CC9">
        <w:rPr>
          <w:rFonts w:ascii="宋体" w:hAnsi="宋体" w:hint="eastAsia"/>
          <w:sz w:val="24"/>
        </w:rPr>
        <w:t>。法律法规另有规定的，从其规定。</w:t>
      </w:r>
    </w:p>
    <w:p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.如果法律法规及监管政策等对基金合同约定的投资禁止行为和投资组合比</w:t>
      </w:r>
      <w:r w:rsidR="00101B49" w:rsidRPr="00E77CC9">
        <w:rPr>
          <w:rFonts w:ascii="宋体" w:hAnsi="宋体"/>
          <w:sz w:val="24"/>
        </w:rPr>
        <w:lastRenderedPageBreak/>
        <w:t>例限制进行变更的，本基金可相应调整禁止行为和投资比例限制规定。《基金法》及其他有关法律法规或监管部门</w:t>
      </w:r>
      <w:r w:rsidR="00101B49" w:rsidRPr="00E77CC9">
        <w:rPr>
          <w:rFonts w:ascii="宋体" w:hAnsi="宋体" w:hint="eastAsia"/>
          <w:sz w:val="24"/>
        </w:rPr>
        <w:t>取消</w:t>
      </w:r>
      <w:r w:rsidR="00101B49" w:rsidRPr="00E77CC9">
        <w:rPr>
          <w:rFonts w:ascii="宋体" w:hAnsi="宋体"/>
          <w:sz w:val="24"/>
        </w:rPr>
        <w:t>上述限制</w:t>
      </w:r>
      <w:r w:rsidR="00101B49" w:rsidRPr="00E77CC9">
        <w:rPr>
          <w:rFonts w:ascii="宋体" w:hAnsi="宋体" w:hint="eastAsia"/>
          <w:sz w:val="24"/>
        </w:rPr>
        <w:t>的</w:t>
      </w:r>
      <w:r w:rsidR="00101B49" w:rsidRPr="00E77CC9">
        <w:rPr>
          <w:rFonts w:ascii="宋体" w:hAnsi="宋体"/>
          <w:sz w:val="24"/>
        </w:rPr>
        <w:t>，</w:t>
      </w:r>
      <w:r w:rsidR="00101B49" w:rsidRPr="00E77CC9">
        <w:rPr>
          <w:rFonts w:ascii="宋体" w:hAnsi="宋体" w:hint="eastAsia"/>
          <w:sz w:val="24"/>
        </w:rPr>
        <w:t>履行适当程序后，基金不受上述限制</w:t>
      </w:r>
      <w:r w:rsidR="00101B49" w:rsidRPr="00E77CC9">
        <w:rPr>
          <w:rFonts w:ascii="宋体" w:hAnsi="宋体"/>
          <w:sz w:val="24"/>
        </w:rPr>
        <w:t>。</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w:t>
      </w:r>
      <w:r w:rsidRPr="00E77CC9">
        <w:rPr>
          <w:rFonts w:ascii="宋体" w:hAnsi="宋体" w:hint="eastAsia"/>
          <w:sz w:val="24"/>
        </w:rPr>
        <w:lastRenderedPageBreak/>
        <w:t>行为导致基金财产受到损失的，需由基金管理人承担由此造成的损失。</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2D6BC2" w:rsidRPr="00456F57">
        <w:rPr>
          <w:rFonts w:ascii="宋体" w:hAnsi="宋体" w:cs="Arial" w:hint="eastAsia"/>
          <w:sz w:val="24"/>
        </w:rPr>
        <w:t>、</w:t>
      </w:r>
      <w:r w:rsidRPr="00E77CC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E77CC9">
        <w:rPr>
          <w:rFonts w:ascii="宋体" w:hAnsi="宋体" w:hint="eastAsia"/>
          <w:sz w:val="24"/>
        </w:rPr>
        <w:t>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w:t>
      </w:r>
      <w:r w:rsidRPr="00E77CC9">
        <w:rPr>
          <w:rFonts w:ascii="宋体" w:hAnsi="宋体" w:hint="eastAsia"/>
          <w:sz w:val="24"/>
        </w:rPr>
        <w:lastRenderedPageBreak/>
        <w:t>质押或以任何方式被抵押，不得用于转让和背书。</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E77CC9">
        <w:rPr>
          <w:rFonts w:ascii="宋体" w:hAnsi="宋体" w:hint="eastAsia"/>
          <w:sz w:val="24"/>
        </w:rPr>
        <w:t>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工作日内纠正。基金管理人对基金托管人通知的违规事项未能在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proofErr w:type="gramStart"/>
      <w:r w:rsidRPr="00E77CC9">
        <w:rPr>
          <w:rFonts w:ascii="宋体" w:hAnsi="宋体" w:hint="eastAsia"/>
          <w:sz w:val="24"/>
        </w:rPr>
        <w:t>个</w:t>
      </w:r>
      <w:proofErr w:type="gramEnd"/>
      <w:r w:rsidRPr="00E77CC9">
        <w:rPr>
          <w:rFonts w:ascii="宋体" w:hAnsi="宋体" w:hint="eastAsia"/>
          <w:sz w:val="24"/>
        </w:rPr>
        <w:t>工作日内纠正或拒绝结算，若因基金管理人拒不执行造成基金财产损失的，相关损失由基金管理人承担，基金托管人不承担任何责任。</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w:t>
      </w:r>
      <w:r w:rsidRPr="00E77CC9">
        <w:rPr>
          <w:rFonts w:ascii="宋体" w:hAnsi="宋体" w:hint="eastAsia"/>
          <w:sz w:val="24"/>
        </w:rPr>
        <w:lastRenderedPageBreak/>
        <w:t>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EA1101">
        <w:rPr>
          <w:rFonts w:ascii="宋体" w:hAnsi="宋体" w:hint="eastAsia"/>
          <w:sz w:val="24"/>
        </w:rPr>
        <w:t>风险防范</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w:t>
      </w:r>
      <w:r w:rsidRPr="00E77CC9">
        <w:rPr>
          <w:rFonts w:ascii="宋体" w:hAnsi="宋体" w:hint="eastAsia"/>
          <w:sz w:val="24"/>
        </w:rPr>
        <w:lastRenderedPageBreak/>
        <w:t>风险处置预案。上述资料应包括但不限于基金投资流通受限证券的投资额度和投资比例控制情况。</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w:t>
      </w:r>
      <w:r w:rsidR="00101B49" w:rsidRPr="00E77CC9">
        <w:rPr>
          <w:rFonts w:ascii="宋体" w:hAnsi="宋体" w:hint="eastAsia"/>
          <w:sz w:val="24"/>
        </w:rPr>
        <w:lastRenderedPageBreak/>
        <w:t>法规及监管机构的相关规定。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rsidR="00896C5A" w:rsidRPr="00E77CC9" w:rsidRDefault="00896C5A">
      <w:pPr>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w:t>
      </w:r>
      <w:r w:rsidRPr="00E77CC9">
        <w:rPr>
          <w:rFonts w:ascii="宋体" w:hAnsi="宋体" w:hint="eastAsia"/>
          <w:sz w:val="24"/>
        </w:rPr>
        <w:lastRenderedPageBreak/>
        <w:t>出具验资报告。出具的验资报告由参加验资的</w:t>
      </w:r>
      <w:r w:rsidRPr="00E77CC9">
        <w:rPr>
          <w:rFonts w:ascii="宋体" w:hAnsi="宋体"/>
          <w:sz w:val="24"/>
        </w:rPr>
        <w:t>2名或2名以上中国注册会计师签字方为有效。</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募集期限届满，未能达到基金合同生效的条件，由基金管理人按规定办理退款等事宜</w:t>
      </w:r>
      <w:r w:rsidRPr="00E77CC9">
        <w:rPr>
          <w:rFonts w:ascii="宋体" w:hAnsi="宋体" w:hint="eastAsia"/>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交银施罗德瑞丰</w:t>
      </w:r>
      <w:r w:rsidR="00E60608">
        <w:rPr>
          <w:rFonts w:hint="eastAsia"/>
          <w:bCs/>
          <w:sz w:val="24"/>
        </w:rPr>
        <w:t>三年封闭运作</w:t>
      </w:r>
      <w:r w:rsidR="00CC694F">
        <w:rPr>
          <w:rFonts w:hint="eastAsia"/>
          <w:bCs/>
          <w:sz w:val="24"/>
        </w:rPr>
        <w:t>混合型证券投资基金</w:t>
      </w:r>
      <w:r w:rsidRPr="00E77CC9">
        <w:rPr>
          <w:rFonts w:ascii="宋体" w:hAnsi="宋体" w:hint="eastAsia"/>
          <w:sz w:val="24"/>
        </w:rPr>
        <w:t>”，预留印鉴为基金托管人印章。</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基金合同终止后不少于</w:t>
      </w:r>
      <w:r w:rsidRPr="00E77CC9">
        <w:rPr>
          <w:rFonts w:ascii="宋体" w:hAnsi="宋体"/>
          <w:sz w:val="24"/>
        </w:rPr>
        <w:t>15年。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896C5A" w:rsidRPr="00E77CC9" w:rsidRDefault="00896C5A">
      <w:pPr>
        <w:spacing w:line="360" w:lineRule="auto"/>
        <w:ind w:firstLine="420"/>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rsidR="00896C5A" w:rsidRPr="00E77CC9"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r w:rsidR="006F0FE2">
        <w:rPr>
          <w:rFonts w:ascii="宋体" w:hAnsi="宋体" w:hint="eastAsia"/>
          <w:sz w:val="24"/>
        </w:rPr>
        <w:t>、期货经纪机构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1210BD">
        <w:rPr>
          <w:rFonts w:ascii="宋体" w:hAnsi="宋体" w:hint="eastAsia"/>
          <w:sz w:val="24"/>
        </w:rPr>
        <w:t>及时</w:t>
      </w:r>
      <w:r w:rsidRPr="00E77CC9">
        <w:rPr>
          <w:rFonts w:ascii="宋体" w:hAnsi="宋体" w:hint="eastAsia"/>
          <w:sz w:val="24"/>
        </w:rPr>
        <w:t>从基金清算账户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媒介上公告并</w:t>
      </w:r>
      <w:r w:rsidRPr="00E77CC9">
        <w:rPr>
          <w:rFonts w:ascii="宋体" w:hAnsi="宋体"/>
          <w:sz w:val="24"/>
        </w:rPr>
        <w:t>报中国证监会备案</w:t>
      </w:r>
      <w:r w:rsidRPr="00E77CC9">
        <w:rPr>
          <w:rFonts w:ascii="宋体" w:hAnsi="宋体" w:hint="eastAsia"/>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rsidR="00896C5A" w:rsidRPr="00E77CC9" w:rsidRDefault="00896C5A">
      <w:pPr>
        <w:spacing w:line="360" w:lineRule="auto"/>
        <w:ind w:firstLine="480"/>
        <w:rPr>
          <w:rFonts w:ascii="宋体" w:hAnsi="宋体"/>
          <w:sz w:val="24"/>
        </w:rPr>
      </w:pP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1.财务报表的编制</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个工作日内完成月度报表的编制及复核；在每个季度结束之日起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Pr="00E77CC9">
        <w:rPr>
          <w:rFonts w:ascii="宋体" w:hAnsi="宋体"/>
          <w:sz w:val="24"/>
        </w:rPr>
        <w:t>60</w:t>
      </w:r>
      <w:r w:rsidRPr="00E77CC9">
        <w:rPr>
          <w:rFonts w:ascii="宋体" w:hAnsi="宋体" w:hint="eastAsia"/>
          <w:sz w:val="24"/>
        </w:rPr>
        <w:t>日内完成基金半年度报告的编制及复核；在每年结束之日起</w:t>
      </w:r>
      <w:r w:rsidRPr="00E77CC9">
        <w:rPr>
          <w:rFonts w:ascii="宋体" w:hAnsi="宋体"/>
          <w:sz w:val="24"/>
        </w:rPr>
        <w:t>90</w:t>
      </w:r>
      <w:r w:rsidRPr="00E77CC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rsidR="00101B49" w:rsidRPr="00E77CC9" w:rsidRDefault="00101B49" w:rsidP="00E77CC9">
      <w:pPr>
        <w:adjustRightInd w:val="0"/>
        <w:snapToGrid w:val="0"/>
        <w:spacing w:line="360" w:lineRule="auto"/>
        <w:ind w:firstLineChars="200" w:firstLine="480"/>
        <w:outlineLvl w:val="2"/>
        <w:rPr>
          <w:rFonts w:ascii="宋体" w:hAnsi="宋体"/>
          <w:sz w:val="24"/>
        </w:rPr>
      </w:pPr>
    </w:p>
    <w:p w:rsidR="00896C5A" w:rsidRPr="00E77CC9" w:rsidRDefault="00896C5A">
      <w:pPr>
        <w:pStyle w:val="a0"/>
        <w:adjustRightInd w:val="0"/>
        <w:snapToGrid w:val="0"/>
        <w:spacing w:line="360" w:lineRule="auto"/>
        <w:ind w:firstLineChars="0" w:firstLine="0"/>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基金的信息披露内容主要包括基金招募说明书、基金合同、托管协议、基金份额发售公告、基金合同生效公告、</w:t>
      </w:r>
      <w:r w:rsidR="008265D3" w:rsidRPr="004C0AAC">
        <w:rPr>
          <w:rFonts w:hint="eastAsia"/>
          <w:bCs/>
          <w:sz w:val="24"/>
        </w:rPr>
        <w:t>上市交易公告书</w:t>
      </w:r>
      <w:r w:rsidR="008265D3">
        <w:rPr>
          <w:rFonts w:hint="eastAsia"/>
          <w:bCs/>
          <w:sz w:val="24"/>
        </w:rPr>
        <w:t>、</w:t>
      </w:r>
      <w:r w:rsidRPr="00E77CC9">
        <w:rPr>
          <w:rFonts w:ascii="宋体" w:hAnsi="宋体" w:hint="eastAsia"/>
          <w:sz w:val="24"/>
        </w:rPr>
        <w:t>基金资产净值、基金份额净值、基金份额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中国证监会规定的其他信息。基金年度报告需经具有从事证券相关业务资格的会计师事务所审计后，方可披露。</w:t>
      </w:r>
    </w:p>
    <w:p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基金应当在季度报告、半年度报告、年度报告等定期报告和招募说明书（更新）等文件中披露港股通标的股票的投资情况。法律法规或中国证监会另有规定的，从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E77CC9">
        <w:rPr>
          <w:rFonts w:ascii="宋体" w:hAnsi="宋体" w:hint="eastAsia"/>
          <w:sz w:val="24"/>
        </w:rPr>
        <w:t>致使基金管理人、基金托管人无法准确评估基金资产价值时；</w:t>
      </w:r>
    </w:p>
    <w:p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占基金相当比例的投资品种的估值出现重大转变，而基金管理人为保障投资人的利益，决定延迟估值；</w:t>
      </w:r>
    </w:p>
    <w:p w:rsidR="007A6E8B"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4</w:t>
      </w:r>
      <w:r>
        <w:rPr>
          <w:rFonts w:ascii="宋体" w:hAnsi="宋体" w:hint="eastAsia"/>
          <w:sz w:val="24"/>
        </w:rPr>
        <w:t>)</w:t>
      </w:r>
      <w:r w:rsidR="00101B49" w:rsidRPr="00E77CC9">
        <w:rPr>
          <w:rFonts w:ascii="宋体" w:hAnsi="宋体" w:hint="eastAsia"/>
          <w:sz w:val="24"/>
        </w:rPr>
        <w:t>出现基金管理人认为属于会导致基金管理人不能出售或评估基金资产的紧急事故的任何情况；</w:t>
      </w:r>
    </w:p>
    <w:p w:rsidR="00896C5A"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5</w:t>
      </w:r>
      <w:r>
        <w:rPr>
          <w:rFonts w:ascii="宋体" w:hAnsi="宋体" w:hint="eastAsia"/>
          <w:sz w:val="24"/>
        </w:rPr>
        <w:t>)</w:t>
      </w:r>
      <w:r w:rsidR="00101B49" w:rsidRPr="00E77CC9">
        <w:rPr>
          <w:rFonts w:ascii="宋体" w:hAnsi="宋体" w:hint="eastAsia"/>
          <w:sz w:val="24"/>
        </w:rPr>
        <w:t>法律法规、基金合同或中国证监会规定的情况。</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w:t>
      </w:r>
      <w:r w:rsidRPr="00E77CC9">
        <w:rPr>
          <w:rFonts w:ascii="宋体" w:hAnsi="宋体"/>
          <w:sz w:val="24"/>
        </w:rPr>
        <w:lastRenderedPageBreak/>
        <w:t>基金托管人应保证文本的内容与所公告的内容完全一致。</w:t>
      </w:r>
    </w:p>
    <w:p w:rsidR="00896C5A" w:rsidRPr="009D084F" w:rsidRDefault="009D084F" w:rsidP="002E504F">
      <w:pPr>
        <w:pStyle w:val="a0"/>
        <w:spacing w:line="360" w:lineRule="auto"/>
        <w:ind w:firstLine="480"/>
        <w:rPr>
          <w:rFonts w:ascii="宋体" w:hAnsi="宋体"/>
          <w:sz w:val="24"/>
        </w:rPr>
      </w:pPr>
      <w:r w:rsidRPr="009D084F">
        <w:rPr>
          <w:rFonts w:ascii="宋体" w:hAnsi="宋体" w:hint="eastAsia"/>
          <w:sz w:val="24"/>
        </w:rPr>
        <w:t>（四）本基金信息披露事项以法律法规及基金合同“第</w:t>
      </w:r>
      <w:r>
        <w:rPr>
          <w:rFonts w:ascii="宋体" w:hAnsi="宋体" w:hint="eastAsia"/>
          <w:sz w:val="24"/>
        </w:rPr>
        <w:t>十九</w:t>
      </w:r>
      <w:r w:rsidRPr="009D084F">
        <w:rPr>
          <w:rFonts w:ascii="宋体" w:hAnsi="宋体" w:hint="eastAsia"/>
          <w:sz w:val="24"/>
        </w:rPr>
        <w:t>部分 基金的信息披露”约定的内容为准</w:t>
      </w:r>
      <w:r>
        <w:rPr>
          <w:rFonts w:ascii="宋体" w:hAnsi="宋体" w:hint="eastAsia"/>
          <w:sz w:val="24"/>
        </w:rPr>
        <w:t>。</w:t>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rsidR="00101B49" w:rsidRPr="00E77CC9" w:rsidRDefault="00101B49" w:rsidP="00E77CC9">
      <w:pPr>
        <w:adjustRightInd w:val="0"/>
        <w:snapToGrid w:val="0"/>
        <w:spacing w:line="360" w:lineRule="auto"/>
        <w:ind w:firstLineChars="200" w:firstLine="480"/>
        <w:rPr>
          <w:rFonts w:ascii="宋体" w:hAnsi="宋体"/>
          <w:b/>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w:t>
      </w:r>
      <w:proofErr w:type="gramStart"/>
      <w:r w:rsidRPr="00E77CC9">
        <w:rPr>
          <w:rFonts w:ascii="宋体" w:hAnsi="宋体" w:hint="eastAsia"/>
          <w:kern w:val="0"/>
          <w:sz w:val="24"/>
        </w:rPr>
        <w:t>见基金</w:t>
      </w:r>
      <w:proofErr w:type="gramEnd"/>
      <w:r w:rsidRPr="00E77CC9">
        <w:rPr>
          <w:rFonts w:ascii="宋体" w:hAnsi="宋体" w:hint="eastAsia"/>
          <w:kern w:val="0"/>
          <w:sz w:val="24"/>
        </w:rPr>
        <w:t>合同的相关约定。</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01B49" w:rsidRPr="00E77CC9" w:rsidRDefault="00101B49" w:rsidP="00E77CC9">
      <w:pPr>
        <w:adjustRightInd w:val="0"/>
        <w:snapToGrid w:val="0"/>
        <w:spacing w:line="336" w:lineRule="auto"/>
        <w:ind w:firstLineChars="200" w:firstLine="482"/>
        <w:rPr>
          <w:rFonts w:ascii="宋体" w:hAnsi="宋体"/>
          <w:b/>
          <w:sz w:val="24"/>
        </w:rPr>
      </w:pPr>
    </w:p>
    <w:p w:rsidR="00101B49" w:rsidRPr="00E77CC9" w:rsidRDefault="00101B49" w:rsidP="00E77CC9">
      <w:pPr>
        <w:widowControl/>
        <w:spacing w:line="336" w:lineRule="auto"/>
        <w:rPr>
          <w:rFonts w:ascii="宋体" w:hAnsi="宋体"/>
          <w:b/>
          <w:sz w:val="24"/>
        </w:rPr>
      </w:pPr>
      <w:bookmarkStart w:id="134" w:name="_Toc348082046"/>
    </w:p>
    <w:p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Pr="00E77CC9">
        <w:rPr>
          <w:rFonts w:ascii="宋体" w:hAnsi="宋体" w:hint="eastAsia"/>
          <w:sz w:val="24"/>
        </w:rPr>
        <w:t>立法）管辖。</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rsidR="00896C5A" w:rsidRPr="00456F57" w:rsidDel="009610E7"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DB301D" w:rsidRPr="00AD2E99" w:rsidRDefault="00DB301D" w:rsidP="000C19BE">
      <w:pPr>
        <w:adjustRightInd w:val="0"/>
        <w:snapToGrid w:val="0"/>
        <w:spacing w:line="360" w:lineRule="auto"/>
        <w:rPr>
          <w:rFonts w:ascii="宋体" w:hAnsi="宋体"/>
          <w:sz w:val="24"/>
        </w:rPr>
      </w:pPr>
    </w:p>
    <w:p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rsidR="0038018C" w:rsidRPr="00900BD8" w:rsidRDefault="0038018C" w:rsidP="0038018C">
      <w:pPr>
        <w:ind w:firstLineChars="202" w:firstLine="424"/>
        <w:rPr>
          <w:szCs w:val="21"/>
        </w:rPr>
      </w:pPr>
    </w:p>
    <w:p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rsidR="0038018C" w:rsidRPr="00900BD8" w:rsidRDefault="00717FC9" w:rsidP="00717FC9">
      <w:pPr>
        <w:widowControl/>
        <w:jc w:val="left"/>
        <w:rPr>
          <w:szCs w:val="21"/>
        </w:rPr>
      </w:pPr>
      <w:r>
        <w:rPr>
          <w:szCs w:val="21"/>
        </w:rPr>
        <w:br w:type="page"/>
      </w:r>
    </w:p>
    <w:p w:rsidR="0038018C" w:rsidRDefault="0038018C">
      <w:pPr>
        <w:widowControl/>
        <w:jc w:val="left"/>
        <w:rPr>
          <w:rFonts w:ascii="宋体"/>
          <w:szCs w:val="21"/>
        </w:rPr>
      </w:pPr>
    </w:p>
    <w:p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交银施罗德瑞丰</w:t>
      </w:r>
      <w:r w:rsidR="00F26E24">
        <w:rPr>
          <w:rFonts w:ascii="宋体" w:hint="eastAsia"/>
          <w:b/>
          <w:szCs w:val="21"/>
        </w:rPr>
        <w:t>三年封闭运作</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1"/>
    <w:p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CC0" w:rsidRDefault="005B1CC0" w:rsidP="00896C5A">
      <w:r>
        <w:separator/>
      </w:r>
    </w:p>
  </w:endnote>
  <w:endnote w:type="continuationSeparator" w:id="0">
    <w:p w:rsidR="005B1CC0" w:rsidRDefault="005B1CC0" w:rsidP="00896C5A">
      <w:r>
        <w:continuationSeparator/>
      </w:r>
    </w:p>
  </w:endnote>
  <w:endnote w:type="continuationNotice" w:id="1">
    <w:p w:rsidR="005B1CC0" w:rsidRDefault="005B1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64712"/>
      <w:docPartObj>
        <w:docPartGallery w:val="Page Numbers (Bottom of Page)"/>
        <w:docPartUnique/>
      </w:docPartObj>
    </w:sdtPr>
    <w:sdtEndPr/>
    <w:sdtContent>
      <w:p w:rsidR="00D31BFA" w:rsidRDefault="00E72662">
        <w:pPr>
          <w:pStyle w:val="ab"/>
          <w:jc w:val="center"/>
        </w:pPr>
        <w:r>
          <w:fldChar w:fldCharType="begin"/>
        </w:r>
        <w:r w:rsidR="00D31BFA">
          <w:instrText>PAGE   \* MERGEFORMAT</w:instrText>
        </w:r>
        <w:r>
          <w:fldChar w:fldCharType="separate"/>
        </w:r>
        <w:r w:rsidR="008D7D5C" w:rsidRPr="008D7D5C">
          <w:rPr>
            <w:noProof/>
            <w:lang w:val="zh-CN"/>
          </w:rPr>
          <w:t>13</w:t>
        </w:r>
        <w:r>
          <w:fldChar w:fldCharType="end"/>
        </w:r>
      </w:p>
    </w:sdtContent>
  </w:sdt>
  <w:p w:rsidR="00D31BFA" w:rsidRDefault="00D31B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CC0" w:rsidRDefault="005B1CC0" w:rsidP="00896C5A">
      <w:r>
        <w:separator/>
      </w:r>
    </w:p>
  </w:footnote>
  <w:footnote w:type="continuationSeparator" w:id="0">
    <w:p w:rsidR="005B1CC0" w:rsidRDefault="005B1CC0" w:rsidP="00896C5A">
      <w:r>
        <w:continuationSeparator/>
      </w:r>
    </w:p>
  </w:footnote>
  <w:footnote w:type="continuationNotice" w:id="1">
    <w:p w:rsidR="005B1CC0" w:rsidRDefault="005B1C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5798"/>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59C1"/>
    <w:rsid w:val="00275EA7"/>
    <w:rsid w:val="00276CBA"/>
    <w:rsid w:val="00285D79"/>
    <w:rsid w:val="00285E1A"/>
    <w:rsid w:val="0028655B"/>
    <w:rsid w:val="00287693"/>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04F"/>
    <w:rsid w:val="002E54B5"/>
    <w:rsid w:val="002F1E2E"/>
    <w:rsid w:val="002F2074"/>
    <w:rsid w:val="002F211E"/>
    <w:rsid w:val="002F3F6D"/>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25E66"/>
    <w:rsid w:val="00330931"/>
    <w:rsid w:val="00330FD6"/>
    <w:rsid w:val="00333237"/>
    <w:rsid w:val="00333679"/>
    <w:rsid w:val="003336F7"/>
    <w:rsid w:val="00333F0C"/>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28D8"/>
    <w:rsid w:val="00486012"/>
    <w:rsid w:val="0048671F"/>
    <w:rsid w:val="0048715E"/>
    <w:rsid w:val="004907C1"/>
    <w:rsid w:val="00491DA6"/>
    <w:rsid w:val="00492BCA"/>
    <w:rsid w:val="00492E8F"/>
    <w:rsid w:val="00493296"/>
    <w:rsid w:val="00493DC8"/>
    <w:rsid w:val="00494817"/>
    <w:rsid w:val="00496563"/>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1CC0"/>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48CD"/>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A60"/>
    <w:rsid w:val="00694C3B"/>
    <w:rsid w:val="006975FC"/>
    <w:rsid w:val="00697602"/>
    <w:rsid w:val="006A292D"/>
    <w:rsid w:val="006A2CB1"/>
    <w:rsid w:val="006A4448"/>
    <w:rsid w:val="006B2ACD"/>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463B"/>
    <w:rsid w:val="006E4F81"/>
    <w:rsid w:val="006E56FE"/>
    <w:rsid w:val="006E5ECE"/>
    <w:rsid w:val="006E63FD"/>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3B6"/>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D7D5C"/>
    <w:rsid w:val="008E125E"/>
    <w:rsid w:val="008E1EC1"/>
    <w:rsid w:val="008E4344"/>
    <w:rsid w:val="008E6C96"/>
    <w:rsid w:val="008F0650"/>
    <w:rsid w:val="008F2631"/>
    <w:rsid w:val="008F2B93"/>
    <w:rsid w:val="008F6378"/>
    <w:rsid w:val="00900BD8"/>
    <w:rsid w:val="00901401"/>
    <w:rsid w:val="00901436"/>
    <w:rsid w:val="00903789"/>
    <w:rsid w:val="009045B4"/>
    <w:rsid w:val="009058D2"/>
    <w:rsid w:val="00906C29"/>
    <w:rsid w:val="00907862"/>
    <w:rsid w:val="0090792E"/>
    <w:rsid w:val="00910249"/>
    <w:rsid w:val="0091039D"/>
    <w:rsid w:val="009121C9"/>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AAE"/>
    <w:rsid w:val="009C4DE8"/>
    <w:rsid w:val="009C5BB6"/>
    <w:rsid w:val="009C6D89"/>
    <w:rsid w:val="009C7626"/>
    <w:rsid w:val="009D084F"/>
    <w:rsid w:val="009D2821"/>
    <w:rsid w:val="009D394C"/>
    <w:rsid w:val="009D7312"/>
    <w:rsid w:val="009D78E5"/>
    <w:rsid w:val="009E00E4"/>
    <w:rsid w:val="009E2853"/>
    <w:rsid w:val="009E285D"/>
    <w:rsid w:val="009E411C"/>
    <w:rsid w:val="009E59D7"/>
    <w:rsid w:val="009E5B23"/>
    <w:rsid w:val="009F0843"/>
    <w:rsid w:val="009F0F8E"/>
    <w:rsid w:val="009F1103"/>
    <w:rsid w:val="009F1F57"/>
    <w:rsid w:val="009F25A2"/>
    <w:rsid w:val="009F2FF4"/>
    <w:rsid w:val="009F3FE1"/>
    <w:rsid w:val="009F53A5"/>
    <w:rsid w:val="009F5AA4"/>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351F"/>
    <w:rsid w:val="00D94926"/>
    <w:rsid w:val="00D94A1E"/>
    <w:rsid w:val="00D954A3"/>
    <w:rsid w:val="00D95676"/>
    <w:rsid w:val="00D959DA"/>
    <w:rsid w:val="00D95DCA"/>
    <w:rsid w:val="00D95EFC"/>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479"/>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1605"/>
    <w:rsid w:val="00DF2AB8"/>
    <w:rsid w:val="00DF34B5"/>
    <w:rsid w:val="00DF3717"/>
    <w:rsid w:val="00DF4957"/>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279EB"/>
    <w:rsid w:val="00E302B0"/>
    <w:rsid w:val="00E309FF"/>
    <w:rsid w:val="00E31932"/>
    <w:rsid w:val="00E31C1B"/>
    <w:rsid w:val="00E3280F"/>
    <w:rsid w:val="00E33ADC"/>
    <w:rsid w:val="00E34149"/>
    <w:rsid w:val="00E36674"/>
    <w:rsid w:val="00E36939"/>
    <w:rsid w:val="00E37798"/>
    <w:rsid w:val="00E401CD"/>
    <w:rsid w:val="00E41A40"/>
    <w:rsid w:val="00E42CDA"/>
    <w:rsid w:val="00E43062"/>
    <w:rsid w:val="00E43354"/>
    <w:rsid w:val="00E43A57"/>
    <w:rsid w:val="00E4548E"/>
    <w:rsid w:val="00E47B7D"/>
    <w:rsid w:val="00E51C8F"/>
    <w:rsid w:val="00E578ED"/>
    <w:rsid w:val="00E60608"/>
    <w:rsid w:val="00E60BC8"/>
    <w:rsid w:val="00E61E70"/>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6C77"/>
    <w:rsid w:val="00E870E0"/>
    <w:rsid w:val="00E8764F"/>
    <w:rsid w:val="00E900C3"/>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230"/>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TOC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rsid w:val="00B811D5"/>
    <w:pPr>
      <w:ind w:leftChars="800" w:left="1680"/>
    </w:pPr>
  </w:style>
  <w:style w:type="paragraph" w:styleId="TOC3">
    <w:name w:val="toc 3"/>
    <w:basedOn w:val="a"/>
    <w:next w:val="a"/>
    <w:semiHidden/>
    <w:rsid w:val="00B811D5"/>
    <w:pPr>
      <w:ind w:leftChars="400" w:left="840"/>
    </w:pPr>
  </w:style>
  <w:style w:type="paragraph" w:styleId="TOC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sid w:val="00B811D5"/>
  </w:style>
  <w:style w:type="paragraph" w:styleId="TOC4">
    <w:name w:val="toc 4"/>
    <w:basedOn w:val="a"/>
    <w:next w:val="a"/>
    <w:semiHidden/>
    <w:qFormat/>
    <w:rsid w:val="00B811D5"/>
    <w:pPr>
      <w:ind w:leftChars="600" w:left="1260"/>
    </w:pPr>
  </w:style>
  <w:style w:type="paragraph" w:styleId="TOC6">
    <w:name w:val="toc 6"/>
    <w:basedOn w:val="a"/>
    <w:next w:val="a"/>
    <w:semiHidden/>
    <w:rsid w:val="00B811D5"/>
    <w:pPr>
      <w:ind w:leftChars="1000" w:left="2100"/>
    </w:pPr>
  </w:style>
  <w:style w:type="paragraph" w:styleId="3">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uiPriority w:val="39"/>
    <w:rsid w:val="00B811D5"/>
    <w:pPr>
      <w:ind w:leftChars="200" w:left="420"/>
    </w:pPr>
  </w:style>
  <w:style w:type="paragraph" w:styleId="TOC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B9C8-2F03-46EF-BA23-1B04351912A7}">
  <ds:schemaRefs>
    <ds:schemaRef ds:uri="http://schemas.openxmlformats.org/officeDocument/2006/bibliography"/>
  </ds:schemaRefs>
</ds:datastoreItem>
</file>

<file path=customXml/itemProps10.xml><?xml version="1.0" encoding="utf-8"?>
<ds:datastoreItem xmlns:ds="http://schemas.openxmlformats.org/officeDocument/2006/customXml" ds:itemID="{32CB98FA-70B1-4BE7-8E33-D134AEF2431E}">
  <ds:schemaRefs>
    <ds:schemaRef ds:uri="http://schemas.openxmlformats.org/officeDocument/2006/bibliography"/>
  </ds:schemaRefs>
</ds:datastoreItem>
</file>

<file path=customXml/itemProps11.xml><?xml version="1.0" encoding="utf-8"?>
<ds:datastoreItem xmlns:ds="http://schemas.openxmlformats.org/officeDocument/2006/customXml" ds:itemID="{709C7E2F-5218-495E-B031-24A0CA46E883}">
  <ds:schemaRefs>
    <ds:schemaRef ds:uri="http://schemas.openxmlformats.org/officeDocument/2006/bibliography"/>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2F24B85A-454B-4458-8C6E-8256B1CC4E4B}">
  <ds:schemaRefs>
    <ds:schemaRef ds:uri="http://schemas.openxmlformats.org/officeDocument/2006/bibliography"/>
  </ds:schemaRefs>
</ds:datastoreItem>
</file>

<file path=customXml/itemProps14.xml><?xml version="1.0" encoding="utf-8"?>
<ds:datastoreItem xmlns:ds="http://schemas.openxmlformats.org/officeDocument/2006/customXml" ds:itemID="{CE1D5459-B310-43F6-8843-874982843CEB}">
  <ds:schemaRefs>
    <ds:schemaRef ds:uri="http://schemas.openxmlformats.org/officeDocument/2006/bibliography"/>
  </ds:schemaRefs>
</ds:datastoreItem>
</file>

<file path=customXml/itemProps15.xml><?xml version="1.0" encoding="utf-8"?>
<ds:datastoreItem xmlns:ds="http://schemas.openxmlformats.org/officeDocument/2006/customXml" ds:itemID="{FEF52995-CA10-49E6-BC39-E37A1843AC64}">
  <ds:schemaRefs>
    <ds:schemaRef ds:uri="http://schemas.openxmlformats.org/officeDocument/2006/bibliography"/>
  </ds:schemaRefs>
</ds:datastoreItem>
</file>

<file path=customXml/itemProps16.xml><?xml version="1.0" encoding="utf-8"?>
<ds:datastoreItem xmlns:ds="http://schemas.openxmlformats.org/officeDocument/2006/customXml" ds:itemID="{DBCA2B90-EA60-4C28-B42F-E49E53052258}">
  <ds:schemaRefs>
    <ds:schemaRef ds:uri="http://schemas.openxmlformats.org/officeDocument/2006/bibliography"/>
  </ds:schemaRefs>
</ds:datastoreItem>
</file>

<file path=customXml/itemProps17.xml><?xml version="1.0" encoding="utf-8"?>
<ds:datastoreItem xmlns:ds="http://schemas.openxmlformats.org/officeDocument/2006/customXml" ds:itemID="{ECBA9927-DD2F-4C56-8D93-76C3E7E16084}">
  <ds:schemaRefs>
    <ds:schemaRef ds:uri="http://schemas.openxmlformats.org/officeDocument/2006/bibliography"/>
  </ds:schemaRefs>
</ds:datastoreItem>
</file>

<file path=customXml/itemProps18.xml><?xml version="1.0" encoding="utf-8"?>
<ds:datastoreItem xmlns:ds="http://schemas.openxmlformats.org/officeDocument/2006/customXml" ds:itemID="{BFEA8BBE-6031-48B4-8A8B-EEB4C4EAE434}">
  <ds:schemaRefs>
    <ds:schemaRef ds:uri="http://schemas.openxmlformats.org/officeDocument/2006/bibliography"/>
  </ds:schemaRefs>
</ds:datastoreItem>
</file>

<file path=customXml/itemProps19.xml><?xml version="1.0" encoding="utf-8"?>
<ds:datastoreItem xmlns:ds="http://schemas.openxmlformats.org/officeDocument/2006/customXml" ds:itemID="{1C5C109E-540E-4D1B-95BC-7003644C44AA}">
  <ds:schemaRefs>
    <ds:schemaRef ds:uri="http://schemas.openxmlformats.org/officeDocument/2006/bibliography"/>
  </ds:schemaRefs>
</ds:datastoreItem>
</file>

<file path=customXml/itemProps2.xml><?xml version="1.0" encoding="utf-8"?>
<ds:datastoreItem xmlns:ds="http://schemas.openxmlformats.org/officeDocument/2006/customXml" ds:itemID="{E71C8DF1-C262-40F7-8264-63E4F0401AB3}">
  <ds:schemaRefs>
    <ds:schemaRef ds:uri="http://schemas.openxmlformats.org/officeDocument/2006/bibliography"/>
  </ds:schemaRefs>
</ds:datastoreItem>
</file>

<file path=customXml/itemProps20.xml><?xml version="1.0" encoding="utf-8"?>
<ds:datastoreItem xmlns:ds="http://schemas.openxmlformats.org/officeDocument/2006/customXml" ds:itemID="{1B19C8F5-17BF-4ED8-8B32-A73F7ADE2FF2}">
  <ds:schemaRefs>
    <ds:schemaRef ds:uri="http://schemas.openxmlformats.org/officeDocument/2006/bibliography"/>
  </ds:schemaRefs>
</ds:datastoreItem>
</file>

<file path=customXml/itemProps21.xml><?xml version="1.0" encoding="utf-8"?>
<ds:datastoreItem xmlns:ds="http://schemas.openxmlformats.org/officeDocument/2006/customXml" ds:itemID="{08750892-2485-4707-8414-E6EC5D0801B5}">
  <ds:schemaRefs>
    <ds:schemaRef ds:uri="http://schemas.openxmlformats.org/officeDocument/2006/bibliography"/>
  </ds:schemaRefs>
</ds:datastoreItem>
</file>

<file path=customXml/itemProps22.xml><?xml version="1.0" encoding="utf-8"?>
<ds:datastoreItem xmlns:ds="http://schemas.openxmlformats.org/officeDocument/2006/customXml" ds:itemID="{4B7BAA96-6536-45C4-BC65-7CC91819CFE7}">
  <ds:schemaRefs>
    <ds:schemaRef ds:uri="http://schemas.openxmlformats.org/officeDocument/2006/bibliography"/>
  </ds:schemaRefs>
</ds:datastoreItem>
</file>

<file path=customXml/itemProps23.xml><?xml version="1.0" encoding="utf-8"?>
<ds:datastoreItem xmlns:ds="http://schemas.openxmlformats.org/officeDocument/2006/customXml" ds:itemID="{8D766B86-D42F-468D-8A0A-F93463EA180A}">
  <ds:schemaRefs>
    <ds:schemaRef ds:uri="http://schemas.openxmlformats.org/officeDocument/2006/bibliography"/>
  </ds:schemaRefs>
</ds:datastoreItem>
</file>

<file path=customXml/itemProps24.xml><?xml version="1.0" encoding="utf-8"?>
<ds:datastoreItem xmlns:ds="http://schemas.openxmlformats.org/officeDocument/2006/customXml" ds:itemID="{0920E136-0780-4349-914B-4B6F4DAFB66E}">
  <ds:schemaRefs>
    <ds:schemaRef ds:uri="http://schemas.openxmlformats.org/officeDocument/2006/bibliography"/>
  </ds:schemaRefs>
</ds:datastoreItem>
</file>

<file path=customXml/itemProps25.xml><?xml version="1.0" encoding="utf-8"?>
<ds:datastoreItem xmlns:ds="http://schemas.openxmlformats.org/officeDocument/2006/customXml" ds:itemID="{D1C3A97C-5FF0-4833-9CF3-826B84CD224B}">
  <ds:schemaRefs>
    <ds:schemaRef ds:uri="http://schemas.openxmlformats.org/officeDocument/2006/bibliography"/>
  </ds:schemaRefs>
</ds:datastoreItem>
</file>

<file path=customXml/itemProps26.xml><?xml version="1.0" encoding="utf-8"?>
<ds:datastoreItem xmlns:ds="http://schemas.openxmlformats.org/officeDocument/2006/customXml" ds:itemID="{58135D5B-1B91-47CA-84AC-FBDC2398100B}">
  <ds:schemaRefs>
    <ds:schemaRef ds:uri="http://schemas.openxmlformats.org/officeDocument/2006/bibliography"/>
  </ds:schemaRefs>
</ds:datastoreItem>
</file>

<file path=customXml/itemProps27.xml><?xml version="1.0" encoding="utf-8"?>
<ds:datastoreItem xmlns:ds="http://schemas.openxmlformats.org/officeDocument/2006/customXml" ds:itemID="{1A098513-8D89-4AC1-8C3C-CC98842C62D7}">
  <ds:schemaRefs>
    <ds:schemaRef ds:uri="http://schemas.openxmlformats.org/officeDocument/2006/bibliography"/>
  </ds:schemaRefs>
</ds:datastoreItem>
</file>

<file path=customXml/itemProps28.xml><?xml version="1.0" encoding="utf-8"?>
<ds:datastoreItem xmlns:ds="http://schemas.openxmlformats.org/officeDocument/2006/customXml" ds:itemID="{0A809040-F725-4D98-99F7-856FECBD6381}">
  <ds:schemaRefs>
    <ds:schemaRef ds:uri="http://schemas.openxmlformats.org/officeDocument/2006/bibliography"/>
  </ds:schemaRefs>
</ds:datastoreItem>
</file>

<file path=customXml/itemProps29.xml><?xml version="1.0" encoding="utf-8"?>
<ds:datastoreItem xmlns:ds="http://schemas.openxmlformats.org/officeDocument/2006/customXml" ds:itemID="{1B414BAA-22D2-43EA-A7EE-7E79D784C2D4}">
  <ds:schemaRefs>
    <ds:schemaRef ds:uri="http://schemas.openxmlformats.org/officeDocument/2006/bibliography"/>
  </ds:schemaRefs>
</ds:datastoreItem>
</file>

<file path=customXml/itemProps3.xml><?xml version="1.0" encoding="utf-8"?>
<ds:datastoreItem xmlns:ds="http://schemas.openxmlformats.org/officeDocument/2006/customXml" ds:itemID="{F38E4704-8B72-4371-A805-D013B1553F2C}">
  <ds:schemaRefs>
    <ds:schemaRef ds:uri="http://schemas.openxmlformats.org/officeDocument/2006/bibliography"/>
  </ds:schemaRefs>
</ds:datastoreItem>
</file>

<file path=customXml/itemProps30.xml><?xml version="1.0" encoding="utf-8"?>
<ds:datastoreItem xmlns:ds="http://schemas.openxmlformats.org/officeDocument/2006/customXml" ds:itemID="{E27A3B5C-60BC-4C24-A42F-1DA7513C287D}">
  <ds:schemaRefs>
    <ds:schemaRef ds:uri="http://schemas.openxmlformats.org/officeDocument/2006/bibliography"/>
  </ds:schemaRefs>
</ds:datastoreItem>
</file>

<file path=customXml/itemProps31.xml><?xml version="1.0" encoding="utf-8"?>
<ds:datastoreItem xmlns:ds="http://schemas.openxmlformats.org/officeDocument/2006/customXml" ds:itemID="{EEBEE685-7D51-4E1B-97C5-0D2F1C172214}">
  <ds:schemaRefs>
    <ds:schemaRef ds:uri="http://schemas.openxmlformats.org/officeDocument/2006/bibliography"/>
  </ds:schemaRefs>
</ds:datastoreItem>
</file>

<file path=customXml/itemProps32.xml><?xml version="1.0" encoding="utf-8"?>
<ds:datastoreItem xmlns:ds="http://schemas.openxmlformats.org/officeDocument/2006/customXml" ds:itemID="{CC7596CE-1934-4993-9CD4-2D8B1E8D263B}">
  <ds:schemaRefs>
    <ds:schemaRef ds:uri="http://schemas.openxmlformats.org/officeDocument/2006/bibliography"/>
  </ds:schemaRefs>
</ds:datastoreItem>
</file>

<file path=customXml/itemProps33.xml><?xml version="1.0" encoding="utf-8"?>
<ds:datastoreItem xmlns:ds="http://schemas.openxmlformats.org/officeDocument/2006/customXml" ds:itemID="{1ECE3FFF-3417-43A9-9A2A-4D4F2FE0446A}">
  <ds:schemaRefs>
    <ds:schemaRef ds:uri="http://schemas.openxmlformats.org/officeDocument/2006/bibliography"/>
  </ds:schemaRefs>
</ds:datastoreItem>
</file>

<file path=customXml/itemProps34.xml><?xml version="1.0" encoding="utf-8"?>
<ds:datastoreItem xmlns:ds="http://schemas.openxmlformats.org/officeDocument/2006/customXml" ds:itemID="{7C03E89D-8FAE-491E-9D29-221B8D7E815B}">
  <ds:schemaRefs>
    <ds:schemaRef ds:uri="http://schemas.openxmlformats.org/officeDocument/2006/bibliography"/>
  </ds:schemaRefs>
</ds:datastoreItem>
</file>

<file path=customXml/itemProps35.xml><?xml version="1.0" encoding="utf-8"?>
<ds:datastoreItem xmlns:ds="http://schemas.openxmlformats.org/officeDocument/2006/customXml" ds:itemID="{6FB85112-8BA1-4FF4-9998-4C00C4B2F69D}">
  <ds:schemaRefs>
    <ds:schemaRef ds:uri="http://schemas.openxmlformats.org/officeDocument/2006/bibliography"/>
  </ds:schemaRefs>
</ds:datastoreItem>
</file>

<file path=customXml/itemProps36.xml><?xml version="1.0" encoding="utf-8"?>
<ds:datastoreItem xmlns:ds="http://schemas.openxmlformats.org/officeDocument/2006/customXml" ds:itemID="{5B47DA4B-4540-432C-833A-2D89C657B92C}">
  <ds:schemaRefs>
    <ds:schemaRef ds:uri="http://schemas.openxmlformats.org/officeDocument/2006/bibliography"/>
  </ds:schemaRefs>
</ds:datastoreItem>
</file>

<file path=customXml/itemProps37.xml><?xml version="1.0" encoding="utf-8"?>
<ds:datastoreItem xmlns:ds="http://schemas.openxmlformats.org/officeDocument/2006/customXml" ds:itemID="{C770598B-D2C9-4B50-A64A-AE9A59F31975}">
  <ds:schemaRefs>
    <ds:schemaRef ds:uri="http://schemas.openxmlformats.org/officeDocument/2006/bibliography"/>
  </ds:schemaRefs>
</ds:datastoreItem>
</file>

<file path=customXml/itemProps4.xml><?xml version="1.0" encoding="utf-8"?>
<ds:datastoreItem xmlns:ds="http://schemas.openxmlformats.org/officeDocument/2006/customXml" ds:itemID="{2A26DFC9-9AD3-4700-AD22-B9F90D2F77ED}">
  <ds:schemaRefs>
    <ds:schemaRef ds:uri="http://schemas.openxmlformats.org/officeDocument/2006/bibliography"/>
  </ds:schemaRefs>
</ds:datastoreItem>
</file>

<file path=customXml/itemProps5.xml><?xml version="1.0" encoding="utf-8"?>
<ds:datastoreItem xmlns:ds="http://schemas.openxmlformats.org/officeDocument/2006/customXml" ds:itemID="{6A4859AF-604B-45B3-B1B9-F4E809B8CB17}">
  <ds:schemaRefs>
    <ds:schemaRef ds:uri="http://schemas.openxmlformats.org/officeDocument/2006/bibliography"/>
  </ds:schemaRefs>
</ds:datastoreItem>
</file>

<file path=customXml/itemProps6.xml><?xml version="1.0" encoding="utf-8"?>
<ds:datastoreItem xmlns:ds="http://schemas.openxmlformats.org/officeDocument/2006/customXml" ds:itemID="{10C49CBA-DC68-4FF3-96C9-0F04B12D224B}">
  <ds:schemaRefs>
    <ds:schemaRef ds:uri="http://schemas.openxmlformats.org/officeDocument/2006/bibliography"/>
  </ds:schemaRefs>
</ds:datastoreItem>
</file>

<file path=customXml/itemProps7.xml><?xml version="1.0" encoding="utf-8"?>
<ds:datastoreItem xmlns:ds="http://schemas.openxmlformats.org/officeDocument/2006/customXml" ds:itemID="{FFC91830-60D7-4EDE-9026-7A870B7E09C2}">
  <ds:schemaRefs>
    <ds:schemaRef ds:uri="http://schemas.openxmlformats.org/officeDocument/2006/bibliography"/>
  </ds:schemaRefs>
</ds:datastoreItem>
</file>

<file path=customXml/itemProps8.xml><?xml version="1.0" encoding="utf-8"?>
<ds:datastoreItem xmlns:ds="http://schemas.openxmlformats.org/officeDocument/2006/customXml" ds:itemID="{6D388C70-1A24-42B7-BB0B-8EF15E58EA9F}">
  <ds:schemaRefs>
    <ds:schemaRef ds:uri="http://schemas.openxmlformats.org/officeDocument/2006/bibliography"/>
  </ds:schemaRefs>
</ds:datastoreItem>
</file>

<file path=customXml/itemProps9.xml><?xml version="1.0" encoding="utf-8"?>
<ds:datastoreItem xmlns:ds="http://schemas.openxmlformats.org/officeDocument/2006/customXml" ds:itemID="{DFF42418-E869-42C3-BA30-339A65AE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4858</Words>
  <Characters>27691</Characters>
  <Application>Microsoft Office Word</Application>
  <DocSecurity>0</DocSecurity>
  <Lines>230</Lines>
  <Paragraphs>64</Paragraphs>
  <ScaleCrop>false</ScaleCrop>
  <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10</cp:revision>
  <cp:lastPrinted>2018-10-08T11:53:00Z</cp:lastPrinted>
  <dcterms:created xsi:type="dcterms:W3CDTF">2019-09-14T06:39:00Z</dcterms:created>
  <dcterms:modified xsi:type="dcterms:W3CDTF">2020-11-13T05:16:00Z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