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35DF2" w14:textId="0AA4294D" w:rsidR="00722154" w:rsidRPr="008F71CF" w:rsidRDefault="00D60C56" w:rsidP="00D6675A">
      <w:pPr>
        <w:jc w:val="center"/>
        <w:rPr>
          <w:rFonts w:ascii="Times New Roman" w:eastAsiaTheme="majorEastAsia" w:hAnsi="Times New Roman" w:cs="Times New Roman"/>
          <w:b/>
          <w:sz w:val="30"/>
          <w:szCs w:val="30"/>
        </w:rPr>
      </w:pPr>
      <w:r w:rsidRPr="008F71CF">
        <w:rPr>
          <w:rFonts w:ascii="Times New Roman" w:eastAsiaTheme="majorEastAsia" w:hAnsi="Times New Roman" w:cs="Times New Roman"/>
          <w:b/>
          <w:sz w:val="30"/>
          <w:szCs w:val="30"/>
        </w:rPr>
        <w:t>交银施罗德基金管理有限公司</w:t>
      </w:r>
      <w:r w:rsidR="00C24746" w:rsidRPr="008F71CF">
        <w:rPr>
          <w:rFonts w:ascii="Times New Roman" w:eastAsiaTheme="majorEastAsia" w:hAnsi="Times New Roman" w:cs="Times New Roman"/>
          <w:b/>
          <w:sz w:val="30"/>
          <w:szCs w:val="30"/>
        </w:rPr>
        <w:t>关于</w:t>
      </w:r>
      <w:r w:rsidR="00C8693F">
        <w:rPr>
          <w:rFonts w:ascii="Times New Roman" w:eastAsiaTheme="majorEastAsia" w:hAnsi="Times New Roman" w:cs="Times New Roman" w:hint="eastAsia"/>
          <w:b/>
          <w:sz w:val="30"/>
          <w:szCs w:val="30"/>
        </w:rPr>
        <w:t>调整</w:t>
      </w:r>
      <w:r w:rsidR="00B859E2">
        <w:rPr>
          <w:rFonts w:ascii="Times New Roman" w:eastAsiaTheme="majorEastAsia" w:hAnsi="Times New Roman" w:cs="Times New Roman"/>
          <w:b/>
          <w:sz w:val="30"/>
          <w:szCs w:val="30"/>
        </w:rPr>
        <w:t>旗下</w:t>
      </w:r>
      <w:r w:rsidR="00514806" w:rsidRPr="00514806">
        <w:rPr>
          <w:rFonts w:ascii="Times New Roman" w:eastAsiaTheme="majorEastAsia" w:hAnsi="Times New Roman" w:cs="Times New Roman" w:hint="eastAsia"/>
          <w:b/>
          <w:sz w:val="30"/>
          <w:szCs w:val="30"/>
        </w:rPr>
        <w:t>部分基金投资范围并相应修改法律文件</w:t>
      </w:r>
      <w:r w:rsidR="00C24746" w:rsidRPr="008F71CF">
        <w:rPr>
          <w:rFonts w:ascii="Times New Roman" w:eastAsiaTheme="majorEastAsia" w:hAnsi="Times New Roman" w:cs="Times New Roman"/>
          <w:b/>
          <w:sz w:val="30"/>
          <w:szCs w:val="30"/>
        </w:rPr>
        <w:t>的公告</w:t>
      </w:r>
      <w:bookmarkStart w:id="0" w:name="_GoBack"/>
      <w:bookmarkEnd w:id="0"/>
    </w:p>
    <w:p w14:paraId="0647DBAB" w14:textId="77777777" w:rsidR="00F72B4C" w:rsidRPr="00210F89" w:rsidRDefault="00F72B4C" w:rsidP="00C24746">
      <w:pPr>
        <w:jc w:val="center"/>
        <w:rPr>
          <w:rFonts w:ascii="Times New Roman" w:eastAsiaTheme="majorEastAsia" w:hAnsi="Times New Roman" w:cs="Times New Roman"/>
          <w:b/>
          <w:sz w:val="30"/>
          <w:szCs w:val="30"/>
        </w:rPr>
      </w:pPr>
    </w:p>
    <w:p w14:paraId="0DC2DEEE" w14:textId="61862AAE" w:rsidR="00527244" w:rsidRDefault="00514806" w:rsidP="00504950">
      <w:pPr>
        <w:adjustRightInd w:val="0"/>
        <w:snapToGrid w:val="0"/>
        <w:spacing w:line="360" w:lineRule="auto"/>
        <w:ind w:firstLineChars="200" w:firstLine="480"/>
        <w:rPr>
          <w:rFonts w:ascii="Times New Roman" w:eastAsiaTheme="majorEastAsia" w:hAnsi="Times New Roman" w:cs="Times New Roman"/>
          <w:bCs/>
          <w:sz w:val="24"/>
          <w:szCs w:val="20"/>
        </w:rPr>
      </w:pPr>
      <w:r w:rsidRPr="00514806">
        <w:rPr>
          <w:rFonts w:ascii="Times New Roman" w:eastAsiaTheme="majorEastAsia" w:hAnsi="Times New Roman" w:cs="Times New Roman" w:hint="eastAsia"/>
          <w:bCs/>
          <w:sz w:val="24"/>
          <w:szCs w:val="20"/>
        </w:rPr>
        <w:t>为进一步丰富基金投资品种，满足投资者需求，根据《中华人民共和国证券投资基金法》、《公开募集证券投资基金运作管理办法》、《存托凭证发行与交易管理办法（试行）》等法律法规及各</w:t>
      </w:r>
      <w:proofErr w:type="gramStart"/>
      <w:r w:rsidRPr="00514806">
        <w:rPr>
          <w:rFonts w:ascii="Times New Roman" w:eastAsiaTheme="majorEastAsia" w:hAnsi="Times New Roman" w:cs="Times New Roman" w:hint="eastAsia"/>
          <w:bCs/>
          <w:sz w:val="24"/>
          <w:szCs w:val="20"/>
        </w:rPr>
        <w:t>基金基金</w:t>
      </w:r>
      <w:proofErr w:type="gramEnd"/>
      <w:r w:rsidRPr="00514806">
        <w:rPr>
          <w:rFonts w:ascii="Times New Roman" w:eastAsiaTheme="majorEastAsia" w:hAnsi="Times New Roman" w:cs="Times New Roman" w:hint="eastAsia"/>
          <w:bCs/>
          <w:sz w:val="24"/>
          <w:szCs w:val="20"/>
        </w:rPr>
        <w:t>合同、招募说明书及其更新等规定</w:t>
      </w:r>
      <w:r w:rsidR="00C3640C">
        <w:rPr>
          <w:rFonts w:ascii="Times New Roman" w:eastAsiaTheme="majorEastAsia" w:hAnsi="Times New Roman" w:cs="Times New Roman"/>
          <w:bCs/>
          <w:sz w:val="24"/>
          <w:szCs w:val="20"/>
        </w:rPr>
        <w:t>，</w:t>
      </w:r>
      <w:r w:rsidR="009C4B46">
        <w:rPr>
          <w:rFonts w:ascii="Times New Roman" w:eastAsiaTheme="majorEastAsia" w:hAnsi="Times New Roman" w:cs="Times New Roman"/>
          <w:bCs/>
          <w:sz w:val="24"/>
          <w:szCs w:val="20"/>
        </w:rPr>
        <w:t>本</w:t>
      </w:r>
      <w:r w:rsidR="009C4B46">
        <w:rPr>
          <w:rFonts w:ascii="Times New Roman" w:eastAsiaTheme="majorEastAsia" w:hAnsi="Times New Roman" w:cs="Times New Roman" w:hint="eastAsia"/>
          <w:bCs/>
          <w:sz w:val="24"/>
          <w:szCs w:val="20"/>
        </w:rPr>
        <w:t>公司</w:t>
      </w:r>
      <w:r w:rsidR="00A76382" w:rsidRPr="008F71CF">
        <w:rPr>
          <w:rFonts w:ascii="Times New Roman" w:eastAsiaTheme="majorEastAsia" w:hAnsi="Times New Roman" w:cs="Times New Roman"/>
          <w:bCs/>
          <w:sz w:val="24"/>
          <w:szCs w:val="20"/>
        </w:rPr>
        <w:t>经与基金托管人协商一致</w:t>
      </w:r>
      <w:r w:rsidR="00C3640C">
        <w:rPr>
          <w:rFonts w:ascii="Times New Roman" w:eastAsiaTheme="majorEastAsia" w:hAnsi="Times New Roman" w:cs="Times New Roman" w:hint="eastAsia"/>
          <w:bCs/>
          <w:sz w:val="24"/>
          <w:szCs w:val="20"/>
        </w:rPr>
        <w:t>，</w:t>
      </w:r>
      <w:r w:rsidR="00771C26" w:rsidRPr="0067424D">
        <w:rPr>
          <w:rFonts w:ascii="宋体" w:hAnsi="宋体" w:hint="eastAsia"/>
          <w:color w:val="000000"/>
          <w:sz w:val="24"/>
          <w:szCs w:val="24"/>
        </w:rPr>
        <w:t>并报中国证券监督管理委员会备案</w:t>
      </w:r>
      <w:r w:rsidR="00A76382" w:rsidRPr="008F71CF">
        <w:rPr>
          <w:rFonts w:ascii="Times New Roman" w:eastAsiaTheme="majorEastAsia" w:hAnsi="Times New Roman" w:cs="Times New Roman"/>
          <w:bCs/>
          <w:sz w:val="24"/>
          <w:szCs w:val="20"/>
        </w:rPr>
        <w:t>，</w:t>
      </w:r>
      <w:r w:rsidRPr="00514806">
        <w:rPr>
          <w:rFonts w:ascii="Times New Roman" w:eastAsiaTheme="majorEastAsia" w:hAnsi="Times New Roman" w:cs="Times New Roman" w:hint="eastAsia"/>
          <w:bCs/>
          <w:sz w:val="24"/>
          <w:szCs w:val="20"/>
        </w:rPr>
        <w:t>交银施罗德基金管理有限公司（以下简称“基金管理人”）决定对旗下部分</w:t>
      </w:r>
      <w:r w:rsidR="00504950" w:rsidRPr="00504950">
        <w:rPr>
          <w:rFonts w:ascii="Times New Roman" w:eastAsiaTheme="majorEastAsia" w:hAnsi="Times New Roman" w:cs="Times New Roman" w:hint="eastAsia"/>
          <w:bCs/>
          <w:sz w:val="24"/>
          <w:szCs w:val="20"/>
        </w:rPr>
        <w:t>公募基金</w:t>
      </w:r>
      <w:r w:rsidR="00A605B1">
        <w:rPr>
          <w:rFonts w:ascii="Times New Roman" w:eastAsiaTheme="majorEastAsia" w:hAnsi="Times New Roman" w:cs="Times New Roman" w:hint="eastAsia"/>
          <w:bCs/>
          <w:sz w:val="24"/>
          <w:szCs w:val="20"/>
        </w:rPr>
        <w:t>（具体基金清单请见附件）</w:t>
      </w:r>
      <w:r w:rsidR="00504950" w:rsidRPr="00504950">
        <w:rPr>
          <w:rFonts w:ascii="Times New Roman" w:eastAsiaTheme="majorEastAsia" w:hAnsi="Times New Roman" w:cs="Times New Roman" w:hint="eastAsia"/>
          <w:bCs/>
          <w:sz w:val="24"/>
          <w:szCs w:val="20"/>
        </w:rPr>
        <w:t>参与存托凭证投资修订基金合同等法律文件，包括明确投资范围包含存托凭证、增加存托凭证的投资策略、投资比例限制等，并在基金合同、基金招募说明书（更新）中增加投资存托凭证的风险揭示。本次修订对基金份额持有人利益无实质性不利影响，修订将自</w:t>
      </w:r>
      <w:r w:rsidR="00504950" w:rsidRPr="00504950">
        <w:rPr>
          <w:rFonts w:ascii="Times New Roman" w:eastAsiaTheme="majorEastAsia" w:hAnsi="Times New Roman" w:cs="Times New Roman" w:hint="eastAsia"/>
          <w:bCs/>
          <w:sz w:val="24"/>
          <w:szCs w:val="20"/>
        </w:rPr>
        <w:t>2020</w:t>
      </w:r>
      <w:r w:rsidR="00504950" w:rsidRPr="00504950">
        <w:rPr>
          <w:rFonts w:ascii="Times New Roman" w:eastAsiaTheme="majorEastAsia" w:hAnsi="Times New Roman" w:cs="Times New Roman" w:hint="eastAsia"/>
          <w:bCs/>
          <w:sz w:val="24"/>
          <w:szCs w:val="20"/>
        </w:rPr>
        <w:t>年</w:t>
      </w:r>
      <w:r w:rsidR="00E52950">
        <w:rPr>
          <w:rFonts w:ascii="Times New Roman" w:eastAsiaTheme="majorEastAsia" w:hAnsi="Times New Roman" w:cs="Times New Roman"/>
          <w:bCs/>
          <w:sz w:val="24"/>
          <w:szCs w:val="20"/>
        </w:rPr>
        <w:t>11</w:t>
      </w:r>
      <w:r w:rsidR="00504950" w:rsidRPr="00504950">
        <w:rPr>
          <w:rFonts w:ascii="Times New Roman" w:eastAsiaTheme="majorEastAsia" w:hAnsi="Times New Roman" w:cs="Times New Roman" w:hint="eastAsia"/>
          <w:bCs/>
          <w:sz w:val="24"/>
          <w:szCs w:val="20"/>
        </w:rPr>
        <w:t>月</w:t>
      </w:r>
      <w:r w:rsidR="00E52950">
        <w:rPr>
          <w:rFonts w:ascii="Times New Roman" w:eastAsiaTheme="majorEastAsia" w:hAnsi="Times New Roman" w:cs="Times New Roman"/>
          <w:bCs/>
          <w:sz w:val="24"/>
          <w:szCs w:val="20"/>
        </w:rPr>
        <w:t>19</w:t>
      </w:r>
      <w:r w:rsidR="00504950" w:rsidRPr="00504950">
        <w:rPr>
          <w:rFonts w:ascii="Times New Roman" w:eastAsiaTheme="majorEastAsia" w:hAnsi="Times New Roman" w:cs="Times New Roman" w:hint="eastAsia"/>
          <w:bCs/>
          <w:sz w:val="24"/>
          <w:szCs w:val="20"/>
        </w:rPr>
        <w:t>日起正式生效</w:t>
      </w:r>
      <w:r w:rsidR="00A76382" w:rsidRPr="008F71CF">
        <w:rPr>
          <w:rFonts w:ascii="Times New Roman" w:eastAsiaTheme="majorEastAsia" w:hAnsi="Times New Roman" w:cs="Times New Roman"/>
          <w:bCs/>
          <w:sz w:val="24"/>
          <w:szCs w:val="20"/>
        </w:rPr>
        <w:t>。</w:t>
      </w:r>
    </w:p>
    <w:p w14:paraId="59B8B070" w14:textId="07E07990" w:rsidR="001E0DBC" w:rsidRPr="001E0DBC" w:rsidRDefault="001E0DBC" w:rsidP="00DC1290">
      <w:pPr>
        <w:widowControl/>
        <w:adjustRightInd w:val="0"/>
        <w:snapToGrid w:val="0"/>
        <w:spacing w:line="360" w:lineRule="auto"/>
        <w:rPr>
          <w:rFonts w:ascii="Times New Roman" w:eastAsiaTheme="majorEastAsia" w:hAnsi="Times New Roman" w:cs="Times New Roman"/>
          <w:b/>
          <w:color w:val="000000"/>
          <w:kern w:val="0"/>
          <w:sz w:val="24"/>
        </w:rPr>
      </w:pPr>
    </w:p>
    <w:p w14:paraId="1A6DBDAB" w14:textId="32E0BFBC" w:rsidR="00307F1A" w:rsidRPr="00307F1A" w:rsidRDefault="00307F1A" w:rsidP="00307F1A">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一、基金合同修订内容</w:t>
      </w:r>
      <w:r w:rsidR="00636865">
        <w:rPr>
          <w:rFonts w:ascii="Times New Roman" w:eastAsiaTheme="majorEastAsia" w:hAnsi="Times New Roman" w:cs="Times New Roman" w:hint="eastAsia"/>
          <w:bCs/>
          <w:sz w:val="24"/>
          <w:szCs w:val="20"/>
        </w:rPr>
        <w:t>（</w:t>
      </w:r>
      <w:r w:rsidR="00636865">
        <w:rPr>
          <w:rFonts w:ascii="Times New Roman" w:eastAsiaTheme="majorEastAsia" w:hAnsi="Times New Roman" w:cs="Times New Roman"/>
          <w:bCs/>
          <w:sz w:val="24"/>
          <w:szCs w:val="20"/>
        </w:rPr>
        <w:t>以</w:t>
      </w:r>
      <w:r w:rsidR="00636865" w:rsidRPr="00636865">
        <w:rPr>
          <w:rFonts w:ascii="Times New Roman" w:eastAsiaTheme="majorEastAsia" w:hAnsi="Times New Roman" w:cs="Times New Roman" w:hint="eastAsia"/>
          <w:bCs/>
          <w:sz w:val="24"/>
          <w:szCs w:val="20"/>
        </w:rPr>
        <w:t>交银施罗德</w:t>
      </w:r>
      <w:proofErr w:type="gramStart"/>
      <w:r w:rsidR="00636865" w:rsidRPr="00636865">
        <w:rPr>
          <w:rFonts w:ascii="Times New Roman" w:eastAsiaTheme="majorEastAsia" w:hAnsi="Times New Roman" w:cs="Times New Roman" w:hint="eastAsia"/>
          <w:bCs/>
          <w:sz w:val="24"/>
          <w:szCs w:val="20"/>
        </w:rPr>
        <w:t>产业机遇</w:t>
      </w:r>
      <w:proofErr w:type="gramEnd"/>
      <w:r w:rsidR="00636865" w:rsidRPr="00636865">
        <w:rPr>
          <w:rFonts w:ascii="Times New Roman" w:eastAsiaTheme="majorEastAsia" w:hAnsi="Times New Roman" w:cs="Times New Roman" w:hint="eastAsia"/>
          <w:bCs/>
          <w:sz w:val="24"/>
          <w:szCs w:val="20"/>
        </w:rPr>
        <w:t>混合型证券投资基金</w:t>
      </w:r>
      <w:r w:rsidR="00636865">
        <w:rPr>
          <w:rFonts w:ascii="Times New Roman" w:eastAsiaTheme="majorEastAsia" w:hAnsi="Times New Roman" w:cs="Times New Roman" w:hint="eastAsia"/>
          <w:bCs/>
          <w:sz w:val="24"/>
          <w:szCs w:val="20"/>
        </w:rPr>
        <w:t>为例</w:t>
      </w:r>
      <w:r w:rsidR="00636865">
        <w:rPr>
          <w:rFonts w:ascii="Times New Roman" w:eastAsiaTheme="majorEastAsia" w:hAnsi="Times New Roman" w:cs="Times New Roman"/>
          <w:bCs/>
          <w:sz w:val="24"/>
          <w:szCs w:val="20"/>
        </w:rPr>
        <w:t>）</w:t>
      </w:r>
    </w:p>
    <w:p w14:paraId="7F11FBC5" w14:textId="77777777" w:rsidR="00307F1A" w:rsidRPr="00307F1A" w:rsidRDefault="00307F1A" w:rsidP="00E52950">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1</w:t>
      </w:r>
      <w:r w:rsidRPr="00307F1A">
        <w:rPr>
          <w:rFonts w:ascii="Times New Roman" w:eastAsiaTheme="majorEastAsia" w:hAnsi="Times New Roman" w:cs="Times New Roman" w:hint="eastAsia"/>
          <w:bCs/>
          <w:sz w:val="24"/>
          <w:szCs w:val="20"/>
        </w:rPr>
        <w:t>、在前言部分增加存托凭证的风险提示</w:t>
      </w:r>
    </w:p>
    <w:p w14:paraId="6FF4ACAD" w14:textId="75345E07" w:rsidR="00307F1A" w:rsidRPr="00307F1A" w:rsidRDefault="00307F1A" w:rsidP="00E52950">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本基金可投资国内依法发行上市的存托凭证，基金净值可能受到存托凭证的境外基础证券价格波动影响，与存托凭证的境外基础证券、境外基础证券的发行人及境内外交易机制相关的风险可能直接或间接成为本基金风险。具体风险烦请查阅本基金招募说明书“风险揭示”章节内容。</w:t>
      </w:r>
    </w:p>
    <w:p w14:paraId="18914948" w14:textId="77777777" w:rsidR="00307F1A" w:rsidRPr="00307F1A" w:rsidRDefault="00307F1A" w:rsidP="00E52950">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本基金可根据投资策略需要或市场环境的变化，选择将部分基金资产投资于存托凭证或选择不将基金资产投资于存托凭证，基金资产并非必然投资存托凭证。”</w:t>
      </w:r>
    </w:p>
    <w:p w14:paraId="18B5204E" w14:textId="77777777" w:rsidR="00307F1A" w:rsidRPr="00307F1A" w:rsidRDefault="00307F1A" w:rsidP="00E52950">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2</w:t>
      </w:r>
      <w:r w:rsidRPr="00307F1A">
        <w:rPr>
          <w:rFonts w:ascii="Times New Roman" w:eastAsiaTheme="majorEastAsia" w:hAnsi="Times New Roman" w:cs="Times New Roman" w:hint="eastAsia"/>
          <w:bCs/>
          <w:sz w:val="24"/>
          <w:szCs w:val="20"/>
        </w:rPr>
        <w:t>、在投资范围中增加存托凭证</w:t>
      </w:r>
    </w:p>
    <w:p w14:paraId="77A51F4F" w14:textId="77777777" w:rsidR="00307F1A" w:rsidRPr="00307F1A" w:rsidRDefault="00307F1A" w:rsidP="00E52950">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本基金的投资范围为具有良好流动性的金融工具，包括国内依法发行上市的股票（含中小板、创业板及其他经中国证监会核准或注册上市的股票、存托凭证）、港股通标的股票、债券（含国债、央行票据、金融债券、政府支持债券、政府支持机构债券、地方政府债券、企业债券、公司债券、可转换债券（含可分离交易可转换债券的纯债部分）、可交换公司债券、公开发行的次级债券、中期票据、短期融资</w:t>
      </w:r>
      <w:proofErr w:type="gramStart"/>
      <w:r w:rsidRPr="00307F1A">
        <w:rPr>
          <w:rFonts w:ascii="Times New Roman" w:eastAsiaTheme="majorEastAsia" w:hAnsi="Times New Roman" w:cs="Times New Roman" w:hint="eastAsia"/>
          <w:bCs/>
          <w:sz w:val="24"/>
          <w:szCs w:val="20"/>
        </w:rPr>
        <w:t>券</w:t>
      </w:r>
      <w:proofErr w:type="gramEnd"/>
      <w:r w:rsidRPr="00307F1A">
        <w:rPr>
          <w:rFonts w:ascii="Times New Roman" w:eastAsiaTheme="majorEastAsia" w:hAnsi="Times New Roman" w:cs="Times New Roman" w:hint="eastAsia"/>
          <w:bCs/>
          <w:sz w:val="24"/>
          <w:szCs w:val="20"/>
        </w:rPr>
        <w:t>、超短期融资</w:t>
      </w:r>
      <w:proofErr w:type="gramStart"/>
      <w:r w:rsidRPr="00307F1A">
        <w:rPr>
          <w:rFonts w:ascii="Times New Roman" w:eastAsiaTheme="majorEastAsia" w:hAnsi="Times New Roman" w:cs="Times New Roman" w:hint="eastAsia"/>
          <w:bCs/>
          <w:sz w:val="24"/>
          <w:szCs w:val="20"/>
        </w:rPr>
        <w:t>券</w:t>
      </w:r>
      <w:proofErr w:type="gramEnd"/>
      <w:r w:rsidRPr="00307F1A">
        <w:rPr>
          <w:rFonts w:ascii="Times New Roman" w:eastAsiaTheme="majorEastAsia" w:hAnsi="Times New Roman" w:cs="Times New Roman" w:hint="eastAsia"/>
          <w:bCs/>
          <w:sz w:val="24"/>
          <w:szCs w:val="20"/>
        </w:rPr>
        <w:t>等）、资产支持证券、货币市场工具、债券回</w:t>
      </w:r>
      <w:r w:rsidRPr="00307F1A">
        <w:rPr>
          <w:rFonts w:ascii="Times New Roman" w:eastAsiaTheme="majorEastAsia" w:hAnsi="Times New Roman" w:cs="Times New Roman" w:hint="eastAsia"/>
          <w:bCs/>
          <w:sz w:val="24"/>
          <w:szCs w:val="20"/>
        </w:rPr>
        <w:lastRenderedPageBreak/>
        <w:t>购、同业存单、银行存款（含协议存款、定期存款及其他银行存款）、股指期货以及法律法规或中国证监会允许基金投资的其他金融工具（但须符合中国证监会相关规定）。”</w:t>
      </w:r>
    </w:p>
    <w:p w14:paraId="14AF04C6" w14:textId="77777777" w:rsidR="00307F1A" w:rsidRPr="00307F1A" w:rsidRDefault="00307F1A" w:rsidP="00E52950">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3</w:t>
      </w:r>
      <w:r w:rsidRPr="00307F1A">
        <w:rPr>
          <w:rFonts w:ascii="Times New Roman" w:eastAsiaTheme="majorEastAsia" w:hAnsi="Times New Roman" w:cs="Times New Roman" w:hint="eastAsia"/>
          <w:bCs/>
          <w:sz w:val="24"/>
          <w:szCs w:val="20"/>
        </w:rPr>
        <w:t>、在投资组合比例中增加存托凭证</w:t>
      </w:r>
    </w:p>
    <w:p w14:paraId="1956E923" w14:textId="77777777" w:rsidR="00307F1A" w:rsidRPr="00307F1A" w:rsidRDefault="00307F1A" w:rsidP="00E52950">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“基金的投资组合比例为：股票投资（含存托凭证）占基金资产的比例为</w:t>
      </w:r>
      <w:r w:rsidRPr="00307F1A">
        <w:rPr>
          <w:rFonts w:ascii="Times New Roman" w:eastAsiaTheme="majorEastAsia" w:hAnsi="Times New Roman" w:cs="Times New Roman" w:hint="eastAsia"/>
          <w:bCs/>
          <w:sz w:val="24"/>
          <w:szCs w:val="20"/>
        </w:rPr>
        <w:t>60%-95%</w:t>
      </w:r>
      <w:r w:rsidRPr="00307F1A">
        <w:rPr>
          <w:rFonts w:ascii="Times New Roman" w:eastAsiaTheme="majorEastAsia" w:hAnsi="Times New Roman" w:cs="Times New Roman" w:hint="eastAsia"/>
          <w:bCs/>
          <w:sz w:val="24"/>
          <w:szCs w:val="20"/>
        </w:rPr>
        <w:t>（其中投资于港股通标的股票的比例占股票资产的</w:t>
      </w:r>
      <w:r w:rsidRPr="00307F1A">
        <w:rPr>
          <w:rFonts w:ascii="Times New Roman" w:eastAsiaTheme="majorEastAsia" w:hAnsi="Times New Roman" w:cs="Times New Roman" w:hint="eastAsia"/>
          <w:bCs/>
          <w:sz w:val="24"/>
          <w:szCs w:val="20"/>
        </w:rPr>
        <w:t>0%-50%</w:t>
      </w:r>
      <w:r w:rsidRPr="00307F1A">
        <w:rPr>
          <w:rFonts w:ascii="Times New Roman" w:eastAsiaTheme="majorEastAsia" w:hAnsi="Times New Roman" w:cs="Times New Roman" w:hint="eastAsia"/>
          <w:bCs/>
          <w:sz w:val="24"/>
          <w:szCs w:val="20"/>
        </w:rPr>
        <w:t>），投资于产业机遇主题相关证券的比例不低于非现金基金资产的</w:t>
      </w:r>
      <w:r w:rsidRPr="00307F1A">
        <w:rPr>
          <w:rFonts w:ascii="Times New Roman" w:eastAsiaTheme="majorEastAsia" w:hAnsi="Times New Roman" w:cs="Times New Roman" w:hint="eastAsia"/>
          <w:bCs/>
          <w:sz w:val="24"/>
          <w:szCs w:val="20"/>
        </w:rPr>
        <w:t>80%</w:t>
      </w:r>
      <w:r w:rsidRPr="00307F1A">
        <w:rPr>
          <w:rFonts w:ascii="Times New Roman" w:eastAsiaTheme="majorEastAsia" w:hAnsi="Times New Roman" w:cs="Times New Roman" w:hint="eastAsia"/>
          <w:bCs/>
          <w:sz w:val="24"/>
          <w:szCs w:val="20"/>
        </w:rPr>
        <w:t>；每个交易日日终在扣除股指期货合约需缴纳的交易保证金后，本基金保留的现金或者投资于到期日在一年以内的政府债券的比例合计不低于基金资产净值的</w:t>
      </w:r>
      <w:r w:rsidRPr="00307F1A">
        <w:rPr>
          <w:rFonts w:ascii="Times New Roman" w:eastAsiaTheme="majorEastAsia" w:hAnsi="Times New Roman" w:cs="Times New Roman" w:hint="eastAsia"/>
          <w:bCs/>
          <w:sz w:val="24"/>
          <w:szCs w:val="20"/>
        </w:rPr>
        <w:t>5%</w:t>
      </w:r>
      <w:r w:rsidRPr="00307F1A">
        <w:rPr>
          <w:rFonts w:ascii="Times New Roman" w:eastAsiaTheme="majorEastAsia" w:hAnsi="Times New Roman" w:cs="Times New Roman" w:hint="eastAsia"/>
          <w:bCs/>
          <w:sz w:val="24"/>
          <w:szCs w:val="20"/>
        </w:rPr>
        <w:t>，其中现金不包括结算备付金、存出保证金、应收申购款等。”</w:t>
      </w:r>
    </w:p>
    <w:p w14:paraId="363AA8F3" w14:textId="77777777" w:rsidR="00307F1A" w:rsidRPr="00307F1A" w:rsidRDefault="00307F1A" w:rsidP="00E52950">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4</w:t>
      </w:r>
      <w:r w:rsidRPr="00307F1A">
        <w:rPr>
          <w:rFonts w:ascii="Times New Roman" w:eastAsiaTheme="majorEastAsia" w:hAnsi="Times New Roman" w:cs="Times New Roman" w:hint="eastAsia"/>
          <w:bCs/>
          <w:sz w:val="24"/>
          <w:szCs w:val="20"/>
        </w:rPr>
        <w:t>、在投资策略中增加存托凭证的投资策略</w:t>
      </w:r>
    </w:p>
    <w:p w14:paraId="037045D4" w14:textId="7E61204D" w:rsidR="00307F1A" w:rsidRPr="00307F1A" w:rsidRDefault="00307F1A" w:rsidP="00E52950">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“存托凭证的投资策略</w:t>
      </w:r>
    </w:p>
    <w:p w14:paraId="05337770" w14:textId="77777777" w:rsidR="00307F1A" w:rsidRPr="00307F1A" w:rsidRDefault="00307F1A" w:rsidP="00E52950">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本基金投资存托凭证的策略依照境内上市交易的股票投资策略执行。”</w:t>
      </w:r>
    </w:p>
    <w:p w14:paraId="2279B79D" w14:textId="77777777" w:rsidR="00307F1A" w:rsidRPr="00307F1A" w:rsidRDefault="00307F1A" w:rsidP="00E52950">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5</w:t>
      </w:r>
      <w:r w:rsidRPr="00307F1A">
        <w:rPr>
          <w:rFonts w:ascii="Times New Roman" w:eastAsiaTheme="majorEastAsia" w:hAnsi="Times New Roman" w:cs="Times New Roman" w:hint="eastAsia"/>
          <w:bCs/>
          <w:sz w:val="24"/>
          <w:szCs w:val="20"/>
        </w:rPr>
        <w:t>、在投资限制中增加存托凭证</w:t>
      </w:r>
    </w:p>
    <w:p w14:paraId="3285D728" w14:textId="4C8B10B9" w:rsidR="00307F1A" w:rsidRPr="00307F1A" w:rsidRDefault="00307F1A" w:rsidP="00E52950">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“股票投资（含存托凭证）占基金资产的比例为</w:t>
      </w:r>
      <w:r w:rsidRPr="00307F1A">
        <w:rPr>
          <w:rFonts w:ascii="Times New Roman" w:eastAsiaTheme="majorEastAsia" w:hAnsi="Times New Roman" w:cs="Times New Roman" w:hint="eastAsia"/>
          <w:bCs/>
          <w:sz w:val="24"/>
          <w:szCs w:val="20"/>
        </w:rPr>
        <w:t>60%-95%</w:t>
      </w:r>
      <w:r w:rsidRPr="00307F1A">
        <w:rPr>
          <w:rFonts w:ascii="Times New Roman" w:eastAsiaTheme="majorEastAsia" w:hAnsi="Times New Roman" w:cs="Times New Roman" w:hint="eastAsia"/>
          <w:bCs/>
          <w:sz w:val="24"/>
          <w:szCs w:val="20"/>
        </w:rPr>
        <w:t>（其中投资于港股通标的股票的比例占股票资产的</w:t>
      </w:r>
      <w:r w:rsidRPr="00307F1A">
        <w:rPr>
          <w:rFonts w:ascii="Times New Roman" w:eastAsiaTheme="majorEastAsia" w:hAnsi="Times New Roman" w:cs="Times New Roman" w:hint="eastAsia"/>
          <w:bCs/>
          <w:sz w:val="24"/>
          <w:szCs w:val="20"/>
        </w:rPr>
        <w:t>0%-50%</w:t>
      </w:r>
      <w:r w:rsidRPr="00307F1A">
        <w:rPr>
          <w:rFonts w:ascii="Times New Roman" w:eastAsiaTheme="majorEastAsia" w:hAnsi="Times New Roman" w:cs="Times New Roman" w:hint="eastAsia"/>
          <w:bCs/>
          <w:sz w:val="24"/>
          <w:szCs w:val="20"/>
        </w:rPr>
        <w:t>），投资于产业机遇主题相关证券的比例不低于非现金基金资产的</w:t>
      </w:r>
      <w:r w:rsidRPr="00307F1A">
        <w:rPr>
          <w:rFonts w:ascii="Times New Roman" w:eastAsiaTheme="majorEastAsia" w:hAnsi="Times New Roman" w:cs="Times New Roman" w:hint="eastAsia"/>
          <w:bCs/>
          <w:sz w:val="24"/>
          <w:szCs w:val="20"/>
        </w:rPr>
        <w:t>80%</w:t>
      </w:r>
      <w:r w:rsidRPr="00307F1A">
        <w:rPr>
          <w:rFonts w:ascii="Times New Roman" w:eastAsiaTheme="majorEastAsia" w:hAnsi="Times New Roman" w:cs="Times New Roman" w:hint="eastAsia"/>
          <w:bCs/>
          <w:sz w:val="24"/>
          <w:szCs w:val="20"/>
        </w:rPr>
        <w:t>；”</w:t>
      </w:r>
    </w:p>
    <w:p w14:paraId="539BDA32" w14:textId="38A7C35A" w:rsidR="00307F1A" w:rsidRPr="00307F1A" w:rsidRDefault="00307F1A" w:rsidP="00E52950">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“本基金投资存托凭证的比例限制依照境内上市交易的股票执行；”</w:t>
      </w:r>
    </w:p>
    <w:p w14:paraId="1D0E80A4" w14:textId="77777777" w:rsidR="00307F1A" w:rsidRPr="00307F1A" w:rsidRDefault="00307F1A" w:rsidP="00E52950">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6</w:t>
      </w:r>
      <w:r w:rsidRPr="00307F1A">
        <w:rPr>
          <w:rFonts w:ascii="Times New Roman" w:eastAsiaTheme="majorEastAsia" w:hAnsi="Times New Roman" w:cs="Times New Roman" w:hint="eastAsia"/>
          <w:bCs/>
          <w:sz w:val="24"/>
          <w:szCs w:val="20"/>
        </w:rPr>
        <w:t>、在估值方法中增加存托凭证的估值核算方法</w:t>
      </w:r>
    </w:p>
    <w:p w14:paraId="5069CA33" w14:textId="2F343D4E" w:rsidR="00307F1A" w:rsidRPr="00307F1A" w:rsidRDefault="00307F1A" w:rsidP="00E52950">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“本基金投资存托凭证的估值核算依照境内上市交易的股票执行。”</w:t>
      </w:r>
    </w:p>
    <w:p w14:paraId="057EF054" w14:textId="77777777" w:rsidR="00307F1A" w:rsidRPr="00307F1A" w:rsidRDefault="00307F1A" w:rsidP="00307F1A">
      <w:pPr>
        <w:spacing w:line="360" w:lineRule="auto"/>
        <w:rPr>
          <w:rFonts w:ascii="Times New Roman" w:eastAsiaTheme="majorEastAsia" w:hAnsi="Times New Roman" w:cs="Times New Roman"/>
          <w:bCs/>
          <w:sz w:val="24"/>
          <w:szCs w:val="20"/>
        </w:rPr>
      </w:pPr>
    </w:p>
    <w:p w14:paraId="71D68C45" w14:textId="1BF89B20" w:rsidR="00307F1A" w:rsidRPr="00307F1A" w:rsidRDefault="00307F1A" w:rsidP="00307F1A">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二、托管协议</w:t>
      </w:r>
      <w:r w:rsidR="00BF5895">
        <w:rPr>
          <w:rFonts w:ascii="Times New Roman" w:eastAsiaTheme="majorEastAsia" w:hAnsi="Times New Roman" w:cs="Times New Roman" w:hint="eastAsia"/>
          <w:bCs/>
          <w:sz w:val="24"/>
          <w:szCs w:val="20"/>
        </w:rPr>
        <w:t>、</w:t>
      </w:r>
      <w:r w:rsidR="00BF5895">
        <w:rPr>
          <w:rFonts w:ascii="Times New Roman" w:eastAsiaTheme="majorEastAsia" w:hAnsi="Times New Roman" w:cs="Times New Roman"/>
          <w:bCs/>
          <w:sz w:val="24"/>
          <w:szCs w:val="20"/>
        </w:rPr>
        <w:t>招募说明书（更新）等</w:t>
      </w:r>
      <w:r w:rsidRPr="00307F1A">
        <w:rPr>
          <w:rFonts w:ascii="Times New Roman" w:eastAsiaTheme="majorEastAsia" w:hAnsi="Times New Roman" w:cs="Times New Roman" w:hint="eastAsia"/>
          <w:bCs/>
          <w:sz w:val="24"/>
          <w:szCs w:val="20"/>
        </w:rPr>
        <w:t>修订内容</w:t>
      </w:r>
    </w:p>
    <w:p w14:paraId="1D558EB6" w14:textId="7320465A" w:rsidR="00653BDA" w:rsidRDefault="00307F1A" w:rsidP="00307F1A">
      <w:pPr>
        <w:spacing w:line="360" w:lineRule="auto"/>
        <w:ind w:firstLineChars="200" w:firstLine="480"/>
        <w:rPr>
          <w:rFonts w:ascii="Times New Roman" w:eastAsiaTheme="majorEastAsia" w:hAnsi="Times New Roman" w:cs="Times New Roman"/>
          <w:bCs/>
          <w:sz w:val="24"/>
          <w:szCs w:val="20"/>
        </w:rPr>
      </w:pPr>
      <w:r w:rsidRPr="00307F1A">
        <w:rPr>
          <w:rFonts w:ascii="Times New Roman" w:eastAsiaTheme="majorEastAsia" w:hAnsi="Times New Roman" w:cs="Times New Roman" w:hint="eastAsia"/>
          <w:bCs/>
          <w:sz w:val="24"/>
          <w:szCs w:val="20"/>
        </w:rPr>
        <w:t>托管协议</w:t>
      </w:r>
      <w:r w:rsidR="00BF5895">
        <w:rPr>
          <w:rFonts w:ascii="Times New Roman" w:eastAsiaTheme="majorEastAsia" w:hAnsi="Times New Roman" w:cs="Times New Roman" w:hint="eastAsia"/>
          <w:bCs/>
          <w:sz w:val="24"/>
          <w:szCs w:val="20"/>
        </w:rPr>
        <w:t>、</w:t>
      </w:r>
      <w:r w:rsidR="00BF5895">
        <w:rPr>
          <w:rFonts w:ascii="Times New Roman" w:eastAsiaTheme="majorEastAsia" w:hAnsi="Times New Roman" w:cs="Times New Roman"/>
          <w:bCs/>
          <w:sz w:val="24"/>
          <w:szCs w:val="20"/>
        </w:rPr>
        <w:t>招募说明书（更新）等</w:t>
      </w:r>
      <w:r w:rsidRPr="00307F1A">
        <w:rPr>
          <w:rFonts w:ascii="Times New Roman" w:eastAsiaTheme="majorEastAsia" w:hAnsi="Times New Roman" w:cs="Times New Roman" w:hint="eastAsia"/>
          <w:bCs/>
          <w:sz w:val="24"/>
          <w:szCs w:val="20"/>
        </w:rPr>
        <w:t>涉及上述相关内容的条款也均进行了相应修订。</w:t>
      </w:r>
    </w:p>
    <w:p w14:paraId="71308C3E" w14:textId="77777777" w:rsidR="00307F1A" w:rsidRPr="008F71CF" w:rsidRDefault="00307F1A" w:rsidP="00307F1A">
      <w:pPr>
        <w:spacing w:line="360" w:lineRule="auto"/>
        <w:ind w:firstLineChars="200" w:firstLine="420"/>
      </w:pPr>
    </w:p>
    <w:p w14:paraId="7650944F" w14:textId="77777777" w:rsidR="00D17B52" w:rsidRDefault="008867E3" w:rsidP="009E3192">
      <w:pPr>
        <w:pStyle w:val="a7"/>
        <w:spacing w:before="0" w:beforeAutospacing="0" w:after="0" w:afterAutospacing="0" w:line="360" w:lineRule="auto"/>
        <w:ind w:firstLineChars="200" w:firstLine="482"/>
        <w:jc w:val="both"/>
        <w:rPr>
          <w:rFonts w:ascii="Times New Roman" w:eastAsiaTheme="majorEastAsia" w:hAnsi="Times New Roman" w:cs="Times New Roman"/>
          <w:b/>
          <w:color w:val="000000"/>
        </w:rPr>
      </w:pPr>
      <w:r w:rsidRPr="008867E3">
        <w:rPr>
          <w:rFonts w:ascii="Times New Roman" w:eastAsiaTheme="majorEastAsia" w:hAnsi="Times New Roman" w:cs="Times New Roman" w:hint="eastAsia"/>
          <w:b/>
          <w:color w:val="000000"/>
        </w:rPr>
        <w:t>重要提示：</w:t>
      </w:r>
    </w:p>
    <w:p w14:paraId="0C56A3BF" w14:textId="77777777" w:rsidR="009E6919" w:rsidRPr="008F71CF" w:rsidRDefault="009E6919" w:rsidP="009E6919">
      <w:pPr>
        <w:pStyle w:val="a7"/>
        <w:spacing w:before="0" w:beforeAutospacing="0" w:after="0" w:afterAutospacing="0" w:line="360" w:lineRule="auto"/>
        <w:ind w:firstLineChars="200" w:firstLine="480"/>
        <w:jc w:val="both"/>
        <w:rPr>
          <w:rFonts w:ascii="Times New Roman" w:eastAsiaTheme="majorEastAsia" w:hAnsi="Times New Roman" w:cs="Times New Roman"/>
          <w:color w:val="000000"/>
        </w:rPr>
      </w:pPr>
      <w:r w:rsidRPr="008F71CF">
        <w:rPr>
          <w:rFonts w:ascii="Times New Roman" w:eastAsiaTheme="majorEastAsia" w:hAnsi="Times New Roman" w:cs="Times New Roman"/>
          <w:color w:val="000000"/>
        </w:rPr>
        <w:t>1</w:t>
      </w:r>
      <w:r w:rsidRPr="008F71CF">
        <w:rPr>
          <w:rFonts w:ascii="Times New Roman" w:eastAsiaTheme="majorEastAsia" w:hAnsi="Times New Roman" w:cs="Times New Roman"/>
          <w:color w:val="000000"/>
        </w:rPr>
        <w:t>、上述修改对基金份额持有人利益无实质性不利影响，可不经基金份额持有人大会</w:t>
      </w:r>
      <w:r w:rsidR="008E510E">
        <w:rPr>
          <w:rFonts w:ascii="Times New Roman" w:eastAsiaTheme="majorEastAsia" w:hAnsi="Times New Roman" w:cs="Times New Roman" w:hint="eastAsia"/>
          <w:color w:val="000000"/>
        </w:rPr>
        <w:t>审议</w:t>
      </w:r>
      <w:r w:rsidRPr="008F71CF">
        <w:rPr>
          <w:rFonts w:ascii="Times New Roman" w:eastAsiaTheme="majorEastAsia" w:hAnsi="Times New Roman" w:cs="Times New Roman"/>
          <w:color w:val="000000"/>
        </w:rPr>
        <w:t>。</w:t>
      </w:r>
    </w:p>
    <w:p w14:paraId="72D49267" w14:textId="2C5500F6" w:rsidR="009E6919" w:rsidRPr="008F71CF" w:rsidRDefault="009E6919" w:rsidP="009E6919">
      <w:pPr>
        <w:pStyle w:val="a7"/>
        <w:spacing w:before="0" w:beforeAutospacing="0" w:after="0" w:afterAutospacing="0" w:line="360" w:lineRule="auto"/>
        <w:ind w:firstLineChars="200" w:firstLine="480"/>
        <w:jc w:val="both"/>
        <w:rPr>
          <w:rFonts w:ascii="Times New Roman" w:eastAsiaTheme="majorEastAsia" w:hAnsi="Times New Roman" w:cs="Times New Roman"/>
          <w:color w:val="000000"/>
        </w:rPr>
      </w:pPr>
      <w:r w:rsidRPr="008F71CF">
        <w:rPr>
          <w:rFonts w:ascii="Times New Roman" w:eastAsiaTheme="majorEastAsia" w:hAnsi="Times New Roman" w:cs="Times New Roman"/>
          <w:color w:val="000000"/>
        </w:rPr>
        <w:lastRenderedPageBreak/>
        <w:t>2</w:t>
      </w:r>
      <w:r w:rsidRPr="008F71CF">
        <w:rPr>
          <w:rFonts w:ascii="Times New Roman" w:eastAsiaTheme="majorEastAsia" w:hAnsi="Times New Roman" w:cs="Times New Roman"/>
          <w:color w:val="000000"/>
        </w:rPr>
        <w:t>、本基金管理人将在网站上公布经修改后的</w:t>
      </w:r>
      <w:r w:rsidR="000114C4">
        <w:rPr>
          <w:rFonts w:ascii="Times New Roman" w:eastAsiaTheme="majorEastAsia" w:hAnsi="Times New Roman" w:cs="Times New Roman"/>
          <w:color w:val="000000"/>
        </w:rPr>
        <w:t>31</w:t>
      </w:r>
      <w:r w:rsidR="00F52AE7">
        <w:rPr>
          <w:rFonts w:ascii="Times New Roman" w:eastAsiaTheme="majorEastAsia" w:hAnsi="Times New Roman" w:cs="Times New Roman" w:hint="eastAsia"/>
          <w:color w:val="000000"/>
        </w:rPr>
        <w:t>只</w:t>
      </w:r>
      <w:r w:rsidR="00F52AE7">
        <w:rPr>
          <w:rFonts w:ascii="Times New Roman" w:eastAsiaTheme="majorEastAsia" w:hAnsi="Times New Roman" w:cs="Times New Roman"/>
          <w:color w:val="000000"/>
        </w:rPr>
        <w:t>公</w:t>
      </w:r>
      <w:proofErr w:type="gramStart"/>
      <w:r w:rsidR="00F52AE7">
        <w:rPr>
          <w:rFonts w:ascii="Times New Roman" w:eastAsiaTheme="majorEastAsia" w:hAnsi="Times New Roman" w:cs="Times New Roman"/>
          <w:color w:val="000000"/>
        </w:rPr>
        <w:t>募</w:t>
      </w:r>
      <w:r w:rsidR="00BB4E10" w:rsidRPr="008F71CF">
        <w:rPr>
          <w:rFonts w:ascii="Times New Roman" w:eastAsiaTheme="majorEastAsia" w:hAnsi="Times New Roman" w:cs="Times New Roman"/>
          <w:color w:val="000000"/>
        </w:rPr>
        <w:t>基金</w:t>
      </w:r>
      <w:proofErr w:type="gramEnd"/>
      <w:r w:rsidR="00A20007">
        <w:rPr>
          <w:rFonts w:ascii="Times New Roman" w:eastAsiaTheme="majorEastAsia" w:hAnsi="Times New Roman" w:cs="Times New Roman" w:hint="eastAsia"/>
          <w:color w:val="000000"/>
        </w:rPr>
        <w:t>的</w:t>
      </w:r>
      <w:r w:rsidR="00171CB5" w:rsidRPr="008F71CF">
        <w:rPr>
          <w:rFonts w:ascii="Times New Roman" w:eastAsiaTheme="majorEastAsia" w:hAnsi="Times New Roman" w:cs="Times New Roman"/>
          <w:color w:val="000000"/>
        </w:rPr>
        <w:t>基金合同</w:t>
      </w:r>
      <w:r w:rsidR="00307F1A">
        <w:rPr>
          <w:rFonts w:ascii="Times New Roman" w:eastAsiaTheme="majorEastAsia" w:hAnsi="Times New Roman" w:cs="Times New Roman" w:hint="eastAsia"/>
          <w:color w:val="000000"/>
        </w:rPr>
        <w:t>、</w:t>
      </w:r>
      <w:r w:rsidR="00AB713A">
        <w:rPr>
          <w:rFonts w:ascii="Times New Roman" w:eastAsiaTheme="majorEastAsia" w:hAnsi="Times New Roman" w:cs="Times New Roman" w:hint="eastAsia"/>
          <w:color w:val="000000"/>
        </w:rPr>
        <w:t>托管协议</w:t>
      </w:r>
      <w:r w:rsidR="00307F1A">
        <w:rPr>
          <w:rFonts w:ascii="Times New Roman" w:eastAsiaTheme="majorEastAsia" w:hAnsi="Times New Roman" w:cs="Times New Roman" w:hint="eastAsia"/>
          <w:color w:val="000000"/>
        </w:rPr>
        <w:t>、</w:t>
      </w:r>
      <w:r w:rsidR="00307F1A" w:rsidRPr="008F71CF">
        <w:rPr>
          <w:rFonts w:ascii="Times New Roman" w:eastAsiaTheme="majorEastAsia" w:hAnsi="Times New Roman" w:cs="Times New Roman"/>
          <w:color w:val="000000"/>
        </w:rPr>
        <w:t>招募说明书</w:t>
      </w:r>
      <w:r w:rsidR="00515BD9">
        <w:rPr>
          <w:rFonts w:ascii="Times New Roman" w:eastAsiaTheme="majorEastAsia" w:hAnsi="Times New Roman" w:cs="Times New Roman" w:hint="eastAsia"/>
          <w:color w:val="000000"/>
        </w:rPr>
        <w:t>（</w:t>
      </w:r>
      <w:r w:rsidR="00515BD9">
        <w:rPr>
          <w:rFonts w:ascii="Times New Roman" w:eastAsiaTheme="majorEastAsia" w:hAnsi="Times New Roman" w:cs="Times New Roman"/>
          <w:color w:val="000000"/>
        </w:rPr>
        <w:t>更新）</w:t>
      </w:r>
      <w:r w:rsidR="00307F1A">
        <w:rPr>
          <w:rFonts w:ascii="Times New Roman" w:eastAsiaTheme="majorEastAsia" w:hAnsi="Times New Roman" w:cs="Times New Roman" w:hint="eastAsia"/>
          <w:color w:val="000000"/>
        </w:rPr>
        <w:t>等</w:t>
      </w:r>
      <w:r w:rsidRPr="008F71CF">
        <w:rPr>
          <w:rFonts w:ascii="Times New Roman" w:eastAsiaTheme="majorEastAsia" w:hAnsi="Times New Roman" w:cs="Times New Roman"/>
          <w:color w:val="000000"/>
        </w:rPr>
        <w:t>。</w:t>
      </w:r>
    </w:p>
    <w:p w14:paraId="60016636" w14:textId="77777777" w:rsidR="009E6919" w:rsidRPr="008F71CF" w:rsidRDefault="009E6919" w:rsidP="009E6919">
      <w:pPr>
        <w:pStyle w:val="a7"/>
        <w:spacing w:before="0" w:beforeAutospacing="0" w:after="0" w:afterAutospacing="0" w:line="360" w:lineRule="auto"/>
        <w:ind w:firstLineChars="200" w:firstLine="480"/>
        <w:rPr>
          <w:rFonts w:ascii="Times New Roman" w:eastAsiaTheme="majorEastAsia" w:hAnsi="Times New Roman" w:cs="Times New Roman"/>
          <w:color w:val="000000"/>
        </w:rPr>
      </w:pPr>
      <w:r w:rsidRPr="008F71CF">
        <w:rPr>
          <w:rFonts w:ascii="Times New Roman" w:eastAsiaTheme="majorEastAsia" w:hAnsi="Times New Roman" w:cs="Times New Roman"/>
          <w:color w:val="000000"/>
        </w:rPr>
        <w:t>3</w:t>
      </w:r>
      <w:r w:rsidRPr="008F71CF">
        <w:rPr>
          <w:rFonts w:ascii="Times New Roman" w:eastAsiaTheme="majorEastAsia" w:hAnsi="Times New Roman" w:cs="Times New Roman"/>
          <w:color w:val="000000"/>
        </w:rPr>
        <w:t>、投资者可登录本基金管理人网站（</w:t>
      </w:r>
      <w:r w:rsidRPr="008F71CF">
        <w:rPr>
          <w:rFonts w:ascii="Times New Roman" w:eastAsiaTheme="majorEastAsia" w:hAnsi="Times New Roman" w:cs="Times New Roman"/>
          <w:color w:val="000000"/>
        </w:rPr>
        <w:t>www.fund001.com</w:t>
      </w:r>
      <w:r w:rsidRPr="008F71CF">
        <w:rPr>
          <w:rFonts w:ascii="Times New Roman" w:eastAsiaTheme="majorEastAsia" w:hAnsi="Times New Roman" w:cs="Times New Roman"/>
          <w:color w:val="000000"/>
        </w:rPr>
        <w:t>）或拨打本基金管理人的客户服务电话</w:t>
      </w:r>
      <w:r w:rsidRPr="008F71CF">
        <w:rPr>
          <w:rFonts w:ascii="Times New Roman" w:eastAsiaTheme="majorEastAsia" w:hAnsi="Times New Roman" w:cs="Times New Roman"/>
          <w:color w:val="000000"/>
        </w:rPr>
        <w:t>400-700-5000</w:t>
      </w:r>
      <w:r w:rsidRPr="008F71CF">
        <w:rPr>
          <w:rFonts w:ascii="Times New Roman" w:eastAsiaTheme="majorEastAsia" w:hAnsi="Times New Roman" w:cs="Times New Roman"/>
          <w:color w:val="000000"/>
        </w:rPr>
        <w:t>（免长途话费），（</w:t>
      </w:r>
      <w:r w:rsidRPr="008F71CF">
        <w:rPr>
          <w:rFonts w:ascii="Times New Roman" w:eastAsiaTheme="majorEastAsia" w:hAnsi="Times New Roman" w:cs="Times New Roman"/>
          <w:color w:val="000000"/>
        </w:rPr>
        <w:t>021</w:t>
      </w:r>
      <w:r w:rsidRPr="008F71CF">
        <w:rPr>
          <w:rFonts w:ascii="Times New Roman" w:eastAsiaTheme="majorEastAsia" w:hAnsi="Times New Roman" w:cs="Times New Roman"/>
          <w:color w:val="000000"/>
        </w:rPr>
        <w:t>）</w:t>
      </w:r>
      <w:r w:rsidRPr="008F71CF">
        <w:rPr>
          <w:rFonts w:ascii="Times New Roman" w:eastAsiaTheme="majorEastAsia" w:hAnsi="Times New Roman" w:cs="Times New Roman"/>
          <w:color w:val="000000"/>
        </w:rPr>
        <w:t>61055000</w:t>
      </w:r>
      <w:r w:rsidRPr="008F71CF">
        <w:rPr>
          <w:rFonts w:ascii="Times New Roman" w:eastAsiaTheme="majorEastAsia" w:hAnsi="Times New Roman" w:cs="Times New Roman"/>
          <w:color w:val="000000"/>
        </w:rPr>
        <w:t>进行咨询、查询。</w:t>
      </w:r>
    </w:p>
    <w:p w14:paraId="30BB1BEE" w14:textId="77777777" w:rsidR="009E6919" w:rsidRPr="008F71CF" w:rsidRDefault="009E6919" w:rsidP="009E6919">
      <w:pPr>
        <w:pStyle w:val="a7"/>
        <w:spacing w:line="360" w:lineRule="auto"/>
        <w:ind w:firstLineChars="200" w:firstLine="480"/>
        <w:rPr>
          <w:rFonts w:ascii="Times New Roman" w:eastAsiaTheme="majorEastAsia" w:hAnsi="Times New Roman" w:cs="Times New Roman"/>
          <w:color w:val="000000"/>
        </w:rPr>
      </w:pPr>
      <w:r w:rsidRPr="008F71CF">
        <w:rPr>
          <w:rFonts w:ascii="Times New Roman" w:eastAsiaTheme="majorEastAsia" w:hAnsi="Times New Roman" w:cs="Times New Roman"/>
          <w:color w:val="000000"/>
        </w:rPr>
        <w:t>风险提示：本基金管理人承诺以诚实信用、勤勉尽责的原则管理和运用基金财产，但不保证基金一定盈利，也不保证最低收益。基金的过往业绩并不代表其将来表现。投资有风险，敬请投资人认真阅读基金的相关法律文件，并选择适合自身风险承受能力的投资品种进行投资。</w:t>
      </w:r>
    </w:p>
    <w:p w14:paraId="152B4C09" w14:textId="77777777" w:rsidR="009E6919" w:rsidRPr="008F71CF" w:rsidRDefault="009E6919" w:rsidP="008E55B0">
      <w:pPr>
        <w:pStyle w:val="a7"/>
        <w:spacing w:before="0" w:beforeAutospacing="0" w:after="0" w:afterAutospacing="0" w:line="360" w:lineRule="auto"/>
        <w:ind w:firstLineChars="200" w:firstLine="480"/>
        <w:rPr>
          <w:rFonts w:ascii="Times New Roman" w:eastAsiaTheme="majorEastAsia" w:hAnsi="Times New Roman" w:cs="Times New Roman"/>
          <w:color w:val="000000"/>
        </w:rPr>
      </w:pPr>
      <w:r w:rsidRPr="008F71CF">
        <w:rPr>
          <w:rFonts w:ascii="Times New Roman" w:eastAsiaTheme="majorEastAsia" w:hAnsi="Times New Roman" w:cs="Times New Roman"/>
          <w:color w:val="000000"/>
        </w:rPr>
        <w:t>特此公告。</w:t>
      </w:r>
    </w:p>
    <w:p w14:paraId="3910AF31" w14:textId="77777777" w:rsidR="00C24746" w:rsidRPr="008F71CF" w:rsidRDefault="00C24746" w:rsidP="009E6919">
      <w:pPr>
        <w:pStyle w:val="a7"/>
        <w:spacing w:line="360" w:lineRule="auto"/>
        <w:jc w:val="right"/>
        <w:rPr>
          <w:rFonts w:ascii="Times New Roman" w:eastAsiaTheme="majorEastAsia" w:hAnsi="Times New Roman" w:cs="Times New Roman"/>
          <w:color w:val="000000"/>
        </w:rPr>
      </w:pPr>
      <w:r w:rsidRPr="008F71CF">
        <w:rPr>
          <w:rFonts w:ascii="Times New Roman" w:eastAsiaTheme="majorEastAsia" w:hAnsi="Times New Roman" w:cs="Times New Roman"/>
          <w:color w:val="000000"/>
        </w:rPr>
        <w:t>  </w:t>
      </w:r>
      <w:r w:rsidR="00C93C94" w:rsidRPr="008F71CF">
        <w:rPr>
          <w:rFonts w:ascii="Times New Roman" w:eastAsiaTheme="majorEastAsia" w:hAnsi="Times New Roman" w:cs="Times New Roman"/>
          <w:color w:val="000000"/>
        </w:rPr>
        <w:t>交银施罗德</w:t>
      </w:r>
      <w:r w:rsidRPr="008F71CF">
        <w:rPr>
          <w:rFonts w:ascii="Times New Roman" w:eastAsiaTheme="majorEastAsia" w:hAnsi="Times New Roman" w:cs="Times New Roman"/>
          <w:color w:val="000000"/>
        </w:rPr>
        <w:t>基金管理有限公司</w:t>
      </w:r>
    </w:p>
    <w:p w14:paraId="501DADF0" w14:textId="6AC977EB" w:rsidR="00C24746" w:rsidRDefault="00C24746" w:rsidP="00D60C56">
      <w:pPr>
        <w:pStyle w:val="a7"/>
        <w:spacing w:line="360" w:lineRule="auto"/>
        <w:jc w:val="right"/>
        <w:rPr>
          <w:rFonts w:ascii="Times New Roman" w:eastAsiaTheme="majorEastAsia" w:hAnsi="Times New Roman" w:cs="Times New Roman"/>
          <w:color w:val="000000"/>
        </w:rPr>
      </w:pPr>
      <w:r w:rsidRPr="008F71CF">
        <w:rPr>
          <w:rFonts w:ascii="Times New Roman" w:eastAsiaTheme="majorEastAsia" w:hAnsi="Times New Roman" w:cs="Times New Roman"/>
          <w:color w:val="000000"/>
        </w:rPr>
        <w:t>  </w:t>
      </w:r>
      <w:r w:rsidR="005876E1" w:rsidRPr="008F71CF">
        <w:rPr>
          <w:rFonts w:ascii="Times New Roman" w:eastAsiaTheme="majorEastAsia" w:hAnsi="Times New Roman" w:cs="Times New Roman"/>
          <w:color w:val="000000"/>
        </w:rPr>
        <w:t>二〇</w:t>
      </w:r>
      <w:r w:rsidR="00F52AE7" w:rsidRPr="008F71CF">
        <w:rPr>
          <w:rFonts w:ascii="Times New Roman" w:eastAsiaTheme="majorEastAsia" w:hAnsi="Times New Roman" w:cs="Times New Roman"/>
          <w:color w:val="000000"/>
        </w:rPr>
        <w:t>二〇</w:t>
      </w:r>
      <w:r w:rsidR="005876E1" w:rsidRPr="008F71CF">
        <w:rPr>
          <w:rFonts w:ascii="Times New Roman" w:eastAsiaTheme="majorEastAsia" w:hAnsi="Times New Roman" w:cs="Times New Roman"/>
          <w:color w:val="000000"/>
        </w:rPr>
        <w:t>年</w:t>
      </w:r>
      <w:r w:rsidR="00E52950">
        <w:rPr>
          <w:rFonts w:ascii="Times New Roman" w:eastAsiaTheme="majorEastAsia" w:hAnsi="Times New Roman" w:cs="Times New Roman" w:hint="eastAsia"/>
          <w:color w:val="000000"/>
        </w:rPr>
        <w:t>十一</w:t>
      </w:r>
      <w:r w:rsidR="005876E1" w:rsidRPr="008F71CF">
        <w:rPr>
          <w:rFonts w:ascii="Times New Roman" w:eastAsiaTheme="majorEastAsia" w:hAnsi="Times New Roman" w:cs="Times New Roman"/>
          <w:color w:val="000000"/>
        </w:rPr>
        <w:t>月</w:t>
      </w:r>
      <w:r w:rsidR="00E52950">
        <w:rPr>
          <w:rFonts w:ascii="Times New Roman" w:eastAsiaTheme="majorEastAsia" w:hAnsi="Times New Roman" w:cs="Times New Roman" w:hint="eastAsia"/>
          <w:color w:val="000000"/>
        </w:rPr>
        <w:t>十九</w:t>
      </w:r>
      <w:r w:rsidR="00F52AE7" w:rsidRPr="008F71CF">
        <w:rPr>
          <w:rFonts w:ascii="Times New Roman" w:eastAsiaTheme="majorEastAsia" w:hAnsi="Times New Roman" w:cs="Times New Roman"/>
          <w:color w:val="000000"/>
        </w:rPr>
        <w:t>日</w:t>
      </w:r>
    </w:p>
    <w:p w14:paraId="1DA6A070" w14:textId="77777777" w:rsidR="00D10417" w:rsidRDefault="00D10417">
      <w:pPr>
        <w:widowControl/>
        <w:jc w:val="left"/>
        <w:rPr>
          <w:rFonts w:hAnsi="宋体"/>
          <w:bCs/>
          <w:sz w:val="24"/>
          <w:szCs w:val="24"/>
        </w:rPr>
      </w:pPr>
      <w:r>
        <w:rPr>
          <w:rFonts w:hAnsi="宋体"/>
          <w:bCs/>
          <w:sz w:val="24"/>
          <w:szCs w:val="24"/>
        </w:rPr>
        <w:br w:type="page"/>
      </w:r>
    </w:p>
    <w:p w14:paraId="1C65B0C5" w14:textId="4E0A6277" w:rsidR="00D10417" w:rsidRPr="00D10417" w:rsidRDefault="00D10417" w:rsidP="00D10417">
      <w:pPr>
        <w:spacing w:line="360" w:lineRule="auto"/>
        <w:rPr>
          <w:rFonts w:hAnsi="宋体"/>
          <w:bCs/>
          <w:sz w:val="24"/>
          <w:szCs w:val="24"/>
        </w:rPr>
      </w:pPr>
      <w:r w:rsidRPr="00BC0458">
        <w:rPr>
          <w:rFonts w:hAnsi="宋体" w:hint="eastAsia"/>
          <w:bCs/>
          <w:sz w:val="24"/>
          <w:szCs w:val="24"/>
        </w:rPr>
        <w:lastRenderedPageBreak/>
        <w:t>附件</w:t>
      </w:r>
      <w:r w:rsidRPr="00BC0458">
        <w:rPr>
          <w:rFonts w:hAnsi="宋体"/>
          <w:bCs/>
          <w:sz w:val="24"/>
          <w:szCs w:val="24"/>
        </w:rPr>
        <w:t>：基金清单</w:t>
      </w:r>
    </w:p>
    <w:tbl>
      <w:tblPr>
        <w:tblStyle w:val="af5"/>
        <w:tblW w:w="0" w:type="auto"/>
        <w:tblLook w:val="04A0" w:firstRow="1" w:lastRow="0" w:firstColumn="1" w:lastColumn="0" w:noHBand="0" w:noVBand="1"/>
      </w:tblPr>
      <w:tblGrid>
        <w:gridCol w:w="1696"/>
        <w:gridCol w:w="6600"/>
      </w:tblGrid>
      <w:tr w:rsidR="00D10417" w:rsidRPr="00354347" w14:paraId="7FC2402D" w14:textId="77777777" w:rsidTr="00532774">
        <w:tc>
          <w:tcPr>
            <w:tcW w:w="1696" w:type="dxa"/>
          </w:tcPr>
          <w:p w14:paraId="043B455E" w14:textId="77777777" w:rsidR="00D10417" w:rsidRPr="00354347" w:rsidRDefault="00D10417" w:rsidP="00532774">
            <w:pPr>
              <w:spacing w:line="360" w:lineRule="auto"/>
              <w:jc w:val="center"/>
              <w:rPr>
                <w:rFonts w:hAnsi="宋体"/>
                <w:bCs/>
                <w:sz w:val="24"/>
                <w:szCs w:val="24"/>
              </w:rPr>
            </w:pPr>
            <w:r w:rsidRPr="00354347">
              <w:rPr>
                <w:rFonts w:hAnsi="宋体" w:hint="eastAsia"/>
                <w:bCs/>
                <w:sz w:val="24"/>
                <w:szCs w:val="24"/>
              </w:rPr>
              <w:t>序号</w:t>
            </w:r>
          </w:p>
        </w:tc>
        <w:tc>
          <w:tcPr>
            <w:tcW w:w="6600" w:type="dxa"/>
          </w:tcPr>
          <w:p w14:paraId="70E0EBC8" w14:textId="77777777" w:rsidR="00D10417" w:rsidRPr="00354347" w:rsidRDefault="00D10417" w:rsidP="00532774">
            <w:pPr>
              <w:spacing w:line="360" w:lineRule="auto"/>
              <w:jc w:val="center"/>
              <w:rPr>
                <w:rFonts w:hAnsi="宋体"/>
                <w:bCs/>
                <w:sz w:val="24"/>
                <w:szCs w:val="24"/>
              </w:rPr>
            </w:pPr>
            <w:r w:rsidRPr="00354347">
              <w:rPr>
                <w:rFonts w:hAnsi="宋体" w:hint="eastAsia"/>
                <w:bCs/>
                <w:sz w:val="24"/>
                <w:szCs w:val="24"/>
              </w:rPr>
              <w:t>基金</w:t>
            </w:r>
            <w:r w:rsidRPr="00354347">
              <w:rPr>
                <w:rFonts w:hAnsi="宋体"/>
                <w:bCs/>
                <w:sz w:val="24"/>
                <w:szCs w:val="24"/>
              </w:rPr>
              <w:t>名称</w:t>
            </w:r>
          </w:p>
        </w:tc>
      </w:tr>
      <w:tr w:rsidR="00F60088" w:rsidRPr="00354347" w14:paraId="40071C96" w14:textId="77777777" w:rsidTr="00E52950">
        <w:tc>
          <w:tcPr>
            <w:tcW w:w="1696" w:type="dxa"/>
          </w:tcPr>
          <w:p w14:paraId="5A250D89" w14:textId="77777777" w:rsidR="00F60088" w:rsidRPr="00354347" w:rsidRDefault="00F60088" w:rsidP="00F60088">
            <w:pPr>
              <w:spacing w:line="360" w:lineRule="auto"/>
              <w:jc w:val="center"/>
              <w:rPr>
                <w:rFonts w:hAnsi="宋体"/>
                <w:bCs/>
                <w:sz w:val="24"/>
                <w:szCs w:val="24"/>
              </w:rPr>
            </w:pPr>
            <w:r w:rsidRPr="00354347">
              <w:rPr>
                <w:rFonts w:hAnsi="宋体"/>
                <w:bCs/>
                <w:sz w:val="24"/>
                <w:szCs w:val="24"/>
              </w:rPr>
              <w:t>1</w:t>
            </w:r>
          </w:p>
        </w:tc>
        <w:tc>
          <w:tcPr>
            <w:tcW w:w="6600" w:type="dxa"/>
            <w:vAlign w:val="bottom"/>
          </w:tcPr>
          <w:p w14:paraId="5A851F1A" w14:textId="7F703EE0"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交银施罗德蓝筹混合型证券投资基金</w:t>
            </w:r>
          </w:p>
        </w:tc>
      </w:tr>
      <w:tr w:rsidR="00F60088" w:rsidRPr="00354347" w14:paraId="63E64632" w14:textId="77777777" w:rsidTr="00E52950">
        <w:tc>
          <w:tcPr>
            <w:tcW w:w="1696" w:type="dxa"/>
          </w:tcPr>
          <w:p w14:paraId="6BE06ECC" w14:textId="77777777" w:rsidR="00F60088" w:rsidRPr="00354347" w:rsidRDefault="00F60088" w:rsidP="00F60088">
            <w:pPr>
              <w:spacing w:line="360" w:lineRule="auto"/>
              <w:jc w:val="center"/>
              <w:rPr>
                <w:rFonts w:hAnsi="宋体"/>
                <w:bCs/>
                <w:sz w:val="24"/>
                <w:szCs w:val="24"/>
              </w:rPr>
            </w:pPr>
            <w:r w:rsidRPr="00354347">
              <w:rPr>
                <w:rFonts w:hAnsi="宋体"/>
                <w:bCs/>
                <w:sz w:val="24"/>
                <w:szCs w:val="24"/>
              </w:rPr>
              <w:t>2</w:t>
            </w:r>
          </w:p>
        </w:tc>
        <w:tc>
          <w:tcPr>
            <w:tcW w:w="6600" w:type="dxa"/>
            <w:vAlign w:val="bottom"/>
          </w:tcPr>
          <w:p w14:paraId="1C076CD1" w14:textId="10291ACD"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交银施罗德阿尔</w:t>
            </w:r>
            <w:proofErr w:type="gramStart"/>
            <w:r w:rsidRPr="00E52950">
              <w:rPr>
                <w:rFonts w:asciiTheme="minorEastAsia" w:hAnsiTheme="minorEastAsia"/>
                <w:sz w:val="24"/>
                <w:szCs w:val="24"/>
              </w:rPr>
              <w:t>法核心</w:t>
            </w:r>
            <w:proofErr w:type="gramEnd"/>
            <w:r w:rsidRPr="00E52950">
              <w:rPr>
                <w:rFonts w:asciiTheme="minorEastAsia" w:hAnsiTheme="minorEastAsia"/>
                <w:sz w:val="24"/>
                <w:szCs w:val="24"/>
              </w:rPr>
              <w:t>混合型证券投资基金</w:t>
            </w:r>
          </w:p>
        </w:tc>
      </w:tr>
      <w:tr w:rsidR="00F60088" w:rsidRPr="00354347" w14:paraId="3BBE0797" w14:textId="77777777" w:rsidTr="00E52950">
        <w:tc>
          <w:tcPr>
            <w:tcW w:w="1696" w:type="dxa"/>
          </w:tcPr>
          <w:p w14:paraId="141FD5D1" w14:textId="77777777" w:rsidR="00F60088" w:rsidRPr="00354347" w:rsidRDefault="00F60088" w:rsidP="00F60088">
            <w:pPr>
              <w:spacing w:line="360" w:lineRule="auto"/>
              <w:jc w:val="center"/>
              <w:rPr>
                <w:rFonts w:hAnsi="宋体"/>
                <w:bCs/>
                <w:sz w:val="24"/>
                <w:szCs w:val="24"/>
              </w:rPr>
            </w:pPr>
            <w:r w:rsidRPr="00354347">
              <w:rPr>
                <w:rFonts w:hAnsi="宋体"/>
                <w:bCs/>
                <w:sz w:val="24"/>
                <w:szCs w:val="24"/>
              </w:rPr>
              <w:t>3</w:t>
            </w:r>
          </w:p>
        </w:tc>
        <w:tc>
          <w:tcPr>
            <w:tcW w:w="6600" w:type="dxa"/>
            <w:vAlign w:val="bottom"/>
          </w:tcPr>
          <w:p w14:paraId="245A6AC0" w14:textId="13F5F508"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交银施罗德成长30混合型证券投资基金</w:t>
            </w:r>
          </w:p>
        </w:tc>
      </w:tr>
      <w:tr w:rsidR="00F60088" w:rsidRPr="00354347" w14:paraId="56262530" w14:textId="77777777" w:rsidTr="00E52950">
        <w:tc>
          <w:tcPr>
            <w:tcW w:w="1696" w:type="dxa"/>
          </w:tcPr>
          <w:p w14:paraId="0435FC68" w14:textId="77777777" w:rsidR="00F60088" w:rsidRPr="00354347" w:rsidRDefault="00F60088" w:rsidP="00F60088">
            <w:pPr>
              <w:spacing w:line="360" w:lineRule="auto"/>
              <w:jc w:val="center"/>
              <w:rPr>
                <w:rFonts w:hAnsi="宋体"/>
                <w:bCs/>
                <w:sz w:val="24"/>
                <w:szCs w:val="24"/>
              </w:rPr>
            </w:pPr>
            <w:r w:rsidRPr="00354347">
              <w:rPr>
                <w:rFonts w:hAnsi="宋体"/>
                <w:bCs/>
                <w:sz w:val="24"/>
                <w:szCs w:val="24"/>
              </w:rPr>
              <w:t>4</w:t>
            </w:r>
          </w:p>
        </w:tc>
        <w:tc>
          <w:tcPr>
            <w:tcW w:w="6600" w:type="dxa"/>
            <w:vAlign w:val="bottom"/>
          </w:tcPr>
          <w:p w14:paraId="2620DF60" w14:textId="5DC5DD1E"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交银施罗德消费新驱动股票型证券投资基金</w:t>
            </w:r>
          </w:p>
        </w:tc>
      </w:tr>
      <w:tr w:rsidR="00F60088" w:rsidRPr="00354347" w14:paraId="6F018A64" w14:textId="77777777" w:rsidTr="00E52950">
        <w:tc>
          <w:tcPr>
            <w:tcW w:w="1696" w:type="dxa"/>
          </w:tcPr>
          <w:p w14:paraId="106D8EF0" w14:textId="77777777" w:rsidR="00F60088" w:rsidRPr="00354347" w:rsidRDefault="00F60088" w:rsidP="00F60088">
            <w:pPr>
              <w:spacing w:line="360" w:lineRule="auto"/>
              <w:jc w:val="center"/>
              <w:rPr>
                <w:rFonts w:hAnsi="宋体"/>
                <w:bCs/>
                <w:sz w:val="24"/>
                <w:szCs w:val="24"/>
              </w:rPr>
            </w:pPr>
            <w:r w:rsidRPr="00354347">
              <w:rPr>
                <w:rFonts w:hAnsi="宋体"/>
                <w:bCs/>
                <w:sz w:val="24"/>
                <w:szCs w:val="24"/>
              </w:rPr>
              <w:t>5</w:t>
            </w:r>
          </w:p>
        </w:tc>
        <w:tc>
          <w:tcPr>
            <w:tcW w:w="6600" w:type="dxa"/>
            <w:vAlign w:val="bottom"/>
          </w:tcPr>
          <w:p w14:paraId="56114143" w14:textId="0AC09DFF"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交银施罗德经济新动力混合型证券投资基金</w:t>
            </w:r>
          </w:p>
        </w:tc>
      </w:tr>
      <w:tr w:rsidR="00F60088" w:rsidRPr="00354347" w14:paraId="64B81A4F" w14:textId="77777777" w:rsidTr="00E52950">
        <w:tc>
          <w:tcPr>
            <w:tcW w:w="1696" w:type="dxa"/>
          </w:tcPr>
          <w:p w14:paraId="2927237A" w14:textId="77777777" w:rsidR="00F60088" w:rsidRPr="00354347" w:rsidRDefault="00F60088" w:rsidP="00F60088">
            <w:pPr>
              <w:spacing w:line="360" w:lineRule="auto"/>
              <w:jc w:val="center"/>
              <w:rPr>
                <w:rFonts w:hAnsi="宋体"/>
                <w:bCs/>
                <w:sz w:val="24"/>
                <w:szCs w:val="24"/>
              </w:rPr>
            </w:pPr>
            <w:r w:rsidRPr="00354347">
              <w:rPr>
                <w:rFonts w:hAnsi="宋体"/>
                <w:bCs/>
                <w:sz w:val="24"/>
                <w:szCs w:val="24"/>
              </w:rPr>
              <w:t>6</w:t>
            </w:r>
          </w:p>
        </w:tc>
        <w:tc>
          <w:tcPr>
            <w:tcW w:w="6600" w:type="dxa"/>
            <w:vAlign w:val="bottom"/>
          </w:tcPr>
          <w:p w14:paraId="5D88D09E" w14:textId="1A79E7CD"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交银施罗德股息优化混合型证券投资基金</w:t>
            </w:r>
          </w:p>
        </w:tc>
      </w:tr>
      <w:tr w:rsidR="00F60088" w:rsidRPr="00354347" w14:paraId="2A6D301B" w14:textId="77777777" w:rsidTr="00E52950">
        <w:tc>
          <w:tcPr>
            <w:tcW w:w="1696" w:type="dxa"/>
          </w:tcPr>
          <w:p w14:paraId="05D62B89" w14:textId="77777777" w:rsidR="00F60088" w:rsidRPr="00354347" w:rsidRDefault="00F60088" w:rsidP="00F60088">
            <w:pPr>
              <w:spacing w:line="360" w:lineRule="auto"/>
              <w:jc w:val="center"/>
              <w:rPr>
                <w:rFonts w:hAnsi="宋体"/>
                <w:bCs/>
                <w:sz w:val="24"/>
                <w:szCs w:val="24"/>
              </w:rPr>
            </w:pPr>
            <w:r w:rsidRPr="00354347">
              <w:rPr>
                <w:rFonts w:hAnsi="宋体"/>
                <w:bCs/>
                <w:sz w:val="24"/>
                <w:szCs w:val="24"/>
              </w:rPr>
              <w:t>7</w:t>
            </w:r>
          </w:p>
        </w:tc>
        <w:tc>
          <w:tcPr>
            <w:tcW w:w="6600" w:type="dxa"/>
            <w:vAlign w:val="bottom"/>
          </w:tcPr>
          <w:p w14:paraId="0450CA4A" w14:textId="51BE64BC"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交银施罗德内核驱动混合型证券投资基金</w:t>
            </w:r>
          </w:p>
        </w:tc>
      </w:tr>
      <w:tr w:rsidR="00F60088" w:rsidRPr="00354347" w14:paraId="79B2A388" w14:textId="77777777" w:rsidTr="00E52950">
        <w:tc>
          <w:tcPr>
            <w:tcW w:w="1696" w:type="dxa"/>
          </w:tcPr>
          <w:p w14:paraId="39DB50A1" w14:textId="77777777" w:rsidR="00F60088" w:rsidRPr="00354347" w:rsidRDefault="00F60088" w:rsidP="00F60088">
            <w:pPr>
              <w:spacing w:line="360" w:lineRule="auto"/>
              <w:jc w:val="center"/>
              <w:rPr>
                <w:rFonts w:hAnsi="宋体"/>
                <w:bCs/>
                <w:sz w:val="24"/>
                <w:szCs w:val="24"/>
              </w:rPr>
            </w:pPr>
            <w:r w:rsidRPr="00354347">
              <w:rPr>
                <w:rFonts w:hAnsi="宋体"/>
                <w:bCs/>
                <w:sz w:val="24"/>
                <w:szCs w:val="24"/>
              </w:rPr>
              <w:t>8</w:t>
            </w:r>
          </w:p>
        </w:tc>
        <w:tc>
          <w:tcPr>
            <w:tcW w:w="6600" w:type="dxa"/>
            <w:vAlign w:val="bottom"/>
          </w:tcPr>
          <w:p w14:paraId="2DB0FBA5" w14:textId="102B6228"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交银施罗德启明混合型证券投资基金</w:t>
            </w:r>
          </w:p>
        </w:tc>
      </w:tr>
      <w:tr w:rsidR="00F60088" w:rsidRPr="00354347" w14:paraId="6A6384D2" w14:textId="77777777" w:rsidTr="00E52950">
        <w:tc>
          <w:tcPr>
            <w:tcW w:w="1696" w:type="dxa"/>
          </w:tcPr>
          <w:p w14:paraId="55389A42" w14:textId="77777777" w:rsidR="00F60088" w:rsidRPr="00354347" w:rsidRDefault="00F60088" w:rsidP="00F60088">
            <w:pPr>
              <w:spacing w:line="360" w:lineRule="auto"/>
              <w:jc w:val="center"/>
              <w:rPr>
                <w:rFonts w:hAnsi="宋体"/>
                <w:bCs/>
                <w:sz w:val="24"/>
                <w:szCs w:val="24"/>
              </w:rPr>
            </w:pPr>
            <w:r w:rsidRPr="00354347">
              <w:rPr>
                <w:rFonts w:hAnsi="宋体"/>
                <w:bCs/>
                <w:sz w:val="24"/>
                <w:szCs w:val="24"/>
              </w:rPr>
              <w:t>9</w:t>
            </w:r>
          </w:p>
        </w:tc>
        <w:tc>
          <w:tcPr>
            <w:tcW w:w="6600" w:type="dxa"/>
            <w:vAlign w:val="bottom"/>
          </w:tcPr>
          <w:p w14:paraId="7782A792" w14:textId="1EF701FC"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w:t>
            </w:r>
            <w:proofErr w:type="gramStart"/>
            <w:r w:rsidRPr="00E52950">
              <w:rPr>
                <w:rFonts w:asciiTheme="minorEastAsia" w:hAnsiTheme="minorEastAsia"/>
                <w:sz w:val="24"/>
                <w:szCs w:val="24"/>
              </w:rPr>
              <w:t>启汇混合型</w:t>
            </w:r>
            <w:proofErr w:type="gramEnd"/>
            <w:r w:rsidRPr="00E52950">
              <w:rPr>
                <w:rFonts w:asciiTheme="minorEastAsia" w:hAnsiTheme="minorEastAsia"/>
                <w:sz w:val="24"/>
                <w:szCs w:val="24"/>
              </w:rPr>
              <w:t>证券投资基金</w:t>
            </w:r>
          </w:p>
        </w:tc>
      </w:tr>
      <w:tr w:rsidR="00F60088" w:rsidRPr="00354347" w14:paraId="684664BC" w14:textId="77777777" w:rsidTr="00E52950">
        <w:tc>
          <w:tcPr>
            <w:tcW w:w="1696" w:type="dxa"/>
          </w:tcPr>
          <w:p w14:paraId="06EB6501" w14:textId="77777777" w:rsidR="00F60088" w:rsidRPr="00354347" w:rsidRDefault="00F60088" w:rsidP="00F60088">
            <w:pPr>
              <w:spacing w:line="360" w:lineRule="auto"/>
              <w:jc w:val="center"/>
              <w:rPr>
                <w:rFonts w:hAnsi="宋体"/>
                <w:bCs/>
                <w:sz w:val="24"/>
                <w:szCs w:val="24"/>
              </w:rPr>
            </w:pPr>
            <w:r w:rsidRPr="00354347">
              <w:rPr>
                <w:rFonts w:hAnsi="宋体"/>
                <w:bCs/>
                <w:sz w:val="24"/>
                <w:szCs w:val="24"/>
              </w:rPr>
              <w:t>10</w:t>
            </w:r>
          </w:p>
        </w:tc>
        <w:tc>
          <w:tcPr>
            <w:tcW w:w="6600" w:type="dxa"/>
            <w:vAlign w:val="bottom"/>
          </w:tcPr>
          <w:p w14:paraId="0F8E7C62" w14:textId="6B61548C"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交银施罗德新回报灵活配置混合型证券投资基金</w:t>
            </w:r>
          </w:p>
        </w:tc>
      </w:tr>
      <w:tr w:rsidR="00F60088" w:rsidRPr="00354347" w14:paraId="1CADCB16" w14:textId="77777777" w:rsidTr="00E52950">
        <w:tc>
          <w:tcPr>
            <w:tcW w:w="1696" w:type="dxa"/>
          </w:tcPr>
          <w:p w14:paraId="6F9375C8" w14:textId="77777777" w:rsidR="00F60088" w:rsidRPr="00354347" w:rsidRDefault="00F60088" w:rsidP="00F60088">
            <w:pPr>
              <w:spacing w:line="360" w:lineRule="auto"/>
              <w:jc w:val="center"/>
              <w:rPr>
                <w:rFonts w:hAnsi="宋体"/>
                <w:bCs/>
                <w:sz w:val="24"/>
                <w:szCs w:val="24"/>
              </w:rPr>
            </w:pPr>
            <w:r w:rsidRPr="00354347">
              <w:rPr>
                <w:rFonts w:hAnsi="宋体"/>
                <w:bCs/>
                <w:sz w:val="24"/>
                <w:szCs w:val="24"/>
              </w:rPr>
              <w:t>11</w:t>
            </w:r>
          </w:p>
        </w:tc>
        <w:tc>
          <w:tcPr>
            <w:tcW w:w="6600" w:type="dxa"/>
            <w:vAlign w:val="bottom"/>
          </w:tcPr>
          <w:p w14:paraId="071A72AB" w14:textId="0FF56BA9"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交银施罗德策略回报灵活配置混合型证券投资基金</w:t>
            </w:r>
          </w:p>
        </w:tc>
      </w:tr>
      <w:tr w:rsidR="00F60088" w:rsidRPr="00354347" w14:paraId="31F3A78B" w14:textId="77777777" w:rsidTr="00E52950">
        <w:tc>
          <w:tcPr>
            <w:tcW w:w="1696" w:type="dxa"/>
          </w:tcPr>
          <w:p w14:paraId="72B67765" w14:textId="3A978332" w:rsidR="00F60088" w:rsidRPr="00354347" w:rsidRDefault="00F60088" w:rsidP="00F60088">
            <w:pPr>
              <w:spacing w:line="360" w:lineRule="auto"/>
              <w:jc w:val="center"/>
              <w:rPr>
                <w:rFonts w:hAnsi="宋体"/>
                <w:bCs/>
                <w:sz w:val="24"/>
                <w:szCs w:val="24"/>
              </w:rPr>
            </w:pPr>
            <w:r w:rsidRPr="00354347">
              <w:rPr>
                <w:rFonts w:hAnsi="宋体"/>
                <w:bCs/>
                <w:sz w:val="24"/>
                <w:szCs w:val="24"/>
              </w:rPr>
              <w:t>12</w:t>
            </w:r>
          </w:p>
        </w:tc>
        <w:tc>
          <w:tcPr>
            <w:tcW w:w="6600" w:type="dxa"/>
            <w:vAlign w:val="bottom"/>
          </w:tcPr>
          <w:p w14:paraId="5D0F6071" w14:textId="51CFED1F"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交银施罗德优选回报灵活配置混合型证券投资基金</w:t>
            </w:r>
          </w:p>
        </w:tc>
      </w:tr>
      <w:tr w:rsidR="00F60088" w:rsidRPr="00354347" w14:paraId="5470047A" w14:textId="77777777" w:rsidTr="00E52950">
        <w:tc>
          <w:tcPr>
            <w:tcW w:w="1696" w:type="dxa"/>
          </w:tcPr>
          <w:p w14:paraId="6B6F46D3" w14:textId="0E1A02F7" w:rsidR="00F60088" w:rsidRPr="00354347" w:rsidRDefault="00F60088" w:rsidP="00F60088">
            <w:pPr>
              <w:spacing w:line="360" w:lineRule="auto"/>
              <w:jc w:val="center"/>
              <w:rPr>
                <w:rFonts w:hAnsi="宋体"/>
                <w:bCs/>
                <w:sz w:val="24"/>
                <w:szCs w:val="24"/>
              </w:rPr>
            </w:pPr>
            <w:r w:rsidRPr="00354347">
              <w:rPr>
                <w:rFonts w:hAnsi="宋体"/>
                <w:bCs/>
                <w:sz w:val="24"/>
                <w:szCs w:val="24"/>
              </w:rPr>
              <w:t>13</w:t>
            </w:r>
          </w:p>
        </w:tc>
        <w:tc>
          <w:tcPr>
            <w:tcW w:w="6600" w:type="dxa"/>
            <w:vAlign w:val="bottom"/>
          </w:tcPr>
          <w:p w14:paraId="26FD09DC" w14:textId="70570BE4"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w:t>
            </w:r>
            <w:proofErr w:type="gramStart"/>
            <w:r w:rsidRPr="00E52950">
              <w:rPr>
                <w:rFonts w:asciiTheme="minorEastAsia" w:hAnsiTheme="minorEastAsia"/>
                <w:sz w:val="24"/>
                <w:szCs w:val="24"/>
              </w:rPr>
              <w:t>施罗德优择回报</w:t>
            </w:r>
            <w:proofErr w:type="gramEnd"/>
            <w:r w:rsidRPr="00E52950">
              <w:rPr>
                <w:rFonts w:asciiTheme="minorEastAsia" w:hAnsiTheme="minorEastAsia"/>
                <w:sz w:val="24"/>
                <w:szCs w:val="24"/>
              </w:rPr>
              <w:t>灵活配置混合型证券投资基金</w:t>
            </w:r>
          </w:p>
        </w:tc>
      </w:tr>
      <w:tr w:rsidR="00F60088" w:rsidRPr="00354347" w14:paraId="502293EF" w14:textId="77777777" w:rsidTr="00E52950">
        <w:tc>
          <w:tcPr>
            <w:tcW w:w="1696" w:type="dxa"/>
          </w:tcPr>
          <w:p w14:paraId="6868A811" w14:textId="2067B91C" w:rsidR="00F60088" w:rsidRPr="00354347" w:rsidRDefault="00F60088" w:rsidP="00F60088">
            <w:pPr>
              <w:spacing w:line="360" w:lineRule="auto"/>
              <w:jc w:val="center"/>
              <w:rPr>
                <w:rFonts w:hAnsi="宋体"/>
                <w:bCs/>
                <w:sz w:val="24"/>
                <w:szCs w:val="24"/>
              </w:rPr>
            </w:pPr>
            <w:r w:rsidRPr="00354347">
              <w:rPr>
                <w:rFonts w:hAnsi="宋体"/>
                <w:bCs/>
                <w:sz w:val="24"/>
                <w:szCs w:val="24"/>
              </w:rPr>
              <w:t>14</w:t>
            </w:r>
          </w:p>
        </w:tc>
        <w:tc>
          <w:tcPr>
            <w:tcW w:w="6600" w:type="dxa"/>
            <w:vAlign w:val="bottom"/>
          </w:tcPr>
          <w:p w14:paraId="120475A9" w14:textId="26995735"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交银施罗德新生活力灵活配置混合型证券投资基金</w:t>
            </w:r>
          </w:p>
        </w:tc>
      </w:tr>
      <w:tr w:rsidR="00F60088" w:rsidRPr="00354347" w14:paraId="64CB8B99" w14:textId="77777777" w:rsidTr="00E52950">
        <w:tc>
          <w:tcPr>
            <w:tcW w:w="1696" w:type="dxa"/>
          </w:tcPr>
          <w:p w14:paraId="599212DC" w14:textId="01D59B3E" w:rsidR="00F60088" w:rsidRPr="00354347" w:rsidRDefault="00F60088" w:rsidP="00F60088">
            <w:pPr>
              <w:spacing w:line="360" w:lineRule="auto"/>
              <w:jc w:val="center"/>
              <w:rPr>
                <w:rFonts w:hAnsi="宋体"/>
                <w:bCs/>
                <w:sz w:val="24"/>
                <w:szCs w:val="24"/>
              </w:rPr>
            </w:pPr>
            <w:r w:rsidRPr="00354347">
              <w:rPr>
                <w:rFonts w:hAnsi="宋体"/>
                <w:bCs/>
                <w:sz w:val="24"/>
                <w:szCs w:val="24"/>
              </w:rPr>
              <w:t>15</w:t>
            </w:r>
          </w:p>
        </w:tc>
        <w:tc>
          <w:tcPr>
            <w:tcW w:w="6600" w:type="dxa"/>
            <w:vAlign w:val="bottom"/>
          </w:tcPr>
          <w:p w14:paraId="53EA765C" w14:textId="73EA9DB1"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交银施罗德创新成长混合型证券投资基金</w:t>
            </w:r>
          </w:p>
        </w:tc>
      </w:tr>
      <w:tr w:rsidR="00F60088" w:rsidRPr="00354347" w14:paraId="407F55F7" w14:textId="77777777" w:rsidTr="00E52950">
        <w:tc>
          <w:tcPr>
            <w:tcW w:w="1696" w:type="dxa"/>
          </w:tcPr>
          <w:p w14:paraId="6FB7672A" w14:textId="7FC120B6" w:rsidR="00F60088" w:rsidRPr="00354347" w:rsidRDefault="00F60088" w:rsidP="00F60088">
            <w:pPr>
              <w:spacing w:line="360" w:lineRule="auto"/>
              <w:jc w:val="center"/>
              <w:rPr>
                <w:rFonts w:hAnsi="宋体"/>
                <w:bCs/>
                <w:sz w:val="24"/>
                <w:szCs w:val="24"/>
              </w:rPr>
            </w:pPr>
            <w:r w:rsidRPr="00354347">
              <w:rPr>
                <w:rFonts w:hAnsi="宋体"/>
                <w:bCs/>
                <w:sz w:val="24"/>
                <w:szCs w:val="24"/>
              </w:rPr>
              <w:t>16</w:t>
            </w:r>
          </w:p>
        </w:tc>
        <w:tc>
          <w:tcPr>
            <w:tcW w:w="6600" w:type="dxa"/>
            <w:vAlign w:val="bottom"/>
          </w:tcPr>
          <w:p w14:paraId="69FD9663" w14:textId="2F0021C2"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交银施罗德养老目标日期2035三年持有期混合型基金中基金(FOF)</w:t>
            </w:r>
          </w:p>
        </w:tc>
      </w:tr>
      <w:tr w:rsidR="00F60088" w:rsidRPr="00354347" w14:paraId="4503FD62" w14:textId="77777777" w:rsidTr="00E52950">
        <w:tc>
          <w:tcPr>
            <w:tcW w:w="1696" w:type="dxa"/>
          </w:tcPr>
          <w:p w14:paraId="7011C430" w14:textId="38325496" w:rsidR="00F60088" w:rsidRPr="00354347" w:rsidRDefault="00F60088" w:rsidP="00F60088">
            <w:pPr>
              <w:spacing w:line="360" w:lineRule="auto"/>
              <w:jc w:val="center"/>
              <w:rPr>
                <w:rFonts w:hAnsi="宋体"/>
                <w:bCs/>
                <w:sz w:val="24"/>
                <w:szCs w:val="24"/>
              </w:rPr>
            </w:pPr>
            <w:r w:rsidRPr="00354347">
              <w:rPr>
                <w:rFonts w:hAnsi="宋体"/>
                <w:bCs/>
                <w:sz w:val="24"/>
                <w:szCs w:val="24"/>
              </w:rPr>
              <w:t>17</w:t>
            </w:r>
          </w:p>
        </w:tc>
        <w:tc>
          <w:tcPr>
            <w:tcW w:w="6600" w:type="dxa"/>
            <w:vAlign w:val="bottom"/>
          </w:tcPr>
          <w:p w14:paraId="74A04F02" w14:textId="4D5A620F"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交银施罗德中</w:t>
            </w:r>
            <w:proofErr w:type="gramStart"/>
            <w:r w:rsidRPr="00E52950">
              <w:rPr>
                <w:rFonts w:asciiTheme="minorEastAsia" w:hAnsiTheme="minorEastAsia"/>
                <w:sz w:val="24"/>
                <w:szCs w:val="24"/>
              </w:rPr>
              <w:t>证环境</w:t>
            </w:r>
            <w:proofErr w:type="gramEnd"/>
            <w:r w:rsidRPr="00E52950">
              <w:rPr>
                <w:rFonts w:asciiTheme="minorEastAsia" w:hAnsiTheme="minorEastAsia"/>
                <w:sz w:val="24"/>
                <w:szCs w:val="24"/>
              </w:rPr>
              <w:t>治理指数型证券投资基金(LOF)</w:t>
            </w:r>
          </w:p>
        </w:tc>
      </w:tr>
      <w:tr w:rsidR="00F60088" w:rsidRPr="00354347" w14:paraId="6680EE3E" w14:textId="77777777" w:rsidTr="00E52950">
        <w:tc>
          <w:tcPr>
            <w:tcW w:w="1696" w:type="dxa"/>
          </w:tcPr>
          <w:p w14:paraId="451C639B" w14:textId="2798F5F1" w:rsidR="00F60088" w:rsidRPr="00354347" w:rsidRDefault="00F60088" w:rsidP="00F60088">
            <w:pPr>
              <w:spacing w:line="360" w:lineRule="auto"/>
              <w:jc w:val="center"/>
              <w:rPr>
                <w:rFonts w:hAnsi="宋体"/>
                <w:bCs/>
                <w:sz w:val="24"/>
                <w:szCs w:val="24"/>
              </w:rPr>
            </w:pPr>
            <w:r w:rsidRPr="00354347">
              <w:rPr>
                <w:rFonts w:hAnsi="宋体"/>
                <w:bCs/>
                <w:sz w:val="24"/>
                <w:szCs w:val="24"/>
              </w:rPr>
              <w:t>18</w:t>
            </w:r>
          </w:p>
        </w:tc>
        <w:tc>
          <w:tcPr>
            <w:tcW w:w="6600" w:type="dxa"/>
            <w:vAlign w:val="bottom"/>
          </w:tcPr>
          <w:p w14:paraId="6D260454" w14:textId="42A64387"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交银施罗德趋势优先混合型证券投资基金</w:t>
            </w:r>
          </w:p>
        </w:tc>
      </w:tr>
      <w:tr w:rsidR="00F60088" w:rsidRPr="00354347" w14:paraId="25B98E2F" w14:textId="77777777" w:rsidTr="00E52950">
        <w:tc>
          <w:tcPr>
            <w:tcW w:w="1696" w:type="dxa"/>
          </w:tcPr>
          <w:p w14:paraId="7B40B7BB" w14:textId="0E3B7501" w:rsidR="00F60088" w:rsidRPr="00354347" w:rsidRDefault="00F60088" w:rsidP="00F60088">
            <w:pPr>
              <w:spacing w:line="360" w:lineRule="auto"/>
              <w:jc w:val="center"/>
              <w:rPr>
                <w:rFonts w:hAnsi="宋体"/>
                <w:bCs/>
                <w:sz w:val="24"/>
                <w:szCs w:val="24"/>
              </w:rPr>
            </w:pPr>
            <w:r w:rsidRPr="00354347">
              <w:rPr>
                <w:rFonts w:hAnsi="宋体"/>
                <w:bCs/>
                <w:sz w:val="24"/>
                <w:szCs w:val="24"/>
              </w:rPr>
              <w:t>19</w:t>
            </w:r>
          </w:p>
        </w:tc>
        <w:tc>
          <w:tcPr>
            <w:tcW w:w="6600" w:type="dxa"/>
            <w:vAlign w:val="bottom"/>
          </w:tcPr>
          <w:p w14:paraId="7CD580C2" w14:textId="2FD176C2"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交银施罗德科技创新灵活配置混合型证券投资基金</w:t>
            </w:r>
          </w:p>
        </w:tc>
      </w:tr>
      <w:tr w:rsidR="00F60088" w:rsidRPr="00354347" w14:paraId="4332A6B9" w14:textId="77777777" w:rsidTr="00E52950">
        <w:tc>
          <w:tcPr>
            <w:tcW w:w="1696" w:type="dxa"/>
          </w:tcPr>
          <w:p w14:paraId="5A9076B7" w14:textId="36B2DE09" w:rsidR="00F60088" w:rsidRPr="00354347" w:rsidRDefault="00F60088" w:rsidP="00F60088">
            <w:pPr>
              <w:spacing w:line="360" w:lineRule="auto"/>
              <w:jc w:val="center"/>
              <w:rPr>
                <w:rFonts w:hAnsi="宋体"/>
                <w:bCs/>
                <w:sz w:val="24"/>
                <w:szCs w:val="24"/>
              </w:rPr>
            </w:pPr>
            <w:r w:rsidRPr="00354347">
              <w:rPr>
                <w:rFonts w:hAnsi="宋体"/>
                <w:bCs/>
                <w:sz w:val="24"/>
                <w:szCs w:val="24"/>
              </w:rPr>
              <w:t>20</w:t>
            </w:r>
          </w:p>
        </w:tc>
        <w:tc>
          <w:tcPr>
            <w:tcW w:w="6600" w:type="dxa"/>
            <w:vAlign w:val="bottom"/>
          </w:tcPr>
          <w:p w14:paraId="73273BEB" w14:textId="6AC7446A"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交银施罗德稳健配置混合型证券投资基金</w:t>
            </w:r>
          </w:p>
        </w:tc>
      </w:tr>
      <w:tr w:rsidR="00F60088" w:rsidRPr="00354347" w14:paraId="5C555EC4" w14:textId="77777777" w:rsidTr="00E52950">
        <w:tc>
          <w:tcPr>
            <w:tcW w:w="1696" w:type="dxa"/>
          </w:tcPr>
          <w:p w14:paraId="0932E6E5" w14:textId="29000870" w:rsidR="00F60088" w:rsidRPr="00354347" w:rsidRDefault="00F60088" w:rsidP="00F60088">
            <w:pPr>
              <w:spacing w:line="360" w:lineRule="auto"/>
              <w:jc w:val="center"/>
              <w:rPr>
                <w:rFonts w:hAnsi="宋体"/>
                <w:bCs/>
                <w:sz w:val="24"/>
                <w:szCs w:val="24"/>
              </w:rPr>
            </w:pPr>
            <w:r w:rsidRPr="00354347">
              <w:rPr>
                <w:rFonts w:hAnsi="宋体"/>
                <w:bCs/>
                <w:sz w:val="24"/>
                <w:szCs w:val="24"/>
              </w:rPr>
              <w:t>21</w:t>
            </w:r>
          </w:p>
        </w:tc>
        <w:tc>
          <w:tcPr>
            <w:tcW w:w="6600" w:type="dxa"/>
            <w:vAlign w:val="bottom"/>
          </w:tcPr>
          <w:p w14:paraId="00D090F3" w14:textId="6E283272"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交银施罗德主题优选灵活配置混合型证券投资基金</w:t>
            </w:r>
          </w:p>
        </w:tc>
      </w:tr>
      <w:tr w:rsidR="00F60088" w:rsidRPr="00354347" w14:paraId="51C34C07" w14:textId="77777777" w:rsidTr="00E52950">
        <w:tc>
          <w:tcPr>
            <w:tcW w:w="1696" w:type="dxa"/>
          </w:tcPr>
          <w:p w14:paraId="522170A7" w14:textId="071C0E88" w:rsidR="00F60088" w:rsidRPr="00354347" w:rsidRDefault="00F60088" w:rsidP="00F60088">
            <w:pPr>
              <w:spacing w:line="360" w:lineRule="auto"/>
              <w:jc w:val="center"/>
              <w:rPr>
                <w:rFonts w:hAnsi="宋体"/>
                <w:bCs/>
                <w:sz w:val="24"/>
                <w:szCs w:val="24"/>
              </w:rPr>
            </w:pPr>
            <w:r w:rsidRPr="00354347">
              <w:rPr>
                <w:rFonts w:hAnsi="宋体"/>
                <w:bCs/>
                <w:sz w:val="24"/>
                <w:szCs w:val="24"/>
              </w:rPr>
              <w:t>22</w:t>
            </w:r>
          </w:p>
        </w:tc>
        <w:tc>
          <w:tcPr>
            <w:tcW w:w="6600" w:type="dxa"/>
            <w:vAlign w:val="bottom"/>
          </w:tcPr>
          <w:p w14:paraId="67EB87BD" w14:textId="6184865B"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交银施罗德荣鑫灵活配置混合型证券投资基金</w:t>
            </w:r>
          </w:p>
        </w:tc>
      </w:tr>
      <w:tr w:rsidR="00F60088" w:rsidRPr="00354347" w14:paraId="224BF2DF" w14:textId="77777777" w:rsidTr="00E52950">
        <w:tc>
          <w:tcPr>
            <w:tcW w:w="1696" w:type="dxa"/>
          </w:tcPr>
          <w:p w14:paraId="388728A9" w14:textId="1EE961DC" w:rsidR="00F60088" w:rsidRPr="00354347" w:rsidRDefault="00F60088" w:rsidP="00F60088">
            <w:pPr>
              <w:spacing w:line="360" w:lineRule="auto"/>
              <w:jc w:val="center"/>
              <w:rPr>
                <w:rFonts w:hAnsi="宋体"/>
                <w:bCs/>
                <w:sz w:val="24"/>
                <w:szCs w:val="24"/>
              </w:rPr>
            </w:pPr>
            <w:r w:rsidRPr="00354347">
              <w:rPr>
                <w:rFonts w:hAnsi="宋体"/>
                <w:bCs/>
                <w:sz w:val="24"/>
                <w:szCs w:val="24"/>
              </w:rPr>
              <w:t>23</w:t>
            </w:r>
          </w:p>
        </w:tc>
        <w:tc>
          <w:tcPr>
            <w:tcW w:w="6600" w:type="dxa"/>
            <w:vAlign w:val="bottom"/>
          </w:tcPr>
          <w:p w14:paraId="342FA14E" w14:textId="00D7B66A"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交银施罗德优势行业灵活配置混合型证券投资基金</w:t>
            </w:r>
          </w:p>
        </w:tc>
      </w:tr>
      <w:tr w:rsidR="00F60088" w:rsidRPr="00354347" w14:paraId="6F92A087" w14:textId="77777777" w:rsidTr="00E52950">
        <w:tc>
          <w:tcPr>
            <w:tcW w:w="1696" w:type="dxa"/>
          </w:tcPr>
          <w:p w14:paraId="56B11E11" w14:textId="4988E34E" w:rsidR="00F60088" w:rsidRPr="00354347" w:rsidRDefault="00F60088" w:rsidP="00F60088">
            <w:pPr>
              <w:spacing w:line="360" w:lineRule="auto"/>
              <w:jc w:val="center"/>
              <w:rPr>
                <w:rFonts w:hAnsi="宋体"/>
                <w:bCs/>
                <w:sz w:val="24"/>
                <w:szCs w:val="24"/>
              </w:rPr>
            </w:pPr>
            <w:r w:rsidRPr="00354347">
              <w:rPr>
                <w:rFonts w:hAnsi="宋体"/>
                <w:bCs/>
                <w:sz w:val="24"/>
                <w:szCs w:val="24"/>
              </w:rPr>
              <w:t>24</w:t>
            </w:r>
          </w:p>
        </w:tc>
        <w:tc>
          <w:tcPr>
            <w:tcW w:w="6600" w:type="dxa"/>
            <w:vAlign w:val="bottom"/>
          </w:tcPr>
          <w:p w14:paraId="63DB4FD6" w14:textId="0422D154"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交银施罗德新成长混合型证券投资基金</w:t>
            </w:r>
          </w:p>
        </w:tc>
      </w:tr>
      <w:tr w:rsidR="00F60088" w:rsidRPr="00354347" w14:paraId="167DE1C9" w14:textId="77777777" w:rsidTr="00E52950">
        <w:tc>
          <w:tcPr>
            <w:tcW w:w="1696" w:type="dxa"/>
          </w:tcPr>
          <w:p w14:paraId="67254870" w14:textId="43930A1A" w:rsidR="00F60088" w:rsidRPr="00354347" w:rsidRDefault="00F60088" w:rsidP="00F60088">
            <w:pPr>
              <w:spacing w:line="360" w:lineRule="auto"/>
              <w:jc w:val="center"/>
              <w:rPr>
                <w:rFonts w:hAnsi="宋体"/>
                <w:bCs/>
                <w:sz w:val="24"/>
                <w:szCs w:val="24"/>
              </w:rPr>
            </w:pPr>
            <w:r w:rsidRPr="00354347">
              <w:rPr>
                <w:rFonts w:hAnsi="宋体"/>
                <w:bCs/>
                <w:sz w:val="24"/>
                <w:szCs w:val="24"/>
              </w:rPr>
              <w:t>25</w:t>
            </w:r>
          </w:p>
        </w:tc>
        <w:tc>
          <w:tcPr>
            <w:tcW w:w="6600" w:type="dxa"/>
            <w:vAlign w:val="bottom"/>
          </w:tcPr>
          <w:p w14:paraId="1C58D206" w14:textId="1637A752"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交银施罗德瑞</w:t>
            </w:r>
            <w:proofErr w:type="gramStart"/>
            <w:r w:rsidRPr="00E52950">
              <w:rPr>
                <w:rFonts w:asciiTheme="minorEastAsia" w:hAnsiTheme="minorEastAsia"/>
                <w:sz w:val="24"/>
                <w:szCs w:val="24"/>
              </w:rPr>
              <w:t>鑫</w:t>
            </w:r>
            <w:proofErr w:type="gramEnd"/>
            <w:r w:rsidRPr="00E52950">
              <w:rPr>
                <w:rFonts w:asciiTheme="minorEastAsia" w:hAnsiTheme="minorEastAsia"/>
                <w:sz w:val="24"/>
                <w:szCs w:val="24"/>
              </w:rPr>
              <w:t>定期开放灵活配置混合型证券投资基金</w:t>
            </w:r>
          </w:p>
        </w:tc>
      </w:tr>
      <w:tr w:rsidR="00F60088" w:rsidRPr="00354347" w14:paraId="518218D0" w14:textId="77777777" w:rsidTr="00E52950">
        <w:tc>
          <w:tcPr>
            <w:tcW w:w="1696" w:type="dxa"/>
          </w:tcPr>
          <w:p w14:paraId="764B98EF" w14:textId="7F450039" w:rsidR="00F60088" w:rsidRPr="00354347" w:rsidRDefault="00F60088" w:rsidP="00F60088">
            <w:pPr>
              <w:spacing w:line="360" w:lineRule="auto"/>
              <w:jc w:val="center"/>
              <w:rPr>
                <w:rFonts w:hAnsi="宋体"/>
                <w:bCs/>
                <w:sz w:val="24"/>
                <w:szCs w:val="24"/>
              </w:rPr>
            </w:pPr>
            <w:r w:rsidRPr="00354347">
              <w:rPr>
                <w:rFonts w:hAnsi="宋体"/>
                <w:bCs/>
                <w:sz w:val="24"/>
                <w:szCs w:val="24"/>
              </w:rPr>
              <w:t>26</w:t>
            </w:r>
          </w:p>
        </w:tc>
        <w:tc>
          <w:tcPr>
            <w:tcW w:w="6600" w:type="dxa"/>
            <w:vAlign w:val="bottom"/>
          </w:tcPr>
          <w:p w14:paraId="4D36FC83" w14:textId="4A59E301"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交银施罗德医药创新股票型证券投资基金</w:t>
            </w:r>
          </w:p>
        </w:tc>
      </w:tr>
      <w:tr w:rsidR="00F60088" w:rsidRPr="00354347" w14:paraId="4857FFCA" w14:textId="77777777" w:rsidTr="00E52950">
        <w:tc>
          <w:tcPr>
            <w:tcW w:w="1696" w:type="dxa"/>
          </w:tcPr>
          <w:p w14:paraId="06FEBAA2" w14:textId="01D16839" w:rsidR="00F60088" w:rsidRPr="00354347" w:rsidRDefault="00F60088" w:rsidP="00F60088">
            <w:pPr>
              <w:spacing w:line="360" w:lineRule="auto"/>
              <w:jc w:val="center"/>
              <w:rPr>
                <w:rFonts w:hAnsi="宋体"/>
                <w:bCs/>
                <w:sz w:val="24"/>
                <w:szCs w:val="24"/>
              </w:rPr>
            </w:pPr>
            <w:r w:rsidRPr="00354347">
              <w:rPr>
                <w:rFonts w:hAnsi="宋体"/>
                <w:bCs/>
                <w:sz w:val="24"/>
                <w:szCs w:val="24"/>
              </w:rPr>
              <w:lastRenderedPageBreak/>
              <w:t>27</w:t>
            </w:r>
          </w:p>
        </w:tc>
        <w:tc>
          <w:tcPr>
            <w:tcW w:w="6600" w:type="dxa"/>
            <w:vAlign w:val="bottom"/>
          </w:tcPr>
          <w:p w14:paraId="754A8EDF" w14:textId="7634605B"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交银施罗德持续成长主题混合型证券投资基金</w:t>
            </w:r>
          </w:p>
        </w:tc>
      </w:tr>
      <w:tr w:rsidR="00F60088" w:rsidRPr="00354347" w14:paraId="568345F8" w14:textId="77777777" w:rsidTr="00E52950">
        <w:tc>
          <w:tcPr>
            <w:tcW w:w="1696" w:type="dxa"/>
          </w:tcPr>
          <w:p w14:paraId="72FCCF1B" w14:textId="3A1D94A2" w:rsidR="00F60088" w:rsidRPr="00354347" w:rsidRDefault="00F60088" w:rsidP="00F60088">
            <w:pPr>
              <w:spacing w:line="360" w:lineRule="auto"/>
              <w:jc w:val="center"/>
              <w:rPr>
                <w:rFonts w:hAnsi="宋体"/>
                <w:bCs/>
                <w:sz w:val="24"/>
                <w:szCs w:val="24"/>
              </w:rPr>
            </w:pPr>
            <w:r w:rsidRPr="00354347">
              <w:rPr>
                <w:rFonts w:hAnsi="宋体"/>
                <w:bCs/>
                <w:sz w:val="24"/>
                <w:szCs w:val="24"/>
              </w:rPr>
              <w:t>28</w:t>
            </w:r>
          </w:p>
        </w:tc>
        <w:tc>
          <w:tcPr>
            <w:tcW w:w="6600" w:type="dxa"/>
            <w:vAlign w:val="bottom"/>
          </w:tcPr>
          <w:p w14:paraId="67A24022" w14:textId="7DEAA1A4"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交银施罗德瑞丰三年封闭运作混合型证券投资基金</w:t>
            </w:r>
          </w:p>
        </w:tc>
      </w:tr>
      <w:tr w:rsidR="00F60088" w:rsidRPr="00354347" w14:paraId="17093417" w14:textId="77777777" w:rsidTr="00E52950">
        <w:tc>
          <w:tcPr>
            <w:tcW w:w="1696" w:type="dxa"/>
          </w:tcPr>
          <w:p w14:paraId="05203156" w14:textId="5F231D7D" w:rsidR="00F60088" w:rsidRPr="00354347" w:rsidRDefault="00F60088" w:rsidP="00F60088">
            <w:pPr>
              <w:spacing w:line="360" w:lineRule="auto"/>
              <w:jc w:val="center"/>
              <w:rPr>
                <w:rFonts w:hAnsi="宋体"/>
                <w:bCs/>
                <w:sz w:val="24"/>
                <w:szCs w:val="24"/>
              </w:rPr>
            </w:pPr>
            <w:r w:rsidRPr="00354347">
              <w:rPr>
                <w:rFonts w:hAnsi="宋体"/>
                <w:bCs/>
                <w:sz w:val="24"/>
                <w:szCs w:val="24"/>
              </w:rPr>
              <w:t>29</w:t>
            </w:r>
          </w:p>
        </w:tc>
        <w:tc>
          <w:tcPr>
            <w:tcW w:w="6600" w:type="dxa"/>
            <w:vAlign w:val="bottom"/>
          </w:tcPr>
          <w:p w14:paraId="3F11557B" w14:textId="3FCFC4F4"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交银施罗德创新领航混合型证券投资基金</w:t>
            </w:r>
          </w:p>
        </w:tc>
      </w:tr>
      <w:tr w:rsidR="00F60088" w:rsidRPr="00354347" w14:paraId="4445E7CF" w14:textId="77777777" w:rsidTr="00E52950">
        <w:tc>
          <w:tcPr>
            <w:tcW w:w="1696" w:type="dxa"/>
          </w:tcPr>
          <w:p w14:paraId="5720191E" w14:textId="676911C4" w:rsidR="00F60088" w:rsidRPr="00354347" w:rsidRDefault="00F60088" w:rsidP="00F60088">
            <w:pPr>
              <w:spacing w:line="360" w:lineRule="auto"/>
              <w:jc w:val="center"/>
              <w:rPr>
                <w:rFonts w:hAnsi="宋体"/>
                <w:bCs/>
                <w:sz w:val="24"/>
                <w:szCs w:val="24"/>
              </w:rPr>
            </w:pPr>
            <w:r w:rsidRPr="00354347">
              <w:rPr>
                <w:rFonts w:hAnsi="宋体"/>
                <w:bCs/>
                <w:sz w:val="24"/>
                <w:szCs w:val="24"/>
              </w:rPr>
              <w:t>30</w:t>
            </w:r>
          </w:p>
        </w:tc>
        <w:tc>
          <w:tcPr>
            <w:tcW w:w="6600" w:type="dxa"/>
            <w:vAlign w:val="bottom"/>
          </w:tcPr>
          <w:p w14:paraId="057067AC" w14:textId="0BF142DE"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w:t>
            </w:r>
            <w:proofErr w:type="gramStart"/>
            <w:r w:rsidRPr="00E52950">
              <w:rPr>
                <w:rFonts w:asciiTheme="minorEastAsia" w:hAnsiTheme="minorEastAsia"/>
                <w:sz w:val="24"/>
                <w:szCs w:val="24"/>
              </w:rPr>
              <w:t>产业机遇</w:t>
            </w:r>
            <w:proofErr w:type="gramEnd"/>
            <w:r w:rsidRPr="00E52950">
              <w:rPr>
                <w:rFonts w:asciiTheme="minorEastAsia" w:hAnsiTheme="minorEastAsia"/>
                <w:sz w:val="24"/>
                <w:szCs w:val="24"/>
              </w:rPr>
              <w:t>混合型证券投资基金</w:t>
            </w:r>
          </w:p>
        </w:tc>
      </w:tr>
      <w:tr w:rsidR="00F60088" w:rsidRPr="00354347" w14:paraId="0280CC1D" w14:textId="77777777" w:rsidTr="00E52950">
        <w:tc>
          <w:tcPr>
            <w:tcW w:w="1696" w:type="dxa"/>
          </w:tcPr>
          <w:p w14:paraId="48DABE20" w14:textId="31EBEE64" w:rsidR="00F60088" w:rsidRPr="00354347" w:rsidRDefault="00F60088" w:rsidP="00F60088">
            <w:pPr>
              <w:spacing w:line="360" w:lineRule="auto"/>
              <w:jc w:val="center"/>
              <w:rPr>
                <w:rFonts w:hAnsi="宋体"/>
                <w:bCs/>
                <w:sz w:val="24"/>
                <w:szCs w:val="24"/>
              </w:rPr>
            </w:pPr>
            <w:r w:rsidRPr="00354347">
              <w:rPr>
                <w:rFonts w:hAnsi="宋体"/>
                <w:bCs/>
                <w:sz w:val="24"/>
                <w:szCs w:val="24"/>
              </w:rPr>
              <w:t>31</w:t>
            </w:r>
          </w:p>
        </w:tc>
        <w:tc>
          <w:tcPr>
            <w:tcW w:w="6600" w:type="dxa"/>
            <w:vAlign w:val="bottom"/>
          </w:tcPr>
          <w:p w14:paraId="0ABCA7DF" w14:textId="0A3CE17B" w:rsidR="00F60088" w:rsidRPr="00354347" w:rsidRDefault="00F60088" w:rsidP="00F60088">
            <w:pPr>
              <w:spacing w:line="360" w:lineRule="auto"/>
              <w:rPr>
                <w:rFonts w:asciiTheme="minorEastAsia" w:eastAsiaTheme="minorEastAsia" w:hAnsiTheme="minorEastAsia"/>
                <w:bCs/>
                <w:sz w:val="24"/>
                <w:szCs w:val="24"/>
              </w:rPr>
            </w:pPr>
            <w:r w:rsidRPr="00E52950">
              <w:rPr>
                <w:rFonts w:asciiTheme="minorEastAsia" w:hAnsiTheme="minorEastAsia"/>
                <w:sz w:val="24"/>
                <w:szCs w:val="24"/>
              </w:rPr>
              <w:t>交银施罗德创业板50指数型证券投资基金</w:t>
            </w:r>
          </w:p>
        </w:tc>
      </w:tr>
    </w:tbl>
    <w:p w14:paraId="5254D0F9" w14:textId="77777777" w:rsidR="00D10417" w:rsidRDefault="00D10417" w:rsidP="00D10417">
      <w:pPr>
        <w:pStyle w:val="a7"/>
        <w:spacing w:line="360" w:lineRule="auto"/>
        <w:ind w:right="480"/>
        <w:rPr>
          <w:bCs/>
        </w:rPr>
      </w:pPr>
    </w:p>
    <w:p w14:paraId="12CF0B66" w14:textId="77777777" w:rsidR="00E84C46" w:rsidRPr="00553833" w:rsidRDefault="00E84C46" w:rsidP="00F60088">
      <w:pPr>
        <w:widowControl/>
        <w:jc w:val="left"/>
      </w:pPr>
    </w:p>
    <w:sectPr w:rsidR="00E84C46" w:rsidRPr="00553833" w:rsidSect="00592E5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1328A" w14:textId="77777777" w:rsidR="00A82924" w:rsidRDefault="00A82924" w:rsidP="00C24746">
      <w:r>
        <w:separator/>
      </w:r>
    </w:p>
  </w:endnote>
  <w:endnote w:type="continuationSeparator" w:id="0">
    <w:p w14:paraId="59C7B692" w14:textId="77777777" w:rsidR="00A82924" w:rsidRDefault="00A82924" w:rsidP="00C24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7618663"/>
      <w:docPartObj>
        <w:docPartGallery w:val="Page Numbers (Bottom of Page)"/>
        <w:docPartUnique/>
      </w:docPartObj>
    </w:sdtPr>
    <w:sdtEndPr/>
    <w:sdtContent>
      <w:p w14:paraId="5CAF58D9" w14:textId="77777777" w:rsidR="00504950" w:rsidRDefault="00504950">
        <w:pPr>
          <w:pStyle w:val="a5"/>
          <w:jc w:val="right"/>
        </w:pPr>
        <w:r>
          <w:fldChar w:fldCharType="begin"/>
        </w:r>
        <w:r>
          <w:instrText>PAGE   \* MERGEFORMAT</w:instrText>
        </w:r>
        <w:r>
          <w:fldChar w:fldCharType="separate"/>
        </w:r>
        <w:r w:rsidR="00BF5895" w:rsidRPr="00BF5895">
          <w:rPr>
            <w:noProof/>
            <w:lang w:val="zh-CN"/>
          </w:rPr>
          <w:t>1</w:t>
        </w:r>
        <w:r>
          <w:fldChar w:fldCharType="end"/>
        </w:r>
      </w:p>
    </w:sdtContent>
  </w:sdt>
  <w:p w14:paraId="4DF060C9" w14:textId="77777777" w:rsidR="00504950" w:rsidRDefault="0050495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6DC20" w14:textId="77777777" w:rsidR="00A82924" w:rsidRDefault="00A82924" w:rsidP="00C24746">
      <w:r>
        <w:separator/>
      </w:r>
    </w:p>
  </w:footnote>
  <w:footnote w:type="continuationSeparator" w:id="0">
    <w:p w14:paraId="2FB22213" w14:textId="77777777" w:rsidR="00A82924" w:rsidRDefault="00A82924" w:rsidP="00C24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B2A99"/>
    <w:multiLevelType w:val="hybridMultilevel"/>
    <w:tmpl w:val="CE9CF052"/>
    <w:lvl w:ilvl="0" w:tplc="1700B8A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746"/>
    <w:rsid w:val="000036BE"/>
    <w:rsid w:val="000068D4"/>
    <w:rsid w:val="000114C4"/>
    <w:rsid w:val="00012BFD"/>
    <w:rsid w:val="000277DA"/>
    <w:rsid w:val="00031078"/>
    <w:rsid w:val="00034218"/>
    <w:rsid w:val="000458A4"/>
    <w:rsid w:val="00055F04"/>
    <w:rsid w:val="0005794E"/>
    <w:rsid w:val="0006140E"/>
    <w:rsid w:val="00061F8F"/>
    <w:rsid w:val="00063809"/>
    <w:rsid w:val="00064928"/>
    <w:rsid w:val="0006726F"/>
    <w:rsid w:val="000708CC"/>
    <w:rsid w:val="00072602"/>
    <w:rsid w:val="0007340C"/>
    <w:rsid w:val="000748A9"/>
    <w:rsid w:val="000873ED"/>
    <w:rsid w:val="000910C2"/>
    <w:rsid w:val="00092EB2"/>
    <w:rsid w:val="00096DD2"/>
    <w:rsid w:val="00097096"/>
    <w:rsid w:val="00097C70"/>
    <w:rsid w:val="000A3905"/>
    <w:rsid w:val="000B30E8"/>
    <w:rsid w:val="000B4BB5"/>
    <w:rsid w:val="000C339F"/>
    <w:rsid w:val="000C453D"/>
    <w:rsid w:val="000D00C7"/>
    <w:rsid w:val="000D0917"/>
    <w:rsid w:val="000D284F"/>
    <w:rsid w:val="000D4906"/>
    <w:rsid w:val="000D77E7"/>
    <w:rsid w:val="000D7BDD"/>
    <w:rsid w:val="000E0655"/>
    <w:rsid w:val="000E7512"/>
    <w:rsid w:val="000E77C6"/>
    <w:rsid w:val="000F5D4F"/>
    <w:rsid w:val="000F7AFD"/>
    <w:rsid w:val="00105F43"/>
    <w:rsid w:val="00106181"/>
    <w:rsid w:val="001126EF"/>
    <w:rsid w:val="00116A95"/>
    <w:rsid w:val="00123111"/>
    <w:rsid w:val="00124702"/>
    <w:rsid w:val="00124E75"/>
    <w:rsid w:val="001278EA"/>
    <w:rsid w:val="0013040F"/>
    <w:rsid w:val="00134359"/>
    <w:rsid w:val="001346B4"/>
    <w:rsid w:val="00134CC8"/>
    <w:rsid w:val="00154213"/>
    <w:rsid w:val="001618F5"/>
    <w:rsid w:val="00171CB5"/>
    <w:rsid w:val="00180E03"/>
    <w:rsid w:val="00184885"/>
    <w:rsid w:val="0018656D"/>
    <w:rsid w:val="00191075"/>
    <w:rsid w:val="00194AF7"/>
    <w:rsid w:val="001A017E"/>
    <w:rsid w:val="001A1AD5"/>
    <w:rsid w:val="001A46D6"/>
    <w:rsid w:val="001A4E85"/>
    <w:rsid w:val="001A7621"/>
    <w:rsid w:val="001B3BB5"/>
    <w:rsid w:val="001B40BA"/>
    <w:rsid w:val="001B52BD"/>
    <w:rsid w:val="001B54B6"/>
    <w:rsid w:val="001C2429"/>
    <w:rsid w:val="001C5444"/>
    <w:rsid w:val="001D5BEF"/>
    <w:rsid w:val="001D68B5"/>
    <w:rsid w:val="001D6BA1"/>
    <w:rsid w:val="001E0DBC"/>
    <w:rsid w:val="001E0E23"/>
    <w:rsid w:val="001E1FE3"/>
    <w:rsid w:val="001E735D"/>
    <w:rsid w:val="001F2D88"/>
    <w:rsid w:val="001F78B4"/>
    <w:rsid w:val="00210F89"/>
    <w:rsid w:val="00215388"/>
    <w:rsid w:val="002226B9"/>
    <w:rsid w:val="00227080"/>
    <w:rsid w:val="00230266"/>
    <w:rsid w:val="002308FC"/>
    <w:rsid w:val="00236CAB"/>
    <w:rsid w:val="002375A7"/>
    <w:rsid w:val="00245008"/>
    <w:rsid w:val="00246885"/>
    <w:rsid w:val="00255441"/>
    <w:rsid w:val="0025749D"/>
    <w:rsid w:val="00261460"/>
    <w:rsid w:val="00267310"/>
    <w:rsid w:val="002708EF"/>
    <w:rsid w:val="00280ECD"/>
    <w:rsid w:val="00290567"/>
    <w:rsid w:val="00292E7A"/>
    <w:rsid w:val="00297699"/>
    <w:rsid w:val="002A0074"/>
    <w:rsid w:val="002A1523"/>
    <w:rsid w:val="002A5FB0"/>
    <w:rsid w:val="002A6BF9"/>
    <w:rsid w:val="002A6F38"/>
    <w:rsid w:val="002A7767"/>
    <w:rsid w:val="002B0FEC"/>
    <w:rsid w:val="002B7C2A"/>
    <w:rsid w:val="002C2715"/>
    <w:rsid w:val="002C29FF"/>
    <w:rsid w:val="002D289C"/>
    <w:rsid w:val="002D35CA"/>
    <w:rsid w:val="002E2BEE"/>
    <w:rsid w:val="002F09AC"/>
    <w:rsid w:val="002F1720"/>
    <w:rsid w:val="003068EE"/>
    <w:rsid w:val="00307F1A"/>
    <w:rsid w:val="003179B9"/>
    <w:rsid w:val="00320090"/>
    <w:rsid w:val="0032403D"/>
    <w:rsid w:val="0032437C"/>
    <w:rsid w:val="0032585B"/>
    <w:rsid w:val="00326D55"/>
    <w:rsid w:val="00333C76"/>
    <w:rsid w:val="00333ECD"/>
    <w:rsid w:val="00335252"/>
    <w:rsid w:val="00335482"/>
    <w:rsid w:val="00335E45"/>
    <w:rsid w:val="003415CF"/>
    <w:rsid w:val="00343BB6"/>
    <w:rsid w:val="0034401E"/>
    <w:rsid w:val="0035120B"/>
    <w:rsid w:val="00352F5F"/>
    <w:rsid w:val="00354347"/>
    <w:rsid w:val="0035725F"/>
    <w:rsid w:val="00357B02"/>
    <w:rsid w:val="00370D0A"/>
    <w:rsid w:val="00374829"/>
    <w:rsid w:val="00377E18"/>
    <w:rsid w:val="00380DDF"/>
    <w:rsid w:val="0038243B"/>
    <w:rsid w:val="00383CAA"/>
    <w:rsid w:val="00387972"/>
    <w:rsid w:val="0039059A"/>
    <w:rsid w:val="003919E2"/>
    <w:rsid w:val="003A3CAD"/>
    <w:rsid w:val="003A5A67"/>
    <w:rsid w:val="003B19AF"/>
    <w:rsid w:val="003B4E5B"/>
    <w:rsid w:val="003D0ABE"/>
    <w:rsid w:val="003E08D2"/>
    <w:rsid w:val="004000FD"/>
    <w:rsid w:val="00405955"/>
    <w:rsid w:val="00416BF0"/>
    <w:rsid w:val="0043285A"/>
    <w:rsid w:val="0043744B"/>
    <w:rsid w:val="00441ADF"/>
    <w:rsid w:val="0044463C"/>
    <w:rsid w:val="00451B45"/>
    <w:rsid w:val="00457ADE"/>
    <w:rsid w:val="00461D30"/>
    <w:rsid w:val="004621C1"/>
    <w:rsid w:val="0047240A"/>
    <w:rsid w:val="0047420B"/>
    <w:rsid w:val="0047470B"/>
    <w:rsid w:val="00480A4D"/>
    <w:rsid w:val="00480D08"/>
    <w:rsid w:val="00490C06"/>
    <w:rsid w:val="004920EA"/>
    <w:rsid w:val="00495473"/>
    <w:rsid w:val="00496E28"/>
    <w:rsid w:val="004A3EB7"/>
    <w:rsid w:val="004A7543"/>
    <w:rsid w:val="004B134F"/>
    <w:rsid w:val="004B1FED"/>
    <w:rsid w:val="004B6E26"/>
    <w:rsid w:val="004D05DD"/>
    <w:rsid w:val="004D11AD"/>
    <w:rsid w:val="004D4E4E"/>
    <w:rsid w:val="004D756A"/>
    <w:rsid w:val="004E2AF7"/>
    <w:rsid w:val="004E6EC2"/>
    <w:rsid w:val="004F2B6D"/>
    <w:rsid w:val="004F4396"/>
    <w:rsid w:val="004F6469"/>
    <w:rsid w:val="00504950"/>
    <w:rsid w:val="00506E2C"/>
    <w:rsid w:val="0051110A"/>
    <w:rsid w:val="00511B61"/>
    <w:rsid w:val="00512939"/>
    <w:rsid w:val="00512D08"/>
    <w:rsid w:val="005139AA"/>
    <w:rsid w:val="00514806"/>
    <w:rsid w:val="00515BD9"/>
    <w:rsid w:val="0051696F"/>
    <w:rsid w:val="0052141E"/>
    <w:rsid w:val="00521D1E"/>
    <w:rsid w:val="005234EC"/>
    <w:rsid w:val="00523E72"/>
    <w:rsid w:val="00526BD0"/>
    <w:rsid w:val="00527244"/>
    <w:rsid w:val="00532774"/>
    <w:rsid w:val="00534D44"/>
    <w:rsid w:val="00551CE4"/>
    <w:rsid w:val="00552487"/>
    <w:rsid w:val="0055311F"/>
    <w:rsid w:val="00553833"/>
    <w:rsid w:val="00561449"/>
    <w:rsid w:val="0056521B"/>
    <w:rsid w:val="00565CEB"/>
    <w:rsid w:val="00566B1C"/>
    <w:rsid w:val="0057774E"/>
    <w:rsid w:val="005828E6"/>
    <w:rsid w:val="00583B5E"/>
    <w:rsid w:val="00587071"/>
    <w:rsid w:val="005876E1"/>
    <w:rsid w:val="00590980"/>
    <w:rsid w:val="005926A3"/>
    <w:rsid w:val="00592E50"/>
    <w:rsid w:val="005A1702"/>
    <w:rsid w:val="005A1D7A"/>
    <w:rsid w:val="005A4570"/>
    <w:rsid w:val="005A7965"/>
    <w:rsid w:val="005B0E95"/>
    <w:rsid w:val="005B5654"/>
    <w:rsid w:val="005B7DD4"/>
    <w:rsid w:val="005C34D0"/>
    <w:rsid w:val="005C4CDB"/>
    <w:rsid w:val="005D1CBA"/>
    <w:rsid w:val="005D2876"/>
    <w:rsid w:val="005F13D6"/>
    <w:rsid w:val="005F23EF"/>
    <w:rsid w:val="005F2AF7"/>
    <w:rsid w:val="0060060C"/>
    <w:rsid w:val="0062023F"/>
    <w:rsid w:val="00622E1C"/>
    <w:rsid w:val="00630CF3"/>
    <w:rsid w:val="00631FC4"/>
    <w:rsid w:val="00635225"/>
    <w:rsid w:val="00636865"/>
    <w:rsid w:val="0063794A"/>
    <w:rsid w:val="006413CB"/>
    <w:rsid w:val="00643583"/>
    <w:rsid w:val="00653AA5"/>
    <w:rsid w:val="00653AEE"/>
    <w:rsid w:val="00653BDA"/>
    <w:rsid w:val="00655B8A"/>
    <w:rsid w:val="00660E52"/>
    <w:rsid w:val="006627D1"/>
    <w:rsid w:val="00662937"/>
    <w:rsid w:val="00667F9F"/>
    <w:rsid w:val="00671D42"/>
    <w:rsid w:val="00672CA5"/>
    <w:rsid w:val="0068381E"/>
    <w:rsid w:val="00684620"/>
    <w:rsid w:val="006878E4"/>
    <w:rsid w:val="00692C89"/>
    <w:rsid w:val="00696384"/>
    <w:rsid w:val="00696762"/>
    <w:rsid w:val="00696AC2"/>
    <w:rsid w:val="006A012B"/>
    <w:rsid w:val="006A1BCB"/>
    <w:rsid w:val="006A3C1D"/>
    <w:rsid w:val="006A7BC8"/>
    <w:rsid w:val="006B429D"/>
    <w:rsid w:val="006B62F0"/>
    <w:rsid w:val="006C2149"/>
    <w:rsid w:val="006C64C9"/>
    <w:rsid w:val="006D5D9E"/>
    <w:rsid w:val="00701CBF"/>
    <w:rsid w:val="00703B67"/>
    <w:rsid w:val="00712AD4"/>
    <w:rsid w:val="00712D98"/>
    <w:rsid w:val="00713CC8"/>
    <w:rsid w:val="00722154"/>
    <w:rsid w:val="00723FA5"/>
    <w:rsid w:val="007248C7"/>
    <w:rsid w:val="00724B97"/>
    <w:rsid w:val="007339C7"/>
    <w:rsid w:val="00734561"/>
    <w:rsid w:val="0073563B"/>
    <w:rsid w:val="00735789"/>
    <w:rsid w:val="00737256"/>
    <w:rsid w:val="00737CA6"/>
    <w:rsid w:val="00741E64"/>
    <w:rsid w:val="007426CB"/>
    <w:rsid w:val="00747FA2"/>
    <w:rsid w:val="007519DB"/>
    <w:rsid w:val="00751E2D"/>
    <w:rsid w:val="00751F60"/>
    <w:rsid w:val="00753FDD"/>
    <w:rsid w:val="0076454E"/>
    <w:rsid w:val="00765E78"/>
    <w:rsid w:val="0076603A"/>
    <w:rsid w:val="00770880"/>
    <w:rsid w:val="00771C26"/>
    <w:rsid w:val="00772AEA"/>
    <w:rsid w:val="007767F0"/>
    <w:rsid w:val="00783A06"/>
    <w:rsid w:val="00793B59"/>
    <w:rsid w:val="007A340D"/>
    <w:rsid w:val="007A54C0"/>
    <w:rsid w:val="007A57D1"/>
    <w:rsid w:val="007B138F"/>
    <w:rsid w:val="007C0CC2"/>
    <w:rsid w:val="007C234F"/>
    <w:rsid w:val="007C5168"/>
    <w:rsid w:val="007E0BE6"/>
    <w:rsid w:val="007E3956"/>
    <w:rsid w:val="007E5DAC"/>
    <w:rsid w:val="007F2052"/>
    <w:rsid w:val="007F32D7"/>
    <w:rsid w:val="007F4A23"/>
    <w:rsid w:val="007F65E3"/>
    <w:rsid w:val="00825504"/>
    <w:rsid w:val="0083006A"/>
    <w:rsid w:val="0083208A"/>
    <w:rsid w:val="008345DC"/>
    <w:rsid w:val="00843C9D"/>
    <w:rsid w:val="00853791"/>
    <w:rsid w:val="008539B9"/>
    <w:rsid w:val="00856C32"/>
    <w:rsid w:val="0086018E"/>
    <w:rsid w:val="0086045F"/>
    <w:rsid w:val="0087001C"/>
    <w:rsid w:val="008720B5"/>
    <w:rsid w:val="008756B2"/>
    <w:rsid w:val="008777F8"/>
    <w:rsid w:val="00880756"/>
    <w:rsid w:val="0088314E"/>
    <w:rsid w:val="008867E3"/>
    <w:rsid w:val="00893F10"/>
    <w:rsid w:val="0089532B"/>
    <w:rsid w:val="008A3596"/>
    <w:rsid w:val="008B09A3"/>
    <w:rsid w:val="008B1C74"/>
    <w:rsid w:val="008B52E0"/>
    <w:rsid w:val="008C1BA3"/>
    <w:rsid w:val="008C3678"/>
    <w:rsid w:val="008D08F5"/>
    <w:rsid w:val="008D3272"/>
    <w:rsid w:val="008D33B8"/>
    <w:rsid w:val="008E3B48"/>
    <w:rsid w:val="008E4757"/>
    <w:rsid w:val="008E510E"/>
    <w:rsid w:val="008E55B0"/>
    <w:rsid w:val="008E798C"/>
    <w:rsid w:val="008F71CF"/>
    <w:rsid w:val="00902C56"/>
    <w:rsid w:val="00911785"/>
    <w:rsid w:val="0091518A"/>
    <w:rsid w:val="009153F6"/>
    <w:rsid w:val="00921EC5"/>
    <w:rsid w:val="00924724"/>
    <w:rsid w:val="009260BE"/>
    <w:rsid w:val="009269AF"/>
    <w:rsid w:val="009370FD"/>
    <w:rsid w:val="009518D0"/>
    <w:rsid w:val="00952868"/>
    <w:rsid w:val="00961CFD"/>
    <w:rsid w:val="00966E68"/>
    <w:rsid w:val="00970432"/>
    <w:rsid w:val="00970875"/>
    <w:rsid w:val="00970BC0"/>
    <w:rsid w:val="009762B9"/>
    <w:rsid w:val="00986C22"/>
    <w:rsid w:val="0098777C"/>
    <w:rsid w:val="00990EEA"/>
    <w:rsid w:val="009A7AEE"/>
    <w:rsid w:val="009B0DC3"/>
    <w:rsid w:val="009C18D0"/>
    <w:rsid w:val="009C4B46"/>
    <w:rsid w:val="009D07E4"/>
    <w:rsid w:val="009E23F5"/>
    <w:rsid w:val="009E3192"/>
    <w:rsid w:val="009E6919"/>
    <w:rsid w:val="009E7DA1"/>
    <w:rsid w:val="00A03552"/>
    <w:rsid w:val="00A07DA5"/>
    <w:rsid w:val="00A127CC"/>
    <w:rsid w:val="00A20007"/>
    <w:rsid w:val="00A207AF"/>
    <w:rsid w:val="00A21B18"/>
    <w:rsid w:val="00A247EA"/>
    <w:rsid w:val="00A24E8D"/>
    <w:rsid w:val="00A27A85"/>
    <w:rsid w:val="00A27BCC"/>
    <w:rsid w:val="00A338E7"/>
    <w:rsid w:val="00A40AA4"/>
    <w:rsid w:val="00A40C80"/>
    <w:rsid w:val="00A4149A"/>
    <w:rsid w:val="00A42A8E"/>
    <w:rsid w:val="00A43C8D"/>
    <w:rsid w:val="00A477F0"/>
    <w:rsid w:val="00A50C6D"/>
    <w:rsid w:val="00A548DA"/>
    <w:rsid w:val="00A55FAE"/>
    <w:rsid w:val="00A560F2"/>
    <w:rsid w:val="00A57543"/>
    <w:rsid w:val="00A605B1"/>
    <w:rsid w:val="00A61226"/>
    <w:rsid w:val="00A65DE7"/>
    <w:rsid w:val="00A6602A"/>
    <w:rsid w:val="00A76382"/>
    <w:rsid w:val="00A7643A"/>
    <w:rsid w:val="00A76E72"/>
    <w:rsid w:val="00A82924"/>
    <w:rsid w:val="00A95A4B"/>
    <w:rsid w:val="00AA55D1"/>
    <w:rsid w:val="00AA77F8"/>
    <w:rsid w:val="00AB2F05"/>
    <w:rsid w:val="00AB3E9A"/>
    <w:rsid w:val="00AB713A"/>
    <w:rsid w:val="00AC4346"/>
    <w:rsid w:val="00AF0C1B"/>
    <w:rsid w:val="00B00B8E"/>
    <w:rsid w:val="00B04921"/>
    <w:rsid w:val="00B063E7"/>
    <w:rsid w:val="00B11669"/>
    <w:rsid w:val="00B128C1"/>
    <w:rsid w:val="00B20613"/>
    <w:rsid w:val="00B221C5"/>
    <w:rsid w:val="00B2556D"/>
    <w:rsid w:val="00B3747E"/>
    <w:rsid w:val="00B40DDD"/>
    <w:rsid w:val="00B41DA1"/>
    <w:rsid w:val="00B44167"/>
    <w:rsid w:val="00B54B6A"/>
    <w:rsid w:val="00B5546A"/>
    <w:rsid w:val="00B55A93"/>
    <w:rsid w:val="00B5637A"/>
    <w:rsid w:val="00B574D0"/>
    <w:rsid w:val="00B7286B"/>
    <w:rsid w:val="00B73E48"/>
    <w:rsid w:val="00B8047E"/>
    <w:rsid w:val="00B84BC8"/>
    <w:rsid w:val="00B859E2"/>
    <w:rsid w:val="00B90092"/>
    <w:rsid w:val="00B97E46"/>
    <w:rsid w:val="00BB1BA5"/>
    <w:rsid w:val="00BB2067"/>
    <w:rsid w:val="00BB4E10"/>
    <w:rsid w:val="00BB7B86"/>
    <w:rsid w:val="00BC22E2"/>
    <w:rsid w:val="00BC535A"/>
    <w:rsid w:val="00BD208B"/>
    <w:rsid w:val="00BD63CF"/>
    <w:rsid w:val="00BE1BED"/>
    <w:rsid w:val="00BE67A5"/>
    <w:rsid w:val="00BF1D0F"/>
    <w:rsid w:val="00BF35FB"/>
    <w:rsid w:val="00BF5895"/>
    <w:rsid w:val="00BF6E02"/>
    <w:rsid w:val="00BF70F1"/>
    <w:rsid w:val="00C02027"/>
    <w:rsid w:val="00C021CA"/>
    <w:rsid w:val="00C03283"/>
    <w:rsid w:val="00C034CB"/>
    <w:rsid w:val="00C05537"/>
    <w:rsid w:val="00C101B0"/>
    <w:rsid w:val="00C116C3"/>
    <w:rsid w:val="00C12E52"/>
    <w:rsid w:val="00C1585B"/>
    <w:rsid w:val="00C23710"/>
    <w:rsid w:val="00C24746"/>
    <w:rsid w:val="00C3640C"/>
    <w:rsid w:val="00C479F6"/>
    <w:rsid w:val="00C47CE1"/>
    <w:rsid w:val="00C52778"/>
    <w:rsid w:val="00C643C3"/>
    <w:rsid w:val="00C8308E"/>
    <w:rsid w:val="00C83D95"/>
    <w:rsid w:val="00C8693F"/>
    <w:rsid w:val="00C937B9"/>
    <w:rsid w:val="00C93813"/>
    <w:rsid w:val="00C93C94"/>
    <w:rsid w:val="00CA01C6"/>
    <w:rsid w:val="00CA1758"/>
    <w:rsid w:val="00CA211E"/>
    <w:rsid w:val="00CA2797"/>
    <w:rsid w:val="00CA459E"/>
    <w:rsid w:val="00CB0D8B"/>
    <w:rsid w:val="00CC0FF4"/>
    <w:rsid w:val="00CC103C"/>
    <w:rsid w:val="00CC5DE7"/>
    <w:rsid w:val="00CC77B2"/>
    <w:rsid w:val="00CD7D2A"/>
    <w:rsid w:val="00CE246E"/>
    <w:rsid w:val="00CE2C69"/>
    <w:rsid w:val="00CE3AB5"/>
    <w:rsid w:val="00CE3B06"/>
    <w:rsid w:val="00D0065F"/>
    <w:rsid w:val="00D017A6"/>
    <w:rsid w:val="00D05701"/>
    <w:rsid w:val="00D10417"/>
    <w:rsid w:val="00D12A9B"/>
    <w:rsid w:val="00D17B52"/>
    <w:rsid w:val="00D32F58"/>
    <w:rsid w:val="00D333B3"/>
    <w:rsid w:val="00D33C0B"/>
    <w:rsid w:val="00D340B4"/>
    <w:rsid w:val="00D361CE"/>
    <w:rsid w:val="00D430C1"/>
    <w:rsid w:val="00D433F5"/>
    <w:rsid w:val="00D4370C"/>
    <w:rsid w:val="00D60C56"/>
    <w:rsid w:val="00D63AAE"/>
    <w:rsid w:val="00D651D5"/>
    <w:rsid w:val="00D6675A"/>
    <w:rsid w:val="00D66E36"/>
    <w:rsid w:val="00D73B93"/>
    <w:rsid w:val="00D75630"/>
    <w:rsid w:val="00D8101D"/>
    <w:rsid w:val="00D82225"/>
    <w:rsid w:val="00D859A0"/>
    <w:rsid w:val="00D85A41"/>
    <w:rsid w:val="00D85E06"/>
    <w:rsid w:val="00D90AED"/>
    <w:rsid w:val="00D90F47"/>
    <w:rsid w:val="00D93410"/>
    <w:rsid w:val="00DA1170"/>
    <w:rsid w:val="00DA163D"/>
    <w:rsid w:val="00DB077C"/>
    <w:rsid w:val="00DB4AE0"/>
    <w:rsid w:val="00DC058F"/>
    <w:rsid w:val="00DC1290"/>
    <w:rsid w:val="00DC314F"/>
    <w:rsid w:val="00DC6C35"/>
    <w:rsid w:val="00DD104D"/>
    <w:rsid w:val="00DD5A3F"/>
    <w:rsid w:val="00DE3CC6"/>
    <w:rsid w:val="00DF0AC7"/>
    <w:rsid w:val="00E0547E"/>
    <w:rsid w:val="00E06E33"/>
    <w:rsid w:val="00E07E77"/>
    <w:rsid w:val="00E14AAF"/>
    <w:rsid w:val="00E16769"/>
    <w:rsid w:val="00E172ED"/>
    <w:rsid w:val="00E21C02"/>
    <w:rsid w:val="00E26CCF"/>
    <w:rsid w:val="00E307C8"/>
    <w:rsid w:val="00E33314"/>
    <w:rsid w:val="00E359EA"/>
    <w:rsid w:val="00E407E4"/>
    <w:rsid w:val="00E423DA"/>
    <w:rsid w:val="00E432C9"/>
    <w:rsid w:val="00E43B75"/>
    <w:rsid w:val="00E44E54"/>
    <w:rsid w:val="00E506A2"/>
    <w:rsid w:val="00E52950"/>
    <w:rsid w:val="00E52F6E"/>
    <w:rsid w:val="00E5377B"/>
    <w:rsid w:val="00E6079F"/>
    <w:rsid w:val="00E620A7"/>
    <w:rsid w:val="00E7211D"/>
    <w:rsid w:val="00E73EE8"/>
    <w:rsid w:val="00E746EF"/>
    <w:rsid w:val="00E77765"/>
    <w:rsid w:val="00E802D0"/>
    <w:rsid w:val="00E81ADC"/>
    <w:rsid w:val="00E84C46"/>
    <w:rsid w:val="00E92A3C"/>
    <w:rsid w:val="00EA5D98"/>
    <w:rsid w:val="00EB1182"/>
    <w:rsid w:val="00EB4284"/>
    <w:rsid w:val="00EB4847"/>
    <w:rsid w:val="00EB5DEA"/>
    <w:rsid w:val="00EB7781"/>
    <w:rsid w:val="00EC159D"/>
    <w:rsid w:val="00EC294E"/>
    <w:rsid w:val="00EC2D7F"/>
    <w:rsid w:val="00ED04DA"/>
    <w:rsid w:val="00ED1C9B"/>
    <w:rsid w:val="00ED2D75"/>
    <w:rsid w:val="00ED4436"/>
    <w:rsid w:val="00EE049E"/>
    <w:rsid w:val="00EE2F36"/>
    <w:rsid w:val="00EE6F50"/>
    <w:rsid w:val="00EF4017"/>
    <w:rsid w:val="00F02245"/>
    <w:rsid w:val="00F03DEE"/>
    <w:rsid w:val="00F07E60"/>
    <w:rsid w:val="00F10752"/>
    <w:rsid w:val="00F2465A"/>
    <w:rsid w:val="00F26475"/>
    <w:rsid w:val="00F2776B"/>
    <w:rsid w:val="00F2798C"/>
    <w:rsid w:val="00F332E6"/>
    <w:rsid w:val="00F4620B"/>
    <w:rsid w:val="00F51998"/>
    <w:rsid w:val="00F52AE7"/>
    <w:rsid w:val="00F55003"/>
    <w:rsid w:val="00F57D67"/>
    <w:rsid w:val="00F60088"/>
    <w:rsid w:val="00F65073"/>
    <w:rsid w:val="00F72B4C"/>
    <w:rsid w:val="00F74533"/>
    <w:rsid w:val="00F74C8E"/>
    <w:rsid w:val="00F7540C"/>
    <w:rsid w:val="00F7740E"/>
    <w:rsid w:val="00F77714"/>
    <w:rsid w:val="00F81507"/>
    <w:rsid w:val="00F85C7B"/>
    <w:rsid w:val="00F9545D"/>
    <w:rsid w:val="00FA1839"/>
    <w:rsid w:val="00FA7BCE"/>
    <w:rsid w:val="00FB280B"/>
    <w:rsid w:val="00FB3110"/>
    <w:rsid w:val="00FB4613"/>
    <w:rsid w:val="00FB6F55"/>
    <w:rsid w:val="00FC3A51"/>
    <w:rsid w:val="00FC5277"/>
    <w:rsid w:val="00FF21E0"/>
    <w:rsid w:val="00FF61DF"/>
    <w:rsid w:val="00FF701D"/>
    <w:rsid w:val="00FF7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BD7EF"/>
  <w15:docId w15:val="{6E89A386-DE6A-4E39-829F-F3DD7A29C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6A95"/>
    <w:pPr>
      <w:widowControl w:val="0"/>
      <w:jc w:val="both"/>
    </w:pPr>
  </w:style>
  <w:style w:type="paragraph" w:styleId="4">
    <w:name w:val="heading 4"/>
    <w:basedOn w:val="a"/>
    <w:next w:val="a"/>
    <w:link w:val="40"/>
    <w:uiPriority w:val="9"/>
    <w:semiHidden/>
    <w:unhideWhenUsed/>
    <w:qFormat/>
    <w:rsid w:val="00184885"/>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474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24746"/>
    <w:rPr>
      <w:sz w:val="18"/>
      <w:szCs w:val="18"/>
    </w:rPr>
  </w:style>
  <w:style w:type="paragraph" w:styleId="a5">
    <w:name w:val="footer"/>
    <w:basedOn w:val="a"/>
    <w:link w:val="a6"/>
    <w:uiPriority w:val="99"/>
    <w:unhideWhenUsed/>
    <w:rsid w:val="00C24746"/>
    <w:pPr>
      <w:tabs>
        <w:tab w:val="center" w:pos="4153"/>
        <w:tab w:val="right" w:pos="8306"/>
      </w:tabs>
      <w:snapToGrid w:val="0"/>
      <w:jc w:val="left"/>
    </w:pPr>
    <w:rPr>
      <w:sz w:val="18"/>
      <w:szCs w:val="18"/>
    </w:rPr>
  </w:style>
  <w:style w:type="character" w:customStyle="1" w:styleId="a6">
    <w:name w:val="页脚 字符"/>
    <w:basedOn w:val="a0"/>
    <w:link w:val="a5"/>
    <w:uiPriority w:val="99"/>
    <w:rsid w:val="00C24746"/>
    <w:rPr>
      <w:sz w:val="18"/>
      <w:szCs w:val="18"/>
    </w:rPr>
  </w:style>
  <w:style w:type="paragraph" w:styleId="a7">
    <w:name w:val="Normal (Web)"/>
    <w:basedOn w:val="a"/>
    <w:uiPriority w:val="99"/>
    <w:unhideWhenUsed/>
    <w:rsid w:val="00C24746"/>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a9"/>
    <w:uiPriority w:val="99"/>
    <w:semiHidden/>
    <w:unhideWhenUsed/>
    <w:rsid w:val="00C93C94"/>
    <w:rPr>
      <w:sz w:val="18"/>
      <w:szCs w:val="18"/>
    </w:rPr>
  </w:style>
  <w:style w:type="character" w:customStyle="1" w:styleId="a9">
    <w:name w:val="批注框文本 字符"/>
    <w:basedOn w:val="a0"/>
    <w:link w:val="a8"/>
    <w:uiPriority w:val="99"/>
    <w:semiHidden/>
    <w:rsid w:val="00C93C94"/>
    <w:rPr>
      <w:sz w:val="18"/>
      <w:szCs w:val="18"/>
    </w:rPr>
  </w:style>
  <w:style w:type="character" w:styleId="aa">
    <w:name w:val="annotation reference"/>
    <w:basedOn w:val="a0"/>
    <w:unhideWhenUsed/>
    <w:rsid w:val="00C93C94"/>
    <w:rPr>
      <w:sz w:val="21"/>
      <w:szCs w:val="21"/>
    </w:rPr>
  </w:style>
  <w:style w:type="paragraph" w:styleId="ab">
    <w:name w:val="annotation text"/>
    <w:basedOn w:val="a"/>
    <w:link w:val="ac"/>
    <w:unhideWhenUsed/>
    <w:rsid w:val="00C93C94"/>
    <w:pPr>
      <w:jc w:val="left"/>
    </w:pPr>
  </w:style>
  <w:style w:type="character" w:customStyle="1" w:styleId="ac">
    <w:name w:val="批注文字 字符"/>
    <w:basedOn w:val="a0"/>
    <w:link w:val="ab"/>
    <w:uiPriority w:val="99"/>
    <w:semiHidden/>
    <w:rsid w:val="00C93C94"/>
  </w:style>
  <w:style w:type="paragraph" w:styleId="ad">
    <w:name w:val="annotation subject"/>
    <w:basedOn w:val="ab"/>
    <w:next w:val="ab"/>
    <w:link w:val="ae"/>
    <w:uiPriority w:val="99"/>
    <w:semiHidden/>
    <w:unhideWhenUsed/>
    <w:rsid w:val="00C93C94"/>
    <w:rPr>
      <w:b/>
      <w:bCs/>
    </w:rPr>
  </w:style>
  <w:style w:type="character" w:customStyle="1" w:styleId="ae">
    <w:name w:val="批注主题 字符"/>
    <w:basedOn w:val="ac"/>
    <w:link w:val="ad"/>
    <w:uiPriority w:val="99"/>
    <w:semiHidden/>
    <w:rsid w:val="00C93C94"/>
    <w:rPr>
      <w:b/>
      <w:bCs/>
    </w:rPr>
  </w:style>
  <w:style w:type="paragraph" w:styleId="af">
    <w:name w:val="Revision"/>
    <w:hidden/>
    <w:uiPriority w:val="99"/>
    <w:semiHidden/>
    <w:rsid w:val="00C93C94"/>
  </w:style>
  <w:style w:type="paragraph" w:styleId="af0">
    <w:name w:val="Document Map"/>
    <w:basedOn w:val="a"/>
    <w:link w:val="af1"/>
    <w:uiPriority w:val="99"/>
    <w:semiHidden/>
    <w:unhideWhenUsed/>
    <w:rsid w:val="00A7643A"/>
    <w:rPr>
      <w:rFonts w:ascii="宋体" w:eastAsia="宋体"/>
      <w:sz w:val="18"/>
      <w:szCs w:val="18"/>
    </w:rPr>
  </w:style>
  <w:style w:type="character" w:customStyle="1" w:styleId="af1">
    <w:name w:val="文档结构图 字符"/>
    <w:basedOn w:val="a0"/>
    <w:link w:val="af0"/>
    <w:uiPriority w:val="99"/>
    <w:semiHidden/>
    <w:rsid w:val="00A7643A"/>
    <w:rPr>
      <w:rFonts w:ascii="宋体" w:eastAsia="宋体"/>
      <w:sz w:val="18"/>
      <w:szCs w:val="18"/>
    </w:rPr>
  </w:style>
  <w:style w:type="paragraph" w:customStyle="1" w:styleId="Char">
    <w:name w:val="Char"/>
    <w:basedOn w:val="a"/>
    <w:rsid w:val="00154213"/>
    <w:rPr>
      <w:rFonts w:ascii="Times New Roman" w:eastAsia="宋体" w:hAnsi="Times New Roman" w:cs="Times New Roman"/>
      <w:szCs w:val="24"/>
    </w:rPr>
  </w:style>
  <w:style w:type="paragraph" w:customStyle="1" w:styleId="af2">
    <w:name w:val="项目"/>
    <w:basedOn w:val="4"/>
    <w:rsid w:val="00184885"/>
    <w:pPr>
      <w:snapToGrid w:val="0"/>
      <w:spacing w:before="120" w:after="120" w:line="360" w:lineRule="auto"/>
    </w:pPr>
    <w:rPr>
      <w:rFonts w:ascii="Times New Roman" w:eastAsia="楷体_GB2312" w:hAnsi="Times New Roman" w:cs="Times New Roman"/>
      <w:b w:val="0"/>
      <w:sz w:val="24"/>
      <w:szCs w:val="20"/>
    </w:rPr>
  </w:style>
  <w:style w:type="character" w:customStyle="1" w:styleId="40">
    <w:name w:val="标题 4 字符"/>
    <w:basedOn w:val="a0"/>
    <w:link w:val="4"/>
    <w:uiPriority w:val="9"/>
    <w:semiHidden/>
    <w:rsid w:val="00184885"/>
    <w:rPr>
      <w:rFonts w:asciiTheme="majorHAnsi" w:eastAsiaTheme="majorEastAsia" w:hAnsiTheme="majorHAnsi" w:cstheme="majorBidi"/>
      <w:b/>
      <w:bCs/>
      <w:sz w:val="28"/>
      <w:szCs w:val="28"/>
    </w:rPr>
  </w:style>
  <w:style w:type="paragraph" w:styleId="af3">
    <w:name w:val="List Paragraph"/>
    <w:basedOn w:val="a"/>
    <w:uiPriority w:val="34"/>
    <w:qFormat/>
    <w:rsid w:val="00ED1C9B"/>
    <w:pPr>
      <w:ind w:firstLineChars="200" w:firstLine="420"/>
    </w:pPr>
  </w:style>
  <w:style w:type="character" w:styleId="af4">
    <w:name w:val="Hyperlink"/>
    <w:uiPriority w:val="99"/>
    <w:rsid w:val="002D289C"/>
    <w:rPr>
      <w:color w:val="0000FF"/>
      <w:u w:val="single"/>
    </w:rPr>
  </w:style>
  <w:style w:type="paragraph" w:customStyle="1" w:styleId="Default">
    <w:name w:val="Default"/>
    <w:rsid w:val="005876E1"/>
    <w:pPr>
      <w:widowControl w:val="0"/>
      <w:autoSpaceDE w:val="0"/>
      <w:autoSpaceDN w:val="0"/>
      <w:adjustRightInd w:val="0"/>
    </w:pPr>
    <w:rPr>
      <w:rFonts w:ascii="宋体" w:eastAsia="宋体" w:cs="宋体"/>
      <w:color w:val="000000"/>
      <w:kern w:val="0"/>
      <w:sz w:val="24"/>
      <w:szCs w:val="24"/>
    </w:rPr>
  </w:style>
  <w:style w:type="table" w:styleId="af5">
    <w:name w:val="Table Grid"/>
    <w:basedOn w:val="a1"/>
    <w:uiPriority w:val="59"/>
    <w:rsid w:val="00D10417"/>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网格型1"/>
    <w:basedOn w:val="a1"/>
    <w:next w:val="af5"/>
    <w:uiPriority w:val="59"/>
    <w:rsid w:val="00734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902948">
      <w:bodyDiv w:val="1"/>
      <w:marLeft w:val="0"/>
      <w:marRight w:val="0"/>
      <w:marTop w:val="0"/>
      <w:marBottom w:val="0"/>
      <w:divBdr>
        <w:top w:val="none" w:sz="0" w:space="0" w:color="auto"/>
        <w:left w:val="none" w:sz="0" w:space="0" w:color="auto"/>
        <w:bottom w:val="none" w:sz="0" w:space="0" w:color="auto"/>
        <w:right w:val="none" w:sz="0" w:space="0" w:color="auto"/>
      </w:divBdr>
    </w:div>
    <w:div w:id="558396523">
      <w:bodyDiv w:val="1"/>
      <w:marLeft w:val="0"/>
      <w:marRight w:val="0"/>
      <w:marTop w:val="0"/>
      <w:marBottom w:val="0"/>
      <w:divBdr>
        <w:top w:val="none" w:sz="0" w:space="0" w:color="auto"/>
        <w:left w:val="none" w:sz="0" w:space="0" w:color="auto"/>
        <w:bottom w:val="none" w:sz="0" w:space="0" w:color="auto"/>
        <w:right w:val="none" w:sz="0" w:space="0" w:color="auto"/>
      </w:divBdr>
      <w:divsChild>
        <w:div w:id="319816979">
          <w:marLeft w:val="0"/>
          <w:marRight w:val="0"/>
          <w:marTop w:val="0"/>
          <w:marBottom w:val="0"/>
          <w:divBdr>
            <w:top w:val="none" w:sz="0" w:space="0" w:color="auto"/>
            <w:left w:val="none" w:sz="0" w:space="0" w:color="auto"/>
            <w:bottom w:val="none" w:sz="0" w:space="0" w:color="auto"/>
            <w:right w:val="none" w:sz="0" w:space="0" w:color="auto"/>
          </w:divBdr>
          <w:divsChild>
            <w:div w:id="477645903">
              <w:marLeft w:val="0"/>
              <w:marRight w:val="0"/>
              <w:marTop w:val="0"/>
              <w:marBottom w:val="0"/>
              <w:divBdr>
                <w:top w:val="none" w:sz="0" w:space="0" w:color="auto"/>
                <w:left w:val="none" w:sz="0" w:space="0" w:color="auto"/>
                <w:bottom w:val="dashed" w:sz="8" w:space="9" w:color="8E8E8E"/>
                <w:right w:val="none" w:sz="0" w:space="0" w:color="auto"/>
              </w:divBdr>
            </w:div>
          </w:divsChild>
        </w:div>
      </w:divsChild>
    </w:div>
    <w:div w:id="202797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5AE257-397B-4F3C-ADE2-FEFC98A35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384</Words>
  <Characters>2192</Characters>
  <Application>Microsoft Office Word</Application>
  <DocSecurity>0</DocSecurity>
  <Lines>18</Lines>
  <Paragraphs>5</Paragraphs>
  <ScaleCrop>false</ScaleCrop>
  <Company>wind</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yfjiang.may</dc:creator>
  <cp:lastModifiedBy>张敏峻</cp:lastModifiedBy>
  <cp:revision>36</cp:revision>
  <cp:lastPrinted>2018-06-27T05:58:00Z</cp:lastPrinted>
  <dcterms:created xsi:type="dcterms:W3CDTF">2020-03-16T08:42:00Z</dcterms:created>
  <dcterms:modified xsi:type="dcterms:W3CDTF">2020-11-18T08:47:00Z</dcterms:modified>
</cp:coreProperties>
</file>