
<file path=[Content_Types].xml><?xml version="1.0" encoding="utf-8"?>
<Types xmlns="http://schemas.openxmlformats.org/package/2006/content-types">
  <Default ContentType="image/jpeg" Extension="jpeg"/>
  <Default ContentType="application/vnd.openxmlformats-package.relationships+xml" Extension="rels"/>
  <Default ContentType="application/xml" Extension="xml"/>
  <Override ContentType="application/vnd.openxmlformats-officedocument.customXmlProperties+xml" PartName="/customXml/itemProps1.xml"/>
  <Override ContentType="application/vnd.openxmlformats-officedocument.extended-properties+xml" PartName="/docProps/app.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wordprocessingml.endnotes+xml" PartName="/word/endnotes.xml"/>
  <Override ContentType="application/vnd.openxmlformats-officedocument.wordprocessingml.fontTable+xml" PartName="/word/fontTable.xml"/>
  <Override ContentType="application/vnd.openxmlformats-officedocument.wordprocessingml.footer+xml" PartName="/word/footer1.xml"/>
  <Override ContentType="application/vnd.openxmlformats-officedocument.wordprocessingml.footer+xml" PartName="/word/footer2.xml"/>
  <Override ContentType="application/vnd.openxmlformats-officedocument.wordprocessingml.footer+xml" PartName="/word/footer3.xml"/>
  <Override ContentType="application/vnd.openxmlformats-officedocument.wordprocessingml.footer+xml" PartName="/word/footer4.xml"/>
  <Override ContentType="application/vnd.openxmlformats-officedocument.wordprocessingml.footnotes+xml" PartName="/word/footnotes.xml"/>
  <Override ContentType="application/vnd.openxmlformats-officedocument.wordprocessingml.header+xml" PartName="/word/header1.xml"/>
  <Override ContentType="application/vnd.openxmlformats-officedocument.wordprocessingml.header+xml" PartName="/word/header2.xml"/>
  <Override ContentType="application/vnd.openxmlformats-officedocument.wordprocessingml.header+xml" PartName="/word/header3.xml"/>
  <Override ContentType="application/vnd.openxmlformats-officedocument.wordprocessingml.numbering+xml" PartName="/word/numbering.xml"/>
  <Override ContentType="application/vnd.openxmlformats-officedocument.wordprocessingml.settings+xml" PartName="/word/settings.xml"/>
  <Override ContentType="application/vnd.openxmlformats-officedocument.wordprocessingml.styles+xml" PartName="/word/styles.xml"/>
  <Override ContentType="application/vnd.openxmlformats-officedocument.theme+xml" PartName="/word/theme/theme1.xml"/>
  <Override ContentType="application/vnd.openxmlformats-officedocument.wordprocessingml.webSettings+xml" PartName="/word/webSettings.xml"/>
</Types>
</file>

<file path=_rels/.rels><?xml version="1.0" encoding="UTF-8" standalone="yes"?>
<Relationships xmlns="http://schemas.openxmlformats.org/package/2006/relationships">
<Relationship Id="rId1" Target="word/document.xml" Type="http://schemas.openxmlformats.org/officeDocument/2006/relationships/officeDocument"/>
<Relationship Id="rId2" Target="docProps/core.xml" Type="http://schemas.openxmlformats.org/package/2006/relationships/metadata/core-properties"/>
<Relationship Id="rId3" Target="docProps/app.xml" Type="http://schemas.openxmlformats.org/officeDocument/2006/relationships/extended-properties"/>
</Relationships>

</file>

<file path=word/document.xml><?xml version="1.0" encoding="utf-8"?>
<w:document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body>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FC7F43" w:rsidRDefault="00FC7F4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9A2283" w:rsidRPr="007F52FA">
      <w:pPr>
        <w:autoSpaceDE w:val="0"/>
        <w:autoSpaceDN w:val="0"/>
        <w:adjustRightInd w:val="0"/>
        <w:spacing w:before="29" w:line="288" w:lineRule="auto"/>
        <w:jc w:val="left"/>
        <w:rPr>
          <w:rFonts w:eastAsiaTheme="minorEastAsia"/>
          <w:color w:val="000000"/>
          <w:kern w:val="0"/>
          <w:sz w:val="24"/>
        </w:rPr>
      </w:pPr>
    </w:p>
    <w:p w:rsidP="007C14DF" w:rsidR="009A2283" w:rsidRDefault="002D2A00" w:rsidRPr="005858C2">
      <w:pPr>
        <w:spacing w:before="29" w:line="288" w:lineRule="auto"/>
        <w:jc w:val="center"/>
        <w:rPr>
          <w:rFonts w:eastAsiaTheme="minorEastAsia"/>
          <w:b/>
          <w:sz w:val="36"/>
          <w:szCs w:val="36"/>
        </w:rPr>
      </w:pPr>
      <w:r w:rsidRPr="005858C2">
        <w:rPr>
          <w:rFonts w:eastAsiaTheme="minorEastAsia"/>
          <w:b/>
          <w:sz w:val="36"/>
          <w:szCs w:val="36"/>
        </w:rPr>
        <w:t>交银施罗德裕利纯债债券型证券投资基金</w:t>
      </w:r>
    </w:p>
    <w:p w:rsidP="007C14DF" w:rsidR="002D2A00" w:rsidRDefault="002D2A00" w:rsidRPr="005858C2">
      <w:pPr>
        <w:spacing w:before="29" w:line="288" w:lineRule="auto"/>
        <w:jc w:val="center"/>
        <w:rPr>
          <w:rFonts w:eastAsiaTheme="minorEastAsia"/>
          <w:b/>
          <w:sz w:val="36"/>
          <w:szCs w:val="36"/>
        </w:rPr>
      </w:pPr>
      <w:r w:rsidRPr="005858C2">
        <w:rPr>
          <w:rFonts w:eastAsiaTheme="minorEastAsia"/>
          <w:b/>
          <w:sz w:val="36"/>
          <w:szCs w:val="36"/>
        </w:rPr>
        <w:t>2020年第3季度报告</w:t>
      </w:r>
    </w:p>
    <w:p w:rsidP="007C14DF" w:rsidR="009A2283" w:rsidRDefault="00577209" w:rsidRPr="005858C2">
      <w:pPr>
        <w:spacing w:before="29" w:line="288" w:lineRule="auto"/>
        <w:jc w:val="center"/>
        <w:rPr>
          <w:b/>
          <w:sz w:val="36"/>
          <w:szCs w:val="36"/>
        </w:rPr>
      </w:pPr>
      <w:r w:rsidRPr="005858C2">
        <w:rPr>
          <w:b/>
          <w:sz w:val="36"/>
          <w:szCs w:val="36"/>
        </w:rPr>
        <w:t/>
      </w:r>
      <w:r w:rsidR="00121533" w:rsidRPr="005858C2">
        <w:rPr>
          <w:b/>
          <w:sz w:val="36"/>
          <w:szCs w:val="36"/>
        </w:rPr>
        <w:t>2020年9月30日</w:t>
      </w: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657487">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E27360" w:rsidRDefault="00E27360"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jc w:val="center"/>
        <w:rPr>
          <w:rFonts w:eastAsiaTheme="minorEastAsia"/>
          <w:b/>
          <w:color w:val="000000"/>
          <w:sz w:val="24"/>
        </w:rPr>
      </w:pPr>
    </w:p>
    <w:p w:rsidP="007C14DF" w:rsidR="009A2283" w:rsidRDefault="009A2283" w:rsidRPr="007F52FA">
      <w:pPr>
        <w:spacing w:before="29" w:line="288" w:lineRule="auto"/>
        <w:rPr>
          <w:color w:val="000000"/>
          <w:sz w:val="24"/>
        </w:rPr>
      </w:pP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基金管理人：</w:t>
      </w:r>
      <w:r w:rsidR="00BF377F" w:rsidRPr="005858C2">
        <w:rPr>
          <w:b/>
          <w:color w:val="000000"/>
          <w:sz w:val="24"/>
        </w:rPr>
        <w:t>交银施罗德基金管理有限公司</w:t>
      </w:r>
    </w:p>
    <w:p w:rsidP="007C14DF" w:rsidR="00BD1A02" w:rsidRDefault="009A2283" w:rsidRPr="005858C2">
      <w:pPr>
        <w:spacing w:before="29" w:line="288" w:lineRule="auto"/>
        <w:ind w:firstLine="2168" w:firstLineChars="900"/>
        <w:rPr>
          <w:b/>
          <w:color w:val="000000"/>
          <w:sz w:val="24"/>
        </w:rPr>
      </w:pPr>
      <w:r w:rsidRPr="005858C2">
        <w:rPr>
          <w:b/>
          <w:color w:val="000000"/>
          <w:sz w:val="24"/>
        </w:rPr>
        <w:t>基金托管人：</w:t>
      </w:r>
      <w:r w:rsidR="00BF377F" w:rsidRPr="005858C2">
        <w:rPr>
          <w:b/>
          <w:color w:val="000000"/>
          <w:sz w:val="24"/>
        </w:rPr>
        <w:t>中国建设银行股份有限公司</w:t>
      </w:r>
    </w:p>
    <w:p w:rsidP="007C14DF" w:rsidR="009A2283" w:rsidRDefault="009A2283" w:rsidRPr="005858C2">
      <w:pPr>
        <w:spacing w:before="29" w:line="288" w:lineRule="auto"/>
        <w:ind w:firstLine="2168" w:firstLineChars="900"/>
        <w:rPr>
          <w:b/>
          <w:sz w:val="24"/>
        </w:rPr>
        <w:sectPr w:rsidR="009A2283" w:rsidRPr="005858C2" w:rsidSect="00D3445F">
          <w:headerReference r:id="rId8" w:type="even"/>
          <w:headerReference r:id="rId9" w:type="default"/>
          <w:footerReference r:id="rId10" w:type="even"/>
          <w:footerReference r:id="rId11" w:type="default"/>
          <w:headerReference r:id="rId12" w:type="first"/>
          <w:footerReference r:id="rId13" w:type="first"/>
          <w:pgSz w:h="15840" w:w="11926"/>
          <w:pgMar w:bottom="851" w:footer="992" w:gutter="0" w:header="851" w:left="1440" w:right="1440" w:top="1418"/>
          <w:cols w:space="720"/>
          <w:noEndnote/>
          <w:titlePg/>
          <w:docGrid w:linePitch="286"/>
        </w:sectPr>
      </w:pPr>
      <w:r w:rsidRPr="005858C2">
        <w:rPr>
          <w:b/>
          <w:color w:val="000000"/>
          <w:sz w:val="24"/>
        </w:rPr>
        <w:t>报告送出日期：</w:t>
      </w:r>
      <w:r w:rsidR="00D04410" w:rsidRPr="005858C2">
        <w:rPr>
          <w:b/>
          <w:color w:val="000000"/>
          <w:sz w:val="24"/>
        </w:rPr>
        <w:t>二〇二〇年十月二十八日</w:t>
      </w:r>
    </w:p>
    <w:p w:rsidP="000A2988" w:rsidR="009238DB" w:rsidRDefault="009238DB" w:rsidRPr="007F52FA">
      <w:pPr>
        <w:pStyle w:val="1"/>
        <w:spacing w:after="312" w:afterLines="100" w:before="312" w:beforeLines="100" w:line="288" w:lineRule="auto"/>
        <w:jc w:val="center"/>
        <w:rPr>
          <w:b w:val="0"/>
          <w:color w:val="000000"/>
          <w:kern w:val="0"/>
          <w:sz w:val="24"/>
          <w:szCs w:val="24"/>
        </w:rPr>
      </w:pPr>
      <w:r w:rsidRPr="007F52FA">
        <w:rPr>
          <w:color w:val="000000"/>
          <w:kern w:val="0"/>
          <w:sz w:val="24"/>
          <w:szCs w:val="24"/>
        </w:rPr>
        <w:lastRenderedPageBreak/>
        <w:t xml:space="preserve">§1  </w:t>
      </w:r>
      <w:r w:rsidRPr="007F52FA">
        <w:rPr>
          <w:color w:val="000000"/>
          <w:kern w:val="0"/>
          <w:sz w:val="24"/>
          <w:szCs w:val="24"/>
        </w:rPr>
        <w:t>重要提示</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基金管理人的董事会及董事保证本报告所载资料不存在虚假记载、误导性陈述或重大遗漏，并对其内容的真实性、准确性和完整性承担个别及连带责任。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基金托管人中国建设银行股份有限公司根据本基金合同规定，于2020年10月27日复核了本报告中的财务指标、净值表现和投资组合报告等内容，保证复核内容不存在虚假记载、误导性陈述或者重大遗漏。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基金管理人承诺以诚实信用、勤勉尽责的原则管理和运用基金资产，但不保证基金一定盈利。 </w:t>
      </w:r>
    </w:p>
    <w:p>
      <w:pPr>
        <w:spacing w:before="29" w:line="288" w:lineRule="auto"/>
        <w:ind w:firstLine="480" w:firstLineChars="200"/>
        <w:rPr>
          <w:rFonts w:eastAsiaTheme="minorEastAsia"/>
          <w:color w:val="000000"/>
          <w:sz w:val="24"/>
        </w:rPr>
      </w:pPr>
      <w:r>
        <w:rPr>
          <w:rFonts w:eastAsiaTheme="minorEastAsia"/>
          <w:color w:val="000000"/>
          <w:sz w:val="24"/>
        </w:rPr>
        <w:t xml:space="preserve">基金的过往业绩并不代表其未来表现。投资有风险，投资者在作出投资决策前应仔细阅读本基金的招募说明书。 </w:t>
      </w:r>
    </w:p>
    <w:p>
      <w:pPr>
        <w:spacing w:before="29" w:line="288" w:lineRule="auto"/>
        <w:ind w:firstLine="480" w:firstLineChars="200"/>
        <w:rPr>
          <w:rFonts w:eastAsiaTheme="minorEastAsia"/>
          <w:color w:val="000000"/>
          <w:sz w:val="24"/>
        </w:rPr>
      </w:pPr>
      <w:r>
        <w:rPr>
          <w:rFonts w:eastAsiaTheme="minorEastAsia"/>
          <w:color w:val="000000"/>
          <w:sz w:val="24"/>
        </w:rPr>
        <w:t>本报告中财务资料未经审计。</w:t>
      </w:r>
    </w:p>
    <w:p w:rsidP="007C14DF" w:rsidR="009238DB" w:rsidRDefault="00267DA9"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本报告期自2020年7月1日起至9月30日止。</w:t>
      </w:r>
    </w:p>
    <w:p w:rsidP="007C14DF" w:rsidR="00740635" w:rsidRDefault="00740635" w:rsidRPr="007F52FA">
      <w:pPr>
        <w:spacing w:before="29" w:line="288" w:lineRule="auto"/>
        <w:ind w:firstLine="480" w:firstLineChars="200"/>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§2  </w:t>
      </w:r>
      <w:r w:rsidRPr="007F52FA">
        <w:rPr>
          <w:color w:val="000000"/>
          <w:kern w:val="0"/>
          <w:sz w:val="24"/>
          <w:szCs w:val="24"/>
        </w:rPr>
        <w:t>基金产品概况</w:t>
      </w:r>
    </w:p>
    <w:tbl>
      <w:tblPr>
        <w:tblW w:type="dxa" w:w="8993"/>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1" w:lastRow="1" w:noHBand="0" w:noVBand="0" w:val="01E0"/>
      </w:tblPr>
      <w:tblGrid>
        <w:gridCol w:w="3023"/>
        <w:gridCol w:w="2922"/>
        <w:gridCol w:w="3048"/>
      </w:tblGrid>
      <w:tr w:rsidR="00A6200E" w:rsidRPr="007F52FA" w:rsidTr="009416C9">
        <w:trPr>
          <w:jc w:val="center"/>
        </w:trPr>
        <w:tc>
          <w:tcPr>
            <w:tcW w:type="dxa" w:w="3023"/>
            <w:vAlign w:val="center"/>
          </w:tcPr>
          <w:p w:rsidP="007C14DF" w:rsidR="00A6200E" w:rsidRDefault="00A6200E" w:rsidRPr="007F52FA">
            <w:pPr>
              <w:adjustRightInd w:val="0"/>
              <w:spacing w:before="29" w:line="288" w:lineRule="auto"/>
              <w:ind w:left="17"/>
              <w:jc w:val="left"/>
              <w:rPr>
                <w:kern w:val="0"/>
                <w:sz w:val="24"/>
              </w:rPr>
            </w:pPr>
            <w:r w:rsidRPr="007F52FA">
              <w:rPr>
                <w:kern w:val="0"/>
                <w:sz w:val="24"/>
              </w:rPr>
              <w:t>基金简称</w:t>
            </w:r>
          </w:p>
        </w:tc>
        <w:tc>
          <w:tcPr>
            <w:tcW w:type="dxa" w:w="5970"/>
            <w:gridSpan w:val="2"/>
            <w:vAlign w:val="center"/>
          </w:tcPr>
          <w:p w:rsidP="007C14DF" w:rsidR="00A6200E" w:rsidRDefault="00A6200E" w:rsidRPr="007F52FA">
            <w:pPr>
              <w:adjustRightInd w:val="0"/>
              <w:spacing w:before="29" w:line="288" w:lineRule="auto"/>
              <w:ind w:left="17"/>
              <w:jc w:val="left"/>
              <w:rPr>
                <w:color w:val="000000"/>
                <w:kern w:val="0"/>
                <w:sz w:val="24"/>
              </w:rPr>
            </w:pPr>
            <w:r w:rsidRPr="007F52FA">
              <w:rPr>
                <w:color w:val="000000"/>
                <w:kern w:val="0"/>
                <w:sz w:val="24"/>
              </w:rPr>
              <w:t>交银裕利纯债债券</w:t>
            </w:r>
          </w:p>
        </w:tc>
      </w:tr>
      <w:tr w:rsidR="00B95753" w:rsidRPr="007F52FA" w:rsidTr="009416C9">
        <w:trPr>
          <w:jc w:val="center"/>
        </w:trPr>
        <w:tc>
          <w:tcPr>
            <w:tcW w:type="dxa" w:w="3023"/>
            <w:vAlign w:val="center"/>
          </w:tcPr>
          <w:p w:rsidP="007C14DF" w:rsidR="00B95753" w:rsidRDefault="00B95753" w:rsidRPr="007F52FA">
            <w:pPr>
              <w:adjustRightInd w:val="0"/>
              <w:spacing w:before="29" w:line="288" w:lineRule="auto"/>
              <w:ind w:left="17"/>
              <w:jc w:val="left"/>
              <w:rPr>
                <w:kern w:val="0"/>
                <w:sz w:val="24"/>
              </w:rPr>
            </w:pPr>
            <w:r w:rsidRPr="007F52FA">
              <w:rPr>
                <w:kern w:val="0"/>
                <w:sz w:val="24"/>
              </w:rPr>
              <w:t>基金主代码</w:t>
            </w:r>
          </w:p>
        </w:tc>
        <w:tc>
          <w:tcPr>
            <w:tcW w:type="dxa" w:w="5970"/>
            <w:gridSpan w:val="2"/>
            <w:tcBorders>
              <w:bottom w:color="auto" w:space="0" w:sz="4" w:val="single"/>
            </w:tcBorders>
            <w:vAlign w:val="center"/>
          </w:tcPr>
          <w:p w:rsidP="007C14DF" w:rsidR="00B95753" w:rsidRDefault="00B95753" w:rsidRPr="007F52FA">
            <w:pPr>
              <w:adjustRightInd w:val="0"/>
              <w:spacing w:before="29" w:line="288" w:lineRule="auto"/>
              <w:ind w:left="17"/>
              <w:jc w:val="left"/>
              <w:rPr>
                <w:color w:val="000000"/>
                <w:kern w:val="0"/>
                <w:sz w:val="24"/>
              </w:rPr>
            </w:pPr>
            <w:r w:rsidRPr="007F52FA">
              <w:rPr>
                <w:color w:val="000000"/>
                <w:kern w:val="0"/>
                <w:sz w:val="24"/>
              </w:rPr>
              <w:t>519786</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基金运作方式</w:t>
            </w:r>
          </w:p>
        </w:tc>
        <w:tc>
          <w:tcPr>
            <w:tcW w:type="dxa" w:w="5970"/>
            <w:gridSpan w:val="2"/>
            <w:tcBorders>
              <w:top w:color="auto" w:space="0" w:sz="4" w:val="single"/>
            </w:tcBorders>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契约型开放式</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基金合同生效日</w:t>
            </w:r>
          </w:p>
        </w:tc>
        <w:tc>
          <w:tcPr>
            <w:tcW w:type="dxa" w:w="5970"/>
            <w:gridSpan w:val="2"/>
            <w:vAlign w:val="center"/>
          </w:tcPr>
          <w:p w:rsidP="007C14DF" w:rsidR="008532F3" w:rsidRDefault="008532F3" w:rsidRPr="007F52FA">
            <w:pPr>
              <w:adjustRightInd w:val="0"/>
              <w:spacing w:before="29" w:line="288" w:lineRule="auto"/>
              <w:ind w:left="17"/>
              <w:jc w:val="left"/>
              <w:rPr>
                <w:color w:val="000000"/>
                <w:kern w:val="0"/>
                <w:sz w:val="24"/>
              </w:rPr>
            </w:pPr>
            <w:r w:rsidRPr="007F52FA">
              <w:rPr>
                <w:color w:val="000000"/>
                <w:kern w:val="0"/>
                <w:sz w:val="24"/>
              </w:rPr>
              <w:t>2016年11月23日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报告期末基金份额总额</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3,382,813,948.53</w:t>
            </w:r>
            <w:r w:rsidRPr="007F52FA">
              <w:rPr>
                <w:color w:val="000000"/>
                <w:kern w:val="0"/>
                <w:sz w:val="24"/>
              </w:rPr>
              <w:t>份</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投资目标</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本基金在严格控制风险和保持资产流动性的基础上，通过积极主动的投资管理，力争持续稳定地实现超越业绩比较基准的投资回报。</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投资策略</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充分发挥基金管理人的研究优势，对宏观经济运行趋势、财政以及货币政策变化趋势作出分析和判断，对未来市场利率趋势及市场信用环境变化作出预测，确定本基金债券组合久期、期限结构、债券类别配置策略，在严谨深入的分析和严格的风险控制基础上，综合考虑经济变量的变动对不同券种收益率、信用趋势和风险的潜在影响，深入挖掘价值被低估的标的券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业绩比较基准</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中债综合全价指数收益率</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风险收益特征</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本基金是一只债券型基金，其风险与预期收益高于货币市场基金，低于混合型基金和股票型基金，属于证券投资基金中中低风险的品种。</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基金管理人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交银施罗德基金管理有限公司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sz w:val="24"/>
              </w:rPr>
            </w:pPr>
            <w:r w:rsidRPr="007F52FA">
              <w:rPr>
                <w:kern w:val="0"/>
                <w:sz w:val="24"/>
              </w:rPr>
              <w:t>基金托管人</w:t>
            </w:r>
          </w:p>
        </w:tc>
        <w:tc>
          <w:tcPr>
            <w:tcW w:type="dxa" w:w="5970"/>
            <w:gridSpan w:val="2"/>
            <w:vAlign w:val="center"/>
          </w:tcPr>
          <w:p w:rsidP="007C14DF" w:rsidR="008532F3" w:rsidRDefault="008532F3" w:rsidRPr="007F52FA">
            <w:pPr>
              <w:adjustRightInd w:val="0"/>
              <w:spacing w:before="29" w:line="288" w:lineRule="auto"/>
              <w:ind w:left="17"/>
              <w:jc w:val="left"/>
              <w:rPr>
                <w:color w:val="000000"/>
                <w:sz w:val="24"/>
              </w:rPr>
            </w:pPr>
            <w:r w:rsidRPr="007F52FA">
              <w:rPr>
                <w:color w:val="000000"/>
                <w:kern w:val="0"/>
                <w:sz w:val="24"/>
              </w:rPr>
              <w:t>中国建设银行股份有限公司</w:t>
            </w:r>
          </w:p>
        </w:tc>
      </w:tr>
      <w:tr w:rsidR="008532F3" w:rsidRPr="007F52FA" w:rsidTr="009416C9">
        <w:trPr>
          <w:jc w:val="center"/>
        </w:trPr>
        <w:tc>
          <w:tcPr>
            <w:tcW w:type="dxa" w:w="3023"/>
            <w:vAlign w:val="center"/>
          </w:tcPr>
          <w:p w:rsidP="007C14DF" w:rsidR="008532F3" w:rsidRDefault="008532F3" w:rsidRPr="007F52FA">
            <w:pPr>
              <w:adjustRightInd w:val="0"/>
              <w:spacing w:before="29" w:line="288" w:lineRule="auto"/>
              <w:ind w:left="17"/>
              <w:jc w:val="left"/>
              <w:rPr>
                <w:kern w:val="0"/>
                <w:sz w:val="24"/>
              </w:rPr>
            </w:pPr>
            <w:r w:rsidRPr="007F52FA">
              <w:rPr>
                <w:color w:val="000000"/>
                <w:sz w:val="24"/>
              </w:rPr>
              <w:t>下属两级基金的基金简称</w:t>
            </w:r>
          </w:p>
        </w:tc>
        <w:tc>
          <w:tcPr>
            <w:tcW w:type="dxa" w:w="2922"/>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交银裕利纯债债券A</w:t>
            </w:r>
          </w:p>
        </w:tc>
        <w:tc>
          <w:tcPr>
            <w:tcW w:type="dxa" w:w="3048"/>
            <w:vAlign w:val="center"/>
          </w:tcPr>
          <w:p w:rsidP="007C14DF" w:rsidR="008532F3" w:rsidRDefault="008532F3" w:rsidRPr="007F52FA">
            <w:pPr>
              <w:spacing w:before="29" w:line="288" w:lineRule="auto"/>
              <w:jc w:val="left"/>
              <w:rPr>
                <w:sz w:val="24"/>
              </w:rPr>
            </w:pPr>
            <w:r w:rsidRPr="007F52FA">
              <w:rPr>
                <w:color w:val="000000"/>
                <w:kern w:val="0"/>
                <w:sz w:val="24"/>
              </w:rPr>
              <w:t/>
            </w:r>
            <w:r w:rsidRPr="007F52FA">
              <w:rPr>
                <w:sz w:val="24"/>
              </w:rPr>
              <w:t>交银裕利纯债债券C</w:t>
            </w:r>
          </w:p>
        </w:tc>
      </w:tr>
      <w:tr w:rsidR="00C23B30" w:rsidRPr="007F52FA" w:rsidTr="009416C9">
        <w:trPr>
          <w:jc w:val="center"/>
        </w:trPr>
        <w:tc>
          <w:tcPr>
            <w:tcW w:type="dxa" w:w="3023"/>
            <w:vAlign w:val="center"/>
          </w:tcPr>
          <w:p w:rsidP="007C14DF" w:rsidR="00C23B30" w:rsidRDefault="007C3DC6">
            <w:pPr>
              <w:adjustRightInd w:val="0"/>
              <w:spacing w:before="29" w:line="288" w:lineRule="auto"/>
              <w:ind w:left="17"/>
              <w:jc w:val="left"/>
              <w:rPr>
                <w:color w:val="000000"/>
                <w:sz w:val="24"/>
              </w:rPr>
            </w:pPr>
            <w:r w:rsidRPr="007F52FA">
              <w:rPr>
                <w:color w:val="000000"/>
                <w:sz w:val="24"/>
              </w:rPr>
              <w:t>下属两级基金的交易代码</w:t>
            </w:r>
          </w:p>
          <w:p w:rsidP="00C01EF2" w:rsidR="00C01EF2" w:rsidRDefault="00C01EF2" w:rsidRPr="007F52FA">
            <w:pPr>
              <w:adjustRightInd w:val="0"/>
              <w:spacing w:before="29" w:line="288" w:lineRule="auto"/>
              <w:ind w:left="17"/>
              <w:jc w:val="left"/>
              <w:rPr>
                <w:color w:val="000000"/>
                <w:sz w:val="24"/>
              </w:rPr>
            </w:pPr>
            <w:r w:rsidRPr="007F52FA">
              <w:rPr>
                <w:color w:themeColor="text1" w:val="000000"/>
                <w:sz w:val="24"/>
              </w:rPr>
              <w:t/>
            </w:r>
            <w:r w:rsidRPr="000E4C40">
              <w:rPr>
                <w:color w:val="000000"/>
                <w:kern w:val="0"/>
                <w:sz w:val="24"/>
              </w:rPr>
              <w:t/>
            </w:r>
            <w:r>
              <w:rPr>
                <w:rFonts w:hint="eastAsia"/>
                <w:color w:val="000000"/>
                <w:kern w:val="0"/>
                <w:sz w:val="24"/>
              </w:rPr>
              <w:t/>
            </w:r>
            <w:r w:rsidRPr="000E4C40">
              <w:rPr>
                <w:sz w:val="24"/>
              </w:rPr>
              <w:t/>
            </w:r>
          </w:p>
        </w:tc>
        <w:tc>
          <w:tcPr>
            <w:tcW w:type="dxa" w:w="2922"/>
            <w:vAlign w:val="center"/>
          </w:tcPr>
          <w:p w:rsidP="007F50FB" w:rsidR="00C23B30" w:rsidRDefault="00C23B30" w:rsidRPr="000E4C40">
            <w:pPr>
              <w:spacing w:before="29" w:line="288" w:lineRule="auto"/>
              <w:jc w:val="left"/>
              <w:rPr>
                <w:sz w:val="24"/>
              </w:rPr>
            </w:pPr>
            <w:r w:rsidRPr="007F52FA">
              <w:rPr>
                <w:color w:themeColor="text1" w:val="000000"/>
                <w:sz w:val="24"/>
              </w:rPr>
              <w:t/>
            </w:r>
            <w:r w:rsidRPr="000E4C40">
              <w:rPr>
                <w:color w:val="000000"/>
                <w:kern w:val="0"/>
                <w:sz w:val="24"/>
              </w:rPr>
              <w:t/>
            </w:r>
            <w:r w:rsidRPr="000E4C40">
              <w:rPr>
                <w:sz w:val="24"/>
              </w:rPr>
              <w:t>519786</w:t>
            </w:r>
          </w:p>
        </w:tc>
        <w:tc>
          <w:tcPr>
            <w:tcW w:type="dxa" w:w="3048"/>
            <w:vAlign w:val="center"/>
          </w:tcPr>
          <w:p w:rsidP="00A52A9E" w:rsidR="00C23B30" w:rsidRDefault="00261F47" w:rsidRPr="000E4C40">
            <w:pPr>
              <w:spacing w:before="29" w:line="288" w:lineRule="auto"/>
              <w:jc w:val="left"/>
              <w:rPr>
                <w:sz w:val="24"/>
              </w:rPr>
            </w:pPr>
            <w:r w:rsidRPr="007F52FA">
              <w:rPr>
                <w:color w:themeColor="text1" w:val="000000"/>
                <w:sz w:val="24"/>
              </w:rPr>
              <w:t/>
            </w:r>
            <w:r w:rsidR="00C23B30" w:rsidRPr="000E4C40">
              <w:rPr>
                <w:color w:val="000000"/>
                <w:kern w:val="0"/>
                <w:sz w:val="24"/>
              </w:rPr>
              <w:t/>
            </w:r>
            <w:r w:rsidR="00C23B30" w:rsidRPr="000E4C40">
              <w:rPr>
                <w:sz w:val="24"/>
              </w:rPr>
              <w:t/>
            </w:r>
            <w:r w:rsidR="00A52A9E">
              <w:rPr>
                <w:sz w:val="24"/>
              </w:rPr>
              <w:t/>
            </w:r>
            <w:r w:rsidR="00C23B30" w:rsidRPr="000E4C40">
              <w:rPr>
                <w:sz w:val="24"/>
              </w:rPr>
              <w:t>519787</w:t>
            </w:r>
          </w:p>
        </w:tc>
      </w:tr>
      <w:tr w:rsidR="00C23B30" w:rsidRPr="007F52FA" w:rsidTr="009416C9">
        <w:trPr>
          <w:jc w:val="center"/>
        </w:trPr>
        <w:tc>
          <w:tcPr>
            <w:tcW w:type="dxa" w:w="3023"/>
            <w:vAlign w:val="center"/>
          </w:tcPr>
          <w:p w:rsidP="007C14DF" w:rsidR="00C23B30" w:rsidRDefault="00C23B30" w:rsidRPr="007F52FA">
            <w:pPr>
              <w:adjustRightInd w:val="0"/>
              <w:spacing w:before="29" w:line="288" w:lineRule="auto"/>
              <w:ind w:left="17"/>
              <w:jc w:val="left"/>
              <w:rPr>
                <w:color w:val="000000"/>
                <w:sz w:val="24"/>
              </w:rPr>
            </w:pPr>
            <w:r w:rsidRPr="007F52FA">
              <w:rPr>
                <w:color w:val="000000"/>
                <w:sz w:val="24"/>
              </w:rPr>
              <w:t>报告期末下属两级基金的</w:t>
            </w:r>
            <w:r w:rsidRPr="007F52FA">
              <w:rPr>
                <w:color w:val="000000"/>
                <w:sz w:val="24"/>
              </w:rPr>
              <w:lastRenderedPageBreak/>
              <w:t>份额总额</w:t>
            </w:r>
          </w:p>
        </w:tc>
        <w:tc>
          <w:tcPr>
            <w:tcW w:type="dxa" w:w="2922"/>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3,382,721,417.05</w:t>
            </w:r>
            <w:r w:rsidRPr="007F52FA">
              <w:rPr>
                <w:color w:val="000000"/>
                <w:kern w:val="0"/>
                <w:sz w:val="24"/>
              </w:rPr>
              <w:t>份</w:t>
            </w:r>
          </w:p>
        </w:tc>
        <w:tc>
          <w:tcPr>
            <w:tcW w:type="dxa" w:w="3048"/>
            <w:vAlign w:val="center"/>
          </w:tcPr>
          <w:p w:rsidP="007C14DF" w:rsidR="00C23B30" w:rsidRDefault="00C23B30" w:rsidRPr="007F52FA">
            <w:pPr>
              <w:spacing w:before="29" w:line="288" w:lineRule="auto"/>
              <w:jc w:val="left"/>
              <w:rPr>
                <w:sz w:val="24"/>
              </w:rPr>
            </w:pPr>
            <w:r w:rsidRPr="007F52FA">
              <w:rPr>
                <w:color w:val="000000"/>
                <w:kern w:val="0"/>
                <w:sz w:val="24"/>
              </w:rPr>
              <w:lastRenderedPageBreak/>
              <w:t/>
            </w:r>
            <w:r w:rsidRPr="007F52FA">
              <w:rPr>
                <w:color w:val="000000"/>
                <w:kern w:val="0"/>
                <w:sz w:val="24"/>
              </w:rPr>
              <w:lastRenderedPageBreak/>
              <w:t/>
            </w:r>
            <w:r w:rsidRPr="007F52FA">
              <w:rPr>
                <w:sz w:val="24"/>
              </w:rPr>
              <w:t>92,531.48</w:t>
            </w:r>
            <w:r w:rsidRPr="007F52FA">
              <w:rPr>
                <w:color w:val="000000"/>
                <w:kern w:val="0"/>
                <w:sz w:val="24"/>
              </w:rPr>
              <w:t>份</w:t>
            </w:r>
          </w:p>
        </w:tc>
      </w:tr>
    </w:tbl>
    <w:p w:rsidP="007C14DF" w:rsidR="00740635" w:rsidRDefault="00740635" w:rsidRPr="007F52FA">
      <w:pPr>
        <w:autoSpaceDE w:val="0"/>
        <w:autoSpaceDN w:val="0"/>
        <w:adjustRightInd w:val="0"/>
        <w:spacing w:before="29" w:line="288" w:lineRule="auto"/>
        <w:jc w:val="left"/>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color w:val="000000"/>
          <w:kern w:val="0"/>
          <w:sz w:val="24"/>
          <w:szCs w:val="24"/>
        </w:rPr>
      </w:pPr>
      <w:r w:rsidRPr="007F52FA">
        <w:rPr>
          <w:color w:val="000000"/>
          <w:kern w:val="0"/>
          <w:sz w:val="24"/>
          <w:szCs w:val="24"/>
        </w:rPr>
        <w:t xml:space="preserve">§3  </w:t>
      </w:r>
      <w:r w:rsidRPr="007F52FA">
        <w:rPr>
          <w:color w:val="000000"/>
          <w:kern w:val="0"/>
          <w:sz w:val="24"/>
          <w:szCs w:val="24"/>
        </w:rPr>
        <w:t>主要财务指标和基金净值表现</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3.1 </w:t>
      </w:r>
      <w:r w:rsidRPr="007F52FA">
        <w:rPr>
          <w:b/>
          <w:color w:val="000000"/>
          <w:kern w:val="0"/>
          <w:sz w:val="24"/>
        </w:rPr>
        <w:t>主要财务指标</w:t>
      </w:r>
    </w:p>
    <w:p w:rsidP="007C14DF" w:rsidR="009238DB" w:rsidRDefault="009238DB" w:rsidRPr="007F52FA">
      <w:pPr>
        <w:autoSpaceDE w:val="0"/>
        <w:autoSpaceDN w:val="0"/>
        <w:adjustRightInd w:val="0"/>
        <w:spacing w:before="29" w:line="288" w:lineRule="auto"/>
        <w:ind w:left="15" w:right="480"/>
        <w:jc w:val="right"/>
        <w:rPr>
          <w:color w:val="000000"/>
          <w:kern w:val="0"/>
          <w:sz w:val="24"/>
        </w:rPr>
      </w:pPr>
      <w:r w:rsidRPr="007F52FA">
        <w:rPr>
          <w:color w:val="000000"/>
          <w:kern w:val="0"/>
          <w:sz w:val="24"/>
        </w:rPr>
        <w:t>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0" w:firstRow="0" w:lastColumn="0" w:lastRow="0" w:noHBand="0" w:noVBand="0" w:val="0000"/>
      </w:tblPr>
      <w:tblGrid>
        <w:gridCol w:w="3606"/>
        <w:gridCol w:w="2631"/>
        <w:gridCol w:w="2631"/>
      </w:tblGrid>
      <w:tr w:rsidR="009E549D" w:rsidRPr="007F52FA" w:rsidTr="007A5233">
        <w:trPr>
          <w:jc w:val="center"/>
        </w:trPr>
        <w:tc>
          <w:tcPr>
            <w:tcW w:type="dxa" w:w="3402"/>
            <w:vMerge w:val="restart"/>
            <w:vAlign w:val="center"/>
          </w:tcPr>
          <w:p w:rsidP="007C14DF" w:rsidR="009E549D" w:rsidRDefault="009E549D" w:rsidRPr="007F52FA">
            <w:pPr>
              <w:adjustRightInd w:val="0"/>
              <w:spacing w:before="29" w:line="288" w:lineRule="auto"/>
              <w:ind w:left="17"/>
              <w:jc w:val="center"/>
              <w:rPr>
                <w:kern w:val="0"/>
                <w:sz w:val="24"/>
              </w:rPr>
            </w:pPr>
            <w:r w:rsidRPr="007F52FA">
              <w:rPr>
                <w:kern w:val="0"/>
                <w:sz w:val="24"/>
              </w:rPr>
              <w:t>主要财务指标</w:t>
            </w:r>
          </w:p>
        </w:tc>
        <w:tc>
          <w:tcPr>
            <w:tcW w:type="dxa" w:w="4962"/>
            <w:gridSpan w:val="2"/>
            <w:vAlign w:val="center"/>
          </w:tcPr>
          <w:p w:rsidP="00BF5A58" w:rsidR="00BF5A58" w:rsidRDefault="00BF5A58" w:rsidRPr="00414345">
            <w:pPr>
              <w:adjustRightInd w:val="0"/>
              <w:spacing w:before="29" w:line="288" w:lineRule="auto"/>
              <w:ind w:left="17"/>
              <w:jc w:val="center"/>
              <w:rPr>
                <w:color w:val="000000"/>
                <w:sz w:val="24"/>
              </w:rPr>
            </w:pPr>
            <w:r w:rsidRPr="00414345">
              <w:rPr>
                <w:color w:val="000000"/>
                <w:sz w:val="24"/>
              </w:rPr>
              <w:t>报告期</w:t>
            </w:r>
          </w:p>
          <w:p w:rsidP="00BF5A58" w:rsidR="009E549D" w:rsidRDefault="00BF5A58" w:rsidRPr="007F52FA">
            <w:pPr>
              <w:adjustRightInd w:val="0"/>
              <w:spacing w:before="29" w:line="288" w:lineRule="auto"/>
              <w:ind w:left="17"/>
              <w:jc w:val="center"/>
              <w:rPr>
                <w:color w:val="000000"/>
                <w:sz w:val="24"/>
              </w:rPr>
            </w:pPr>
            <w:r w:rsidRPr="00414345">
              <w:rPr>
                <w:color w:val="000000"/>
                <w:sz w:val="24"/>
              </w:rPr>
              <w:t>(2020年7月1日-2020年9月30日)</w:t>
            </w:r>
          </w:p>
        </w:tc>
      </w:tr>
      <w:tr w:rsidR="009E549D" w:rsidRPr="007F52FA" w:rsidTr="007A5233">
        <w:trPr>
          <w:jc w:val="center"/>
        </w:trPr>
        <w:tc>
          <w:tcPr>
            <w:tcW w:type="dxa" w:w="3402"/>
            <w:vMerge/>
            <w:vAlign w:val="center"/>
          </w:tcPr>
          <w:p w:rsidP="007C14DF" w:rsidR="009E549D" w:rsidRDefault="009E549D" w:rsidRPr="007F52FA">
            <w:pPr>
              <w:adjustRightInd w:val="0"/>
              <w:spacing w:before="29" w:line="288" w:lineRule="auto"/>
              <w:ind w:left="17"/>
              <w:jc w:val="center"/>
              <w:rPr>
                <w:kern w:val="0"/>
                <w:sz w:val="24"/>
              </w:rPr>
            </w:pP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交银裕利纯债债券A</w:t>
            </w:r>
          </w:p>
        </w:tc>
        <w:tc>
          <w:tcPr>
            <w:tcW w:type="dxa" w:w="2481"/>
            <w:vAlign w:val="center"/>
          </w:tcPr>
          <w:p w:rsidP="007C14DF" w:rsidR="009E549D" w:rsidRDefault="009E549D" w:rsidRPr="007F52FA">
            <w:pPr>
              <w:adjustRightInd w:val="0"/>
              <w:spacing w:before="29" w:line="288" w:lineRule="auto"/>
              <w:ind w:left="17"/>
              <w:jc w:val="center"/>
              <w:rPr>
                <w:color w:val="000000"/>
                <w:sz w:val="24"/>
              </w:rPr>
            </w:pPr>
            <w:r w:rsidRPr="007F52FA">
              <w:rPr>
                <w:color w:val="000000"/>
                <w:kern w:val="0"/>
                <w:sz w:val="24"/>
              </w:rPr>
              <w:t/>
            </w:r>
            <w:r w:rsidRPr="007F52FA">
              <w:rPr>
                <w:sz w:val="24"/>
              </w:rPr>
              <w:t/>
            </w:r>
            <w:r w:rsidR="004D614E" w:rsidRPr="007F52FA">
              <w:rPr>
                <w:sz w:val="24"/>
              </w:rPr>
              <w:t/>
            </w:r>
            <w:r w:rsidR="00FE7FBD" w:rsidRPr="007F52FA">
              <w:rPr>
                <w:sz w:val="24"/>
              </w:rPr>
              <w:t>交银裕利纯债债券C</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1.</w:t>
            </w:r>
            <w:r w:rsidRPr="007F52FA">
              <w:rPr>
                <w:kern w:val="0"/>
                <w:sz w:val="24"/>
              </w:rPr>
              <w:t>本期已实现收益</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27,354,972.05</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AD3905" w:rsidRPr="007F52FA">
              <w:rPr>
                <w:color w:val="000000"/>
                <w:sz w:val="24"/>
              </w:rPr>
              <w:t/>
            </w:r>
            <w:r w:rsidR="0037768B"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733.97</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2.</w:t>
            </w:r>
            <w:r w:rsidRPr="007F52FA">
              <w:rPr>
                <w:kern w:val="0"/>
                <w:sz w:val="24"/>
              </w:rPr>
              <w:t>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3,492,335.04</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-17.78</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3.</w:t>
            </w:r>
            <w:r w:rsidRPr="007F52FA">
              <w:rPr>
                <w:kern w:val="0"/>
                <w:sz w:val="24"/>
              </w:rPr>
              <w:t>加权平均基金份额本期利润</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0.0010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-0.0002</w:t>
            </w:r>
          </w:p>
        </w:tc>
      </w:tr>
      <w:tr w:rsidR="005F293E" w:rsidRPr="007F52FA" w:rsidTr="007A5233">
        <w:trPr>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4.</w:t>
            </w:r>
            <w:r w:rsidRPr="007F52FA">
              <w:rPr>
                <w:kern w:val="0"/>
                <w:sz w:val="24"/>
              </w:rPr>
              <w:t>期末基金资产净值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3,479,971,507.70</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105,054.54</w:t>
            </w:r>
          </w:p>
        </w:tc>
      </w:tr>
      <w:tr w:rsidR="005F293E" w:rsidRPr="007F52FA" w:rsidTr="007A5233">
        <w:trPr>
          <w:trHeight w:val="158"/>
          <w:jc w:val="center"/>
        </w:trPr>
        <w:tc>
          <w:tcPr>
            <w:tcW w:type="dxa" w:w="3402"/>
            <w:vAlign w:val="center"/>
          </w:tcPr>
          <w:p w:rsidP="007C14DF" w:rsidR="005F293E" w:rsidRDefault="005F293E" w:rsidRPr="007F52FA">
            <w:pPr>
              <w:adjustRightInd w:val="0"/>
              <w:spacing w:before="29" w:line="288" w:lineRule="auto"/>
              <w:ind w:left="17"/>
              <w:rPr>
                <w:kern w:val="0"/>
                <w:sz w:val="24"/>
              </w:rPr>
            </w:pPr>
            <w:r w:rsidRPr="007F52FA">
              <w:rPr>
                <w:kern w:val="0"/>
                <w:sz w:val="24"/>
              </w:rPr>
              <w:t>5.</w:t>
            </w:r>
            <w:r w:rsidRPr="007F52FA">
              <w:rPr>
                <w:kern w:val="0"/>
                <w:sz w:val="24"/>
              </w:rPr>
              <w:t>期末基金份额净值</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1.0287</w:t>
            </w:r>
          </w:p>
        </w:tc>
        <w:tc>
          <w:tcPr>
            <w:tcW w:type="dxa" w:w="2481"/>
            <w:vAlign w:val="center"/>
          </w:tcPr>
          <w:p w:rsidP="007C14DF" w:rsidR="005F293E" w:rsidRDefault="005F293E" w:rsidRPr="007F52FA">
            <w:pPr>
              <w:adjustRightInd w:val="0"/>
              <w:spacing w:before="29" w:line="288" w:lineRule="auto"/>
              <w:ind w:left="17"/>
              <w:jc w:val="right"/>
              <w:rPr>
                <w:color w:val="000000"/>
                <w:sz w:val="24"/>
              </w:rPr>
            </w:pPr>
            <w:r w:rsidRPr="007F52FA">
              <w:rPr>
                <w:color w:val="000000"/>
                <w:sz w:val="24"/>
              </w:rPr>
              <w:t/>
            </w:r>
            <w:r w:rsidR="004D614E" w:rsidRPr="007F52FA">
              <w:rPr>
                <w:color w:val="000000"/>
                <w:sz w:val="24"/>
              </w:rPr>
              <w:t/>
            </w:r>
            <w:r w:rsidR="00FE7FBD" w:rsidRPr="007F52FA">
              <w:rPr>
                <w:color w:val="000000"/>
                <w:sz w:val="24"/>
              </w:rPr>
              <w:t>1.1353</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注：1、上述基金业绩指标不包括持有人认购或交易基金的各项费用，计入费用后的实际收益水平要低于所列数字；</w:t>
      </w:r>
    </w:p>
    <w:p w:rsidP="007C14DF" w:rsidR="005E01A3" w:rsidRDefault="005E01A3"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
      </w:r>
      <w:r w:rsidR="009A529F" w:rsidRPr="007F52FA">
        <w:rPr>
          <w:rFonts w:eastAsiaTheme="minorEastAsia"/>
          <w:color w:val="000000"/>
          <w:sz w:val="24"/>
        </w:rPr>
        <w:t/>
      </w:r>
      <w:r w:rsidR="00FE7FBD" w:rsidRPr="007F52FA">
        <w:rPr>
          <w:rFonts w:eastAsiaTheme="minorEastAsia"/>
          <w:color w:val="000000"/>
          <w:sz w:val="24"/>
        </w:rPr>
        <w:t/>
      </w:r>
      <w:r w:rsidRPr="007F52FA">
        <w:rPr>
          <w:rFonts w:eastAsiaTheme="minorEastAsia"/>
          <w:color w:val="000000"/>
          <w:sz w:val="24"/>
        </w:rPr>
        <w:t>2、本期已实现收益指基金本期利息收入、投资收益、其他收入（不含公允价值变动收益）扣除相关费用后的余额，本期利润为本期已实现收益加上本期公允价值变动收益。</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3.2 </w:t>
      </w:r>
      <w:r w:rsidRPr="007F52FA">
        <w:rPr>
          <w:b/>
          <w:color w:val="000000"/>
          <w:kern w:val="0"/>
          <w:sz w:val="24"/>
        </w:rPr>
        <w:t>基金净值表现</w:t>
      </w:r>
    </w:p>
    <w:p w:rsidP="007C14DF" w:rsidR="009238DB" w:rsidRDefault="009238DB" w:rsidRPr="007F52FA">
      <w:pPr>
        <w:autoSpaceDE w:val="0"/>
        <w:autoSpaceDN w:val="0"/>
        <w:adjustRightInd w:val="0"/>
        <w:spacing w:before="29" w:line="288" w:lineRule="auto"/>
        <w:jc w:val="left"/>
        <w:rPr>
          <w:b/>
          <w:color w:val="000000"/>
          <w:kern w:val="0"/>
          <w:sz w:val="24"/>
        </w:rPr>
      </w:pPr>
      <w:smartTag w:element="chsdate" w:uri="urn:schemas-microsoft-com:office:smarttags">
        <w:smartTagPr>
          <w:attr w:name="IsROCDate" w:val="False"/>
          <w:attr w:name="IsLunarDate" w:val="False"/>
          <w:attr w:name="Day" w:val="30"/>
          <w:attr w:name="Month" w:val="12"/>
          <w:attr w:name="Year" w:val="1899"/>
        </w:smartTagPr>
        <w:r w:rsidRPr="007F52FA">
          <w:rPr>
            <w:b/>
            <w:color w:val="000000"/>
            <w:kern w:val="0"/>
            <w:sz w:val="24"/>
          </w:rPr>
          <w:t>3.2.1</w:t>
        </w:r>
      </w:smartTag>
      <w:r w:rsidRPr="007F52FA">
        <w:rPr>
          <w:b/>
          <w:color w:val="000000"/>
          <w:kern w:val="0"/>
          <w:sz w:val="24"/>
        </w:rPr>
        <w:t>本报告期基金份额净值增长率及其与同期业绩比较基准收益率的比较</w:t>
      </w:r>
    </w:p>
    <w:p w:rsidP="007C14DF" w:rsidR="009238DB" w:rsidRDefault="009238DB" w:rsidRPr="007F52FA">
      <w:pPr>
        <w:spacing w:before="29" w:line="288" w:lineRule="auto"/>
        <w:rPr>
          <w:b/>
          <w:sz w:val="24"/>
        </w:rPr>
      </w:pPr>
      <w:r w:rsidRPr="007F52FA">
        <w:rPr>
          <w:b/>
          <w:sz w:val="24"/>
        </w:rPr>
        <w:t>1</w:t>
      </w:r>
      <w:r w:rsidRPr="007F52FA">
        <w:rPr>
          <w:b/>
          <w:sz w:val="24"/>
        </w:rPr>
        <w:t>、</w:t>
      </w:r>
      <w:r w:rsidR="00A5643A" w:rsidRPr="007F52FA">
        <w:rPr>
          <w:b/>
          <w:color w:val="000000"/>
          <w:kern w:val="0"/>
          <w:sz w:val="24"/>
        </w:rPr>
        <w:t/>
      </w:r>
      <w:r w:rsidR="0042785F" w:rsidRPr="007F52FA">
        <w:rPr>
          <w:b/>
          <w:color w:val="000000"/>
          <w:kern w:val="0"/>
          <w:sz w:val="24"/>
        </w:rPr>
        <w:t/>
      </w:r>
      <w:r w:rsidR="00A5643A" w:rsidRPr="007F52FA">
        <w:rPr>
          <w:b/>
          <w:color w:val="000000"/>
          <w:kern w:val="0"/>
          <w:sz w:val="24"/>
        </w:rPr>
        <w:t>交银裕利纯债债券A</w:t>
      </w:r>
      <w:r w:rsidRPr="007F52FA">
        <w:rPr>
          <w:b/>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0.10%</w:t>
            </w:r>
          </w:p>
        </w:tc>
        <w:tc>
          <w:tcPr>
            <w:vAlign w:val="center"/>
          </w:tcPr>
          <w:p>
            <w:pPr>
              <w:jc w:val="center"/>
            </w:pPr>
            <w:r>
              <w:rPr>
                <w:color w:val="000000"/>
                <w:sz w:val="24"/>
              </w:rPr>
              <w:t>0.03%</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1.58%</w:t>
            </w:r>
          </w:p>
        </w:tc>
        <w:tc>
          <w:tcPr>
            <w:vAlign w:val="center"/>
          </w:tcPr>
          <w:p>
            <w:pPr>
              <w:jc w:val="center"/>
            </w:pPr>
            <w:r>
              <w:rPr>
                <w:color w:val="000000"/>
                <w:sz w:val="24"/>
              </w:rPr>
              <w:t>-0.05%</w:t>
            </w:r>
          </w:p>
        </w:tc>
      </w:tr>
      <w:tr>
        <w:tc>
          <w:tcPr>
            <w:vAlign w:val="center"/>
          </w:tcPr>
          <w:p>
            <w:pPr>
              <w:jc w:val="left"/>
            </w:pPr>
            <w:r>
              <w:rPr>
                <w:color w:val="000000"/>
                <w:sz w:val="24"/>
              </w:rPr>
              <w:t>过去六个月</w:t>
            </w:r>
          </w:p>
        </w:tc>
        <w:tc>
          <w:tcPr>
            <w:vAlign w:val="center"/>
          </w:tcPr>
          <w:p>
            <w:pPr>
              <w:jc w:val="center"/>
            </w:pPr>
            <w:r>
              <w:rPr>
                <w:color w:val="000000"/>
                <w:sz w:val="24"/>
              </w:rPr>
              <w:t>0.17%</w:t>
            </w:r>
          </w:p>
        </w:tc>
        <w:tc>
          <w:tcPr>
            <w:vAlign w:val="center"/>
          </w:tcPr>
          <w:p>
            <w:pPr>
              <w:jc w:val="center"/>
            </w:pPr>
            <w:r>
              <w:rPr>
                <w:color w:val="000000"/>
                <w:sz w:val="24"/>
              </w:rPr>
              <w:t>0.05%</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2.67%</w:t>
            </w:r>
          </w:p>
        </w:tc>
        <w:tc>
          <w:tcPr>
            <w:vAlign w:val="center"/>
          </w:tcPr>
          <w:p>
            <w:pPr>
              <w:jc w:val="center"/>
            </w:pPr>
            <w:r>
              <w:rPr>
                <w:color w:val="000000"/>
                <w:sz w:val="24"/>
              </w:rPr>
              <w:t>-0.05%</w:t>
            </w:r>
          </w:p>
        </w:tc>
      </w:tr>
      <w:tr>
        <w:tc>
          <w:tcPr>
            <w:vAlign w:val="center"/>
          </w:tcPr>
          <w:p>
            <w:pPr>
              <w:jc w:val="left"/>
            </w:pPr>
            <w:r>
              <w:rPr>
                <w:color w:val="000000"/>
                <w:sz w:val="24"/>
              </w:rPr>
              <w:t>过去一年</w:t>
            </w:r>
          </w:p>
        </w:tc>
        <w:tc>
          <w:tcPr>
            <w:vAlign w:val="center"/>
          </w:tcPr>
          <w:p>
            <w:pPr>
              <w:jc w:val="center"/>
            </w:pPr>
            <w:r>
              <w:rPr>
                <w:color w:val="000000"/>
                <w:sz w:val="24"/>
              </w:rPr>
              <w:t>2.55%</w:t>
            </w:r>
          </w:p>
        </w:tc>
        <w:tc>
          <w:tcPr>
            <w:vAlign w:val="center"/>
          </w:tcPr>
          <w:p>
            <w:pPr>
              <w:jc w:val="center"/>
            </w:pPr>
            <w:r>
              <w:rPr>
                <w:color w:val="000000"/>
                <w:sz w:val="24"/>
              </w:rPr>
              <w:t>0.04%</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2.63%</w:t>
            </w:r>
          </w:p>
        </w:tc>
        <w:tc>
          <w:tcPr>
            <w:vAlign w:val="center"/>
          </w:tcPr>
          <w:p>
            <w:pPr>
              <w:jc w:val="center"/>
            </w:pPr>
            <w:r>
              <w:rPr>
                <w:color w:val="000000"/>
                <w:sz w:val="24"/>
              </w:rPr>
              <w:t>-0.05%</w:t>
            </w:r>
          </w:p>
        </w:tc>
      </w:tr>
      <w:tr>
        <w:tc>
          <w:tcPr>
            <w:vAlign w:val="center"/>
          </w:tcPr>
          <w:p>
            <w:pPr>
              <w:jc w:val="left"/>
            </w:pPr>
            <w:r>
              <w:rPr>
                <w:color w:val="000000"/>
                <w:sz w:val="24"/>
              </w:rPr>
              <w:t>过去三年</w:t>
            </w:r>
          </w:p>
        </w:tc>
        <w:tc>
          <w:tcPr>
            <w:vAlign w:val="center"/>
          </w:tcPr>
          <w:p>
            <w:pPr>
              <w:jc w:val="center"/>
            </w:pPr>
            <w:r>
              <w:rPr>
                <w:color w:val="000000"/>
                <w:sz w:val="24"/>
              </w:rPr>
              <w:t>11.74%</w:t>
            </w:r>
          </w:p>
        </w:tc>
        <w:tc>
          <w:tcPr>
            <w:vAlign w:val="center"/>
          </w:tcPr>
          <w:p>
            <w:pPr>
              <w:jc w:val="center"/>
            </w:pPr>
            <w:r>
              <w:rPr>
                <w:color w:val="000000"/>
                <w:sz w:val="24"/>
              </w:rPr>
              <w:t>0.03%</w:t>
            </w:r>
          </w:p>
        </w:tc>
        <w:tc>
          <w:tcPr>
            <w:vAlign w:val="center"/>
          </w:tcPr>
          <w:p>
            <w:pPr>
              <w:jc w:val="center"/>
            </w:pPr>
            <w:r>
              <w:rPr>
                <w:color w:val="000000"/>
                <w:sz w:val="24"/>
              </w:rPr>
              <w:t>4.21%</w:t>
            </w:r>
          </w:p>
        </w:tc>
        <w:tc>
          <w:tcPr>
            <w:vAlign w:val="center"/>
          </w:tcPr>
          <w:p>
            <w:pPr>
              <w:jc w:val="center"/>
            </w:pPr>
            <w:r>
              <w:rPr>
                <w:color w:val="000000"/>
                <w:sz w:val="24"/>
              </w:rPr>
              <w:t>0.07%</w:t>
            </w:r>
          </w:p>
        </w:tc>
        <w:tc>
          <w:tcPr>
            <w:vAlign w:val="center"/>
          </w:tcPr>
          <w:p>
            <w:pPr>
              <w:jc w:val="center"/>
            </w:pPr>
            <w:r>
              <w:rPr>
                <w:color w:val="000000"/>
                <w:sz w:val="24"/>
              </w:rPr>
              <w:t>7.53%</w:t>
            </w:r>
          </w:p>
        </w:tc>
        <w:tc>
          <w:tcPr>
            <w:vAlign w:val="center"/>
          </w:tcPr>
          <w:p>
            <w:pPr>
              <w:jc w:val="center"/>
            </w:pPr>
            <w:r>
              <w:rPr>
                <w:color w:val="000000"/>
                <w:sz w:val="24"/>
              </w:rPr>
              <w:t>-0.04%</w:t>
            </w:r>
          </w:p>
        </w:tc>
      </w:tr>
      <w:tr>
        <w:tc>
          <w:tcPr>
            <w:vAlign w:val="center"/>
          </w:tcPr>
          <w:p>
            <w:pPr>
              <w:jc w:val="left"/>
            </w:pPr>
            <w:r>
              <w:rPr>
                <w:color w:val="000000"/>
                <w:sz w:val="24"/>
              </w:rPr>
              <w:t>自基金合同生效至今</w:t>
            </w:r>
          </w:p>
        </w:tc>
        <w:tc>
          <w:tcPr>
            <w:vAlign w:val="center"/>
          </w:tcPr>
          <w:p>
            <w:pPr>
              <w:jc w:val="center"/>
            </w:pPr>
            <w:r>
              <w:rPr>
                <w:color w:val="000000"/>
                <w:sz w:val="24"/>
              </w:rPr>
              <w:t>15.18%</w:t>
            </w:r>
          </w:p>
        </w:tc>
        <w:tc>
          <w:tcPr>
            <w:vAlign w:val="center"/>
          </w:tcPr>
          <w:p>
            <w:pPr>
              <w:jc w:val="center"/>
            </w:pPr>
            <w:r>
              <w:rPr>
                <w:color w:val="000000"/>
                <w:sz w:val="24"/>
              </w:rPr>
              <w:t>0.03%</w:t>
            </w:r>
          </w:p>
        </w:tc>
        <w:tc>
          <w:tcPr>
            <w:vAlign w:val="center"/>
          </w:tcPr>
          <w:p>
            <w:pPr>
              <w:jc w:val="center"/>
            </w:pPr>
            <w:r>
              <w:rPr>
                <w:color w:val="000000"/>
                <w:sz w:val="24"/>
              </w:rPr>
              <w:t>0.07%</w:t>
            </w:r>
          </w:p>
        </w:tc>
        <w:tc>
          <w:tcPr>
            <w:vAlign w:val="center"/>
          </w:tcPr>
          <w:p>
            <w:pPr>
              <w:jc w:val="center"/>
            </w:pPr>
            <w:r>
              <w:rPr>
                <w:color w:val="000000"/>
                <w:sz w:val="24"/>
              </w:rPr>
              <w:t>0.08%</w:t>
            </w:r>
          </w:p>
        </w:tc>
        <w:tc>
          <w:tcPr>
            <w:vAlign w:val="center"/>
          </w:tcPr>
          <w:p>
            <w:pPr>
              <w:jc w:val="center"/>
            </w:pPr>
            <w:r>
              <w:rPr>
                <w:color w:val="000000"/>
                <w:sz w:val="24"/>
              </w:rPr>
              <w:t>15.11%</w:t>
            </w:r>
          </w:p>
        </w:tc>
        <w:tc>
          <w:tcPr>
            <w:vAlign w:val="center"/>
          </w:tcPr>
          <w:p>
            <w:pPr>
              <w:jc w:val="center"/>
            </w:pPr>
            <w:r>
              <w:rPr>
                <w:color w:val="000000"/>
                <w:sz w:val="24"/>
              </w:rPr>
              <w:t>-0.05%</w:t>
            </w:r>
          </w:p>
        </w:tc>
      </w:tr>
    </w:tbl>
    <w:p w:rsidP="007C14DF" w:rsidR="004425E8" w:rsidRDefault="004425E8" w:rsidRPr="007F52FA">
      <w:pPr>
        <w:pStyle w:val="20"/>
        <w:spacing w:before="29" w:line="288" w:lineRule="auto"/>
        <w:ind w:firstLine="0" w:firstLineChars="0"/>
        <w:rPr>
          <w:rFonts w:ascii="Times New Roman" w:eastAsiaTheme="minorEastAsia" w:hAnsi="Times New Roman"/>
          <w:color w:val="000000"/>
        </w:rPr>
      </w:pPr>
    </w:p>
    <w:p w:rsidP="007C14DF" w:rsidR="009238DB" w:rsidRDefault="009238DB" w:rsidRPr="007F52FA">
      <w:pPr>
        <w:adjustRightInd w:val="0"/>
        <w:spacing w:before="29" w:line="288" w:lineRule="auto"/>
        <w:rPr>
          <w:rFonts w:eastAsiaTheme="minorEastAsia"/>
          <w:b/>
          <w:color w:val="000000"/>
          <w:kern w:val="0"/>
          <w:sz w:val="24"/>
        </w:rPr>
      </w:pPr>
      <w:r w:rsidRPr="007F52FA">
        <w:rPr>
          <w:rFonts w:eastAsiaTheme="minorEastAsia"/>
          <w:b/>
          <w:sz w:val="24"/>
        </w:rPr>
        <w:t>2</w:t>
      </w:r>
      <w:r w:rsidRPr="007F52FA">
        <w:rPr>
          <w:rFonts w:eastAsiaTheme="minorEastAsia"/>
          <w:b/>
          <w:sz w:val="24"/>
        </w:rPr>
        <w:t>、</w:t>
      </w:r>
      <w:r w:rsidR="00A5643A" w:rsidRPr="007F52FA">
        <w:rPr>
          <w:b/>
          <w:color w:val="000000"/>
          <w:kern w:val="0"/>
          <w:sz w:val="24"/>
        </w:rPr>
        <w:t/>
      </w:r>
      <w:r w:rsidR="004D614E" w:rsidRPr="007F52FA">
        <w:rPr>
          <w:b/>
          <w:color w:val="000000"/>
          <w:kern w:val="0"/>
          <w:sz w:val="24"/>
        </w:rPr>
        <w:t/>
      </w:r>
      <w:r w:rsidR="00FE7FBD" w:rsidRPr="007F52FA">
        <w:rPr>
          <w:b/>
          <w:color w:val="000000"/>
          <w:kern w:val="0"/>
          <w:sz w:val="24"/>
        </w:rPr>
        <w:t>交银裕利纯债债券C</w:t>
      </w:r>
      <w:r w:rsidRPr="007F52FA">
        <w:rPr>
          <w:b/>
          <w:color w:val="000000"/>
          <w:kern w:val="0"/>
          <w:sz w:val="24"/>
        </w:rPr>
        <w:t>：</w:t>
      </w:r>
    </w:p>
    <w:tbl>
      <w:tblPr>
        <w:tblStyle w:val="af2"/>
        <w:tblW w:type="dxa" w:w="8868"/>
        <w:jc w:val="center"/>
        <w:tblLayout w:type="fixed"/>
        <w:tblCellMar>
          <w:top w:type="dxa" w:w="57"/>
          <w:bottom w:type="dxa" w:w="57"/>
        </w:tblCellMar>
        <w:tblLook w:firstColumn="1" w:firstRow="1" w:lastColumn="0" w:lastRow="0" w:noHBand="0" w:noVBand="1" w:val="04A0"/>
      </w:tblPr>
      <w:tblGrid>
        <w:gridCol w:w="1266"/>
        <w:gridCol w:w="1267"/>
        <w:gridCol w:w="1267"/>
        <w:gridCol w:w="1267"/>
        <w:gridCol w:w="1267"/>
        <w:gridCol w:w="1267"/>
        <w:gridCol w:w="1267"/>
      </w:tblGrid>
      <w:tr w:rsidR="00685FFC" w:rsidRPr="007F52FA" w:rsidTr="00054F34">
        <w:trPr>
          <w:jc w:val="center"/>
        </w:trPr>
        <w:tc>
          <w:tcPr>
            <w:tcW w:type="dxa" w:w="1290"/>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阶段</w:t>
            </w:r>
            <w:r w:rsidR="000D4DE9" w:rsidRPr="007F52FA">
              <w:rPr>
                <w:color w:val="000000"/>
                <w:sz w:val="24"/>
              </w:rPr>
              <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w:t>
            </w:r>
            <w:r w:rsidRPr="007F52FA">
              <w:rPr>
                <w:rFonts w:ascii="宋体" w:hAnsi="宋体"/>
                <w:color w:val="000000"/>
                <w:sz w:val="24"/>
              </w:rPr>
              <w:t>①</w:t>
            </w:r>
          </w:p>
        </w:tc>
        <w:tc>
          <w:tcPr>
            <w:tcW w:type="dxa" w:w="1291"/>
            <w:vAlign w:val="center"/>
          </w:tcPr>
          <w:p w:rsidP="007C14DF" w:rsidR="00685FFC" w:rsidRDefault="00685FFC" w:rsidRPr="007F52FA">
            <w:pPr>
              <w:snapToGrid w:val="0"/>
              <w:spacing w:before="29" w:line="288" w:lineRule="auto"/>
              <w:jc w:val="center"/>
              <w:rPr>
                <w:color w:val="000000"/>
                <w:sz w:val="24"/>
                <w:highlight w:val="green"/>
              </w:rPr>
            </w:pPr>
            <w:r w:rsidRPr="007F52FA">
              <w:rPr>
                <w:color w:val="000000"/>
                <w:sz w:val="24"/>
              </w:rPr>
              <w:t>净值增长率标准差</w:t>
            </w:r>
            <w:r w:rsidRPr="007F52FA">
              <w:rPr>
                <w:rFonts w:ascii="宋体" w:hAnsi="宋体"/>
                <w:color w:val="000000"/>
                <w:sz w:val="24"/>
              </w:rPr>
              <w:t>②</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color w:val="000000"/>
                <w:sz w:val="24"/>
              </w:rPr>
              <w:t>业绩比较基准收益率标准差</w:t>
            </w:r>
            <w:r w:rsidRPr="007F52FA">
              <w:rPr>
                <w:rFonts w:ascii="宋体" w:hAnsi="宋体"/>
                <w:color w:val="000000"/>
                <w:sz w:val="24"/>
              </w:rPr>
              <w:t>④</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①</w:t>
            </w:r>
            <w:r w:rsidRPr="007F52FA">
              <w:rPr>
                <w:color w:val="000000"/>
                <w:sz w:val="24"/>
              </w:rPr>
              <w:t>－</w:t>
            </w:r>
            <w:r w:rsidRPr="007F52FA">
              <w:rPr>
                <w:rFonts w:ascii="宋体" w:hAnsi="宋体"/>
                <w:color w:val="000000"/>
                <w:sz w:val="24"/>
              </w:rPr>
              <w:t>③</w:t>
            </w:r>
          </w:p>
        </w:tc>
        <w:tc>
          <w:tcPr>
            <w:tcW w:type="dxa" w:w="1291"/>
            <w:vAlign w:val="center"/>
          </w:tcPr>
          <w:p w:rsidP="007C14DF" w:rsidR="00685FFC" w:rsidRDefault="00685FFC" w:rsidRPr="007F52FA">
            <w:pPr>
              <w:snapToGrid w:val="0"/>
              <w:spacing w:before="29" w:line="288" w:lineRule="auto"/>
              <w:jc w:val="center"/>
              <w:rPr>
                <w:color w:val="000000"/>
                <w:sz w:val="24"/>
              </w:rPr>
            </w:pPr>
            <w:r w:rsidRPr="007F52FA">
              <w:rPr>
                <w:rFonts w:ascii="宋体" w:hAnsi="宋体"/>
                <w:color w:val="000000"/>
                <w:sz w:val="24"/>
              </w:rPr>
              <w:t>②</w:t>
            </w:r>
            <w:r w:rsidRPr="007F52FA">
              <w:rPr>
                <w:color w:val="000000"/>
                <w:sz w:val="24"/>
              </w:rPr>
              <w:t>－</w:t>
            </w:r>
            <w:r w:rsidRPr="007F52FA">
              <w:rPr>
                <w:rFonts w:ascii="宋体" w:hAnsi="宋体"/>
                <w:color w:val="000000"/>
                <w:sz w:val="24"/>
              </w:rPr>
              <w:t>④</w:t>
            </w:r>
          </w:p>
        </w:tc>
      </w:tr>
      <w:tr>
        <w:tc>
          <w:tcPr>
            <w:vAlign w:val="center"/>
          </w:tcPr>
          <w:p>
            <w:pPr>
              <w:jc w:val="left"/>
            </w:pPr>
            <w:r>
              <w:rPr>
                <w:color w:val="000000"/>
                <w:sz w:val="24"/>
              </w:rPr>
              <w:t>过去三个月</w:t>
            </w:r>
          </w:p>
        </w:tc>
        <w:tc>
          <w:tcPr>
            <w:vAlign w:val="center"/>
          </w:tcPr>
          <w:p>
            <w:pPr>
              <w:jc w:val="center"/>
            </w:pPr>
            <w:r>
              <w:rPr>
                <w:color w:val="000000"/>
                <w:sz w:val="24"/>
              </w:rPr>
              <w:t>0.00%</w:t>
            </w:r>
          </w:p>
        </w:tc>
        <w:tc>
          <w:tcPr>
            <w:vAlign w:val="center"/>
          </w:tcPr>
          <w:p>
            <w:pPr>
              <w:jc w:val="center"/>
            </w:pPr>
            <w:r>
              <w:rPr>
                <w:color w:val="000000"/>
                <w:sz w:val="24"/>
              </w:rPr>
              <w:t>0.03%</w:t>
            </w:r>
          </w:p>
        </w:tc>
        <w:tc>
          <w:tcPr>
            <w:vAlign w:val="center"/>
          </w:tcPr>
          <w:p>
            <w:pPr>
              <w:jc w:val="center"/>
            </w:pPr>
            <w:r>
              <w:rPr>
                <w:color w:val="000000"/>
                <w:sz w:val="24"/>
              </w:rPr>
              <w:t>-1.48%</w:t>
            </w:r>
          </w:p>
        </w:tc>
        <w:tc>
          <w:tcPr>
            <w:vAlign w:val="center"/>
          </w:tcPr>
          <w:p>
            <w:pPr>
              <w:jc w:val="center"/>
            </w:pPr>
            <w:r>
              <w:rPr>
                <w:color w:val="000000"/>
                <w:sz w:val="24"/>
              </w:rPr>
              <w:t>0.08%</w:t>
            </w:r>
          </w:p>
        </w:tc>
        <w:tc>
          <w:tcPr>
            <w:vAlign w:val="center"/>
          </w:tcPr>
          <w:p>
            <w:pPr>
              <w:jc w:val="center"/>
            </w:pPr>
            <w:r>
              <w:rPr>
                <w:color w:val="000000"/>
                <w:sz w:val="24"/>
              </w:rPr>
              <w:t>1.48%</w:t>
            </w:r>
          </w:p>
        </w:tc>
        <w:tc>
          <w:tcPr>
            <w:vAlign w:val="center"/>
          </w:tcPr>
          <w:p>
            <w:pPr>
              <w:jc w:val="center"/>
            </w:pPr>
            <w:r>
              <w:rPr>
                <w:color w:val="000000"/>
                <w:sz w:val="24"/>
              </w:rPr>
              <w:t>-0.05%</w:t>
            </w:r>
          </w:p>
        </w:tc>
      </w:tr>
      <w:tr>
        <w:tc>
          <w:tcPr>
            <w:vAlign w:val="center"/>
          </w:tcPr>
          <w:p>
            <w:pPr>
              <w:jc w:val="left"/>
            </w:pPr>
            <w:r>
              <w:rPr>
                <w:color w:val="000000"/>
                <w:sz w:val="24"/>
              </w:rPr>
              <w:t>过去六个月</w:t>
            </w:r>
          </w:p>
        </w:tc>
        <w:tc>
          <w:tcPr>
            <w:vAlign w:val="center"/>
          </w:tcPr>
          <w:p>
            <w:pPr>
              <w:jc w:val="center"/>
            </w:pPr>
            <w:r>
              <w:rPr>
                <w:color w:val="000000"/>
                <w:sz w:val="24"/>
              </w:rPr>
              <w:t>-0.03%</w:t>
            </w:r>
          </w:p>
        </w:tc>
        <w:tc>
          <w:tcPr>
            <w:vAlign w:val="center"/>
          </w:tcPr>
          <w:p>
            <w:pPr>
              <w:jc w:val="center"/>
            </w:pPr>
            <w:r>
              <w:rPr>
                <w:color w:val="000000"/>
                <w:sz w:val="24"/>
              </w:rPr>
              <w:t>0.05%</w:t>
            </w:r>
          </w:p>
        </w:tc>
        <w:tc>
          <w:tcPr>
            <w:vAlign w:val="center"/>
          </w:tcPr>
          <w:p>
            <w:pPr>
              <w:jc w:val="center"/>
            </w:pPr>
            <w:r>
              <w:rPr>
                <w:color w:val="000000"/>
                <w:sz w:val="24"/>
              </w:rPr>
              <w:t>-2.50%</w:t>
            </w:r>
          </w:p>
        </w:tc>
        <w:tc>
          <w:tcPr>
            <w:vAlign w:val="center"/>
          </w:tcPr>
          <w:p>
            <w:pPr>
              <w:jc w:val="center"/>
            </w:pPr>
            <w:r>
              <w:rPr>
                <w:color w:val="000000"/>
                <w:sz w:val="24"/>
              </w:rPr>
              <w:t>0.10%</w:t>
            </w:r>
          </w:p>
        </w:tc>
        <w:tc>
          <w:tcPr>
            <w:vAlign w:val="center"/>
          </w:tcPr>
          <w:p>
            <w:pPr>
              <w:jc w:val="center"/>
            </w:pPr>
            <w:r>
              <w:rPr>
                <w:color w:val="000000"/>
                <w:sz w:val="24"/>
              </w:rPr>
              <w:t>2.47%</w:t>
            </w:r>
          </w:p>
        </w:tc>
        <w:tc>
          <w:tcPr>
            <w:vAlign w:val="center"/>
          </w:tcPr>
          <w:p>
            <w:pPr>
              <w:jc w:val="center"/>
            </w:pPr>
            <w:r>
              <w:rPr>
                <w:color w:val="000000"/>
                <w:sz w:val="24"/>
              </w:rPr>
              <w:t>-0.05%</w:t>
            </w:r>
          </w:p>
        </w:tc>
      </w:tr>
      <w:tr>
        <w:tc>
          <w:tcPr>
            <w:vAlign w:val="center"/>
          </w:tcPr>
          <w:p>
            <w:pPr>
              <w:jc w:val="left"/>
            </w:pPr>
            <w:r>
              <w:rPr>
                <w:color w:val="000000"/>
                <w:sz w:val="24"/>
              </w:rPr>
              <w:t>过去一年</w:t>
            </w:r>
          </w:p>
        </w:tc>
        <w:tc>
          <w:tcPr>
            <w:vAlign w:val="center"/>
          </w:tcPr>
          <w:p>
            <w:pPr>
              <w:jc w:val="center"/>
            </w:pPr>
            <w:r>
              <w:rPr>
                <w:color w:val="000000"/>
                <w:sz w:val="24"/>
              </w:rPr>
              <w:t>2.15%</w:t>
            </w:r>
          </w:p>
        </w:tc>
        <w:tc>
          <w:tcPr>
            <w:vAlign w:val="center"/>
          </w:tcPr>
          <w:p>
            <w:pPr>
              <w:jc w:val="center"/>
            </w:pPr>
            <w:r>
              <w:rPr>
                <w:color w:val="000000"/>
                <w:sz w:val="24"/>
              </w:rPr>
              <w:t>0.04%</w:t>
            </w:r>
          </w:p>
        </w:tc>
        <w:tc>
          <w:tcPr>
            <w:vAlign w:val="center"/>
          </w:tcPr>
          <w:p>
            <w:pPr>
              <w:jc w:val="center"/>
            </w:pPr>
            <w:r>
              <w:rPr>
                <w:color w:val="000000"/>
                <w:sz w:val="24"/>
              </w:rPr>
              <w:t>-0.08%</w:t>
            </w:r>
          </w:p>
        </w:tc>
        <w:tc>
          <w:tcPr>
            <w:vAlign w:val="center"/>
          </w:tcPr>
          <w:p>
            <w:pPr>
              <w:jc w:val="center"/>
            </w:pPr>
            <w:r>
              <w:rPr>
                <w:color w:val="000000"/>
                <w:sz w:val="24"/>
              </w:rPr>
              <w:t>0.09%</w:t>
            </w:r>
          </w:p>
        </w:tc>
        <w:tc>
          <w:tcPr>
            <w:vAlign w:val="center"/>
          </w:tcPr>
          <w:p>
            <w:pPr>
              <w:jc w:val="center"/>
            </w:pPr>
            <w:r>
              <w:rPr>
                <w:color w:val="000000"/>
                <w:sz w:val="24"/>
              </w:rPr>
              <w:t>2.23%</w:t>
            </w:r>
          </w:p>
        </w:tc>
        <w:tc>
          <w:tcPr>
            <w:vAlign w:val="center"/>
          </w:tcPr>
          <w:p>
            <w:pPr>
              <w:jc w:val="center"/>
            </w:pPr>
            <w:r>
              <w:rPr>
                <w:color w:val="000000"/>
                <w:sz w:val="24"/>
              </w:rPr>
              <w:t>-0.05%</w:t>
            </w:r>
          </w:p>
        </w:tc>
      </w:tr>
      <w:tr>
        <w:tc>
          <w:tcPr>
            <w:vAlign w:val="center"/>
          </w:tcPr>
          <w:p>
            <w:pPr>
              <w:jc w:val="left"/>
            </w:pPr>
            <w:r>
              <w:rPr>
                <w:color w:val="000000"/>
                <w:sz w:val="24"/>
              </w:rPr>
              <w:t>过去三年</w:t>
            </w:r>
          </w:p>
        </w:tc>
        <w:tc>
          <w:tcPr>
            <w:vAlign w:val="center"/>
          </w:tcPr>
          <w:p>
            <w:pPr>
              <w:jc w:val="center"/>
            </w:pPr>
            <w:r>
              <w:rPr>
                <w:color w:val="000000"/>
                <w:sz w:val="24"/>
              </w:rPr>
              <w:t>10.52%</w:t>
            </w:r>
          </w:p>
        </w:tc>
        <w:tc>
          <w:tcPr>
            <w:vAlign w:val="center"/>
          </w:tcPr>
          <w:p>
            <w:pPr>
              <w:jc w:val="center"/>
            </w:pPr>
            <w:r>
              <w:rPr>
                <w:color w:val="000000"/>
                <w:sz w:val="24"/>
              </w:rPr>
              <w:t>0.03%</w:t>
            </w:r>
          </w:p>
        </w:tc>
        <w:tc>
          <w:tcPr>
            <w:vAlign w:val="center"/>
          </w:tcPr>
          <w:p>
            <w:pPr>
              <w:jc w:val="center"/>
            </w:pPr>
            <w:r>
              <w:rPr>
                <w:color w:val="000000"/>
                <w:sz w:val="24"/>
              </w:rPr>
              <w:t>4.21%</w:t>
            </w:r>
          </w:p>
        </w:tc>
        <w:tc>
          <w:tcPr>
            <w:vAlign w:val="center"/>
          </w:tcPr>
          <w:p>
            <w:pPr>
              <w:jc w:val="center"/>
            </w:pPr>
            <w:r>
              <w:rPr>
                <w:color w:val="000000"/>
                <w:sz w:val="24"/>
              </w:rPr>
              <w:t>0.07%</w:t>
            </w:r>
          </w:p>
        </w:tc>
        <w:tc>
          <w:tcPr>
            <w:vAlign w:val="center"/>
          </w:tcPr>
          <w:p>
            <w:pPr>
              <w:jc w:val="center"/>
            </w:pPr>
            <w:r>
              <w:rPr>
                <w:color w:val="000000"/>
                <w:sz w:val="24"/>
              </w:rPr>
              <w:t>6.31%</w:t>
            </w:r>
          </w:p>
        </w:tc>
        <w:tc>
          <w:tcPr>
            <w:vAlign w:val="center"/>
          </w:tcPr>
          <w:p>
            <w:pPr>
              <w:jc w:val="center"/>
            </w:pPr>
            <w:r>
              <w:rPr>
                <w:color w:val="000000"/>
                <w:sz w:val="24"/>
              </w:rPr>
              <w:t>-0.04%</w:t>
            </w:r>
          </w:p>
        </w:tc>
      </w:tr>
      <w:tr>
        <w:tc>
          <w:tcPr>
            <w:vAlign w:val="center"/>
          </w:tcPr>
          <w:p>
            <w:pPr>
              <w:jc w:val="left"/>
            </w:pPr>
            <w:r>
              <w:rPr>
                <w:color w:val="000000"/>
                <w:sz w:val="24"/>
              </w:rPr>
              <w:t>自基金合同生效至今</w:t>
            </w:r>
          </w:p>
        </w:tc>
        <w:tc>
          <w:tcPr>
            <w:vAlign w:val="center"/>
          </w:tcPr>
          <w:p>
            <w:pPr>
              <w:jc w:val="center"/>
            </w:pPr>
            <w:r>
              <w:rPr>
                <w:color w:val="000000"/>
                <w:sz w:val="24"/>
              </w:rPr>
              <w:t>13.53%</w:t>
            </w:r>
          </w:p>
        </w:tc>
        <w:tc>
          <w:tcPr>
            <w:vAlign w:val="center"/>
          </w:tcPr>
          <w:p>
            <w:pPr>
              <w:jc w:val="center"/>
            </w:pPr>
            <w:r>
              <w:rPr>
                <w:color w:val="000000"/>
                <w:sz w:val="24"/>
              </w:rPr>
              <w:t>0.03%</w:t>
            </w:r>
          </w:p>
        </w:tc>
        <w:tc>
          <w:tcPr>
            <w:vAlign w:val="center"/>
          </w:tcPr>
          <w:p>
            <w:pPr>
              <w:jc w:val="center"/>
            </w:pPr>
            <w:r>
              <w:rPr>
                <w:color w:val="000000"/>
                <w:sz w:val="24"/>
              </w:rPr>
              <w:t>0.07%</w:t>
            </w:r>
          </w:p>
        </w:tc>
        <w:tc>
          <w:tcPr>
            <w:vAlign w:val="center"/>
          </w:tcPr>
          <w:p>
            <w:pPr>
              <w:jc w:val="center"/>
            </w:pPr>
            <w:r>
              <w:rPr>
                <w:color w:val="000000"/>
                <w:sz w:val="24"/>
              </w:rPr>
              <w:t>0.08%</w:t>
            </w:r>
          </w:p>
        </w:tc>
        <w:tc>
          <w:tcPr>
            <w:vAlign w:val="center"/>
          </w:tcPr>
          <w:p>
            <w:pPr>
              <w:jc w:val="center"/>
            </w:pPr>
            <w:r>
              <w:rPr>
                <w:color w:val="000000"/>
                <w:sz w:val="24"/>
              </w:rPr>
              <w:t>13.46%</w:t>
            </w:r>
          </w:p>
        </w:tc>
        <w:tc>
          <w:tcPr>
            <w:vAlign w:val="center"/>
          </w:tcPr>
          <w:p>
            <w:pPr>
              <w:jc w:val="center"/>
            </w:pPr>
            <w:r>
              <w:rPr>
                <w:color w:val="000000"/>
                <w:sz w:val="24"/>
              </w:rPr>
              <w:t>-0.05%</w:t>
            </w:r>
          </w:p>
        </w:tc>
      </w:tr>
    </w:tbl>
    <w:p w:rsidP="007C14DF" w:rsidR="009238DB" w:rsidRDefault="009238DB" w:rsidRPr="007F52FA">
      <w:pPr>
        <w:autoSpaceDE w:val="0"/>
        <w:autoSpaceDN w:val="0"/>
        <w:adjustRightInd w:val="0"/>
        <w:spacing w:before="29" w:line="288" w:lineRule="auto"/>
        <w:ind w:left="15"/>
        <w:jc w:val="left"/>
        <w:rPr>
          <w:rFonts w:eastAsiaTheme="minorEastAsia"/>
          <w:b/>
          <w:color w:val="000000"/>
          <w:kern w:val="0"/>
          <w:sz w:val="24"/>
        </w:rPr>
      </w:pPr>
    </w:p>
    <w:p w:rsidP="007C14DF" w:rsidR="009238DB" w:rsidRDefault="009238DB" w:rsidRPr="007F52FA">
      <w:pPr>
        <w:spacing w:before="29" w:line="288" w:lineRule="auto"/>
        <w:rPr>
          <w:b/>
          <w:color w:val="000000"/>
          <w:kern w:val="0"/>
          <w:sz w:val="24"/>
        </w:rPr>
      </w:pPr>
      <w:r w:rsidRPr="007F52FA">
        <w:rPr>
          <w:b/>
          <w:color w:val="000000"/>
          <w:kern w:val="0"/>
          <w:sz w:val="24"/>
        </w:rPr>
        <w:t>3.2.2</w:t>
      </w:r>
      <w:r w:rsidRPr="007F52FA">
        <w:rPr>
          <w:b/>
          <w:color w:val="000000"/>
          <w:kern w:val="0"/>
          <w:sz w:val="24"/>
        </w:rPr>
        <w:t xml:space="preserve">　</w:t>
      </w:r>
      <w:r w:rsidR="00C02900" w:rsidRPr="000B2C04">
        <w:rPr>
          <w:rFonts w:hint="eastAsia"/>
          <w:b/>
          <w:color w:val="000000"/>
          <w:kern w:val="0"/>
          <w:sz w:val="24"/>
        </w:rPr>
        <w:t>自基金合同生效以来</w:t>
      </w:r>
      <w:r w:rsidR="00BF57BE" w:rsidRPr="007F52FA">
        <w:rPr>
          <w:b/>
          <w:color w:val="000000"/>
          <w:sz w:val="24"/>
        </w:rPr>
        <w:t>基金</w:t>
      </w:r>
      <w:r w:rsidR="0001164A" w:rsidRPr="007F52FA">
        <w:rPr>
          <w:b/>
          <w:color w:val="000000"/>
          <w:sz w:val="24"/>
        </w:rPr>
        <w:t>份额</w:t>
      </w:r>
      <w:r w:rsidR="00BF57BE" w:rsidRPr="007F52FA">
        <w:rPr>
          <w:b/>
          <w:color w:val="000000"/>
          <w:sz w:val="24"/>
        </w:rPr>
        <w:t>累计净值增长率变动及其与同期业绩比较基准收益率变动的比较</w:t>
      </w:r>
    </w:p>
    <w:p w:rsidP="007C14DF" w:rsidR="009A045B" w:rsidRDefault="009A045B" w:rsidRPr="007F52FA">
      <w:pPr>
        <w:spacing w:before="29" w:line="288" w:lineRule="auto"/>
        <w:jc w:val="center"/>
        <w:rPr>
          <w:color w:val="000000"/>
          <w:sz w:val="24"/>
        </w:rPr>
      </w:pPr>
      <w:r w:rsidRPr="007F52FA">
        <w:rPr>
          <w:rFonts w:eastAsiaTheme="minorEastAsia"/>
          <w:color w:val="000000"/>
          <w:sz w:val="24"/>
        </w:rPr>
        <w:t/>
      </w:r>
      <w:r w:rsidRPr="007F52FA">
        <w:rPr>
          <w:color w:val="000000"/>
          <w:sz w:val="24"/>
        </w:rPr>
        <w:t>交银施罗德裕利纯债债券型证券投资基金</w:t>
      </w:r>
    </w:p>
    <w:p w:rsidP="007C14DF" w:rsidR="00022396" w:rsidRDefault="0001164A" w:rsidRPr="007F52FA">
      <w:pPr>
        <w:pStyle w:val="a5"/>
        <w:snapToGrid w:val="0"/>
        <w:spacing w:before="29" w:line="288" w:lineRule="auto"/>
        <w:jc w:val="center"/>
        <w:rPr>
          <w:rFonts w:ascii="Times New Roman" w:hAnsi="Times New Roman"/>
          <w:color w:val="000000"/>
          <w:sz w:val="24"/>
          <w:szCs w:val="24"/>
        </w:rPr>
      </w:pPr>
      <w:r w:rsidRPr="007F52FA">
        <w:rPr>
          <w:rFonts w:ascii="Times New Roman" w:hAnsi="Times New Roman"/>
          <w:color w:val="000000"/>
          <w:sz w:val="24"/>
          <w:szCs w:val="24"/>
        </w:rPr>
        <w:t>份额</w:t>
      </w:r>
      <w:r w:rsidR="00022396" w:rsidRPr="007F52FA">
        <w:rPr>
          <w:rFonts w:ascii="Times New Roman" w:hAnsi="Times New Roman"/>
          <w:color w:val="000000"/>
          <w:sz w:val="24"/>
          <w:szCs w:val="24"/>
        </w:rPr>
        <w:t>累计净值增长率与业绩比较基准收益率的历史走势对比图</w:t>
      </w:r>
    </w:p>
    <w:p w:rsidP="007C14DF" w:rsidR="009A045B" w:rsidRDefault="00CC1636" w:rsidRPr="007F52FA">
      <w:pPr>
        <w:pStyle w:val="a5"/>
        <w:snapToGrid w:val="0"/>
        <w:spacing w:before="29" w:line="288" w:lineRule="auto"/>
        <w:ind w:firstLine="480"/>
        <w:jc w:val="center"/>
        <w:rPr>
          <w:rFonts w:ascii="Times New Roman" w:hAnsi="Times New Roman"/>
          <w:sz w:val="24"/>
          <w:szCs w:val="24"/>
        </w:rPr>
      </w:pPr>
      <w:r w:rsidRPr="007F52FA">
        <w:rPr>
          <w:rFonts w:ascii="Times New Roman" w:hAnsi="Times New Roman"/>
          <w:sz w:val="24"/>
          <w:szCs w:val="24"/>
        </w:rPr>
        <w:t>（</w:t>
      </w:r>
      <w:r w:rsidR="00D04410" w:rsidRPr="007F52FA">
        <w:rPr>
          <w:rFonts w:ascii="Times New Roman" w:hAnsi="Times New Roman"/>
          <w:sz w:val="24"/>
          <w:szCs w:val="24"/>
        </w:rPr>
        <w:t>2016年11月23日</w:t>
      </w:r>
      <w:r w:rsidR="009A045B" w:rsidRPr="007F52FA">
        <w:rPr>
          <w:rFonts w:ascii="Times New Roman" w:hAnsi="Times New Roman"/>
          <w:sz w:val="24"/>
          <w:szCs w:val="24"/>
        </w:rPr>
        <w:t>至</w:t>
      </w:r>
      <w:r w:rsidRPr="007F52FA">
        <w:rPr>
          <w:rFonts w:ascii="Times New Roman" w:hAnsi="Times New Roman"/>
          <w:sz w:val="24"/>
          <w:szCs w:val="24"/>
        </w:rPr>
        <w:t>2020年9月30日</w:t>
      </w:r>
      <w:r w:rsidRPr="007F52FA">
        <w:rPr>
          <w:rFonts w:ascii="Times New Roman" w:hAnsi="Times New Roman"/>
          <w:sz w:val="24"/>
          <w:szCs w:val="24"/>
        </w:rPr>
        <w:t>）</w:t>
      </w:r>
    </w:p>
    <w:p w:rsidP="007C14DF" w:rsidR="009238DB" w:rsidRDefault="009238DB" w:rsidRPr="007F52FA">
      <w:pPr>
        <w:snapToGrid w:val="0"/>
        <w:spacing w:before="29" w:line="288" w:lineRule="auto"/>
        <w:rPr>
          <w:color w:val="000000"/>
          <w:sz w:val="24"/>
        </w:rPr>
      </w:pPr>
      <w:r w:rsidRPr="007F52FA">
        <w:rPr>
          <w:color w:val="000000"/>
          <w:sz w:val="24"/>
        </w:rPr>
        <w:t>1</w:t>
      </w:r>
      <w:r w:rsidRPr="007F52FA">
        <w:rPr>
          <w:color w:val="000000"/>
          <w:sz w:val="24"/>
        </w:rPr>
        <w:t>．</w:t>
      </w:r>
      <w:r w:rsidR="0042785F" w:rsidRPr="007F52FA">
        <w:rPr>
          <w:color w:val="000000"/>
          <w:sz w:val="24"/>
        </w:rPr>
        <w:t>交银裕利纯债债券A</w:t>
      </w:r>
    </w:p>
    <w:p w:rsidP="007C14DF" w:rsidR="00807B81"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drawing>
          <wp:inline distB="0" distL="0" distR="0" distT="0">
            <wp:extent cx="5731510" cy="3356610"/>
            <wp:effectExtent b="0" l="19050" r="2540" t="0"/>
            <wp:docPr descr="走势图1.jpg" id="4"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1.jpg"/>
                    <pic:cNvPicPr/>
                  </pic:nvPicPr>
                  <pic:blipFill>
                    <a:blip cstate="print" r:embed="rId14"/>
                    <a:stretch>
                      <a:fillRect/>
                    </a:stretch>
                  </pic:blipFill>
                  <pic:spPr>
                    <a:xfrm>
                      <a:off x="0" y="0"/>
                      <a:ext cx="5731510" cy="3356610"/>
                    </a:xfrm>
                    <a:prstGeom prst="rect">
                      <a:avLst/>
                    </a:prstGeom>
                  </pic:spPr>
                </pic:pic>
              </a:graphicData>
            </a:graphic>
          </wp:inline>
        </w:drawing>
      </w:r>
    </w:p>
    <w:p w:rsidP="007C14DF" w:rsidR="009238DB"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注：本基金建仓期为自基金合同生效日起的6个月。截至建仓期结束，本基金各项资产配置比例符合基金合同及招募说明书有关投资比例的约定。</w:t>
      </w:r>
    </w:p>
    <w:p w:rsidP="007C14DF" w:rsidR="0042785F" w:rsidRDefault="0042785F" w:rsidRPr="007F52FA">
      <w:pPr>
        <w:pStyle w:val="20"/>
        <w:spacing w:before="29" w:line="288" w:lineRule="auto"/>
        <w:ind w:firstLine="0" w:firstLineChars="0"/>
        <w:rPr>
          <w:rFonts w:ascii="Times New Roman" w:hAnsi="Times New Roman"/>
          <w:color w:val="000000"/>
        </w:rPr>
      </w:pPr>
    </w:p>
    <w:p w:rsidP="007C14DF" w:rsidR="009238DB" w:rsidRDefault="009238DB" w:rsidRPr="007F52FA">
      <w:pPr>
        <w:snapToGrid w:val="0"/>
        <w:spacing w:before="29" w:line="288" w:lineRule="auto"/>
        <w:rPr>
          <w:color w:val="000000"/>
          <w:sz w:val="24"/>
        </w:rPr>
      </w:pPr>
      <w:r w:rsidRPr="007F52FA">
        <w:rPr>
          <w:color w:val="000000"/>
          <w:sz w:val="24"/>
        </w:rPr>
        <w:t>2</w:t>
      </w:r>
      <w:r w:rsidRPr="007F52FA">
        <w:rPr>
          <w:color w:val="000000"/>
          <w:sz w:val="24"/>
        </w:rPr>
        <w:t>．</w:t>
      </w:r>
      <w:r w:rsidR="0042785F" w:rsidRPr="007F52FA">
        <w:rPr>
          <w:color w:val="000000"/>
          <w:sz w:val="24"/>
        </w:rPr>
        <w:t/>
      </w:r>
      <w:r w:rsidR="004D614E" w:rsidRPr="007F52FA">
        <w:rPr>
          <w:color w:val="000000"/>
          <w:sz w:val="24"/>
        </w:rPr>
        <w:t/>
      </w:r>
      <w:r w:rsidR="00FE7FBD" w:rsidRPr="007F52FA">
        <w:rPr>
          <w:color w:val="000000"/>
          <w:sz w:val="24"/>
        </w:rPr>
        <w:t>交银裕利纯债债券C</w:t>
      </w:r>
    </w:p>
    <w:p w:rsidP="007C14DF" w:rsidR="00D12D04" w:rsidRDefault="00562709" w:rsidRPr="007F52FA">
      <w:pPr>
        <w:pStyle w:val="20"/>
        <w:spacing w:before="29" w:line="288" w:lineRule="auto"/>
        <w:ind w:firstLine="0" w:firstLineChars="0"/>
        <w:jc w:val="center"/>
        <w:rPr>
          <w:rFonts w:ascii="Times New Roman" w:eastAsiaTheme="minorEastAsia" w:hAnsi="Times New Roman"/>
          <w:color w:val="000000"/>
        </w:rPr>
      </w:pPr>
      <w:r w:rsidRPr="007F52FA">
        <w:rPr>
          <w:rFonts w:ascii="Times New Roman" w:eastAsiaTheme="minorEastAsia" w:hAnsi="Times New Roman"/>
          <w:noProof/>
          <w:color w:val="000000"/>
        </w:rPr>
        <w:lastRenderedPageBreak/>
        <w:drawing>
          <wp:inline distB="0" distL="0" distR="0" distT="0">
            <wp:extent cx="5731510" cy="3356610"/>
            <wp:effectExtent b="0" l="19050" r="2540" t="0"/>
            <wp:docPr descr="走势图2.jpg" id="5" name="图片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走势图2.jpg"/>
                    <pic:cNvPicPr/>
                  </pic:nvPicPr>
                  <pic:blipFill>
                    <a:blip cstate="print" r:embed="rId15"/>
                    <a:stretch>
                      <a:fillRect/>
                    </a:stretch>
                  </pic:blipFill>
                  <pic:spPr>
                    <a:xfrm>
                      <a:off x="0" y="0"/>
                      <a:ext cx="5731510" cy="3356610"/>
                    </a:xfrm>
                    <a:prstGeom prst="rect">
                      <a:avLst/>
                    </a:prstGeom>
                  </pic:spPr>
                </pic:pic>
              </a:graphicData>
            </a:graphic>
          </wp:inline>
        </w:drawing>
      </w:r>
    </w:p>
    <w:p w:rsidP="007C14DF" w:rsidR="0042785F" w:rsidRDefault="0042785F" w:rsidRPr="007F52FA">
      <w:pPr>
        <w:spacing w:before="29" w:line="288" w:lineRule="auto"/>
        <w:ind w:firstLine="480" w:firstLineChars="200"/>
        <w:rPr>
          <w:color w:val="000000"/>
          <w:sz w:val="24"/>
        </w:rPr>
      </w:pPr>
      <w:r w:rsidRPr="007F52FA">
        <w:rPr>
          <w:color w:val="000000"/>
          <w:sz w:val="24"/>
        </w:rPr>
        <w:t/>
      </w:r>
      <w:r w:rsidR="00973B57" w:rsidRPr="007F52FA">
        <w:rPr>
          <w:color w:val="000000"/>
          <w:sz w:val="24"/>
        </w:rPr>
        <w:t/>
      </w:r>
      <w:r w:rsidRPr="007F52FA">
        <w:rPr>
          <w:color w:val="000000"/>
          <w:sz w:val="24"/>
        </w:rPr>
        <w:t/>
      </w:r>
      <w:r w:rsidR="004D614E" w:rsidRPr="007F52FA">
        <w:rPr>
          <w:color w:val="000000"/>
          <w:sz w:val="24"/>
        </w:rPr>
        <w:t/>
      </w:r>
      <w:r w:rsidR="00FE7FBD" w:rsidRPr="007F52FA">
        <w:rPr>
          <w:color w:val="000000"/>
          <w:sz w:val="24"/>
        </w:rPr>
        <w:t>注：本基金建仓期为自基金合同生效日起的6个月。截至建仓期结束，本基金各项资产配置比例符合基金合同及招募说明书有关投资比例的约定。</w:t>
      </w:r>
    </w:p>
    <w:p w:rsidP="007C14DF" w:rsidR="00757FD7" w:rsidRDefault="00757FD7" w:rsidRPr="007F52FA">
      <w:pPr>
        <w:spacing w:before="29" w:line="288" w:lineRule="auto"/>
        <w:ind w:firstLine="480" w:firstLineChars="200"/>
        <w:rPr>
          <w:color w:val="000000"/>
          <w:sz w:val="24"/>
        </w:rPr>
      </w:pPr>
      <w:r w:rsidRPr="007F52FA">
        <w:rPr>
          <w:color w:val="000000"/>
          <w:sz w:val="24"/>
        </w:rPr>
        <w:t/>
      </w:r>
      <w:r w:rsidR="00FE7FBD" w:rsidRPr="007F52FA">
        <w:rPr>
          <w:color w:val="000000"/>
          <w:sz w:val="24"/>
        </w:rPr>
        <w:t/>
      </w:r>
      <w:r w:rsidRPr="007F52FA">
        <w:rPr>
          <w:color w:val="000000"/>
          <w:sz w:val="24"/>
        </w:rPr>
        <w:t/>
      </w:r>
    </w:p>
    <w:p w:rsidP="007C14DF" w:rsidR="00973B57" w:rsidRDefault="00973B57" w:rsidRPr="007F52FA">
      <w:pPr>
        <w:pStyle w:val="20"/>
        <w:spacing w:before="29" w:line="288" w:lineRule="auto"/>
        <w:ind w:firstLine="0" w:firstLineChars="0"/>
        <w:jc w:val="left"/>
        <w:rPr>
          <w:rFonts w:ascii="Times New Roman" w:eastAsiaTheme="minorEastAsia" w:hAnsi="Times New Roman"/>
          <w:color w:val="000000"/>
        </w:rPr>
      </w:pPr>
    </w:p>
    <w:p w:rsidP="007C14DF" w:rsidR="006C5BC9" w:rsidRDefault="006C5BC9" w:rsidRPr="007F52FA">
      <w:pPr>
        <w:tabs>
          <w:tab w:pos="1800" w:val="left"/>
        </w:tabs>
        <w:spacing w:before="29" w:line="288" w:lineRule="auto"/>
        <w:rPr>
          <w:rFonts w:eastAsiaTheme="minorEastAsia"/>
          <w:color w:val="000000"/>
          <w:sz w:val="24"/>
        </w:rPr>
      </w:pPr>
    </w:p>
    <w:p w:rsidP="000A2988" w:rsidR="009238DB" w:rsidRDefault="009238DB" w:rsidRPr="007F52FA">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 xml:space="preserve">§4  </w:t>
      </w:r>
      <w:r w:rsidRPr="007F52FA">
        <w:rPr>
          <w:rFonts w:eastAsiaTheme="minorEastAsia"/>
          <w:color w:val="000000"/>
          <w:kern w:val="0"/>
          <w:sz w:val="24"/>
          <w:szCs w:val="24"/>
        </w:rPr>
        <w:t>管理人报告</w:t>
      </w: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4.1 </w:t>
      </w:r>
      <w:r w:rsidRPr="007F52FA">
        <w:rPr>
          <w:b/>
          <w:color w:val="000000"/>
          <w:kern w:val="0"/>
          <w:sz w:val="24"/>
        </w:rPr>
        <w:t>基金经理（或基金经理小组）简介</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CellMar>
          <w:top w:type="dxa" w:w="57"/>
          <w:bottom w:type="dxa" w:w="57"/>
        </w:tblCellMar>
        <w:tblLook w:firstColumn="1" w:firstRow="1" w:lastColumn="0" w:lastRow="0" w:noHBand="0" w:noVBand="1" w:val="04A0"/>
      </w:tblPr>
      <w:tblGrid>
        <w:gridCol w:w="946"/>
        <w:gridCol w:w="924"/>
        <w:gridCol w:w="1202"/>
        <w:gridCol w:w="1300"/>
        <w:gridCol w:w="1245"/>
        <w:gridCol w:w="3251"/>
      </w:tblGrid>
      <w:tr w:rsidR="00C41617" w:rsidRPr="007F52FA" w:rsidTr="00370FE2">
        <w:trPr>
          <w:jc w:val="center"/>
        </w:trPr>
        <w:tc>
          <w:tcPr>
            <w:tcW w:type="dxa" w:w="952"/>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姓名</w:t>
            </w:r>
          </w:p>
        </w:tc>
        <w:tc>
          <w:tcPr>
            <w:tcW w:type="dxa" w:w="930"/>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职务</w:t>
            </w:r>
          </w:p>
        </w:tc>
        <w:tc>
          <w:tcPr>
            <w:tcW w:type="dxa" w:w="2519"/>
            <w:gridSpan w:val="2"/>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任本基金的基金经理</w:t>
            </w:r>
            <w:r w:rsidRPr="007F52FA">
              <w:rPr>
                <w:color w:val="000000"/>
                <w:kern w:val="0"/>
                <w:sz w:val="24"/>
              </w:rPr>
              <w:lastRenderedPageBreak/>
              <w:t>期限</w:t>
            </w:r>
          </w:p>
        </w:tc>
        <w:tc>
          <w:tcPr>
            <w:tcW w:type="dxa" w:w="1254"/>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证券从业</w:t>
            </w:r>
            <w:r w:rsidRPr="007F52FA">
              <w:rPr>
                <w:color w:val="000000"/>
                <w:kern w:val="0"/>
                <w:sz w:val="24"/>
              </w:rPr>
              <w:lastRenderedPageBreak/>
              <w:t>年限</w:t>
            </w:r>
          </w:p>
        </w:tc>
        <w:tc>
          <w:tcPr>
            <w:tcW w:type="dxa" w:w="3276"/>
            <w:vMerge w:val="restart"/>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lastRenderedPageBreak/>
              <w:t>说明</w:t>
            </w:r>
          </w:p>
        </w:tc>
      </w:tr>
      <w:tr w:rsidR="00C41617" w:rsidRPr="007F52FA" w:rsidTr="00370FE2">
        <w:trPr>
          <w:jc w:val="center"/>
        </w:trPr>
        <w:tc>
          <w:tcPr>
            <w:tcW w:type="dxa" w:w="952"/>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930"/>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1210"/>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任职日期</w:t>
            </w:r>
          </w:p>
        </w:tc>
        <w:tc>
          <w:tcPr>
            <w:tcW w:type="dxa" w:w="1309"/>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离任日期</w:t>
            </w:r>
          </w:p>
        </w:tc>
        <w:tc>
          <w:tcPr>
            <w:tcW w:type="dxa" w:w="1254"/>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c>
          <w:tcPr>
            <w:tcW w:type="dxa" w:w="3276"/>
            <w:vMerge/>
            <w:vAlign w:val="center"/>
          </w:tcPr>
          <w:p w:rsidP="007C14DF" w:rsidR="00C41617" w:rsidRDefault="00C41617" w:rsidRPr="007F52FA">
            <w:pPr>
              <w:autoSpaceDE w:val="0"/>
              <w:autoSpaceDN w:val="0"/>
              <w:adjustRightInd w:val="0"/>
              <w:spacing w:before="29" w:line="288" w:lineRule="auto"/>
              <w:ind w:left="15"/>
              <w:jc w:val="center"/>
              <w:rPr>
                <w:color w:val="000000"/>
                <w:kern w:val="0"/>
                <w:sz w:val="24"/>
              </w:rPr>
            </w:pPr>
          </w:p>
        </w:tc>
      </w:tr>
      <w:tr>
        <w:tc>
          <w:tcPr>
            <w:vAlign w:val="center"/>
          </w:tcPr>
          <w:p>
            <w:pPr>
              <w:jc w:val="center"/>
            </w:pPr>
            <w:r>
              <w:rPr>
                <w:color w:val="000000"/>
                <w:sz w:val="24"/>
              </w:rPr>
              <w:t>连端清</w:t>
            </w:r>
          </w:p>
        </w:tc>
        <w:tc>
          <w:tcPr>
            <w:vAlign w:val="center"/>
          </w:tcPr>
          <w:p>
            <w:pPr>
              <w:jc w:val="center"/>
            </w:pPr>
            <w:r>
              <w:rPr>
                <w:color w:val="000000"/>
                <w:sz w:val="24"/>
              </w:rPr>
              <w:t>交银丰盈收益债券、交银活期通货币、交银裕盈纯债债券、交银裕利纯债债券、交银裕惠纯债债券的基金经理</w:t>
            </w:r>
          </w:p>
        </w:tc>
        <w:tc>
          <w:tcPr>
            <w:vAlign w:val="center"/>
          </w:tcPr>
          <w:p>
            <w:pPr>
              <w:jc w:val="center"/>
            </w:pPr>
            <w:r>
              <w:rPr>
                <w:color w:val="000000"/>
                <w:sz w:val="24"/>
              </w:rPr>
              <w:t>2017-03-31</w:t>
            </w:r>
          </w:p>
        </w:tc>
        <w:tc>
          <w:tcPr>
            <w:vAlign w:val="center"/>
          </w:tcPr>
          <w:p>
            <w:pPr>
              <w:jc w:val="center"/>
            </w:pPr>
            <w:r>
              <w:rPr>
                <w:color w:val="000000"/>
                <w:sz w:val="24"/>
              </w:rPr>
              <w:t>-</w:t>
            </w:r>
          </w:p>
        </w:tc>
        <w:tc>
          <w:tcPr>
            <w:vAlign w:val="center"/>
          </w:tcPr>
          <w:p>
            <w:pPr>
              <w:jc w:val="center"/>
            </w:pPr>
            <w:r>
              <w:rPr>
                <w:color w:val="000000"/>
                <w:sz w:val="24"/>
              </w:rPr>
              <w:t>7年</w:t>
            </w:r>
          </w:p>
        </w:tc>
        <w:tc>
          <w:tcPr>
            <w:vAlign w:val="center"/>
          </w:tcPr>
          <w:p>
            <w:pPr>
              <w:jc w:val="both"/>
            </w:pPr>
            <w:r>
              <w:rPr>
                <w:color w:val="000000"/>
                <w:sz w:val="24"/>
              </w:rPr>
              <w:t>连端清先生，复旦大学经济学博士。历任交通银行总行金融市场部、湘财证券研究所研究员、中航信托资产管理部投资经理。2015年加入交银施罗德基金管理有限公司。2017年3月31日至2018年8月23日担任交银施罗德裕兴纯债债券型证券投资基金的基金经理。2015年8月4日至2019年8月2日担任交银施罗德现金宝货币市场基金的基金经理。2015年10月16日至2019年8月2日担任交银施罗德货币市场证券投资基金的基金经理。2016年12月7日至2019年8月2日担任交银施罗德天鑫宝货币市场基金的基金经理。2017年12月29日至2019年8月2日担任交银施罗德天运宝货币市场基金的基金经理。2016年10月19日至2019年9月29日担任交银施罗德天利宝货币市场基金的基金经理。2016年11月28日至2019年9月29日担任交银施罗德裕隆纯债债券型证券投资基金的基金经理。2016年12月20日至2019年9月29日担任交银施罗德天益宝货币市场基金的基金经理。2017年3月3日至2019年9月29日担任交银施罗德境尚收益债券型证券投资基金的基金经理。2015年10月16日至2020年7月27日担任转型前的交银施罗德理财60天债券型证券投资基金的基金经理。2015年8月4日至2020年8月21日担任交银施罗德丰润收益债券型证券投资基金的基金经理。</w:t>
            </w:r>
          </w:p>
        </w:tc>
      </w:tr>
    </w:tbl>
    <w:p>
      <w:pPr>
        <w:autoSpaceDE w:val="0"/>
        <w:autoSpaceDN w:val="0"/>
        <w:adjustRightInd w:val="0"/>
        <w:spacing w:before="29" w:line="288" w:lineRule="auto"/>
        <w:jc w:val="left"/>
        <w:rPr>
          <w:color w:val="000000"/>
          <w:sz w:val="24"/>
        </w:rPr>
      </w:pPr>
      <w:r>
        <w:rPr>
          <w:color w:val="000000"/>
          <w:sz w:val="24"/>
        </w:rPr>
        <w:t>注：1、本表所列基金经理（助理）任职日期和离职日期均以基金合同生效日或公司作出决定并公告(如适用)之日为准；</w:t>
      </w:r>
    </w:p>
    <w:p>
      <w:pPr>
        <w:autoSpaceDE w:val="0"/>
        <w:autoSpaceDN w:val="0"/>
        <w:adjustRightInd w:val="0"/>
        <w:spacing w:before="29" w:line="288" w:lineRule="auto"/>
        <w:jc w:val="left"/>
        <w:rPr>
          <w:color w:val="000000"/>
          <w:sz w:val="24"/>
        </w:rPr>
      </w:pPr>
      <w:r>
        <w:rPr>
          <w:color w:val="000000"/>
          <w:sz w:val="24"/>
        </w:rPr>
        <w:t xml:space="preserve">2、本表所列基金经理（助理）证券从业年限中的“证券从业”的含义遵从中国证券业协会《证券业从业人员资格管理办法》的相关规定； </w:t>
      </w:r>
    </w:p>
    <w:p w:rsidP="007C14DF" w:rsidR="009238DB" w:rsidRDefault="00062E1F" w:rsidRPr="007F52FA">
      <w:pPr>
        <w:autoSpaceDE w:val="0"/>
        <w:autoSpaceDN w:val="0"/>
        <w:adjustRightInd w:val="0"/>
        <w:spacing w:before="29" w:line="288" w:lineRule="auto"/>
        <w:jc w:val="left"/>
        <w:rPr>
          <w:color w:val="000000"/>
          <w:sz w:val="24"/>
        </w:rPr>
      </w:pPr>
      <w:r w:rsidRPr="007F52FA">
        <w:rPr>
          <w:color w:val="000000"/>
          <w:sz w:val="24"/>
        </w:rPr>
        <w:t>3、基金经理（或基金经理小组）期后变动（如有）敬请关注基金管理人发布的相关公告。</w:t>
      </w:r>
    </w:p>
    <w:p w:rsidP="007C14DF" w:rsidR="005C7D00" w:rsidRDefault="005C7D00" w:rsidRPr="007F52FA">
      <w:pPr>
        <w:pStyle w:val="20"/>
        <w:spacing w:before="29" w:line="288" w:lineRule="auto"/>
        <w:ind w:firstLine="0" w:firstLineChars="0"/>
        <w:rPr>
          <w:rFonts w:ascii="Times New Roman" w:eastAsiaTheme="minorEastAsia" w:hAnsi="Times New Roman"/>
          <w:color w:val="auto"/>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4.2</w:t>
      </w:r>
      <w:r w:rsidR="00FA7737" w:rsidRPr="007F52FA">
        <w:rPr>
          <w:b/>
          <w:color w:val="000000"/>
          <w:kern w:val="0"/>
          <w:sz w:val="24"/>
        </w:rPr>
        <w:t>管理人对报告期内本基金运作遵规守信情况的说明</w:t>
      </w:r>
    </w:p>
    <w:p w:rsidP="007C14DF" w:rsidR="009238DB" w:rsidRDefault="00323F25" w:rsidRPr="007F52FA">
      <w:pPr>
        <w:spacing w:before="29" w:line="288" w:lineRule="auto"/>
        <w:ind w:firstLine="480" w:firstLineChars="200"/>
        <w:rPr>
          <w:color w:val="000000"/>
          <w:sz w:val="24"/>
        </w:rPr>
      </w:pPr>
      <w:r w:rsidRPr="007F52FA">
        <w:rPr>
          <w:color w:val="000000"/>
          <w:sz w:val="24"/>
        </w:rPr>
        <w:t>在报告期内，本基金管理人严格遵循了《中华人民共和国证券投资基金法》、基金合同和其他相关法律法规的规定，并本着诚实信用、勤勉尽责的原则管理和运用基金资产，基金整体运作符合有关法律法规和基金合同的规定，为基金持有人谋求最大利益。</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4.3 </w:t>
      </w:r>
      <w:r w:rsidRPr="007F52FA">
        <w:rPr>
          <w:b/>
          <w:color w:val="000000"/>
          <w:kern w:val="0"/>
          <w:sz w:val="24"/>
        </w:rPr>
        <w:t>公平交易专项说明</w:t>
      </w:r>
    </w:p>
    <w:p w:rsidP="007C14DF" w:rsidR="00D15733" w:rsidRDefault="00D15733" w:rsidRPr="007F52FA">
      <w:pPr>
        <w:spacing w:before="29" w:line="288" w:lineRule="auto"/>
        <w:rPr>
          <w:sz w:val="24"/>
        </w:rPr>
      </w:pPr>
      <w:smartTag w:element="chsdate" w:uri="urn:schemas-microsoft-com:office:smarttags">
        <w:smartTagPr>
          <w:attr w:name="Year" w:val="1899"/>
          <w:attr w:name="Month" w:val="12"/>
          <w:attr w:name="Day" w:val="30"/>
          <w:attr w:name="IsLunarDate" w:val="False"/>
          <w:attr w:name="IsROCDate" w:val="False"/>
        </w:smartTagPr>
        <w:r w:rsidRPr="007F52FA">
          <w:rPr>
            <w:sz w:val="24"/>
          </w:rPr>
          <w:t>4.3.1</w:t>
        </w:r>
      </w:smartTag>
      <w:r w:rsidRPr="007F52FA">
        <w:rPr>
          <w:sz w:val="24"/>
        </w:rPr>
        <w:t>公平交易制度的执行情况</w:t>
      </w:r>
    </w:p>
    <w:p>
      <w:pPr>
        <w:spacing w:before="29" w:line="288" w:lineRule="auto"/>
        <w:ind w:firstLine="480" w:firstLineChars="200"/>
        <w:rPr>
          <w:color w:val="000000"/>
          <w:sz w:val="24"/>
        </w:rPr>
      </w:pPr>
      <w:r>
        <w:rPr>
          <w:color w:val="000000"/>
          <w:sz w:val="24"/>
        </w:rPr>
        <w:t>本公司制定了严格的投资控制制度和公平交易监控制度来保证旗下基金运作的公平，旗下所管理的所有资产组合，包括证券投资基金和特定客户资产管理专户均严格遵循制度进行公平交易。</w:t>
      </w:r>
    </w:p>
    <w:p>
      <w:pPr>
        <w:spacing w:before="29" w:line="288" w:lineRule="auto"/>
        <w:ind w:firstLine="480" w:firstLineChars="200"/>
        <w:rPr>
          <w:color w:val="000000"/>
          <w:sz w:val="24"/>
        </w:rPr>
      </w:pPr>
      <w:r>
        <w:rPr>
          <w:color w:val="000000"/>
          <w:sz w:val="24"/>
        </w:rPr>
        <w:t>公司建立资源共享的投资研究信息平台，确保各投资组合在获得投资信息、投资建议和实施投资决策方面享有公平的机会。公司在交易执行环节实行集中交易制度，建立公平的交易分配制度。对于交易所公开竞价交易，遵循“时间优先、价格优先、比例分配”的原则，全部通过交易系统进行比例分配；对于非集中竞价交易、以公司名义进行的场外交易，遵循“价格优先、比例分配”的原则按事前独立确定的投资方案对交易结果进行分配。</w:t>
      </w:r>
    </w:p>
    <w:p>
      <w:pPr>
        <w:spacing w:before="29" w:line="288" w:lineRule="auto"/>
        <w:ind w:firstLine="480" w:firstLineChars="200"/>
        <w:rPr>
          <w:color w:val="000000"/>
          <w:sz w:val="24"/>
        </w:rPr>
      </w:pPr>
      <w:r>
        <w:rPr>
          <w:color w:val="000000"/>
          <w:sz w:val="24"/>
        </w:rPr>
        <w:t>公司中央交易室和风险管理部进行日常投资交易行为监控，风险管理部负责对各账户公平交易进行事后分析，于每季度和每年度分别对公司管理的不同投资组合的整体收益率差异、分投资类别的收益率差异以及不同时间窗口同向交易的交易价差进行分析，通过分析评估和信息披露来加强对公平交易过程和结果的监督。</w:t>
      </w:r>
    </w:p>
    <w:p w:rsidP="007C14DF" w:rsidR="00D15733" w:rsidRDefault="00323F25" w:rsidRPr="007F52FA">
      <w:pPr>
        <w:spacing w:before="29" w:line="288" w:lineRule="auto"/>
        <w:ind w:firstLine="480" w:firstLineChars="200"/>
        <w:rPr>
          <w:color w:val="000000"/>
          <w:sz w:val="24"/>
        </w:rPr>
      </w:pPr>
      <w:r w:rsidRPr="007F52FA">
        <w:rPr>
          <w:color w:val="000000"/>
          <w:sz w:val="24"/>
        </w:rPr>
        <w:t>报告期内本公司严格执行公平交易制度，公平对待旗下各投资组合，未发现任何违反公平交易的行为。</w:t>
      </w:r>
    </w:p>
    <w:p w:rsidP="007C14DF" w:rsidR="00D15733" w:rsidRDefault="00D15733" w:rsidRPr="007F52FA">
      <w:pPr>
        <w:spacing w:before="29" w:line="288" w:lineRule="auto"/>
        <w:rPr>
          <w:sz w:val="24"/>
        </w:rPr>
      </w:pPr>
      <w:r w:rsidRPr="007F52FA">
        <w:rPr>
          <w:sz w:val="24"/>
        </w:rPr>
        <w:t>4.3.</w:t>
      </w:r>
      <w:r w:rsidR="005B6047" w:rsidRPr="007F52FA">
        <w:rPr>
          <w:sz w:val="24"/>
        </w:rPr>
        <w:t>2</w:t>
      </w:r>
      <w:r w:rsidRPr="007F52FA">
        <w:rPr>
          <w:sz w:val="24"/>
        </w:rPr>
        <w:t>异常交易行为的专项说明</w:t>
      </w:r>
    </w:p>
    <w:p w:rsidP="007C14DF" w:rsidR="00D15733" w:rsidRDefault="00323F25" w:rsidRPr="007F52FA">
      <w:pPr>
        <w:spacing w:before="29" w:line="288" w:lineRule="auto"/>
        <w:ind w:firstLine="480" w:firstLineChars="200"/>
        <w:rPr>
          <w:color w:val="000000"/>
          <w:sz w:val="24"/>
        </w:rPr>
      </w:pPr>
      <w:r w:rsidRPr="007F52FA">
        <w:rPr>
          <w:color w:val="000000"/>
          <w:sz w:val="24"/>
        </w:rPr>
        <w:t>本基金于本报告期内不存在异常交易行为。本报告期内，本公司管理的所有投资组合参与的交易所公开竞价同日反向交易成交较少的单边交易量没有超过该证券当日总成交量5%的情形，本基金与本公司管理的其他投资组合在不同时间窗下（如日内、3日内、5日内）同向交易的交易价差未出现异常。</w:t>
      </w:r>
    </w:p>
    <w:p w:rsidP="007C14DF" w:rsidR="009238DB" w:rsidRDefault="009238DB" w:rsidRPr="007F52FA">
      <w:pPr>
        <w:autoSpaceDE w:val="0"/>
        <w:autoSpaceDN w:val="0"/>
        <w:adjustRightInd w:val="0"/>
        <w:spacing w:before="29" w:line="288" w:lineRule="auto"/>
        <w:jc w:val="left"/>
        <w:rPr>
          <w:color w:val="000000"/>
          <w:kern w:val="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4.4</w:t>
      </w:r>
      <w:r w:rsidRPr="007F52FA">
        <w:rPr>
          <w:rFonts w:hAnsi="宋体"/>
          <w:b/>
          <w:bCs/>
          <w:color w:val="000000"/>
          <w:sz w:val="24"/>
        </w:rPr>
        <w:t>报告期内基金的投资策略和运作分析</w:t>
      </w:r>
    </w:p>
    <w:p>
      <w:pPr>
        <w:spacing w:before="29" w:line="288" w:lineRule="auto"/>
        <w:ind w:firstLine="480" w:firstLineChars="200"/>
        <w:rPr>
          <w:color w:val="000000"/>
          <w:sz w:val="24"/>
        </w:rPr>
      </w:pPr>
      <w:r>
        <w:rPr>
          <w:color w:val="000000"/>
          <w:sz w:val="24"/>
        </w:rPr>
        <w:t>2020年三季度，主要受出口、房地产与基建等驱动，我国经济继续修复。七、八月我国出口继续较快增长，房地产投资维持较高增速，基建投资增速尽管不及预期，但继续为经济增长发挥托底的作用。同时制造业景气度维持向好势头，三季度中采制造业PMI进一步提升，消费逐步改善。八月社会零售消费总额自新冠疫情爆发以来首次取得正增长，社融新增规模较大，金融条件继续对经济修复提供较大支持。</w:t>
      </w:r>
    </w:p>
    <w:p>
      <w:pPr>
        <w:spacing w:before="29" w:line="288" w:lineRule="auto"/>
        <w:ind w:firstLine="480" w:firstLineChars="200"/>
        <w:rPr>
          <w:color w:val="000000"/>
          <w:sz w:val="24"/>
        </w:rPr>
      </w:pPr>
      <w:r>
        <w:rPr>
          <w:color w:val="000000"/>
          <w:sz w:val="24"/>
        </w:rPr>
        <w:t>货币政策方面，三季度鉴于国内经济逐步修复及资金空转套利等问题，央行货币政策向中性回归，公开市场操作趋于谨慎。尽管三季度央行公开市场净投放3723亿，但是政府债券发行在4万亿以上。资金面上，受央行公开市场操作谨慎，政府债券发行量较大，银行超储率较低及结构性存款压降等因素影响，银行间市场资金面波动显著放大，货币市场利率中枢上移。三季度R001均值较二季度上升48个BP左右。三季度存单存款收益率持续回升，三个月股份行存单收益率三季度均值较二季度上升90个BP以上。由于国内经济改善超预期，利率债供给较大，央行货币政策宽松预期落空，资金价格中枢不断回升以及股市波动等影响，三季度债市整体上依然处于下跌通道之中。七月上旬，股市大幅上涨引发债市大幅回调，至中下旬股市走弱，叠加中美外交冲突加剧，债市迎来一波反弹行情。但是在上述多重利空因素冲击下，八月以来利率债基本上处于跌跌不休的状态中。三季度末十年期国债YTM较二季度末上升30个BP以上。</w:t>
      </w:r>
    </w:p>
    <w:p>
      <w:pPr>
        <w:spacing w:before="29" w:line="288" w:lineRule="auto"/>
        <w:ind w:firstLine="480" w:firstLineChars="200"/>
        <w:rPr>
          <w:color w:val="000000"/>
          <w:sz w:val="24"/>
        </w:rPr>
      </w:pPr>
      <w:r>
        <w:rPr>
          <w:color w:val="000000"/>
          <w:sz w:val="24"/>
        </w:rPr>
        <w:t>基金操作方面，报告期内本基金把握市场走势，择机调整组合久期与杠杆，管控信用风险，为持有人创造稳健的回报</w:t>
      </w:r>
    </w:p>
    <w:p w:rsidP="007C14DF" w:rsidR="00952A72" w:rsidRDefault="00323F25" w:rsidRPr="007F52FA">
      <w:pPr>
        <w:spacing w:before="29" w:line="288" w:lineRule="auto"/>
        <w:ind w:firstLine="480" w:firstLineChars="200"/>
        <w:rPr>
          <w:color w:val="000000"/>
          <w:sz w:val="24"/>
        </w:rPr>
      </w:pPr>
      <w:r w:rsidRPr="007F52FA">
        <w:rPr>
          <w:color w:val="000000"/>
          <w:sz w:val="24"/>
        </w:rPr>
        <w:t>展望2020年四季度，国内经济整体上继续修复的概率更大一些，但房地产等领域走弱的风险也在上升，同时疫苗的进展可能提振经济改善的信心。四季度美国总统大选及其对全球政治与经济的影响，值得关注。鉴于内外形势的不确定性，预计短期内人行货币政策整体上维持中性格局的概率较大。我们将密切关注央行货币政策操作边际上的变化以及疫情防控与疫苗研发进展。组合管理方面，本基金将跟踪研判宏观经济走势与央行货币政策操作，保持较好的流动性，把握市场波动机会，控制风险，为投资者创造稳健的回报。</w:t>
      </w:r>
    </w:p>
    <w:p w:rsidP="007C14DF" w:rsidR="00EC41BC" w:rsidRDefault="00EC41BC" w:rsidRPr="007F52FA">
      <w:pPr>
        <w:spacing w:before="29" w:line="288" w:lineRule="auto"/>
        <w:ind w:firstLine="480" w:firstLineChars="200"/>
        <w:rPr>
          <w:color w:val="000000"/>
          <w:sz w:val="24"/>
        </w:rPr>
      </w:pPr>
    </w:p>
    <w:p w:rsidP="007C14DF" w:rsidR="00130395" w:rsidRDefault="00130395" w:rsidRPr="007F52FA">
      <w:pPr>
        <w:spacing w:before="29" w:line="288" w:lineRule="auto"/>
        <w:rPr>
          <w:b/>
          <w:color w:val="000000"/>
          <w:kern w:val="0"/>
          <w:sz w:val="24"/>
        </w:rPr>
      </w:pPr>
      <w:r w:rsidRPr="007F52FA">
        <w:rPr>
          <w:b/>
          <w:color w:val="000000"/>
          <w:kern w:val="0"/>
          <w:sz w:val="24"/>
        </w:rPr>
        <w:t>4.5</w:t>
      </w:r>
      <w:r w:rsidRPr="007F52FA">
        <w:rPr>
          <w:b/>
          <w:color w:val="000000"/>
          <w:kern w:val="0"/>
          <w:sz w:val="24"/>
        </w:rPr>
        <w:t>报告期内基金的业绩表现</w:t>
      </w:r>
    </w:p>
    <w:p w:rsidP="007C14DF" w:rsidR="00952A72" w:rsidRDefault="00323F25" w:rsidRPr="007F52FA">
      <w:pPr>
        <w:spacing w:before="29" w:line="288" w:lineRule="auto"/>
        <w:ind w:firstLine="480" w:firstLineChars="200"/>
        <w:rPr>
          <w:color w:val="000000"/>
          <w:sz w:val="24"/>
        </w:rPr>
      </w:pPr>
      <w:r w:rsidRPr="007F52FA">
        <w:rPr>
          <w:color w:val="000000"/>
          <w:sz w:val="24"/>
        </w:rPr>
        <w:t>本基金（各类）份额净值及业绩表现请见“3.1主要财务指标” 及“3.2.1 本报告期基金份额净值增长率及其与同期业绩比较基准收益率的比较”部分披露。</w:t>
      </w:r>
    </w:p>
    <w:p w:rsidP="007C14DF" w:rsidR="00400FA6" w:rsidRDefault="00400FA6" w:rsidRPr="007F52FA">
      <w:pPr>
        <w:spacing w:before="29" w:line="288" w:lineRule="auto"/>
        <w:ind w:firstLine="480" w:firstLineChars="200"/>
        <w:rPr>
          <w:color w:val="000000"/>
          <w:sz w:val="24"/>
        </w:rPr>
      </w:pPr>
    </w:p>
    <w:p w:rsidP="00274444" w:rsidR="00274444" w:rsidRDefault="00274444" w:rsidRPr="002070B4">
      <w:pPr>
        <w:autoSpaceDE w:val="0"/>
        <w:autoSpaceDN w:val="0"/>
        <w:adjustRightInd w:val="0"/>
        <w:spacing w:before="29" w:line="288" w:lineRule="auto"/>
        <w:jc w:val="left"/>
        <w:rPr>
          <w:b/>
          <w:color w:val="000000"/>
          <w:kern w:val="0"/>
          <w:sz w:val="24"/>
        </w:rPr>
      </w:pPr>
      <w:r w:rsidRPr="002070B4">
        <w:rPr>
          <w:b/>
          <w:color w:val="000000"/>
          <w:kern w:val="0"/>
          <w:sz w:val="24"/>
        </w:rPr>
        <w:t>4</w:t>
      </w:r>
      <w:r w:rsidRPr="002070B4">
        <w:rPr>
          <w:rFonts w:hint="eastAsia"/>
          <w:b/>
          <w:color w:val="000000"/>
          <w:kern w:val="0"/>
          <w:sz w:val="24"/>
        </w:rPr>
        <w:t>.6</w:t>
      </w:r>
      <w:r w:rsidRPr="002070B4">
        <w:rPr>
          <w:rFonts w:hint="eastAsia"/>
          <w:b/>
          <w:color w:val="000000"/>
          <w:kern w:val="0"/>
          <w:sz w:val="24"/>
        </w:rPr>
        <w:t>报告期内基金持有人数或基金资产净值预警说明</w:t>
      </w:r>
    </w:p>
    <w:p w:rsidP="00274444" w:rsidR="00274444" w:rsidRDefault="00274444">
      <w:pPr>
        <w:spacing w:before="29" w:line="288" w:lineRule="auto"/>
        <w:ind w:firstLine="480" w:firstLineChars="200"/>
        <w:rPr>
          <w:color w:val="000000"/>
          <w:sz w:val="24"/>
        </w:rPr>
      </w:pPr>
      <w:r w:rsidRPr="002070B4">
        <w:rPr>
          <w:color w:val="000000"/>
          <w:sz w:val="24"/>
        </w:rPr>
        <w:t>本基金本报告期内曾连续二十个工作日以上出现基金份额持有人数量不满200人的情形，截至本报告期末，本基金基金份额持有人数量已高于200人。</w:t>
      </w:r>
    </w:p>
    <w:p w:rsidP="007C14DF" w:rsidR="00400FA6" w:rsidRDefault="00400FA6" w:rsidRPr="007F52FA">
      <w:pPr>
        <w:spacing w:before="29" w:line="288" w:lineRule="auto"/>
        <w:ind w:firstLine="480" w:firstLineChars="200"/>
        <w:rPr>
          <w:color w:val="000000"/>
          <w:sz w:val="24"/>
        </w:rPr>
      </w:pPr>
    </w:p>
    <w:p w:rsidP="000A2988" w:rsidR="009238DB" w:rsidRDefault="009238DB" w:rsidRPr="007C6127">
      <w:pPr>
        <w:pStyle w:val="1"/>
        <w:spacing w:after="312" w:afterLines="100" w:before="312" w:beforeLines="100" w:line="288" w:lineRule="auto"/>
        <w:jc w:val="center"/>
        <w:rPr>
          <w:rFonts w:eastAsiaTheme="minorEastAsia"/>
          <w:color w:val="000000"/>
          <w:kern w:val="0"/>
          <w:sz w:val="24"/>
          <w:szCs w:val="24"/>
        </w:rPr>
      </w:pPr>
      <w:r w:rsidRPr="007C6127">
        <w:rPr>
          <w:rFonts w:eastAsiaTheme="minorEastAsia"/>
          <w:color w:val="000000"/>
          <w:kern w:val="0"/>
          <w:sz w:val="24"/>
          <w:szCs w:val="24"/>
        </w:rPr>
        <w:lastRenderedPageBreak/>
        <w:t xml:space="preserve">§5  </w:t>
      </w:r>
      <w:r w:rsidRPr="007C6127">
        <w:rPr>
          <w:rFonts w:eastAsiaTheme="minorEastAsia"/>
          <w:color w:val="000000"/>
          <w:kern w:val="0"/>
          <w:sz w:val="24"/>
          <w:szCs w:val="24"/>
        </w:rPr>
        <w:t>投资组合报告</w:t>
      </w:r>
    </w:p>
    <w:p w:rsidP="00C51B4E" w:rsidR="00C51B4E" w:rsidRDefault="00C51B4E">
      <w:pPr>
        <w:autoSpaceDE w:val="0"/>
        <w:autoSpaceDN w:val="0"/>
        <w:adjustRightInd w:val="0"/>
        <w:spacing w:line="360" w:lineRule="auto"/>
        <w:jc w:val="left"/>
        <w:rPr>
          <w:rFonts w:eastAsiaTheme="minorEastAsia"/>
          <w:b/>
          <w:color w:themeColor="text1" w:val="000000"/>
          <w:kern w:val="0"/>
          <w:sz w:val="24"/>
        </w:rPr>
      </w:pPr>
      <w:r w:rsidRPr="0028293E">
        <w:rPr>
          <w:rFonts w:eastAsiaTheme="minorEastAsia"/>
          <w:b/>
          <w:color w:themeColor="text1" w:val="000000"/>
          <w:kern w:val="0"/>
          <w:sz w:val="24"/>
        </w:rPr>
        <w:t xml:space="preserve">5.1 </w:t>
      </w:r>
      <w:r w:rsidRPr="0028293E">
        <w:rPr>
          <w:rFonts w:eastAsiaTheme="minorEastAsia"/>
          <w:b/>
          <w:color w:themeColor="text1" w:val="000000"/>
          <w:kern w:val="0"/>
          <w:sz w:val="24"/>
        </w:rPr>
        <w:t>报告期末基金资产组合情况</w:t>
      </w:r>
    </w:p>
    <w:p w:rsidP="001A5E45" w:rsidR="00610880" w:rsidRDefault="001A5E45" w:rsidRPr="0028293E">
      <w:pPr>
        <w:autoSpaceDE w:val="0"/>
        <w:autoSpaceDN w:val="0"/>
        <w:adjustRightInd w:val="0"/>
        <w:spacing w:line="360" w:lineRule="auto"/>
        <w:jc w:val="right"/>
        <w:rPr>
          <w:rFonts w:eastAsiaTheme="minorEastAsia"/>
          <w:b/>
          <w:color w:themeColor="text1" w:val="000000"/>
          <w:kern w:val="0"/>
          <w:sz w:val="24"/>
        </w:rPr>
      </w:pPr>
      <w:r w:rsidRPr="001A5E45">
        <w:rPr>
          <w:rFonts w:hint="eastAsia"/>
          <w:color w:val="000000"/>
          <w:kern w:val="0"/>
        </w:rPr>
        <w:t/>
      </w:r>
      <w:r w:rsidRPr="001A5E45">
        <w:rPr>
          <w:rFonts w:hint="eastAsia"/>
          <w:color w:val="000000"/>
          <w:kern w:val="0"/>
        </w:rPr>
        <w:t>金额单位：人民币元</w:t>
      </w:r>
    </w:p>
    <w:tbl>
      <w:tblPr>
        <w:tblStyle w:val="af2"/>
        <w:tblW w:type="dxa" w:w="8897"/>
        <w:tblInd w:type="dxa" w:w="108"/>
        <w:tblLayout w:type="fixed"/>
        <w:tblLook w:firstColumn="1" w:firstRow="1" w:lastColumn="0" w:lastRow="0" w:noHBand="0" w:noVBand="1" w:val="04A0"/>
      </w:tblPr>
      <w:tblGrid>
        <w:gridCol w:w="720"/>
        <w:gridCol w:w="2824"/>
        <w:gridCol w:w="2552"/>
        <w:gridCol w:w="2801"/>
      </w:tblGrid>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序号</w:t>
            </w:r>
          </w:p>
        </w:tc>
        <w:tc>
          <w:tcPr>
            <w:tcW w:type="dxa" w:w="2824"/>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项目</w:t>
            </w:r>
          </w:p>
        </w:tc>
        <w:tc>
          <w:tcPr>
            <w:tcW w:type="dxa" w:w="2552"/>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金额</w:t>
            </w:r>
          </w:p>
        </w:tc>
        <w:tc>
          <w:tcPr>
            <w:tcW w:type="dxa" w:w="2801"/>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占基金总资产的比例</w:t>
            </w:r>
            <w:r w:rsidR="005D2D89">
              <w:rPr>
                <w:rFonts w:eastAsiaTheme="minorEastAsia" w:hint="eastAsia"/>
                <w:color w:themeColor="text1" w:val="000000"/>
                <w:sz w:val="24"/>
              </w:rPr>
              <w:t>（</w:t>
            </w:r>
            <w:r w:rsidR="005D2D89">
              <w:rPr>
                <w:rFonts w:eastAsiaTheme="minorEastAsia" w:hint="eastAsia"/>
                <w:color w:themeColor="text1" w:val="000000"/>
                <w:sz w:val="24"/>
              </w:rPr>
              <w:t>%</w:t>
            </w:r>
            <w:r w:rsidR="005D2D89">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1</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权益投资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其中：股票</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2</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ascii="宋体" w:hAnsi="宋体" w:hint="eastAsia"/>
                <w:sz w:val="24"/>
              </w:rPr>
              <w:t>基金投资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hint="eastAsia"/>
                <w:color w:themeColor="text1" w:val="000000"/>
                <w:sz w:val="24"/>
              </w:rPr>
              <w:t/>
            </w:r>
            <w:r w:rsidRPr="0028293E">
              <w:rPr>
                <w:rFonts w:eastAsiaTheme="minorEastAsia"/>
                <w:color w:themeColor="text1" w:val="000000"/>
                <w:sz w:val="24"/>
              </w:rPr>
              <w:t/>
            </w:r>
            <w:r w:rsidRPr="0028293E">
              <w:rPr>
                <w:rFonts w:eastAsiaTheme="minorEastAsia" w:hint="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3</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固定收益投资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3,448,371,000.00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98.70</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其中：债券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3,424,803,000.00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98.03</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8293E" w:rsidR="00C51B4E" w:rsidRDefault="00C51B4E" w:rsidRPr="0028293E">
            <w:pPr>
              <w:autoSpaceDE w:val="0"/>
              <w:autoSpaceDN w:val="0"/>
              <w:adjustRightInd w:val="0"/>
              <w:spacing w:before="29" w:line="360" w:lineRule="auto"/>
              <w:ind w:firstLine="720" w:firstLineChars="300" w:left="17"/>
              <w:jc w:val="left"/>
              <w:rPr>
                <w:rFonts w:eastAsiaTheme="minorEastAsia"/>
                <w:color w:themeColor="text1" w:val="000000"/>
                <w:sz w:val="24"/>
              </w:rPr>
            </w:pPr>
            <w:r w:rsidRPr="0028293E">
              <w:rPr>
                <w:rFonts w:eastAsiaTheme="minorEastAsia"/>
                <w:color w:themeColor="text1" w:val="000000"/>
                <w:sz w:val="24"/>
              </w:rPr>
              <w:t>资产支持证券</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23,568,000.00</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0.67</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4</w:t>
            </w:r>
          </w:p>
        </w:tc>
        <w:tc>
          <w:tcPr>
            <w:tcW w:type="dxa" w:w="2824"/>
            <w:vAlign w:val="center"/>
          </w:tcPr>
          <w:p w:rsidP="002D2971" w:rsidR="00C51B4E" w:rsidRDefault="00C51B4E" w:rsidRPr="0028293E">
            <w:pPr>
              <w:spacing w:before="29" w:line="360" w:lineRule="auto"/>
              <w:ind w:left="105" w:leftChars="50"/>
              <w:rPr>
                <w:rFonts w:eastAsiaTheme="minorEastAsia"/>
                <w:color w:themeColor="text1" w:val="000000"/>
                <w:sz w:val="24"/>
              </w:rPr>
            </w:pPr>
            <w:r w:rsidRPr="0028293E">
              <w:rPr>
                <w:rFonts w:eastAsiaTheme="minorEastAsia"/>
                <w:color w:themeColor="text1" w:val="000000"/>
                <w:sz w:val="24"/>
              </w:rPr>
              <w:t>贵金属投资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
            </w:r>
            <w:r w:rsidRPr="0028293E">
              <w:rPr>
                <w:rFonts w:eastAsiaTheme="minorEastAsia"/>
                <w:color w:themeColor="text1" w:val="000000"/>
                <w:sz w:val="24"/>
              </w:rPr>
              <w:lastRenderedPageBreak/>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lastRenderedPageBreak/>
              <w:t/>
            </w:r>
            <w:r w:rsidRPr="0028293E">
              <w:rPr>
                <w:rFonts w:eastAsiaTheme="minorEastAsia"/>
                <w:color w:themeColor="text1" w:val="000000"/>
                <w:sz w:val="24"/>
              </w:rPr>
              <w:lastRenderedPageBreak/>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lastRenderedPageBreak/>
              <w:t>5</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金融衍生品投资</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6</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其中：买断式回购的买入返售金融资产</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hint="eastAsia"/>
                <w:color w:themeColor="text1" w:val="000000"/>
                <w:sz w:val="24"/>
              </w:rPr>
              <w:t>7</w:t>
            </w:r>
          </w:p>
        </w:tc>
        <w:tc>
          <w:tcPr>
            <w:tcW w:type="dxa" w:w="2824"/>
            <w:vAlign w:val="center"/>
          </w:tcPr>
          <w:p w:rsidP="002D2971" w:rsidR="00C51B4E" w:rsidRDefault="00C51B4E" w:rsidRPr="0028293E">
            <w:pPr>
              <w:spacing w:before="29" w:line="360" w:lineRule="auto"/>
              <w:ind w:left="17"/>
              <w:jc w:val="left"/>
              <w:rPr>
                <w:rFonts w:eastAsiaTheme="minorEastAsia"/>
                <w:color w:themeColor="text1" w:val="000000"/>
                <w:sz w:val="24"/>
              </w:rPr>
            </w:pPr>
            <w:r w:rsidRPr="0028293E">
              <w:rPr>
                <w:rFonts w:eastAsiaTheme="minorEastAsia"/>
                <w:color w:themeColor="text1" w:val="000000"/>
                <w:sz w:val="24"/>
              </w:rPr>
              <w:t>银行存款和结算备付金合计</w:t>
            </w:r>
          </w:p>
        </w:tc>
        <w:tc>
          <w:tcPr>
            <w:tcW w:type="dxa" w:w="2552"/>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1,436,894.12</w:t>
            </w:r>
          </w:p>
        </w:tc>
        <w:tc>
          <w:tcPr>
            <w:tcW w:type="dxa" w:w="2801"/>
            <w:vAlign w:val="center"/>
          </w:tcPr>
          <w:p w:rsidP="002D2971" w:rsidR="00C51B4E" w:rsidRDefault="00C51B4E" w:rsidRPr="0028293E">
            <w:pPr>
              <w:spacing w:before="29" w:line="360" w:lineRule="auto"/>
              <w:ind w:left="17"/>
              <w:jc w:val="right"/>
              <w:rPr>
                <w:rFonts w:eastAsiaTheme="minorEastAsia"/>
                <w:color w:themeColor="text1" w:val="000000"/>
                <w:sz w:val="24"/>
              </w:rPr>
            </w:pPr>
            <w:r w:rsidRPr="0028293E">
              <w:rPr>
                <w:rFonts w:eastAsiaTheme="minorEastAsia"/>
                <w:color w:themeColor="text1" w:val="000000"/>
                <w:sz w:val="24"/>
              </w:rPr>
              <w:t>0.04</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8</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其他各项资产</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43,935,905.68</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1.26</w:t>
            </w:r>
          </w:p>
        </w:tc>
      </w:tr>
      <w:tr w:rsidR="00C51B4E" w:rsidRPr="0028293E" w:rsidTr="002D2971">
        <w:tc>
          <w:tcPr>
            <w:tcW w:type="dxa" w:w="720"/>
            <w:vAlign w:val="center"/>
          </w:tcPr>
          <w:p w:rsidP="002D2971" w:rsidR="00C51B4E" w:rsidRDefault="00C51B4E" w:rsidRPr="0028293E">
            <w:pPr>
              <w:spacing w:before="29" w:line="360" w:lineRule="auto"/>
              <w:ind w:left="17"/>
              <w:jc w:val="center"/>
              <w:rPr>
                <w:rFonts w:eastAsiaTheme="minorEastAsia"/>
                <w:color w:themeColor="text1" w:val="000000"/>
                <w:sz w:val="24"/>
              </w:rPr>
            </w:pPr>
            <w:r w:rsidRPr="0028293E">
              <w:rPr>
                <w:rFonts w:eastAsiaTheme="minorEastAsia"/>
                <w:color w:themeColor="text1" w:val="000000"/>
                <w:sz w:val="24"/>
              </w:rPr>
              <w:t/>
            </w:r>
            <w:r w:rsidRPr="0028293E">
              <w:rPr>
                <w:rFonts w:eastAsiaTheme="minorEastAsia" w:hint="eastAsia"/>
                <w:color w:themeColor="text1" w:val="000000"/>
                <w:sz w:val="24"/>
              </w:rPr>
              <w:t/>
            </w:r>
            <w:r w:rsidRPr="0028293E">
              <w:rPr>
                <w:rFonts w:eastAsiaTheme="minorEastAsia"/>
                <w:color w:themeColor="text1" w:val="000000"/>
                <w:sz w:val="24"/>
              </w:rPr>
              <w:t>9</w:t>
            </w:r>
          </w:p>
        </w:tc>
        <w:tc>
          <w:tcPr>
            <w:tcW w:type="dxa" w:w="2824"/>
            <w:vAlign w:val="center"/>
          </w:tcPr>
          <w:p w:rsidP="002D2971" w:rsidR="00C51B4E" w:rsidRDefault="00C51B4E" w:rsidRPr="0028293E">
            <w:pPr>
              <w:spacing w:line="360" w:lineRule="auto"/>
              <w:rPr>
                <w:rFonts w:eastAsiaTheme="minorEastAsia"/>
                <w:color w:themeColor="text1" w:val="000000"/>
                <w:sz w:val="24"/>
              </w:rPr>
            </w:pPr>
            <w:r w:rsidRPr="0028293E">
              <w:rPr>
                <w:rFonts w:eastAsiaTheme="minorEastAsia"/>
                <w:color w:themeColor="text1" w:val="000000"/>
                <w:sz w:val="24"/>
              </w:rPr>
              <w:t>合计</w:t>
            </w:r>
          </w:p>
        </w:tc>
        <w:tc>
          <w:tcPr>
            <w:tcW w:type="dxa" w:w="2552"/>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3,493,743,799.80</w:t>
            </w:r>
          </w:p>
        </w:tc>
        <w:tc>
          <w:tcPr>
            <w:tcW w:type="dxa" w:w="2801"/>
            <w:vAlign w:val="center"/>
          </w:tcPr>
          <w:p w:rsidP="002D2971" w:rsidR="00C51B4E" w:rsidRDefault="00C51B4E" w:rsidRPr="0028293E">
            <w:pPr>
              <w:spacing w:line="360" w:lineRule="auto"/>
              <w:jc w:val="right"/>
              <w:rPr>
                <w:rFonts w:eastAsiaTheme="minorEastAsia"/>
                <w:color w:themeColor="text1" w:val="000000"/>
                <w:sz w:val="24"/>
              </w:rPr>
            </w:pPr>
            <w:r w:rsidRPr="0028293E">
              <w:rPr>
                <w:rFonts w:eastAsiaTheme="minorEastAsia"/>
                <w:color w:themeColor="text1" w:val="000000"/>
                <w:sz w:val="24"/>
              </w:rPr>
              <w:t>100.00</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rFonts w:eastAsiaTheme="minorEastAsia"/>
          <w:b/>
          <w:color w:val="000000"/>
          <w:kern w:val="0"/>
          <w:sz w:val="24"/>
        </w:rPr>
      </w:pPr>
      <w:r w:rsidRPr="007F52FA">
        <w:rPr>
          <w:rFonts w:eastAsiaTheme="minorEastAsia"/>
          <w:b/>
          <w:color w:val="000000"/>
          <w:kern w:val="0"/>
          <w:sz w:val="24"/>
        </w:rPr>
        <w:t xml:space="preserve">5.2 </w:t>
      </w:r>
      <w:r w:rsidRPr="007F52FA">
        <w:rPr>
          <w:rFonts w:eastAsiaTheme="minorEastAsia"/>
          <w:b/>
          <w:color w:val="000000"/>
          <w:kern w:val="0"/>
          <w:sz w:val="24"/>
        </w:rPr>
        <w:t>报告期末按行业分类的股票投资组合</w:t>
      </w:r>
    </w:p>
    <w:p w:rsidP="001A5D39" w:rsidR="001A5D39" w:rsidRDefault="001A5D39">
      <w:pPr>
        <w:rPr>
          <w:rFonts w:eastAsiaTheme="minorEastAsia"/>
          <w:b/>
          <w:color w:themeColor="text1" w:val="000000"/>
          <w:kern w:val="0"/>
          <w:sz w:val="24"/>
        </w:rPr>
      </w:pPr>
      <w:r w:rsidRPr="004A3846">
        <w:rPr>
          <w:b/>
          <w:color w:themeColor="text1" w:val="000000"/>
          <w:sz w:val="24"/>
        </w:rPr>
        <w:t/>
      </w:r>
      <w:r w:rsidRPr="004A3846">
        <w:rPr>
          <w:rFonts w:eastAsiaTheme="minorEastAsia" w:hint="eastAsia"/>
          <w:b/>
          <w:color w:themeColor="text1" w:val="000000"/>
          <w:kern w:val="0"/>
          <w:sz w:val="24"/>
        </w:rPr>
        <w:t>5.2.1</w:t>
      </w:r>
      <w:r w:rsidRPr="004A3846">
        <w:rPr>
          <w:rFonts w:eastAsiaTheme="minorEastAsia" w:hint="eastAsia"/>
          <w:b/>
          <w:color w:themeColor="text1" w:val="000000"/>
          <w:kern w:val="0"/>
          <w:sz w:val="24"/>
        </w:rPr>
        <w:t>报告期末按行业分类的境内股票投资组合</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1A5D39" w:rsidR="001A5D39" w:rsidRDefault="001A5D39" w:rsidRPr="008A409E">
      <w:pPr>
        <w:jc w:val="left"/>
        <w:rPr>
          <w:rFonts w:asciiTheme="minorEastAsia" w:eastAsiaTheme="minorEastAsia" w:hAnsiTheme="minorEastAsia"/>
          <w:b/>
          <w:bCs/>
          <w:color w:themeColor="text1" w:val="000000"/>
          <w:kern w:val="0"/>
          <w:sz w:val="24"/>
        </w:rPr>
      </w:pPr>
      <w:r w:rsidRPr="008A409E">
        <w:rPr>
          <w:rFonts w:asciiTheme="minorEastAsia" w:eastAsiaTheme="minorEastAsia" w:hAnsiTheme="minorEastAsia"/>
          <w:b/>
          <w:bCs/>
          <w:color w:themeColor="text1" w:val="000000"/>
          <w:kern w:val="0"/>
          <w:sz w:val="24"/>
        </w:rPr>
        <w:t/>
      </w:r>
      <w:r w:rsidRPr="008A409E">
        <w:rPr>
          <w:rFonts w:asciiTheme="minorEastAsia" w:eastAsiaTheme="minorEastAsia" w:hAnsiTheme="minorEastAsia" w:hint="eastAsia"/>
          <w:b/>
          <w:bCs/>
          <w:color w:themeColor="text1" w:val="000000"/>
          <w:kern w:val="0"/>
          <w:sz w:val="24"/>
        </w:rPr>
        <w:t>5.2.2报告期末按行业分类的</w:t>
      </w:r>
      <w:r w:rsidR="00BE251D">
        <w:rPr>
          <w:rFonts w:asciiTheme="minorEastAsia" w:eastAsiaTheme="minorEastAsia" w:hAnsiTheme="minorEastAsia" w:hint="eastAsia"/>
          <w:b/>
          <w:bCs/>
          <w:color w:themeColor="text1" w:val="000000"/>
          <w:kern w:val="0"/>
          <w:sz w:val="24"/>
        </w:rPr>
        <w:t>港股通</w:t>
      </w:r>
      <w:r w:rsidRPr="008A409E">
        <w:rPr>
          <w:rFonts w:asciiTheme="minorEastAsia" w:eastAsiaTheme="minorEastAsia" w:hAnsiTheme="minorEastAsia" w:hint="eastAsia"/>
          <w:b/>
          <w:bCs/>
          <w:color w:themeColor="text1" w:val="000000"/>
          <w:kern w:val="0"/>
          <w:sz w:val="24"/>
        </w:rPr>
        <w:t>投资股票投资组合</w:t>
      </w:r>
    </w:p>
    <w:p w:rsidP="001A5D39" w:rsidR="001A5D39" w:rsidRDefault="001A5D39">
      <w:pPr>
        <w:spacing w:before="29" w:line="360" w:lineRule="auto"/>
        <w:ind w:left="17"/>
        <w:rPr>
          <w:color w:val="000000"/>
          <w:sz w:val="24"/>
        </w:rPr>
      </w:pPr>
      <w:r w:rsidRPr="00FF0BBF">
        <w:rPr>
          <w:color w:val="000000"/>
          <w:sz w:val="24"/>
        </w:rPr>
        <w:t>本基金本报告期末未持有通过港股通投资的股票。</w:t>
      </w:r>
    </w:p>
    <w:p w:rsidP="007C14DF" w:rsidR="009238DB" w:rsidRDefault="009238DB" w:rsidRPr="001A5D39">
      <w:pPr>
        <w:autoSpaceDE w:val="0"/>
        <w:autoSpaceDN w:val="0"/>
        <w:adjustRightInd w:val="0"/>
        <w:spacing w:before="29" w:line="288" w:lineRule="auto"/>
        <w:jc w:val="left"/>
        <w:rPr>
          <w:rFonts w:eastAsiaTheme="minorEastAsia"/>
          <w:color w:val="000000"/>
          <w:kern w:val="0"/>
          <w:sz w:val="24"/>
        </w:rPr>
      </w:pPr>
    </w:p>
    <w:p w:rsidP="007C14DF" w:rsidR="009238DB" w:rsidRDefault="009238DB" w:rsidRPr="007F52FA">
      <w:pPr>
        <w:autoSpaceDE w:val="0"/>
        <w:autoSpaceDN w:val="0"/>
        <w:adjustRightInd w:val="0"/>
        <w:spacing w:before="29" w:line="288" w:lineRule="auto"/>
        <w:jc w:val="left"/>
        <w:rPr>
          <w:b/>
          <w:color w:val="000000"/>
          <w:kern w:val="0"/>
          <w:sz w:val="24"/>
        </w:rPr>
      </w:pPr>
      <w:r w:rsidRPr="007F52FA">
        <w:rPr>
          <w:b/>
          <w:color w:val="000000"/>
          <w:kern w:val="0"/>
          <w:sz w:val="24"/>
        </w:rPr>
        <w:t xml:space="preserve">5.3 </w:t>
      </w:r>
      <w:r w:rsidRPr="007F52FA">
        <w:rPr>
          <w:b/>
          <w:color w:val="000000"/>
          <w:kern w:val="0"/>
          <w:sz w:val="24"/>
        </w:rPr>
        <w:t>报告期末按公允价值占基金资产净值比例大小排序的前十名股票投资明细</w:t>
      </w:r>
    </w:p>
    <w:p w:rsidP="007C14DF" w:rsidR="009238DB" w:rsidRDefault="000871DB" w:rsidRPr="007F52FA">
      <w:pPr>
        <w:autoSpaceDE w:val="0"/>
        <w:autoSpaceDN w:val="0"/>
        <w:adjustRightInd w:val="0"/>
        <w:spacing w:before="29" w:line="288" w:lineRule="auto"/>
        <w:jc w:val="left"/>
        <w:rPr>
          <w:color w:val="000000"/>
          <w:sz w:val="24"/>
        </w:rPr>
      </w:pPr>
      <w:r w:rsidRPr="007F52FA">
        <w:rPr>
          <w:color w:val="000000"/>
          <w:sz w:val="24"/>
        </w:rPr>
        <w:t>本基金本报告期末未持有股票。</w:t>
      </w:r>
    </w:p>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5.4 </w:t>
      </w:r>
      <w:r w:rsidRPr="007F52FA">
        <w:rPr>
          <w:b/>
          <w:color w:val="000000"/>
          <w:kern w:val="0"/>
          <w:sz w:val="24"/>
        </w:rPr>
        <w:t>报告期末按债券品种分类的债券投资组合</w:t>
      </w:r>
    </w:p>
    <w:p w:rsidP="001A5E45" w:rsidR="008220BF" w:rsidRDefault="001A5E45" w:rsidRPr="008220BF">
      <w:pPr>
        <w:autoSpaceDE w:val="0"/>
        <w:autoSpaceDN w:val="0"/>
        <w:adjustRightInd w:val="0"/>
        <w:spacing w:before="29" w:line="288" w:lineRule="auto"/>
        <w:jc w:val="right"/>
        <w:rPr>
          <w:color w:val="000000"/>
          <w:kern w:val="0"/>
          <w:sz w:val="24"/>
        </w:rPr>
      </w:pPr>
      <w:r w:rsidRPr="001A5E45">
        <w:rPr>
          <w:rFonts w:hint="eastAsia"/>
          <w:color w:val="000000"/>
          <w:kern w:val="0"/>
          <w:sz w:val="24"/>
        </w:rPr>
        <w:t/>
      </w:r>
      <w:r w:rsidRPr="001A5E45">
        <w:rPr>
          <w:rFonts w:hint="eastAsia"/>
          <w:color w:val="000000"/>
          <w:kern w:val="0"/>
          <w:sz w:val="24"/>
        </w:rPr>
        <w:t>金额单位：人民币元</w:t>
      </w:r>
    </w:p>
    <w:tbl>
      <w:tblPr>
        <w:tblW w:type="dxa" w:w="8868"/>
        <w:jc w:val="cente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850"/>
        <w:gridCol w:w="3390"/>
        <w:gridCol w:w="2948"/>
        <w:gridCol w:w="1680"/>
      </w:tblGrid>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序号</w:t>
            </w:r>
          </w:p>
        </w:tc>
        <w:tc>
          <w:tcPr>
            <w:tcW w:type="dxa" w:w="3260"/>
            <w:vAlign w:val="center"/>
          </w:tcPr>
          <w:p w:rsidP="007C14DF" w:rsidR="00296E4A" w:rsidRDefault="00296E4A" w:rsidRPr="007F52FA">
            <w:pPr>
              <w:spacing w:before="29" w:line="288" w:lineRule="auto"/>
              <w:ind w:left="17"/>
              <w:jc w:val="center"/>
              <w:rPr>
                <w:color w:val="000000"/>
                <w:sz w:val="24"/>
              </w:rPr>
            </w:pPr>
            <w:r w:rsidRPr="007F52FA">
              <w:rPr>
                <w:color w:val="000000"/>
                <w:sz w:val="24"/>
              </w:rPr>
              <w:t>债券品种</w:t>
            </w:r>
            <w:r w:rsidR="00EB58F5" w:rsidRPr="007F52FA">
              <w:rPr>
                <w:color w:val="000000"/>
                <w:sz w:val="24"/>
              </w:rPr>
              <w:t/>
            </w:r>
          </w:p>
        </w:tc>
        <w:tc>
          <w:tcPr>
            <w:tcW w:type="dxa" w:w="2835"/>
            <w:vAlign w:val="center"/>
          </w:tcPr>
          <w:p w:rsidP="007C14DF" w:rsidR="00296E4A" w:rsidRDefault="00296E4A" w:rsidRPr="007F52FA">
            <w:pPr>
              <w:spacing w:before="29" w:line="288" w:lineRule="auto"/>
              <w:ind w:left="17"/>
              <w:jc w:val="center"/>
              <w:rPr>
                <w:color w:val="000000"/>
                <w:sz w:val="24"/>
              </w:rPr>
            </w:pPr>
            <w:r w:rsidRPr="007F52FA">
              <w:rPr>
                <w:color w:val="000000"/>
                <w:sz w:val="24"/>
              </w:rPr>
              <w:t>公允价值</w:t>
            </w:r>
          </w:p>
        </w:tc>
        <w:tc>
          <w:tcPr>
            <w:tcW w:type="dxa" w:w="1616"/>
            <w:vAlign w:val="center"/>
          </w:tcPr>
          <w:p w:rsidP="007C14DF" w:rsidR="00296E4A" w:rsidRDefault="00296E4A" w:rsidRPr="007F52FA">
            <w:pPr>
              <w:spacing w:before="29" w:line="288" w:lineRule="auto"/>
              <w:ind w:left="17"/>
              <w:jc w:val="center"/>
              <w:rPr>
                <w:color w:val="000000"/>
                <w:sz w:val="24"/>
              </w:rPr>
            </w:pPr>
            <w:r w:rsidRPr="007F52FA">
              <w:rPr>
                <w:color w:val="000000"/>
                <w:sz w:val="24"/>
              </w:rPr>
              <w:t>占基金资产净值比例</w:t>
            </w:r>
            <w:r w:rsidR="00B44260" w:rsidRPr="007F52FA">
              <w:rPr>
                <w:sz w:val="24"/>
              </w:rPr>
              <w:t>（</w:t>
            </w:r>
            <w:r w:rsidRPr="007F52FA">
              <w:rPr>
                <w:color w:val="000000"/>
                <w:sz w:val="24"/>
              </w:rPr>
              <w:t>％</w:t>
            </w:r>
            <w:r w:rsidR="00B44260" w:rsidRPr="007F52FA">
              <w:rPr>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1</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国家债券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lastRenderedPageBreak/>
              <w:t/>
            </w:r>
            <w:r w:rsidRPr="007F52FA">
              <w:rPr>
                <w:color w:val="000000"/>
                <w:sz w:val="24"/>
              </w:rPr>
              <w:lastRenderedPageBreak/>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lastRenderedPageBreak/>
              <w:t>2</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央行票据</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3</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金融债券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1,151,143,000.00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33.08</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其中：政策性金融债</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440,488,000.00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12.66</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4</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企业债券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192,014,000.00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5.52</w:t>
            </w:r>
          </w:p>
        </w:tc>
      </w:tr>
      <w:tr w:rsidR="00296E4A" w:rsidRPr="007F52FA" w:rsidTr="000F7468">
        <w:trPr>
          <w:jc w:val="center"/>
        </w:trPr>
        <w:tc>
          <w:tcPr>
            <w:tcW w:type="dxa" w:w="817"/>
            <w:vAlign w:val="center"/>
          </w:tcPr>
          <w:p w:rsidP="007C14DF" w:rsidR="00296E4A" w:rsidRDefault="00296E4A" w:rsidRPr="007F52FA">
            <w:pPr>
              <w:spacing w:before="29" w:line="288" w:lineRule="auto"/>
              <w:ind w:left="17"/>
              <w:jc w:val="center"/>
              <w:rPr>
                <w:color w:val="000000"/>
                <w:sz w:val="24"/>
              </w:rPr>
            </w:pPr>
            <w:r w:rsidRPr="007F52FA">
              <w:rPr>
                <w:color w:val="000000"/>
                <w:sz w:val="24"/>
              </w:rPr>
              <w:t>5</w:t>
            </w:r>
          </w:p>
        </w:tc>
        <w:tc>
          <w:tcPr>
            <w:tcW w:type="dxa" w:w="3260"/>
            <w:vAlign w:val="center"/>
          </w:tcPr>
          <w:p w:rsidP="007C14DF" w:rsidR="00296E4A" w:rsidRDefault="00296E4A" w:rsidRPr="007F52FA">
            <w:pPr>
              <w:spacing w:before="29" w:line="288" w:lineRule="auto"/>
              <w:ind w:left="17"/>
              <w:jc w:val="left"/>
              <w:rPr>
                <w:color w:val="000000"/>
                <w:sz w:val="24"/>
              </w:rPr>
            </w:pPr>
            <w:r w:rsidRPr="007F52FA">
              <w:rPr>
                <w:color w:val="000000"/>
                <w:sz w:val="24"/>
              </w:rPr>
              <w:t>企业短期融资</w:t>
            </w:r>
            <w:r w:rsidR="00FA786F" w:rsidRPr="007F52FA">
              <w:rPr>
                <w:color w:val="000000"/>
                <w:sz w:val="24"/>
              </w:rPr>
              <w:t>券</w:t>
            </w:r>
          </w:p>
        </w:tc>
        <w:tc>
          <w:tcPr>
            <w:tcW w:type="dxa" w:w="2835"/>
            <w:vAlign w:val="center"/>
          </w:tcPr>
          <w:p w:rsidP="007C14DF" w:rsidR="00296E4A" w:rsidRDefault="00296E4A" w:rsidRPr="007F52FA">
            <w:pPr>
              <w:spacing w:before="29" w:line="288" w:lineRule="auto"/>
              <w:ind w:left="17"/>
              <w:jc w:val="right"/>
              <w:rPr>
                <w:color w:val="000000"/>
                <w:sz w:val="24"/>
              </w:rPr>
            </w:pPr>
            <w:r w:rsidRPr="007F52FA">
              <w:rPr>
                <w:color w:val="000000"/>
                <w:sz w:val="24"/>
              </w:rPr>
              <w:t>120,294,000.00</w:t>
            </w:r>
          </w:p>
        </w:tc>
        <w:tc>
          <w:tcPr>
            <w:tcW w:type="dxa" w:w="1616"/>
            <w:vAlign w:val="center"/>
          </w:tcPr>
          <w:p w:rsidP="007C14DF" w:rsidR="00296E4A" w:rsidRDefault="00296E4A" w:rsidRPr="007F52FA">
            <w:pPr>
              <w:spacing w:before="29" w:line="288" w:lineRule="auto"/>
              <w:ind w:left="17"/>
              <w:jc w:val="right"/>
              <w:rPr>
                <w:color w:val="000000"/>
                <w:sz w:val="24"/>
              </w:rPr>
            </w:pPr>
            <w:r w:rsidRPr="007F52FA">
              <w:rPr>
                <w:color w:val="000000"/>
                <w:sz w:val="24"/>
              </w:rPr>
              <w:t/>
            </w:r>
            <w:r w:rsidRPr="007F52FA">
              <w:rPr>
                <w:color w:val="000000"/>
                <w:sz w:val="24"/>
              </w:rPr>
              <w:lastRenderedPageBreak/>
              <w:t>3.46</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lastRenderedPageBreak/>
              <w:t>6</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中期票据</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1,668,312,000.00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47.94</w:t>
            </w:r>
          </w:p>
        </w:tc>
      </w:tr>
      <w:tr w:rsidR="00686943" w:rsidRPr="007F52FA" w:rsidTr="000F7468">
        <w:trPr>
          <w:jc w:val="center"/>
        </w:trPr>
        <w:tc>
          <w:tcPr>
            <w:tcW w:type="dxa" w:w="817"/>
            <w:vAlign w:val="center"/>
          </w:tcPr>
          <w:p w:rsidP="007C14DF" w:rsidR="00686943" w:rsidRDefault="00686943" w:rsidRPr="007F52FA">
            <w:pPr>
              <w:spacing w:before="29" w:line="288" w:lineRule="auto"/>
              <w:ind w:left="17"/>
              <w:jc w:val="center"/>
              <w:rPr>
                <w:color w:val="000000"/>
                <w:sz w:val="24"/>
              </w:rPr>
            </w:pPr>
            <w:r w:rsidRPr="007F52FA">
              <w:rPr>
                <w:color w:val="000000"/>
                <w:sz w:val="24"/>
              </w:rPr>
              <w:t>7</w:t>
            </w:r>
          </w:p>
        </w:tc>
        <w:tc>
          <w:tcPr>
            <w:tcW w:type="dxa" w:w="3260"/>
            <w:vAlign w:val="center"/>
          </w:tcPr>
          <w:p w:rsidP="007F50FB" w:rsidR="00686943" w:rsidRDefault="00686943" w:rsidRPr="007F52FA">
            <w:pPr>
              <w:spacing w:before="29" w:line="288" w:lineRule="auto"/>
              <w:ind w:left="17"/>
              <w:jc w:val="left"/>
              <w:rPr>
                <w:color w:val="000000"/>
                <w:sz w:val="24"/>
              </w:rPr>
            </w:pPr>
            <w:r w:rsidRPr="007F52FA">
              <w:rPr>
                <w:color w:val="000000"/>
                <w:sz w:val="24"/>
              </w:rPr>
              <w:t>可转债</w:t>
            </w:r>
            <w:r w:rsidR="007F50FB" w:rsidRPr="007F52FA">
              <w:rPr>
                <w:sz w:val="24"/>
              </w:rPr>
              <w:t>（</w:t>
            </w:r>
            <w:r w:rsidR="007F50FB">
              <w:rPr>
                <w:rFonts w:hint="eastAsia"/>
                <w:sz w:val="24"/>
              </w:rPr>
              <w:t>可交换债</w:t>
            </w:r>
            <w:r w:rsidR="007F50FB" w:rsidRPr="007F52FA">
              <w:rPr>
                <w:sz w:val="24"/>
              </w:rPr>
              <w:t>）</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514118" w:rsidRPr="007F52FA" w:rsidTr="000F7468">
        <w:trPr>
          <w:jc w:val="center"/>
        </w:trPr>
        <w:tc>
          <w:tcPr>
            <w:tcW w:type="dxa" w:w="817"/>
            <w:vAlign w:val="center"/>
          </w:tcPr>
          <w:p w:rsidP="007C14DF" w:rsidR="00514118" w:rsidRDefault="00514118" w:rsidRPr="007F52FA">
            <w:pPr>
              <w:spacing w:before="29" w:line="288" w:lineRule="auto"/>
              <w:ind w:left="17"/>
              <w:jc w:val="center"/>
              <w:rPr>
                <w:color w:val="000000"/>
                <w:sz w:val="24"/>
              </w:rPr>
            </w:pPr>
            <w:r>
              <w:rPr>
                <w:rFonts w:hint="eastAsia"/>
                <w:color w:val="000000"/>
                <w:sz w:val="24"/>
              </w:rPr>
              <w:t>8</w:t>
            </w:r>
          </w:p>
        </w:tc>
        <w:tc>
          <w:tcPr>
            <w:tcW w:type="dxa" w:w="3260"/>
            <w:vAlign w:val="center"/>
          </w:tcPr>
          <w:p w:rsidP="007C14DF" w:rsidR="00514118" w:rsidRDefault="00B279B6" w:rsidRPr="007F52FA">
            <w:pPr>
              <w:spacing w:before="29" w:line="288" w:lineRule="auto"/>
              <w:ind w:left="17"/>
              <w:jc w:val="left"/>
              <w:rPr>
                <w:color w:val="000000"/>
                <w:sz w:val="24"/>
              </w:rPr>
            </w:pPr>
            <w:r w:rsidRPr="00AF0CAB">
              <w:rPr>
                <w:rFonts w:hint="eastAsia"/>
                <w:color w:val="000000"/>
                <w:sz w:val="24"/>
              </w:rPr>
              <w:t>同业存单</w:t>
            </w:r>
          </w:p>
        </w:tc>
        <w:tc>
          <w:tcPr>
            <w:tcW w:type="dxa" w:w="2835"/>
            <w:vAlign w:val="center"/>
          </w:tcPr>
          <w:p w:rsidP="007C14DF" w:rsidR="00514118" w:rsidRDefault="001936D7"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293,040,000.00</w:t>
            </w:r>
          </w:p>
        </w:tc>
        <w:tc>
          <w:tcPr>
            <w:tcW w:type="dxa" w:w="1616"/>
            <w:vAlign w:val="center"/>
          </w:tcPr>
          <w:p w:rsidP="007C14DF" w:rsidR="00514118" w:rsidRDefault="00FC6F53" w:rsidRPr="007F52FA">
            <w:pPr>
              <w:spacing w:before="29" w:line="288" w:lineRule="auto"/>
              <w:ind w:left="17"/>
              <w:jc w:val="right"/>
              <w:rPr>
                <w:color w:val="000000"/>
                <w:sz w:val="24"/>
              </w:rPr>
            </w:pPr>
            <w:r w:rsidRPr="00AF0CAB">
              <w:rPr>
                <w:rFonts w:hint="eastAsia"/>
                <w:color w:val="000000"/>
                <w:sz w:val="24"/>
              </w:rPr>
              <w:t/>
            </w:r>
            <w:r w:rsidRPr="00AF0CAB">
              <w:rPr>
                <w:color w:val="000000"/>
                <w:sz w:val="24"/>
              </w:rPr>
              <w:t/>
            </w:r>
            <w:r w:rsidRPr="00AF0CAB">
              <w:rPr>
                <w:rFonts w:hint="eastAsia"/>
                <w:color w:val="000000"/>
                <w:sz w:val="24"/>
              </w:rPr>
              <w:t>8.42</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9</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其他</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w:t>
            </w:r>
          </w:p>
        </w:tc>
      </w:tr>
      <w:tr w:rsidR="00686943" w:rsidRPr="007F52FA" w:rsidTr="000F7468">
        <w:trPr>
          <w:jc w:val="center"/>
        </w:trPr>
        <w:tc>
          <w:tcPr>
            <w:tcW w:type="dxa" w:w="817"/>
            <w:vAlign w:val="center"/>
          </w:tcPr>
          <w:p w:rsidP="00CB375E" w:rsidR="00686943" w:rsidRDefault="00686943" w:rsidRPr="007F52FA">
            <w:pPr>
              <w:spacing w:before="29" w:line="288" w:lineRule="auto"/>
              <w:ind w:left="17"/>
              <w:jc w:val="center"/>
              <w:rPr>
                <w:color w:val="000000"/>
                <w:sz w:val="24"/>
              </w:rPr>
            </w:pPr>
            <w:r w:rsidRPr="007F52FA">
              <w:rPr>
                <w:color w:val="000000"/>
                <w:sz w:val="24"/>
              </w:rPr>
              <w:t/>
            </w:r>
            <w:r w:rsidR="00CB375E">
              <w:rPr>
                <w:rFonts w:hint="eastAsia"/>
                <w:color w:val="000000"/>
                <w:sz w:val="24"/>
              </w:rPr>
              <w:t/>
            </w:r>
            <w:r w:rsidRPr="007F52FA">
              <w:rPr>
                <w:color w:val="000000"/>
                <w:sz w:val="24"/>
              </w:rPr>
              <w:t>10</w:t>
            </w:r>
          </w:p>
        </w:tc>
        <w:tc>
          <w:tcPr>
            <w:tcW w:type="dxa" w:w="3260"/>
            <w:vAlign w:val="center"/>
          </w:tcPr>
          <w:p w:rsidP="007C14DF" w:rsidR="00686943" w:rsidRDefault="00686943" w:rsidRPr="007F52FA">
            <w:pPr>
              <w:spacing w:before="29" w:line="288" w:lineRule="auto"/>
              <w:ind w:left="17"/>
              <w:jc w:val="left"/>
              <w:rPr>
                <w:color w:val="000000"/>
                <w:sz w:val="24"/>
              </w:rPr>
            </w:pPr>
            <w:r w:rsidRPr="007F52FA">
              <w:rPr>
                <w:color w:val="000000"/>
                <w:sz w:val="24"/>
              </w:rPr>
              <w:t>合计</w:t>
            </w:r>
          </w:p>
        </w:tc>
        <w:tc>
          <w:tcPr>
            <w:tcW w:type="dxa" w:w="2835"/>
            <w:vAlign w:val="center"/>
          </w:tcPr>
          <w:p w:rsidP="007C14DF" w:rsidR="00686943" w:rsidRDefault="00686943" w:rsidRPr="007F52FA">
            <w:pPr>
              <w:spacing w:before="29" w:line="288" w:lineRule="auto"/>
              <w:ind w:left="17"/>
              <w:jc w:val="right"/>
              <w:rPr>
                <w:color w:val="000000"/>
                <w:sz w:val="24"/>
              </w:rPr>
            </w:pPr>
            <w:r w:rsidRPr="007F52FA">
              <w:rPr>
                <w:color w:val="000000"/>
                <w:sz w:val="24"/>
              </w:rPr>
              <w:t>3,424,803,000.00</w:t>
            </w:r>
          </w:p>
        </w:tc>
        <w:tc>
          <w:tcPr>
            <w:tcW w:type="dxa" w:w="1616"/>
            <w:vAlign w:val="center"/>
          </w:tcPr>
          <w:p w:rsidP="007C14DF" w:rsidR="00686943" w:rsidRDefault="00686943" w:rsidRPr="007F52FA">
            <w:pPr>
              <w:spacing w:before="29" w:line="288" w:lineRule="auto"/>
              <w:ind w:left="17"/>
              <w:jc w:val="right"/>
              <w:rPr>
                <w:color w:val="000000"/>
                <w:sz w:val="24"/>
              </w:rPr>
            </w:pPr>
            <w:r w:rsidRPr="007F52FA">
              <w:rPr>
                <w:color w:val="000000"/>
                <w:sz w:val="24"/>
              </w:rPr>
              <w:t>98.41</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 xml:space="preserve">5.5 </w:t>
      </w:r>
      <w:r w:rsidR="005C47D0" w:rsidRPr="007F52FA">
        <w:rPr>
          <w:b/>
          <w:color w:val="000000"/>
          <w:kern w:val="0"/>
          <w:sz w:val="24"/>
        </w:rPr>
        <w:t>报告期末按公允价值占基金资产净值比例大小排序</w:t>
      </w:r>
      <w:r w:rsidRPr="007F52FA">
        <w:rPr>
          <w:b/>
          <w:color w:val="000000"/>
          <w:kern w:val="0"/>
          <w:sz w:val="24"/>
        </w:rPr>
        <w:t>的前五名债券投资明细</w:t>
      </w:r>
    </w:p>
    <w:p w:rsidP="001A5E45" w:rsidR="00D21CE9" w:rsidRDefault="001A5E45" w:rsidRPr="00D21CE9">
      <w:pPr>
        <w:autoSpaceDE w:val="0"/>
        <w:autoSpaceDN w:val="0"/>
        <w:adjustRightInd w:val="0"/>
        <w:spacing w:before="29" w:line="288" w:lineRule="auto"/>
        <w:jc w:val="right"/>
        <w:rPr>
          <w:color w:val="000000"/>
          <w:kern w:val="0"/>
          <w:sz w:val="24"/>
        </w:rPr>
      </w:pPr>
      <w:r w:rsidRPr="001A5E45">
        <w:rPr>
          <w:rFonts w:hint="eastAsia"/>
          <w:color w:val="000000"/>
          <w:kern w:val="0"/>
          <w:sz w:val="24"/>
        </w:rPr>
        <w:lastRenderedPageBreak/>
        <w:t/>
      </w:r>
      <w:r w:rsidRPr="001A5E45">
        <w:rPr>
          <w:rFonts w:hint="eastAsia"/>
          <w:color w:val="000000"/>
          <w:kern w:val="0"/>
          <w:sz w:val="24"/>
        </w:rPr>
        <w:t>金额单位：人民币元</w:t>
      </w:r>
    </w:p>
    <w:tbl>
      <w:tblPr>
        <w:tblStyle w:val="af2"/>
        <w:tblW w:type="dxa" w:w="8868"/>
        <w:jc w:val="center"/>
        <w:tblLayout w:type="fixed"/>
        <w:tblCellMar>
          <w:top w:type="dxa" w:w="57"/>
          <w:bottom w:type="dxa" w:w="57"/>
        </w:tblCellMar>
        <w:tblLook w:firstColumn="1" w:firstRow="1" w:lastColumn="0" w:lastRow="0" w:noHBand="0" w:noVBand="1" w:val="04A0"/>
      </w:tblPr>
      <w:tblGrid>
        <w:gridCol w:w="1075"/>
        <w:gridCol w:w="1533"/>
        <w:gridCol w:w="1533"/>
        <w:gridCol w:w="1394"/>
        <w:gridCol w:w="1944"/>
        <w:gridCol w:w="1389"/>
      </w:tblGrid>
      <w:tr w:rsidR="00685FFC" w:rsidRPr="007F52FA" w:rsidTr="00B236A5">
        <w:trPr>
          <w:jc w:val="center"/>
        </w:trPr>
        <w:tc>
          <w:tcPr>
            <w:tcW w:type="dxa" w:w="109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债券代码</w:t>
            </w:r>
          </w:p>
        </w:tc>
        <w:tc>
          <w:tcPr>
            <w:tcW w:type="dxa" w:w="156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债券名称</w:t>
            </w:r>
          </w:p>
        </w:tc>
        <w:tc>
          <w:tcPr>
            <w:tcW w:type="dxa" w:w="1420"/>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D0316E" w:rsidRPr="007F52FA">
              <w:rPr>
                <w:sz w:val="24"/>
              </w:rPr>
              <w:t>（</w:t>
            </w:r>
            <w:r w:rsidRPr="007F52FA">
              <w:rPr>
                <w:color w:val="000000"/>
                <w:kern w:val="0"/>
                <w:sz w:val="24"/>
              </w:rPr>
              <w:t>张</w:t>
            </w:r>
            <w:r w:rsidR="006314E0" w:rsidRPr="007F52FA">
              <w:rPr>
                <w:color w:val="000000"/>
                <w:kern w:val="0"/>
                <w:sz w:val="24"/>
              </w:rPr>
              <w:t>）</w:t>
            </w:r>
          </w:p>
        </w:tc>
        <w:tc>
          <w:tcPr>
            <w:tcW w:type="dxa" w:w="1982"/>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p>
        </w:tc>
        <w:tc>
          <w:tcPr>
            <w:tcW w:type="dxa" w:w="1415"/>
            <w:vAlign w:val="center"/>
          </w:tcPr>
          <w:p w:rsidP="007C14DF" w:rsidR="00685FFC" w:rsidRDefault="00685FFC"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占基金资产净值比</w:t>
            </w:r>
            <w:r w:rsidR="00334656" w:rsidRPr="007F52FA">
              <w:rPr>
                <w:color w:val="000000"/>
                <w:kern w:val="0"/>
                <w:sz w:val="24"/>
              </w:rPr>
              <w:t>例</w:t>
            </w:r>
            <w:r w:rsidRPr="007F52FA">
              <w:rPr>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110207</w:t>
            </w:r>
          </w:p>
        </w:tc>
        <w:tc>
          <w:tcPr>
            <w:vAlign w:val="center"/>
          </w:tcPr>
          <w:p>
            <w:pPr>
              <w:jc w:val="center"/>
            </w:pPr>
            <w:r>
              <w:rPr>
                <w:color w:val="000000"/>
                <w:sz w:val="24"/>
              </w:rPr>
              <w:t>11国开07</w:t>
            </w:r>
          </w:p>
        </w:tc>
        <w:tc>
          <w:tcPr>
            <w:vAlign w:val="center"/>
          </w:tcPr>
          <w:p>
            <w:pPr>
              <w:jc w:val="right"/>
            </w:pPr>
            <w:r>
              <w:rPr>
                <w:color w:val="000000"/>
                <w:sz w:val="24"/>
              </w:rPr>
              <w:t>4,000,000</w:t>
            </w:r>
          </w:p>
        </w:tc>
        <w:tc>
          <w:tcPr>
            <w:vAlign w:val="center"/>
          </w:tcPr>
          <w:p>
            <w:pPr>
              <w:jc w:val="right"/>
            </w:pPr>
            <w:r>
              <w:rPr>
                <w:color w:val="000000"/>
                <w:sz w:val="24"/>
              </w:rPr>
              <w:t>399,320,000.00</w:t>
            </w:r>
          </w:p>
        </w:tc>
        <w:tc>
          <w:tcPr>
            <w:vAlign w:val="center"/>
          </w:tcPr>
          <w:p>
            <w:pPr>
              <w:jc w:val="right"/>
            </w:pPr>
            <w:r>
              <w:rPr>
                <w:color w:val="000000"/>
                <w:sz w:val="24"/>
              </w:rPr>
              <w:t>11.47</w:t>
            </w:r>
          </w:p>
        </w:tc>
      </w:tr>
      <w:tr>
        <w:tc>
          <w:tcPr>
            <w:vAlign w:val="center"/>
          </w:tcPr>
          <w:p>
            <w:pPr>
              <w:jc w:val="center"/>
            </w:pPr>
            <w:r>
              <w:rPr>
                <w:color w:val="000000"/>
                <w:sz w:val="24"/>
              </w:rPr>
              <w:t>2</w:t>
            </w:r>
          </w:p>
        </w:tc>
        <w:tc>
          <w:tcPr>
            <w:vAlign w:val="center"/>
          </w:tcPr>
          <w:p>
            <w:pPr>
              <w:jc w:val="center"/>
            </w:pPr>
            <w:r>
              <w:rPr>
                <w:color w:val="000000"/>
                <w:sz w:val="24"/>
              </w:rPr>
              <w:t>091701002</w:t>
            </w:r>
          </w:p>
        </w:tc>
        <w:tc>
          <w:tcPr>
            <w:vAlign w:val="center"/>
          </w:tcPr>
          <w:p>
            <w:pPr>
              <w:jc w:val="center"/>
            </w:pPr>
            <w:r>
              <w:rPr>
                <w:color w:val="000000"/>
                <w:sz w:val="24"/>
              </w:rPr>
              <w:t>17中国信达债02</w:t>
            </w:r>
          </w:p>
        </w:tc>
        <w:tc>
          <w:tcPr>
            <w:vAlign w:val="center"/>
          </w:tcPr>
          <w:p>
            <w:pPr>
              <w:jc w:val="right"/>
            </w:pPr>
            <w:r>
              <w:rPr>
                <w:color w:val="000000"/>
                <w:sz w:val="24"/>
              </w:rPr>
              <w:t>3,000,000</w:t>
            </w:r>
          </w:p>
        </w:tc>
        <w:tc>
          <w:tcPr>
            <w:vAlign w:val="center"/>
          </w:tcPr>
          <w:p>
            <w:pPr>
              <w:jc w:val="right"/>
            </w:pPr>
            <w:r>
              <w:rPr>
                <w:color w:val="000000"/>
                <w:sz w:val="24"/>
              </w:rPr>
              <w:t>305,580,000.00</w:t>
            </w:r>
          </w:p>
        </w:tc>
        <w:tc>
          <w:tcPr>
            <w:vAlign w:val="center"/>
          </w:tcPr>
          <w:p>
            <w:pPr>
              <w:jc w:val="right"/>
            </w:pPr>
            <w:r>
              <w:rPr>
                <w:color w:val="000000"/>
                <w:sz w:val="24"/>
              </w:rPr>
              <w:t>8.78</w:t>
            </w:r>
          </w:p>
        </w:tc>
      </w:tr>
      <w:tr>
        <w:tc>
          <w:tcPr>
            <w:vAlign w:val="center"/>
          </w:tcPr>
          <w:p>
            <w:pPr>
              <w:jc w:val="center"/>
            </w:pPr>
            <w:r>
              <w:rPr>
                <w:color w:val="000000"/>
                <w:sz w:val="24"/>
              </w:rPr>
              <w:t>3</w:t>
            </w:r>
          </w:p>
        </w:tc>
        <w:tc>
          <w:tcPr>
            <w:vAlign w:val="center"/>
          </w:tcPr>
          <w:p>
            <w:pPr>
              <w:jc w:val="center"/>
            </w:pPr>
            <w:r>
              <w:rPr>
                <w:color w:val="000000"/>
                <w:sz w:val="24"/>
              </w:rPr>
              <w:t>112018107</w:t>
            </w:r>
          </w:p>
        </w:tc>
        <w:tc>
          <w:tcPr>
            <w:vAlign w:val="center"/>
          </w:tcPr>
          <w:p>
            <w:pPr>
              <w:jc w:val="center"/>
            </w:pPr>
            <w:r>
              <w:rPr>
                <w:color w:val="000000"/>
                <w:sz w:val="24"/>
              </w:rPr>
              <w:t>20华夏银行CD107</w:t>
            </w:r>
          </w:p>
        </w:tc>
        <w:tc>
          <w:tcPr>
            <w:vAlign w:val="center"/>
          </w:tcPr>
          <w:p>
            <w:pPr>
              <w:jc w:val="right"/>
            </w:pPr>
            <w:r>
              <w:rPr>
                <w:color w:val="000000"/>
                <w:sz w:val="24"/>
              </w:rPr>
              <w:t>3,000,000</w:t>
            </w:r>
          </w:p>
        </w:tc>
        <w:tc>
          <w:tcPr>
            <w:vAlign w:val="center"/>
          </w:tcPr>
          <w:p>
            <w:pPr>
              <w:jc w:val="right"/>
            </w:pPr>
            <w:r>
              <w:rPr>
                <w:color w:val="000000"/>
                <w:sz w:val="24"/>
              </w:rPr>
              <w:t>293,040,000.00</w:t>
            </w:r>
          </w:p>
        </w:tc>
        <w:tc>
          <w:tcPr>
            <w:vAlign w:val="center"/>
          </w:tcPr>
          <w:p>
            <w:pPr>
              <w:jc w:val="right"/>
            </w:pPr>
            <w:r>
              <w:rPr>
                <w:color w:val="000000"/>
                <w:sz w:val="24"/>
              </w:rPr>
              <w:t>8.42</w:t>
            </w:r>
          </w:p>
        </w:tc>
      </w:tr>
      <w:tr>
        <w:tc>
          <w:tcPr>
            <w:vAlign w:val="center"/>
          </w:tcPr>
          <w:p>
            <w:pPr>
              <w:jc w:val="center"/>
            </w:pPr>
            <w:r>
              <w:rPr>
                <w:color w:val="000000"/>
                <w:sz w:val="24"/>
              </w:rPr>
              <w:t>4</w:t>
            </w:r>
          </w:p>
        </w:tc>
        <w:tc>
          <w:tcPr>
            <w:vAlign w:val="center"/>
          </w:tcPr>
          <w:p>
            <w:pPr>
              <w:jc w:val="center"/>
            </w:pPr>
            <w:r>
              <w:rPr>
                <w:color w:val="000000"/>
                <w:sz w:val="24"/>
              </w:rPr>
              <w:t>101652017</w:t>
            </w:r>
          </w:p>
        </w:tc>
        <w:tc>
          <w:tcPr>
            <w:vAlign w:val="center"/>
          </w:tcPr>
          <w:p>
            <w:pPr>
              <w:jc w:val="center"/>
            </w:pPr>
            <w:r>
              <w:rPr>
                <w:color w:val="000000"/>
                <w:sz w:val="24"/>
              </w:rPr>
              <w:t>16首旅MTN001</w:t>
            </w:r>
          </w:p>
        </w:tc>
        <w:tc>
          <w:tcPr>
            <w:vAlign w:val="center"/>
          </w:tcPr>
          <w:p>
            <w:pPr>
              <w:jc w:val="right"/>
            </w:pPr>
            <w:r>
              <w:rPr>
                <w:color w:val="000000"/>
                <w:sz w:val="24"/>
              </w:rPr>
              <w:t>2,400,000</w:t>
            </w:r>
          </w:p>
        </w:tc>
        <w:tc>
          <w:tcPr>
            <w:vAlign w:val="center"/>
          </w:tcPr>
          <w:p>
            <w:pPr>
              <w:jc w:val="right"/>
            </w:pPr>
            <w:r>
              <w:rPr>
                <w:color w:val="000000"/>
                <w:sz w:val="24"/>
              </w:rPr>
              <w:t>241,248,000.00</w:t>
            </w:r>
          </w:p>
        </w:tc>
        <w:tc>
          <w:tcPr>
            <w:vAlign w:val="center"/>
          </w:tcPr>
          <w:p>
            <w:pPr>
              <w:jc w:val="right"/>
            </w:pPr>
            <w:r>
              <w:rPr>
                <w:color w:val="000000"/>
                <w:sz w:val="24"/>
              </w:rPr>
              <w:t>6.93</w:t>
            </w:r>
          </w:p>
        </w:tc>
      </w:tr>
      <w:tr>
        <w:tc>
          <w:tcPr>
            <w:vAlign w:val="center"/>
          </w:tcPr>
          <w:p>
            <w:pPr>
              <w:jc w:val="center"/>
            </w:pPr>
            <w:r>
              <w:rPr>
                <w:color w:val="000000"/>
                <w:sz w:val="24"/>
              </w:rPr>
              <w:t>5</w:t>
            </w:r>
          </w:p>
        </w:tc>
        <w:tc>
          <w:tcPr>
            <w:vAlign w:val="center"/>
          </w:tcPr>
          <w:p>
            <w:pPr>
              <w:jc w:val="center"/>
            </w:pPr>
            <w:r>
              <w:rPr>
                <w:color w:val="000000"/>
                <w:sz w:val="24"/>
              </w:rPr>
              <w:t>101801335</w:t>
            </w:r>
          </w:p>
        </w:tc>
        <w:tc>
          <w:tcPr>
            <w:vAlign w:val="center"/>
          </w:tcPr>
          <w:p>
            <w:pPr>
              <w:jc w:val="center"/>
            </w:pPr>
            <w:r>
              <w:rPr>
                <w:color w:val="000000"/>
                <w:sz w:val="24"/>
              </w:rPr>
              <w:t>18浙交投MTN001</w:t>
            </w:r>
          </w:p>
        </w:tc>
        <w:tc>
          <w:tcPr>
            <w:vAlign w:val="center"/>
          </w:tcPr>
          <w:p>
            <w:pPr>
              <w:jc w:val="right"/>
            </w:pPr>
            <w:r>
              <w:rPr>
                <w:color w:val="000000"/>
                <w:sz w:val="24"/>
              </w:rPr>
              <w:t>2,000,000</w:t>
            </w:r>
          </w:p>
        </w:tc>
        <w:tc>
          <w:tcPr>
            <w:vAlign w:val="center"/>
          </w:tcPr>
          <w:p>
            <w:pPr>
              <w:jc w:val="right"/>
            </w:pPr>
            <w:r>
              <w:rPr>
                <w:color w:val="000000"/>
                <w:sz w:val="24"/>
              </w:rPr>
              <w:t>202,740,000.00</w:t>
            </w:r>
          </w:p>
        </w:tc>
        <w:tc>
          <w:tcPr>
            <w:vAlign w:val="center"/>
          </w:tcPr>
          <w:p>
            <w:pPr>
              <w:jc w:val="right"/>
            </w:pPr>
            <w:r>
              <w:rPr>
                <w:color w:val="000000"/>
                <w:sz w:val="24"/>
              </w:rPr>
              <w:t>5.83</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9238DB">
      <w:pPr>
        <w:autoSpaceDE w:val="0"/>
        <w:autoSpaceDN w:val="0"/>
        <w:adjustRightInd w:val="0"/>
        <w:spacing w:before="29" w:line="288" w:lineRule="auto"/>
        <w:jc w:val="left"/>
        <w:rPr>
          <w:b/>
          <w:color w:val="000000"/>
          <w:kern w:val="0"/>
          <w:sz w:val="24"/>
        </w:rPr>
      </w:pPr>
      <w:r w:rsidRPr="007F52FA">
        <w:rPr>
          <w:b/>
          <w:color w:val="000000"/>
          <w:kern w:val="0"/>
          <w:sz w:val="24"/>
        </w:rPr>
        <w:t>5.6</w:t>
      </w:r>
      <w:r w:rsidRPr="007F52FA">
        <w:rPr>
          <w:b/>
          <w:color w:val="000000"/>
          <w:kern w:val="0"/>
          <w:sz w:val="24"/>
        </w:rPr>
        <w:t xml:space="preserve">　报告期末按公允价值占基金资产净值比例大小排</w:t>
      </w:r>
      <w:r w:rsidR="005C47D0" w:rsidRPr="007F52FA">
        <w:rPr>
          <w:b/>
          <w:color w:val="000000"/>
          <w:kern w:val="0"/>
          <w:sz w:val="24"/>
        </w:rPr>
        <w:t>序</w:t>
      </w:r>
      <w:r w:rsidRPr="007F52FA">
        <w:rPr>
          <w:b/>
          <w:color w:val="000000"/>
          <w:kern w:val="0"/>
          <w:sz w:val="24"/>
        </w:rPr>
        <w:t>的前十名资产支持证券投资明细</w:t>
      </w:r>
    </w:p>
    <w:p w:rsidP="00085115" w:rsidR="00085115" w:rsidRDefault="00085115" w:rsidRPr="00085115">
      <w:pPr>
        <w:autoSpaceDE w:val="0"/>
        <w:autoSpaceDN w:val="0"/>
        <w:adjustRightInd w:val="0"/>
        <w:spacing w:before="29" w:line="288" w:lineRule="auto"/>
        <w:jc w:val="right"/>
        <w:rPr>
          <w:color w:val="000000"/>
          <w:kern w:val="0"/>
          <w:sz w:val="24"/>
        </w:rPr>
      </w:pPr>
      <w:r w:rsidRPr="00085115">
        <w:rPr>
          <w:rFonts w:hint="eastAsia"/>
          <w:color w:val="000000"/>
          <w:kern w:val="0"/>
          <w:sz w:val="24"/>
        </w:rPr>
        <w:t/>
      </w:r>
      <w:r w:rsidRPr="00085115">
        <w:rPr>
          <w:rFonts w:hint="eastAsia"/>
          <w:color w:val="000000"/>
          <w:kern w:val="0"/>
          <w:sz w:val="24"/>
        </w:rPr>
        <w:t>金额单位：人民币元</w:t>
      </w:r>
    </w:p>
    <w:tbl>
      <w:tblPr>
        <w:tblStyle w:val="af2"/>
        <w:tblW w:type="dxa" w:w="8868"/>
        <w:jc w:val="center"/>
        <w:tblCellMar>
          <w:top w:type="dxa" w:w="57"/>
          <w:bottom w:type="dxa" w:w="57"/>
        </w:tblCellMar>
        <w:tblLook w:firstColumn="1" w:firstRow="1" w:lastColumn="0" w:lastRow="0" w:noHBand="0" w:noVBand="1" w:val="04A0"/>
      </w:tblPr>
      <w:tblGrid>
        <w:gridCol w:w="1491"/>
        <w:gridCol w:w="1491"/>
        <w:gridCol w:w="1491"/>
        <w:gridCol w:w="1599"/>
        <w:gridCol w:w="1599"/>
        <w:gridCol w:w="1571"/>
      </w:tblGrid>
      <w:tr w:rsidR="009A0513" w:rsidRPr="007F52FA" w:rsidTr="00B236A5">
        <w:trPr>
          <w:jc w:val="center"/>
        </w:trPr>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序号</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证券代码</w:t>
            </w:r>
          </w:p>
        </w:tc>
        <w:tc>
          <w:tcPr>
            <w:tcW w:type="dxa" w:w="1504"/>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证券名称</w:t>
            </w:r>
          </w:p>
        </w:tc>
        <w:tc>
          <w:tcPr>
            <w:tcW w:type="dxa" w:w="1503"/>
            <w:vAlign w:val="center"/>
          </w:tcPr>
          <w:p w:rsidP="005324E6"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数量</w:t>
            </w:r>
            <w:r w:rsidR="001315E1">
              <w:rPr>
                <w:rFonts w:hint="eastAsia"/>
                <w:color w:val="000000"/>
                <w:kern w:val="0"/>
                <w:sz w:val="24"/>
              </w:rPr>
              <w:t>(</w:t>
            </w:r>
            <w:r w:rsidR="001315E1">
              <w:rPr>
                <w:rFonts w:hint="eastAsia"/>
                <w:color w:val="000000"/>
                <w:kern w:val="0"/>
                <w:sz w:val="24"/>
              </w:rPr>
              <w:t>份</w:t>
            </w:r>
            <w:r w:rsidR="001315E1">
              <w:rPr>
                <w:rFonts w:hint="eastAsia"/>
                <w:color w:val="000000"/>
                <w:kern w:val="0"/>
                <w:sz w:val="24"/>
              </w:rPr>
              <w:t>)</w:t>
            </w:r>
          </w:p>
        </w:tc>
        <w:tc>
          <w:tcPr>
            <w:tcW w:type="dxa" w:w="1503"/>
            <w:vAlign w:val="center"/>
          </w:tcPr>
          <w:p w:rsidP="00430A5C"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公允价值</w:t>
            </w:r>
            <w:r w:rsidR="00430A5C">
              <w:rPr>
                <w:rFonts w:hint="eastAsia"/>
                <w:color w:val="000000"/>
                <w:kern w:val="0"/>
                <w:sz w:val="24"/>
              </w:rPr>
              <w:t>(</w:t>
            </w:r>
            <w:r w:rsidR="00430A5C">
              <w:rPr>
                <w:rFonts w:hint="eastAsia"/>
                <w:color w:val="000000"/>
                <w:kern w:val="0"/>
                <w:sz w:val="24"/>
              </w:rPr>
              <w:t>元</w:t>
            </w:r>
            <w:r w:rsidR="00430A5C">
              <w:rPr>
                <w:color w:val="000000"/>
                <w:kern w:val="0"/>
                <w:sz w:val="24"/>
              </w:rPr>
              <w:t>)</w:t>
            </w:r>
          </w:p>
        </w:tc>
        <w:tc>
          <w:tcPr>
            <w:tcW w:type="dxa" w:w="1503"/>
            <w:vAlign w:val="center"/>
          </w:tcPr>
          <w:p w:rsidP="007C14DF" w:rsidR="009A0513" w:rsidRDefault="009A0513" w:rsidRPr="007F52FA">
            <w:pPr>
              <w:autoSpaceDE w:val="0"/>
              <w:autoSpaceDN w:val="0"/>
              <w:adjustRightInd w:val="0"/>
              <w:spacing w:before="29" w:line="288" w:lineRule="auto"/>
              <w:ind w:left="15"/>
              <w:jc w:val="center"/>
              <w:rPr>
                <w:color w:val="000000"/>
                <w:kern w:val="0"/>
                <w:sz w:val="24"/>
              </w:rPr>
            </w:pPr>
            <w:r w:rsidRPr="007F52FA">
              <w:rPr>
                <w:color w:val="000000"/>
                <w:kern w:val="0"/>
                <w:sz w:val="24"/>
              </w:rPr>
              <w:t>占基金资产净值</w:t>
            </w:r>
            <w:r w:rsidR="00E412F2">
              <w:rPr>
                <w:rFonts w:hint="eastAsia"/>
                <w:color w:val="000000"/>
                <w:kern w:val="0"/>
                <w:sz w:val="24"/>
              </w:rPr>
              <w:t>比例</w:t>
            </w:r>
            <w:r w:rsidR="00187122">
              <w:rPr>
                <w:rFonts w:hint="eastAsia"/>
                <w:color w:val="000000"/>
                <w:kern w:val="0"/>
                <w:sz w:val="24"/>
              </w:rPr>
              <w:t>(</w:t>
            </w:r>
            <w:r w:rsidR="00187122">
              <w:rPr>
                <w:color w:val="000000"/>
                <w:kern w:val="0"/>
                <w:sz w:val="24"/>
              </w:rPr>
              <w:t>%</w:t>
            </w:r>
            <w:r w:rsidR="00187122">
              <w:rPr>
                <w:rFonts w:hint="eastAsia"/>
                <w:color w:val="000000"/>
                <w:kern w:val="0"/>
                <w:sz w:val="24"/>
              </w:rPr>
              <w:t>)</w:t>
            </w:r>
          </w:p>
        </w:tc>
      </w:tr>
      <w:tr>
        <w:tc>
          <w:tcPr>
            <w:vAlign w:val="center"/>
          </w:tcPr>
          <w:p>
            <w:pPr>
              <w:jc w:val="center"/>
            </w:pPr>
            <w:r>
              <w:rPr>
                <w:color w:val="000000"/>
                <w:sz w:val="24"/>
              </w:rPr>
              <w:t>1</w:t>
            </w:r>
          </w:p>
        </w:tc>
        <w:tc>
          <w:tcPr>
            <w:vAlign w:val="center"/>
          </w:tcPr>
          <w:p>
            <w:pPr>
              <w:jc w:val="center"/>
            </w:pPr>
            <w:r>
              <w:rPr>
                <w:color w:val="000000"/>
                <w:sz w:val="24"/>
              </w:rPr>
              <w:t>1889203</w:t>
            </w:r>
          </w:p>
        </w:tc>
        <w:tc>
          <w:tcPr>
            <w:vAlign w:val="center"/>
          </w:tcPr>
          <w:p>
            <w:pPr>
              <w:jc w:val="center"/>
            </w:pPr>
            <w:r>
              <w:rPr>
                <w:color w:val="000000"/>
                <w:sz w:val="24"/>
              </w:rPr>
              <w:t>18工元9A1</w:t>
            </w:r>
          </w:p>
        </w:tc>
        <w:tc>
          <w:tcPr>
            <w:vAlign w:val="center"/>
          </w:tcPr>
          <w:p>
            <w:pPr>
              <w:jc w:val="right"/>
            </w:pPr>
            <w:r>
              <w:rPr>
                <w:color w:val="000000"/>
                <w:sz w:val="24"/>
              </w:rPr>
              <w:t>2,400,000</w:t>
            </w:r>
          </w:p>
        </w:tc>
        <w:tc>
          <w:tcPr>
            <w:vAlign w:val="center"/>
          </w:tcPr>
          <w:p>
            <w:pPr>
              <w:jc w:val="right"/>
            </w:pPr>
            <w:r>
              <w:rPr>
                <w:color w:val="000000"/>
                <w:sz w:val="24"/>
              </w:rPr>
              <w:t>23,568,000.00</w:t>
            </w:r>
          </w:p>
        </w:tc>
        <w:tc>
          <w:tcPr>
            <w:vAlign w:val="center"/>
          </w:tcPr>
          <w:p>
            <w:pPr>
              <w:jc w:val="right"/>
            </w:pPr>
            <w:r>
              <w:rPr>
                <w:color w:val="000000"/>
                <w:sz w:val="24"/>
              </w:rPr>
              <w:t>0.68</w:t>
            </w:r>
          </w:p>
        </w:tc>
      </w:tr>
    </w:tbl>
    <w:p w:rsidP="007C14DF" w:rsidR="009238DB" w:rsidRDefault="009238DB" w:rsidRPr="007F52FA">
      <w:pPr>
        <w:autoSpaceDE w:val="0"/>
        <w:autoSpaceDN w:val="0"/>
        <w:adjustRightInd w:val="0"/>
        <w:spacing w:before="29" w:line="288" w:lineRule="auto"/>
        <w:jc w:val="left"/>
        <w:rPr>
          <w:rFonts w:eastAsiaTheme="minorEastAsia"/>
          <w:color w:val="000000"/>
          <w:kern w:val="0"/>
          <w:sz w:val="24"/>
        </w:rPr>
      </w:pP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r w:rsidRPr="007F52FA">
        <w:rPr>
          <w:rFonts w:eastAsiaTheme="minorEastAsia"/>
          <w:b/>
          <w:bCs/>
          <w:color w:val="000000"/>
          <w:kern w:val="0"/>
          <w:sz w:val="24"/>
        </w:rPr>
        <w:t xml:space="preserve">5.7 </w:t>
      </w:r>
      <w:r w:rsidRPr="007F52FA">
        <w:rPr>
          <w:rFonts w:hAnsi="宋体"/>
          <w:b/>
          <w:bCs/>
          <w:color w:val="000000"/>
          <w:kern w:val="0"/>
          <w:sz w:val="24"/>
        </w:rPr>
        <w:t>报告期末按公允价值占基金资产净值比例大小排序的前五名贵金属投资明细</w:t>
      </w:r>
    </w:p>
    <w:p w:rsidP="007C14DF" w:rsidR="00680BCE" w:rsidRDefault="00680BCE" w:rsidRPr="007F52FA">
      <w:pPr>
        <w:autoSpaceDE w:val="0"/>
        <w:autoSpaceDN w:val="0"/>
        <w:adjustRightInd w:val="0"/>
        <w:spacing w:before="29" w:line="288" w:lineRule="auto"/>
        <w:ind w:firstLine="120" w:firstLineChars="50"/>
        <w:jc w:val="left"/>
        <w:rPr>
          <w:sz w:val="24"/>
        </w:rPr>
      </w:pPr>
      <w:r w:rsidRPr="007F52FA">
        <w:rPr>
          <w:sz w:val="24"/>
        </w:rPr>
        <w:t>本基金本报告期末未持有贵金属。</w:t>
      </w:r>
    </w:p>
    <w:p w:rsidP="007C14DF" w:rsidR="00680BCE" w:rsidRDefault="00680BCE" w:rsidRPr="007F52FA">
      <w:pPr>
        <w:autoSpaceDE w:val="0"/>
        <w:autoSpaceDN w:val="0"/>
        <w:adjustRightInd w:val="0"/>
        <w:spacing w:before="29" w:line="288" w:lineRule="auto"/>
        <w:jc w:val="left"/>
        <w:rPr>
          <w:rFonts w:eastAsiaTheme="minorEastAsia"/>
          <w:color w:val="000000"/>
          <w:kern w:val="0"/>
          <w:sz w:val="24"/>
        </w:rPr>
      </w:pPr>
    </w:p>
    <w:p w:rsidP="007C14DF" w:rsidR="009238DB" w:rsidRDefault="00A621E1" w:rsidRPr="007F52FA">
      <w:pPr>
        <w:autoSpaceDE w:val="0"/>
        <w:autoSpaceDN w:val="0"/>
        <w:adjustRightInd w:val="0"/>
        <w:spacing w:before="29" w:line="288" w:lineRule="auto"/>
        <w:jc w:val="left"/>
        <w:rPr>
          <w:b/>
          <w:color w:val="000000"/>
          <w:kern w:val="0"/>
          <w:sz w:val="24"/>
        </w:rPr>
      </w:pPr>
      <w:r w:rsidRPr="007F52FA">
        <w:rPr>
          <w:b/>
          <w:color w:val="000000"/>
          <w:kern w:val="0"/>
          <w:sz w:val="24"/>
        </w:rPr>
        <w:t/>
      </w:r>
      <w:r w:rsidR="001D5CD0" w:rsidRPr="007F52FA">
        <w:rPr>
          <w:b/>
          <w:color w:val="000000"/>
          <w:kern w:val="0"/>
          <w:sz w:val="24"/>
        </w:rPr>
        <w:t>5</w:t>
      </w:r>
      <w:r w:rsidR="009238DB" w:rsidRPr="007F52FA">
        <w:rPr>
          <w:b/>
          <w:color w:val="000000"/>
          <w:kern w:val="0"/>
          <w:sz w:val="24"/>
        </w:rPr>
        <w:t>.</w:t>
      </w:r>
      <w:r w:rsidR="001D5CD0" w:rsidRPr="007F52FA">
        <w:rPr>
          <w:b/>
          <w:color w:val="000000"/>
          <w:kern w:val="0"/>
          <w:sz w:val="24"/>
        </w:rPr>
        <w:t/>
      </w:r>
      <w:r w:rsidR="00680BCE" w:rsidRPr="007F52FA">
        <w:rPr>
          <w:b/>
          <w:color w:val="000000"/>
          <w:kern w:val="0"/>
          <w:sz w:val="24"/>
        </w:rPr>
        <w:t/>
      </w:r>
      <w:r w:rsidR="001D5CD0" w:rsidRPr="007F52FA">
        <w:rPr>
          <w:b/>
          <w:color w:val="000000"/>
          <w:kern w:val="0"/>
          <w:sz w:val="24"/>
        </w:rPr>
        <w:t>8</w:t>
      </w:r>
      <w:r w:rsidR="009238DB" w:rsidRPr="007F52FA">
        <w:rPr>
          <w:b/>
          <w:color w:val="000000"/>
          <w:kern w:val="0"/>
          <w:sz w:val="24"/>
        </w:rPr>
        <w:t>报告期末按公允价值占基金资产净值比例大小排</w:t>
      </w:r>
      <w:r w:rsidR="005C47D0" w:rsidRPr="007F52FA">
        <w:rPr>
          <w:b/>
          <w:color w:val="000000"/>
          <w:kern w:val="0"/>
          <w:sz w:val="24"/>
        </w:rPr>
        <w:t>序</w:t>
      </w:r>
      <w:r w:rsidR="009238DB" w:rsidRPr="007F52FA">
        <w:rPr>
          <w:b/>
          <w:color w:val="000000"/>
          <w:kern w:val="0"/>
          <w:sz w:val="24"/>
        </w:rPr>
        <w:t>的前五名权证投资明细</w:t>
      </w:r>
    </w:p>
    <w:p w:rsidP="007C14DF" w:rsidR="00C260A2" w:rsidRDefault="00C260A2" w:rsidRPr="007F52FA">
      <w:pPr>
        <w:autoSpaceDE w:val="0"/>
        <w:autoSpaceDN w:val="0"/>
        <w:adjustRightInd w:val="0"/>
        <w:spacing w:before="29" w:line="288" w:lineRule="auto"/>
        <w:jc w:val="left"/>
        <w:rPr>
          <w:color w:val="000000"/>
          <w:sz w:val="24"/>
        </w:rPr>
      </w:pPr>
      <w:r w:rsidRPr="007F52FA">
        <w:rPr>
          <w:color w:val="000000"/>
          <w:sz w:val="24"/>
        </w:rPr>
        <w:t/>
      </w:r>
      <w:r w:rsidR="00407F66" w:rsidRPr="007F52FA">
        <w:rPr>
          <w:color w:val="000000"/>
          <w:sz w:val="24"/>
        </w:rPr>
        <w:t/>
      </w:r>
      <w:r w:rsidRPr="007F52FA">
        <w:rPr>
          <w:color w:val="000000"/>
          <w:sz w:val="24"/>
        </w:rPr>
        <w:t>本基金本报告期末未持有权证。</w:t>
      </w:r>
    </w:p>
    <w:p w:rsidP="007C14DF" w:rsidR="001D5CD0" w:rsidRDefault="001D5CD0" w:rsidRPr="007F52FA">
      <w:pPr>
        <w:autoSpaceDE w:val="0"/>
        <w:autoSpaceDN w:val="0"/>
        <w:adjustRightInd w:val="0"/>
        <w:spacing w:before="29" w:line="288" w:lineRule="auto"/>
        <w:jc w:val="left"/>
        <w:rPr>
          <w:rFonts w:eastAsiaTheme="minorEastAsia"/>
          <w:color w:val="000000"/>
          <w:kern w:val="0"/>
          <w:sz w:val="24"/>
        </w:rPr>
      </w:pPr>
    </w:p>
    <w:p w:rsidP="007C14DF" w:rsidR="001D5CD0" w:rsidRDefault="001D5CD0" w:rsidRPr="007F52FA">
      <w:pPr>
        <w:adjustRightInd w:val="0"/>
        <w:snapToGrid w:val="0"/>
        <w:spacing w:before="29" w:line="288" w:lineRule="auto"/>
        <w:rPr>
          <w:b/>
          <w:sz w:val="24"/>
        </w:rPr>
      </w:pPr>
      <w:r w:rsidRPr="007F52FA">
        <w:rPr>
          <w:b/>
          <w:sz w:val="24"/>
        </w:rPr>
        <w:t xml:space="preserve">5.9 </w:t>
      </w:r>
      <w:r w:rsidRPr="007F52FA">
        <w:rPr>
          <w:b/>
          <w:sz w:val="24"/>
        </w:rPr>
        <w:t>报告期末本基金投资的股指期货交易情况说明</w:t>
      </w:r>
    </w:p>
    <w:p w:rsidP="007C14DF" w:rsidR="001D5CD0" w:rsidRDefault="001D5CD0" w:rsidRPr="007F52FA">
      <w:pPr>
        <w:autoSpaceDE w:val="0"/>
        <w:autoSpaceDN w:val="0"/>
        <w:adjustRightInd w:val="0"/>
        <w:spacing w:before="29" w:line="288" w:lineRule="auto"/>
        <w:jc w:val="left"/>
        <w:rPr>
          <w:sz w:val="24"/>
        </w:rPr>
      </w:pPr>
      <w:r w:rsidRPr="007F52FA">
        <w:rPr>
          <w:sz w:val="24"/>
        </w:rPr>
        <w:t>本基金本报告期末未持有股指期货。</w:t>
      </w:r>
    </w:p>
    <w:p w:rsidP="007C14DF" w:rsidR="001D5CD0" w:rsidRDefault="001D5CD0" w:rsidRPr="007F52FA">
      <w:pPr>
        <w:autoSpaceDE w:val="0"/>
        <w:autoSpaceDN w:val="0"/>
        <w:adjustRightInd w:val="0"/>
        <w:spacing w:before="29" w:line="288" w:lineRule="auto"/>
        <w:jc w:val="left"/>
        <w:rPr>
          <w:b/>
          <w:sz w:val="24"/>
        </w:rPr>
      </w:pPr>
    </w:p>
    <w:p w:rsidP="007C14DF" w:rsidR="00A7062E" w:rsidRDefault="001D5CD0" w:rsidRPr="007F52FA">
      <w:pPr>
        <w:adjustRightInd w:val="0"/>
        <w:snapToGrid w:val="0"/>
        <w:spacing w:before="29" w:line="288" w:lineRule="auto"/>
        <w:rPr>
          <w:b/>
          <w:sz w:val="24"/>
        </w:rPr>
      </w:pPr>
      <w:r w:rsidRPr="007F52FA">
        <w:rPr>
          <w:b/>
          <w:sz w:val="24"/>
        </w:rPr>
        <w:t>5.10</w:t>
      </w:r>
      <w:r w:rsidRPr="007F52FA">
        <w:rPr>
          <w:b/>
          <w:sz w:val="24"/>
        </w:rPr>
        <w:t>报告期末本基金投资的国债期货交易情况说明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本基金本报告期末未持有国债期货。</w:t>
      </w:r>
    </w:p>
    <w:p w:rsidP="007C14DF" w:rsidR="00DB56EC" w:rsidRDefault="00DB56EC" w:rsidRPr="007F52FA">
      <w:pPr>
        <w:autoSpaceDE w:val="0"/>
        <w:autoSpaceDN w:val="0"/>
        <w:adjustRightInd w:val="0"/>
        <w:spacing w:before="29" w:line="288" w:lineRule="auto"/>
        <w:jc w:val="left"/>
        <w:rPr>
          <w:rFonts w:eastAsiaTheme="minorEastAsia"/>
          <w:sz w:val="24"/>
        </w:rPr>
      </w:pPr>
    </w:p>
    <w:p w:rsidP="007C14DF" w:rsidR="001D5CD0" w:rsidRDefault="001D5CD0" w:rsidRPr="007F52FA">
      <w:pPr>
        <w:autoSpaceDE w:val="0"/>
        <w:autoSpaceDN w:val="0"/>
        <w:adjustRightInd w:val="0"/>
        <w:spacing w:before="29" w:line="288" w:lineRule="auto"/>
        <w:jc w:val="left"/>
        <w:rPr>
          <w:b/>
          <w:kern w:val="0"/>
          <w:sz w:val="24"/>
        </w:rPr>
      </w:pPr>
      <w:r w:rsidRPr="007F52FA">
        <w:rPr>
          <w:b/>
          <w:kern w:val="0"/>
          <w:sz w:val="24"/>
        </w:rPr>
        <w:t>5.11</w:t>
      </w:r>
      <w:r w:rsidRPr="007F52FA">
        <w:rPr>
          <w:b/>
          <w:kern w:val="0"/>
          <w:sz w:val="24"/>
        </w:rPr>
        <w:t>投资组合报告附注</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5.11.1</w:t>
      </w:r>
      <w:r w:rsidRPr="00384E65">
        <w:rPr>
          <w:kern w:val="0"/>
          <w:sz w:val="24"/>
        </w:rPr>
        <w:t>报告期内本基金投资的前十名证券的发行主体未被监管部门立案调查，在本报告编制日前一年内本基金投资的前十名证券的发行主体未受到公开谴责和处罚。</w:t>
      </w:r>
    </w:p>
    <w:p w:rsidP="00A0678E" w:rsidR="00384E65" w:rsidRDefault="00384E65" w:rsidRPr="00384E65">
      <w:pPr>
        <w:autoSpaceDE w:val="0"/>
        <w:autoSpaceDN w:val="0"/>
        <w:adjustRightInd w:val="0"/>
        <w:spacing w:before="29" w:line="288" w:lineRule="auto"/>
        <w:rPr>
          <w:kern w:val="0"/>
          <w:sz w:val="24"/>
        </w:rPr>
      </w:pPr>
      <w:r w:rsidRPr="00885AD9">
        <w:rPr>
          <w:b/>
          <w:kern w:val="0"/>
          <w:sz w:val="24"/>
        </w:rPr>
        <w:t>5.11.2</w:t>
      </w:r>
      <w:r w:rsidRPr="00384E65">
        <w:rPr>
          <w:kern w:val="0"/>
          <w:sz w:val="24"/>
        </w:rPr>
        <w:t>本基金投资的前十名股票中，没有超出基金合同规定的备选股票库之外的股票。</w:t>
      </w:r>
    </w:p>
    <w:p w:rsidP="007C14DF" w:rsidR="001D5CD0" w:rsidRDefault="001D5CD0">
      <w:pPr>
        <w:autoSpaceDE w:val="0"/>
        <w:autoSpaceDN w:val="0"/>
        <w:adjustRightInd w:val="0"/>
        <w:spacing w:before="29" w:line="288" w:lineRule="auto"/>
        <w:rPr>
          <w:kern w:val="0"/>
          <w:sz w:val="24"/>
        </w:rPr>
      </w:pPr>
      <w:bookmarkStart w:id="2" w:name="_GoBack"/>
      <w:r w:rsidRPr="00885AD9">
        <w:rPr>
          <w:b/>
          <w:kern w:val="0"/>
          <w:sz w:val="24"/>
        </w:rPr>
        <w:t>5.11.3</w:t>
      </w:r>
      <w:bookmarkEnd w:id="2"/>
      <w:r w:rsidR="008F4965">
        <w:rPr>
          <w:rFonts w:hint="eastAsia"/>
          <w:kern w:val="0"/>
          <w:sz w:val="24"/>
        </w:rPr>
        <w:t>期末</w:t>
      </w:r>
      <w:r w:rsidR="00E84F32" w:rsidRPr="007F52FA">
        <w:rPr>
          <w:kern w:val="0"/>
          <w:sz w:val="24"/>
        </w:rPr>
        <w:t>其他</w:t>
      </w:r>
      <w:r w:rsidR="008F4965">
        <w:rPr>
          <w:rFonts w:hint="eastAsia"/>
          <w:kern w:val="0"/>
          <w:sz w:val="24"/>
        </w:rPr>
        <w:t>各项</w:t>
      </w:r>
      <w:r w:rsidRPr="007F52FA">
        <w:rPr>
          <w:kern w:val="0"/>
          <w:sz w:val="24"/>
        </w:rPr>
        <w:t>资产构成</w:t>
      </w:r>
    </w:p>
    <w:p w:rsidP="006B32A4" w:rsidR="006B32A4" w:rsidRDefault="00C33577" w:rsidRPr="007F52FA">
      <w:pPr>
        <w:autoSpaceDE w:val="0"/>
        <w:autoSpaceDN w:val="0"/>
        <w:adjustRightInd w:val="0"/>
        <w:spacing w:before="29" w:line="288" w:lineRule="auto"/>
        <w:jc w:val="right"/>
        <w:rPr>
          <w:kern w:val="0"/>
          <w:sz w:val="24"/>
        </w:rPr>
      </w:pPr>
      <w:r w:rsidRPr="00C33577">
        <w:rPr>
          <w:rFonts w:hint="eastAsia"/>
          <w:kern w:val="0"/>
          <w:sz w:val="24"/>
        </w:rPr>
        <w:t/>
      </w:r>
      <w:r w:rsidRPr="00C33577">
        <w:rPr>
          <w:rFonts w:hint="eastAsia"/>
          <w:kern w:val="0"/>
          <w:sz w:val="24"/>
        </w:rPr>
        <w:t>金额单位：人民币元</w:t>
      </w:r>
    </w:p>
    <w:tbl>
      <w:tblPr>
        <w:tblStyle w:val="af2"/>
        <w:tblW w:type="dxa" w:w="8868"/>
        <w:jc w:val="center"/>
        <w:tblLook w:firstColumn="1" w:firstRow="1" w:lastColumn="0" w:lastRow="0" w:noHBand="0" w:noVBand="1" w:val="04A0"/>
      </w:tblPr>
      <w:tblGrid>
        <w:gridCol w:w="1260"/>
        <w:gridCol w:w="2706"/>
        <w:gridCol w:w="4902"/>
      </w:tblGrid>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序号</w:t>
            </w:r>
          </w:p>
        </w:tc>
        <w:tc>
          <w:tcPr>
            <w:tcW w:type="dxa" w:w="281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名称</w:t>
            </w:r>
          </w:p>
        </w:tc>
        <w:tc>
          <w:tcPr>
            <w:tcW w:type="dxa" w:w="4908"/>
            <w:vAlign w:val="center"/>
          </w:tcPr>
          <w:p w:rsidP="007C14DF" w:rsidR="001D5CD0" w:rsidRDefault="001D5CD0" w:rsidRPr="007F52FA">
            <w:pPr>
              <w:autoSpaceDE w:val="0"/>
              <w:autoSpaceDN w:val="0"/>
              <w:adjustRightInd w:val="0"/>
              <w:spacing w:before="29" w:line="288" w:lineRule="auto"/>
              <w:ind w:left="17"/>
              <w:jc w:val="center"/>
              <w:rPr>
                <w:color w:val="000000"/>
                <w:kern w:val="0"/>
                <w:sz w:val="24"/>
              </w:rPr>
            </w:pPr>
            <w:r w:rsidRPr="007F52FA">
              <w:rPr>
                <w:color w:val="000000"/>
                <w:kern w:val="0"/>
                <w:sz w:val="24"/>
              </w:rPr>
              <w:t>金额</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kern w:val="0"/>
                <w:sz w:val="24"/>
              </w:rPr>
            </w:pPr>
            <w:r w:rsidRPr="007F52FA">
              <w:rPr>
                <w:color w:val="000000"/>
                <w:sz w:val="24"/>
              </w:rPr>
              <w:t>1</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存出保证金</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lastRenderedPageBreak/>
              <w:t>2</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应收证券清算款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3</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应收股利</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4</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应收利息</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43,935,905.68</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5</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应收申购款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6</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其他应收款</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16"/>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7</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sz w:val="24"/>
              </w:rPr>
            </w:pPr>
            <w:r w:rsidRPr="007F52FA">
              <w:rPr>
                <w:color w:val="000000"/>
                <w:sz w:val="24"/>
              </w:rPr>
              <w:t>待摊费用</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sz w:val="24"/>
              </w:rPr>
            </w:pPr>
            <w:r w:rsidRPr="007F52FA">
              <w:rPr>
                <w:color w:val="000000"/>
                <w:sz w:val="24"/>
              </w:rPr>
              <w:t>-</w:t>
            </w:r>
          </w:p>
        </w:tc>
      </w:tr>
      <w:tr w:rsidR="001D5CD0" w:rsidRPr="007F52FA" w:rsidTr="006C3EE0">
        <w:trPr>
          <w:trHeight w:val="499"/>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8</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其他</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w:t>
            </w:r>
          </w:p>
        </w:tc>
      </w:tr>
      <w:tr w:rsidR="001D5CD0" w:rsidRPr="007F52FA" w:rsidTr="006C3EE0">
        <w:trPr>
          <w:trHeight w:val="531"/>
          <w:jc w:val="center"/>
        </w:trPr>
        <w:tc>
          <w:tcPr>
            <w:tcW w:type="dxa" w:w="1260"/>
            <w:vAlign w:val="center"/>
          </w:tcPr>
          <w:p w:rsidP="007C14DF" w:rsidR="001D5CD0" w:rsidRDefault="001D5CD0" w:rsidRPr="007F52FA">
            <w:pPr>
              <w:autoSpaceDE w:val="0"/>
              <w:autoSpaceDN w:val="0"/>
              <w:adjustRightInd w:val="0"/>
              <w:spacing w:before="29" w:line="288" w:lineRule="auto"/>
              <w:ind w:left="15"/>
              <w:jc w:val="center"/>
              <w:rPr>
                <w:color w:val="000000"/>
                <w:sz w:val="24"/>
              </w:rPr>
            </w:pPr>
            <w:r w:rsidRPr="007F52FA">
              <w:rPr>
                <w:color w:val="000000"/>
                <w:sz w:val="24"/>
              </w:rPr>
              <w:t>9</w:t>
            </w:r>
          </w:p>
        </w:tc>
        <w:tc>
          <w:tcPr>
            <w:tcW w:type="dxa" w:w="2818"/>
            <w:vAlign w:val="center"/>
          </w:tcPr>
          <w:p w:rsidP="007C14DF" w:rsidR="001D5CD0" w:rsidRDefault="001D5CD0" w:rsidRPr="007F52FA">
            <w:pPr>
              <w:autoSpaceDE w:val="0"/>
              <w:autoSpaceDN w:val="0"/>
              <w:adjustRightInd w:val="0"/>
              <w:spacing w:before="29" w:line="288" w:lineRule="auto"/>
              <w:ind w:left="15"/>
              <w:jc w:val="left"/>
              <w:rPr>
                <w:color w:val="000000"/>
                <w:kern w:val="0"/>
                <w:sz w:val="24"/>
              </w:rPr>
            </w:pPr>
            <w:r w:rsidRPr="007F52FA">
              <w:rPr>
                <w:color w:val="000000"/>
                <w:kern w:val="0"/>
                <w:sz w:val="24"/>
              </w:rPr>
              <w:t>合计</w:t>
            </w:r>
          </w:p>
        </w:tc>
        <w:tc>
          <w:tcPr>
            <w:tcW w:type="dxa" w:w="4908"/>
            <w:vAlign w:val="center"/>
          </w:tcPr>
          <w:p w:rsidP="007C14DF" w:rsidR="001D5CD0" w:rsidRDefault="001D5CD0" w:rsidRPr="007F52FA">
            <w:pPr>
              <w:autoSpaceDE w:val="0"/>
              <w:autoSpaceDN w:val="0"/>
              <w:adjustRightInd w:val="0"/>
              <w:spacing w:before="29" w:line="288" w:lineRule="auto"/>
              <w:ind w:left="15"/>
              <w:jc w:val="right"/>
              <w:rPr>
                <w:color w:val="000000"/>
                <w:kern w:val="0"/>
                <w:sz w:val="24"/>
              </w:rPr>
            </w:pPr>
            <w:r w:rsidRPr="007F52FA">
              <w:rPr>
                <w:color w:val="000000"/>
                <w:kern w:val="0"/>
                <w:sz w:val="24"/>
              </w:rPr>
              <w:t>43,935,905.68</w:t>
            </w:r>
          </w:p>
        </w:tc>
      </w:tr>
    </w:tbl>
    <w:p w:rsidP="007C14DF" w:rsidR="001D5CD0" w:rsidRDefault="001D5CD0" w:rsidRPr="007F52FA">
      <w:pPr>
        <w:autoSpaceDE w:val="0"/>
        <w:autoSpaceDN w:val="0"/>
        <w:adjustRightInd w:val="0"/>
        <w:spacing w:before="29" w:line="288" w:lineRule="auto"/>
        <w:jc w:val="left"/>
        <w:rPr>
          <w:sz w:val="24"/>
        </w:rPr>
      </w:pPr>
    </w:p>
    <w:p w:rsidP="007C14DF" w:rsidR="001D5CD0" w:rsidRDefault="001D5CD0" w:rsidRPr="00143E9C">
      <w:pPr>
        <w:autoSpaceDE w:val="0"/>
        <w:autoSpaceDN w:val="0"/>
        <w:adjustRightInd w:val="0"/>
        <w:spacing w:before="29" w:line="288" w:lineRule="auto"/>
        <w:jc w:val="left"/>
        <w:rPr>
          <w:b/>
          <w:kern w:val="0"/>
          <w:sz w:val="24"/>
        </w:rPr>
      </w:pPr>
      <w:r w:rsidRPr="00143E9C">
        <w:rPr>
          <w:b/>
          <w:kern w:val="0"/>
          <w:sz w:val="24"/>
        </w:rPr>
        <w:t>5.11.4</w:t>
      </w:r>
      <w:r w:rsidRPr="00143E9C">
        <w:rPr>
          <w:b/>
          <w:kern w:val="0"/>
          <w:sz w:val="24"/>
        </w:rPr>
        <w:t>期末持有的处于转股期的可转换债券明细</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t>本基金本报告期末未持有处于转股期的可转换债券。</w:t>
      </w:r>
    </w:p>
    <w:p w:rsidP="007C14DF" w:rsidR="001D5CD0" w:rsidRDefault="001D5CD0" w:rsidRPr="00143E9C">
      <w:pPr>
        <w:autoSpaceDE w:val="0"/>
        <w:autoSpaceDN w:val="0"/>
        <w:adjustRightInd w:val="0"/>
        <w:spacing w:before="29" w:line="288" w:lineRule="auto"/>
        <w:jc w:val="left"/>
        <w:rPr>
          <w:rFonts w:eastAsiaTheme="minorEastAsia"/>
          <w:b/>
          <w:bCs/>
          <w:sz w:val="24"/>
        </w:rPr>
      </w:pPr>
      <w:r w:rsidRPr="00143E9C">
        <w:rPr>
          <w:rFonts w:eastAsiaTheme="minorEastAsia"/>
          <w:b/>
          <w:kern w:val="0"/>
          <w:sz w:val="24"/>
        </w:rPr>
        <w:t>5.11.5</w:t>
      </w:r>
      <w:r w:rsidRPr="00143E9C">
        <w:rPr>
          <w:rFonts w:eastAsiaTheme="minorEastAsia"/>
          <w:b/>
          <w:bCs/>
          <w:sz w:val="24"/>
        </w:rPr>
        <w:t>期末前十名股票中存在流通受限情况的说明</w:t>
      </w:r>
    </w:p>
    <w:p w:rsidP="007C14DF" w:rsidR="001D5CD0" w:rsidRDefault="001D5CD0" w:rsidRPr="007F52FA">
      <w:pPr>
        <w:autoSpaceDE w:val="0"/>
        <w:autoSpaceDN w:val="0"/>
        <w:adjustRightInd w:val="0"/>
        <w:spacing w:before="29" w:line="288" w:lineRule="auto"/>
        <w:jc w:val="left"/>
        <w:rPr>
          <w:rFonts w:eastAsiaTheme="minorEastAsia"/>
          <w:sz w:val="24"/>
        </w:rPr>
      </w:pPr>
      <w:r w:rsidRPr="007F52FA">
        <w:rPr>
          <w:rFonts w:eastAsiaTheme="minorEastAsia"/>
          <w:sz w:val="24"/>
        </w:rPr>
        <w:lastRenderedPageBreak/>
        <w:t>本基金本报告期末未持有股票。</w:t>
      </w:r>
    </w:p>
    <w:p w:rsidP="007C14DF" w:rsidR="001D5CD0" w:rsidRDefault="001D5CD0" w:rsidRPr="00901A22">
      <w:pPr>
        <w:spacing w:before="29" w:line="288" w:lineRule="auto"/>
        <w:rPr>
          <w:rFonts w:eastAsiaTheme="minorEastAsia"/>
          <w:b/>
          <w:color w:val="000000"/>
          <w:kern w:val="0"/>
          <w:sz w:val="24"/>
        </w:rPr>
      </w:pPr>
      <w:r w:rsidRPr="00901A22">
        <w:rPr>
          <w:rFonts w:eastAsiaTheme="minorEastAsia"/>
          <w:b/>
          <w:color w:val="000000"/>
          <w:kern w:val="0"/>
          <w:sz w:val="24"/>
        </w:rPr>
        <w:t/>
      </w:r>
      <w:r w:rsidRPr="00901A22">
        <w:rPr>
          <w:rFonts w:eastAsiaTheme="minorEastAsia"/>
          <w:b/>
          <w:kern w:val="0"/>
          <w:sz w:val="24"/>
        </w:rPr>
        <w:t>5.11.6</w:t>
      </w:r>
      <w:r w:rsidRPr="00901A22">
        <w:rPr>
          <w:rFonts w:eastAsiaTheme="minorEastAsia"/>
          <w:b/>
          <w:color w:val="000000"/>
          <w:kern w:val="0"/>
          <w:sz w:val="24"/>
        </w:rPr>
        <w:t>投资组合报告附注的其他文字描述部分</w:t>
      </w:r>
    </w:p>
    <w:p w:rsidP="00A0678E" w:rsidR="001D5CD0" w:rsidRDefault="001D5CD0" w:rsidRPr="007F52FA">
      <w:pPr>
        <w:spacing w:before="29" w:line="288" w:lineRule="auto"/>
        <w:rPr>
          <w:rFonts w:eastAsiaTheme="minorEastAsia"/>
          <w:color w:val="000000"/>
          <w:sz w:val="24"/>
        </w:rPr>
      </w:pPr>
      <w:r w:rsidRPr="007F52FA">
        <w:rPr>
          <w:rFonts w:eastAsiaTheme="minorEastAsia"/>
          <w:color w:val="000000"/>
          <w:sz w:val="24"/>
        </w:rPr>
        <w:t>由于四舍五入的原因，分项之和与合计项之间可能存在尾差。</w:t>
      </w:r>
    </w:p>
    <w:p w:rsidP="007C14DF" w:rsidR="00EB27DE" w:rsidRDefault="00EB27DE" w:rsidRPr="007F52FA">
      <w:pPr>
        <w:spacing w:before="29" w:line="288" w:lineRule="auto"/>
        <w:rPr>
          <w:rFonts w:eastAsiaTheme="minorEastAsia"/>
          <w:color w:val="000000"/>
          <w:sz w:val="24"/>
        </w:rPr>
      </w:pPr>
    </w:p>
    <w:p w:rsidP="000A2988" w:rsidR="009238DB" w:rsidRDefault="00C51B4E" w:rsidRPr="007F52FA">
      <w:pPr>
        <w:pStyle w:val="1"/>
        <w:spacing w:after="312" w:afterLines="100" w:before="312" w:beforeLines="100" w:line="288" w:lineRule="auto"/>
        <w:jc w:val="center"/>
        <w:rPr>
          <w:rFonts w:eastAsiaTheme="minorEastAsia"/>
          <w:color w:val="000000"/>
          <w:kern w:val="0"/>
          <w:sz w:val="24"/>
          <w:szCs w:val="24"/>
        </w:rPr>
      </w:pPr>
      <w:r w:rsidRPr="00C51B4E">
        <w:rPr>
          <w:rFonts w:eastAsiaTheme="minorEastAsia"/>
          <w:color w:themeColor="text1" w:val="000000"/>
          <w:kern w:val="0"/>
          <w:sz w:val="21"/>
          <w:szCs w:val="21"/>
        </w:rPr>
        <w:t>§6</w:t>
      </w:r>
      <w:r w:rsidRPr="00C51B4E">
        <w:rPr>
          <w:rFonts w:eastAsiaTheme="minorEastAsia" w:hint="eastAsia"/>
          <w:color w:themeColor="text1" w:val="000000"/>
          <w:kern w:val="0"/>
          <w:sz w:val="21"/>
          <w:szCs w:val="21"/>
        </w:rPr>
        <w:t xml:space="preserve"> </w:t>
      </w:r>
      <w:r w:rsidR="009238DB" w:rsidRPr="007F52FA">
        <w:rPr>
          <w:rFonts w:eastAsiaTheme="minorEastAsia"/>
          <w:color w:val="000000"/>
          <w:kern w:val="0"/>
          <w:sz w:val="24"/>
          <w:szCs w:val="24"/>
        </w:rPr>
        <w:t xml:space="preserve"> </w:t>
      </w:r>
      <w:r w:rsidR="009238DB" w:rsidRPr="007F52FA">
        <w:rPr>
          <w:rFonts w:eastAsiaTheme="minorEastAsia"/>
          <w:color w:val="000000"/>
          <w:kern w:val="0"/>
          <w:sz w:val="24"/>
          <w:szCs w:val="24"/>
        </w:rPr>
        <w:t>开放式基金份额变动</w:t>
      </w:r>
    </w:p>
    <w:p w:rsidP="007C14DF" w:rsidR="009238DB" w:rsidRDefault="009238DB" w:rsidRPr="007F52FA">
      <w:pPr>
        <w:autoSpaceDE w:val="0"/>
        <w:autoSpaceDN w:val="0"/>
        <w:adjustRightInd w:val="0"/>
        <w:spacing w:before="29" w:line="288" w:lineRule="auto"/>
        <w:ind w:left="15" w:right="480"/>
        <w:jc w:val="right"/>
        <w:rPr>
          <w:rFonts w:eastAsiaTheme="minorEastAsia"/>
          <w:color w:val="000000"/>
          <w:kern w:val="0"/>
          <w:sz w:val="24"/>
        </w:rPr>
      </w:pPr>
      <w:r w:rsidRPr="007F52FA">
        <w:rPr>
          <w:rFonts w:eastAsiaTheme="minorEastAsia"/>
          <w:color w:val="000000"/>
          <w:kern w:val="0"/>
          <w:sz w:val="24"/>
        </w:rPr>
        <w:t>单位：份</w:t>
      </w:r>
    </w:p>
    <w:tbl>
      <w:tblPr>
        <w:tblW w:type="dxa" w:w="8868"/>
        <w:jc w:val="center"/>
        <w:tblLayout w:type="fixed"/>
        <w:tblLook w:firstColumn="0" w:firstRow="0" w:lastColumn="0" w:lastRow="0" w:noHBand="0" w:noVBand="0" w:val="0000"/>
      </w:tblPr>
      <w:tblGrid>
        <w:gridCol w:w="4006"/>
        <w:gridCol w:w="2431"/>
        <w:gridCol w:w="2431"/>
      </w:tblGrid>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center"/>
              <w:rPr>
                <w:rFonts w:eastAsiaTheme="minorEastAsia"/>
                <w:color w:val="000000"/>
                <w:kern w:val="0"/>
                <w:sz w:val="24"/>
              </w:rPr>
            </w:pPr>
            <w:r w:rsidRPr="007F52FA">
              <w:rPr>
                <w:rFonts w:eastAsiaTheme="minorEastAsia"/>
                <w:color w:val="000000"/>
                <w:kern w:val="0"/>
                <w:sz w:val="24"/>
              </w:rPr>
              <w:t>项目</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2785F" w:rsidRPr="007F52FA">
              <w:rPr>
                <w:rFonts w:eastAsiaTheme="minorEastAsia"/>
                <w:sz w:val="24"/>
              </w:rPr>
              <w:t>交银裕利纯债债券A</w:t>
            </w:r>
          </w:p>
        </w:tc>
        <w:tc>
          <w:tcPr>
            <w:tcW w:type="dxa" w:w="2367"/>
            <w:tcBorders>
              <w:top w:color="000000" w:space="0" w:sz="8" w:val="single"/>
              <w:left w:color="000000" w:space="0" w:sz="8" w:val="single"/>
              <w:bottom w:color="000000" w:space="0" w:sz="8" w:val="single"/>
              <w:right w:color="000000" w:space="0" w:sz="8" w:val="single"/>
            </w:tcBorders>
            <w:vAlign w:val="center"/>
          </w:tcPr>
          <w:p w:rsidP="00690865" w:rsidR="00936D40" w:rsidRDefault="00936D40" w:rsidRPr="007F52FA">
            <w:pPr>
              <w:autoSpaceDE w:val="0"/>
              <w:autoSpaceDN w:val="0"/>
              <w:adjustRightInd w:val="0"/>
              <w:spacing w:before="29" w:line="288" w:lineRule="auto"/>
              <w:ind w:left="17"/>
              <w:jc w:val="left"/>
              <w:rPr>
                <w:rFonts w:eastAsiaTheme="minorEastAsia"/>
                <w:color w:val="000000"/>
                <w:sz w:val="24"/>
              </w:rPr>
            </w:pPr>
            <w:r w:rsidRPr="007F52FA">
              <w:rPr>
                <w:rFonts w:eastAsiaTheme="minorEastAsia"/>
                <w:color w:val="000000"/>
                <w:kern w:val="0"/>
                <w:sz w:val="24"/>
              </w:rPr>
              <w:t/>
            </w:r>
            <w:r w:rsidRPr="007F52FA">
              <w:rPr>
                <w:rFonts w:eastAsiaTheme="minorEastAsia"/>
                <w:sz w:val="24"/>
              </w:rPr>
              <w:t/>
            </w:r>
            <w:r w:rsidR="004D614E" w:rsidRPr="007F52FA">
              <w:rPr>
                <w:rFonts w:eastAsiaTheme="minorEastAsia"/>
                <w:sz w:val="24"/>
              </w:rPr>
              <w:t/>
            </w:r>
            <w:r w:rsidR="0042785F" w:rsidRPr="007F52FA">
              <w:rPr>
                <w:rFonts w:eastAsiaTheme="minorEastAsia"/>
                <w:sz w:val="24"/>
              </w:rPr>
              <w:t>交银裕利纯债债券C</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报告期期初基金份额总额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42785F" w:rsidRPr="007F52FA">
              <w:rPr>
                <w:rFonts w:eastAsiaTheme="minorEastAsia"/>
                <w:color w:val="000000"/>
                <w:sz w:val="24"/>
              </w:rPr>
              <w:t>3,382,775,012.27</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B011B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936D40" w:rsidRPr="007F52FA">
              <w:rPr>
                <w:rFonts w:eastAsiaTheme="minorEastAsia"/>
                <w:color w:val="000000"/>
                <w:sz w:val="24"/>
              </w:rPr>
              <w:t/>
            </w:r>
            <w:r w:rsidR="00EA1D33" w:rsidRPr="007F52FA">
              <w:rPr>
                <w:rFonts w:eastAsiaTheme="minorEastAsia"/>
                <w:color w:val="000000"/>
                <w:sz w:val="24"/>
              </w:rPr>
              <w:t/>
            </w:r>
            <w:r w:rsidR="0042785F" w:rsidRPr="007F52FA">
              <w:rPr>
                <w:rFonts w:eastAsiaTheme="minorEastAsia"/>
                <w:color w:val="000000"/>
                <w:sz w:val="24"/>
              </w:rPr>
              <w:t>101,566.66</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基金总申购份额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15,029.39</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984.82</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减：</w:t>
            </w:r>
            <w:r w:rsidR="00F72579" w:rsidRPr="007F52FA">
              <w:rPr>
                <w:rFonts w:eastAsiaTheme="minorEastAsia"/>
                <w:color w:val="000000"/>
                <w:kern w:val="0"/>
                <w:sz w:val="24"/>
              </w:rPr>
              <w:t>本报告期</w:t>
            </w:r>
            <w:r w:rsidR="003F21E5">
              <w:rPr>
                <w:rFonts w:eastAsiaTheme="minorEastAsia" w:hint="eastAsia"/>
                <w:color w:val="000000"/>
                <w:kern w:val="0"/>
                <w:sz w:val="24"/>
              </w:rPr>
              <w:t>期间</w:t>
            </w:r>
            <w:r w:rsidRPr="007F52FA">
              <w:rPr>
                <w:rFonts w:eastAsiaTheme="minorEastAsia"/>
                <w:color w:val="000000"/>
                <w:kern w:val="0"/>
                <w:sz w:val="24"/>
              </w:rPr>
              <w:t>基金总赎回份额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68,624.61</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10,020.00</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896AC6" w:rsidR="00936D40" w:rsidRDefault="00F72579"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本报告期</w:t>
            </w:r>
            <w:r w:rsidR="003F21E5">
              <w:rPr>
                <w:rFonts w:eastAsiaTheme="minorEastAsia" w:hint="eastAsia"/>
                <w:color w:val="000000"/>
                <w:kern w:val="0"/>
                <w:sz w:val="24"/>
              </w:rPr>
              <w:t>期间</w:t>
            </w:r>
            <w:r w:rsidR="00936D40" w:rsidRPr="007F52FA">
              <w:rPr>
                <w:rFonts w:eastAsiaTheme="minorEastAsia"/>
                <w:color w:val="000000"/>
                <w:kern w:val="0"/>
                <w:sz w:val="24"/>
              </w:rPr>
              <w:t>基金拆分变动份额</w:t>
            </w:r>
            <w:r w:rsidR="003F21E5" w:rsidRPr="006664D2">
              <w:rPr>
                <w:rFonts w:hint="eastAsia"/>
                <w:color w:val="000000"/>
                <w:kern w:val="0"/>
                <w:sz w:val="24"/>
              </w:rPr>
              <w:t>（份额减少以</w:t>
            </w:r>
            <w:r w:rsidR="003F21E5" w:rsidRPr="004D5D71">
              <w:rPr>
                <w:color w:val="000000"/>
              </w:rPr>
              <w:t>“-”</w:t>
            </w:r>
            <w:r w:rsidR="003F21E5" w:rsidRPr="006664D2">
              <w:rPr>
                <w:rFonts w:hint="eastAsia"/>
                <w:color w:val="000000"/>
                <w:kern w:val="0"/>
                <w:sz w:val="24"/>
              </w:rPr>
              <w:t>填列）</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D614E" w:rsidRPr="007F52FA">
              <w:rPr>
                <w:rFonts w:eastAsiaTheme="minorEastAsia"/>
                <w:color w:val="000000"/>
                <w:sz w:val="24"/>
              </w:rPr>
              <w:t/>
            </w:r>
            <w:r w:rsidR="0042785F" w:rsidRPr="007F52FA">
              <w:rPr>
                <w:rFonts w:eastAsiaTheme="minorEastAsia"/>
                <w:color w:val="000000"/>
                <w:sz w:val="24"/>
              </w:rPr>
              <w:t>-</w:t>
            </w:r>
          </w:p>
        </w:tc>
      </w:tr>
      <w:tr w:rsidR="00936D40" w:rsidRPr="007F52FA" w:rsidTr="00735E32">
        <w:trPr>
          <w:jc w:val="center"/>
        </w:trPr>
        <w:tc>
          <w:tcPr>
            <w:tcW w:type="dxa" w:w="3900"/>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left"/>
              <w:rPr>
                <w:rFonts w:eastAsiaTheme="minorEastAsia"/>
                <w:color w:val="000000"/>
                <w:kern w:val="0"/>
                <w:sz w:val="24"/>
              </w:rPr>
            </w:pPr>
            <w:r w:rsidRPr="007F52FA">
              <w:rPr>
                <w:rFonts w:eastAsiaTheme="minorEastAsia"/>
                <w:color w:val="000000"/>
                <w:kern w:val="0"/>
                <w:sz w:val="24"/>
              </w:rPr>
              <w:t>报告期期末基金份额总额</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t/>
            </w:r>
            <w:r w:rsidR="0042785F" w:rsidRPr="007F52FA">
              <w:rPr>
                <w:rFonts w:eastAsiaTheme="minorEastAsia"/>
                <w:color w:val="000000"/>
                <w:sz w:val="24"/>
              </w:rPr>
              <w:t/>
            </w:r>
            <w:r w:rsidR="0042785F" w:rsidRPr="007F52FA">
              <w:rPr>
                <w:rFonts w:eastAsiaTheme="minorEastAsia"/>
                <w:color w:val="000000"/>
                <w:sz w:val="24"/>
              </w:rPr>
              <w:lastRenderedPageBreak/>
              <w:t>3,382,721,417.05</w:t>
            </w:r>
          </w:p>
        </w:tc>
        <w:tc>
          <w:tcPr>
            <w:tcW w:type="dxa" w:w="2367"/>
            <w:tcBorders>
              <w:top w:color="000000" w:space="0" w:sz="8" w:val="single"/>
              <w:left w:color="000000" w:space="0" w:sz="8" w:val="single"/>
              <w:bottom w:color="000000" w:space="0" w:sz="8" w:val="single"/>
              <w:right w:color="000000" w:space="0" w:sz="8" w:val="single"/>
            </w:tcBorders>
            <w:vAlign w:val="center"/>
          </w:tcPr>
          <w:p w:rsidP="007C14DF" w:rsidR="00936D40" w:rsidRDefault="00936D40" w:rsidRPr="007F52FA">
            <w:pPr>
              <w:autoSpaceDE w:val="0"/>
              <w:autoSpaceDN w:val="0"/>
              <w:adjustRightInd w:val="0"/>
              <w:spacing w:before="29" w:line="288" w:lineRule="auto"/>
              <w:ind w:left="17"/>
              <w:jc w:val="right"/>
              <w:rPr>
                <w:rFonts w:eastAsiaTheme="minorEastAsia"/>
                <w:color w:val="000000"/>
                <w:sz w:val="24"/>
              </w:rPr>
            </w:pPr>
            <w:r w:rsidRPr="007F52FA">
              <w:rPr>
                <w:rFonts w:eastAsiaTheme="minorEastAsia"/>
                <w:color w:val="000000"/>
                <w:sz w:val="24"/>
              </w:rPr>
              <w:lastRenderedPageBreak/>
              <w:t/>
            </w:r>
            <w:r w:rsidR="004D614E" w:rsidRPr="007F52FA">
              <w:rPr>
                <w:rFonts w:eastAsiaTheme="minorEastAsia"/>
                <w:color w:val="000000"/>
                <w:sz w:val="24"/>
              </w:rPr>
              <w:t/>
            </w:r>
            <w:r w:rsidR="004D614E" w:rsidRPr="007F52FA">
              <w:rPr>
                <w:rFonts w:eastAsiaTheme="minorEastAsia"/>
                <w:color w:val="000000"/>
                <w:sz w:val="24"/>
              </w:rPr>
              <w:lastRenderedPageBreak/>
              <w:t/>
            </w:r>
            <w:r w:rsidR="0042785F" w:rsidRPr="007F52FA">
              <w:rPr>
                <w:rFonts w:eastAsiaTheme="minorEastAsia"/>
                <w:color w:val="000000"/>
                <w:sz w:val="24"/>
              </w:rPr>
              <w:t>92,531.48</w:t>
            </w:r>
          </w:p>
        </w:tc>
      </w:tr>
    </w:tbl>
    <w:p>
      <w:pPr>
        <w:autoSpaceDE w:val="0"/>
        <w:autoSpaceDN w:val="0"/>
        <w:adjustRightInd w:val="0"/>
        <w:spacing w:before="29" w:line="288" w:lineRule="auto"/>
        <w:jc w:val="left"/>
        <w:rPr>
          <w:rFonts w:eastAsiaTheme="minorEastAsia"/>
          <w:color w:val="000000"/>
          <w:sz w:val="24"/>
        </w:rPr>
      </w:pPr>
      <w:r>
        <w:rPr>
          <w:rFonts w:eastAsiaTheme="minorEastAsia"/>
          <w:color w:val="000000"/>
          <w:sz w:val="24"/>
        </w:rPr>
        <w:t>注：1、如果本报告期间发生转换入、红利再投业务，则总申购份额中包含该业务；</w:t>
      </w:r>
    </w:p>
    <w:p w:rsidP="007C14DF" w:rsidR="00FB3C94" w:rsidRDefault="00FB3C94"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lastRenderedPageBreak/>
        <w:t xml:space="preserve"> 2、如果本报告期间发生转换出业务，则总赎回份额中包含该业务。</w:t>
      </w:r>
    </w:p>
    <w:p w:rsidP="007C14DF" w:rsidR="00426568" w:rsidRDefault="00426568">
      <w:pPr>
        <w:autoSpaceDE w:val="0"/>
        <w:autoSpaceDN w:val="0"/>
        <w:adjustRightInd w:val="0"/>
        <w:spacing w:before="29" w:line="288" w:lineRule="auto"/>
        <w:jc w:val="left"/>
        <w:rPr>
          <w:rFonts w:eastAsiaTheme="minorEastAsia"/>
          <w:color w:val="000000"/>
          <w:sz w:val="24"/>
        </w:rPr>
      </w:pPr>
    </w:p>
    <w:p w:rsidP="000A2988" w:rsidR="000673DA" w:rsidRDefault="00C51B4E" w:rsidRPr="000673DA">
      <w:pPr>
        <w:pStyle w:val="1"/>
        <w:tabs>
          <w:tab w:pos="4156" w:val="center"/>
          <w:tab w:pos="8312" w:val="right"/>
        </w:tabs>
        <w:spacing w:after="312" w:afterLines="100" w:before="312" w:beforeLines="100" w:line="288" w:lineRule="auto"/>
        <w:jc w:val="center"/>
        <w:rPr>
          <w:sz w:val="24"/>
          <w:szCs w:val="24"/>
        </w:rPr>
      </w:pPr>
      <w:r>
        <w:rPr>
          <w:color w:val="000000"/>
          <w:kern w:val="0"/>
          <w:sz w:val="24"/>
          <w:szCs w:val="24"/>
        </w:rPr>
        <w:t>§</w:t>
      </w:r>
      <w:r>
        <w:rPr>
          <w:rFonts w:hint="eastAsia"/>
          <w:color w:val="000000"/>
          <w:kern w:val="0"/>
          <w:sz w:val="24"/>
          <w:szCs w:val="24"/>
        </w:rPr>
        <w:t/>
      </w:r>
      <w:r w:rsidR="000673DA" w:rsidRPr="000673DA">
        <w:rPr>
          <w:color w:val="000000"/>
          <w:kern w:val="0"/>
          <w:sz w:val="24"/>
          <w:szCs w:val="24"/>
        </w:rPr>
        <w:t xml:space="preserve">7  </w:t>
      </w:r>
      <w:r w:rsidR="000673DA" w:rsidRPr="000673DA">
        <w:rPr>
          <w:rFonts w:hAnsi="宋体"/>
          <w:sz w:val="24"/>
          <w:szCs w:val="24"/>
        </w:rPr>
        <w:t>基金管理人运用固有资金投资本基金情况</w:t>
      </w:r>
    </w:p>
    <w:p w:rsidP="007C14DF" w:rsidR="000673DA" w:rsidRDefault="000673DA" w:rsidRPr="000673DA">
      <w:pPr>
        <w:spacing w:line="288" w:lineRule="auto"/>
        <w:jc w:val="left"/>
        <w:rPr>
          <w:sz w:val="24"/>
        </w:rPr>
      </w:pPr>
      <w:r w:rsidRPr="000673DA">
        <w:rPr>
          <w:b/>
          <w:sz w:val="24"/>
        </w:rPr>
        <w:t xml:space="preserve">7.1 </w:t>
      </w:r>
      <w:r w:rsidRPr="000673DA">
        <w:rPr>
          <w:rFonts w:hAnsi="宋体"/>
          <w:b/>
          <w:sz w:val="24"/>
        </w:rPr>
        <w:t>基金管理人持有本基金份额变动情况</w:t>
      </w:r>
    </w:p>
    <w:p w:rsidP="007C14DF" w:rsidR="008A3BCC" w:rsidRDefault="00AE55CC" w:rsidRPr="00AE55CC">
      <w:pPr>
        <w:autoSpaceDE w:val="0"/>
        <w:autoSpaceDN w:val="0"/>
        <w:adjustRightInd w:val="0"/>
        <w:spacing w:before="29" w:line="288" w:lineRule="auto"/>
        <w:jc w:val="left"/>
        <w:rPr>
          <w:color w:val="000000"/>
          <w:sz w:val="24"/>
        </w:rPr>
      </w:pPr>
      <w:r w:rsidRPr="00AE55CC">
        <w:rPr>
          <w:color w:val="000000"/>
          <w:sz w:val="24"/>
        </w:rPr>
        <w:t>本报告期内未发生基金管理人运用固有资金投资本基金的情况。</w:t>
      </w:r>
    </w:p>
    <w:p w:rsidP="007C14DF" w:rsidR="008A3BCC" w:rsidRDefault="008A3BCC">
      <w:pPr>
        <w:autoSpaceDE w:val="0"/>
        <w:autoSpaceDN w:val="0"/>
        <w:adjustRightInd w:val="0"/>
        <w:spacing w:before="29" w:line="288" w:lineRule="auto"/>
        <w:jc w:val="left"/>
        <w:rPr>
          <w:color w:val="000000"/>
          <w:sz w:val="24"/>
        </w:rPr>
      </w:pPr>
    </w:p>
    <w:p w:rsidP="00646AEE" w:rsidR="008A3BCC" w:rsidRDefault="000673DA" w:rsidRPr="008A3BCC">
      <w:pPr>
        <w:autoSpaceDE w:val="0"/>
        <w:autoSpaceDN w:val="0"/>
        <w:adjustRightInd w:val="0"/>
        <w:spacing w:before="29" w:line="288" w:lineRule="auto"/>
        <w:jc w:val="left"/>
        <w:rPr>
          <w:b/>
          <w:color w:val="000000"/>
          <w:sz w:val="24"/>
        </w:rPr>
      </w:pPr>
      <w:r w:rsidRPr="008A3BCC">
        <w:rPr>
          <w:b/>
          <w:sz w:val="24"/>
        </w:rPr>
        <w:t/>
      </w:r>
      <w:r w:rsidRPr="008A3BCC">
        <w:rPr>
          <w:rFonts w:hint="eastAsia"/>
          <w:b/>
          <w:sz w:val="24"/>
        </w:rPr>
        <w:t>7</w:t>
      </w:r>
      <w:r w:rsidRPr="008A3BCC">
        <w:rPr>
          <w:b/>
          <w:sz w:val="24"/>
        </w:rPr>
        <w:t>.</w:t>
      </w:r>
      <w:r w:rsidRPr="008A3BCC">
        <w:rPr>
          <w:rFonts w:hint="eastAsia"/>
          <w:b/>
          <w:sz w:val="24"/>
        </w:rPr>
        <w:t xml:space="preserve">2 </w:t>
      </w:r>
      <w:r w:rsidRPr="008A3BCC">
        <w:rPr>
          <w:rFonts w:hint="eastAsia"/>
          <w:b/>
          <w:sz w:val="24"/>
        </w:rPr>
        <w:t>基</w:t>
      </w:r>
      <w:r w:rsidRPr="008A3BCC">
        <w:rPr>
          <w:b/>
          <w:sz w:val="24"/>
        </w:rPr>
        <w:t>金管理人运用固有资金投资本基金交易明细</w:t>
      </w:r>
    </w:p>
    <w:p w:rsidP="007C14DF" w:rsidR="00285618" w:rsidRDefault="00285618" w:rsidRPr="007F52FA">
      <w:pPr>
        <w:autoSpaceDE w:val="0"/>
        <w:autoSpaceDN w:val="0"/>
        <w:adjustRightInd w:val="0"/>
        <w:spacing w:before="29" w:line="288" w:lineRule="auto"/>
        <w:jc w:val="left"/>
        <w:rPr>
          <w:rFonts w:eastAsiaTheme="minorEastAsia"/>
          <w:color w:val="000000"/>
          <w:sz w:val="24"/>
        </w:rPr>
      </w:pPr>
      <w:r w:rsidRPr="007F52FA">
        <w:rPr>
          <w:rFonts w:eastAsiaTheme="minorEastAsia"/>
          <w:color w:val="000000"/>
          <w:sz w:val="24"/>
        </w:rPr>
        <w:t>本基金管理人本报告期内未进行本基金的申购、赎回、红利再投等。</w:t>
      </w:r>
    </w:p>
    <w:p w:rsidP="007C14DF" w:rsidR="00F2646E" w:rsidRDefault="00F2646E" w:rsidRPr="007F52FA">
      <w:pPr>
        <w:autoSpaceDE w:val="0"/>
        <w:autoSpaceDN w:val="0"/>
        <w:adjustRightInd w:val="0"/>
        <w:spacing w:before="29" w:line="288" w:lineRule="auto"/>
        <w:jc w:val="left"/>
        <w:rPr>
          <w:rFonts w:eastAsiaTheme="minorEastAsia"/>
          <w:color w:val="000000"/>
          <w:sz w:val="24"/>
        </w:rPr>
      </w:pPr>
    </w:p>
    <w:p w:rsidP="000A2988" w:rsidR="00ED0E09" w:rsidRDefault="00ED0E09">
      <w:pPr>
        <w:pStyle w:val="1"/>
        <w:spacing w:after="312" w:afterLines="100" w:before="312" w:beforeLines="100" w:line="360" w:lineRule="auto"/>
        <w:jc w:val="center"/>
        <w:rPr>
          <w:rFonts w:eastAsiaTheme="minorEastAsia"/>
          <w:color w:themeColor="text1" w:val="000000"/>
          <w:kern w:val="0"/>
          <w:sz w:val="21"/>
          <w:szCs w:val="21"/>
        </w:rPr>
      </w:pPr>
      <w:r>
        <w:rPr>
          <w:rFonts w:eastAsiaTheme="minorEastAsia"/>
          <w:color w:themeColor="text1" w:val="000000"/>
          <w:kern w:val="0"/>
          <w:sz w:val="21"/>
          <w:szCs w:val="21"/>
        </w:rPr>
        <w:t xml:space="preserve">§8 </w:t>
      </w:r>
      <w:r w:rsidR="00F139D5">
        <w:rPr>
          <w:rFonts w:eastAsiaTheme="minorEastAsia"/>
          <w:color w:themeColor="text1" w:val="000000"/>
          <w:kern w:val="0"/>
          <w:sz w:val="21"/>
          <w:szCs w:val="21"/>
        </w:rPr>
        <w:t xml:space="preserve"> </w:t>
      </w:r>
      <w:r>
        <w:rPr>
          <w:rFonts w:eastAsiaTheme="minorEastAsia" w:hint="eastAsia"/>
          <w:color w:themeColor="text1" w:val="000000"/>
          <w:kern w:val="0"/>
          <w:sz w:val="21"/>
          <w:szCs w:val="21"/>
        </w:rPr>
        <w:t>影响投资者决策的其他重要信息</w:t>
      </w:r>
    </w:p>
    <w:p w:rsidP="00ED0E09" w:rsidR="00ED0E09" w:rsidRDefault="00ED0E09">
      <w:pPr>
        <w:autoSpaceDE w:val="0"/>
        <w:autoSpaceDN w:val="0"/>
        <w:adjustRightInd w:val="0"/>
        <w:spacing w:line="360" w:lineRule="auto"/>
        <w:jc w:val="left"/>
        <w:rPr>
          <w:rFonts w:ascii="宋体" w:hAnsi="宋体"/>
          <w:b/>
          <w:bCs/>
          <w:color w:val="000000"/>
          <w:kern w:val="0"/>
          <w:szCs w:val="21"/>
        </w:rPr>
      </w:pPr>
      <w:r>
        <w:rPr>
          <w:rFonts w:ascii="宋体" w:hAnsi="宋体" w:hint="eastAsia"/>
          <w:b/>
          <w:color w:val="000000"/>
          <w:kern w:val="0"/>
          <w:szCs w:val="21"/>
        </w:rPr>
        <w:t/>
      </w:r>
      <w:r>
        <w:rPr>
          <w:rFonts w:ascii="宋体" w:hAnsi="宋体" w:hint="eastAsia"/>
          <w:b/>
          <w:bCs/>
          <w:color w:val="000000"/>
          <w:kern w:val="0"/>
          <w:szCs w:val="21"/>
        </w:rPr>
        <w:t>8.1 报告期内单一投资者持有基金份额比例达到或超过20%的情况</w:t>
      </w:r>
    </w:p>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92"/>
        <w:gridCol w:w="991"/>
        <w:gridCol w:w="1843"/>
        <w:gridCol w:w="851"/>
        <w:gridCol w:w="850"/>
        <w:gridCol w:w="1134"/>
        <w:gridCol w:w="1419"/>
        <w:gridCol w:w="1130"/>
      </w:tblGrid>
      <w:tr w:rsidR="00ED0E09" w:rsidTr="00ED0E09">
        <w:tc>
          <w:tcPr>
            <w:tcW w:type="dxa" w:w="993"/>
            <w:vMerge w:val="restart"/>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 xml:space="preserve">投资者类别  </w:t>
            </w:r>
          </w:p>
        </w:tc>
        <w:tc>
          <w:tcPr>
            <w:tcW w:type="dxa" w:w="5670"/>
            <w:gridSpan w:val="5"/>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报告期内持有基金份额变化情况</w:t>
            </w:r>
          </w:p>
        </w:tc>
        <w:tc>
          <w:tcPr>
            <w:tcW w:type="dxa" w:w="2549"/>
            <w:gridSpan w:val="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报告期末持有基金情况</w:t>
            </w:r>
          </w:p>
        </w:tc>
      </w:tr>
      <w:tr w:rsidR="00ED0E09" w:rsidTr="00ED0E09">
        <w:tc>
          <w:tcPr>
            <w:tcW w:type="dxa" w:w="993"/>
            <w:vMerge/>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left"/>
              <w:rPr>
                <w:rFonts w:ascii="宋体" w:hAnsi="宋体"/>
                <w:b/>
                <w:bCs/>
                <w:color w:val="000000"/>
                <w:kern w:val="0"/>
                <w:szCs w:val="21"/>
              </w:rPr>
            </w:pPr>
          </w:p>
        </w:tc>
        <w:tc>
          <w:tcPr>
            <w:tcW w:type="dxa" w:w="99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序号</w:t>
            </w:r>
          </w:p>
        </w:tc>
        <w:tc>
          <w:tcPr>
            <w:tcW w:type="dxa" w:w="1843"/>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持有基金份额比例达到或者超过20%的时间区间</w:t>
            </w:r>
          </w:p>
        </w:tc>
        <w:tc>
          <w:tcPr>
            <w:tcW w:type="dxa" w:w="851"/>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期初份额</w:t>
            </w:r>
          </w:p>
        </w:tc>
        <w:tc>
          <w:tcPr>
            <w:tcW w:type="dxa" w:w="850"/>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申购份额</w:t>
            </w:r>
          </w:p>
        </w:tc>
        <w:tc>
          <w:tcPr>
            <w:tcW w:type="dxa" w:w="1134"/>
            <w:tcBorders>
              <w:top w:color="auto" w:space="0" w:sz="4" w:val="single"/>
              <w:left w:color="auto" w:space="0" w:sz="4" w:val="single"/>
              <w:bottom w:color="auto" w:space="0" w:sz="4" w:val="single"/>
              <w:right w:color="auto" w:space="0" w:sz="4" w:val="single"/>
            </w:tcBorders>
            <w:vAlign w:val="center"/>
            <w:hideMark/>
          </w:tcPr>
          <w:p w:rsidR="00ED0E09" w:rsidRDefault="00ED0E09">
            <w:pPr>
              <w:widowControl/>
              <w:jc w:val="center"/>
              <w:rPr>
                <w:rFonts w:ascii="宋体" w:hAnsi="宋体"/>
                <w:b/>
                <w:bCs/>
                <w:color w:val="000000"/>
                <w:kern w:val="0"/>
                <w:szCs w:val="21"/>
              </w:rPr>
            </w:pPr>
            <w:r>
              <w:rPr>
                <w:rFonts w:ascii="宋体" w:hAnsi="宋体" w:hint="eastAsia"/>
                <w:color w:val="000000"/>
                <w:kern w:val="0"/>
                <w:szCs w:val="21"/>
              </w:rPr>
              <w:t>赎回份额</w:t>
            </w:r>
          </w:p>
        </w:tc>
        <w:tc>
          <w:tcPr>
            <w:tcW w:type="dxa" w:w="1419"/>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持有份额</w:t>
            </w:r>
          </w:p>
        </w:tc>
        <w:tc>
          <w:tcPr>
            <w:tcW w:type="dxa" w:w="1130"/>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b/>
                <w:bCs/>
                <w:color w:val="000000"/>
                <w:kern w:val="0"/>
                <w:szCs w:val="21"/>
              </w:rPr>
            </w:pPr>
            <w:r>
              <w:rPr>
                <w:rFonts w:ascii="宋体" w:hAnsi="宋体" w:hint="eastAsia"/>
                <w:color w:val="000000"/>
                <w:kern w:val="0"/>
                <w:szCs w:val="21"/>
              </w:rPr>
              <w:t>份额占比</w:t>
            </w:r>
          </w:p>
        </w:tc>
      </w:tr>
      <w:tr>
        <w:tc>
          <w:tcPr>
            <w:vMerge w:val="restart"/>
          </w:tcPr>
          <w:p/>
          <w:p>
            <w:r>
              <w:rPr>
                <w:rFonts w:ascii="宋体" w:hAnsi="宋体" w:hint="eastAsia"/>
                <w:bCs/>
                <w:color w:val="000000"/>
                <w:kern w:val="0"/>
                <w:szCs w:val="21"/>
              </w:rPr>
              <w:t>机构</w:t>
            </w:r>
          </w:p>
        </w:tc>
        <w:tc>
          <w:tcPr>
            <w:vAlign w:val="center"/>
          </w:tcPr>
          <w:p>
            <w:pPr>
              <w:jc w:val="center"/>
            </w:pPr>
            <w:r>
              <w:rPr>
                <w:rFonts w:ascii="宋体" w:hAnsi="宋体" w:hint="eastAsia"/>
                <w:color w:val="000000"/>
                <w:kern w:val="0"/>
                <w:szCs w:val="21"/>
              </w:rPr>
              <w:t>1</w:t>
            </w:r>
          </w:p>
        </w:tc>
        <w:tc>
          <w:tcPr>
            <w:vAlign w:val="center"/>
          </w:tcPr>
          <w:p>
            <w:pPr>
              <w:jc w:val="center"/>
            </w:pPr>
            <w:r>
              <w:rPr>
                <w:rFonts w:ascii="宋体" w:hAnsi="宋体" w:hint="eastAsia"/>
                <w:color w:val="000000"/>
                <w:kern w:val="0"/>
                <w:szCs w:val="21"/>
              </w:rPr>
              <w:t>2020/7/1-2020/9/30</w:t>
            </w:r>
          </w:p>
        </w:tc>
        <w:tc>
          <w:tcPr>
            <w:vAlign w:val="center"/>
          </w:tcPr>
          <w:p>
            <w:pPr>
              <w:jc w:val="center"/>
            </w:pPr>
            <w:r>
              <w:rPr>
                <w:rFonts w:ascii="宋体" w:hAnsi="宋体" w:hint="eastAsia"/>
                <w:color w:val="000000"/>
                <w:kern w:val="0"/>
                <w:szCs w:val="21"/>
              </w:rPr>
              <w:t>3,382,690,550.12</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w:t>
            </w:r>
          </w:p>
        </w:tc>
        <w:tc>
          <w:tcPr>
            <w:vAlign w:val="center"/>
          </w:tcPr>
          <w:p>
            <w:pPr>
              <w:jc w:val="center"/>
            </w:pPr>
            <w:r>
              <w:rPr>
                <w:rFonts w:ascii="宋体" w:hAnsi="宋体" w:hint="eastAsia"/>
                <w:color w:val="000000"/>
                <w:kern w:val="0"/>
                <w:szCs w:val="21"/>
              </w:rPr>
              <w:t>3,382,690,550.12</w:t>
            </w:r>
          </w:p>
        </w:tc>
        <w:tc>
          <w:tcPr>
            <w:vAlign w:val="center"/>
          </w:tcPr>
          <w:p>
            <w:pPr>
              <w:jc w:val="center"/>
            </w:pPr>
            <w:r>
              <w:rPr>
                <w:rFonts w:ascii="宋体" w:hAnsi="宋体" w:hint="eastAsia"/>
                <w:color w:val="000000"/>
                <w:kern w:val="0"/>
                <w:szCs w:val="21"/>
              </w:rPr>
              <w:t>100.00%</w:t>
            </w:r>
          </w:p>
        </w:tc>
      </w:tr>
    </w:tbl>
    <w:tbl>
      <w:tblPr>
        <w:tblW w:type="dxa" w:w="9210"/>
        <w:tblInd w:type="dxa" w:w="-176"/>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Layout w:type="fixed"/>
        <w:tblLook w:firstColumn="1" w:firstRow="1" w:lastColumn="0" w:lastRow="0" w:noHBand="0" w:noVBand="1" w:val="04A0"/>
      </w:tblPr>
      <w:tblGrid>
        <w:gridCol w:w="9210"/>
      </w:tblGrid>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center"/>
              <w:rPr>
                <w:rFonts w:ascii="宋体" w:hAnsi="宋体"/>
                <w:kern w:val="0"/>
                <w:szCs w:val="21"/>
              </w:rPr>
            </w:pPr>
            <w:r>
              <w:rPr>
                <w:rFonts w:ascii="宋体" w:hAnsi="宋体" w:hint="eastAsia"/>
                <w:color w:val="000000"/>
                <w:kern w:val="0"/>
                <w:szCs w:val="21"/>
              </w:rPr>
              <w:t>产品特有风险</w:t>
            </w:r>
            <w:r>
              <w:rPr>
                <w:rFonts w:ascii="宋体" w:hAnsi="宋体" w:hint="eastAsia"/>
                <w:kern w:val="0"/>
                <w:szCs w:val="21"/>
              </w:rPr>
              <w:t/>
            </w:r>
          </w:p>
        </w:tc>
      </w:tr>
      <w:tr w:rsidR="00ED0E09" w:rsidTr="00ED0E09">
        <w:tc>
          <w:tcPr>
            <w:tcW w:type="dxa" w:w="9212"/>
            <w:tcBorders>
              <w:top w:color="auto" w:space="0" w:sz="4" w:val="single"/>
              <w:left w:color="auto" w:space="0" w:sz="4" w:val="single"/>
              <w:bottom w:color="auto" w:space="0" w:sz="4" w:val="single"/>
              <w:right w:color="auto" w:space="0" w:sz="4" w:val="single"/>
            </w:tcBorders>
            <w:vAlign w:val="center"/>
            <w:hideMark/>
          </w:tcPr>
          <w:p w:rsidR="00ED0E09" w:rsidRDefault="00ED0E09">
            <w:pPr>
              <w:autoSpaceDE w:val="0"/>
              <w:autoSpaceDN w:val="0"/>
              <w:adjustRightInd w:val="0"/>
              <w:jc w:val="left"/>
              <w:rPr>
                <w:rFonts w:ascii="宋体" w:hAnsi="宋体"/>
                <w:kern w:val="0"/>
                <w:szCs w:val="21"/>
              </w:rPr>
            </w:pPr>
            <w:r>
              <w:rPr>
                <w:rFonts w:ascii="宋体" w:hAnsi="宋体" w:hint="eastAsia"/>
                <w:kern w:val="0"/>
                <w:szCs w:val="21"/>
              </w:rPr>
              <w:t>本基金本报告期内出现单一投资者持有基金份额比例超过基金总份额20%的情况。如该类投资者集中赎回，可能会对本基金带来流动性冲击，从而影响基金的投资运作和收益水平。基金管理人将加强流动性管理，防范相关风险，保护持有人利益。</w:t>
            </w:r>
          </w:p>
        </w:tc>
      </w:tr>
    </w:tbl>
    <w:p w:rsidP="000A2988" w:rsidR="00175E3A" w:rsidRDefault="009238DB" w:rsidRPr="007032A6">
      <w:pPr>
        <w:pStyle w:val="1"/>
        <w:spacing w:after="312" w:afterLines="100" w:before="312" w:beforeLines="100" w:line="288" w:lineRule="auto"/>
        <w:jc w:val="center"/>
        <w:rPr>
          <w:rFonts w:eastAsiaTheme="minorEastAsia"/>
          <w:color w:val="000000"/>
          <w:kern w:val="0"/>
          <w:sz w:val="24"/>
          <w:szCs w:val="24"/>
        </w:rPr>
      </w:pPr>
      <w:r w:rsidRPr="007F52FA">
        <w:rPr>
          <w:rFonts w:eastAsiaTheme="minorEastAsia"/>
          <w:color w:val="000000"/>
          <w:kern w:val="0"/>
          <w:sz w:val="24"/>
          <w:szCs w:val="24"/>
        </w:rPr>
        <w:t>§</w:t>
      </w:r>
      <w:r w:rsidR="00A14399" w:rsidRPr="007F52FA">
        <w:rPr>
          <w:rFonts w:eastAsiaTheme="minorEastAsia"/>
          <w:color w:val="000000"/>
          <w:kern w:val="0"/>
          <w:sz w:val="24"/>
          <w:szCs w:val="24"/>
        </w:rPr>
        <w:t/>
      </w:r>
      <w:r w:rsidR="00D13A01" w:rsidRPr="007F52FA">
        <w:rPr>
          <w:rFonts w:eastAsiaTheme="minorEastAsia"/>
          <w:color w:val="000000"/>
          <w:kern w:val="0"/>
          <w:sz w:val="24"/>
          <w:szCs w:val="24"/>
        </w:rPr>
        <w:t/>
      </w:r>
      <w:r w:rsidR="00A14399" w:rsidRPr="007F52FA">
        <w:rPr>
          <w:rFonts w:eastAsiaTheme="minorEastAsia"/>
          <w:color w:val="000000"/>
          <w:kern w:val="0"/>
          <w:sz w:val="24"/>
          <w:szCs w:val="24"/>
        </w:rPr>
        <w:t>9</w:t>
      </w:r>
      <w:r w:rsidR="00F30496">
        <w:rPr>
          <w:rFonts w:eastAsiaTheme="minorEastAsia"/>
          <w:color w:val="000000"/>
          <w:kern w:val="0"/>
          <w:sz w:val="24"/>
          <w:szCs w:val="24"/>
        </w:rPr>
        <w:t xml:space="preserve">  </w:t>
      </w:r>
      <w:r w:rsidRPr="007F52FA">
        <w:rPr>
          <w:rFonts w:eastAsiaTheme="minorEastAsia"/>
          <w:color w:val="000000"/>
          <w:kern w:val="0"/>
          <w:sz w:val="24"/>
          <w:szCs w:val="24"/>
        </w:rPr>
        <w:t>备查文件目录</w:t>
      </w:r>
    </w:p>
    <w:p w:rsidP="007C14DF" w:rsidR="00FB3C94" w:rsidRDefault="00A14399"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
      </w:r>
      <w:r w:rsidR="00D13A01" w:rsidRPr="007F52FA">
        <w:rPr>
          <w:rFonts w:eastAsiaTheme="minorEastAsia"/>
          <w:b/>
          <w:bCs/>
          <w:color w:val="000000"/>
          <w:kern w:val="0"/>
          <w:sz w:val="24"/>
        </w:rPr>
        <w:t/>
      </w:r>
      <w:r w:rsidRPr="007F52FA">
        <w:rPr>
          <w:rFonts w:eastAsiaTheme="minorEastAsia"/>
          <w:b/>
          <w:bCs/>
          <w:color w:val="000000"/>
          <w:kern w:val="0"/>
          <w:sz w:val="24"/>
        </w:rPr>
        <w:t>9.</w:t>
      </w:r>
      <w:r w:rsidR="00D13A01" w:rsidRPr="007F52FA">
        <w:rPr>
          <w:rFonts w:eastAsiaTheme="minorEastAsia"/>
          <w:b/>
          <w:bCs/>
          <w:color w:val="000000"/>
          <w:kern w:val="0"/>
          <w:sz w:val="24"/>
        </w:rPr>
        <w:t>1</w:t>
      </w:r>
      <w:r w:rsidR="00FB3C94" w:rsidRPr="007F52FA">
        <w:rPr>
          <w:rFonts w:eastAsiaTheme="minorEastAsia"/>
          <w:b/>
          <w:bCs/>
          <w:color w:val="000000"/>
          <w:kern w:val="0"/>
          <w:sz w:val="24"/>
        </w:rPr>
        <w:t>备查文件目录</w:t>
      </w:r>
    </w:p>
    <w:p>
      <w:pPr>
        <w:spacing w:before="29" w:line="288" w:lineRule="auto"/>
        <w:ind w:firstLine="480" w:firstLineChars="200"/>
        <w:rPr>
          <w:rFonts w:eastAsiaTheme="minorEastAsia"/>
          <w:color w:val="000000"/>
          <w:sz w:val="24"/>
        </w:rPr>
      </w:pPr>
      <w:r>
        <w:rPr>
          <w:rFonts w:eastAsiaTheme="minorEastAsia"/>
          <w:color w:val="000000"/>
          <w:sz w:val="24"/>
        </w:rPr>
        <w:t xml:space="preserve">1、中国证监会准予交银施罗德裕利纯债债券型证券投资基金募集注册的文件； </w:t>
      </w:r>
    </w:p>
    <w:p>
      <w:pPr>
        <w:spacing w:before="29" w:line="288" w:lineRule="auto"/>
        <w:ind w:firstLine="480" w:firstLineChars="200"/>
        <w:rPr>
          <w:rFonts w:eastAsiaTheme="minorEastAsia"/>
          <w:color w:val="000000"/>
          <w:sz w:val="24"/>
        </w:rPr>
      </w:pPr>
      <w:r>
        <w:rPr>
          <w:rFonts w:eastAsiaTheme="minorEastAsia"/>
          <w:color w:val="000000"/>
          <w:sz w:val="24"/>
        </w:rPr>
        <w:t xml:space="preserve">2、《交银施罗德裕利纯债债券型证券投资基金基金合同》； </w:t>
      </w:r>
    </w:p>
    <w:p>
      <w:pPr>
        <w:spacing w:before="29" w:line="288" w:lineRule="auto"/>
        <w:ind w:firstLine="480" w:firstLineChars="200"/>
        <w:rPr>
          <w:rFonts w:eastAsiaTheme="minorEastAsia"/>
          <w:color w:val="000000"/>
          <w:sz w:val="24"/>
        </w:rPr>
      </w:pPr>
      <w:r>
        <w:rPr>
          <w:rFonts w:eastAsiaTheme="minorEastAsia"/>
          <w:color w:val="000000"/>
          <w:sz w:val="24"/>
        </w:rPr>
        <w:t xml:space="preserve">3、《交银施罗德裕利纯债债券型证券投资基金招募说明书》； </w:t>
      </w:r>
    </w:p>
    <w:p>
      <w:pPr>
        <w:spacing w:before="29" w:line="288" w:lineRule="auto"/>
        <w:ind w:firstLine="480" w:firstLineChars="200"/>
        <w:rPr>
          <w:rFonts w:eastAsiaTheme="minorEastAsia"/>
          <w:color w:val="000000"/>
          <w:sz w:val="24"/>
        </w:rPr>
      </w:pPr>
      <w:r>
        <w:rPr>
          <w:rFonts w:eastAsiaTheme="minorEastAsia"/>
          <w:color w:val="000000"/>
          <w:sz w:val="24"/>
        </w:rPr>
        <w:t xml:space="preserve">4、《交银施罗德裕利纯债债券型证券投资基金托管协议》； </w:t>
      </w:r>
    </w:p>
    <w:p>
      <w:pPr>
        <w:spacing w:before="29" w:line="288" w:lineRule="auto"/>
        <w:ind w:firstLine="480" w:firstLineChars="200"/>
        <w:rPr>
          <w:rFonts w:eastAsiaTheme="minorEastAsia"/>
          <w:color w:val="000000"/>
          <w:sz w:val="24"/>
        </w:rPr>
      </w:pPr>
      <w:r>
        <w:rPr>
          <w:rFonts w:eastAsiaTheme="minorEastAsia"/>
          <w:color w:val="000000"/>
          <w:sz w:val="24"/>
        </w:rPr>
        <w:t xml:space="preserve">5、关于申请募集注册交银施罗德裕利纯债债券型证券投资基金的法律意见书； </w:t>
      </w:r>
    </w:p>
    <w:p>
      <w:pPr>
        <w:spacing w:before="29" w:line="288" w:lineRule="auto"/>
        <w:ind w:firstLine="480" w:firstLineChars="200"/>
        <w:rPr>
          <w:rFonts w:eastAsiaTheme="minorEastAsia"/>
          <w:color w:val="000000"/>
          <w:sz w:val="24"/>
        </w:rPr>
      </w:pPr>
      <w:r>
        <w:rPr>
          <w:rFonts w:eastAsiaTheme="minorEastAsia"/>
          <w:color w:val="000000"/>
          <w:sz w:val="24"/>
        </w:rPr>
        <w:t xml:space="preserve">6、基金管理人业务资格批件、营业执照； </w:t>
      </w:r>
    </w:p>
    <w:p>
      <w:pPr>
        <w:spacing w:before="29" w:line="288" w:lineRule="auto"/>
        <w:ind w:firstLine="480" w:firstLineChars="200"/>
        <w:rPr>
          <w:rFonts w:eastAsiaTheme="minorEastAsia"/>
          <w:color w:val="000000"/>
          <w:sz w:val="24"/>
        </w:rPr>
      </w:pPr>
      <w:r>
        <w:rPr>
          <w:rFonts w:eastAsiaTheme="minorEastAsia"/>
          <w:color w:val="000000"/>
          <w:sz w:val="24"/>
        </w:rPr>
        <w:t xml:space="preserve">7、基金托管人业务资格批件、营业执照； </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8、报告期内交银施罗德裕利纯债债券型证券投资基金在指定报刊上各项公告的原稿。</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lastRenderedPageBreak/>
        <w:t>9.2</w:t>
      </w:r>
      <w:r w:rsidR="00FB3C94" w:rsidRPr="007F52FA">
        <w:rPr>
          <w:rFonts w:eastAsiaTheme="minorEastAsia"/>
          <w:b/>
          <w:bCs/>
          <w:color w:val="000000"/>
          <w:kern w:val="0"/>
          <w:sz w:val="24"/>
        </w:rPr>
        <w:t>存放地点</w:t>
      </w:r>
    </w:p>
    <w:p w:rsidP="007C14DF" w:rsidR="00FB3C94"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备查文件存放于基金管理人的办公场所。</w:t>
      </w:r>
    </w:p>
    <w:p w:rsidP="007C14DF" w:rsidR="00F11783" w:rsidRDefault="00F11783" w:rsidRPr="007F52FA">
      <w:pPr>
        <w:spacing w:before="29" w:line="288" w:lineRule="auto"/>
        <w:ind w:firstLine="480" w:firstLineChars="200"/>
        <w:rPr>
          <w:rFonts w:eastAsiaTheme="minorEastAsia"/>
          <w:color w:val="000000"/>
          <w:sz w:val="24"/>
        </w:rPr>
      </w:pPr>
    </w:p>
    <w:p w:rsidP="007C14DF" w:rsidR="00FB3C94" w:rsidRDefault="00D13A01" w:rsidRPr="007F52FA">
      <w:pPr>
        <w:autoSpaceDE w:val="0"/>
        <w:autoSpaceDN w:val="0"/>
        <w:adjustRightInd w:val="0"/>
        <w:spacing w:before="29" w:line="288" w:lineRule="auto"/>
        <w:jc w:val="left"/>
        <w:rPr>
          <w:rFonts w:eastAsiaTheme="minorEastAsia"/>
          <w:b/>
          <w:bCs/>
          <w:color w:val="000000"/>
          <w:kern w:val="0"/>
          <w:sz w:val="24"/>
        </w:rPr>
      </w:pPr>
      <w:r w:rsidRPr="007F52FA">
        <w:rPr>
          <w:rFonts w:eastAsiaTheme="minorEastAsia"/>
          <w:b/>
          <w:bCs/>
          <w:color w:val="000000"/>
          <w:kern w:val="0"/>
          <w:sz w:val="24"/>
        </w:rPr>
        <w:t>9.3</w:t>
      </w:r>
      <w:r w:rsidR="00FB3C94" w:rsidRPr="007F52FA">
        <w:rPr>
          <w:rFonts w:eastAsiaTheme="minorEastAsia"/>
          <w:b/>
          <w:bCs/>
          <w:color w:val="000000"/>
          <w:kern w:val="0"/>
          <w:sz w:val="24"/>
        </w:rPr>
        <w:t>查阅方式</w:t>
      </w:r>
    </w:p>
    <w:p>
      <w:pPr>
        <w:spacing w:before="29" w:line="288" w:lineRule="auto"/>
        <w:ind w:firstLine="480" w:firstLineChars="200"/>
        <w:rPr>
          <w:rFonts w:eastAsiaTheme="minorEastAsia"/>
          <w:color w:val="000000"/>
          <w:sz w:val="24"/>
        </w:rPr>
      </w:pPr>
      <w:r>
        <w:rPr>
          <w:rFonts w:eastAsiaTheme="minorEastAsia"/>
          <w:color w:val="000000"/>
          <w:sz w:val="24"/>
        </w:rPr>
        <w:t xml:space="preserve">投资者可在办公时间内至基金管理人的办公场所免费查阅备查文件，或者登录基金管理人的网站(www.fund001.com)查阅。在支付工本费后，投资者可在合理时间内取得上述文件的复制件或复印件。 </w:t>
      </w:r>
    </w:p>
    <w:p w:rsidP="007C14DF" w:rsidR="009238DB" w:rsidRDefault="00FB3C94" w:rsidRPr="007F52FA">
      <w:pPr>
        <w:spacing w:before="29" w:line="288" w:lineRule="auto"/>
        <w:ind w:firstLine="480" w:firstLineChars="200"/>
        <w:rPr>
          <w:rFonts w:eastAsiaTheme="minorEastAsia"/>
          <w:color w:val="000000"/>
          <w:sz w:val="24"/>
        </w:rPr>
      </w:pPr>
      <w:r w:rsidRPr="007F52FA">
        <w:rPr>
          <w:rFonts w:eastAsiaTheme="minorEastAsia"/>
          <w:color w:val="000000"/>
          <w:sz w:val="24"/>
        </w:rPr>
        <w:t>投资者对本报告书如有疑问，可咨询本基金管理人交银施罗德基金管理有限公司。本公司客户服务中心电话：400-700-5000（免长途话费），021-61055000，电子邮件：services@jysld.com。</w:t>
      </w:r>
    </w:p>
    <w:p w:rsidP="007C14DF" w:rsidR="004D36DF" w:rsidRDefault="004D36DF" w:rsidRPr="007F52FA">
      <w:pPr>
        <w:spacing w:before="29" w:line="288" w:lineRule="auto"/>
        <w:ind w:firstLine="480" w:firstLineChars="200"/>
        <w:rPr>
          <w:rFonts w:eastAsiaTheme="minorEastAsia"/>
          <w:color w:val="000000"/>
          <w:sz w:val="24"/>
        </w:rPr>
      </w:pPr>
    </w:p>
    <w:sectPr w:rsidR="004D36DF" w:rsidRPr="007F52FA" w:rsidSect="007A5233">
      <w:footerReference r:id="rId16" w:type="even"/>
      <w:pgSz w:h="16838" w:w="11906"/>
      <w:pgMar w:bottom="1440" w:footer="992" w:gutter="0" w:header="851" w:left="1440" w:right="1440" w:top="1440"/>
      <w:cols w:space="425"/>
      <w:docGrid w:linePitch="312" w:type="lines"/>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685AD1" w:rsidRDefault="00685AD1">
      <w:r>
        <w:separator/>
      </w:r>
    </w:p>
  </w:endnote>
  <w:endnote w:type="continuationSeparator" w:id="0">
    <w:p w:rsidR="00685AD1" w:rsidRDefault="00685AD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E0002AFF" w:usb1="C0007841"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Courier New">
    <w:panose1 w:val="02070309020205020404"/>
    <w:charset w:val="00"/>
    <w:family w:val="modern"/>
    <w:notTrueType/>
    <w:pitch w:val="fixed"/>
    <w:sig w:usb0="00000003" w:usb1="00000000" w:usb2="00000000" w:usb3="00000000" w:csb0="00000001" w:csb1="00000000"/>
  </w:font>
  <w:font w:name="FangSong">
    <w:charset w:val="86"/>
    <w:family w:val="modern"/>
    <w:pitch w:val="fixed"/>
    <w:sig w:usb0="800002BF" w:usb1="38CF7CFA" w:usb2="00000016" w:usb3="00000000" w:csb0="0004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2.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F7094A" w:rsidR="007F50FB" w:rsidRDefault="007F50FB" w:rsidRPr="001D0DB0">
    <w:pPr>
      <w:pStyle w:val="a6"/>
      <w:jc w:val="center"/>
    </w:pPr>
    <w:r>
      <w:rPr>
        <w:rFonts w:hint="eastAsia"/>
        <w:kern w:val="0"/>
        <w:szCs w:val="21"/>
      </w:rPr>
      <w:t>第</w:t>
    </w:r>
    <w:r w:rsidR="0042114A">
      <w:rPr>
        <w:kern w:val="0"/>
        <w:szCs w:val="21"/>
      </w:rPr>
      <w:fldChar w:fldCharType="begin"/>
    </w:r>
    <w:r>
      <w:rPr>
        <w:kern w:val="0"/>
        <w:szCs w:val="21"/>
      </w:rPr>
      <w:instrText xml:space="preserve"> PAGE </w:instrText>
    </w:r>
    <w:r w:rsidR="0042114A">
      <w:rPr>
        <w:kern w:val="0"/>
        <w:szCs w:val="21"/>
      </w:rPr>
      <w:fldChar w:fldCharType="separate"/>
    </w:r>
    <w:r w:rsidR="00885AD9">
      <w:rPr>
        <w:noProof/>
        <w:kern w:val="0"/>
        <w:szCs w:val="21"/>
      </w:rPr>
      <w:t>19</w:t>
    </w:r>
    <w:r w:rsidR="0042114A">
      <w:rPr>
        <w:kern w:val="0"/>
        <w:szCs w:val="21"/>
      </w:rPr>
      <w:fldChar w:fldCharType="end"/>
    </w:r>
    <w:r>
      <w:rPr>
        <w:rFonts w:hint="eastAsia"/>
        <w:kern w:val="0"/>
        <w:szCs w:val="21"/>
      </w:rPr>
      <w:t>页共</w:t>
    </w:r>
    <w:r w:rsidR="0042114A">
      <w:rPr>
        <w:kern w:val="0"/>
        <w:szCs w:val="21"/>
      </w:rPr>
      <w:fldChar w:fldCharType="begin"/>
    </w:r>
    <w:r>
      <w:rPr>
        <w:kern w:val="0"/>
        <w:szCs w:val="21"/>
      </w:rPr>
      <w:instrText xml:space="preserve"> NUMPAGES </w:instrText>
    </w:r>
    <w:r w:rsidR="0042114A">
      <w:rPr>
        <w:kern w:val="0"/>
        <w:szCs w:val="21"/>
      </w:rPr>
      <w:fldChar w:fldCharType="separate"/>
    </w:r>
    <w:r w:rsidR="00885AD9">
      <w:rPr>
        <w:noProof/>
        <w:kern w:val="0"/>
        <w:szCs w:val="21"/>
      </w:rPr>
      <w:t>27</w:t>
    </w:r>
    <w:r w:rsidR="0042114A">
      <w:rPr>
        <w:kern w:val="0"/>
        <w:szCs w:val="21"/>
      </w:rPr>
      <w:fldChar w:fldCharType="end"/>
    </w:r>
    <w:r>
      <w:rPr>
        <w:rFonts w:hint="eastAsia"/>
        <w:kern w:val="0"/>
        <w:szCs w:val="21"/>
      </w:rPr>
      <w:t>页</w:t>
    </w:r>
  </w:p>
</w:ftr>
</file>

<file path=word/footer3.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6"/>
    </w:pPr>
  </w:p>
</w:ftr>
</file>

<file path=word/footer4.xml><?xml version="1.0" encoding="utf-8"?>
<w:ft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7F50FB" w:rsidRDefault="0042114A">
    <w:pPr>
      <w:pStyle w:val="a6"/>
      <w:framePr w:hAnchor="margin" w:vAnchor="text" w:wrap="around" w:xAlign="center" w:y="1"/>
      <w:rPr>
        <w:rStyle w:val="a7"/>
      </w:rPr>
    </w:pPr>
    <w:r>
      <w:rPr>
        <w:rStyle w:val="a7"/>
      </w:rPr>
      <w:fldChar w:fldCharType="begin"/>
    </w:r>
    <w:r w:rsidR="007F50FB">
      <w:rPr>
        <w:rStyle w:val="a7"/>
      </w:rPr>
      <w:instrText xml:space="preserve">PAGE  </w:instrText>
    </w:r>
    <w:r>
      <w:rPr>
        <w:rStyle w:val="a7"/>
      </w:rPr>
      <w:fldChar w:fldCharType="end"/>
    </w:r>
  </w:p>
  <w:p w:rsidR="007F50FB" w:rsidRDefault="007F50FB">
    <w:pPr>
      <w:pStyle w:val="a6"/>
    </w:pPr>
  </w:p>
</w:ftr>
</file>

<file path=word/footnotes.xml><?xml version="1.0" encoding="utf-8"?>
<w:footnotes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footnote w:id="-1" w:type="separator">
    <w:p w:rsidR="00685AD1" w:rsidRDefault="00685AD1">
      <w:r>
        <w:separator/>
      </w:r>
    </w:p>
  </w:footnote>
  <w:footnote w:id="0" w:type="continuationSeparator">
    <w:p w:rsidR="00685AD1" w:rsidRDefault="00685AD1">
      <w:r>
        <w:continuationSeparator/>
      </w:r>
    </w:p>
  </w:footnote>
</w:footnotes>
</file>

<file path=word/header1.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header2.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P="00D3445F" w:rsidR="007F50FB" w:rsidRDefault="00D3445F" w:rsidRPr="00D3445F">
    <w:pPr>
      <w:spacing w:before="29" w:line="288" w:lineRule="auto"/>
      <w:jc w:val="right"/>
      <w:rPr>
        <w:rFonts w:eastAsiaTheme="minorEastAsia"/>
        <w:sz w:val="24"/>
      </w:rPr>
    </w:pPr>
    <w:r w:rsidRPr="00D3445F">
      <w:rPr>
        <w:rFonts w:eastAsiaTheme="minorEastAsia"/>
        <w:sz w:val="24"/>
      </w:rPr>
      <w:t>交银施罗德裕利纯债债券型证券投资基金2020年第3季度报告</w:t>
    </w:r>
  </w:p>
</w:hdr>
</file>

<file path=word/header3.xml><?xml version="1.0" encoding="utf-8"?>
<w:hdr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p w:rsidR="00C51B4E" w:rsidRDefault="00C51B4E">
    <w:pPr>
      <w:pStyle w:val="a9"/>
    </w:pPr>
  </w:p>
</w:hdr>
</file>

<file path=word/numbering.xml><?xml version="1.0" encoding="utf-8"?>
<w:numbering xmlns:m="http://schemas.openxmlformats.org/officeDocument/2006/math" xmlns:mc="http://schemas.openxmlformats.org/markup-compatibility/2006" xmlns:o="urn:schemas-microsoft-com:office:office" xmlns:r="http://schemas.openxmlformats.org/officeDocument/2006/relationships" xmlns:v="urn:schemas-microsoft-com:vml" xmlns:w="http://schemas.openxmlformats.org/wordprocessingml/2006/main" xmlns:w10="urn:schemas-microsoft-com:office:word" xmlns:w14="http://schemas.microsoft.com/office/word/2010/wordml" xmlns:w15="http://schemas.microsoft.com/office/word/2012/wordml" xmlns:wne="http://schemas.microsoft.com/office/word/2006/wordml" xmlns:wp="http://schemas.openxmlformats.org/drawingml/2006/wordprocessingDrawing" xmlns:wp14="http://schemas.microsoft.com/office/word/2010/wordprocessingDrawing" xmlns:wpc="http://schemas.microsoft.com/office/word/2010/wordprocessingCanvas" xmlns:wpg="http://schemas.microsoft.com/office/word/2010/wordprocessingGroup" xmlns:wpi="http://schemas.microsoft.com/office/word/2010/wordprocessingInk" xmlns:wps="http://schemas.microsoft.com/office/word/2010/wordprocessingShape" mc:Ignorable="w14 w15 wp14">
  <w:abstractNum w15:restartNumberingAfterBreak="0" w:abstractNumId="0">
    <w:nsid w:val="17055987"/>
    <w:multiLevelType w:val="hybridMultilevel"/>
    <w:tmpl w:val="6DACDB38"/>
    <w:lvl w:ilvl="0" w:tplc="307C87E8">
      <w:start w:val="2006"/>
      <w:numFmt w:val="bullet"/>
      <w:lvlText w:val="●"/>
      <w:lvlJc w:val="left"/>
      <w:pPr>
        <w:tabs>
          <w:tab w:pos="780" w:val="num"/>
        </w:tabs>
        <w:ind w:hanging="360" w:left="780"/>
      </w:pPr>
      <w:rPr>
        <w:rFonts w:ascii="Times New Roman" w:cs="Times New Roman" w:eastAsia="宋体" w:hAnsi="Times New Roman" w:hint="default"/>
      </w:rPr>
    </w:lvl>
    <w:lvl w:ilvl="1" w:tentative="1" w:tplc="04090003">
      <w:start w:val="1"/>
      <w:numFmt w:val="bullet"/>
      <w:lvlText w:val=""/>
      <w:lvlJc w:val="left"/>
      <w:pPr>
        <w:tabs>
          <w:tab w:pos="1260" w:val="num"/>
        </w:tabs>
        <w:ind w:hanging="420" w:left="1260"/>
      </w:pPr>
      <w:rPr>
        <w:rFonts w:ascii="Wingdings" w:hAnsi="Wingdings" w:hint="default"/>
      </w:rPr>
    </w:lvl>
    <w:lvl w:ilvl="2" w:tentative="1" w:tplc="04090005">
      <w:start w:val="1"/>
      <w:numFmt w:val="bullet"/>
      <w:lvlText w:val=""/>
      <w:lvlJc w:val="left"/>
      <w:pPr>
        <w:tabs>
          <w:tab w:pos="1680" w:val="num"/>
        </w:tabs>
        <w:ind w:hanging="420" w:left="1680"/>
      </w:pPr>
      <w:rPr>
        <w:rFonts w:ascii="Wingdings" w:hAnsi="Wingdings" w:hint="default"/>
      </w:rPr>
    </w:lvl>
    <w:lvl w:ilvl="3" w:tentative="1" w:tplc="04090001">
      <w:start w:val="1"/>
      <w:numFmt w:val="bullet"/>
      <w:lvlText w:val=""/>
      <w:lvlJc w:val="left"/>
      <w:pPr>
        <w:tabs>
          <w:tab w:pos="2100" w:val="num"/>
        </w:tabs>
        <w:ind w:hanging="420" w:left="2100"/>
      </w:pPr>
      <w:rPr>
        <w:rFonts w:ascii="Wingdings" w:hAnsi="Wingdings" w:hint="default"/>
      </w:rPr>
    </w:lvl>
    <w:lvl w:ilvl="4" w:tentative="1" w:tplc="04090003">
      <w:start w:val="1"/>
      <w:numFmt w:val="bullet"/>
      <w:lvlText w:val=""/>
      <w:lvlJc w:val="left"/>
      <w:pPr>
        <w:tabs>
          <w:tab w:pos="2520" w:val="num"/>
        </w:tabs>
        <w:ind w:hanging="420" w:left="2520"/>
      </w:pPr>
      <w:rPr>
        <w:rFonts w:ascii="Wingdings" w:hAnsi="Wingdings" w:hint="default"/>
      </w:rPr>
    </w:lvl>
    <w:lvl w:ilvl="5" w:tentative="1" w:tplc="04090005">
      <w:start w:val="1"/>
      <w:numFmt w:val="bullet"/>
      <w:lvlText w:val=""/>
      <w:lvlJc w:val="left"/>
      <w:pPr>
        <w:tabs>
          <w:tab w:pos="2940" w:val="num"/>
        </w:tabs>
        <w:ind w:hanging="420" w:left="2940"/>
      </w:pPr>
      <w:rPr>
        <w:rFonts w:ascii="Wingdings" w:hAnsi="Wingdings" w:hint="default"/>
      </w:rPr>
    </w:lvl>
    <w:lvl w:ilvl="6" w:tentative="1" w:tplc="04090001">
      <w:start w:val="1"/>
      <w:numFmt w:val="bullet"/>
      <w:lvlText w:val=""/>
      <w:lvlJc w:val="left"/>
      <w:pPr>
        <w:tabs>
          <w:tab w:pos="3360" w:val="num"/>
        </w:tabs>
        <w:ind w:hanging="420" w:left="3360"/>
      </w:pPr>
      <w:rPr>
        <w:rFonts w:ascii="Wingdings" w:hAnsi="Wingdings" w:hint="default"/>
      </w:rPr>
    </w:lvl>
    <w:lvl w:ilvl="7" w:tentative="1" w:tplc="04090003">
      <w:start w:val="1"/>
      <w:numFmt w:val="bullet"/>
      <w:lvlText w:val=""/>
      <w:lvlJc w:val="left"/>
      <w:pPr>
        <w:tabs>
          <w:tab w:pos="3780" w:val="num"/>
        </w:tabs>
        <w:ind w:hanging="420" w:left="3780"/>
      </w:pPr>
      <w:rPr>
        <w:rFonts w:ascii="Wingdings" w:hAnsi="Wingdings" w:hint="default"/>
      </w:rPr>
    </w:lvl>
    <w:lvl w:ilvl="8" w:tentative="1" w:tplc="04090005">
      <w:start w:val="1"/>
      <w:numFmt w:val="bullet"/>
      <w:lvlText w:val=""/>
      <w:lvlJc w:val="left"/>
      <w:pPr>
        <w:tabs>
          <w:tab w:pos="4200" w:val="num"/>
        </w:tabs>
        <w:ind w:hanging="420" w:left="4200"/>
      </w:pPr>
      <w:rPr>
        <w:rFonts w:ascii="Wingdings" w:hAnsi="Wingdings" w:hint="default"/>
      </w:rPr>
    </w:lvl>
  </w:abstractNum>
  <w:abstractNum w15:restartNumberingAfterBreak="0" w:abstractNumId="1">
    <w:nsid w:val="2A93165E"/>
    <w:multiLevelType w:val="hybridMultilevel"/>
    <w:tmpl w:val="8F54F77E"/>
    <w:lvl w:ilvl="0" w:tplc="8996D53A">
      <w:start w:val="1"/>
      <w:numFmt w:val="japaneseCounting"/>
      <w:lvlText w:val="（%1）"/>
      <w:lvlJc w:val="left"/>
      <w:pPr>
        <w:tabs>
          <w:tab w:pos="1200" w:val="num"/>
        </w:tabs>
        <w:ind w:hanging="720" w:left="1200"/>
      </w:pPr>
      <w:rPr>
        <w:rFonts w:hAnsi="宋体" w:hint="default"/>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2">
    <w:nsid w:val="32C43FA3"/>
    <w:multiLevelType w:val="hybridMultilevel"/>
    <w:tmpl w:val="2658615A"/>
    <w:lvl w:ilvl="0" w:tplc="04090001">
      <w:start w:val="1"/>
      <w:numFmt w:val="bullet"/>
      <w:lvlText w:val=""/>
      <w:lvlJc w:val="left"/>
      <w:pPr>
        <w:tabs>
          <w:tab w:pos="420" w:val="num"/>
        </w:tabs>
        <w:ind w:hanging="420" w:left="420"/>
      </w:pPr>
      <w:rPr>
        <w:rFonts w:ascii="Wingdings" w:hAnsi="Wingdings" w:hint="default"/>
      </w:rPr>
    </w:lvl>
    <w:lvl w:ilvl="1" w:tentative="1" w:tplc="04090003">
      <w:start w:val="1"/>
      <w:numFmt w:val="bullet"/>
      <w:lvlText w:val=""/>
      <w:lvlJc w:val="left"/>
      <w:pPr>
        <w:tabs>
          <w:tab w:pos="840" w:val="num"/>
        </w:tabs>
        <w:ind w:hanging="420" w:left="840"/>
      </w:pPr>
      <w:rPr>
        <w:rFonts w:ascii="Wingdings" w:hAnsi="Wingdings" w:hint="default"/>
      </w:rPr>
    </w:lvl>
    <w:lvl w:ilvl="2" w:tentative="1" w:tplc="04090005">
      <w:start w:val="1"/>
      <w:numFmt w:val="bullet"/>
      <w:lvlText w:val=""/>
      <w:lvlJc w:val="left"/>
      <w:pPr>
        <w:tabs>
          <w:tab w:pos="1260" w:val="num"/>
        </w:tabs>
        <w:ind w:hanging="420" w:left="1260"/>
      </w:pPr>
      <w:rPr>
        <w:rFonts w:ascii="Wingdings" w:hAnsi="Wingdings" w:hint="default"/>
      </w:rPr>
    </w:lvl>
    <w:lvl w:ilvl="3" w:tentative="1" w:tplc="04090001">
      <w:start w:val="1"/>
      <w:numFmt w:val="bullet"/>
      <w:lvlText w:val=""/>
      <w:lvlJc w:val="left"/>
      <w:pPr>
        <w:tabs>
          <w:tab w:pos="1680" w:val="num"/>
        </w:tabs>
        <w:ind w:hanging="420" w:left="1680"/>
      </w:pPr>
      <w:rPr>
        <w:rFonts w:ascii="Wingdings" w:hAnsi="Wingdings" w:hint="default"/>
      </w:rPr>
    </w:lvl>
    <w:lvl w:ilvl="4" w:tentative="1" w:tplc="04090003">
      <w:start w:val="1"/>
      <w:numFmt w:val="bullet"/>
      <w:lvlText w:val=""/>
      <w:lvlJc w:val="left"/>
      <w:pPr>
        <w:tabs>
          <w:tab w:pos="2100" w:val="num"/>
        </w:tabs>
        <w:ind w:hanging="420" w:left="2100"/>
      </w:pPr>
      <w:rPr>
        <w:rFonts w:ascii="Wingdings" w:hAnsi="Wingdings" w:hint="default"/>
      </w:rPr>
    </w:lvl>
    <w:lvl w:ilvl="5" w:tentative="1" w:tplc="04090005">
      <w:start w:val="1"/>
      <w:numFmt w:val="bullet"/>
      <w:lvlText w:val=""/>
      <w:lvlJc w:val="left"/>
      <w:pPr>
        <w:tabs>
          <w:tab w:pos="2520" w:val="num"/>
        </w:tabs>
        <w:ind w:hanging="420" w:left="2520"/>
      </w:pPr>
      <w:rPr>
        <w:rFonts w:ascii="Wingdings" w:hAnsi="Wingdings" w:hint="default"/>
      </w:rPr>
    </w:lvl>
    <w:lvl w:ilvl="6" w:tentative="1" w:tplc="04090001">
      <w:start w:val="1"/>
      <w:numFmt w:val="bullet"/>
      <w:lvlText w:val=""/>
      <w:lvlJc w:val="left"/>
      <w:pPr>
        <w:tabs>
          <w:tab w:pos="2940" w:val="num"/>
        </w:tabs>
        <w:ind w:hanging="420" w:left="2940"/>
      </w:pPr>
      <w:rPr>
        <w:rFonts w:ascii="Wingdings" w:hAnsi="Wingdings" w:hint="default"/>
      </w:rPr>
    </w:lvl>
    <w:lvl w:ilvl="7" w:tentative="1" w:tplc="04090003">
      <w:start w:val="1"/>
      <w:numFmt w:val="bullet"/>
      <w:lvlText w:val=""/>
      <w:lvlJc w:val="left"/>
      <w:pPr>
        <w:tabs>
          <w:tab w:pos="3360" w:val="num"/>
        </w:tabs>
        <w:ind w:hanging="420" w:left="3360"/>
      </w:pPr>
      <w:rPr>
        <w:rFonts w:ascii="Wingdings" w:hAnsi="Wingdings" w:hint="default"/>
      </w:rPr>
    </w:lvl>
    <w:lvl w:ilvl="8" w:tentative="1" w:tplc="04090005">
      <w:start w:val="1"/>
      <w:numFmt w:val="bullet"/>
      <w:lvlText w:val=""/>
      <w:lvlJc w:val="left"/>
      <w:pPr>
        <w:tabs>
          <w:tab w:pos="3780" w:val="num"/>
        </w:tabs>
        <w:ind w:hanging="420" w:left="3780"/>
      </w:pPr>
      <w:rPr>
        <w:rFonts w:ascii="Wingdings" w:hAnsi="Wingdings" w:hint="default"/>
      </w:rPr>
    </w:lvl>
  </w:abstractNum>
  <w:abstractNum w15:restartNumberingAfterBreak="0" w:abstractNumId="3">
    <w:nsid w:val="45342383"/>
    <w:multiLevelType w:val="multilevel"/>
    <w:tmpl w:val="0409001D"/>
    <w:styleLink w:val="5"/>
    <w:lvl w:ilvl="0">
      <w:start w:val="1"/>
      <w:numFmt w:val="decimal"/>
      <w:lvlText w:val="%1"/>
      <w:lvlJc w:val="left"/>
      <w:pPr>
        <w:tabs>
          <w:tab w:pos="425" w:val="num"/>
        </w:tabs>
        <w:ind w:hanging="425" w:left="425"/>
      </w:pPr>
    </w:lvl>
    <w:lvl w:ilvl="1">
      <w:start w:val="1"/>
      <w:numFmt w:val="decimal"/>
      <w:lvlText w:val="%1.%2"/>
      <w:lvlJc w:val="left"/>
      <w:pPr>
        <w:tabs>
          <w:tab w:pos="992" w:val="num"/>
        </w:tabs>
        <w:ind w:hanging="567" w:left="992"/>
      </w:pPr>
    </w:lvl>
    <w:lvl w:ilvl="2">
      <w:start w:val="1"/>
      <w:numFmt w:val="decimal"/>
      <w:lvlText w:val="%1.%2.%3"/>
      <w:lvlJc w:val="left"/>
      <w:pPr>
        <w:tabs>
          <w:tab w:pos="1418" w:val="num"/>
        </w:tabs>
        <w:ind w:hanging="567" w:left="1418"/>
      </w:pPr>
    </w:lvl>
    <w:lvl w:ilvl="3">
      <w:start w:val="1"/>
      <w:numFmt w:val="decimal"/>
      <w:lvlText w:val="%1.%2.%3.%4"/>
      <w:lvlJc w:val="left"/>
      <w:pPr>
        <w:tabs>
          <w:tab w:pos="1984" w:val="num"/>
        </w:tabs>
        <w:ind w:hanging="708" w:left="1984"/>
      </w:pPr>
    </w:lvl>
    <w:lvl w:ilvl="4">
      <w:start w:val="1"/>
      <w:numFmt w:val="decimal"/>
      <w:lvlText w:val="%1.%2.%3.%4.%5"/>
      <w:lvlJc w:val="left"/>
      <w:pPr>
        <w:tabs>
          <w:tab w:pos="2551" w:val="num"/>
        </w:tabs>
        <w:ind w:hanging="850" w:left="2551"/>
      </w:pPr>
    </w:lvl>
    <w:lvl w:ilvl="5">
      <w:start w:val="1"/>
      <w:numFmt w:val="decimal"/>
      <w:lvlText w:val="%1.%2.%3.%4.%5.%6"/>
      <w:lvlJc w:val="left"/>
      <w:pPr>
        <w:tabs>
          <w:tab w:pos="3260" w:val="num"/>
        </w:tabs>
        <w:ind w:hanging="1134" w:left="3260"/>
      </w:pPr>
    </w:lvl>
    <w:lvl w:ilvl="6">
      <w:start w:val="1"/>
      <w:numFmt w:val="decimal"/>
      <w:lvlText w:val="%1.%2.%3.%4.%5.%6.%7"/>
      <w:lvlJc w:val="left"/>
      <w:pPr>
        <w:tabs>
          <w:tab w:pos="3827" w:val="num"/>
        </w:tabs>
        <w:ind w:hanging="1276" w:left="3827"/>
      </w:pPr>
    </w:lvl>
    <w:lvl w:ilvl="7">
      <w:start w:val="1"/>
      <w:numFmt w:val="decimal"/>
      <w:lvlText w:val="%1.%2.%3.%4.%5.%6.%7.%8"/>
      <w:lvlJc w:val="left"/>
      <w:pPr>
        <w:tabs>
          <w:tab w:pos="4394" w:val="num"/>
        </w:tabs>
        <w:ind w:hanging="1418" w:left="4394"/>
      </w:pPr>
    </w:lvl>
    <w:lvl w:ilvl="8">
      <w:start w:val="1"/>
      <w:numFmt w:val="decimal"/>
      <w:lvlText w:val="%1.%2.%3.%4.%5.%6.%7.%8.%9"/>
      <w:lvlJc w:val="left"/>
      <w:pPr>
        <w:tabs>
          <w:tab w:pos="5102" w:val="num"/>
        </w:tabs>
        <w:ind w:hanging="1700" w:left="5102"/>
      </w:pPr>
    </w:lvl>
  </w:abstractNum>
  <w:abstractNum w15:restartNumberingAfterBreak="0" w:abstractNumId="4">
    <w:nsid w:val="57E8240C"/>
    <w:multiLevelType w:val="hybridMultilevel"/>
    <w:tmpl w:val="300A7112"/>
    <w:lvl w:ilvl="0" w:tplc="3782FDB8">
      <w:start w:val="1"/>
      <w:numFmt w:val="decimal"/>
      <w:lvlText w:val="（%1）"/>
      <w:lvlJc w:val="left"/>
      <w:pPr>
        <w:tabs>
          <w:tab w:pos="1200" w:val="num"/>
        </w:tabs>
        <w:ind w:hanging="720" w:left="1200"/>
      </w:pPr>
      <w:rPr>
        <w:rFonts w:hint="eastAsia"/>
        <w:sz w:val="24"/>
      </w:rPr>
    </w:lvl>
    <w:lvl w:ilvl="1" w:tentative="1" w:tplc="04090019">
      <w:start w:val="1"/>
      <w:numFmt w:val="lowerLetter"/>
      <w:lvlText w:val="%2)"/>
      <w:lvlJc w:val="left"/>
      <w:pPr>
        <w:tabs>
          <w:tab w:pos="1320" w:val="num"/>
        </w:tabs>
        <w:ind w:hanging="420" w:left="1320"/>
      </w:pPr>
    </w:lvl>
    <w:lvl w:ilvl="2" w:tentative="1" w:tplc="0409001B">
      <w:start w:val="1"/>
      <w:numFmt w:val="lowerRoman"/>
      <w:lvlText w:val="%3."/>
      <w:lvlJc w:val="right"/>
      <w:pPr>
        <w:tabs>
          <w:tab w:pos="1740" w:val="num"/>
        </w:tabs>
        <w:ind w:hanging="420" w:left="1740"/>
      </w:pPr>
    </w:lvl>
    <w:lvl w:ilvl="3" w:tentative="1" w:tplc="0409000F">
      <w:start w:val="1"/>
      <w:numFmt w:val="decimal"/>
      <w:lvlText w:val="%4."/>
      <w:lvlJc w:val="left"/>
      <w:pPr>
        <w:tabs>
          <w:tab w:pos="2160" w:val="num"/>
        </w:tabs>
        <w:ind w:hanging="420" w:left="2160"/>
      </w:pPr>
    </w:lvl>
    <w:lvl w:ilvl="4" w:tentative="1" w:tplc="04090019">
      <w:start w:val="1"/>
      <w:numFmt w:val="lowerLetter"/>
      <w:lvlText w:val="%5)"/>
      <w:lvlJc w:val="left"/>
      <w:pPr>
        <w:tabs>
          <w:tab w:pos="2580" w:val="num"/>
        </w:tabs>
        <w:ind w:hanging="420" w:left="2580"/>
      </w:pPr>
    </w:lvl>
    <w:lvl w:ilvl="5" w:tentative="1" w:tplc="0409001B">
      <w:start w:val="1"/>
      <w:numFmt w:val="lowerRoman"/>
      <w:lvlText w:val="%6."/>
      <w:lvlJc w:val="right"/>
      <w:pPr>
        <w:tabs>
          <w:tab w:pos="3000" w:val="num"/>
        </w:tabs>
        <w:ind w:hanging="420" w:left="3000"/>
      </w:pPr>
    </w:lvl>
    <w:lvl w:ilvl="6" w:tentative="1" w:tplc="0409000F">
      <w:start w:val="1"/>
      <w:numFmt w:val="decimal"/>
      <w:lvlText w:val="%7."/>
      <w:lvlJc w:val="left"/>
      <w:pPr>
        <w:tabs>
          <w:tab w:pos="3420" w:val="num"/>
        </w:tabs>
        <w:ind w:hanging="420" w:left="3420"/>
      </w:pPr>
    </w:lvl>
    <w:lvl w:ilvl="7" w:tentative="1" w:tplc="04090019">
      <w:start w:val="1"/>
      <w:numFmt w:val="lowerLetter"/>
      <w:lvlText w:val="%8)"/>
      <w:lvlJc w:val="left"/>
      <w:pPr>
        <w:tabs>
          <w:tab w:pos="3840" w:val="num"/>
        </w:tabs>
        <w:ind w:hanging="420" w:left="3840"/>
      </w:pPr>
    </w:lvl>
    <w:lvl w:ilvl="8" w:tentative="1" w:tplc="0409001B">
      <w:start w:val="1"/>
      <w:numFmt w:val="lowerRoman"/>
      <w:lvlText w:val="%9."/>
      <w:lvlJc w:val="right"/>
      <w:pPr>
        <w:tabs>
          <w:tab w:pos="4260" w:val="num"/>
        </w:tabs>
        <w:ind w:hanging="420" w:left="4260"/>
      </w:pPr>
    </w:lvl>
  </w:abstractNum>
  <w:abstractNum w15:restartNumberingAfterBreak="0" w:abstractNumId="5">
    <w:nsid w:val="64C22724"/>
    <w:multiLevelType w:val="multilevel"/>
    <w:tmpl w:val="0409001D"/>
    <w:numStyleLink w:val="5"/>
  </w:abstractNum>
  <w:abstractNum w15:restartNumberingAfterBreak="0" w:abstractNumId="6">
    <w:nsid w:val="7EC34207"/>
    <w:multiLevelType w:val="hybridMultilevel"/>
    <w:tmpl w:val="58FC50DE"/>
    <w:lvl w:ilvl="0" w:tplc="788C0680">
      <w:start w:val="1"/>
      <w:numFmt w:val="japaneseCounting"/>
      <w:lvlText w:val="%1、"/>
      <w:lvlJc w:val="left"/>
      <w:pPr>
        <w:tabs>
          <w:tab w:pos="480" w:val="num"/>
        </w:tabs>
        <w:ind w:hanging="480" w:left="480"/>
      </w:pPr>
      <w:rPr>
        <w:rFonts w:eastAsia="宋体" w:hint="eastAsia"/>
        <w:color w:val="auto"/>
      </w:rPr>
    </w:lvl>
    <w:lvl w:ilvl="1" w:tplc="D5ACC954">
      <w:start w:val="1"/>
      <w:numFmt w:val="japaneseCounting"/>
      <w:lvlText w:val="(%2)"/>
      <w:lvlJc w:val="left"/>
      <w:pPr>
        <w:tabs>
          <w:tab w:pos="810" w:val="num"/>
        </w:tabs>
        <w:ind w:hanging="390" w:left="810"/>
      </w:pPr>
      <w:rPr>
        <w:rFonts w:hint="eastAsia"/>
      </w:rPr>
    </w:lvl>
    <w:lvl w:ilvl="2" w:tplc="E2F6B948">
      <w:start w:val="1"/>
      <w:numFmt w:val="decimal"/>
      <w:lvlText w:val="%3、"/>
      <w:lvlJc w:val="left"/>
      <w:pPr>
        <w:tabs>
          <w:tab w:pos="1200" w:val="num"/>
        </w:tabs>
        <w:ind w:hanging="360" w:left="1200"/>
      </w:pPr>
      <w:rPr>
        <w:rFonts w:hint="eastAsia"/>
      </w:rPr>
    </w:lvl>
    <w:lvl w:ilvl="3" w:tentative="1" w:tplc="0409000F">
      <w:start w:val="1"/>
      <w:numFmt w:val="decimal"/>
      <w:lvlText w:val="%4."/>
      <w:lvlJc w:val="left"/>
      <w:pPr>
        <w:tabs>
          <w:tab w:pos="1680" w:val="num"/>
        </w:tabs>
        <w:ind w:hanging="420" w:left="1680"/>
      </w:pPr>
    </w:lvl>
    <w:lvl w:ilvl="4" w:tentative="1" w:tplc="04090019">
      <w:start w:val="1"/>
      <w:numFmt w:val="lowerLetter"/>
      <w:lvlText w:val="%5)"/>
      <w:lvlJc w:val="left"/>
      <w:pPr>
        <w:tabs>
          <w:tab w:pos="2100" w:val="num"/>
        </w:tabs>
        <w:ind w:hanging="420" w:left="2100"/>
      </w:pPr>
    </w:lvl>
    <w:lvl w:ilvl="5" w:tentative="1" w:tplc="0409001B">
      <w:start w:val="1"/>
      <w:numFmt w:val="lowerRoman"/>
      <w:lvlText w:val="%6."/>
      <w:lvlJc w:val="right"/>
      <w:pPr>
        <w:tabs>
          <w:tab w:pos="2520" w:val="num"/>
        </w:tabs>
        <w:ind w:hanging="420" w:left="2520"/>
      </w:pPr>
    </w:lvl>
    <w:lvl w:ilvl="6" w:tentative="1" w:tplc="0409000F">
      <w:start w:val="1"/>
      <w:numFmt w:val="decimal"/>
      <w:lvlText w:val="%7."/>
      <w:lvlJc w:val="left"/>
      <w:pPr>
        <w:tabs>
          <w:tab w:pos="2940" w:val="num"/>
        </w:tabs>
        <w:ind w:hanging="420" w:left="2940"/>
      </w:pPr>
    </w:lvl>
    <w:lvl w:ilvl="7" w:tentative="1" w:tplc="04090019">
      <w:start w:val="1"/>
      <w:numFmt w:val="lowerLetter"/>
      <w:lvlText w:val="%8)"/>
      <w:lvlJc w:val="left"/>
      <w:pPr>
        <w:tabs>
          <w:tab w:pos="3360" w:val="num"/>
        </w:tabs>
        <w:ind w:hanging="420" w:left="3360"/>
      </w:pPr>
    </w:lvl>
    <w:lvl w:ilvl="8" w:tentative="1" w:tplc="0409001B">
      <w:start w:val="1"/>
      <w:numFmt w:val="lowerRoman"/>
      <w:lvlText w:val="%9."/>
      <w:lvlJc w:val="right"/>
      <w:pPr>
        <w:tabs>
          <w:tab w:pos="3780" w:val="num"/>
        </w:tabs>
        <w:ind w:hanging="420" w:left="3780"/>
      </w:pPr>
    </w:lvl>
  </w:abstractNum>
  <w:num w:numId="1">
    <w:abstractNumId w:val="6"/>
  </w:num>
  <w:num w:numId="2">
    <w:abstractNumId w:val="4"/>
  </w:num>
  <w:num w:numId="3">
    <w:abstractNumId w:val="0"/>
  </w:num>
  <w:num w:numId="4">
    <w:abstractNumId w:val="0"/>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1"/>
  </w:num>
  <w:num w:numId="6">
    <w:abstractNumId w:val="2"/>
  </w:num>
  <w:num w:numId="7">
    <w:abstractNumId w:val="5"/>
    <w:lvlOverride w:ilvl="0">
      <w:lvl w:ilvl="0">
        <w:numFmt w:val="decimal"/>
        <w:lvlText w:val=""/>
        <w:lvlJc w:val="left"/>
      </w:lvl>
    </w:lvlOverride>
    <w:lvlOverride w:ilvl="1">
      <w:lvl w:ilvl="1">
        <w:start w:val="1"/>
        <w:numFmt w:val="decimal"/>
        <w:lvlText w:val="%1.%2"/>
        <w:lvlJc w:val="left"/>
        <w:pPr>
          <w:tabs>
            <w:tab w:pos="992" w:val="num"/>
          </w:tabs>
          <w:ind w:hanging="567" w:left="992"/>
        </w:pPr>
      </w:lvl>
    </w:lvlOverride>
    <w:lvlOverride w:ilvl="2">
      <w:lvl w:ilvl="2">
        <w:start w:val="1"/>
        <w:numFmt w:val="decimal"/>
        <w:lvlText w:val="%1.%2.%3"/>
        <w:lvlJc w:val="left"/>
        <w:pPr>
          <w:tabs>
            <w:tab w:pos="1418" w:val="num"/>
          </w:tabs>
          <w:ind w:hanging="567" w:left="1418"/>
        </w:pPr>
      </w:lvl>
    </w:lvlOverride>
  </w:num>
  <w:num w:numId="8">
    <w:abstractNumId w:val="3"/>
  </w:num>
</w:numbering>
</file>

<file path=word/settings.xml><?xml version="1.0" encoding="utf-8"?>
<w:settings xmlns:m="http://schemas.openxmlformats.org/officeDocument/2006/math" xmlns:mc="http://schemas.openxmlformats.org/markup-compatibility/2006" xmlns:o="urn:schemas-microsoft-com:office:office" xmlns:r="http://schemas.openxmlformats.org/officeDocument/2006/relationships" xmlns:sl="http://schemas.openxmlformats.org/schemaLibrary/2006/main" xmlns:v="urn:schemas-microsoft-com:vml" xmlns:w="http://schemas.openxmlformats.org/wordprocessingml/2006/main" xmlns:w10="urn:schemas-microsoft-com:office:word" xmlns:w14="http://schemas.microsoft.com/office/word/2010/wordml" xmlns:w15="http://schemas.microsoft.com/office/word/2012/wordml" mc:Ignorable="w14 w15">
  <w:zoom w:percent="100"/>
  <w:printPostScriptOverText/>
  <w:bordersDoNotSurroundHeader/>
  <w:bordersDoNotSurroundFooter/>
  <w:attachedTemplate r:id="rId1"/>
  <w:stylePaneFormatFilter w:allStyles="1" w:alternateStyleNames="0" w:clearFormatting="1" w:customStyles="0" w:directFormattingOnNumbering="1" w:directFormattingOnParagraphs="1" w:directFormattingOnRuns="1" w:directFormattingOnTables="1" w:headingStyles="0" w:latentStyles="0" w:numberingStyles="0" w:stylesInUse="0" w:tableStyles="0" w:top3HeadingStyles="1" w:val="3F01" w:visibleStyles="0"/>
  <w:defaultTabStop w:val="420"/>
  <w:drawingGridHorizontalSpacing w:val="105"/>
  <w:drawingGridVerticalSpacing w:val="156"/>
  <w:displayHorizontalDrawingGridEvery w:val="0"/>
  <w:displayVerticalDrawingGridEvery w:val="2"/>
  <w:characterSpacingControl w:val="compressPunctuation"/>
  <w:hdrShapeDefaults>
    <o:shapedefaults spidmax="2049" v:ext="edit"/>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302187"/>
    <w:rsid w:val="0000059C"/>
    <w:rsid w:val="000008AE"/>
    <w:rsid w:val="000008B1"/>
    <w:rsid w:val="0000403B"/>
    <w:rsid w:val="00007441"/>
    <w:rsid w:val="00007B54"/>
    <w:rsid w:val="00007F1F"/>
    <w:rsid w:val="00010A83"/>
    <w:rsid w:val="0001164A"/>
    <w:rsid w:val="00012063"/>
    <w:rsid w:val="000137C1"/>
    <w:rsid w:val="0001425B"/>
    <w:rsid w:val="0001579C"/>
    <w:rsid w:val="00016551"/>
    <w:rsid w:val="00020737"/>
    <w:rsid w:val="00020B78"/>
    <w:rsid w:val="00020C27"/>
    <w:rsid w:val="000219D5"/>
    <w:rsid w:val="00022396"/>
    <w:rsid w:val="00023073"/>
    <w:rsid w:val="00023B97"/>
    <w:rsid w:val="00024836"/>
    <w:rsid w:val="000252D8"/>
    <w:rsid w:val="0003564A"/>
    <w:rsid w:val="00037D4B"/>
    <w:rsid w:val="00042065"/>
    <w:rsid w:val="00043FD2"/>
    <w:rsid w:val="00045558"/>
    <w:rsid w:val="00045BA9"/>
    <w:rsid w:val="00047D87"/>
    <w:rsid w:val="000510AB"/>
    <w:rsid w:val="00051A8E"/>
    <w:rsid w:val="00051F42"/>
    <w:rsid w:val="00053FFD"/>
    <w:rsid w:val="00054F34"/>
    <w:rsid w:val="00056D5C"/>
    <w:rsid w:val="00057C9F"/>
    <w:rsid w:val="00061B0B"/>
    <w:rsid w:val="00061E09"/>
    <w:rsid w:val="00062C69"/>
    <w:rsid w:val="00062E1F"/>
    <w:rsid w:val="00064601"/>
    <w:rsid w:val="00064AE3"/>
    <w:rsid w:val="000673DA"/>
    <w:rsid w:val="0006750A"/>
    <w:rsid w:val="000700F1"/>
    <w:rsid w:val="000728AC"/>
    <w:rsid w:val="000776C0"/>
    <w:rsid w:val="00077849"/>
    <w:rsid w:val="000803AD"/>
    <w:rsid w:val="000813D6"/>
    <w:rsid w:val="00081D05"/>
    <w:rsid w:val="000827CC"/>
    <w:rsid w:val="00085115"/>
    <w:rsid w:val="00086398"/>
    <w:rsid w:val="000871DB"/>
    <w:rsid w:val="000922C5"/>
    <w:rsid w:val="0009314F"/>
    <w:rsid w:val="00093A23"/>
    <w:rsid w:val="0009582E"/>
    <w:rsid w:val="000A08FC"/>
    <w:rsid w:val="000A15F1"/>
    <w:rsid w:val="000A1617"/>
    <w:rsid w:val="000A2988"/>
    <w:rsid w:val="000A2E22"/>
    <w:rsid w:val="000A3A50"/>
    <w:rsid w:val="000A40A5"/>
    <w:rsid w:val="000A457E"/>
    <w:rsid w:val="000A4DF3"/>
    <w:rsid w:val="000A549A"/>
    <w:rsid w:val="000A5A81"/>
    <w:rsid w:val="000A72F2"/>
    <w:rsid w:val="000A7BFD"/>
    <w:rsid w:val="000B000E"/>
    <w:rsid w:val="000B171B"/>
    <w:rsid w:val="000B1CB9"/>
    <w:rsid w:val="000B24AF"/>
    <w:rsid w:val="000B251E"/>
    <w:rsid w:val="000B2C04"/>
    <w:rsid w:val="000B3E43"/>
    <w:rsid w:val="000B4E99"/>
    <w:rsid w:val="000B5632"/>
    <w:rsid w:val="000B648A"/>
    <w:rsid w:val="000C3EEF"/>
    <w:rsid w:val="000C45E7"/>
    <w:rsid w:val="000C5956"/>
    <w:rsid w:val="000C757F"/>
    <w:rsid w:val="000C7DD4"/>
    <w:rsid w:val="000D1164"/>
    <w:rsid w:val="000D1BBE"/>
    <w:rsid w:val="000D2415"/>
    <w:rsid w:val="000D3773"/>
    <w:rsid w:val="000D4DE9"/>
    <w:rsid w:val="000D6660"/>
    <w:rsid w:val="000D6BA0"/>
    <w:rsid w:val="000D7ECA"/>
    <w:rsid w:val="000E0A54"/>
    <w:rsid w:val="000E2F81"/>
    <w:rsid w:val="000E3726"/>
    <w:rsid w:val="000E39DB"/>
    <w:rsid w:val="000E3A0B"/>
    <w:rsid w:val="000E574B"/>
    <w:rsid w:val="000E74CC"/>
    <w:rsid w:val="000F0558"/>
    <w:rsid w:val="000F0AC3"/>
    <w:rsid w:val="000F175F"/>
    <w:rsid w:val="000F17D1"/>
    <w:rsid w:val="000F1CC9"/>
    <w:rsid w:val="000F5ABD"/>
    <w:rsid w:val="000F60FF"/>
    <w:rsid w:val="000F6F7C"/>
    <w:rsid w:val="000F7468"/>
    <w:rsid w:val="001005BB"/>
    <w:rsid w:val="00103B0E"/>
    <w:rsid w:val="001040EA"/>
    <w:rsid w:val="00112BCF"/>
    <w:rsid w:val="00114E7E"/>
    <w:rsid w:val="00117465"/>
    <w:rsid w:val="00117F22"/>
    <w:rsid w:val="00120280"/>
    <w:rsid w:val="001207F2"/>
    <w:rsid w:val="00121533"/>
    <w:rsid w:val="0012304E"/>
    <w:rsid w:val="00123051"/>
    <w:rsid w:val="00123F6E"/>
    <w:rsid w:val="001257C7"/>
    <w:rsid w:val="00125E66"/>
    <w:rsid w:val="00126AC0"/>
    <w:rsid w:val="00126C2B"/>
    <w:rsid w:val="00127A01"/>
    <w:rsid w:val="00130395"/>
    <w:rsid w:val="00130D77"/>
    <w:rsid w:val="001315E1"/>
    <w:rsid w:val="00131EF6"/>
    <w:rsid w:val="0013251D"/>
    <w:rsid w:val="0013404A"/>
    <w:rsid w:val="00134734"/>
    <w:rsid w:val="00134CBE"/>
    <w:rsid w:val="00140C30"/>
    <w:rsid w:val="00142C74"/>
    <w:rsid w:val="00143E9C"/>
    <w:rsid w:val="00145E5B"/>
    <w:rsid w:val="001461A4"/>
    <w:rsid w:val="00147319"/>
    <w:rsid w:val="00147551"/>
    <w:rsid w:val="0015012F"/>
    <w:rsid w:val="00150C2E"/>
    <w:rsid w:val="0015170D"/>
    <w:rsid w:val="001517AE"/>
    <w:rsid w:val="00154FA5"/>
    <w:rsid w:val="0015531A"/>
    <w:rsid w:val="00156508"/>
    <w:rsid w:val="00156F9D"/>
    <w:rsid w:val="00157535"/>
    <w:rsid w:val="001602E3"/>
    <w:rsid w:val="00160539"/>
    <w:rsid w:val="00161548"/>
    <w:rsid w:val="00163D88"/>
    <w:rsid w:val="0017176A"/>
    <w:rsid w:val="00172B54"/>
    <w:rsid w:val="00175E3A"/>
    <w:rsid w:val="00176874"/>
    <w:rsid w:val="0017725A"/>
    <w:rsid w:val="0018052A"/>
    <w:rsid w:val="00180952"/>
    <w:rsid w:val="0018191A"/>
    <w:rsid w:val="00183C5B"/>
    <w:rsid w:val="001843E2"/>
    <w:rsid w:val="00185B68"/>
    <w:rsid w:val="00186199"/>
    <w:rsid w:val="00187122"/>
    <w:rsid w:val="001874E3"/>
    <w:rsid w:val="001936D7"/>
    <w:rsid w:val="00194155"/>
    <w:rsid w:val="001949CA"/>
    <w:rsid w:val="00195AFC"/>
    <w:rsid w:val="001A0417"/>
    <w:rsid w:val="001A0B71"/>
    <w:rsid w:val="001A1389"/>
    <w:rsid w:val="001A3016"/>
    <w:rsid w:val="001A3914"/>
    <w:rsid w:val="001A5D39"/>
    <w:rsid w:val="001A5E45"/>
    <w:rsid w:val="001A5FA6"/>
    <w:rsid w:val="001B01D2"/>
    <w:rsid w:val="001B053A"/>
    <w:rsid w:val="001B0691"/>
    <w:rsid w:val="001B0C78"/>
    <w:rsid w:val="001B1A13"/>
    <w:rsid w:val="001B22BA"/>
    <w:rsid w:val="001B4CD1"/>
    <w:rsid w:val="001B5A1E"/>
    <w:rsid w:val="001B5C86"/>
    <w:rsid w:val="001C06C8"/>
    <w:rsid w:val="001C1FB8"/>
    <w:rsid w:val="001C2045"/>
    <w:rsid w:val="001C4EDF"/>
    <w:rsid w:val="001C5040"/>
    <w:rsid w:val="001C715A"/>
    <w:rsid w:val="001D0F6A"/>
    <w:rsid w:val="001D2FA5"/>
    <w:rsid w:val="001D3394"/>
    <w:rsid w:val="001D3D57"/>
    <w:rsid w:val="001D4980"/>
    <w:rsid w:val="001D5045"/>
    <w:rsid w:val="001D5A44"/>
    <w:rsid w:val="001D5CD0"/>
    <w:rsid w:val="001D724B"/>
    <w:rsid w:val="001E023C"/>
    <w:rsid w:val="001E0BA5"/>
    <w:rsid w:val="001E18E9"/>
    <w:rsid w:val="001E2012"/>
    <w:rsid w:val="001E6C11"/>
    <w:rsid w:val="001F03E1"/>
    <w:rsid w:val="001F1F19"/>
    <w:rsid w:val="001F2BD1"/>
    <w:rsid w:val="001F3080"/>
    <w:rsid w:val="001F3CC6"/>
    <w:rsid w:val="001F5F5F"/>
    <w:rsid w:val="00205064"/>
    <w:rsid w:val="0020548A"/>
    <w:rsid w:val="00211668"/>
    <w:rsid w:val="002118A6"/>
    <w:rsid w:val="002122FF"/>
    <w:rsid w:val="002125F7"/>
    <w:rsid w:val="0021288A"/>
    <w:rsid w:val="0021410A"/>
    <w:rsid w:val="002150AC"/>
    <w:rsid w:val="002162B9"/>
    <w:rsid w:val="00221375"/>
    <w:rsid w:val="00221938"/>
    <w:rsid w:val="00222262"/>
    <w:rsid w:val="002230A8"/>
    <w:rsid w:val="00227D20"/>
    <w:rsid w:val="00231BCE"/>
    <w:rsid w:val="00233029"/>
    <w:rsid w:val="0023336A"/>
    <w:rsid w:val="002359EB"/>
    <w:rsid w:val="0023649E"/>
    <w:rsid w:val="00240CA0"/>
    <w:rsid w:val="00241740"/>
    <w:rsid w:val="002424E4"/>
    <w:rsid w:val="00243122"/>
    <w:rsid w:val="002437F5"/>
    <w:rsid w:val="00244727"/>
    <w:rsid w:val="00244CFB"/>
    <w:rsid w:val="00244DB1"/>
    <w:rsid w:val="00245012"/>
    <w:rsid w:val="0024504E"/>
    <w:rsid w:val="0024651F"/>
    <w:rsid w:val="00246874"/>
    <w:rsid w:val="00246D81"/>
    <w:rsid w:val="00246E19"/>
    <w:rsid w:val="00250869"/>
    <w:rsid w:val="00251920"/>
    <w:rsid w:val="00253D3C"/>
    <w:rsid w:val="00253FEA"/>
    <w:rsid w:val="00254A7E"/>
    <w:rsid w:val="00255292"/>
    <w:rsid w:val="00256047"/>
    <w:rsid w:val="002567DB"/>
    <w:rsid w:val="0025722F"/>
    <w:rsid w:val="00257E84"/>
    <w:rsid w:val="00260200"/>
    <w:rsid w:val="00261F47"/>
    <w:rsid w:val="00263106"/>
    <w:rsid w:val="002642F2"/>
    <w:rsid w:val="00264AE1"/>
    <w:rsid w:val="00265552"/>
    <w:rsid w:val="00266645"/>
    <w:rsid w:val="00266E94"/>
    <w:rsid w:val="00267386"/>
    <w:rsid w:val="00267C2E"/>
    <w:rsid w:val="00267DA9"/>
    <w:rsid w:val="0027117B"/>
    <w:rsid w:val="0027191A"/>
    <w:rsid w:val="00273E5C"/>
    <w:rsid w:val="00274444"/>
    <w:rsid w:val="00275FD0"/>
    <w:rsid w:val="00280313"/>
    <w:rsid w:val="00280514"/>
    <w:rsid w:val="002819E7"/>
    <w:rsid w:val="0028293E"/>
    <w:rsid w:val="00282FF2"/>
    <w:rsid w:val="00283483"/>
    <w:rsid w:val="002844B5"/>
    <w:rsid w:val="0028459B"/>
    <w:rsid w:val="00285618"/>
    <w:rsid w:val="002872F8"/>
    <w:rsid w:val="002910F6"/>
    <w:rsid w:val="00296E4A"/>
    <w:rsid w:val="002976E5"/>
    <w:rsid w:val="002A1F14"/>
    <w:rsid w:val="002A2678"/>
    <w:rsid w:val="002A3369"/>
    <w:rsid w:val="002A3F45"/>
    <w:rsid w:val="002A4B8A"/>
    <w:rsid w:val="002A5161"/>
    <w:rsid w:val="002A5C0F"/>
    <w:rsid w:val="002A6385"/>
    <w:rsid w:val="002A7669"/>
    <w:rsid w:val="002A7929"/>
    <w:rsid w:val="002B41D7"/>
    <w:rsid w:val="002B5240"/>
    <w:rsid w:val="002B6009"/>
    <w:rsid w:val="002B6A13"/>
    <w:rsid w:val="002C0904"/>
    <w:rsid w:val="002C0F67"/>
    <w:rsid w:val="002C1E84"/>
    <w:rsid w:val="002C36C3"/>
    <w:rsid w:val="002C74DC"/>
    <w:rsid w:val="002C77CC"/>
    <w:rsid w:val="002D2A00"/>
    <w:rsid w:val="002D3BDD"/>
    <w:rsid w:val="002D5199"/>
    <w:rsid w:val="002E2862"/>
    <w:rsid w:val="002E4C01"/>
    <w:rsid w:val="002E50D6"/>
    <w:rsid w:val="002E7683"/>
    <w:rsid w:val="002F0516"/>
    <w:rsid w:val="002F07EF"/>
    <w:rsid w:val="002F1093"/>
    <w:rsid w:val="002F22D2"/>
    <w:rsid w:val="002F778A"/>
    <w:rsid w:val="00302187"/>
    <w:rsid w:val="003028D8"/>
    <w:rsid w:val="0030290F"/>
    <w:rsid w:val="00302DE9"/>
    <w:rsid w:val="00303869"/>
    <w:rsid w:val="00303F1D"/>
    <w:rsid w:val="00305084"/>
    <w:rsid w:val="00307783"/>
    <w:rsid w:val="003117FA"/>
    <w:rsid w:val="00311ABF"/>
    <w:rsid w:val="00314A81"/>
    <w:rsid w:val="00314DD2"/>
    <w:rsid w:val="00315A7C"/>
    <w:rsid w:val="00317705"/>
    <w:rsid w:val="00317B97"/>
    <w:rsid w:val="00317D7D"/>
    <w:rsid w:val="003204E9"/>
    <w:rsid w:val="003232AA"/>
    <w:rsid w:val="00323A10"/>
    <w:rsid w:val="00323E6A"/>
    <w:rsid w:val="00323F25"/>
    <w:rsid w:val="00324A71"/>
    <w:rsid w:val="00325BDB"/>
    <w:rsid w:val="003303E3"/>
    <w:rsid w:val="00334656"/>
    <w:rsid w:val="00337A86"/>
    <w:rsid w:val="0034147B"/>
    <w:rsid w:val="00341889"/>
    <w:rsid w:val="003426CE"/>
    <w:rsid w:val="00343016"/>
    <w:rsid w:val="00343175"/>
    <w:rsid w:val="0034447B"/>
    <w:rsid w:val="00350264"/>
    <w:rsid w:val="00351704"/>
    <w:rsid w:val="003570C8"/>
    <w:rsid w:val="00367770"/>
    <w:rsid w:val="00370FE2"/>
    <w:rsid w:val="00371424"/>
    <w:rsid w:val="00371FF4"/>
    <w:rsid w:val="00372209"/>
    <w:rsid w:val="003771ED"/>
    <w:rsid w:val="0037768B"/>
    <w:rsid w:val="00382E6F"/>
    <w:rsid w:val="00384E65"/>
    <w:rsid w:val="00386EBC"/>
    <w:rsid w:val="00387C00"/>
    <w:rsid w:val="003976A3"/>
    <w:rsid w:val="00397960"/>
    <w:rsid w:val="00397F75"/>
    <w:rsid w:val="003A2008"/>
    <w:rsid w:val="003A3BC4"/>
    <w:rsid w:val="003A4AA3"/>
    <w:rsid w:val="003A7DDF"/>
    <w:rsid w:val="003B405E"/>
    <w:rsid w:val="003B4843"/>
    <w:rsid w:val="003B494E"/>
    <w:rsid w:val="003B6C23"/>
    <w:rsid w:val="003C6E9E"/>
    <w:rsid w:val="003C787E"/>
    <w:rsid w:val="003C792F"/>
    <w:rsid w:val="003D10D1"/>
    <w:rsid w:val="003D117A"/>
    <w:rsid w:val="003D36B2"/>
    <w:rsid w:val="003D42D5"/>
    <w:rsid w:val="003D4554"/>
    <w:rsid w:val="003D656E"/>
    <w:rsid w:val="003D7826"/>
    <w:rsid w:val="003D78B5"/>
    <w:rsid w:val="003E0BD4"/>
    <w:rsid w:val="003E45B9"/>
    <w:rsid w:val="003E654C"/>
    <w:rsid w:val="003E6C5C"/>
    <w:rsid w:val="003F0DE5"/>
    <w:rsid w:val="003F1674"/>
    <w:rsid w:val="003F21E5"/>
    <w:rsid w:val="003F46FC"/>
    <w:rsid w:val="003F4AA5"/>
    <w:rsid w:val="003F697D"/>
    <w:rsid w:val="003F7C45"/>
    <w:rsid w:val="00400500"/>
    <w:rsid w:val="00400FA6"/>
    <w:rsid w:val="0040132C"/>
    <w:rsid w:val="00404257"/>
    <w:rsid w:val="004051DF"/>
    <w:rsid w:val="00405581"/>
    <w:rsid w:val="004075CF"/>
    <w:rsid w:val="00407F66"/>
    <w:rsid w:val="004107A6"/>
    <w:rsid w:val="004113B4"/>
    <w:rsid w:val="00412187"/>
    <w:rsid w:val="0041220A"/>
    <w:rsid w:val="00413B96"/>
    <w:rsid w:val="00413C2C"/>
    <w:rsid w:val="00415168"/>
    <w:rsid w:val="00415B04"/>
    <w:rsid w:val="00416A6B"/>
    <w:rsid w:val="004170FA"/>
    <w:rsid w:val="00417701"/>
    <w:rsid w:val="00417FCD"/>
    <w:rsid w:val="0042044C"/>
    <w:rsid w:val="0042114A"/>
    <w:rsid w:val="00421624"/>
    <w:rsid w:val="00424151"/>
    <w:rsid w:val="00425A5A"/>
    <w:rsid w:val="00425FB6"/>
    <w:rsid w:val="0042652B"/>
    <w:rsid w:val="00426568"/>
    <w:rsid w:val="004268BB"/>
    <w:rsid w:val="0042785F"/>
    <w:rsid w:val="00430A5C"/>
    <w:rsid w:val="004314FF"/>
    <w:rsid w:val="0043653E"/>
    <w:rsid w:val="004408EC"/>
    <w:rsid w:val="00440F74"/>
    <w:rsid w:val="00441FEC"/>
    <w:rsid w:val="004425E8"/>
    <w:rsid w:val="00443C8F"/>
    <w:rsid w:val="00447BC6"/>
    <w:rsid w:val="004501CE"/>
    <w:rsid w:val="00450309"/>
    <w:rsid w:val="00452481"/>
    <w:rsid w:val="00454A0F"/>
    <w:rsid w:val="00454E63"/>
    <w:rsid w:val="0046335D"/>
    <w:rsid w:val="00463C2C"/>
    <w:rsid w:val="00465C82"/>
    <w:rsid w:val="00477425"/>
    <w:rsid w:val="00477C6E"/>
    <w:rsid w:val="00480CA5"/>
    <w:rsid w:val="00481877"/>
    <w:rsid w:val="00481DB2"/>
    <w:rsid w:val="00483271"/>
    <w:rsid w:val="0049210E"/>
    <w:rsid w:val="0049297D"/>
    <w:rsid w:val="0049327D"/>
    <w:rsid w:val="00493D04"/>
    <w:rsid w:val="0049405D"/>
    <w:rsid w:val="0049455C"/>
    <w:rsid w:val="00495A03"/>
    <w:rsid w:val="00497501"/>
    <w:rsid w:val="004A1BE1"/>
    <w:rsid w:val="004A63CB"/>
    <w:rsid w:val="004A67B0"/>
    <w:rsid w:val="004A6FB2"/>
    <w:rsid w:val="004B0847"/>
    <w:rsid w:val="004B087F"/>
    <w:rsid w:val="004B0E6D"/>
    <w:rsid w:val="004B16E8"/>
    <w:rsid w:val="004B4CBF"/>
    <w:rsid w:val="004B4FE9"/>
    <w:rsid w:val="004C0541"/>
    <w:rsid w:val="004C1ADE"/>
    <w:rsid w:val="004C241F"/>
    <w:rsid w:val="004C3FE6"/>
    <w:rsid w:val="004C634A"/>
    <w:rsid w:val="004C660B"/>
    <w:rsid w:val="004D050C"/>
    <w:rsid w:val="004D23D9"/>
    <w:rsid w:val="004D285F"/>
    <w:rsid w:val="004D3537"/>
    <w:rsid w:val="004D36DF"/>
    <w:rsid w:val="004D4D4E"/>
    <w:rsid w:val="004D614E"/>
    <w:rsid w:val="004D650F"/>
    <w:rsid w:val="004D7E11"/>
    <w:rsid w:val="004E2133"/>
    <w:rsid w:val="004E4E04"/>
    <w:rsid w:val="004F01F6"/>
    <w:rsid w:val="004F2EB4"/>
    <w:rsid w:val="004F521C"/>
    <w:rsid w:val="004F5DD3"/>
    <w:rsid w:val="00502CD8"/>
    <w:rsid w:val="0050361C"/>
    <w:rsid w:val="00506A40"/>
    <w:rsid w:val="0051064F"/>
    <w:rsid w:val="00513A0E"/>
    <w:rsid w:val="00514118"/>
    <w:rsid w:val="00515D7B"/>
    <w:rsid w:val="00515F29"/>
    <w:rsid w:val="0052009E"/>
    <w:rsid w:val="005207B3"/>
    <w:rsid w:val="005218EE"/>
    <w:rsid w:val="00530161"/>
    <w:rsid w:val="005324E6"/>
    <w:rsid w:val="005405A3"/>
    <w:rsid w:val="005450F7"/>
    <w:rsid w:val="00545A0B"/>
    <w:rsid w:val="0054672F"/>
    <w:rsid w:val="00546CD3"/>
    <w:rsid w:val="00547FA4"/>
    <w:rsid w:val="005536D4"/>
    <w:rsid w:val="00553EC8"/>
    <w:rsid w:val="005547A9"/>
    <w:rsid w:val="005564EE"/>
    <w:rsid w:val="00556718"/>
    <w:rsid w:val="00557D4A"/>
    <w:rsid w:val="0056176B"/>
    <w:rsid w:val="00561889"/>
    <w:rsid w:val="00562136"/>
    <w:rsid w:val="005621F6"/>
    <w:rsid w:val="00562709"/>
    <w:rsid w:val="0056291C"/>
    <w:rsid w:val="00563C27"/>
    <w:rsid w:val="005668D3"/>
    <w:rsid w:val="00566EBD"/>
    <w:rsid w:val="0057154B"/>
    <w:rsid w:val="00571E42"/>
    <w:rsid w:val="005742DB"/>
    <w:rsid w:val="00574FC7"/>
    <w:rsid w:val="00577209"/>
    <w:rsid w:val="00577282"/>
    <w:rsid w:val="005800A9"/>
    <w:rsid w:val="00581139"/>
    <w:rsid w:val="00581645"/>
    <w:rsid w:val="00582608"/>
    <w:rsid w:val="0058299A"/>
    <w:rsid w:val="005858C2"/>
    <w:rsid w:val="0058602F"/>
    <w:rsid w:val="0058694E"/>
    <w:rsid w:val="005875F9"/>
    <w:rsid w:val="00590765"/>
    <w:rsid w:val="00593A35"/>
    <w:rsid w:val="00593C74"/>
    <w:rsid w:val="00597D8B"/>
    <w:rsid w:val="005A46FF"/>
    <w:rsid w:val="005A557E"/>
    <w:rsid w:val="005A63FD"/>
    <w:rsid w:val="005A677E"/>
    <w:rsid w:val="005B0532"/>
    <w:rsid w:val="005B462A"/>
    <w:rsid w:val="005B5137"/>
    <w:rsid w:val="005B6047"/>
    <w:rsid w:val="005C0ED7"/>
    <w:rsid w:val="005C3E8E"/>
    <w:rsid w:val="005C47D0"/>
    <w:rsid w:val="005C5409"/>
    <w:rsid w:val="005C57C1"/>
    <w:rsid w:val="005C6FF7"/>
    <w:rsid w:val="005C7D00"/>
    <w:rsid w:val="005D01A4"/>
    <w:rsid w:val="005D04DC"/>
    <w:rsid w:val="005D0BAB"/>
    <w:rsid w:val="005D1893"/>
    <w:rsid w:val="005D24AA"/>
    <w:rsid w:val="005D26E9"/>
    <w:rsid w:val="005D2CAA"/>
    <w:rsid w:val="005D2D89"/>
    <w:rsid w:val="005D4CBA"/>
    <w:rsid w:val="005E01A3"/>
    <w:rsid w:val="005E0354"/>
    <w:rsid w:val="005E6C62"/>
    <w:rsid w:val="005E6F13"/>
    <w:rsid w:val="005E726C"/>
    <w:rsid w:val="005F293E"/>
    <w:rsid w:val="005F43B9"/>
    <w:rsid w:val="005F458B"/>
    <w:rsid w:val="005F4A6A"/>
    <w:rsid w:val="005F4E28"/>
    <w:rsid w:val="005F56BA"/>
    <w:rsid w:val="005F69E7"/>
    <w:rsid w:val="0060008E"/>
    <w:rsid w:val="00601F15"/>
    <w:rsid w:val="00602321"/>
    <w:rsid w:val="006033E3"/>
    <w:rsid w:val="00606B29"/>
    <w:rsid w:val="0060758A"/>
    <w:rsid w:val="00607D0E"/>
    <w:rsid w:val="00607D16"/>
    <w:rsid w:val="006101F5"/>
    <w:rsid w:val="00610880"/>
    <w:rsid w:val="00610DA5"/>
    <w:rsid w:val="00611663"/>
    <w:rsid w:val="0061321C"/>
    <w:rsid w:val="00613F44"/>
    <w:rsid w:val="006160BD"/>
    <w:rsid w:val="00620EDB"/>
    <w:rsid w:val="006225F6"/>
    <w:rsid w:val="006232DA"/>
    <w:rsid w:val="0062386E"/>
    <w:rsid w:val="006253EF"/>
    <w:rsid w:val="00626075"/>
    <w:rsid w:val="0062680E"/>
    <w:rsid w:val="006268F5"/>
    <w:rsid w:val="00631158"/>
    <w:rsid w:val="006314E0"/>
    <w:rsid w:val="00632923"/>
    <w:rsid w:val="006341E6"/>
    <w:rsid w:val="00634439"/>
    <w:rsid w:val="006366C6"/>
    <w:rsid w:val="00636B55"/>
    <w:rsid w:val="00636EB1"/>
    <w:rsid w:val="006373D6"/>
    <w:rsid w:val="006403D4"/>
    <w:rsid w:val="00642CBC"/>
    <w:rsid w:val="0064454A"/>
    <w:rsid w:val="00645293"/>
    <w:rsid w:val="00646AEE"/>
    <w:rsid w:val="00647ACB"/>
    <w:rsid w:val="00651B78"/>
    <w:rsid w:val="0065237A"/>
    <w:rsid w:val="00652FF5"/>
    <w:rsid w:val="00653246"/>
    <w:rsid w:val="00654382"/>
    <w:rsid w:val="00657487"/>
    <w:rsid w:val="00660FD1"/>
    <w:rsid w:val="00661244"/>
    <w:rsid w:val="006640DF"/>
    <w:rsid w:val="00664462"/>
    <w:rsid w:val="00666A3C"/>
    <w:rsid w:val="00667519"/>
    <w:rsid w:val="006676A0"/>
    <w:rsid w:val="00670857"/>
    <w:rsid w:val="00670868"/>
    <w:rsid w:val="00673D69"/>
    <w:rsid w:val="00676431"/>
    <w:rsid w:val="00677A9C"/>
    <w:rsid w:val="0068050D"/>
    <w:rsid w:val="00680BCE"/>
    <w:rsid w:val="006822B2"/>
    <w:rsid w:val="00685AD1"/>
    <w:rsid w:val="00685FFC"/>
    <w:rsid w:val="00686943"/>
    <w:rsid w:val="00686EDE"/>
    <w:rsid w:val="00687AD5"/>
    <w:rsid w:val="00690865"/>
    <w:rsid w:val="00690A31"/>
    <w:rsid w:val="006911CE"/>
    <w:rsid w:val="00691393"/>
    <w:rsid w:val="00691F3B"/>
    <w:rsid w:val="0069371D"/>
    <w:rsid w:val="00695251"/>
    <w:rsid w:val="00695777"/>
    <w:rsid w:val="00695B58"/>
    <w:rsid w:val="00696F52"/>
    <w:rsid w:val="006A0963"/>
    <w:rsid w:val="006A120B"/>
    <w:rsid w:val="006A4828"/>
    <w:rsid w:val="006A5FE0"/>
    <w:rsid w:val="006A6D35"/>
    <w:rsid w:val="006A7C09"/>
    <w:rsid w:val="006B046C"/>
    <w:rsid w:val="006B252F"/>
    <w:rsid w:val="006B25AD"/>
    <w:rsid w:val="006B2CE8"/>
    <w:rsid w:val="006B32A4"/>
    <w:rsid w:val="006B3940"/>
    <w:rsid w:val="006C168D"/>
    <w:rsid w:val="006C26A9"/>
    <w:rsid w:val="006C3EE0"/>
    <w:rsid w:val="006C4033"/>
    <w:rsid w:val="006C5BC9"/>
    <w:rsid w:val="006C642C"/>
    <w:rsid w:val="006D249E"/>
    <w:rsid w:val="006D7386"/>
    <w:rsid w:val="006E0DAD"/>
    <w:rsid w:val="006E181E"/>
    <w:rsid w:val="006E313F"/>
    <w:rsid w:val="006F1F1A"/>
    <w:rsid w:val="006F5AC2"/>
    <w:rsid w:val="006F6C28"/>
    <w:rsid w:val="007007EB"/>
    <w:rsid w:val="00701EDB"/>
    <w:rsid w:val="00701F57"/>
    <w:rsid w:val="007032A6"/>
    <w:rsid w:val="00703E8A"/>
    <w:rsid w:val="00705B21"/>
    <w:rsid w:val="00706046"/>
    <w:rsid w:val="007112F0"/>
    <w:rsid w:val="00711343"/>
    <w:rsid w:val="00713C57"/>
    <w:rsid w:val="00714309"/>
    <w:rsid w:val="0071450F"/>
    <w:rsid w:val="00717772"/>
    <w:rsid w:val="00717D36"/>
    <w:rsid w:val="00721DBE"/>
    <w:rsid w:val="007226EC"/>
    <w:rsid w:val="00722B5E"/>
    <w:rsid w:val="00724F6D"/>
    <w:rsid w:val="0072678C"/>
    <w:rsid w:val="007321FE"/>
    <w:rsid w:val="00732D1D"/>
    <w:rsid w:val="007350D4"/>
    <w:rsid w:val="00735E0D"/>
    <w:rsid w:val="00735E32"/>
    <w:rsid w:val="00736034"/>
    <w:rsid w:val="00740635"/>
    <w:rsid w:val="00740707"/>
    <w:rsid w:val="0074120F"/>
    <w:rsid w:val="00743764"/>
    <w:rsid w:val="00743B2D"/>
    <w:rsid w:val="00747930"/>
    <w:rsid w:val="0075060E"/>
    <w:rsid w:val="00750D80"/>
    <w:rsid w:val="00752E8B"/>
    <w:rsid w:val="007541BB"/>
    <w:rsid w:val="00754D62"/>
    <w:rsid w:val="00756CFF"/>
    <w:rsid w:val="00757FD7"/>
    <w:rsid w:val="00761982"/>
    <w:rsid w:val="00761B7A"/>
    <w:rsid w:val="007627C8"/>
    <w:rsid w:val="007651E5"/>
    <w:rsid w:val="00765256"/>
    <w:rsid w:val="00766051"/>
    <w:rsid w:val="007661D4"/>
    <w:rsid w:val="007661FD"/>
    <w:rsid w:val="00766A7C"/>
    <w:rsid w:val="00767A27"/>
    <w:rsid w:val="007709D9"/>
    <w:rsid w:val="0077111A"/>
    <w:rsid w:val="00774133"/>
    <w:rsid w:val="00775419"/>
    <w:rsid w:val="0077588F"/>
    <w:rsid w:val="007763A5"/>
    <w:rsid w:val="0078105B"/>
    <w:rsid w:val="00782B50"/>
    <w:rsid w:val="00784FE0"/>
    <w:rsid w:val="007852D1"/>
    <w:rsid w:val="007858B1"/>
    <w:rsid w:val="0078648E"/>
    <w:rsid w:val="007866A0"/>
    <w:rsid w:val="00791A3A"/>
    <w:rsid w:val="00791D9C"/>
    <w:rsid w:val="00791FB5"/>
    <w:rsid w:val="007936F3"/>
    <w:rsid w:val="00794AC2"/>
    <w:rsid w:val="007963EC"/>
    <w:rsid w:val="007A059C"/>
    <w:rsid w:val="007A1D9A"/>
    <w:rsid w:val="007A391B"/>
    <w:rsid w:val="007A4409"/>
    <w:rsid w:val="007A4F37"/>
    <w:rsid w:val="007A5233"/>
    <w:rsid w:val="007A5241"/>
    <w:rsid w:val="007A59B8"/>
    <w:rsid w:val="007B06C7"/>
    <w:rsid w:val="007B3D06"/>
    <w:rsid w:val="007B42F5"/>
    <w:rsid w:val="007B5157"/>
    <w:rsid w:val="007B5CD8"/>
    <w:rsid w:val="007C05E8"/>
    <w:rsid w:val="007C1122"/>
    <w:rsid w:val="007C14DF"/>
    <w:rsid w:val="007C19EC"/>
    <w:rsid w:val="007C364E"/>
    <w:rsid w:val="007C3DC6"/>
    <w:rsid w:val="007C5359"/>
    <w:rsid w:val="007C6127"/>
    <w:rsid w:val="007C6701"/>
    <w:rsid w:val="007D16ED"/>
    <w:rsid w:val="007D1835"/>
    <w:rsid w:val="007D2398"/>
    <w:rsid w:val="007D440B"/>
    <w:rsid w:val="007D62F9"/>
    <w:rsid w:val="007D63A4"/>
    <w:rsid w:val="007D6FFB"/>
    <w:rsid w:val="007D732D"/>
    <w:rsid w:val="007D741B"/>
    <w:rsid w:val="007E0F19"/>
    <w:rsid w:val="007E2A84"/>
    <w:rsid w:val="007E2BA4"/>
    <w:rsid w:val="007E46A3"/>
    <w:rsid w:val="007E5ECB"/>
    <w:rsid w:val="007E6BA3"/>
    <w:rsid w:val="007F063D"/>
    <w:rsid w:val="007F0D73"/>
    <w:rsid w:val="007F32F6"/>
    <w:rsid w:val="007F432A"/>
    <w:rsid w:val="007F50FB"/>
    <w:rsid w:val="007F52FA"/>
    <w:rsid w:val="007F63AA"/>
    <w:rsid w:val="008006B7"/>
    <w:rsid w:val="008032FD"/>
    <w:rsid w:val="00806461"/>
    <w:rsid w:val="008064CE"/>
    <w:rsid w:val="0080673A"/>
    <w:rsid w:val="00806C53"/>
    <w:rsid w:val="00807A94"/>
    <w:rsid w:val="00807B81"/>
    <w:rsid w:val="00810B79"/>
    <w:rsid w:val="00810EAD"/>
    <w:rsid w:val="00814530"/>
    <w:rsid w:val="00815386"/>
    <w:rsid w:val="008156AA"/>
    <w:rsid w:val="00817808"/>
    <w:rsid w:val="00821F9C"/>
    <w:rsid w:val="008220BF"/>
    <w:rsid w:val="00825570"/>
    <w:rsid w:val="00826403"/>
    <w:rsid w:val="00827990"/>
    <w:rsid w:val="00834CA6"/>
    <w:rsid w:val="0083579E"/>
    <w:rsid w:val="0083623B"/>
    <w:rsid w:val="00837861"/>
    <w:rsid w:val="00837E59"/>
    <w:rsid w:val="00842100"/>
    <w:rsid w:val="008428A9"/>
    <w:rsid w:val="0084308F"/>
    <w:rsid w:val="00846C2B"/>
    <w:rsid w:val="0085139A"/>
    <w:rsid w:val="008524F6"/>
    <w:rsid w:val="008532F3"/>
    <w:rsid w:val="00854B3F"/>
    <w:rsid w:val="00861C2C"/>
    <w:rsid w:val="00863744"/>
    <w:rsid w:val="00863A9A"/>
    <w:rsid w:val="00865F74"/>
    <w:rsid w:val="008668B8"/>
    <w:rsid w:val="0086748F"/>
    <w:rsid w:val="00867B4D"/>
    <w:rsid w:val="00867CF3"/>
    <w:rsid w:val="00873101"/>
    <w:rsid w:val="00874AB5"/>
    <w:rsid w:val="00877671"/>
    <w:rsid w:val="00877A13"/>
    <w:rsid w:val="00885AD9"/>
    <w:rsid w:val="008869BC"/>
    <w:rsid w:val="00887DDD"/>
    <w:rsid w:val="00887DE6"/>
    <w:rsid w:val="00887E9F"/>
    <w:rsid w:val="008908AA"/>
    <w:rsid w:val="00890E08"/>
    <w:rsid w:val="00894DCA"/>
    <w:rsid w:val="00896AC6"/>
    <w:rsid w:val="00897D88"/>
    <w:rsid w:val="008A00BE"/>
    <w:rsid w:val="008A1539"/>
    <w:rsid w:val="008A2C5D"/>
    <w:rsid w:val="008A3BCC"/>
    <w:rsid w:val="008A3BE2"/>
    <w:rsid w:val="008A6B30"/>
    <w:rsid w:val="008B05E7"/>
    <w:rsid w:val="008B0758"/>
    <w:rsid w:val="008B1875"/>
    <w:rsid w:val="008B3DB5"/>
    <w:rsid w:val="008B4146"/>
    <w:rsid w:val="008B5312"/>
    <w:rsid w:val="008B59CE"/>
    <w:rsid w:val="008B6078"/>
    <w:rsid w:val="008B7110"/>
    <w:rsid w:val="008B7F4A"/>
    <w:rsid w:val="008C04E1"/>
    <w:rsid w:val="008C04FE"/>
    <w:rsid w:val="008C0C69"/>
    <w:rsid w:val="008C2F50"/>
    <w:rsid w:val="008C3109"/>
    <w:rsid w:val="008C5312"/>
    <w:rsid w:val="008C5DBD"/>
    <w:rsid w:val="008C61D6"/>
    <w:rsid w:val="008C6BE0"/>
    <w:rsid w:val="008D0022"/>
    <w:rsid w:val="008D49AF"/>
    <w:rsid w:val="008D4A2B"/>
    <w:rsid w:val="008D4A9F"/>
    <w:rsid w:val="008D6294"/>
    <w:rsid w:val="008E0266"/>
    <w:rsid w:val="008E13A0"/>
    <w:rsid w:val="008E1F18"/>
    <w:rsid w:val="008E1FE0"/>
    <w:rsid w:val="008E2111"/>
    <w:rsid w:val="008E3363"/>
    <w:rsid w:val="008E3939"/>
    <w:rsid w:val="008E3DDD"/>
    <w:rsid w:val="008E5D70"/>
    <w:rsid w:val="008F23F4"/>
    <w:rsid w:val="008F4965"/>
    <w:rsid w:val="008F61C4"/>
    <w:rsid w:val="008F6228"/>
    <w:rsid w:val="008F7763"/>
    <w:rsid w:val="009007CB"/>
    <w:rsid w:val="009009DC"/>
    <w:rsid w:val="009010F0"/>
    <w:rsid w:val="00901162"/>
    <w:rsid w:val="00901A22"/>
    <w:rsid w:val="00901D46"/>
    <w:rsid w:val="009028E2"/>
    <w:rsid w:val="00903692"/>
    <w:rsid w:val="00904E07"/>
    <w:rsid w:val="009050AB"/>
    <w:rsid w:val="00910F55"/>
    <w:rsid w:val="00911BF3"/>
    <w:rsid w:val="00912BAF"/>
    <w:rsid w:val="00914EAB"/>
    <w:rsid w:val="0091541F"/>
    <w:rsid w:val="00915DAE"/>
    <w:rsid w:val="00917F12"/>
    <w:rsid w:val="00920D98"/>
    <w:rsid w:val="00921FF9"/>
    <w:rsid w:val="00922D49"/>
    <w:rsid w:val="009238DB"/>
    <w:rsid w:val="00925E37"/>
    <w:rsid w:val="00925EDD"/>
    <w:rsid w:val="00926D30"/>
    <w:rsid w:val="00930079"/>
    <w:rsid w:val="00930966"/>
    <w:rsid w:val="00932F64"/>
    <w:rsid w:val="00936075"/>
    <w:rsid w:val="00936D40"/>
    <w:rsid w:val="00936DE4"/>
    <w:rsid w:val="00937ABF"/>
    <w:rsid w:val="00937DB1"/>
    <w:rsid w:val="009416C9"/>
    <w:rsid w:val="009434C7"/>
    <w:rsid w:val="009463CC"/>
    <w:rsid w:val="00950413"/>
    <w:rsid w:val="0095078E"/>
    <w:rsid w:val="009515B0"/>
    <w:rsid w:val="00952404"/>
    <w:rsid w:val="00952A72"/>
    <w:rsid w:val="009550A8"/>
    <w:rsid w:val="00955FF2"/>
    <w:rsid w:val="0095693D"/>
    <w:rsid w:val="00956B0D"/>
    <w:rsid w:val="0096260B"/>
    <w:rsid w:val="00962650"/>
    <w:rsid w:val="009631C1"/>
    <w:rsid w:val="00967FFB"/>
    <w:rsid w:val="00970C69"/>
    <w:rsid w:val="00973B57"/>
    <w:rsid w:val="00973E0D"/>
    <w:rsid w:val="0097403F"/>
    <w:rsid w:val="009765C1"/>
    <w:rsid w:val="00976797"/>
    <w:rsid w:val="00977148"/>
    <w:rsid w:val="00980C0C"/>
    <w:rsid w:val="00982E47"/>
    <w:rsid w:val="00983E7D"/>
    <w:rsid w:val="00990FE3"/>
    <w:rsid w:val="00991642"/>
    <w:rsid w:val="0099260C"/>
    <w:rsid w:val="0099273F"/>
    <w:rsid w:val="00993DA2"/>
    <w:rsid w:val="009942F4"/>
    <w:rsid w:val="00995B3C"/>
    <w:rsid w:val="00996BCA"/>
    <w:rsid w:val="009A045B"/>
    <w:rsid w:val="009A0513"/>
    <w:rsid w:val="009A2283"/>
    <w:rsid w:val="009A31AF"/>
    <w:rsid w:val="009A3507"/>
    <w:rsid w:val="009A3DC6"/>
    <w:rsid w:val="009A46F7"/>
    <w:rsid w:val="009A529F"/>
    <w:rsid w:val="009A558E"/>
    <w:rsid w:val="009A5C1D"/>
    <w:rsid w:val="009B4286"/>
    <w:rsid w:val="009B5BF9"/>
    <w:rsid w:val="009B5DAF"/>
    <w:rsid w:val="009B5F83"/>
    <w:rsid w:val="009B61C5"/>
    <w:rsid w:val="009B6A1E"/>
    <w:rsid w:val="009B769E"/>
    <w:rsid w:val="009C03E5"/>
    <w:rsid w:val="009C407C"/>
    <w:rsid w:val="009C4D19"/>
    <w:rsid w:val="009C5FDB"/>
    <w:rsid w:val="009C65AF"/>
    <w:rsid w:val="009C70CB"/>
    <w:rsid w:val="009C74DD"/>
    <w:rsid w:val="009D27AA"/>
    <w:rsid w:val="009D2AD9"/>
    <w:rsid w:val="009D2BAC"/>
    <w:rsid w:val="009D514E"/>
    <w:rsid w:val="009D5C39"/>
    <w:rsid w:val="009D6FED"/>
    <w:rsid w:val="009D767D"/>
    <w:rsid w:val="009E0795"/>
    <w:rsid w:val="009E0A95"/>
    <w:rsid w:val="009E0D47"/>
    <w:rsid w:val="009E549D"/>
    <w:rsid w:val="009E54AF"/>
    <w:rsid w:val="009E5C59"/>
    <w:rsid w:val="009E64CD"/>
    <w:rsid w:val="009E6BB8"/>
    <w:rsid w:val="009F0C6B"/>
    <w:rsid w:val="009F1CC3"/>
    <w:rsid w:val="009F26F2"/>
    <w:rsid w:val="009F3E1E"/>
    <w:rsid w:val="009F4CC5"/>
    <w:rsid w:val="009F6550"/>
    <w:rsid w:val="009F78D4"/>
    <w:rsid w:val="00A003BE"/>
    <w:rsid w:val="00A02F51"/>
    <w:rsid w:val="00A0385C"/>
    <w:rsid w:val="00A0520F"/>
    <w:rsid w:val="00A05ACE"/>
    <w:rsid w:val="00A06788"/>
    <w:rsid w:val="00A0678E"/>
    <w:rsid w:val="00A101E3"/>
    <w:rsid w:val="00A104A4"/>
    <w:rsid w:val="00A10D63"/>
    <w:rsid w:val="00A115BC"/>
    <w:rsid w:val="00A11776"/>
    <w:rsid w:val="00A1276C"/>
    <w:rsid w:val="00A14098"/>
    <w:rsid w:val="00A14304"/>
    <w:rsid w:val="00A14399"/>
    <w:rsid w:val="00A14C46"/>
    <w:rsid w:val="00A15524"/>
    <w:rsid w:val="00A15EE9"/>
    <w:rsid w:val="00A16675"/>
    <w:rsid w:val="00A1724E"/>
    <w:rsid w:val="00A20263"/>
    <w:rsid w:val="00A211AC"/>
    <w:rsid w:val="00A2454D"/>
    <w:rsid w:val="00A26437"/>
    <w:rsid w:val="00A32410"/>
    <w:rsid w:val="00A32B48"/>
    <w:rsid w:val="00A344D8"/>
    <w:rsid w:val="00A36D00"/>
    <w:rsid w:val="00A43389"/>
    <w:rsid w:val="00A4642E"/>
    <w:rsid w:val="00A47AF8"/>
    <w:rsid w:val="00A52A9E"/>
    <w:rsid w:val="00A52D75"/>
    <w:rsid w:val="00A53013"/>
    <w:rsid w:val="00A54BD6"/>
    <w:rsid w:val="00A54D53"/>
    <w:rsid w:val="00A5643A"/>
    <w:rsid w:val="00A57678"/>
    <w:rsid w:val="00A6090C"/>
    <w:rsid w:val="00A6200E"/>
    <w:rsid w:val="00A621E1"/>
    <w:rsid w:val="00A62D1E"/>
    <w:rsid w:val="00A6376F"/>
    <w:rsid w:val="00A65407"/>
    <w:rsid w:val="00A65C6D"/>
    <w:rsid w:val="00A7062E"/>
    <w:rsid w:val="00A70793"/>
    <w:rsid w:val="00A716B9"/>
    <w:rsid w:val="00A720D8"/>
    <w:rsid w:val="00A72216"/>
    <w:rsid w:val="00A733F2"/>
    <w:rsid w:val="00A75705"/>
    <w:rsid w:val="00A75BE1"/>
    <w:rsid w:val="00A8187C"/>
    <w:rsid w:val="00A82C9E"/>
    <w:rsid w:val="00A8324F"/>
    <w:rsid w:val="00A85142"/>
    <w:rsid w:val="00A854EE"/>
    <w:rsid w:val="00A92852"/>
    <w:rsid w:val="00A94412"/>
    <w:rsid w:val="00A95B37"/>
    <w:rsid w:val="00A96B6F"/>
    <w:rsid w:val="00AA0CE8"/>
    <w:rsid w:val="00AA35FD"/>
    <w:rsid w:val="00AA3DB7"/>
    <w:rsid w:val="00AA5F63"/>
    <w:rsid w:val="00AA7EBD"/>
    <w:rsid w:val="00AB69EF"/>
    <w:rsid w:val="00AC06D3"/>
    <w:rsid w:val="00AC11DC"/>
    <w:rsid w:val="00AC3E87"/>
    <w:rsid w:val="00AC469F"/>
    <w:rsid w:val="00AC4761"/>
    <w:rsid w:val="00AD0611"/>
    <w:rsid w:val="00AD0E4F"/>
    <w:rsid w:val="00AD26D7"/>
    <w:rsid w:val="00AD3905"/>
    <w:rsid w:val="00AD4555"/>
    <w:rsid w:val="00AD4A31"/>
    <w:rsid w:val="00AD515B"/>
    <w:rsid w:val="00AD5638"/>
    <w:rsid w:val="00AD7214"/>
    <w:rsid w:val="00AE1066"/>
    <w:rsid w:val="00AE12A4"/>
    <w:rsid w:val="00AE2E1B"/>
    <w:rsid w:val="00AE38DE"/>
    <w:rsid w:val="00AE5129"/>
    <w:rsid w:val="00AE55CC"/>
    <w:rsid w:val="00AE5645"/>
    <w:rsid w:val="00AE5D46"/>
    <w:rsid w:val="00AF1D6B"/>
    <w:rsid w:val="00AF1E98"/>
    <w:rsid w:val="00AF24AA"/>
    <w:rsid w:val="00AF3AF9"/>
    <w:rsid w:val="00AF3E5F"/>
    <w:rsid w:val="00AF4F09"/>
    <w:rsid w:val="00AF643E"/>
    <w:rsid w:val="00AF6F75"/>
    <w:rsid w:val="00AF79C8"/>
    <w:rsid w:val="00B00FA8"/>
    <w:rsid w:val="00B011B0"/>
    <w:rsid w:val="00B0391C"/>
    <w:rsid w:val="00B047F6"/>
    <w:rsid w:val="00B06019"/>
    <w:rsid w:val="00B0700F"/>
    <w:rsid w:val="00B1493B"/>
    <w:rsid w:val="00B15119"/>
    <w:rsid w:val="00B17169"/>
    <w:rsid w:val="00B236A5"/>
    <w:rsid w:val="00B23996"/>
    <w:rsid w:val="00B23CB2"/>
    <w:rsid w:val="00B2448B"/>
    <w:rsid w:val="00B24A18"/>
    <w:rsid w:val="00B255C5"/>
    <w:rsid w:val="00B25807"/>
    <w:rsid w:val="00B268DD"/>
    <w:rsid w:val="00B279B6"/>
    <w:rsid w:val="00B317F2"/>
    <w:rsid w:val="00B32530"/>
    <w:rsid w:val="00B32AE1"/>
    <w:rsid w:val="00B343C2"/>
    <w:rsid w:val="00B37780"/>
    <w:rsid w:val="00B37813"/>
    <w:rsid w:val="00B37EEF"/>
    <w:rsid w:val="00B37F2C"/>
    <w:rsid w:val="00B40553"/>
    <w:rsid w:val="00B4167B"/>
    <w:rsid w:val="00B41C1D"/>
    <w:rsid w:val="00B43917"/>
    <w:rsid w:val="00B44260"/>
    <w:rsid w:val="00B4515C"/>
    <w:rsid w:val="00B46220"/>
    <w:rsid w:val="00B464EA"/>
    <w:rsid w:val="00B47574"/>
    <w:rsid w:val="00B51EE1"/>
    <w:rsid w:val="00B5430C"/>
    <w:rsid w:val="00B56A90"/>
    <w:rsid w:val="00B5711C"/>
    <w:rsid w:val="00B57BCF"/>
    <w:rsid w:val="00B57E36"/>
    <w:rsid w:val="00B60209"/>
    <w:rsid w:val="00B606A3"/>
    <w:rsid w:val="00B65D6F"/>
    <w:rsid w:val="00B673F3"/>
    <w:rsid w:val="00B67A25"/>
    <w:rsid w:val="00B7354A"/>
    <w:rsid w:val="00B74036"/>
    <w:rsid w:val="00B7435B"/>
    <w:rsid w:val="00B74446"/>
    <w:rsid w:val="00B74B59"/>
    <w:rsid w:val="00B77142"/>
    <w:rsid w:val="00B8024E"/>
    <w:rsid w:val="00B8031E"/>
    <w:rsid w:val="00B80C3A"/>
    <w:rsid w:val="00B82D15"/>
    <w:rsid w:val="00B82DA7"/>
    <w:rsid w:val="00B84643"/>
    <w:rsid w:val="00B90452"/>
    <w:rsid w:val="00B90780"/>
    <w:rsid w:val="00B916D6"/>
    <w:rsid w:val="00B91AD8"/>
    <w:rsid w:val="00B9209B"/>
    <w:rsid w:val="00B9240D"/>
    <w:rsid w:val="00B95753"/>
    <w:rsid w:val="00B97E42"/>
    <w:rsid w:val="00BA0B2E"/>
    <w:rsid w:val="00BA0C05"/>
    <w:rsid w:val="00BA54D0"/>
    <w:rsid w:val="00BA6974"/>
    <w:rsid w:val="00BA7E30"/>
    <w:rsid w:val="00BB1013"/>
    <w:rsid w:val="00BB1033"/>
    <w:rsid w:val="00BB4515"/>
    <w:rsid w:val="00BB7B89"/>
    <w:rsid w:val="00BC0A2B"/>
    <w:rsid w:val="00BC1A9B"/>
    <w:rsid w:val="00BC2A22"/>
    <w:rsid w:val="00BC4986"/>
    <w:rsid w:val="00BC5D75"/>
    <w:rsid w:val="00BC5E2E"/>
    <w:rsid w:val="00BC6379"/>
    <w:rsid w:val="00BC7608"/>
    <w:rsid w:val="00BC7EEF"/>
    <w:rsid w:val="00BD0B9C"/>
    <w:rsid w:val="00BD0C50"/>
    <w:rsid w:val="00BD0CA4"/>
    <w:rsid w:val="00BD1A02"/>
    <w:rsid w:val="00BD43BB"/>
    <w:rsid w:val="00BD7ADE"/>
    <w:rsid w:val="00BD7B4A"/>
    <w:rsid w:val="00BE1A85"/>
    <w:rsid w:val="00BE251D"/>
    <w:rsid w:val="00BE30DE"/>
    <w:rsid w:val="00BE46ED"/>
    <w:rsid w:val="00BE4FD1"/>
    <w:rsid w:val="00BE5873"/>
    <w:rsid w:val="00BE642D"/>
    <w:rsid w:val="00BE6D7A"/>
    <w:rsid w:val="00BF2080"/>
    <w:rsid w:val="00BF2511"/>
    <w:rsid w:val="00BF377F"/>
    <w:rsid w:val="00BF3F88"/>
    <w:rsid w:val="00BF57BE"/>
    <w:rsid w:val="00BF5A58"/>
    <w:rsid w:val="00C0042B"/>
    <w:rsid w:val="00C01EF2"/>
    <w:rsid w:val="00C02900"/>
    <w:rsid w:val="00C02E58"/>
    <w:rsid w:val="00C02F34"/>
    <w:rsid w:val="00C030B6"/>
    <w:rsid w:val="00C04B38"/>
    <w:rsid w:val="00C05839"/>
    <w:rsid w:val="00C05F88"/>
    <w:rsid w:val="00C067B7"/>
    <w:rsid w:val="00C10A09"/>
    <w:rsid w:val="00C121BC"/>
    <w:rsid w:val="00C13116"/>
    <w:rsid w:val="00C14D92"/>
    <w:rsid w:val="00C158BC"/>
    <w:rsid w:val="00C16739"/>
    <w:rsid w:val="00C17F3F"/>
    <w:rsid w:val="00C220EF"/>
    <w:rsid w:val="00C23B30"/>
    <w:rsid w:val="00C23BA2"/>
    <w:rsid w:val="00C260A2"/>
    <w:rsid w:val="00C30DEC"/>
    <w:rsid w:val="00C31142"/>
    <w:rsid w:val="00C312FA"/>
    <w:rsid w:val="00C31DEF"/>
    <w:rsid w:val="00C33577"/>
    <w:rsid w:val="00C338EB"/>
    <w:rsid w:val="00C34790"/>
    <w:rsid w:val="00C35BB7"/>
    <w:rsid w:val="00C36B35"/>
    <w:rsid w:val="00C400CD"/>
    <w:rsid w:val="00C40373"/>
    <w:rsid w:val="00C41617"/>
    <w:rsid w:val="00C41DA8"/>
    <w:rsid w:val="00C4309A"/>
    <w:rsid w:val="00C43F23"/>
    <w:rsid w:val="00C43FF1"/>
    <w:rsid w:val="00C44F1F"/>
    <w:rsid w:val="00C45494"/>
    <w:rsid w:val="00C50D87"/>
    <w:rsid w:val="00C51B4E"/>
    <w:rsid w:val="00C52D18"/>
    <w:rsid w:val="00C559CE"/>
    <w:rsid w:val="00C55E19"/>
    <w:rsid w:val="00C55E56"/>
    <w:rsid w:val="00C563BF"/>
    <w:rsid w:val="00C56EF8"/>
    <w:rsid w:val="00C57512"/>
    <w:rsid w:val="00C57607"/>
    <w:rsid w:val="00C61133"/>
    <w:rsid w:val="00C64009"/>
    <w:rsid w:val="00C7016D"/>
    <w:rsid w:val="00C74ABE"/>
    <w:rsid w:val="00C767B3"/>
    <w:rsid w:val="00C76C07"/>
    <w:rsid w:val="00C80F23"/>
    <w:rsid w:val="00C850A3"/>
    <w:rsid w:val="00C85401"/>
    <w:rsid w:val="00C87568"/>
    <w:rsid w:val="00C92451"/>
    <w:rsid w:val="00C9272C"/>
    <w:rsid w:val="00C97764"/>
    <w:rsid w:val="00C97C9B"/>
    <w:rsid w:val="00CA2F4E"/>
    <w:rsid w:val="00CA344C"/>
    <w:rsid w:val="00CA59F6"/>
    <w:rsid w:val="00CB046E"/>
    <w:rsid w:val="00CB142D"/>
    <w:rsid w:val="00CB29F6"/>
    <w:rsid w:val="00CB2BBF"/>
    <w:rsid w:val="00CB375E"/>
    <w:rsid w:val="00CB481C"/>
    <w:rsid w:val="00CB4C8C"/>
    <w:rsid w:val="00CB5F73"/>
    <w:rsid w:val="00CB62E1"/>
    <w:rsid w:val="00CB6EFE"/>
    <w:rsid w:val="00CB7A3B"/>
    <w:rsid w:val="00CC15D7"/>
    <w:rsid w:val="00CC1636"/>
    <w:rsid w:val="00CC16F9"/>
    <w:rsid w:val="00CC28A9"/>
    <w:rsid w:val="00CC4183"/>
    <w:rsid w:val="00CC5423"/>
    <w:rsid w:val="00CC70A4"/>
    <w:rsid w:val="00CD4A0C"/>
    <w:rsid w:val="00CD5CEF"/>
    <w:rsid w:val="00CE06EC"/>
    <w:rsid w:val="00CE3F08"/>
    <w:rsid w:val="00CE41F1"/>
    <w:rsid w:val="00CE54FE"/>
    <w:rsid w:val="00CE592E"/>
    <w:rsid w:val="00CE5BC5"/>
    <w:rsid w:val="00CF16A4"/>
    <w:rsid w:val="00CF299F"/>
    <w:rsid w:val="00CF3357"/>
    <w:rsid w:val="00CF4695"/>
    <w:rsid w:val="00CF58DF"/>
    <w:rsid w:val="00D00BC3"/>
    <w:rsid w:val="00D0316E"/>
    <w:rsid w:val="00D03538"/>
    <w:rsid w:val="00D04410"/>
    <w:rsid w:val="00D057D1"/>
    <w:rsid w:val="00D05EE7"/>
    <w:rsid w:val="00D06A9D"/>
    <w:rsid w:val="00D07C15"/>
    <w:rsid w:val="00D11D4F"/>
    <w:rsid w:val="00D12D04"/>
    <w:rsid w:val="00D13A01"/>
    <w:rsid w:val="00D15733"/>
    <w:rsid w:val="00D16F78"/>
    <w:rsid w:val="00D2020F"/>
    <w:rsid w:val="00D20247"/>
    <w:rsid w:val="00D20364"/>
    <w:rsid w:val="00D2130C"/>
    <w:rsid w:val="00D21CE9"/>
    <w:rsid w:val="00D26746"/>
    <w:rsid w:val="00D26DDD"/>
    <w:rsid w:val="00D27BDC"/>
    <w:rsid w:val="00D3194F"/>
    <w:rsid w:val="00D33751"/>
    <w:rsid w:val="00D3445F"/>
    <w:rsid w:val="00D37343"/>
    <w:rsid w:val="00D37495"/>
    <w:rsid w:val="00D41727"/>
    <w:rsid w:val="00D427E4"/>
    <w:rsid w:val="00D45F1B"/>
    <w:rsid w:val="00D478CC"/>
    <w:rsid w:val="00D52289"/>
    <w:rsid w:val="00D52EEE"/>
    <w:rsid w:val="00D55054"/>
    <w:rsid w:val="00D55A37"/>
    <w:rsid w:val="00D55B7E"/>
    <w:rsid w:val="00D56138"/>
    <w:rsid w:val="00D64354"/>
    <w:rsid w:val="00D66685"/>
    <w:rsid w:val="00D70D35"/>
    <w:rsid w:val="00D71194"/>
    <w:rsid w:val="00D71351"/>
    <w:rsid w:val="00D71997"/>
    <w:rsid w:val="00D7532A"/>
    <w:rsid w:val="00D753E9"/>
    <w:rsid w:val="00D777B9"/>
    <w:rsid w:val="00D82273"/>
    <w:rsid w:val="00D82FA5"/>
    <w:rsid w:val="00D84A4B"/>
    <w:rsid w:val="00D84B45"/>
    <w:rsid w:val="00D857AE"/>
    <w:rsid w:val="00D8623D"/>
    <w:rsid w:val="00D867FB"/>
    <w:rsid w:val="00D873C4"/>
    <w:rsid w:val="00D87429"/>
    <w:rsid w:val="00D90E11"/>
    <w:rsid w:val="00D9110D"/>
    <w:rsid w:val="00D91124"/>
    <w:rsid w:val="00D91987"/>
    <w:rsid w:val="00D92168"/>
    <w:rsid w:val="00D93426"/>
    <w:rsid w:val="00D94B22"/>
    <w:rsid w:val="00D958D3"/>
    <w:rsid w:val="00D9594F"/>
    <w:rsid w:val="00D97213"/>
    <w:rsid w:val="00DA134E"/>
    <w:rsid w:val="00DA13F3"/>
    <w:rsid w:val="00DA27AC"/>
    <w:rsid w:val="00DA2DE3"/>
    <w:rsid w:val="00DA64AF"/>
    <w:rsid w:val="00DA7948"/>
    <w:rsid w:val="00DB1F4F"/>
    <w:rsid w:val="00DB2910"/>
    <w:rsid w:val="00DB2AC7"/>
    <w:rsid w:val="00DB3588"/>
    <w:rsid w:val="00DB56EC"/>
    <w:rsid w:val="00DB704C"/>
    <w:rsid w:val="00DC5515"/>
    <w:rsid w:val="00DC693B"/>
    <w:rsid w:val="00DC7C77"/>
    <w:rsid w:val="00DD0F5D"/>
    <w:rsid w:val="00DD2C55"/>
    <w:rsid w:val="00DD32D6"/>
    <w:rsid w:val="00DD426D"/>
    <w:rsid w:val="00DD74FC"/>
    <w:rsid w:val="00DE117F"/>
    <w:rsid w:val="00DE1769"/>
    <w:rsid w:val="00DE1A17"/>
    <w:rsid w:val="00DE2418"/>
    <w:rsid w:val="00DE44C8"/>
    <w:rsid w:val="00DE64CC"/>
    <w:rsid w:val="00DE6AA9"/>
    <w:rsid w:val="00DE6E5C"/>
    <w:rsid w:val="00DE778B"/>
    <w:rsid w:val="00DE7B30"/>
    <w:rsid w:val="00DF0A34"/>
    <w:rsid w:val="00DF20C7"/>
    <w:rsid w:val="00DF4D0C"/>
    <w:rsid w:val="00DF53FA"/>
    <w:rsid w:val="00DF5C20"/>
    <w:rsid w:val="00DF744A"/>
    <w:rsid w:val="00DF7D81"/>
    <w:rsid w:val="00E02254"/>
    <w:rsid w:val="00E02DEB"/>
    <w:rsid w:val="00E042A1"/>
    <w:rsid w:val="00E0476C"/>
    <w:rsid w:val="00E0576B"/>
    <w:rsid w:val="00E067EA"/>
    <w:rsid w:val="00E06D18"/>
    <w:rsid w:val="00E07C4A"/>
    <w:rsid w:val="00E104FA"/>
    <w:rsid w:val="00E1320D"/>
    <w:rsid w:val="00E16022"/>
    <w:rsid w:val="00E16304"/>
    <w:rsid w:val="00E1738C"/>
    <w:rsid w:val="00E174FF"/>
    <w:rsid w:val="00E205AA"/>
    <w:rsid w:val="00E22296"/>
    <w:rsid w:val="00E27360"/>
    <w:rsid w:val="00E27C04"/>
    <w:rsid w:val="00E30713"/>
    <w:rsid w:val="00E30D0E"/>
    <w:rsid w:val="00E30EDF"/>
    <w:rsid w:val="00E31FBA"/>
    <w:rsid w:val="00E328E2"/>
    <w:rsid w:val="00E336BB"/>
    <w:rsid w:val="00E3384E"/>
    <w:rsid w:val="00E374C8"/>
    <w:rsid w:val="00E4042D"/>
    <w:rsid w:val="00E412F2"/>
    <w:rsid w:val="00E4135D"/>
    <w:rsid w:val="00E422F3"/>
    <w:rsid w:val="00E4351D"/>
    <w:rsid w:val="00E43750"/>
    <w:rsid w:val="00E44860"/>
    <w:rsid w:val="00E45640"/>
    <w:rsid w:val="00E508EB"/>
    <w:rsid w:val="00E521E3"/>
    <w:rsid w:val="00E53B7A"/>
    <w:rsid w:val="00E550C9"/>
    <w:rsid w:val="00E55405"/>
    <w:rsid w:val="00E5645D"/>
    <w:rsid w:val="00E627A4"/>
    <w:rsid w:val="00E6280E"/>
    <w:rsid w:val="00E62C9C"/>
    <w:rsid w:val="00E630EE"/>
    <w:rsid w:val="00E67A61"/>
    <w:rsid w:val="00E70455"/>
    <w:rsid w:val="00E73221"/>
    <w:rsid w:val="00E75116"/>
    <w:rsid w:val="00E763EB"/>
    <w:rsid w:val="00E8342F"/>
    <w:rsid w:val="00E838EF"/>
    <w:rsid w:val="00E84632"/>
    <w:rsid w:val="00E847EE"/>
    <w:rsid w:val="00E84F32"/>
    <w:rsid w:val="00E876F9"/>
    <w:rsid w:val="00E96A72"/>
    <w:rsid w:val="00E96B52"/>
    <w:rsid w:val="00EA01F7"/>
    <w:rsid w:val="00EA1D33"/>
    <w:rsid w:val="00EA1F5A"/>
    <w:rsid w:val="00EA375F"/>
    <w:rsid w:val="00EA3AD1"/>
    <w:rsid w:val="00EA3C4A"/>
    <w:rsid w:val="00EA5143"/>
    <w:rsid w:val="00EA56DE"/>
    <w:rsid w:val="00EA7104"/>
    <w:rsid w:val="00EA7533"/>
    <w:rsid w:val="00EB067F"/>
    <w:rsid w:val="00EB2419"/>
    <w:rsid w:val="00EB27DE"/>
    <w:rsid w:val="00EB58F5"/>
    <w:rsid w:val="00EB6E6B"/>
    <w:rsid w:val="00EC010F"/>
    <w:rsid w:val="00EC09C2"/>
    <w:rsid w:val="00EC2E3A"/>
    <w:rsid w:val="00EC3CCB"/>
    <w:rsid w:val="00EC41BC"/>
    <w:rsid w:val="00EC5A74"/>
    <w:rsid w:val="00EC737D"/>
    <w:rsid w:val="00ED0E09"/>
    <w:rsid w:val="00ED2154"/>
    <w:rsid w:val="00ED4277"/>
    <w:rsid w:val="00ED7C8C"/>
    <w:rsid w:val="00ED7DDB"/>
    <w:rsid w:val="00EE431B"/>
    <w:rsid w:val="00EE4874"/>
    <w:rsid w:val="00EE53E5"/>
    <w:rsid w:val="00EE5F2D"/>
    <w:rsid w:val="00EE73FB"/>
    <w:rsid w:val="00EE7BF0"/>
    <w:rsid w:val="00EF2674"/>
    <w:rsid w:val="00EF54BC"/>
    <w:rsid w:val="00EF556F"/>
    <w:rsid w:val="00EF7D07"/>
    <w:rsid w:val="00EF7DB6"/>
    <w:rsid w:val="00F0161E"/>
    <w:rsid w:val="00F0181C"/>
    <w:rsid w:val="00F01861"/>
    <w:rsid w:val="00F03512"/>
    <w:rsid w:val="00F0433A"/>
    <w:rsid w:val="00F0519B"/>
    <w:rsid w:val="00F059D4"/>
    <w:rsid w:val="00F06B82"/>
    <w:rsid w:val="00F103C8"/>
    <w:rsid w:val="00F11783"/>
    <w:rsid w:val="00F119AF"/>
    <w:rsid w:val="00F139D5"/>
    <w:rsid w:val="00F1480B"/>
    <w:rsid w:val="00F1498D"/>
    <w:rsid w:val="00F20065"/>
    <w:rsid w:val="00F2038E"/>
    <w:rsid w:val="00F211B9"/>
    <w:rsid w:val="00F22211"/>
    <w:rsid w:val="00F22297"/>
    <w:rsid w:val="00F22341"/>
    <w:rsid w:val="00F22F1D"/>
    <w:rsid w:val="00F24039"/>
    <w:rsid w:val="00F24E0E"/>
    <w:rsid w:val="00F2646E"/>
    <w:rsid w:val="00F265A5"/>
    <w:rsid w:val="00F26693"/>
    <w:rsid w:val="00F30496"/>
    <w:rsid w:val="00F32579"/>
    <w:rsid w:val="00F3477D"/>
    <w:rsid w:val="00F347FE"/>
    <w:rsid w:val="00F34859"/>
    <w:rsid w:val="00F356F7"/>
    <w:rsid w:val="00F37EA9"/>
    <w:rsid w:val="00F40055"/>
    <w:rsid w:val="00F40868"/>
    <w:rsid w:val="00F40E14"/>
    <w:rsid w:val="00F44FDE"/>
    <w:rsid w:val="00F46467"/>
    <w:rsid w:val="00F4715C"/>
    <w:rsid w:val="00F47BA9"/>
    <w:rsid w:val="00F47FF8"/>
    <w:rsid w:val="00F529B5"/>
    <w:rsid w:val="00F52AA4"/>
    <w:rsid w:val="00F53385"/>
    <w:rsid w:val="00F56162"/>
    <w:rsid w:val="00F56B7E"/>
    <w:rsid w:val="00F56E5B"/>
    <w:rsid w:val="00F6052F"/>
    <w:rsid w:val="00F62FDE"/>
    <w:rsid w:val="00F654E6"/>
    <w:rsid w:val="00F662CD"/>
    <w:rsid w:val="00F67E39"/>
    <w:rsid w:val="00F703A8"/>
    <w:rsid w:val="00F707F1"/>
    <w:rsid w:val="00F7094A"/>
    <w:rsid w:val="00F710BE"/>
    <w:rsid w:val="00F72579"/>
    <w:rsid w:val="00F804B9"/>
    <w:rsid w:val="00F80AE2"/>
    <w:rsid w:val="00F83FF9"/>
    <w:rsid w:val="00F870C3"/>
    <w:rsid w:val="00F87EDC"/>
    <w:rsid w:val="00F90005"/>
    <w:rsid w:val="00F91B52"/>
    <w:rsid w:val="00F97478"/>
    <w:rsid w:val="00F97B71"/>
    <w:rsid w:val="00F97B9E"/>
    <w:rsid w:val="00FA00C3"/>
    <w:rsid w:val="00FA0527"/>
    <w:rsid w:val="00FA085E"/>
    <w:rsid w:val="00FA0947"/>
    <w:rsid w:val="00FA2D49"/>
    <w:rsid w:val="00FA4B52"/>
    <w:rsid w:val="00FA4D4F"/>
    <w:rsid w:val="00FA4D5B"/>
    <w:rsid w:val="00FA54E8"/>
    <w:rsid w:val="00FA6245"/>
    <w:rsid w:val="00FA7737"/>
    <w:rsid w:val="00FA786F"/>
    <w:rsid w:val="00FA7D19"/>
    <w:rsid w:val="00FA7EB3"/>
    <w:rsid w:val="00FB058F"/>
    <w:rsid w:val="00FB387C"/>
    <w:rsid w:val="00FB3C94"/>
    <w:rsid w:val="00FB48C1"/>
    <w:rsid w:val="00FB6808"/>
    <w:rsid w:val="00FB6CD0"/>
    <w:rsid w:val="00FB723C"/>
    <w:rsid w:val="00FB72B4"/>
    <w:rsid w:val="00FC0A2D"/>
    <w:rsid w:val="00FC13C8"/>
    <w:rsid w:val="00FC39F9"/>
    <w:rsid w:val="00FC59F8"/>
    <w:rsid w:val="00FC60F6"/>
    <w:rsid w:val="00FC6F53"/>
    <w:rsid w:val="00FC7F43"/>
    <w:rsid w:val="00FD0794"/>
    <w:rsid w:val="00FD1F57"/>
    <w:rsid w:val="00FD45FA"/>
    <w:rsid w:val="00FD7D41"/>
    <w:rsid w:val="00FE0072"/>
    <w:rsid w:val="00FE0C71"/>
    <w:rsid w:val="00FE1E47"/>
    <w:rsid w:val="00FE275D"/>
    <w:rsid w:val="00FE7FBD"/>
    <w:rsid w:val="00FF10BC"/>
    <w:rsid w:val="00FF5DCF"/>
    <w:rsid w:val="00FF5FC7"/>
    <w:rsid w:val="00FF6ADB"/>
  </w:rsids>
  <m:mathPr>
    <m:mathFont m:val="Cambria Math"/>
    <m:brkBin m:val="before"/>
    <m:brkBinSub m:val="--"/>
    <m:smallFrac/>
    <m:dispDef/>
    <m:lMargin m:val="0"/>
    <m:rMargin m:val="0"/>
    <m:defJc m:val="centerGroup"/>
    <m:wrapIndent m:val="1440"/>
    <m:intLim m:val="subSup"/>
    <m:naryLim m:val="undOvr"/>
  </m:mathPr>
  <w:themeFontLang w:eastAsia="zh-CN" w:val="en-US"/>
  <w:clrSchemeMapping w:accent1="accent1" w:accent2="accent2" w:accent3="accent3" w:accent4="accent4" w:accent5="accent5" w:accent6="accent6" w:bg1="light1" w:bg2="light2" w:followedHyperlink="followedHyperlink" w:hyperlink="hyperlink" w:t1="dark1" w:t2="dark2"/>
  <w:doNotIncludeSubdocsInStats/>
  <w:smartTagType w:name="chsdate" w:namespaceuri="urn:schemas-microsoft-com:office:smarttags"/>
  <w:shapeDefaults>
    <o:shapedefaults spidmax="2049" v:ext="edit"/>
    <o:shapelayout v:ext="edit">
      <o:idmap data="1" v:ext="edit"/>
    </o:shapelayout>
  </w:shapeDefaults>
  <w:decimalSymbol w:val="."/>
  <w:listSeparator w:val=","/>
  <w15:docId w15:val="{1E5385F9-CBC7-4839-BB43-893C032AE6A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cs="Times New Roman" w:eastAsia="宋体" w:hAnsi="Times New Roman"/>
        <w:lang w:bidi="ar-SA" w:eastAsia="zh-CN" w:val="en-US"/>
      </w:rPr>
    </w:rPrDefault>
    <w:pPrDefault/>
  </w:docDefaults>
  <w:latentStyles w:count="371" w:defLockedState="0" w:defQFormat="0" w:defSemiHidden="0" w:defUIPriority="0" w:defUnhideWhenUsed="0">
    <w:lsdException w:name="Normal" w:qFormat="1"/>
    <w:lsdException w:name="heading 1" w:qFormat="1" w:uiPriority="99"/>
    <w:lsdException w:name="heading 2" w:qFormat="1"/>
    <w:lsdException w:name="heading 3" w:qFormat="1" w:semiHidden="1" w:unhideWhenUsed="1"/>
    <w:lsdException w:name="heading 4" w:qFormat="1" w:semiHidden="1" w:unhideWhenUsed="1"/>
    <w:lsdException w:name="heading 5" w:qFormat="1" w:semiHidden="1" w:unhideWhenUsed="1"/>
    <w:lsdException w:name="heading 6" w:qFormat="1" w:semiHidden="1" w:unhideWhenUsed="1"/>
    <w:lsdException w:name="heading 7" w:qFormat="1" w:semiHidden="1" w:unhideWhenUsed="1"/>
    <w:lsdException w:name="heading 8" w:qFormat="1" w:semiHidden="1" w:unhideWhenUsed="1"/>
    <w:lsdException w:name="heading 9" w:qFormat="1" w:semiHidden="1"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iPriority="99" w:unhideWhenUsed="1"/>
    <w:lsdException w:name="footnote text" w:semiHidden="1" w:unhideWhenUsed="1"/>
    <w:lsdException w:name="annotation text" w:semiHidden="1" w:uiPriority="99" w:unhideWhenUsed="1"/>
    <w:lsdException w:name="header" w:semiHidden="1" w:uiPriority="99" w:unhideWhenUsed="1"/>
    <w:lsdException w:name="footer" w:semiHidden="1" w:unhideWhenUsed="1"/>
    <w:lsdException w:name="index heading" w:semiHidden="1" w:unhideWhenUsed="1"/>
    <w:lsdException w:name="caption" w:qFormat="1" w:semiHidden="1"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uiPriority="22"/>
    <w:lsdException w:name="Emphasis" w:qFormat="1"/>
    <w:lsdException w:name="Document Map" w:semiHidden="1" w:unhideWhenUsed="1"/>
    <w:lsdException w:name="Plain Text" w:semiHidden="1" w:uiPriority="99"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qFormat="1"/>
    <w:lsdException w:name="Table Theme" w:semiHidden="1" w:unhideWhenUsed="1"/>
    <w:lsdException w:name="Placeholder Text" w:semiHidden="1" w:uiPriority="99"/>
    <w:lsdException w:name="No Spacing" w:qFormat="1" w:uiPriority="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qFormat="1" w:uiPriority="34"/>
    <w:lsdException w:name="Quote" w:qFormat="1" w:uiPriority="29"/>
    <w:lsdException w:name="Intense Quote" w:qFormat="1" w:uiPriority="30"/>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qFormat="1" w:uiPriority="19"/>
    <w:lsdException w:name="Intense Emphasis" w:qFormat="1" w:uiPriority="21"/>
    <w:lsdException w:name="Subtle Reference" w:qFormat="1" w:uiPriority="31"/>
    <w:lsdException w:name="Intense Reference" w:qFormat="1" w:uiPriority="32"/>
    <w:lsdException w:name="Book Title" w:qFormat="1" w:uiPriority="33"/>
    <w:lsdException w:name="Bibliography" w:semiHidden="1" w:uiPriority="37" w:unhideWhenUsed="1"/>
    <w:lsdException w:name="TOC Heading" w:qFormat="1" w:semiHidden="1" w:uiPriority="39" w:unhideWhenUsed="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default="1" w:styleId="a" w:type="paragraph">
    <w:name w:val="Normal"/>
    <w:qFormat/>
    <w:rsid w:val="006A4828"/>
    <w:pPr>
      <w:widowControl w:val="0"/>
      <w:jc w:val="both"/>
    </w:pPr>
    <w:rPr>
      <w:kern w:val="2"/>
      <w:sz w:val="21"/>
      <w:szCs w:val="24"/>
    </w:rPr>
  </w:style>
  <w:style w:styleId="1" w:type="paragraph">
    <w:name w:val="heading 1"/>
    <w:basedOn w:val="a"/>
    <w:next w:val="a"/>
    <w:link w:val="1Char"/>
    <w:uiPriority w:val="99"/>
    <w:qFormat/>
    <w:rsid w:val="00180952"/>
    <w:pPr>
      <w:keepNext/>
      <w:keepLines/>
      <w:spacing w:after="330" w:before="340" w:line="578" w:lineRule="auto"/>
      <w:outlineLvl w:val="0"/>
    </w:pPr>
    <w:rPr>
      <w:b/>
      <w:bCs/>
      <w:kern w:val="44"/>
      <w:sz w:val="44"/>
      <w:szCs w:val="44"/>
    </w:rPr>
  </w:style>
  <w:style w:styleId="2" w:type="paragraph">
    <w:name w:val="heading 2"/>
    <w:basedOn w:val="a"/>
    <w:next w:val="a0"/>
    <w:qFormat/>
    <w:rsid w:val="006A4828"/>
    <w:pPr>
      <w:keepNext/>
      <w:keepLines/>
      <w:spacing w:after="260" w:before="260" w:line="360" w:lineRule="auto"/>
      <w:outlineLvl w:val="1"/>
    </w:pPr>
    <w:rPr>
      <w:rFonts w:ascii="Arial" w:cs="Arial" w:hAnsi="Arial"/>
      <w:b/>
      <w:bCs/>
      <w:sz w:val="24"/>
      <w:szCs w:val="28"/>
    </w:rPr>
  </w:style>
  <w:style w:default="1" w:styleId="a1" w:type="character">
    <w:name w:val="Default Paragraph Font"/>
    <w:uiPriority w:val="1"/>
    <w:semiHidden/>
    <w:unhideWhenUsed/>
  </w:style>
  <w:style w:default="1" w:styleId="a2" w:type="table">
    <w:name w:val="Normal Table"/>
    <w:uiPriority w:val="99"/>
    <w:semiHidden/>
    <w:unhideWhenUsed/>
    <w:tblPr>
      <w:tblInd w:type="dxa" w:w="0"/>
      <w:tblCellMar>
        <w:top w:type="dxa" w:w="0"/>
        <w:left w:type="dxa" w:w="108"/>
        <w:bottom w:type="dxa" w:w="0"/>
        <w:right w:type="dxa" w:w="108"/>
      </w:tblCellMar>
    </w:tblPr>
  </w:style>
  <w:style w:default="1" w:styleId="a3" w:type="numbering">
    <w:name w:val="No List"/>
    <w:uiPriority w:val="99"/>
    <w:semiHidden/>
    <w:unhideWhenUsed/>
  </w:style>
  <w:style w:styleId="a0" w:type="paragraph">
    <w:name w:val="Normal Indent"/>
    <w:basedOn w:val="a"/>
    <w:uiPriority w:val="99"/>
    <w:rsid w:val="006A4828"/>
    <w:pPr>
      <w:ind w:firstLine="420" w:firstLineChars="200"/>
    </w:pPr>
  </w:style>
  <w:style w:styleId="a4" w:type="paragraph">
    <w:name w:val="Body Text Indent"/>
    <w:basedOn w:val="a"/>
    <w:rsid w:val="006A4828"/>
    <w:pPr>
      <w:widowControl/>
      <w:spacing w:after="100" w:afterAutospacing="1" w:before="100" w:beforeAutospacing="1"/>
      <w:jc w:val="left"/>
    </w:pPr>
    <w:rPr>
      <w:rFonts w:ascii="Arial Unicode MS" w:cs="Arial Unicode MS" w:eastAsia="Arial Unicode MS" w:hAnsi="Arial Unicode MS"/>
      <w:kern w:val="0"/>
      <w:sz w:val="24"/>
    </w:rPr>
  </w:style>
  <w:style w:styleId="a5" w:type="paragraph">
    <w:name w:val="Plain Text"/>
    <w:basedOn w:val="a"/>
    <w:link w:val="Char"/>
    <w:uiPriority w:val="99"/>
    <w:rsid w:val="006A4828"/>
    <w:rPr>
      <w:rFonts w:ascii="宋体" w:hAnsi="Courier New"/>
      <w:szCs w:val="21"/>
    </w:rPr>
  </w:style>
  <w:style w:styleId="20" w:type="paragraph">
    <w:name w:val="Body Text Indent 2"/>
    <w:basedOn w:val="a"/>
    <w:rsid w:val="006A4828"/>
    <w:pPr>
      <w:spacing w:line="560" w:lineRule="exact"/>
      <w:ind w:firstLine="480" w:firstLineChars="200"/>
    </w:pPr>
    <w:rPr>
      <w:rFonts w:ascii="宋体" w:hAnsi="宋体"/>
      <w:color w:val="FF0000"/>
      <w:sz w:val="24"/>
    </w:rPr>
  </w:style>
  <w:style w:styleId="a6" w:type="paragraph">
    <w:name w:val="footer"/>
    <w:basedOn w:val="a"/>
    <w:rsid w:val="006A4828"/>
    <w:pPr>
      <w:tabs>
        <w:tab w:pos="4153" w:val="center"/>
        <w:tab w:pos="8306" w:val="right"/>
      </w:tabs>
      <w:snapToGrid w:val="0"/>
      <w:jc w:val="left"/>
    </w:pPr>
    <w:rPr>
      <w:sz w:val="18"/>
      <w:szCs w:val="18"/>
    </w:rPr>
  </w:style>
  <w:style w:styleId="a7" w:type="character">
    <w:name w:val="page number"/>
    <w:basedOn w:val="a1"/>
    <w:rsid w:val="006A4828"/>
  </w:style>
  <w:style w:styleId="a8" w:type="character">
    <w:name w:val="Hyperlink"/>
    <w:basedOn w:val="a1"/>
    <w:rsid w:val="006A4828"/>
    <w:rPr>
      <w:color w:val="0000FF"/>
      <w:u w:val="single"/>
    </w:rPr>
  </w:style>
  <w:style w:styleId="3" w:type="paragraph">
    <w:name w:val="Body Text Indent 3"/>
    <w:basedOn w:val="a"/>
    <w:rsid w:val="006A4828"/>
    <w:pPr>
      <w:spacing w:line="560" w:lineRule="exact"/>
      <w:ind w:firstLine="420" w:firstLineChars="200"/>
    </w:pPr>
    <w:rPr>
      <w:rFonts w:ascii="Arial" w:cs="Arial" w:hAnsi="Arial"/>
      <w:color w:val="FF0000"/>
    </w:rPr>
  </w:style>
  <w:style w:styleId="a9" w:type="paragraph">
    <w:name w:val="header"/>
    <w:basedOn w:val="a"/>
    <w:link w:val="Char0"/>
    <w:uiPriority w:val="99"/>
    <w:rsid w:val="006A4828"/>
    <w:pPr>
      <w:pBdr>
        <w:bottom w:color="auto" w:space="1" w:sz="6" w:val="single"/>
      </w:pBdr>
      <w:tabs>
        <w:tab w:pos="4153" w:val="center"/>
        <w:tab w:pos="8306" w:val="right"/>
      </w:tabs>
      <w:snapToGrid w:val="0"/>
      <w:jc w:val="center"/>
    </w:pPr>
    <w:rPr>
      <w:sz w:val="18"/>
      <w:szCs w:val="18"/>
    </w:rPr>
  </w:style>
  <w:style w:customStyle="1" w:styleId="10" w:type="character">
    <w:name w:val="已访问的超链接1"/>
    <w:basedOn w:val="a1"/>
    <w:rsid w:val="006A4828"/>
    <w:rPr>
      <w:color w:val="800080"/>
      <w:u w:val="single"/>
    </w:rPr>
  </w:style>
  <w:style w:styleId="aa" w:type="paragraph">
    <w:name w:val="List"/>
    <w:basedOn w:val="ab"/>
    <w:rsid w:val="006A4828"/>
    <w:pPr>
      <w:spacing w:after="220" w:line="220" w:lineRule="atLeast"/>
      <w:ind w:hanging="360" w:left="1440"/>
    </w:pPr>
    <w:rPr>
      <w:szCs w:val="20"/>
    </w:rPr>
  </w:style>
  <w:style w:styleId="ab" w:type="paragraph">
    <w:name w:val="Body Text"/>
    <w:basedOn w:val="a"/>
    <w:rsid w:val="006A4828"/>
    <w:pPr>
      <w:spacing w:after="120"/>
    </w:pPr>
  </w:style>
  <w:style w:styleId="ac" w:type="paragraph">
    <w:name w:val="Date"/>
    <w:basedOn w:val="a"/>
    <w:next w:val="a"/>
    <w:link w:val="Char1"/>
    <w:rsid w:val="006A4828"/>
    <w:rPr>
      <w:sz w:val="24"/>
      <w:szCs w:val="20"/>
    </w:rPr>
  </w:style>
  <w:style w:customStyle="1" w:styleId="c1" w:type="character">
    <w:name w:val="c1"/>
    <w:basedOn w:val="a1"/>
    <w:rsid w:val="006A4828"/>
    <w:rPr>
      <w:color w:val="000000"/>
      <w:sz w:val="18"/>
      <w:szCs w:val="18"/>
    </w:rPr>
  </w:style>
  <w:style w:styleId="11" w:type="paragraph">
    <w:name w:val="index 1"/>
    <w:basedOn w:val="a"/>
    <w:next w:val="a"/>
    <w:autoRedefine/>
    <w:semiHidden/>
    <w:rsid w:val="006A4828"/>
    <w:pPr>
      <w:jc w:val="right"/>
    </w:pPr>
    <w:rPr>
      <w:color w:val="008000"/>
    </w:rPr>
  </w:style>
  <w:style w:customStyle="1" w:styleId="font5" w:type="paragraph">
    <w:name w:val="font5"/>
    <w:basedOn w:val="a"/>
    <w:rsid w:val="006A4828"/>
    <w:pPr>
      <w:widowControl/>
      <w:spacing w:after="100" w:afterAutospacing="1" w:before="100" w:beforeAutospacing="1"/>
      <w:jc w:val="left"/>
    </w:pPr>
    <w:rPr>
      <w:rFonts w:ascii="宋体" w:cs="Arial Unicode MS" w:hAnsi="宋体" w:hint="eastAsia"/>
      <w:kern w:val="0"/>
      <w:sz w:val="18"/>
      <w:szCs w:val="18"/>
    </w:rPr>
  </w:style>
  <w:style w:customStyle="1" w:styleId="xl24" w:type="paragraph">
    <w:name w:val="xl24"/>
    <w:basedOn w:val="a"/>
    <w:rsid w:val="006A4828"/>
    <w:pPr>
      <w:widowControl/>
      <w:pBdr>
        <w:top w:color="000000" w:space="0" w:sz="6" w:val="doub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0000FF"/>
      <w:kern w:val="0"/>
      <w:sz w:val="29"/>
      <w:szCs w:val="29"/>
    </w:rPr>
  </w:style>
  <w:style w:customStyle="1" w:styleId="xl25" w:type="paragraph">
    <w:name w:val="xl2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left"/>
    </w:pPr>
    <w:rPr>
      <w:rFonts w:ascii="Arial Unicode MS" w:cs="Arial Unicode MS" w:eastAsia="Arial Unicode MS" w:hAnsi="Arial Unicode MS"/>
      <w:b/>
      <w:bCs/>
      <w:color w:val="000000"/>
      <w:kern w:val="0"/>
      <w:sz w:val="24"/>
    </w:rPr>
  </w:style>
  <w:style w:customStyle="1" w:styleId="xl26" w:type="paragraph">
    <w:name w:val="xl2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7" w:type="paragraph">
    <w:name w:val="xl2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12"/>
      <w:szCs w:val="12"/>
    </w:rPr>
  </w:style>
  <w:style w:customStyle="1" w:styleId="xl28" w:type="paragraph">
    <w:name w:val="xl2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29" w:type="paragraph">
    <w:name w:val="xl29"/>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0" w:type="paragraph">
    <w:name w:val="xl30"/>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000000"/>
      <w:kern w:val="0"/>
      <w:sz w:val="24"/>
    </w:rPr>
  </w:style>
  <w:style w:customStyle="1" w:styleId="xl31" w:type="paragraph">
    <w:name w:val="xl31"/>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2" w:type="paragraph">
    <w:name w:val="xl32"/>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3" w:type="paragraph">
    <w:name w:val="xl33"/>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color w:val="000000"/>
      <w:kern w:val="0"/>
      <w:sz w:val="22"/>
      <w:szCs w:val="22"/>
    </w:rPr>
  </w:style>
  <w:style w:customStyle="1" w:styleId="xl34" w:type="paragraph">
    <w:name w:val="xl34"/>
    <w:basedOn w:val="a"/>
    <w:uiPriority w:val="99"/>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color w:val="000000"/>
      <w:kern w:val="0"/>
      <w:sz w:val="22"/>
      <w:szCs w:val="22"/>
    </w:rPr>
  </w:style>
  <w:style w:customStyle="1" w:styleId="xl35" w:type="paragraph">
    <w:name w:val="xl35"/>
    <w:basedOn w:val="a"/>
    <w:rsid w:val="006A4828"/>
    <w:pPr>
      <w:widowControl/>
      <w:pBdr>
        <w:top w:color="000000" w:space="0" w:sz="4" w:val="single"/>
        <w:left w:color="000000" w:space="0" w:sz="6" w:val="doub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000000"/>
      <w:kern w:val="0"/>
      <w:sz w:val="23"/>
      <w:szCs w:val="23"/>
    </w:rPr>
  </w:style>
  <w:style w:customStyle="1" w:styleId="xl36" w:type="paragraph">
    <w:name w:val="xl36"/>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customStyle="1" w:styleId="xl37" w:type="paragraph">
    <w:name w:val="xl37"/>
    <w:basedOn w:val="a"/>
    <w:rsid w:val="006A4828"/>
    <w:pPr>
      <w:widowControl/>
      <w:pBdr>
        <w:top w:color="000000" w:space="0" w:sz="4" w:val="single"/>
        <w:left w:color="000000" w:space="0" w:sz="4" w:val="single"/>
        <w:bottom w:color="000000" w:space="0" w:sz="4" w:val="single"/>
        <w:right w:color="000000" w:space="0" w:sz="4" w:val="single"/>
      </w:pBdr>
      <w:spacing w:after="100" w:afterAutospacing="1" w:before="100" w:beforeAutospacing="1"/>
      <w:jc w:val="right"/>
    </w:pPr>
    <w:rPr>
      <w:rFonts w:ascii="Arial Unicode MS" w:cs="Arial Unicode MS" w:eastAsia="Arial Unicode MS" w:hAnsi="Arial Unicode MS"/>
      <w:b/>
      <w:bCs/>
      <w:color w:val="FF0000"/>
      <w:kern w:val="0"/>
      <w:sz w:val="23"/>
      <w:szCs w:val="23"/>
    </w:rPr>
  </w:style>
  <w:style w:customStyle="1" w:styleId="xl38" w:type="paragraph">
    <w:name w:val="xl38"/>
    <w:basedOn w:val="a"/>
    <w:rsid w:val="006A4828"/>
    <w:pPr>
      <w:widowControl/>
      <w:pBdr>
        <w:top w:color="000000" w:space="0" w:sz="4" w:val="single"/>
        <w:left w:color="000000" w:space="0" w:sz="4" w:val="single"/>
        <w:bottom w:color="000000" w:space="0" w:sz="4" w:val="single"/>
        <w:right w:color="000000" w:space="0" w:sz="6" w:val="double"/>
      </w:pBdr>
      <w:spacing w:after="100" w:afterAutospacing="1" w:before="100" w:beforeAutospacing="1"/>
      <w:jc w:val="center"/>
    </w:pPr>
    <w:rPr>
      <w:rFonts w:ascii="Arial Unicode MS" w:cs="Arial Unicode MS" w:eastAsia="Arial Unicode MS" w:hAnsi="Arial Unicode MS"/>
      <w:b/>
      <w:bCs/>
      <w:color w:val="FF0000"/>
      <w:kern w:val="0"/>
      <w:sz w:val="23"/>
      <w:szCs w:val="23"/>
    </w:rPr>
  </w:style>
  <w:style w:styleId="ad" w:type="paragraph">
    <w:name w:val="Balloon Text"/>
    <w:basedOn w:val="a"/>
    <w:semiHidden/>
    <w:rsid w:val="006A4828"/>
    <w:rPr>
      <w:sz w:val="18"/>
      <w:szCs w:val="18"/>
    </w:rPr>
  </w:style>
  <w:style w:styleId="ae" w:type="character">
    <w:name w:val="annotation reference"/>
    <w:basedOn w:val="a1"/>
    <w:uiPriority w:val="99"/>
    <w:semiHidden/>
    <w:rsid w:val="006A4828"/>
    <w:rPr>
      <w:sz w:val="21"/>
      <w:szCs w:val="21"/>
    </w:rPr>
  </w:style>
  <w:style w:styleId="af" w:type="paragraph">
    <w:name w:val="annotation text"/>
    <w:basedOn w:val="a"/>
    <w:link w:val="Char2"/>
    <w:uiPriority w:val="99"/>
    <w:semiHidden/>
    <w:rsid w:val="006A4828"/>
    <w:pPr>
      <w:jc w:val="left"/>
    </w:pPr>
  </w:style>
  <w:style w:styleId="af0" w:type="paragraph">
    <w:name w:val="annotation subject"/>
    <w:basedOn w:val="af"/>
    <w:next w:val="af"/>
    <w:semiHidden/>
    <w:rsid w:val="006A4828"/>
    <w:rPr>
      <w:b/>
      <w:bCs/>
    </w:rPr>
  </w:style>
  <w:style w:customStyle="1" w:styleId="Char3" w:type="paragraph">
    <w:name w:val="Char"/>
    <w:basedOn w:val="a"/>
    <w:rsid w:val="006A4828"/>
  </w:style>
  <w:style w:styleId="af1" w:type="paragraph">
    <w:name w:val="Document Map"/>
    <w:basedOn w:val="a"/>
    <w:semiHidden/>
    <w:rsid w:val="000A549A"/>
    <w:pPr>
      <w:shd w:color="auto" w:fill="000080" w:val="clear"/>
    </w:pPr>
  </w:style>
  <w:style w:styleId="af2" w:type="table">
    <w:name w:val="Table Grid"/>
    <w:basedOn w:val="a2"/>
    <w:qFormat/>
    <w:rsid w:val="009A31AF"/>
    <w:pPr>
      <w:widowControl w:val="0"/>
      <w:jc w:val="both"/>
    </w:pPr>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styleId="af3" w:type="paragraph">
    <w:name w:val="footnote text"/>
    <w:basedOn w:val="a"/>
    <w:link w:val="Char4"/>
    <w:rsid w:val="000B251E"/>
    <w:pPr>
      <w:snapToGrid w:val="0"/>
      <w:jc w:val="left"/>
    </w:pPr>
    <w:rPr>
      <w:sz w:val="18"/>
      <w:szCs w:val="18"/>
    </w:rPr>
  </w:style>
  <w:style w:styleId="af4" w:type="character">
    <w:name w:val="footnote reference"/>
    <w:basedOn w:val="a1"/>
    <w:rsid w:val="000B251E"/>
    <w:rPr>
      <w:vertAlign w:val="superscript"/>
    </w:rPr>
  </w:style>
  <w:style w:styleId="af5" w:type="paragraph">
    <w:name w:val="Normal (Web)"/>
    <w:basedOn w:val="a"/>
    <w:rsid w:val="00B25807"/>
    <w:pPr>
      <w:widowControl/>
      <w:spacing w:after="100" w:afterAutospacing="1" w:before="100" w:beforeAutospacing="1"/>
      <w:jc w:val="left"/>
    </w:pPr>
    <w:rPr>
      <w:rFonts w:ascii="宋体" w:hAnsi="宋体"/>
      <w:kern w:val="0"/>
      <w:sz w:val="24"/>
    </w:rPr>
  </w:style>
  <w:style w:customStyle="1" w:styleId="Char5" w:type="paragraph">
    <w:name w:val="Char"/>
    <w:basedOn w:val="a"/>
    <w:rsid w:val="00D97213"/>
  </w:style>
  <w:style w:customStyle="1" w:styleId="5" w:type="numbering">
    <w:name w:val="样式5"/>
    <w:rsid w:val="00952A72"/>
    <w:pPr>
      <w:numPr>
        <w:numId w:val="8"/>
      </w:numPr>
    </w:pPr>
  </w:style>
  <w:style w:customStyle="1" w:styleId="t1" w:type="character">
    <w:name w:val="t1"/>
    <w:basedOn w:val="a1"/>
    <w:rsid w:val="002D2A00"/>
    <w:rPr>
      <w:color w:val="990000"/>
    </w:rPr>
  </w:style>
  <w:style w:customStyle="1" w:styleId="Char" w:type="character">
    <w:name w:val="纯文本 Char"/>
    <w:basedOn w:val="a1"/>
    <w:link w:val="a5"/>
    <w:uiPriority w:val="99"/>
    <w:rsid w:val="009A045B"/>
    <w:rPr>
      <w:rFonts w:ascii="宋体" w:hAnsi="Courier New"/>
      <w:kern w:val="2"/>
      <w:sz w:val="21"/>
      <w:szCs w:val="21"/>
    </w:rPr>
  </w:style>
  <w:style w:customStyle="1" w:styleId="Char4" w:type="character">
    <w:name w:val="脚注文本 Char"/>
    <w:basedOn w:val="a1"/>
    <w:link w:val="af3"/>
    <w:rsid w:val="00CB481C"/>
    <w:rPr>
      <w:kern w:val="2"/>
      <w:sz w:val="18"/>
      <w:szCs w:val="18"/>
    </w:rPr>
  </w:style>
  <w:style w:customStyle="1" w:styleId="Default" w:type="paragraph">
    <w:name w:val="Default"/>
    <w:rsid w:val="00CB481C"/>
    <w:pPr>
      <w:widowControl w:val="0"/>
      <w:autoSpaceDE w:val="0"/>
      <w:autoSpaceDN w:val="0"/>
      <w:adjustRightInd w:val="0"/>
    </w:pPr>
    <w:rPr>
      <w:rFonts w:ascii="FangSong" w:cs="FangSong" w:hAnsi="FangSong"/>
      <w:color w:val="000000"/>
      <w:sz w:val="24"/>
      <w:szCs w:val="24"/>
    </w:rPr>
  </w:style>
  <w:style w:customStyle="1" w:styleId="Char0" w:type="character">
    <w:name w:val="页眉 Char"/>
    <w:basedOn w:val="a1"/>
    <w:link w:val="a9"/>
    <w:uiPriority w:val="99"/>
    <w:rsid w:val="001207F2"/>
    <w:rPr>
      <w:kern w:val="2"/>
      <w:sz w:val="18"/>
      <w:szCs w:val="18"/>
    </w:rPr>
  </w:style>
  <w:style w:customStyle="1" w:styleId="1Char" w:type="character">
    <w:name w:val="标题 1 Char"/>
    <w:basedOn w:val="a1"/>
    <w:link w:val="1"/>
    <w:uiPriority w:val="99"/>
    <w:rsid w:val="00180952"/>
    <w:rPr>
      <w:b/>
      <w:bCs/>
      <w:kern w:val="44"/>
      <w:sz w:val="44"/>
      <w:szCs w:val="44"/>
    </w:rPr>
  </w:style>
  <w:style w:customStyle="1" w:styleId="Char1" w:type="character">
    <w:name w:val="日期 Char"/>
    <w:basedOn w:val="a1"/>
    <w:link w:val="ac"/>
    <w:rsid w:val="00D66685"/>
    <w:rPr>
      <w:kern w:val="2"/>
      <w:sz w:val="24"/>
    </w:rPr>
  </w:style>
  <w:style w:styleId="af6" w:type="character">
    <w:name w:val="Strong"/>
    <w:basedOn w:val="a1"/>
    <w:uiPriority w:val="22"/>
    <w:qFormat/>
    <w:rsid w:val="00C02900"/>
    <w:rPr>
      <w:b/>
      <w:bCs/>
    </w:rPr>
  </w:style>
  <w:style w:customStyle="1" w:styleId="Char2" w:type="character">
    <w:name w:val="批注文字 Char"/>
    <w:basedOn w:val="a1"/>
    <w:link w:val="af"/>
    <w:uiPriority w:val="99"/>
    <w:semiHidden/>
    <w:rsid w:val="00C51B4E"/>
    <w:rPr>
      <w:kern w:val="2"/>
      <w:sz w:val="21"/>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53032286">
      <w:bodyDiv w:val="1"/>
      <w:marLeft w:val="0"/>
      <w:marRight w:val="0"/>
      <w:marTop w:val="0"/>
      <w:marBottom w:val="0"/>
      <w:divBdr>
        <w:top w:val="none" w:sz="0" w:space="0" w:color="auto"/>
        <w:left w:val="none" w:sz="0" w:space="0" w:color="auto"/>
        <w:bottom w:val="none" w:sz="0" w:space="0" w:color="auto"/>
        <w:right w:val="none" w:sz="0" w:space="0" w:color="auto"/>
      </w:divBdr>
    </w:div>
    <w:div w:id="269166985">
      <w:bodyDiv w:val="1"/>
      <w:marLeft w:val="0"/>
      <w:marRight w:val="0"/>
      <w:marTop w:val="0"/>
      <w:marBottom w:val="0"/>
      <w:divBdr>
        <w:top w:val="none" w:sz="0" w:space="0" w:color="auto"/>
        <w:left w:val="none" w:sz="0" w:space="0" w:color="auto"/>
        <w:bottom w:val="none" w:sz="0" w:space="0" w:color="auto"/>
        <w:right w:val="none" w:sz="0" w:space="0" w:color="auto"/>
      </w:divBdr>
    </w:div>
    <w:div w:id="275908062">
      <w:bodyDiv w:val="1"/>
      <w:marLeft w:val="0"/>
      <w:marRight w:val="0"/>
      <w:marTop w:val="0"/>
      <w:marBottom w:val="0"/>
      <w:divBdr>
        <w:top w:val="none" w:sz="0" w:space="0" w:color="auto"/>
        <w:left w:val="none" w:sz="0" w:space="0" w:color="auto"/>
        <w:bottom w:val="none" w:sz="0" w:space="0" w:color="auto"/>
        <w:right w:val="none" w:sz="0" w:space="0" w:color="auto"/>
      </w:divBdr>
    </w:div>
    <w:div w:id="404841301">
      <w:bodyDiv w:val="1"/>
      <w:marLeft w:val="0"/>
      <w:marRight w:val="0"/>
      <w:marTop w:val="0"/>
      <w:marBottom w:val="0"/>
      <w:divBdr>
        <w:top w:val="none" w:sz="0" w:space="0" w:color="auto"/>
        <w:left w:val="none" w:sz="0" w:space="0" w:color="auto"/>
        <w:bottom w:val="none" w:sz="0" w:space="0" w:color="auto"/>
        <w:right w:val="none" w:sz="0" w:space="0" w:color="auto"/>
      </w:divBdr>
    </w:div>
    <w:div w:id="515924504">
      <w:bodyDiv w:val="1"/>
      <w:marLeft w:val="0"/>
      <w:marRight w:val="0"/>
      <w:marTop w:val="0"/>
      <w:marBottom w:val="0"/>
      <w:divBdr>
        <w:top w:val="none" w:sz="0" w:space="0" w:color="auto"/>
        <w:left w:val="none" w:sz="0" w:space="0" w:color="auto"/>
        <w:bottom w:val="none" w:sz="0" w:space="0" w:color="auto"/>
        <w:right w:val="none" w:sz="0" w:space="0" w:color="auto"/>
      </w:divBdr>
    </w:div>
    <w:div w:id="713970738">
      <w:bodyDiv w:val="1"/>
      <w:marLeft w:val="0"/>
      <w:marRight w:val="0"/>
      <w:marTop w:val="0"/>
      <w:marBottom w:val="0"/>
      <w:divBdr>
        <w:top w:val="none" w:sz="0" w:space="0" w:color="auto"/>
        <w:left w:val="none" w:sz="0" w:space="0" w:color="auto"/>
        <w:bottom w:val="none" w:sz="0" w:space="0" w:color="auto"/>
        <w:right w:val="none" w:sz="0" w:space="0" w:color="auto"/>
      </w:divBdr>
    </w:div>
    <w:div w:id="718362652">
      <w:bodyDiv w:val="1"/>
      <w:marLeft w:val="0"/>
      <w:marRight w:val="0"/>
      <w:marTop w:val="0"/>
      <w:marBottom w:val="0"/>
      <w:divBdr>
        <w:top w:val="none" w:sz="0" w:space="0" w:color="auto"/>
        <w:left w:val="none" w:sz="0" w:space="0" w:color="auto"/>
        <w:bottom w:val="none" w:sz="0" w:space="0" w:color="auto"/>
        <w:right w:val="none" w:sz="0" w:space="0" w:color="auto"/>
      </w:divBdr>
    </w:div>
    <w:div w:id="855652685">
      <w:bodyDiv w:val="1"/>
      <w:marLeft w:val="0"/>
      <w:marRight w:val="0"/>
      <w:marTop w:val="0"/>
      <w:marBottom w:val="0"/>
      <w:divBdr>
        <w:top w:val="none" w:sz="0" w:space="0" w:color="auto"/>
        <w:left w:val="none" w:sz="0" w:space="0" w:color="auto"/>
        <w:bottom w:val="none" w:sz="0" w:space="0" w:color="auto"/>
        <w:right w:val="none" w:sz="0" w:space="0" w:color="auto"/>
      </w:divBdr>
    </w:div>
    <w:div w:id="1165123828">
      <w:bodyDiv w:val="1"/>
      <w:marLeft w:val="0"/>
      <w:marRight w:val="0"/>
      <w:marTop w:val="0"/>
      <w:marBottom w:val="0"/>
      <w:divBdr>
        <w:top w:val="none" w:sz="0" w:space="0" w:color="auto"/>
        <w:left w:val="none" w:sz="0" w:space="0" w:color="auto"/>
        <w:bottom w:val="none" w:sz="0" w:space="0" w:color="auto"/>
        <w:right w:val="none" w:sz="0" w:space="0" w:color="auto"/>
      </w:divBdr>
    </w:div>
    <w:div w:id="1197889010">
      <w:bodyDiv w:val="1"/>
      <w:marLeft w:val="0"/>
      <w:marRight w:val="0"/>
      <w:marTop w:val="0"/>
      <w:marBottom w:val="0"/>
      <w:divBdr>
        <w:top w:val="none" w:sz="0" w:space="0" w:color="auto"/>
        <w:left w:val="none" w:sz="0" w:space="0" w:color="auto"/>
        <w:bottom w:val="none" w:sz="0" w:space="0" w:color="auto"/>
        <w:right w:val="none" w:sz="0" w:space="0" w:color="auto"/>
      </w:divBdr>
    </w:div>
    <w:div w:id="1280725473">
      <w:bodyDiv w:val="1"/>
      <w:marLeft w:val="0"/>
      <w:marRight w:val="0"/>
      <w:marTop w:val="0"/>
      <w:marBottom w:val="0"/>
      <w:divBdr>
        <w:top w:val="none" w:sz="0" w:space="0" w:color="auto"/>
        <w:left w:val="none" w:sz="0" w:space="0" w:color="auto"/>
        <w:bottom w:val="none" w:sz="0" w:space="0" w:color="auto"/>
        <w:right w:val="none" w:sz="0" w:space="0" w:color="auto"/>
      </w:divBdr>
    </w:div>
    <w:div w:id="1373310577">
      <w:bodyDiv w:val="1"/>
      <w:marLeft w:val="0"/>
      <w:marRight w:val="0"/>
      <w:marTop w:val="0"/>
      <w:marBottom w:val="0"/>
      <w:divBdr>
        <w:top w:val="none" w:sz="0" w:space="0" w:color="auto"/>
        <w:left w:val="none" w:sz="0" w:space="0" w:color="auto"/>
        <w:bottom w:val="none" w:sz="0" w:space="0" w:color="auto"/>
        <w:right w:val="none" w:sz="0" w:space="0" w:color="auto"/>
      </w:divBdr>
    </w:div>
    <w:div w:id="1391732465">
      <w:bodyDiv w:val="1"/>
      <w:marLeft w:val="0"/>
      <w:marRight w:val="0"/>
      <w:marTop w:val="0"/>
      <w:marBottom w:val="0"/>
      <w:divBdr>
        <w:top w:val="none" w:sz="0" w:space="0" w:color="auto"/>
        <w:left w:val="none" w:sz="0" w:space="0" w:color="auto"/>
        <w:bottom w:val="none" w:sz="0" w:space="0" w:color="auto"/>
        <w:right w:val="none" w:sz="0" w:space="0" w:color="auto"/>
      </w:divBdr>
    </w:div>
    <w:div w:id="1541361230">
      <w:bodyDiv w:val="1"/>
      <w:marLeft w:val="0"/>
      <w:marRight w:val="0"/>
      <w:marTop w:val="0"/>
      <w:marBottom w:val="0"/>
      <w:divBdr>
        <w:top w:val="none" w:sz="0" w:space="0" w:color="auto"/>
        <w:left w:val="none" w:sz="0" w:space="0" w:color="auto"/>
        <w:bottom w:val="none" w:sz="0" w:space="0" w:color="auto"/>
        <w:right w:val="none" w:sz="0" w:space="0" w:color="auto"/>
      </w:divBdr>
    </w:div>
    <w:div w:id="1736662881">
      <w:bodyDiv w:val="1"/>
      <w:marLeft w:val="0"/>
      <w:marRight w:val="0"/>
      <w:marTop w:val="0"/>
      <w:marBottom w:val="0"/>
      <w:divBdr>
        <w:top w:val="none" w:sz="0" w:space="0" w:color="auto"/>
        <w:left w:val="none" w:sz="0" w:space="0" w:color="auto"/>
        <w:bottom w:val="none" w:sz="0" w:space="0" w:color="auto"/>
        <w:right w:val="none" w:sz="0" w:space="0" w:color="auto"/>
      </w:divBdr>
    </w:div>
    <w:div w:id="1887255298">
      <w:bodyDiv w:val="1"/>
      <w:marLeft w:val="0"/>
      <w:marRight w:val="0"/>
      <w:marTop w:val="0"/>
      <w:marBottom w:val="0"/>
      <w:divBdr>
        <w:top w:val="none" w:sz="0" w:space="0" w:color="auto"/>
        <w:left w:val="none" w:sz="0" w:space="0" w:color="auto"/>
        <w:bottom w:val="none" w:sz="0" w:space="0" w:color="auto"/>
        <w:right w:val="none" w:sz="0" w:space="0" w:color="auto"/>
      </w:divBdr>
    </w:div>
    <w:div w:id="1912079058">
      <w:bodyDiv w:val="1"/>
      <w:marLeft w:val="0"/>
      <w:marRight w:val="0"/>
      <w:marTop w:val="0"/>
      <w:marBottom w:val="0"/>
      <w:divBdr>
        <w:top w:val="none" w:sz="0" w:space="0" w:color="auto"/>
        <w:left w:val="none" w:sz="0" w:space="0" w:color="auto"/>
        <w:bottom w:val="none" w:sz="0" w:space="0" w:color="auto"/>
        <w:right w:val="none" w:sz="0" w:space="0" w:color="auto"/>
      </w:divBdr>
    </w:div>
    <w:div w:id="2025472779">
      <w:bodyDiv w:val="1"/>
      <w:marLeft w:val="0"/>
      <w:marRight w:val="0"/>
      <w:marTop w:val="0"/>
      <w:marBottom w:val="0"/>
      <w:divBdr>
        <w:top w:val="none" w:sz="0" w:space="0" w:color="auto"/>
        <w:left w:val="none" w:sz="0" w:space="0" w:color="auto"/>
        <w:bottom w:val="none" w:sz="0" w:space="0" w:color="auto"/>
        <w:right w:val="none" w:sz="0" w:space="0" w:color="auto"/>
      </w:divBdr>
    </w:div>
    <w:div w:id="2106463434">
      <w:bodyDiv w:val="1"/>
      <w:marLeft w:val="0"/>
      <w:marRight w:val="0"/>
      <w:marTop w:val="0"/>
      <w:marBottom w:val="0"/>
      <w:divBdr>
        <w:top w:val="none" w:sz="0" w:space="0" w:color="auto"/>
        <w:left w:val="none" w:sz="0" w:space="0" w:color="auto"/>
        <w:bottom w:val="none" w:sz="0" w:space="0" w:color="auto"/>
        <w:right w:val="none" w:sz="0" w:space="0" w:color="auto"/>
      </w:divBdr>
    </w:div>
    <w:div w:id="2127237140">
      <w:bodyDiv w:val="1"/>
      <w:marLeft w:val="150"/>
      <w:marRight w:val="150"/>
      <w:marTop w:val="150"/>
      <w:marBottom w:val="150"/>
      <w:divBdr>
        <w:top w:val="none" w:sz="0" w:space="0" w:color="auto"/>
        <w:left w:val="none" w:sz="0" w:space="0" w:color="auto"/>
        <w:bottom w:val="none" w:sz="0" w:space="0" w:color="auto"/>
        <w:right w:val="none" w:sz="0" w:space="0" w:color="auto"/>
      </w:divBdr>
      <w:divsChild>
        <w:div w:id="1646620870">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
<Relationship Id="rId1" Target="../customXml/item1.xml" Type="http://schemas.openxmlformats.org/officeDocument/2006/relationships/customXml"/>
<Relationship Id="rId10" Target="footer1.xml" Type="http://schemas.openxmlformats.org/officeDocument/2006/relationships/footer"/>
<Relationship Id="rId11" Target="footer2.xml" Type="http://schemas.openxmlformats.org/officeDocument/2006/relationships/footer"/>
<Relationship Id="rId12" Target="header3.xml" Type="http://schemas.openxmlformats.org/officeDocument/2006/relationships/header"/>
<Relationship Id="rId13" Target="footer3.xml" Type="http://schemas.openxmlformats.org/officeDocument/2006/relationships/footer"/>
<Relationship Id="rId14" Target="media/image1.jpeg" Type="http://schemas.openxmlformats.org/officeDocument/2006/relationships/image"/>
<Relationship Id="rId15" Target="media/image2.jpeg" Type="http://schemas.openxmlformats.org/officeDocument/2006/relationships/image"/>
<Relationship Id="rId16" Target="footer4.xml" Type="http://schemas.openxmlformats.org/officeDocument/2006/relationships/footer"/>
<Relationship Id="rId17" Target="fontTable.xml" Type="http://schemas.openxmlformats.org/officeDocument/2006/relationships/fontTable"/>
<Relationship Id="rId18" Target="theme/theme1.xml" Type="http://schemas.openxmlformats.org/officeDocument/2006/relationships/theme"/>
<Relationship Id="rId2" Target="numbering.xml" Type="http://schemas.openxmlformats.org/officeDocument/2006/relationships/numbering"/>
<Relationship Id="rId3" Target="styles.xml" Type="http://schemas.openxmlformats.org/officeDocument/2006/relationships/styles"/>
<Relationship Id="rId4" Target="settings.xml" Type="http://schemas.openxmlformats.org/officeDocument/2006/relationships/settings"/>
<Relationship Id="rId5" Target="webSettings.xml" Type="http://schemas.openxmlformats.org/officeDocument/2006/relationships/webSettings"/>
<Relationship Id="rId6" Target="footnotes.xml" Type="http://schemas.openxmlformats.org/officeDocument/2006/relationships/footnotes"/>
<Relationship Id="rId7" Target="endnotes.xml" Type="http://schemas.openxmlformats.org/officeDocument/2006/relationships/endnotes"/>
<Relationship Id="rId8" Target="header1.xml" Type="http://schemas.openxmlformats.org/officeDocument/2006/relationships/header"/>
<Relationship Id="rId9" Target="header2.xml" Type="http://schemas.openxmlformats.org/officeDocument/2006/relationships/header"/>
</Relationships>

</file>

<file path=word/_rels/settings.xml.rels><?xml version="1.0" encoding="UTF-8" standalone="yes"?>
<Relationships xmlns="http://schemas.openxmlformats.org/package/2006/relationships">
<Relationship Id="rId1" Target="file:///C:/Users/Administrator/Desktop/abc&#23395;&#25253;.dot" TargetMode="External" Type="http://schemas.openxmlformats.org/officeDocument/2006/relationships/attachedTemplate"/>
</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
<Relationship Id="rId1" Target="itemProps1.xml" Type="http://schemas.openxmlformats.org/officeDocument/2006/relationships/customXmlProps"/>
</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06682FB8-C167-4963-8B27-9929FDC0950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abc季报.dot</Template>
  <TotalTime>254</TotalTime>
  <Pages>27</Pages>
  <Words>4295</Words>
  <Characters>24488</Characters>
  <Application>Microsoft Office Word</Application>
  <DocSecurity>0</DocSecurity>
  <Lines>204</Lines>
  <Paragraphs>57</Paragraphs>
  <ScaleCrop>false</ScaleCrop>
  <Company>TRT. Ltd. Co.</Company>
  <LinksUpToDate>false</LinksUpToDate>
  <CharactersWithSpaces>28726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xsi="http://www.w3.org/2001/XMLSchema-instance">
  <dcterms:created xsi:type="dcterms:W3CDTF">2014-01-17T06:19:00Z</dcterms:created>
  <dc:creator>bonnieliu</dc:creator>
  <cp:lastModifiedBy>业务系统</cp:lastModifiedBy>
  <cp:lastPrinted>2007-07-19T00:46:00Z</cp:lastPrinted>
  <dcterms:modified xsi:type="dcterms:W3CDTF">2020-03-05T08:23:00Z</dcterms:modified>
  <cp:revision>404</cp:revision>
</cp:coreProperties>
</file>