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512,949,538.34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512,520,977.58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428,560.76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433,241.17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-466.76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-2,044,080.63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-4,500.61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563,338,546.23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492,618.13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1.0992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1.1495</w:t>
            </w:r>
          </w:p>
        </w:tc>
      </w:tr>
    </w:tbl>
    <w:p w:rsidR="00236C0D" w:rsidRDefault="00B1215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335FB2">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35FB2">
        <w:trPr>
          <w:jc w:val="center"/>
        </w:trPr>
        <w:tc>
          <w:tcPr>
            <w:tcW w:w="1266" w:type="dxa"/>
            <w:vAlign w:val="center"/>
          </w:tcPr>
          <w:p w:rsidR="00335FB2" w:rsidRPr="00B55E95" w:rsidRDefault="00335FB2" w:rsidP="00335FB2">
            <w:pPr>
              <w:widowControl/>
              <w:jc w:val="left"/>
              <w:rPr>
                <w:rFonts w:ascii="Calibri" w:hAnsi="Calibri" w:cs="宋体"/>
                <w:kern w:val="0"/>
                <w:szCs w:val="21"/>
              </w:rPr>
            </w:pPr>
            <w:r w:rsidRPr="00B55E95">
              <w:rPr>
                <w:rFonts w:ascii="宋体" w:hAnsi="宋体" w:cs="宋体" w:hint="eastAsia"/>
                <w:color w:val="000000"/>
                <w:kern w:val="0"/>
                <w:sz w:val="24"/>
              </w:rPr>
              <w:lastRenderedPageBreak/>
              <w:t>过去三个月</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-0.34%</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0.05%</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-1.48%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1.14%</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-0.03%</w:t>
            </w:r>
          </w:p>
        </w:tc>
      </w:tr>
      <w:tr w:rsidR="00335FB2">
        <w:trPr>
          <w:jc w:val="center"/>
        </w:trPr>
        <w:tc>
          <w:tcPr>
            <w:tcW w:w="1266" w:type="dxa"/>
            <w:vAlign w:val="center"/>
          </w:tcPr>
          <w:p w:rsidR="00335FB2" w:rsidRPr="00B55E95" w:rsidRDefault="00335FB2" w:rsidP="00335FB2">
            <w:pPr>
              <w:widowControl/>
              <w:jc w:val="left"/>
              <w:rPr>
                <w:rFonts w:ascii="Calibri" w:hAnsi="Calibri" w:cs="宋体"/>
                <w:kern w:val="0"/>
                <w:szCs w:val="21"/>
              </w:rPr>
            </w:pPr>
            <w:r w:rsidRPr="00B55E95">
              <w:rPr>
                <w:rFonts w:ascii="宋体" w:hAnsi="宋体" w:cs="宋体" w:hint="eastAsia"/>
                <w:color w:val="000000"/>
                <w:kern w:val="0"/>
                <w:sz w:val="24"/>
              </w:rPr>
              <w:t>过去六个月</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-0.82%</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0.12%</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-2.50%</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0.10%</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1.68%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0.02%</w:t>
            </w:r>
          </w:p>
        </w:tc>
      </w:tr>
      <w:tr w:rsidR="00335FB2">
        <w:trPr>
          <w:jc w:val="center"/>
        </w:trPr>
        <w:tc>
          <w:tcPr>
            <w:tcW w:w="1266" w:type="dxa"/>
            <w:vAlign w:val="center"/>
          </w:tcPr>
          <w:p w:rsidR="00335FB2" w:rsidRPr="00B55E95" w:rsidRDefault="00335FB2" w:rsidP="00335FB2">
            <w:pPr>
              <w:widowControl/>
              <w:jc w:val="left"/>
              <w:rPr>
                <w:rFonts w:ascii="Calibri" w:hAnsi="Calibri" w:cs="宋体"/>
                <w:kern w:val="0"/>
                <w:szCs w:val="21"/>
              </w:rPr>
            </w:pPr>
            <w:r w:rsidRPr="00B55E95">
              <w:rPr>
                <w:rFonts w:ascii="宋体" w:hAnsi="宋体" w:cs="宋体" w:hint="eastAsia"/>
                <w:color w:val="000000"/>
                <w:kern w:val="0"/>
                <w:sz w:val="24"/>
              </w:rPr>
              <w:t>过去一年</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2.18%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0.09%</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0.09%</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2.26%</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0.00%</w:t>
            </w:r>
          </w:p>
        </w:tc>
      </w:tr>
      <w:tr w:rsidR="00335FB2">
        <w:trPr>
          <w:jc w:val="center"/>
        </w:trPr>
        <w:tc>
          <w:tcPr>
            <w:tcW w:w="1266" w:type="dxa"/>
            <w:vAlign w:val="center"/>
          </w:tcPr>
          <w:p w:rsidR="00335FB2" w:rsidRPr="00B55E95" w:rsidRDefault="00335FB2" w:rsidP="00335FB2">
            <w:pPr>
              <w:widowControl/>
              <w:jc w:val="left"/>
              <w:rPr>
                <w:rFonts w:ascii="Calibri" w:hAnsi="Calibri" w:cs="宋体"/>
                <w:kern w:val="0"/>
                <w:szCs w:val="21"/>
              </w:rPr>
            </w:pPr>
            <w:r w:rsidRPr="00B55E95">
              <w:rPr>
                <w:rFonts w:ascii="宋体" w:hAnsi="宋体" w:cs="宋体" w:hint="eastAsia"/>
                <w:color w:val="000000"/>
                <w:kern w:val="0"/>
                <w:sz w:val="24"/>
              </w:rPr>
              <w:t>过去三年</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12.59%</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0.07%</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4.21%</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0.07%</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8.38%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0.00%</w:t>
            </w:r>
          </w:p>
        </w:tc>
      </w:tr>
      <w:tr w:rsidR="00335FB2">
        <w:trPr>
          <w:jc w:val="center"/>
        </w:trPr>
        <w:tc>
          <w:tcPr>
            <w:tcW w:w="1266" w:type="dxa"/>
            <w:vAlign w:val="center"/>
          </w:tcPr>
          <w:p w:rsidR="00335FB2" w:rsidRPr="00B55E95" w:rsidRDefault="00335FB2" w:rsidP="00335FB2">
            <w:pPr>
              <w:widowControl/>
              <w:jc w:val="left"/>
              <w:rPr>
                <w:rFonts w:ascii="Calibri" w:hAnsi="Calibri" w:cs="宋体"/>
                <w:kern w:val="0"/>
                <w:szCs w:val="21"/>
              </w:rPr>
            </w:pPr>
            <w:r w:rsidRPr="00B55E95">
              <w:rPr>
                <w:rFonts w:ascii="宋体" w:hAnsi="宋体" w:cs="宋体" w:hint="eastAsia"/>
                <w:color w:val="000000"/>
                <w:kern w:val="0"/>
                <w:sz w:val="24"/>
              </w:rPr>
              <w:t>自基金合同生效起至今</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15.18%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0.07%</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-0.64%</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0.08%</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15.82%</w:t>
            </w:r>
          </w:p>
        </w:tc>
        <w:tc>
          <w:tcPr>
            <w:tcW w:w="1267" w:type="dxa"/>
            <w:vAlign w:val="center"/>
          </w:tcPr>
          <w:p w:rsidR="00335FB2" w:rsidRPr="00335FB2" w:rsidRDefault="00335FB2" w:rsidP="00335FB2">
            <w:pPr>
              <w:widowControl/>
              <w:jc w:val="center"/>
              <w:rPr>
                <w:color w:val="000000"/>
                <w:sz w:val="24"/>
              </w:rPr>
            </w:pPr>
            <w:r w:rsidRPr="00335FB2">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69168B">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9168B">
        <w:trPr>
          <w:jc w:val="center"/>
        </w:trPr>
        <w:tc>
          <w:tcPr>
            <w:tcW w:w="1266" w:type="dxa"/>
            <w:vAlign w:val="center"/>
          </w:tcPr>
          <w:p w:rsidR="0069168B" w:rsidRPr="00B55E95" w:rsidRDefault="0069168B" w:rsidP="0069168B">
            <w:pPr>
              <w:widowControl/>
              <w:jc w:val="left"/>
              <w:rPr>
                <w:rFonts w:ascii="Calibri" w:hAnsi="Calibri" w:cs="宋体"/>
                <w:kern w:val="0"/>
                <w:szCs w:val="21"/>
              </w:rPr>
            </w:pPr>
            <w:r w:rsidRPr="00B55E95">
              <w:rPr>
                <w:rFonts w:ascii="宋体" w:hAnsi="宋体" w:cs="宋体" w:hint="eastAsia"/>
                <w:color w:val="000000"/>
                <w:kern w:val="0"/>
                <w:sz w:val="24"/>
              </w:rPr>
              <w:t>过去三个月</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-0.45%</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0.05%</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-1.48%</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0.08%</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1.03%</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-0.03%</w:t>
            </w:r>
          </w:p>
        </w:tc>
      </w:tr>
      <w:tr w:rsidR="0069168B">
        <w:trPr>
          <w:jc w:val="center"/>
        </w:trPr>
        <w:tc>
          <w:tcPr>
            <w:tcW w:w="1266" w:type="dxa"/>
            <w:vAlign w:val="center"/>
          </w:tcPr>
          <w:p w:rsidR="0069168B" w:rsidRPr="00B55E95" w:rsidRDefault="0069168B" w:rsidP="0069168B">
            <w:pPr>
              <w:widowControl/>
              <w:jc w:val="left"/>
              <w:rPr>
                <w:rFonts w:ascii="Calibri" w:hAnsi="Calibri" w:cs="宋体"/>
                <w:kern w:val="0"/>
                <w:szCs w:val="21"/>
              </w:rPr>
            </w:pPr>
            <w:r w:rsidRPr="00B55E95">
              <w:rPr>
                <w:rFonts w:ascii="宋体" w:hAnsi="宋体" w:cs="宋体" w:hint="eastAsia"/>
                <w:color w:val="000000"/>
                <w:kern w:val="0"/>
                <w:sz w:val="24"/>
              </w:rPr>
              <w:t>过去六个月</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-1.03%</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0.12%</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-2.50%</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0.10%</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1.47%</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0.02%</w:t>
            </w:r>
          </w:p>
        </w:tc>
      </w:tr>
      <w:tr w:rsidR="0069168B">
        <w:trPr>
          <w:jc w:val="center"/>
        </w:trPr>
        <w:tc>
          <w:tcPr>
            <w:tcW w:w="1266" w:type="dxa"/>
            <w:vAlign w:val="center"/>
          </w:tcPr>
          <w:p w:rsidR="0069168B" w:rsidRPr="00B55E95" w:rsidRDefault="0069168B" w:rsidP="0069168B">
            <w:pPr>
              <w:widowControl/>
              <w:jc w:val="left"/>
              <w:rPr>
                <w:rFonts w:ascii="Calibri" w:hAnsi="Calibri" w:cs="宋体"/>
                <w:kern w:val="0"/>
                <w:szCs w:val="21"/>
              </w:rPr>
            </w:pPr>
            <w:r w:rsidRPr="00B55E95">
              <w:rPr>
                <w:rFonts w:ascii="宋体" w:hAnsi="宋体" w:cs="宋体" w:hint="eastAsia"/>
                <w:color w:val="000000"/>
                <w:kern w:val="0"/>
                <w:sz w:val="24"/>
              </w:rPr>
              <w:t>过去一年</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1.76%</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0.09%</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-0.08%</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0.09%</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1.84%</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0.00%</w:t>
            </w:r>
          </w:p>
        </w:tc>
      </w:tr>
      <w:tr w:rsidR="0069168B">
        <w:trPr>
          <w:jc w:val="center"/>
        </w:trPr>
        <w:tc>
          <w:tcPr>
            <w:tcW w:w="1266" w:type="dxa"/>
            <w:vAlign w:val="center"/>
          </w:tcPr>
          <w:p w:rsidR="0069168B" w:rsidRPr="00B55E95" w:rsidRDefault="0069168B" w:rsidP="0069168B">
            <w:pPr>
              <w:widowControl/>
              <w:jc w:val="left"/>
              <w:rPr>
                <w:rFonts w:ascii="Calibri" w:hAnsi="Calibri" w:cs="宋体"/>
                <w:kern w:val="0"/>
                <w:szCs w:val="21"/>
              </w:rPr>
            </w:pPr>
            <w:r w:rsidRPr="00B55E95">
              <w:rPr>
                <w:rFonts w:ascii="宋体" w:hAnsi="宋体" w:cs="宋体" w:hint="eastAsia"/>
                <w:color w:val="000000"/>
                <w:kern w:val="0"/>
                <w:sz w:val="24"/>
              </w:rPr>
              <w:t>过去三年</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12.70%</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0.08%</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4.21%</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0.07%</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8.49%</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0.01%</w:t>
            </w:r>
          </w:p>
        </w:tc>
      </w:tr>
      <w:tr w:rsidR="0069168B">
        <w:trPr>
          <w:jc w:val="center"/>
        </w:trPr>
        <w:tc>
          <w:tcPr>
            <w:tcW w:w="1266" w:type="dxa"/>
            <w:vAlign w:val="center"/>
          </w:tcPr>
          <w:p w:rsidR="0069168B" w:rsidRPr="00B55E95" w:rsidRDefault="0069168B" w:rsidP="0069168B">
            <w:pPr>
              <w:widowControl/>
              <w:jc w:val="left"/>
              <w:rPr>
                <w:rFonts w:ascii="Calibri" w:hAnsi="Calibri" w:cs="宋体"/>
                <w:kern w:val="0"/>
                <w:szCs w:val="21"/>
              </w:rPr>
            </w:pPr>
            <w:r w:rsidRPr="00B55E95">
              <w:rPr>
                <w:rFonts w:ascii="宋体" w:hAnsi="宋体" w:cs="宋体" w:hint="eastAsia"/>
                <w:color w:val="000000"/>
                <w:kern w:val="0"/>
                <w:sz w:val="24"/>
              </w:rPr>
              <w:t>自基金合同生效起至今</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14.95%</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0.07%</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-0.64%</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0.08%</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15.59%</w:t>
            </w:r>
          </w:p>
        </w:tc>
        <w:tc>
          <w:tcPr>
            <w:tcW w:w="1267" w:type="dxa"/>
            <w:vAlign w:val="center"/>
          </w:tcPr>
          <w:p w:rsidR="0069168B" w:rsidRPr="0069168B" w:rsidRDefault="0069168B" w:rsidP="0069168B">
            <w:pPr>
              <w:widowControl/>
              <w:jc w:val="center"/>
              <w:rPr>
                <w:color w:val="000000"/>
                <w:sz w:val="24"/>
              </w:rPr>
            </w:pPr>
            <w:r w:rsidRPr="0069168B">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0C5710" w:rsidRDefault="000C5710" w:rsidP="000C5710">
      <w:pPr>
        <w:spacing w:before="29" w:line="288" w:lineRule="auto"/>
        <w:jc w:val="center"/>
        <w:rPr>
          <w:color w:val="000000"/>
          <w:sz w:val="24"/>
        </w:rPr>
      </w:pPr>
      <w:r>
        <w:rPr>
          <w:rFonts w:hint="eastAsia"/>
          <w:color w:val="000000"/>
          <w:sz w:val="24"/>
        </w:rPr>
        <w:t>交银施罗德裕盈纯债债券型证券投资基金</w:t>
      </w:r>
    </w:p>
    <w:p w:rsidR="000C5710" w:rsidRDefault="000C5710" w:rsidP="000C5710">
      <w:pPr>
        <w:pStyle w:val="a5"/>
        <w:snapToGrid w:val="0"/>
        <w:spacing w:before="29" w:line="288" w:lineRule="auto"/>
        <w:jc w:val="center"/>
        <w:rPr>
          <w:rFonts w:ascii="Times New Roman" w:hAnsi="Times New Roman"/>
          <w:color w:val="000000"/>
          <w:sz w:val="24"/>
          <w:szCs w:val="24"/>
        </w:rPr>
      </w:pPr>
      <w:r>
        <w:rPr>
          <w:rFonts w:ascii="Times New Roman" w:hAnsi="Times New Roman" w:hint="eastAsia"/>
          <w:color w:val="000000"/>
          <w:sz w:val="24"/>
          <w:szCs w:val="24"/>
        </w:rPr>
        <w:t>份额累计净值增长率与业绩比较基准收益率的历史走势对比图</w:t>
      </w:r>
    </w:p>
    <w:p w:rsidR="000C5710" w:rsidRDefault="000C5710" w:rsidP="000C5710">
      <w:pPr>
        <w:pStyle w:val="a5"/>
        <w:snapToGrid w:val="0"/>
        <w:spacing w:before="29" w:line="288" w:lineRule="auto"/>
        <w:ind w:firstLine="480"/>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2016</w:t>
      </w:r>
      <w:r>
        <w:rPr>
          <w:rFonts w:ascii="Times New Roman" w:hAnsi="Times New Roman" w:hint="eastAsia"/>
          <w:sz w:val="24"/>
          <w:szCs w:val="24"/>
        </w:rPr>
        <w:t>年</w:t>
      </w:r>
      <w:r>
        <w:rPr>
          <w:rFonts w:ascii="Times New Roman" w:hAnsi="Times New Roman"/>
          <w:sz w:val="24"/>
          <w:szCs w:val="24"/>
        </w:rPr>
        <w:t>11</w:t>
      </w:r>
      <w:r>
        <w:rPr>
          <w:rFonts w:ascii="Times New Roman" w:hAnsi="Times New Roman" w:hint="eastAsia"/>
          <w:sz w:val="24"/>
          <w:szCs w:val="24"/>
        </w:rPr>
        <w:t>月</w:t>
      </w:r>
      <w:r>
        <w:rPr>
          <w:rFonts w:ascii="Times New Roman" w:hAnsi="Times New Roman"/>
          <w:sz w:val="24"/>
          <w:szCs w:val="24"/>
        </w:rPr>
        <w:t>4</w:t>
      </w:r>
      <w:r>
        <w:rPr>
          <w:rFonts w:ascii="Times New Roman" w:hAnsi="Times New Roman" w:hint="eastAsia"/>
          <w:sz w:val="24"/>
          <w:szCs w:val="24"/>
        </w:rPr>
        <w:t>日至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0C5710" w:rsidRDefault="000C5710" w:rsidP="000C5710">
      <w:pPr>
        <w:snapToGrid w:val="0"/>
        <w:spacing w:before="29" w:line="288" w:lineRule="auto"/>
        <w:rPr>
          <w:color w:val="000000"/>
          <w:sz w:val="24"/>
        </w:rPr>
      </w:pPr>
      <w:r>
        <w:rPr>
          <w:color w:val="000000"/>
          <w:sz w:val="24"/>
        </w:rPr>
        <w:t>1</w:t>
      </w:r>
      <w:r>
        <w:rPr>
          <w:rFonts w:hint="eastAsia"/>
          <w:color w:val="000000"/>
          <w:sz w:val="24"/>
        </w:rPr>
        <w:t>．交银裕盈纯债债券</w:t>
      </w:r>
      <w:r>
        <w:rPr>
          <w:color w:val="000000"/>
          <w:sz w:val="24"/>
        </w:rPr>
        <w:t>A</w:t>
      </w:r>
    </w:p>
    <w:p w:rsidR="000C5710" w:rsidRDefault="000C5710" w:rsidP="000C5710">
      <w:pPr>
        <w:pStyle w:val="20"/>
        <w:spacing w:before="29" w:line="288" w:lineRule="auto"/>
        <w:ind w:firstLineChars="0" w:firstLine="0"/>
        <w:jc w:val="center"/>
        <w:rPr>
          <w:rFonts w:ascii="Times New Roman" w:eastAsiaTheme="minorEastAsia" w:hAnsi="Times New Roman"/>
          <w:color w:val="000000"/>
        </w:rPr>
      </w:pPr>
      <w:r>
        <w:rPr>
          <w:rFonts w:ascii="Times New Roman" w:eastAsiaTheme="minorEastAsia" w:hAnsi="Times New Roman"/>
          <w:noProof/>
          <w:color w:val="000000"/>
        </w:rPr>
        <w:lastRenderedPageBreak/>
        <w:drawing>
          <wp:inline distT="0" distB="0" distL="0" distR="0" wp14:anchorId="2E9B7482" wp14:editId="1CD16523">
            <wp:extent cx="5734050" cy="3359150"/>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3359150"/>
                    </a:xfrm>
                    <a:prstGeom prst="rect">
                      <a:avLst/>
                    </a:prstGeom>
                    <a:noFill/>
                    <a:ln>
                      <a:noFill/>
                    </a:ln>
                  </pic:spPr>
                </pic:pic>
              </a:graphicData>
            </a:graphic>
          </wp:inline>
        </w:drawing>
      </w:r>
    </w:p>
    <w:p w:rsidR="000C5710" w:rsidRDefault="000C5710" w:rsidP="000C5710">
      <w:pPr>
        <w:spacing w:before="29" w:line="288" w:lineRule="auto"/>
        <w:ind w:firstLineChars="200" w:firstLine="480"/>
        <w:rPr>
          <w:color w:val="000000"/>
          <w:sz w:val="24"/>
        </w:rPr>
      </w:pPr>
      <w:r>
        <w:rPr>
          <w:rFonts w:hint="eastAsia"/>
          <w:color w:val="000000"/>
          <w:sz w:val="24"/>
        </w:rPr>
        <w:t>注：本基金建仓期为自基金合同生效日起的</w:t>
      </w:r>
      <w:r>
        <w:rPr>
          <w:color w:val="000000"/>
          <w:sz w:val="24"/>
        </w:rPr>
        <w:t>6</w:t>
      </w:r>
      <w:r>
        <w:rPr>
          <w:rFonts w:hint="eastAsia"/>
          <w:color w:val="000000"/>
          <w:sz w:val="24"/>
        </w:rPr>
        <w:t>个月。截至建仓期结束，本基金各项资产配置比例符合基金合同及招募说明书有关投资比例的约定。</w:t>
      </w:r>
    </w:p>
    <w:p w:rsidR="000C5710" w:rsidRDefault="000C5710" w:rsidP="000C5710">
      <w:pPr>
        <w:pStyle w:val="20"/>
        <w:spacing w:before="29" w:line="288" w:lineRule="auto"/>
        <w:ind w:firstLineChars="0" w:firstLine="0"/>
        <w:rPr>
          <w:rFonts w:ascii="Times New Roman" w:hAnsi="Times New Roman"/>
          <w:color w:val="000000"/>
        </w:rPr>
      </w:pPr>
    </w:p>
    <w:p w:rsidR="000C5710" w:rsidRDefault="000C5710" w:rsidP="000C5710">
      <w:pPr>
        <w:snapToGrid w:val="0"/>
        <w:spacing w:before="29" w:line="288" w:lineRule="auto"/>
        <w:rPr>
          <w:color w:val="000000"/>
          <w:sz w:val="24"/>
        </w:rPr>
      </w:pPr>
      <w:r>
        <w:rPr>
          <w:color w:val="000000"/>
          <w:sz w:val="24"/>
        </w:rPr>
        <w:t>2</w:t>
      </w:r>
      <w:r>
        <w:rPr>
          <w:rFonts w:hint="eastAsia"/>
          <w:color w:val="000000"/>
          <w:sz w:val="24"/>
        </w:rPr>
        <w:t>．交银裕盈纯债债券</w:t>
      </w:r>
      <w:r>
        <w:rPr>
          <w:color w:val="000000"/>
          <w:sz w:val="24"/>
        </w:rPr>
        <w:t>C</w:t>
      </w:r>
    </w:p>
    <w:p w:rsidR="000C5710" w:rsidRDefault="000C5710" w:rsidP="000C5710">
      <w:pPr>
        <w:pStyle w:val="20"/>
        <w:spacing w:before="29" w:line="288" w:lineRule="auto"/>
        <w:ind w:firstLineChars="0" w:firstLine="0"/>
        <w:jc w:val="center"/>
        <w:rPr>
          <w:rFonts w:ascii="Times New Roman" w:eastAsiaTheme="minorEastAsia" w:hAnsi="Times New Roman"/>
          <w:color w:val="000000"/>
        </w:rPr>
      </w:pPr>
      <w:r>
        <w:rPr>
          <w:rFonts w:ascii="Times New Roman" w:eastAsiaTheme="minorEastAsia" w:hAnsi="Times New Roman"/>
          <w:noProof/>
          <w:color w:val="000000"/>
        </w:rPr>
        <w:drawing>
          <wp:inline distT="0" distB="0" distL="0" distR="0" wp14:anchorId="2821B540" wp14:editId="3033214E">
            <wp:extent cx="5734050" cy="3359150"/>
            <wp:effectExtent l="0" t="0" r="0" b="0"/>
            <wp:docPr id="1" name="图片 1"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3359150"/>
                    </a:xfrm>
                    <a:prstGeom prst="rect">
                      <a:avLst/>
                    </a:prstGeom>
                    <a:noFill/>
                    <a:ln>
                      <a:noFill/>
                    </a:ln>
                  </pic:spPr>
                </pic:pic>
              </a:graphicData>
            </a:graphic>
          </wp:inline>
        </w:drawing>
      </w:r>
    </w:p>
    <w:p w:rsidR="000C5710" w:rsidRDefault="000C5710" w:rsidP="000C5710">
      <w:pPr>
        <w:spacing w:before="29" w:line="288" w:lineRule="auto"/>
        <w:ind w:firstLineChars="200" w:firstLine="480"/>
        <w:rPr>
          <w:color w:val="000000"/>
          <w:sz w:val="24"/>
        </w:rPr>
      </w:pPr>
      <w:r>
        <w:rPr>
          <w:rFonts w:hint="eastAsia"/>
          <w:color w:val="000000"/>
          <w:sz w:val="24"/>
        </w:rPr>
        <w:t>注：本基金建仓期为自基金合同生效日起的</w:t>
      </w:r>
      <w:r>
        <w:rPr>
          <w:color w:val="000000"/>
          <w:sz w:val="24"/>
        </w:rPr>
        <w:t>6</w:t>
      </w:r>
      <w:r>
        <w:rPr>
          <w:rFonts w:hint="eastAsia"/>
          <w:color w:val="000000"/>
          <w:sz w:val="24"/>
        </w:rPr>
        <w:t>个月。截至建仓期结束，本基金各项资产配置比例符合基金合同及招募说明书有关投资比例的约定。</w:t>
      </w:r>
    </w:p>
    <w:p w:rsidR="00973B57" w:rsidRPr="000C5710" w:rsidRDefault="00973B57" w:rsidP="007C14DF">
      <w:pPr>
        <w:pStyle w:val="20"/>
        <w:spacing w:before="29" w:line="288" w:lineRule="auto"/>
        <w:ind w:firstLineChars="0" w:firstLine="0"/>
        <w:jc w:val="left"/>
        <w:rPr>
          <w:rFonts w:ascii="Times New Roman" w:eastAsiaTheme="minorEastAsia" w:hAnsi="Times New Roman"/>
          <w:color w:val="000000"/>
        </w:rPr>
      </w:pPr>
      <w:bookmarkStart w:id="0" w:name="_GoBack"/>
      <w:bookmarkEnd w:id="0"/>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36C0D">
        <w:trPr>
          <w:jc w:val="center"/>
        </w:trPr>
        <w:tc>
          <w:tcPr>
            <w:tcW w:w="946" w:type="dxa"/>
            <w:vAlign w:val="center"/>
          </w:tcPr>
          <w:p w:rsidR="00236C0D" w:rsidRDefault="00B12150">
            <w:pPr>
              <w:jc w:val="center"/>
            </w:pPr>
            <w:r>
              <w:rPr>
                <w:color w:val="000000"/>
                <w:sz w:val="24"/>
              </w:rPr>
              <w:t>连端清</w:t>
            </w:r>
          </w:p>
        </w:tc>
        <w:tc>
          <w:tcPr>
            <w:tcW w:w="924" w:type="dxa"/>
            <w:vAlign w:val="center"/>
          </w:tcPr>
          <w:p w:rsidR="00236C0D" w:rsidRDefault="00B12150">
            <w:pPr>
              <w:jc w:val="center"/>
            </w:pPr>
            <w:r>
              <w:rPr>
                <w:color w:val="000000"/>
                <w:sz w:val="24"/>
              </w:rPr>
              <w:t>交银丰盈收益债券、交银活期通货币、交银裕盈纯债债券、交银裕利纯债债券、交银裕惠纯债债券的基金经理</w:t>
            </w:r>
          </w:p>
        </w:tc>
        <w:tc>
          <w:tcPr>
            <w:tcW w:w="1202" w:type="dxa"/>
            <w:vAlign w:val="center"/>
          </w:tcPr>
          <w:p w:rsidR="00236C0D" w:rsidRDefault="00B12150">
            <w:pPr>
              <w:jc w:val="center"/>
            </w:pPr>
            <w:r>
              <w:rPr>
                <w:color w:val="000000"/>
                <w:sz w:val="24"/>
              </w:rPr>
              <w:t>2017-03-31</w:t>
            </w:r>
          </w:p>
        </w:tc>
        <w:tc>
          <w:tcPr>
            <w:tcW w:w="1300" w:type="dxa"/>
            <w:vAlign w:val="center"/>
          </w:tcPr>
          <w:p w:rsidR="00236C0D" w:rsidRDefault="00B12150">
            <w:pPr>
              <w:jc w:val="center"/>
            </w:pPr>
            <w:r>
              <w:rPr>
                <w:color w:val="000000"/>
                <w:sz w:val="24"/>
              </w:rPr>
              <w:t>-</w:t>
            </w:r>
          </w:p>
        </w:tc>
        <w:tc>
          <w:tcPr>
            <w:tcW w:w="1245" w:type="dxa"/>
            <w:vAlign w:val="center"/>
          </w:tcPr>
          <w:p w:rsidR="00236C0D" w:rsidRDefault="00B12150">
            <w:pPr>
              <w:jc w:val="center"/>
            </w:pPr>
            <w:r>
              <w:rPr>
                <w:color w:val="000000"/>
                <w:sz w:val="24"/>
              </w:rPr>
              <w:t>7</w:t>
            </w:r>
            <w:r>
              <w:rPr>
                <w:color w:val="000000"/>
                <w:sz w:val="24"/>
              </w:rPr>
              <w:t>年</w:t>
            </w:r>
          </w:p>
        </w:tc>
        <w:tc>
          <w:tcPr>
            <w:tcW w:w="3251" w:type="dxa"/>
            <w:vAlign w:val="center"/>
          </w:tcPr>
          <w:p w:rsidR="00236C0D" w:rsidRDefault="00B1215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w:t>
            </w:r>
            <w:r>
              <w:rPr>
                <w:color w:val="000000"/>
                <w:sz w:val="24"/>
              </w:rPr>
              <w:t>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w:t>
            </w:r>
            <w:r>
              <w:rPr>
                <w:color w:val="000000"/>
                <w:sz w:val="24"/>
              </w:rPr>
              <w:t>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lastRenderedPageBreak/>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bl>
    <w:p w:rsidR="00236C0D" w:rsidRDefault="00B12150">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36C0D" w:rsidRDefault="00B12150">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36C0D" w:rsidRDefault="00B121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36C0D" w:rsidRDefault="00B121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236C0D" w:rsidRDefault="00B121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36C0D" w:rsidRDefault="00B12150">
      <w:pPr>
        <w:spacing w:before="29" w:line="288" w:lineRule="auto"/>
        <w:ind w:firstLineChars="200" w:firstLine="480"/>
        <w:rPr>
          <w:color w:val="000000"/>
          <w:sz w:val="24"/>
        </w:rPr>
      </w:pPr>
      <w:r>
        <w:rPr>
          <w:color w:val="000000"/>
          <w:sz w:val="24"/>
        </w:rPr>
        <w:t>2020</w:t>
      </w:r>
      <w:r>
        <w:rPr>
          <w:color w:val="000000"/>
          <w:sz w:val="24"/>
        </w:rPr>
        <w:t>年三季度，主要受出口、房地产与基建等驱动，我国经济继续修复。七、八月我国出口继续较快增长，房地产投资维持较高增速，基建投资增速尽管不及预期，但继续为经济增长发挥托底的作用。同时制造业景气度维持向好势头，三季度中采制造业</w:t>
      </w:r>
      <w:r>
        <w:rPr>
          <w:color w:val="000000"/>
          <w:sz w:val="24"/>
        </w:rPr>
        <w:t>PMI</w:t>
      </w:r>
      <w:r>
        <w:rPr>
          <w:color w:val="000000"/>
          <w:sz w:val="24"/>
        </w:rPr>
        <w:t>进一步提升；，消费逐步改善。</w:t>
      </w:r>
      <w:r>
        <w:rPr>
          <w:color w:val="000000"/>
          <w:sz w:val="24"/>
        </w:rPr>
        <w:t>八月社会零售消费总额自新冠疫情爆发以来首次取得正增长，社融新增规模较大，金融条件继续对经济修复提供较大支持。</w:t>
      </w:r>
    </w:p>
    <w:p w:rsidR="00236C0D" w:rsidRDefault="00B12150">
      <w:pPr>
        <w:spacing w:before="29" w:line="288" w:lineRule="auto"/>
        <w:ind w:firstLineChars="200" w:firstLine="480"/>
        <w:rPr>
          <w:color w:val="000000"/>
          <w:sz w:val="24"/>
        </w:rPr>
      </w:pPr>
      <w:r>
        <w:rPr>
          <w:color w:val="000000"/>
          <w:sz w:val="24"/>
        </w:rPr>
        <w:t>货币政策方面，三季度鉴于国内经济逐步修复及资金空转套利等问题，央行货币政策向中性回归，公开市场操作趋于谨慎。尽管三季度央行公开市场净投放</w:t>
      </w:r>
      <w:r>
        <w:rPr>
          <w:color w:val="000000"/>
          <w:sz w:val="24"/>
        </w:rPr>
        <w:t>3723</w:t>
      </w:r>
      <w:r>
        <w:rPr>
          <w:color w:val="000000"/>
          <w:sz w:val="24"/>
        </w:rPr>
        <w:t>亿，但是政府债券发行在</w:t>
      </w:r>
      <w:r>
        <w:rPr>
          <w:color w:val="000000"/>
          <w:sz w:val="24"/>
        </w:rPr>
        <w:t>4</w:t>
      </w:r>
      <w:r>
        <w:rPr>
          <w:color w:val="000000"/>
          <w:sz w:val="24"/>
        </w:rPr>
        <w:t>万亿以上。资金面上，受央行公开市场操作谨慎，政府债券发行量较大，银行超储率较低及结构性存款压降等因素影响，银行间市场资金面波动显著放大，货币市场利率中枢上移。三季度</w:t>
      </w:r>
      <w:r>
        <w:rPr>
          <w:color w:val="000000"/>
          <w:sz w:val="24"/>
        </w:rPr>
        <w:t>R001</w:t>
      </w:r>
      <w:r>
        <w:rPr>
          <w:color w:val="000000"/>
          <w:sz w:val="24"/>
        </w:rPr>
        <w:t>均值较二季度上升</w:t>
      </w:r>
      <w:r>
        <w:rPr>
          <w:color w:val="000000"/>
          <w:sz w:val="24"/>
        </w:rPr>
        <w:t>48</w:t>
      </w:r>
      <w:r>
        <w:rPr>
          <w:color w:val="000000"/>
          <w:sz w:val="24"/>
        </w:rPr>
        <w:t>个</w:t>
      </w:r>
      <w:r>
        <w:rPr>
          <w:color w:val="000000"/>
          <w:sz w:val="24"/>
        </w:rPr>
        <w:t>BP</w:t>
      </w:r>
      <w:r>
        <w:rPr>
          <w:color w:val="000000"/>
          <w:sz w:val="24"/>
        </w:rPr>
        <w:t>左右。三季度存单存款收益率持续回升，</w:t>
      </w:r>
      <w:r>
        <w:rPr>
          <w:color w:val="000000"/>
          <w:sz w:val="24"/>
        </w:rPr>
        <w:t>三个月股份行存单收益率三季度均值较二季度上升</w:t>
      </w:r>
      <w:r>
        <w:rPr>
          <w:color w:val="000000"/>
          <w:sz w:val="24"/>
        </w:rPr>
        <w:t>90</w:t>
      </w:r>
      <w:r>
        <w:rPr>
          <w:color w:val="000000"/>
          <w:sz w:val="24"/>
        </w:rPr>
        <w:t>个</w:t>
      </w:r>
      <w:r>
        <w:rPr>
          <w:color w:val="000000"/>
          <w:sz w:val="24"/>
        </w:rPr>
        <w:t>BP</w:t>
      </w:r>
      <w:r>
        <w:rPr>
          <w:color w:val="000000"/>
          <w:sz w:val="24"/>
        </w:rPr>
        <w:t>以上。由于国内经济改善超预期，利率债供给较大，央行货币政策宽松预期落空，资金价格中枢不断回升以及股市波动等影响，三季度债市整体上依然处于下跌通道之中。七月上旬，股市大幅上涨引发债市大幅回调，至中下旬股市走弱，叠加中美外交冲突加剧，债市迎来一波反弹行情。但是在上述多重利空因素冲击下，八月以来利率债基本上处于跌跌不休的状态中。三季度末十年期国债</w:t>
      </w:r>
      <w:r>
        <w:rPr>
          <w:color w:val="000000"/>
          <w:sz w:val="24"/>
        </w:rPr>
        <w:t>YTM</w:t>
      </w:r>
      <w:r>
        <w:rPr>
          <w:color w:val="000000"/>
          <w:sz w:val="24"/>
        </w:rPr>
        <w:t>较二季度末上升</w:t>
      </w:r>
      <w:r>
        <w:rPr>
          <w:color w:val="000000"/>
          <w:sz w:val="24"/>
        </w:rPr>
        <w:t>30</w:t>
      </w:r>
      <w:r>
        <w:rPr>
          <w:color w:val="000000"/>
          <w:sz w:val="24"/>
        </w:rPr>
        <w:t>个</w:t>
      </w:r>
      <w:r>
        <w:rPr>
          <w:color w:val="000000"/>
          <w:sz w:val="24"/>
        </w:rPr>
        <w:t>BP</w:t>
      </w:r>
      <w:r>
        <w:rPr>
          <w:color w:val="000000"/>
          <w:sz w:val="24"/>
        </w:rPr>
        <w:t>以上。</w:t>
      </w:r>
    </w:p>
    <w:p w:rsidR="00236C0D" w:rsidRDefault="00B12150">
      <w:pPr>
        <w:spacing w:before="29" w:line="288" w:lineRule="auto"/>
        <w:ind w:firstLineChars="200" w:firstLine="480"/>
        <w:rPr>
          <w:color w:val="000000"/>
          <w:sz w:val="24"/>
        </w:rPr>
      </w:pPr>
      <w:r>
        <w:rPr>
          <w:color w:val="000000"/>
          <w:sz w:val="24"/>
        </w:rPr>
        <w:t>基金操作方面，三季度本基金继续降低组合久期，调整组合持仓品种结构，在市场回调中</w:t>
      </w:r>
      <w:r>
        <w:rPr>
          <w:color w:val="000000"/>
          <w:sz w:val="24"/>
        </w:rPr>
        <w:t>努力控制风险。</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四季度，国内经济整体上继续修复的概率更大一些，但房地产等领域走弱的风险也在上升，同时疫苗的进展可能提振经济改善的信心。四季度美国总统大选及其对全球政治与经济的影响，值得关注。鉴于内外形势的不确定性，预计短期内人行货币政策整体上维持中性格局的概率较大。我们将密切关注央行货币政策操作边际上的变化以及疫情防控与疫苗研发进展。组合管理方面，本基金将跟踪研判宏观经济走势与央行货币政策操作，保持较好的流动性，把握市场波动机会，控制风险，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545,915,575.30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545,915,575.30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96.76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7,000,130.50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1,614,311.36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9,677,656.82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564,207,673.98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545,915,575.30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96.82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323,659,575.30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57.40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545,915,575.30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36C0D">
        <w:trPr>
          <w:jc w:val="center"/>
        </w:trPr>
        <w:tc>
          <w:tcPr>
            <w:tcW w:w="1075" w:type="dxa"/>
            <w:vAlign w:val="center"/>
          </w:tcPr>
          <w:p w:rsidR="00236C0D" w:rsidRDefault="00B12150">
            <w:pPr>
              <w:jc w:val="center"/>
            </w:pPr>
            <w:r>
              <w:rPr>
                <w:color w:val="000000"/>
                <w:sz w:val="24"/>
              </w:rPr>
              <w:t>1</w:t>
            </w:r>
          </w:p>
        </w:tc>
        <w:tc>
          <w:tcPr>
            <w:tcW w:w="1533" w:type="dxa"/>
            <w:vAlign w:val="center"/>
          </w:tcPr>
          <w:p w:rsidR="00236C0D" w:rsidRDefault="00B12150">
            <w:pPr>
              <w:jc w:val="center"/>
            </w:pPr>
            <w:r>
              <w:rPr>
                <w:color w:val="000000"/>
                <w:sz w:val="24"/>
              </w:rPr>
              <w:t>190207</w:t>
            </w:r>
          </w:p>
        </w:tc>
        <w:tc>
          <w:tcPr>
            <w:tcW w:w="1533" w:type="dxa"/>
            <w:vAlign w:val="center"/>
          </w:tcPr>
          <w:p w:rsidR="00236C0D" w:rsidRDefault="00B12150">
            <w:pPr>
              <w:jc w:val="center"/>
            </w:pPr>
            <w:r>
              <w:rPr>
                <w:color w:val="000000"/>
                <w:sz w:val="24"/>
              </w:rPr>
              <w:t>19</w:t>
            </w:r>
            <w:r>
              <w:rPr>
                <w:color w:val="000000"/>
                <w:sz w:val="24"/>
              </w:rPr>
              <w:t>国开</w:t>
            </w:r>
            <w:r>
              <w:rPr>
                <w:color w:val="000000"/>
                <w:sz w:val="24"/>
              </w:rPr>
              <w:t>07</w:t>
            </w:r>
          </w:p>
        </w:tc>
        <w:tc>
          <w:tcPr>
            <w:tcW w:w="1394" w:type="dxa"/>
            <w:vAlign w:val="center"/>
          </w:tcPr>
          <w:p w:rsidR="00236C0D" w:rsidRDefault="00B12150">
            <w:pPr>
              <w:jc w:val="right"/>
            </w:pPr>
            <w:r>
              <w:rPr>
                <w:color w:val="000000"/>
                <w:sz w:val="24"/>
              </w:rPr>
              <w:t>800,000</w:t>
            </w:r>
          </w:p>
        </w:tc>
        <w:tc>
          <w:tcPr>
            <w:tcW w:w="1944" w:type="dxa"/>
            <w:vAlign w:val="center"/>
          </w:tcPr>
          <w:p w:rsidR="00236C0D" w:rsidRDefault="00B12150">
            <w:pPr>
              <w:jc w:val="right"/>
            </w:pPr>
            <w:r>
              <w:rPr>
                <w:color w:val="000000"/>
                <w:sz w:val="24"/>
              </w:rPr>
              <w:t>80,024,000.00</w:t>
            </w:r>
          </w:p>
        </w:tc>
        <w:tc>
          <w:tcPr>
            <w:tcW w:w="1389" w:type="dxa"/>
            <w:vAlign w:val="center"/>
          </w:tcPr>
          <w:p w:rsidR="00236C0D" w:rsidRDefault="00B12150">
            <w:pPr>
              <w:jc w:val="right"/>
            </w:pPr>
            <w:r>
              <w:rPr>
                <w:color w:val="000000"/>
                <w:sz w:val="24"/>
              </w:rPr>
              <w:t>14.19</w:t>
            </w:r>
          </w:p>
        </w:tc>
      </w:tr>
      <w:tr w:rsidR="00236C0D">
        <w:trPr>
          <w:jc w:val="center"/>
        </w:trPr>
        <w:tc>
          <w:tcPr>
            <w:tcW w:w="1075" w:type="dxa"/>
            <w:vAlign w:val="center"/>
          </w:tcPr>
          <w:p w:rsidR="00236C0D" w:rsidRDefault="00B12150">
            <w:pPr>
              <w:jc w:val="center"/>
            </w:pPr>
            <w:r>
              <w:rPr>
                <w:color w:val="000000"/>
                <w:sz w:val="24"/>
              </w:rPr>
              <w:t>2</w:t>
            </w:r>
          </w:p>
        </w:tc>
        <w:tc>
          <w:tcPr>
            <w:tcW w:w="1533" w:type="dxa"/>
            <w:vAlign w:val="center"/>
          </w:tcPr>
          <w:p w:rsidR="00236C0D" w:rsidRDefault="00B12150">
            <w:pPr>
              <w:jc w:val="center"/>
            </w:pPr>
            <w:r>
              <w:rPr>
                <w:color w:val="000000"/>
                <w:sz w:val="24"/>
              </w:rPr>
              <w:t>1828016</w:t>
            </w:r>
          </w:p>
        </w:tc>
        <w:tc>
          <w:tcPr>
            <w:tcW w:w="1533" w:type="dxa"/>
            <w:vAlign w:val="center"/>
          </w:tcPr>
          <w:p w:rsidR="00236C0D" w:rsidRDefault="00B12150">
            <w:pPr>
              <w:jc w:val="center"/>
            </w:pPr>
            <w:r>
              <w:rPr>
                <w:color w:val="000000"/>
                <w:sz w:val="24"/>
              </w:rPr>
              <w:t>18</w:t>
            </w:r>
            <w:r>
              <w:rPr>
                <w:color w:val="000000"/>
                <w:sz w:val="24"/>
              </w:rPr>
              <w:t>民生银行</w:t>
            </w:r>
            <w:r>
              <w:rPr>
                <w:color w:val="000000"/>
                <w:sz w:val="24"/>
              </w:rPr>
              <w:t>01</w:t>
            </w:r>
          </w:p>
        </w:tc>
        <w:tc>
          <w:tcPr>
            <w:tcW w:w="1394" w:type="dxa"/>
            <w:vAlign w:val="center"/>
          </w:tcPr>
          <w:p w:rsidR="00236C0D" w:rsidRDefault="00B12150">
            <w:pPr>
              <w:jc w:val="right"/>
            </w:pPr>
            <w:r>
              <w:rPr>
                <w:color w:val="000000"/>
                <w:sz w:val="24"/>
              </w:rPr>
              <w:t>500,000</w:t>
            </w:r>
          </w:p>
        </w:tc>
        <w:tc>
          <w:tcPr>
            <w:tcW w:w="1944" w:type="dxa"/>
            <w:vAlign w:val="center"/>
          </w:tcPr>
          <w:p w:rsidR="00236C0D" w:rsidRDefault="00B12150">
            <w:pPr>
              <w:jc w:val="right"/>
            </w:pPr>
            <w:r>
              <w:rPr>
                <w:color w:val="000000"/>
                <w:sz w:val="24"/>
              </w:rPr>
              <w:t>50,665,000.00</w:t>
            </w:r>
          </w:p>
        </w:tc>
        <w:tc>
          <w:tcPr>
            <w:tcW w:w="1389" w:type="dxa"/>
            <w:vAlign w:val="center"/>
          </w:tcPr>
          <w:p w:rsidR="00236C0D" w:rsidRDefault="00B12150">
            <w:pPr>
              <w:jc w:val="right"/>
            </w:pPr>
            <w:r>
              <w:rPr>
                <w:color w:val="000000"/>
                <w:sz w:val="24"/>
              </w:rPr>
              <w:t>8.99</w:t>
            </w:r>
          </w:p>
        </w:tc>
      </w:tr>
      <w:tr w:rsidR="00236C0D">
        <w:trPr>
          <w:jc w:val="center"/>
        </w:trPr>
        <w:tc>
          <w:tcPr>
            <w:tcW w:w="1075" w:type="dxa"/>
            <w:vAlign w:val="center"/>
          </w:tcPr>
          <w:p w:rsidR="00236C0D" w:rsidRDefault="00B12150">
            <w:pPr>
              <w:jc w:val="center"/>
            </w:pPr>
            <w:r>
              <w:rPr>
                <w:color w:val="000000"/>
                <w:sz w:val="24"/>
              </w:rPr>
              <w:t>3</w:t>
            </w:r>
          </w:p>
        </w:tc>
        <w:tc>
          <w:tcPr>
            <w:tcW w:w="1533" w:type="dxa"/>
            <w:vAlign w:val="center"/>
          </w:tcPr>
          <w:p w:rsidR="00236C0D" w:rsidRDefault="00B12150">
            <w:pPr>
              <w:jc w:val="center"/>
            </w:pPr>
            <w:r>
              <w:rPr>
                <w:color w:val="000000"/>
                <w:sz w:val="24"/>
              </w:rPr>
              <w:t>1820086</w:t>
            </w:r>
          </w:p>
        </w:tc>
        <w:tc>
          <w:tcPr>
            <w:tcW w:w="1533" w:type="dxa"/>
            <w:vAlign w:val="center"/>
          </w:tcPr>
          <w:p w:rsidR="00236C0D" w:rsidRDefault="00B12150">
            <w:pPr>
              <w:jc w:val="center"/>
            </w:pPr>
            <w:r>
              <w:rPr>
                <w:color w:val="000000"/>
                <w:sz w:val="24"/>
              </w:rPr>
              <w:t>18</w:t>
            </w:r>
            <w:r>
              <w:rPr>
                <w:color w:val="000000"/>
                <w:sz w:val="24"/>
              </w:rPr>
              <w:t>厦门国际银行</w:t>
            </w:r>
          </w:p>
        </w:tc>
        <w:tc>
          <w:tcPr>
            <w:tcW w:w="1394" w:type="dxa"/>
            <w:vAlign w:val="center"/>
          </w:tcPr>
          <w:p w:rsidR="00236C0D" w:rsidRDefault="00B12150">
            <w:pPr>
              <w:jc w:val="right"/>
            </w:pPr>
            <w:r>
              <w:rPr>
                <w:color w:val="000000"/>
                <w:sz w:val="24"/>
              </w:rPr>
              <w:t>500,000</w:t>
            </w:r>
          </w:p>
        </w:tc>
        <w:tc>
          <w:tcPr>
            <w:tcW w:w="1944" w:type="dxa"/>
            <w:vAlign w:val="center"/>
          </w:tcPr>
          <w:p w:rsidR="00236C0D" w:rsidRDefault="00B12150">
            <w:pPr>
              <w:jc w:val="right"/>
            </w:pPr>
            <w:r>
              <w:rPr>
                <w:color w:val="000000"/>
                <w:sz w:val="24"/>
              </w:rPr>
              <w:t>50,580,000.00</w:t>
            </w:r>
          </w:p>
        </w:tc>
        <w:tc>
          <w:tcPr>
            <w:tcW w:w="1389" w:type="dxa"/>
            <w:vAlign w:val="center"/>
          </w:tcPr>
          <w:p w:rsidR="00236C0D" w:rsidRDefault="00B12150">
            <w:pPr>
              <w:jc w:val="right"/>
            </w:pPr>
            <w:r>
              <w:rPr>
                <w:color w:val="000000"/>
                <w:sz w:val="24"/>
              </w:rPr>
              <w:t>8.97</w:t>
            </w:r>
          </w:p>
        </w:tc>
      </w:tr>
      <w:tr w:rsidR="00236C0D">
        <w:trPr>
          <w:jc w:val="center"/>
        </w:trPr>
        <w:tc>
          <w:tcPr>
            <w:tcW w:w="1075" w:type="dxa"/>
            <w:vAlign w:val="center"/>
          </w:tcPr>
          <w:p w:rsidR="00236C0D" w:rsidRDefault="00B12150">
            <w:pPr>
              <w:jc w:val="center"/>
            </w:pPr>
            <w:r>
              <w:rPr>
                <w:color w:val="000000"/>
                <w:sz w:val="24"/>
              </w:rPr>
              <w:t>4</w:t>
            </w:r>
          </w:p>
        </w:tc>
        <w:tc>
          <w:tcPr>
            <w:tcW w:w="1533" w:type="dxa"/>
            <w:vAlign w:val="center"/>
          </w:tcPr>
          <w:p w:rsidR="00236C0D" w:rsidRDefault="00B12150">
            <w:pPr>
              <w:jc w:val="center"/>
            </w:pPr>
            <w:r>
              <w:rPr>
                <w:color w:val="000000"/>
                <w:sz w:val="24"/>
              </w:rPr>
              <w:t>190403</w:t>
            </w:r>
          </w:p>
        </w:tc>
        <w:tc>
          <w:tcPr>
            <w:tcW w:w="1533" w:type="dxa"/>
            <w:vAlign w:val="center"/>
          </w:tcPr>
          <w:p w:rsidR="00236C0D" w:rsidRDefault="00B12150">
            <w:pPr>
              <w:jc w:val="center"/>
            </w:pPr>
            <w:r>
              <w:rPr>
                <w:color w:val="000000"/>
                <w:sz w:val="24"/>
              </w:rPr>
              <w:t>19</w:t>
            </w:r>
            <w:r>
              <w:rPr>
                <w:color w:val="000000"/>
                <w:sz w:val="24"/>
              </w:rPr>
              <w:t>农发</w:t>
            </w:r>
            <w:r>
              <w:rPr>
                <w:color w:val="000000"/>
                <w:sz w:val="24"/>
              </w:rPr>
              <w:t>03</w:t>
            </w:r>
          </w:p>
        </w:tc>
        <w:tc>
          <w:tcPr>
            <w:tcW w:w="1394" w:type="dxa"/>
            <w:vAlign w:val="center"/>
          </w:tcPr>
          <w:p w:rsidR="00236C0D" w:rsidRDefault="00B12150">
            <w:pPr>
              <w:jc w:val="right"/>
            </w:pPr>
            <w:r>
              <w:rPr>
                <w:color w:val="000000"/>
                <w:sz w:val="24"/>
              </w:rPr>
              <w:t>500,000</w:t>
            </w:r>
          </w:p>
        </w:tc>
        <w:tc>
          <w:tcPr>
            <w:tcW w:w="1944" w:type="dxa"/>
            <w:vAlign w:val="center"/>
          </w:tcPr>
          <w:p w:rsidR="00236C0D" w:rsidRDefault="00B12150">
            <w:pPr>
              <w:jc w:val="right"/>
            </w:pPr>
            <w:r>
              <w:rPr>
                <w:color w:val="000000"/>
                <w:sz w:val="24"/>
              </w:rPr>
              <w:t>50,090,000.00</w:t>
            </w:r>
          </w:p>
        </w:tc>
        <w:tc>
          <w:tcPr>
            <w:tcW w:w="1389" w:type="dxa"/>
            <w:vAlign w:val="center"/>
          </w:tcPr>
          <w:p w:rsidR="00236C0D" w:rsidRDefault="00B12150">
            <w:pPr>
              <w:jc w:val="right"/>
            </w:pPr>
            <w:r>
              <w:rPr>
                <w:color w:val="000000"/>
                <w:sz w:val="24"/>
              </w:rPr>
              <w:t>8.88</w:t>
            </w:r>
          </w:p>
        </w:tc>
      </w:tr>
      <w:tr w:rsidR="00236C0D">
        <w:trPr>
          <w:jc w:val="center"/>
        </w:trPr>
        <w:tc>
          <w:tcPr>
            <w:tcW w:w="1075" w:type="dxa"/>
            <w:vAlign w:val="center"/>
          </w:tcPr>
          <w:p w:rsidR="00236C0D" w:rsidRDefault="00B12150">
            <w:pPr>
              <w:jc w:val="center"/>
            </w:pPr>
            <w:r>
              <w:rPr>
                <w:color w:val="000000"/>
                <w:sz w:val="24"/>
              </w:rPr>
              <w:lastRenderedPageBreak/>
              <w:t>5</w:t>
            </w:r>
          </w:p>
        </w:tc>
        <w:tc>
          <w:tcPr>
            <w:tcW w:w="1533" w:type="dxa"/>
            <w:vAlign w:val="center"/>
          </w:tcPr>
          <w:p w:rsidR="00236C0D" w:rsidRDefault="00B12150">
            <w:pPr>
              <w:jc w:val="center"/>
            </w:pPr>
            <w:r>
              <w:rPr>
                <w:color w:val="000000"/>
                <w:sz w:val="24"/>
              </w:rPr>
              <w:t>190203</w:t>
            </w:r>
          </w:p>
        </w:tc>
        <w:tc>
          <w:tcPr>
            <w:tcW w:w="1533" w:type="dxa"/>
            <w:vAlign w:val="center"/>
          </w:tcPr>
          <w:p w:rsidR="00236C0D" w:rsidRDefault="00B12150">
            <w:pPr>
              <w:jc w:val="center"/>
            </w:pPr>
            <w:r>
              <w:rPr>
                <w:color w:val="000000"/>
                <w:sz w:val="24"/>
              </w:rPr>
              <w:t>19</w:t>
            </w:r>
            <w:r>
              <w:rPr>
                <w:color w:val="000000"/>
                <w:sz w:val="24"/>
              </w:rPr>
              <w:t>国开</w:t>
            </w:r>
            <w:r>
              <w:rPr>
                <w:color w:val="000000"/>
                <w:sz w:val="24"/>
              </w:rPr>
              <w:t>03</w:t>
            </w:r>
          </w:p>
        </w:tc>
        <w:tc>
          <w:tcPr>
            <w:tcW w:w="1394" w:type="dxa"/>
            <w:vAlign w:val="center"/>
          </w:tcPr>
          <w:p w:rsidR="00236C0D" w:rsidRDefault="00B12150">
            <w:pPr>
              <w:jc w:val="right"/>
            </w:pPr>
            <w:r>
              <w:rPr>
                <w:color w:val="000000"/>
                <w:sz w:val="24"/>
              </w:rPr>
              <w:t>500,000</w:t>
            </w:r>
          </w:p>
        </w:tc>
        <w:tc>
          <w:tcPr>
            <w:tcW w:w="1944" w:type="dxa"/>
            <w:vAlign w:val="center"/>
          </w:tcPr>
          <w:p w:rsidR="00236C0D" w:rsidRDefault="00B12150">
            <w:pPr>
              <w:jc w:val="right"/>
            </w:pPr>
            <w:r>
              <w:rPr>
                <w:color w:val="000000"/>
                <w:sz w:val="24"/>
              </w:rPr>
              <w:t>49,840,000.00</w:t>
            </w:r>
          </w:p>
        </w:tc>
        <w:tc>
          <w:tcPr>
            <w:tcW w:w="1389" w:type="dxa"/>
            <w:vAlign w:val="center"/>
          </w:tcPr>
          <w:p w:rsidR="00236C0D" w:rsidRDefault="00B12150">
            <w:pPr>
              <w:jc w:val="right"/>
            </w:pPr>
            <w:r>
              <w:rPr>
                <w:color w:val="000000"/>
                <w:sz w:val="24"/>
              </w:rPr>
              <w:t>8.84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1,881.22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9,662,571.78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13,203.82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9,677,656.82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522,470,620.75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813,778.23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720,664.25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103,553.02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10,670,307.42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488,770.49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512,520,977.58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428,560.76</w:t>
            </w:r>
          </w:p>
        </w:tc>
      </w:tr>
    </w:tbl>
    <w:p w:rsidR="00236C0D" w:rsidRDefault="00B1215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lastRenderedPageBreak/>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36C0D">
        <w:tc>
          <w:tcPr>
            <w:tcW w:w="992" w:type="dxa"/>
            <w:vMerge w:val="restart"/>
          </w:tcPr>
          <w:p w:rsidR="00236C0D" w:rsidRDefault="00236C0D"/>
          <w:p w:rsidR="00236C0D" w:rsidRDefault="00B12150">
            <w:r>
              <w:rPr>
                <w:rFonts w:ascii="宋体" w:hAnsi="宋体" w:hint="eastAsia"/>
                <w:bCs/>
                <w:color w:val="000000"/>
                <w:kern w:val="0"/>
                <w:szCs w:val="21"/>
              </w:rPr>
              <w:t>机构</w:t>
            </w:r>
          </w:p>
        </w:tc>
        <w:tc>
          <w:tcPr>
            <w:tcW w:w="991" w:type="dxa"/>
            <w:vAlign w:val="center"/>
          </w:tcPr>
          <w:p w:rsidR="00236C0D" w:rsidRDefault="00B12150">
            <w:pPr>
              <w:jc w:val="center"/>
            </w:pPr>
            <w:r>
              <w:rPr>
                <w:rFonts w:ascii="宋体" w:hAnsi="宋体" w:hint="eastAsia"/>
                <w:color w:val="000000"/>
                <w:kern w:val="0"/>
                <w:szCs w:val="21"/>
              </w:rPr>
              <w:t>1</w:t>
            </w:r>
          </w:p>
        </w:tc>
        <w:tc>
          <w:tcPr>
            <w:tcW w:w="1843" w:type="dxa"/>
            <w:vAlign w:val="center"/>
          </w:tcPr>
          <w:p w:rsidR="00236C0D" w:rsidRDefault="00B12150">
            <w:pPr>
              <w:jc w:val="center"/>
            </w:pPr>
            <w:r>
              <w:rPr>
                <w:rFonts w:ascii="宋体" w:hAnsi="宋体" w:hint="eastAsia"/>
                <w:color w:val="000000"/>
                <w:kern w:val="0"/>
                <w:szCs w:val="21"/>
              </w:rPr>
              <w:t>2020/7/1-2020/9/30</w:t>
            </w:r>
          </w:p>
        </w:tc>
        <w:tc>
          <w:tcPr>
            <w:tcW w:w="851" w:type="dxa"/>
            <w:vAlign w:val="center"/>
          </w:tcPr>
          <w:p w:rsidR="00236C0D" w:rsidRDefault="00B12150">
            <w:pPr>
              <w:jc w:val="center"/>
            </w:pPr>
            <w:r>
              <w:rPr>
                <w:rFonts w:ascii="宋体" w:hAnsi="宋体" w:hint="eastAsia"/>
                <w:color w:val="000000"/>
                <w:kern w:val="0"/>
                <w:szCs w:val="21"/>
              </w:rPr>
              <w:t>496,820,252.99</w:t>
            </w:r>
          </w:p>
        </w:tc>
        <w:tc>
          <w:tcPr>
            <w:tcW w:w="850" w:type="dxa"/>
            <w:vAlign w:val="center"/>
          </w:tcPr>
          <w:p w:rsidR="00236C0D" w:rsidRDefault="00B12150">
            <w:pPr>
              <w:jc w:val="center"/>
            </w:pPr>
            <w:r>
              <w:rPr>
                <w:rFonts w:ascii="宋体" w:hAnsi="宋体" w:hint="eastAsia"/>
                <w:color w:val="000000"/>
                <w:kern w:val="0"/>
                <w:szCs w:val="21"/>
              </w:rPr>
              <w:t>-</w:t>
            </w:r>
          </w:p>
        </w:tc>
        <w:tc>
          <w:tcPr>
            <w:tcW w:w="1134" w:type="dxa"/>
            <w:vAlign w:val="center"/>
          </w:tcPr>
          <w:p w:rsidR="00236C0D" w:rsidRDefault="00B12150">
            <w:pPr>
              <w:jc w:val="center"/>
            </w:pPr>
            <w:r>
              <w:rPr>
                <w:rFonts w:ascii="宋体" w:hAnsi="宋体" w:hint="eastAsia"/>
                <w:color w:val="000000"/>
                <w:kern w:val="0"/>
                <w:szCs w:val="21"/>
              </w:rPr>
              <w:t>-</w:t>
            </w:r>
          </w:p>
        </w:tc>
        <w:tc>
          <w:tcPr>
            <w:tcW w:w="1419" w:type="dxa"/>
            <w:vAlign w:val="center"/>
          </w:tcPr>
          <w:p w:rsidR="00236C0D" w:rsidRDefault="00B12150">
            <w:pPr>
              <w:jc w:val="center"/>
            </w:pPr>
            <w:r>
              <w:rPr>
                <w:rFonts w:ascii="宋体" w:hAnsi="宋体" w:hint="eastAsia"/>
                <w:color w:val="000000"/>
                <w:kern w:val="0"/>
                <w:szCs w:val="21"/>
              </w:rPr>
              <w:t>496,820,252.99</w:t>
            </w:r>
          </w:p>
        </w:tc>
        <w:tc>
          <w:tcPr>
            <w:tcW w:w="1130" w:type="dxa"/>
            <w:vAlign w:val="center"/>
          </w:tcPr>
          <w:p w:rsidR="00236C0D" w:rsidRDefault="00B12150">
            <w:pPr>
              <w:jc w:val="center"/>
            </w:pPr>
            <w:r>
              <w:rPr>
                <w:rFonts w:ascii="宋体" w:hAnsi="宋体" w:hint="eastAsia"/>
                <w:color w:val="000000"/>
                <w:kern w:val="0"/>
                <w:szCs w:val="21"/>
              </w:rPr>
              <w:t>96.86%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236C0D" w:rsidRDefault="00B1215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w:t>
      </w:r>
      <w:r>
        <w:rPr>
          <w:rFonts w:eastAsiaTheme="minorEastAsia"/>
          <w:color w:val="000000"/>
          <w:sz w:val="24"/>
        </w:rPr>
        <w:t>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lastRenderedPageBreak/>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50" w:rsidRDefault="00B12150">
      <w:r>
        <w:separator/>
      </w:r>
    </w:p>
  </w:endnote>
  <w:endnote w:type="continuationSeparator" w:id="0">
    <w:p w:rsidR="00B12150" w:rsidRDefault="00B12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D3CEA">
      <w:rPr>
        <w:noProof/>
        <w:kern w:val="0"/>
        <w:szCs w:val="21"/>
      </w:rPr>
      <w:t>5</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D3CEA">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50" w:rsidRDefault="00B12150">
      <w:r>
        <w:separator/>
      </w:r>
    </w:p>
  </w:footnote>
  <w:footnote w:type="continuationSeparator" w:id="0">
    <w:p w:rsidR="00B12150" w:rsidRDefault="00B12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710"/>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36C0D"/>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5FB2"/>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68B"/>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3CEA"/>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2150"/>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4637-A5B5-4145-9A96-957B60FF0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255</TotalTime>
  <Pages>14</Pages>
  <Words>1203</Words>
  <Characters>6859</Characters>
  <Application>Microsoft Office Word</Application>
  <DocSecurity>0</DocSecurity>
  <Lines>57</Lines>
  <Paragraphs>16</Paragraphs>
  <ScaleCrop>false</ScaleCrop>
  <Company>TRT. Ltd. Co.</Company>
  <LinksUpToDate>false</LinksUpToDate>
  <CharactersWithSpaces>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408</cp:revision>
  <cp:lastPrinted>2007-07-19T00:46:00Z</cp:lastPrinted>
  <dcterms:created xsi:type="dcterms:W3CDTF">2014-01-17T06:19:00Z</dcterms:created>
  <dcterms:modified xsi:type="dcterms:W3CDTF">2020-10-26T01:47:00Z</dcterms:modified>
</cp:coreProperties>
</file>