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703,145,645.84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xml:space="preserve">本基金在控制风险并保持基金资产良好的流动性的前提下，力争为投资者提供长期稳健的投资回报。  </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519768</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541,470,293.97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161,675,351.87</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交银优选回报灵活配置混合A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交银优选回报灵活配置混合C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51,398,063.64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6,297,697.38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55,557,488.57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4,548,436.75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0.0805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0.0466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696,319,506.87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206,170,331.96</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1.286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1.275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交银优选回报灵活配置混合A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6.63%</w:t>
            </w:r>
          </w:p>
        </w:tc>
        <w:tc>
          <w:tcPr>
            <w:vAlign w:val="center"/>
          </w:tcPr>
          <w:p>
            <w:pPr>
              <w:jc w:val="center"/>
            </w:pPr>
            <w:r>
              <w:rPr>
                <w:color w:val="000000"/>
                <w:sz w:val="24"/>
              </w:rPr>
              <w:t>0.30%</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2.21%</w:t>
            </w:r>
          </w:p>
        </w:tc>
        <w:tc>
          <w:tcPr>
            <w:vAlign w:val="center"/>
          </w:tcPr>
          <w:p>
            <w:pPr>
              <w:jc w:val="center"/>
            </w:pPr>
            <w:r>
              <w:rPr>
                <w:color w:val="000000"/>
                <w:sz w:val="24"/>
              </w:rPr>
              <w:t>-0.49%</w:t>
            </w:r>
          </w:p>
        </w:tc>
      </w:tr>
      <w:tr>
        <w:tc>
          <w:tcPr>
            <w:vAlign w:val="center"/>
          </w:tcPr>
          <w:p>
            <w:pPr>
              <w:jc w:val="left"/>
            </w:pPr>
            <w:r>
              <w:rPr>
                <w:color w:val="000000"/>
                <w:sz w:val="24"/>
              </w:rPr>
              <w:t>过去六个月</w:t>
            </w:r>
          </w:p>
        </w:tc>
        <w:tc>
          <w:tcPr>
            <w:vAlign w:val="center"/>
          </w:tcPr>
          <w:p>
            <w:pPr>
              <w:jc w:val="center"/>
            </w:pPr>
            <w:r>
              <w:rPr>
                <w:color w:val="000000"/>
                <w:sz w:val="24"/>
              </w:rPr>
              <w:t>8.98%</w:t>
            </w:r>
          </w:p>
        </w:tc>
        <w:tc>
          <w:tcPr>
            <w:vAlign w:val="center"/>
          </w:tcPr>
          <w:p>
            <w:pPr>
              <w:jc w:val="center"/>
            </w:pPr>
            <w:r>
              <w:rPr>
                <w:color w:val="000000"/>
                <w:sz w:val="24"/>
              </w:rPr>
              <w:t>0.24%</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-1.49%</w:t>
            </w:r>
          </w:p>
        </w:tc>
        <w:tc>
          <w:tcPr>
            <w:vAlign w:val="center"/>
          </w:tcPr>
          <w:p>
            <w:pPr>
              <w:jc w:val="center"/>
            </w:pPr>
            <w:r>
              <w:rPr>
                <w:color w:val="000000"/>
                <w:sz w:val="24"/>
              </w:rPr>
              <w:t>-0.41%</w:t>
            </w:r>
          </w:p>
        </w:tc>
      </w:tr>
      <w:tr>
        <w:tc>
          <w:tcPr>
            <w:vAlign w:val="center"/>
          </w:tcPr>
          <w:p>
            <w:pPr>
              <w:jc w:val="left"/>
            </w:pPr>
            <w:r>
              <w:rPr>
                <w:color w:val="000000"/>
                <w:sz w:val="24"/>
              </w:rPr>
              <w:t>过去一年</w:t>
            </w:r>
          </w:p>
        </w:tc>
        <w:tc>
          <w:tcPr>
            <w:vAlign w:val="center"/>
          </w:tcPr>
          <w:p>
            <w:pPr>
              <w:jc w:val="center"/>
            </w:pPr>
            <w:r>
              <w:rPr>
                <w:color w:val="000000"/>
                <w:sz w:val="24"/>
              </w:rPr>
              <w:t>13.60%</w:t>
            </w:r>
          </w:p>
        </w:tc>
        <w:tc>
          <w:tcPr>
            <w:vAlign w:val="center"/>
          </w:tcPr>
          <w:p>
            <w:pPr>
              <w:jc w:val="center"/>
            </w:pPr>
            <w:r>
              <w:rPr>
                <w:color w:val="000000"/>
                <w:sz w:val="24"/>
              </w:rPr>
              <w:t>0.20%</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3.29%</w:t>
            </w:r>
          </w:p>
        </w:tc>
        <w:tc>
          <w:tcPr>
            <w:vAlign w:val="center"/>
          </w:tcPr>
          <w:p>
            <w:pPr>
              <w:jc w:val="center"/>
            </w:pPr>
            <w:r>
              <w:rPr>
                <w:color w:val="000000"/>
                <w:sz w:val="24"/>
              </w:rPr>
              <w:t>-0.48%</w:t>
            </w:r>
          </w:p>
        </w:tc>
      </w:tr>
      <w:tr>
        <w:tc>
          <w:tcPr>
            <w:vAlign w:val="center"/>
          </w:tcPr>
          <w:p>
            <w:pPr>
              <w:jc w:val="left"/>
            </w:pPr>
            <w:r>
              <w:rPr>
                <w:color w:val="000000"/>
                <w:sz w:val="24"/>
              </w:rPr>
              <w:t>过去三年</w:t>
            </w:r>
          </w:p>
        </w:tc>
        <w:tc>
          <w:tcPr>
            <w:vAlign w:val="center"/>
          </w:tcPr>
          <w:p>
            <w:pPr>
              <w:jc w:val="center"/>
            </w:pPr>
            <w:r>
              <w:rPr>
                <w:color w:val="000000"/>
                <w:sz w:val="24"/>
              </w:rPr>
              <w:t>26.63%</w:t>
            </w:r>
          </w:p>
        </w:tc>
        <w:tc>
          <w:tcPr>
            <w:vAlign w:val="center"/>
          </w:tcPr>
          <w:p>
            <w:pPr>
              <w:jc w:val="center"/>
            </w:pPr>
            <w:r>
              <w:rPr>
                <w:color w:val="000000"/>
                <w:sz w:val="24"/>
              </w:rPr>
              <w:t>0.16%</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13.09%</w:t>
            </w:r>
          </w:p>
        </w:tc>
        <w:tc>
          <w:tcPr>
            <w:vAlign w:val="center"/>
          </w:tcPr>
          <w:p>
            <w:pPr>
              <w:jc w:val="center"/>
            </w:pPr>
            <w:r>
              <w:rPr>
                <w:color w:val="000000"/>
                <w:sz w:val="24"/>
              </w:rPr>
              <w:t>-0.50%</w:t>
            </w:r>
          </w:p>
        </w:tc>
      </w:tr>
      <w:tr>
        <w:tc>
          <w:tcPr>
            <w:vAlign w:val="center"/>
          </w:tcPr>
          <w:p>
            <w:pPr>
              <w:jc w:val="left"/>
            </w:pPr>
            <w:r>
              <w:rPr>
                <w:color w:val="000000"/>
                <w:sz w:val="24"/>
              </w:rPr>
              <w:t>自基金合同生效起至今</w:t>
            </w:r>
          </w:p>
        </w:tc>
        <w:tc>
          <w:tcPr>
            <w:vAlign w:val="center"/>
          </w:tcPr>
          <w:p>
            <w:pPr>
              <w:jc w:val="center"/>
            </w:pPr>
            <w:r>
              <w:rPr>
                <w:color w:val="000000"/>
                <w:sz w:val="24"/>
              </w:rPr>
              <w:t>36.00%</w:t>
            </w:r>
          </w:p>
        </w:tc>
        <w:tc>
          <w:tcPr>
            <w:vAlign w:val="center"/>
          </w:tcPr>
          <w:p>
            <w:pPr>
              <w:jc w:val="center"/>
            </w:pPr>
            <w:r>
              <w:rPr>
                <w:color w:val="000000"/>
                <w:sz w:val="24"/>
              </w:rPr>
              <w:t>0.13%</w:t>
            </w:r>
          </w:p>
        </w:tc>
        <w:tc>
          <w:tcPr>
            <w:vAlign w:val="center"/>
          </w:tcPr>
          <w:p>
            <w:pPr>
              <w:jc w:val="center"/>
            </w:pPr>
            <w:r>
              <w:rPr>
                <w:color w:val="000000"/>
                <w:sz w:val="24"/>
              </w:rPr>
              <w:t>23.20%</w:t>
            </w:r>
          </w:p>
        </w:tc>
        <w:tc>
          <w:tcPr>
            <w:vAlign w:val="center"/>
          </w:tcPr>
          <w:p>
            <w:pPr>
              <w:jc w:val="center"/>
            </w:pPr>
            <w:r>
              <w:rPr>
                <w:color w:val="000000"/>
                <w:sz w:val="24"/>
              </w:rPr>
              <w:t>0.58%</w:t>
            </w:r>
          </w:p>
        </w:tc>
        <w:tc>
          <w:tcPr>
            <w:vAlign w:val="center"/>
          </w:tcPr>
          <w:p>
            <w:pPr>
              <w:jc w:val="center"/>
            </w:pPr>
            <w:r>
              <w:rPr>
                <w:color w:val="000000"/>
                <w:sz w:val="24"/>
              </w:rPr>
              <w:t>12.80%</w:t>
            </w:r>
          </w:p>
        </w:tc>
        <w:tc>
          <w:tcPr>
            <w:vAlign w:val="center"/>
          </w:tcPr>
          <w:p>
            <w:pPr>
              <w:jc w:val="center"/>
            </w:pPr>
            <w:r>
              <w:rPr>
                <w:color w:val="000000"/>
                <w:sz w:val="24"/>
              </w:rPr>
              <w:t>-0.45%</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交银优选回报灵活配置混合C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6.52%</w:t>
            </w:r>
          </w:p>
        </w:tc>
        <w:tc>
          <w:tcPr>
            <w:vAlign w:val="center"/>
          </w:tcPr>
          <w:p>
            <w:pPr>
              <w:jc w:val="center"/>
            </w:pPr>
            <w:r>
              <w:rPr>
                <w:color w:val="000000"/>
                <w:sz w:val="24"/>
              </w:rPr>
              <w:t>0.31%</w:t>
            </w:r>
          </w:p>
        </w:tc>
        <w:tc>
          <w:tcPr>
            <w:vAlign w:val="center"/>
          </w:tcPr>
          <w:p>
            <w:pPr>
              <w:jc w:val="center"/>
            </w:pPr>
            <w:r>
              <w:rPr>
                <w:color w:val="000000"/>
                <w:sz w:val="24"/>
              </w:rPr>
              <w:t>4.42%</w:t>
            </w:r>
          </w:p>
        </w:tc>
        <w:tc>
          <w:tcPr>
            <w:vAlign w:val="center"/>
          </w:tcPr>
          <w:p>
            <w:pPr>
              <w:jc w:val="center"/>
            </w:pPr>
            <w:r>
              <w:rPr>
                <w:color w:val="000000"/>
                <w:sz w:val="24"/>
              </w:rPr>
              <w:t>0.79%</w:t>
            </w:r>
          </w:p>
        </w:tc>
        <w:tc>
          <w:tcPr>
            <w:vAlign w:val="center"/>
          </w:tcPr>
          <w:p>
            <w:pPr>
              <w:jc w:val="center"/>
            </w:pPr>
            <w:r>
              <w:rPr>
                <w:color w:val="000000"/>
                <w:sz w:val="24"/>
              </w:rPr>
              <w:t>2.10%</w:t>
            </w:r>
          </w:p>
        </w:tc>
        <w:tc>
          <w:tcPr>
            <w:vAlign w:val="center"/>
          </w:tcPr>
          <w:p>
            <w:pPr>
              <w:jc w:val="center"/>
            </w:pPr>
            <w:r>
              <w:rPr>
                <w:color w:val="000000"/>
                <w:sz w:val="24"/>
              </w:rPr>
              <w:t>-0.48%</w:t>
            </w:r>
          </w:p>
        </w:tc>
      </w:tr>
      <w:tr>
        <w:tc>
          <w:tcPr>
            <w:vAlign w:val="center"/>
          </w:tcPr>
          <w:p>
            <w:pPr>
              <w:jc w:val="left"/>
            </w:pPr>
            <w:r>
              <w:rPr>
                <w:color w:val="000000"/>
                <w:sz w:val="24"/>
              </w:rPr>
              <w:t>过去六个月</w:t>
            </w:r>
          </w:p>
        </w:tc>
        <w:tc>
          <w:tcPr>
            <w:vAlign w:val="center"/>
          </w:tcPr>
          <w:p>
            <w:pPr>
              <w:jc w:val="center"/>
            </w:pPr>
            <w:r>
              <w:rPr>
                <w:color w:val="000000"/>
                <w:sz w:val="24"/>
              </w:rPr>
              <w:t>8.88%</w:t>
            </w:r>
          </w:p>
        </w:tc>
        <w:tc>
          <w:tcPr>
            <w:vAlign w:val="center"/>
          </w:tcPr>
          <w:p>
            <w:pPr>
              <w:jc w:val="center"/>
            </w:pPr>
            <w:r>
              <w:rPr>
                <w:color w:val="000000"/>
                <w:sz w:val="24"/>
              </w:rPr>
              <w:t>0.24%</w:t>
            </w:r>
          </w:p>
        </w:tc>
        <w:tc>
          <w:tcPr>
            <w:vAlign w:val="center"/>
          </w:tcPr>
          <w:p>
            <w:pPr>
              <w:jc w:val="center"/>
            </w:pPr>
            <w:r>
              <w:rPr>
                <w:color w:val="000000"/>
                <w:sz w:val="24"/>
              </w:rPr>
              <w:t>10.47%</w:t>
            </w:r>
          </w:p>
        </w:tc>
        <w:tc>
          <w:tcPr>
            <w:vAlign w:val="center"/>
          </w:tcPr>
          <w:p>
            <w:pPr>
              <w:jc w:val="center"/>
            </w:pPr>
            <w:r>
              <w:rPr>
                <w:color w:val="000000"/>
                <w:sz w:val="24"/>
              </w:rPr>
              <w:t>0.65%</w:t>
            </w:r>
          </w:p>
        </w:tc>
        <w:tc>
          <w:tcPr>
            <w:vAlign w:val="center"/>
          </w:tcPr>
          <w:p>
            <w:pPr>
              <w:jc w:val="center"/>
            </w:pPr>
            <w:r>
              <w:rPr>
                <w:color w:val="000000"/>
                <w:sz w:val="24"/>
              </w:rPr>
              <w:t>-1.59%</w:t>
            </w:r>
          </w:p>
        </w:tc>
        <w:tc>
          <w:tcPr>
            <w:vAlign w:val="center"/>
          </w:tcPr>
          <w:p>
            <w:pPr>
              <w:jc w:val="center"/>
            </w:pPr>
            <w:r>
              <w:rPr>
                <w:color w:val="000000"/>
                <w:sz w:val="24"/>
              </w:rPr>
              <w:t>-0.41%</w:t>
            </w:r>
          </w:p>
        </w:tc>
      </w:tr>
      <w:tr>
        <w:tc>
          <w:tcPr>
            <w:vAlign w:val="center"/>
          </w:tcPr>
          <w:p>
            <w:pPr>
              <w:jc w:val="left"/>
            </w:pPr>
            <w:r>
              <w:rPr>
                <w:color w:val="000000"/>
                <w:sz w:val="24"/>
              </w:rPr>
              <w:t>过去一年</w:t>
            </w:r>
          </w:p>
        </w:tc>
        <w:tc>
          <w:tcPr>
            <w:vAlign w:val="center"/>
          </w:tcPr>
          <w:p>
            <w:pPr>
              <w:jc w:val="center"/>
            </w:pPr>
            <w:r>
              <w:rPr>
                <w:color w:val="000000"/>
                <w:sz w:val="24"/>
              </w:rPr>
              <w:t>13.43%</w:t>
            </w:r>
          </w:p>
        </w:tc>
        <w:tc>
          <w:tcPr>
            <w:vAlign w:val="center"/>
          </w:tcPr>
          <w:p>
            <w:pPr>
              <w:jc w:val="center"/>
            </w:pPr>
            <w:r>
              <w:rPr>
                <w:color w:val="000000"/>
                <w:sz w:val="24"/>
              </w:rPr>
              <w:t>0.21%</w:t>
            </w:r>
          </w:p>
        </w:tc>
        <w:tc>
          <w:tcPr>
            <w:vAlign w:val="center"/>
          </w:tcPr>
          <w:p>
            <w:pPr>
              <w:jc w:val="center"/>
            </w:pPr>
            <w:r>
              <w:rPr>
                <w:color w:val="000000"/>
                <w:sz w:val="24"/>
              </w:rPr>
              <w:t>10.31%</w:t>
            </w:r>
          </w:p>
        </w:tc>
        <w:tc>
          <w:tcPr>
            <w:vAlign w:val="center"/>
          </w:tcPr>
          <w:p>
            <w:pPr>
              <w:jc w:val="center"/>
            </w:pPr>
            <w:r>
              <w:rPr>
                <w:color w:val="000000"/>
                <w:sz w:val="24"/>
              </w:rPr>
              <w:t>0.68%</w:t>
            </w:r>
          </w:p>
        </w:tc>
        <w:tc>
          <w:tcPr>
            <w:vAlign w:val="center"/>
          </w:tcPr>
          <w:p>
            <w:pPr>
              <w:jc w:val="center"/>
            </w:pPr>
            <w:r>
              <w:rPr>
                <w:color w:val="000000"/>
                <w:sz w:val="24"/>
              </w:rPr>
              <w:t>3.12%</w:t>
            </w:r>
          </w:p>
        </w:tc>
        <w:tc>
          <w:tcPr>
            <w:vAlign w:val="center"/>
          </w:tcPr>
          <w:p>
            <w:pPr>
              <w:jc w:val="center"/>
            </w:pPr>
            <w:r>
              <w:rPr>
                <w:color w:val="000000"/>
                <w:sz w:val="24"/>
              </w:rPr>
              <w:t>-0.47%</w:t>
            </w:r>
          </w:p>
        </w:tc>
      </w:tr>
      <w:tr>
        <w:tc>
          <w:tcPr>
            <w:vAlign w:val="center"/>
          </w:tcPr>
          <w:p>
            <w:pPr>
              <w:jc w:val="left"/>
            </w:pPr>
            <w:r>
              <w:rPr>
                <w:color w:val="000000"/>
                <w:sz w:val="24"/>
              </w:rPr>
              <w:t>过去三年</w:t>
            </w:r>
          </w:p>
        </w:tc>
        <w:tc>
          <w:tcPr>
            <w:vAlign w:val="center"/>
          </w:tcPr>
          <w:p>
            <w:pPr>
              <w:jc w:val="center"/>
            </w:pPr>
            <w:r>
              <w:rPr>
                <w:color w:val="000000"/>
                <w:sz w:val="24"/>
              </w:rPr>
              <w:t>25.92%</w:t>
            </w:r>
          </w:p>
        </w:tc>
        <w:tc>
          <w:tcPr>
            <w:vAlign w:val="center"/>
          </w:tcPr>
          <w:p>
            <w:pPr>
              <w:jc w:val="center"/>
            </w:pPr>
            <w:r>
              <w:rPr>
                <w:color w:val="000000"/>
                <w:sz w:val="24"/>
              </w:rPr>
              <w:t>0.16%</w:t>
            </w:r>
          </w:p>
        </w:tc>
        <w:tc>
          <w:tcPr>
            <w:vAlign w:val="center"/>
          </w:tcPr>
          <w:p>
            <w:pPr>
              <w:jc w:val="center"/>
            </w:pPr>
            <w:r>
              <w:rPr>
                <w:color w:val="000000"/>
                <w:sz w:val="24"/>
              </w:rPr>
              <w:t>13.54%</w:t>
            </w:r>
          </w:p>
        </w:tc>
        <w:tc>
          <w:tcPr>
            <w:vAlign w:val="center"/>
          </w:tcPr>
          <w:p>
            <w:pPr>
              <w:jc w:val="center"/>
            </w:pPr>
            <w:r>
              <w:rPr>
                <w:color w:val="000000"/>
                <w:sz w:val="24"/>
              </w:rPr>
              <w:t>0.66%</w:t>
            </w:r>
          </w:p>
        </w:tc>
        <w:tc>
          <w:tcPr>
            <w:vAlign w:val="center"/>
          </w:tcPr>
          <w:p>
            <w:pPr>
              <w:jc w:val="center"/>
            </w:pPr>
            <w:r>
              <w:rPr>
                <w:color w:val="000000"/>
                <w:sz w:val="24"/>
              </w:rPr>
              <w:t>12.38%</w:t>
            </w:r>
          </w:p>
        </w:tc>
        <w:tc>
          <w:tcPr>
            <w:vAlign w:val="center"/>
          </w:tcPr>
          <w:p>
            <w:pPr>
              <w:jc w:val="center"/>
            </w:pPr>
            <w:r>
              <w:rPr>
                <w:color w:val="000000"/>
                <w:sz w:val="24"/>
              </w:rPr>
              <w:t>-0.50%</w:t>
            </w:r>
          </w:p>
        </w:tc>
      </w:tr>
      <w:tr>
        <w:tc>
          <w:tcPr>
            <w:vAlign w:val="center"/>
          </w:tcPr>
          <w:p>
            <w:pPr>
              <w:jc w:val="left"/>
            </w:pPr>
            <w:r>
              <w:rPr>
                <w:color w:val="000000"/>
                <w:sz w:val="24"/>
              </w:rPr>
              <w:t>自基金合同生效起至今</w:t>
            </w:r>
          </w:p>
        </w:tc>
        <w:tc>
          <w:tcPr>
            <w:vAlign w:val="center"/>
          </w:tcPr>
          <w:p>
            <w:pPr>
              <w:jc w:val="center"/>
            </w:pPr>
            <w:r>
              <w:rPr>
                <w:color w:val="000000"/>
                <w:sz w:val="24"/>
              </w:rPr>
              <w:t>34.86%</w:t>
            </w:r>
          </w:p>
        </w:tc>
        <w:tc>
          <w:tcPr>
            <w:vAlign w:val="center"/>
          </w:tcPr>
          <w:p>
            <w:pPr>
              <w:jc w:val="center"/>
            </w:pPr>
            <w:r>
              <w:rPr>
                <w:color w:val="000000"/>
                <w:sz w:val="24"/>
              </w:rPr>
              <w:t>0.14%</w:t>
            </w:r>
          </w:p>
        </w:tc>
        <w:tc>
          <w:tcPr>
            <w:vAlign w:val="center"/>
          </w:tcPr>
          <w:p>
            <w:pPr>
              <w:jc w:val="center"/>
            </w:pPr>
            <w:r>
              <w:rPr>
                <w:color w:val="000000"/>
                <w:sz w:val="24"/>
              </w:rPr>
              <w:t>23.20%</w:t>
            </w:r>
          </w:p>
        </w:tc>
        <w:tc>
          <w:tcPr>
            <w:vAlign w:val="center"/>
          </w:tcPr>
          <w:p>
            <w:pPr>
              <w:jc w:val="center"/>
            </w:pPr>
            <w:r>
              <w:rPr>
                <w:color w:val="000000"/>
                <w:sz w:val="24"/>
              </w:rPr>
              <w:t>0.58%</w:t>
            </w:r>
          </w:p>
        </w:tc>
        <w:tc>
          <w:tcPr>
            <w:vAlign w:val="center"/>
          </w:tcPr>
          <w:p>
            <w:pPr>
              <w:jc w:val="center"/>
            </w:pPr>
            <w:r>
              <w:rPr>
                <w:color w:val="000000"/>
                <w:sz w:val="24"/>
              </w:rPr>
              <w:t>11.66%</w:t>
            </w:r>
          </w:p>
        </w:tc>
        <w:tc>
          <w:tcPr>
            <w:vAlign w:val="center"/>
          </w:tcPr>
          <w:p>
            <w:pPr>
              <w:jc w:val="center"/>
            </w:pPr>
            <w:r>
              <w:rPr>
                <w:color w:val="000000"/>
                <w:sz w:val="24"/>
              </w:rPr>
              <w:t>-0.44%</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交银施罗德优选回报灵活配置混合型证券投资基金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交银优选回报灵活配置混合C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vAlign w:val="center"/>
          </w:tcPr>
          <w:p>
            <w:pPr>
              <w:jc w:val="center"/>
            </w:pPr>
            <w:r>
              <w:rPr>
                <w:color w:val="000000"/>
                <w:sz w:val="24"/>
              </w:rPr>
              <w:t>2020-07-09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pPr>
        <w:spacing w:before="29" w:line="288" w:lineRule="auto"/>
        <w:ind w:firstLine="480" w:firstLineChars="200"/>
        <w:rPr>
          <w:color w:val="000000"/>
          <w:sz w:val="24"/>
        </w:rPr>
      </w:pPr>
      <w:r>
        <w:rPr>
          <w:color w:val="000000"/>
          <w:sz w:val="24"/>
        </w:rPr>
        <w:t>2020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二季度我们提升了消费电子、军工以及新能源等成长方向的仓位，三季度我们则根据持仓标的估值情况，降仓了部分纯beta的仓位，并在低估值板块内部根据基本面做了置换。此外，本基金积极参与权益及转债的一级申购，以增厚组合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165,676,107.72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165,676,107.72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15.50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872,657,012.12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81.63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872,657,012.12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81.63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16,305,680.16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1.53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14,375,230.77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1,069,014,030.77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5,076,054.00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102,152,440.86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11.32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2,498,378.00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2,960,445.12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4,689,463.03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0.52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4,352,830.76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10,894,935.01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15,417,124.39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1.71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12,982,434.00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1.44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14,813.40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4,592,055.89</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0.51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45,133.26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165,676,107.72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18.36</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190,768</w:t>
            </w:r>
          </w:p>
        </w:tc>
        <w:tc>
          <w:tcPr>
            <w:vAlign w:val="center"/>
          </w:tcPr>
          <w:p>
            <w:pPr>
              <w:jc w:val="right"/>
            </w:pPr>
            <w:r>
              <w:rPr>
                <w:color w:val="000000"/>
                <w:sz w:val="24"/>
              </w:rPr>
              <w:t>10,282,395.20</w:t>
            </w:r>
          </w:p>
        </w:tc>
        <w:tc>
          <w:tcPr>
            <w:vAlign w:val="center"/>
          </w:tcPr>
          <w:p>
            <w:pPr>
              <w:jc w:val="right"/>
            </w:pPr>
            <w:r>
              <w:rPr>
                <w:color w:val="000000"/>
                <w:sz w:val="24"/>
              </w:rPr>
              <w:t>1.14</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531,000</w:t>
            </w:r>
          </w:p>
        </w:tc>
        <w:tc>
          <w:tcPr>
            <w:vAlign w:val="center"/>
          </w:tcPr>
          <w:p>
            <w:pPr>
              <w:jc w:val="right"/>
            </w:pPr>
            <w:r>
              <w:rPr>
                <w:color w:val="000000"/>
                <w:sz w:val="24"/>
              </w:rPr>
              <w:t>8,437,590.00</w:t>
            </w:r>
          </w:p>
        </w:tc>
        <w:tc>
          <w:tcPr>
            <w:vAlign w:val="center"/>
          </w:tcPr>
          <w:p>
            <w:pPr>
              <w:jc w:val="right"/>
            </w:pPr>
            <w:r>
              <w:rPr>
                <w:color w:val="000000"/>
                <w:sz w:val="24"/>
              </w:rPr>
              <w:t>0.93</w:t>
            </w:r>
          </w:p>
        </w:tc>
      </w:tr>
      <w:tr>
        <w:tc>
          <w:tcPr>
            <w:vAlign w:val="center"/>
          </w:tcPr>
          <w:p>
            <w:pPr>
              <w:jc w:val="center"/>
            </w:pPr>
            <w:r>
              <w:rPr>
                <w:color w:val="000000"/>
                <w:sz w:val="24"/>
              </w:rPr>
              <w:t>3</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8,342,500.00</w:t>
            </w:r>
          </w:p>
        </w:tc>
        <w:tc>
          <w:tcPr>
            <w:vAlign w:val="center"/>
          </w:tcPr>
          <w:p>
            <w:pPr>
              <w:jc w:val="right"/>
            </w:pPr>
            <w:r>
              <w:rPr>
                <w:color w:val="000000"/>
                <w:sz w:val="24"/>
              </w:rPr>
              <w:t>0.92</w:t>
            </w:r>
          </w:p>
        </w:tc>
      </w:tr>
      <w:tr>
        <w:tc>
          <w:tcPr>
            <w:vAlign w:val="center"/>
          </w:tcPr>
          <w:p>
            <w:pPr>
              <w:jc w:val="center"/>
            </w:pPr>
            <w:r>
              <w:rPr>
                <w:color w:val="000000"/>
                <w:sz w:val="24"/>
              </w:rPr>
              <w:t>4</w:t>
            </w:r>
          </w:p>
        </w:tc>
        <w:tc>
          <w:tcPr>
            <w:vAlign w:val="center"/>
          </w:tcPr>
          <w:p>
            <w:pPr>
              <w:jc w:val="center"/>
            </w:pPr>
            <w:r>
              <w:rPr>
                <w:color w:val="000000"/>
                <w:sz w:val="24"/>
              </w:rPr>
              <w:t>601838</w:t>
            </w:r>
          </w:p>
        </w:tc>
        <w:tc>
          <w:tcPr>
            <w:vAlign w:val="center"/>
          </w:tcPr>
          <w:p>
            <w:pPr>
              <w:jc w:val="center"/>
            </w:pPr>
            <w:r>
              <w:rPr>
                <w:color w:val="000000"/>
                <w:sz w:val="24"/>
              </w:rPr>
              <w:t>成都银行</w:t>
            </w:r>
          </w:p>
        </w:tc>
        <w:tc>
          <w:tcPr>
            <w:vAlign w:val="center"/>
          </w:tcPr>
          <w:p>
            <w:pPr>
              <w:jc w:val="right"/>
            </w:pPr>
            <w:r>
              <w:rPr>
                <w:color w:val="000000"/>
                <w:sz w:val="24"/>
              </w:rPr>
              <w:t>799,600</w:t>
            </w:r>
          </w:p>
        </w:tc>
        <w:tc>
          <w:tcPr>
            <w:vAlign w:val="center"/>
          </w:tcPr>
          <w:p>
            <w:pPr>
              <w:jc w:val="right"/>
            </w:pPr>
            <w:r>
              <w:rPr>
                <w:color w:val="000000"/>
                <w:sz w:val="24"/>
              </w:rPr>
              <w:t>7,900,048.00</w:t>
            </w:r>
          </w:p>
        </w:tc>
        <w:tc>
          <w:tcPr>
            <w:vAlign w:val="center"/>
          </w:tcPr>
          <w:p>
            <w:pPr>
              <w:jc w:val="right"/>
            </w:pPr>
            <w:r>
              <w:rPr>
                <w:color w:val="000000"/>
                <w:sz w:val="24"/>
              </w:rPr>
              <w:t>0.88</w:t>
            </w:r>
          </w:p>
        </w:tc>
      </w:tr>
      <w:tr>
        <w:tc>
          <w:tcPr>
            <w:vAlign w:val="center"/>
          </w:tcPr>
          <w:p>
            <w:pPr>
              <w:jc w:val="center"/>
            </w:pPr>
            <w:r>
              <w:rPr>
                <w:color w:val="000000"/>
                <w:sz w:val="24"/>
              </w:rPr>
              <w:t>5</w:t>
            </w:r>
          </w:p>
        </w:tc>
        <w:tc>
          <w:tcPr>
            <w:vAlign w:val="center"/>
          </w:tcPr>
          <w:p>
            <w:pPr>
              <w:jc w:val="center"/>
            </w:pPr>
            <w:r>
              <w:rPr>
                <w:color w:val="000000"/>
                <w:sz w:val="24"/>
              </w:rPr>
              <w:t>002475</w:t>
            </w:r>
          </w:p>
        </w:tc>
        <w:tc>
          <w:tcPr>
            <w:vAlign w:val="center"/>
          </w:tcPr>
          <w:p>
            <w:pPr>
              <w:jc w:val="center"/>
            </w:pPr>
            <w:r>
              <w:rPr>
                <w:color w:val="000000"/>
                <w:sz w:val="24"/>
              </w:rPr>
              <w:t>立讯精密</w:t>
            </w:r>
          </w:p>
        </w:tc>
        <w:tc>
          <w:tcPr>
            <w:vAlign w:val="center"/>
          </w:tcPr>
          <w:p>
            <w:pPr>
              <w:jc w:val="right"/>
            </w:pPr>
            <w:r>
              <w:rPr>
                <w:color w:val="000000"/>
                <w:sz w:val="24"/>
              </w:rPr>
              <w:t>110,757</w:t>
            </w:r>
          </w:p>
        </w:tc>
        <w:tc>
          <w:tcPr>
            <w:vAlign w:val="center"/>
          </w:tcPr>
          <w:p>
            <w:pPr>
              <w:jc w:val="right"/>
            </w:pPr>
            <w:r>
              <w:rPr>
                <w:color w:val="000000"/>
                <w:sz w:val="24"/>
              </w:rPr>
              <w:t>6,327,547.41</w:t>
            </w:r>
          </w:p>
        </w:tc>
        <w:tc>
          <w:tcPr>
            <w:vAlign w:val="center"/>
          </w:tcPr>
          <w:p>
            <w:pPr>
              <w:jc w:val="right"/>
            </w:pPr>
            <w:r>
              <w:rPr>
                <w:color w:val="000000"/>
                <w:sz w:val="24"/>
              </w:rPr>
              <w:t>0.70</w:t>
            </w:r>
          </w:p>
        </w:tc>
      </w:tr>
      <w:tr>
        <w:tc>
          <w:tcPr>
            <w:vAlign w:val="center"/>
          </w:tcPr>
          <w:p>
            <w:pPr>
              <w:jc w:val="center"/>
            </w:pPr>
            <w:r>
              <w:rPr>
                <w:color w:val="000000"/>
                <w:sz w:val="24"/>
              </w:rPr>
              <w:t>6</w:t>
            </w:r>
          </w:p>
        </w:tc>
        <w:tc>
          <w:tcPr>
            <w:vAlign w:val="center"/>
          </w:tcPr>
          <w:p>
            <w:pPr>
              <w:jc w:val="center"/>
            </w:pPr>
            <w:r>
              <w:rPr>
                <w:color w:val="000000"/>
                <w:sz w:val="24"/>
              </w:rPr>
              <w:t>002064</w:t>
            </w:r>
          </w:p>
        </w:tc>
        <w:tc>
          <w:tcPr>
            <w:vAlign w:val="center"/>
          </w:tcPr>
          <w:p>
            <w:pPr>
              <w:jc w:val="center"/>
            </w:pPr>
            <w:r>
              <w:rPr>
                <w:color w:val="000000"/>
                <w:sz w:val="24"/>
              </w:rPr>
              <w:t>华峰氨纶</w:t>
            </w:r>
          </w:p>
        </w:tc>
        <w:tc>
          <w:tcPr>
            <w:vAlign w:val="center"/>
          </w:tcPr>
          <w:p>
            <w:pPr>
              <w:jc w:val="right"/>
            </w:pPr>
            <w:r>
              <w:rPr>
                <w:color w:val="000000"/>
                <w:sz w:val="24"/>
              </w:rPr>
              <w:t>848,800</w:t>
            </w:r>
          </w:p>
        </w:tc>
        <w:tc>
          <w:tcPr>
            <w:vAlign w:val="center"/>
          </w:tcPr>
          <w:p>
            <w:pPr>
              <w:jc w:val="right"/>
            </w:pPr>
            <w:r>
              <w:rPr>
                <w:color w:val="000000"/>
                <w:sz w:val="24"/>
              </w:rPr>
              <w:t>6,179,264.00</w:t>
            </w:r>
          </w:p>
        </w:tc>
        <w:tc>
          <w:tcPr>
            <w:vAlign w:val="center"/>
          </w:tcPr>
          <w:p>
            <w:pPr>
              <w:jc w:val="right"/>
            </w:pPr>
            <w:r>
              <w:rPr>
                <w:color w:val="000000"/>
                <w:sz w:val="24"/>
              </w:rPr>
              <w:t>0.68</w:t>
            </w:r>
          </w:p>
        </w:tc>
      </w:tr>
      <w:tr>
        <w:tc>
          <w:tcPr>
            <w:vAlign w:val="center"/>
          </w:tcPr>
          <w:p>
            <w:pPr>
              <w:jc w:val="center"/>
            </w:pPr>
            <w:r>
              <w:rPr>
                <w:color w:val="000000"/>
                <w:sz w:val="24"/>
              </w:rPr>
              <w:t>7</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183,300</w:t>
            </w:r>
          </w:p>
        </w:tc>
        <w:tc>
          <w:tcPr>
            <w:vAlign w:val="center"/>
          </w:tcPr>
          <w:p>
            <w:pPr>
              <w:jc w:val="right"/>
            </w:pPr>
            <w:r>
              <w:rPr>
                <w:color w:val="000000"/>
                <w:sz w:val="24"/>
              </w:rPr>
              <w:t>5,720,793.00</w:t>
            </w:r>
          </w:p>
        </w:tc>
        <w:tc>
          <w:tcPr>
            <w:vAlign w:val="center"/>
          </w:tcPr>
          <w:p>
            <w:pPr>
              <w:jc w:val="right"/>
            </w:pPr>
            <w:r>
              <w:rPr>
                <w:color w:val="000000"/>
                <w:sz w:val="24"/>
              </w:rPr>
              <w:t>0.63</w:t>
            </w:r>
          </w:p>
        </w:tc>
      </w:tr>
      <w:tr>
        <w:tc>
          <w:tcPr>
            <w:vAlign w:val="center"/>
          </w:tcPr>
          <w:p>
            <w:pPr>
              <w:jc w:val="center"/>
            </w:pPr>
            <w:r>
              <w:rPr>
                <w:color w:val="000000"/>
                <w:sz w:val="24"/>
              </w:rPr>
              <w:t>8</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228,800</w:t>
            </w:r>
          </w:p>
        </w:tc>
        <w:tc>
          <w:tcPr>
            <w:vAlign w:val="center"/>
          </w:tcPr>
          <w:p>
            <w:pPr>
              <w:jc w:val="right"/>
            </w:pPr>
            <w:r>
              <w:rPr>
                <w:color w:val="000000"/>
                <w:sz w:val="24"/>
              </w:rPr>
              <w:t>5,694,832.00</w:t>
            </w:r>
          </w:p>
        </w:tc>
        <w:tc>
          <w:tcPr>
            <w:vAlign w:val="center"/>
          </w:tcPr>
          <w:p>
            <w:pPr>
              <w:jc w:val="right"/>
            </w:pPr>
            <w:r>
              <w:rPr>
                <w:color w:val="000000"/>
                <w:sz w:val="24"/>
              </w:rPr>
              <w:t>0.63</w:t>
            </w:r>
          </w:p>
        </w:tc>
      </w:tr>
      <w:tr>
        <w:tc>
          <w:tcPr>
            <w:vAlign w:val="center"/>
          </w:tcPr>
          <w:p>
            <w:pPr>
              <w:jc w:val="center"/>
            </w:pPr>
            <w:r>
              <w:rPr>
                <w:color w:val="000000"/>
                <w:sz w:val="24"/>
              </w:rPr>
              <w:t>9</w:t>
            </w:r>
          </w:p>
        </w:tc>
        <w:tc>
          <w:tcPr>
            <w:vAlign w:val="center"/>
          </w:tcPr>
          <w:p>
            <w:pPr>
              <w:jc w:val="center"/>
            </w:pPr>
            <w:r>
              <w:rPr>
                <w:color w:val="000000"/>
                <w:sz w:val="24"/>
              </w:rPr>
              <w:t>601088</w:t>
            </w:r>
          </w:p>
        </w:tc>
        <w:tc>
          <w:tcPr>
            <w:vAlign w:val="center"/>
          </w:tcPr>
          <w:p>
            <w:pPr>
              <w:jc w:val="center"/>
            </w:pPr>
            <w:r>
              <w:rPr>
                <w:color w:val="000000"/>
                <w:sz w:val="24"/>
              </w:rPr>
              <w:t>中国神华</w:t>
            </w:r>
          </w:p>
        </w:tc>
        <w:tc>
          <w:tcPr>
            <w:vAlign w:val="center"/>
          </w:tcPr>
          <w:p>
            <w:pPr>
              <w:jc w:val="right"/>
            </w:pPr>
            <w:r>
              <w:rPr>
                <w:color w:val="000000"/>
                <w:sz w:val="24"/>
              </w:rPr>
              <w:t>308,200</w:t>
            </w:r>
          </w:p>
        </w:tc>
        <w:tc>
          <w:tcPr>
            <w:vAlign w:val="center"/>
          </w:tcPr>
          <w:p>
            <w:pPr>
              <w:jc w:val="right"/>
            </w:pPr>
            <w:r>
              <w:rPr>
                <w:color w:val="000000"/>
                <w:sz w:val="24"/>
              </w:rPr>
              <w:t>5,076,054.00</w:t>
            </w:r>
          </w:p>
        </w:tc>
        <w:tc>
          <w:tcPr>
            <w:vAlign w:val="center"/>
          </w:tcPr>
          <w:p>
            <w:pPr>
              <w:jc w:val="right"/>
            </w:pPr>
            <w:r>
              <w:rPr>
                <w:color w:val="000000"/>
                <w:sz w:val="24"/>
              </w:rPr>
              <w:t>0.56</w:t>
            </w:r>
          </w:p>
        </w:tc>
      </w:tr>
      <w:tr>
        <w:tc>
          <w:tcPr>
            <w:vAlign w:val="center"/>
          </w:tcPr>
          <w:p>
            <w:pPr>
              <w:jc w:val="center"/>
            </w:pPr>
            <w:r>
              <w:rPr>
                <w:color w:val="000000"/>
                <w:sz w:val="24"/>
              </w:rPr>
              <w:t>10</w:t>
            </w:r>
          </w:p>
        </w:tc>
        <w:tc>
          <w:tcPr>
            <w:vAlign w:val="center"/>
          </w:tcPr>
          <w:p>
            <w:pPr>
              <w:jc w:val="center"/>
            </w:pPr>
            <w:r>
              <w:rPr>
                <w:color w:val="000000"/>
                <w:sz w:val="24"/>
              </w:rPr>
              <w:t>000733</w:t>
            </w:r>
          </w:p>
        </w:tc>
        <w:tc>
          <w:tcPr>
            <w:vAlign w:val="center"/>
          </w:tcPr>
          <w:p>
            <w:pPr>
              <w:jc w:val="center"/>
            </w:pPr>
            <w:r>
              <w:rPr>
                <w:color w:val="000000"/>
                <w:sz w:val="24"/>
              </w:rPr>
              <w:t>振华科技</w:t>
            </w:r>
          </w:p>
        </w:tc>
        <w:tc>
          <w:tcPr>
            <w:vAlign w:val="center"/>
          </w:tcPr>
          <w:p>
            <w:pPr>
              <w:jc w:val="right"/>
            </w:pPr>
            <w:r>
              <w:rPr>
                <w:color w:val="000000"/>
                <w:sz w:val="24"/>
              </w:rPr>
              <w:t>112,500</w:t>
            </w:r>
          </w:p>
        </w:tc>
        <w:tc>
          <w:tcPr>
            <w:vAlign w:val="center"/>
          </w:tcPr>
          <w:p>
            <w:pPr>
              <w:jc w:val="right"/>
            </w:pPr>
            <w:r>
              <w:rPr>
                <w:color w:val="000000"/>
                <w:sz w:val="24"/>
              </w:rPr>
              <w:t>5,040,000.00</w:t>
            </w:r>
          </w:p>
        </w:tc>
        <w:tc>
          <w:tcPr>
            <w:vAlign w:val="center"/>
          </w:tcPr>
          <w:p>
            <w:pPr>
              <w:jc w:val="right"/>
            </w:pPr>
            <w:r>
              <w:rPr>
                <w:color w:val="000000"/>
                <w:sz w:val="24"/>
              </w:rPr>
              <w:t>0.56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38,671,730.80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4.29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20,072,000.00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2.22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20,072,000.00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2.22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467,581,000.00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51.81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346,140,500.00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38.35</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191,781.32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872,657,012.12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96.69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101451024</w:t>
            </w:r>
          </w:p>
        </w:tc>
        <w:tc>
          <w:tcPr>
            <w:vAlign w:val="center"/>
          </w:tcPr>
          <w:p>
            <w:pPr>
              <w:jc w:val="center"/>
            </w:pPr>
            <w:r>
              <w:rPr>
                <w:color w:val="000000"/>
                <w:sz w:val="24"/>
              </w:rPr>
              <w:t>14国开投MTN001</w:t>
            </w:r>
          </w:p>
        </w:tc>
        <w:tc>
          <w:tcPr>
            <w:vAlign w:val="center"/>
          </w:tcPr>
          <w:p>
            <w:pPr>
              <w:jc w:val="right"/>
            </w:pPr>
            <w:r>
              <w:rPr>
                <w:color w:val="000000"/>
                <w:sz w:val="24"/>
              </w:rPr>
              <w:t>500,000</w:t>
            </w:r>
          </w:p>
        </w:tc>
        <w:tc>
          <w:tcPr>
            <w:vAlign w:val="center"/>
          </w:tcPr>
          <w:p>
            <w:pPr>
              <w:jc w:val="right"/>
            </w:pPr>
            <w:r>
              <w:rPr>
                <w:color w:val="000000"/>
                <w:sz w:val="24"/>
              </w:rPr>
              <w:t>50,875,000.00</w:t>
            </w:r>
          </w:p>
        </w:tc>
        <w:tc>
          <w:tcPr>
            <w:vAlign w:val="center"/>
          </w:tcPr>
          <w:p>
            <w:pPr>
              <w:jc w:val="right"/>
            </w:pPr>
            <w:r>
              <w:rPr>
                <w:color w:val="000000"/>
                <w:sz w:val="24"/>
              </w:rPr>
              <w:t>5.64</w:t>
            </w:r>
          </w:p>
        </w:tc>
      </w:tr>
      <w:tr>
        <w:tc>
          <w:tcPr>
            <w:vAlign w:val="center"/>
          </w:tcPr>
          <w:p>
            <w:pPr>
              <w:jc w:val="center"/>
            </w:pPr>
            <w:r>
              <w:rPr>
                <w:color w:val="000000"/>
                <w:sz w:val="24"/>
              </w:rPr>
              <w:t>2</w:t>
            </w:r>
          </w:p>
        </w:tc>
        <w:tc>
          <w:tcPr>
            <w:vAlign w:val="center"/>
          </w:tcPr>
          <w:p>
            <w:pPr>
              <w:jc w:val="center"/>
            </w:pPr>
            <w:r>
              <w:rPr>
                <w:color w:val="000000"/>
                <w:sz w:val="24"/>
              </w:rPr>
              <w:t>101800543</w:t>
            </w:r>
          </w:p>
        </w:tc>
        <w:tc>
          <w:tcPr>
            <w:vAlign w:val="center"/>
          </w:tcPr>
          <w:p>
            <w:pPr>
              <w:jc w:val="center"/>
            </w:pPr>
            <w:r>
              <w:rPr>
                <w:color w:val="000000"/>
                <w:sz w:val="24"/>
              </w:rPr>
              <w:t>18苏交通MTN003</w:t>
            </w:r>
          </w:p>
        </w:tc>
        <w:tc>
          <w:tcPr>
            <w:vAlign w:val="center"/>
          </w:tcPr>
          <w:p>
            <w:pPr>
              <w:jc w:val="right"/>
            </w:pPr>
            <w:r>
              <w:rPr>
                <w:color w:val="000000"/>
                <w:sz w:val="24"/>
              </w:rPr>
              <w:t>500,000</w:t>
            </w:r>
          </w:p>
        </w:tc>
        <w:tc>
          <w:tcPr>
            <w:vAlign w:val="center"/>
          </w:tcPr>
          <w:p>
            <w:pPr>
              <w:jc w:val="right"/>
            </w:pPr>
            <w:r>
              <w:rPr>
                <w:color w:val="000000"/>
                <w:sz w:val="24"/>
              </w:rPr>
              <w:t>50,615,000.00</w:t>
            </w:r>
          </w:p>
        </w:tc>
        <w:tc>
          <w:tcPr>
            <w:vAlign w:val="center"/>
          </w:tcPr>
          <w:p>
            <w:pPr>
              <w:jc w:val="right"/>
            </w:pPr>
            <w:r>
              <w:rPr>
                <w:color w:val="000000"/>
                <w:sz w:val="24"/>
              </w:rPr>
              <w:t>5.61</w:t>
            </w:r>
          </w:p>
        </w:tc>
      </w:tr>
      <w:tr>
        <w:tc>
          <w:tcPr>
            <w:vAlign w:val="center"/>
          </w:tcPr>
          <w:p>
            <w:pPr>
              <w:jc w:val="center"/>
            </w:pPr>
            <w:r>
              <w:rPr>
                <w:color w:val="000000"/>
                <w:sz w:val="24"/>
              </w:rPr>
              <w:t>3</w:t>
            </w:r>
          </w:p>
        </w:tc>
        <w:tc>
          <w:tcPr>
            <w:vAlign w:val="center"/>
          </w:tcPr>
          <w:p>
            <w:pPr>
              <w:jc w:val="center"/>
            </w:pPr>
            <w:r>
              <w:rPr>
                <w:color w:val="000000"/>
                <w:sz w:val="24"/>
              </w:rPr>
              <w:t>143725</w:t>
            </w:r>
          </w:p>
        </w:tc>
        <w:tc>
          <w:tcPr>
            <w:vAlign w:val="center"/>
          </w:tcPr>
          <w:p>
            <w:pPr>
              <w:jc w:val="center"/>
            </w:pPr>
            <w:r>
              <w:rPr>
                <w:color w:val="000000"/>
                <w:sz w:val="24"/>
              </w:rPr>
              <w:t>18光明01</w:t>
            </w:r>
          </w:p>
        </w:tc>
        <w:tc>
          <w:tcPr>
            <w:vAlign w:val="center"/>
          </w:tcPr>
          <w:p>
            <w:pPr>
              <w:jc w:val="right"/>
            </w:pPr>
            <w:r>
              <w:rPr>
                <w:color w:val="000000"/>
                <w:sz w:val="24"/>
              </w:rPr>
              <w:t>500,000</w:t>
            </w:r>
          </w:p>
        </w:tc>
        <w:tc>
          <w:tcPr>
            <w:vAlign w:val="center"/>
          </w:tcPr>
          <w:p>
            <w:pPr>
              <w:jc w:val="right"/>
            </w:pPr>
            <w:r>
              <w:rPr>
                <w:color w:val="000000"/>
                <w:sz w:val="24"/>
              </w:rPr>
              <w:t>50,460,000.00</w:t>
            </w:r>
          </w:p>
        </w:tc>
        <w:tc>
          <w:tcPr>
            <w:vAlign w:val="center"/>
          </w:tcPr>
          <w:p>
            <w:pPr>
              <w:jc w:val="right"/>
            </w:pPr>
            <w:r>
              <w:rPr>
                <w:color w:val="000000"/>
                <w:sz w:val="24"/>
              </w:rPr>
              <w:t>5.59</w:t>
            </w:r>
          </w:p>
        </w:tc>
      </w:tr>
      <w:tr>
        <w:tc>
          <w:tcPr>
            <w:vAlign w:val="center"/>
          </w:tcPr>
          <w:p>
            <w:pPr>
              <w:jc w:val="center"/>
            </w:pPr>
            <w:r>
              <w:rPr>
                <w:color w:val="000000"/>
                <w:sz w:val="24"/>
              </w:rPr>
              <w:t>4</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50,360,000.00</w:t>
            </w:r>
          </w:p>
        </w:tc>
        <w:tc>
          <w:tcPr>
            <w:vAlign w:val="center"/>
          </w:tcPr>
          <w:p>
            <w:pPr>
              <w:jc w:val="right"/>
            </w:pPr>
            <w:r>
              <w:rPr>
                <w:color w:val="000000"/>
                <w:sz w:val="24"/>
              </w:rPr>
              <w:t>5.58</w:t>
            </w:r>
          </w:p>
        </w:tc>
      </w:tr>
      <w:tr>
        <w:tc>
          <w:tcPr>
            <w:vAlign w:val="center"/>
          </w:tcPr>
          <w:p>
            <w:pPr>
              <w:jc w:val="center"/>
            </w:pPr>
            <w:r>
              <w:rPr>
                <w:color w:val="000000"/>
                <w:sz w:val="24"/>
              </w:rPr>
              <w:t>5</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334,880</w:t>
            </w:r>
          </w:p>
        </w:tc>
        <w:tc>
          <w:tcPr>
            <w:vAlign w:val="center"/>
          </w:tcPr>
          <w:p>
            <w:pPr>
              <w:jc w:val="right"/>
            </w:pPr>
            <w:r>
              <w:rPr>
                <w:color w:val="000000"/>
                <w:sz w:val="24"/>
              </w:rPr>
              <w:t>33,454,512.00</w:t>
            </w:r>
          </w:p>
        </w:tc>
        <w:tc>
          <w:tcPr>
            <w:vAlign w:val="center"/>
          </w:tcPr>
          <w:p>
            <w:pPr>
              <w:jc w:val="right"/>
            </w:pPr>
            <w:r>
              <w:rPr>
                <w:color w:val="000000"/>
                <w:sz w:val="24"/>
              </w:rPr>
              <w:t>3.71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95,647.34</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13,130,770.68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1,148,812.75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14,375,230.77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交银优选回报灵活配置混合A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交银优选回报灵活配置混合C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752,383,023.30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31,850,752.02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297,488,235.15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139,201,761.40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508,400,964.48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9,377,161.55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541,470,293.97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161,675,351.87</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403,470,000.00</w:t>
            </w:r>
          </w:p>
        </w:tc>
        <w:tc>
          <w:tcPr>
            <w:vAlign w:val="center"/>
          </w:tcPr>
          <w:p>
            <w:pPr>
              <w:jc w:val="center"/>
            </w:pPr>
            <w:r>
              <w:rPr>
                <w:rFonts w:ascii="宋体" w:hAnsi="宋体" w:hint="eastAsia"/>
                <w:color w:val="000000"/>
                <w:kern w:val="0"/>
                <w:szCs w:val="21"/>
              </w:rPr>
              <w:t>96,574,000.00</w:t>
            </w:r>
          </w:p>
        </w:tc>
        <w:tc>
          <w:tcPr>
            <w:vAlign w:val="center"/>
          </w:tcPr>
          <w:p>
            <w:pPr>
              <w:jc w:val="center"/>
            </w:pPr>
            <w:r>
              <w:rPr>
                <w:rFonts w:ascii="宋体" w:hAnsi="宋体" w:hint="eastAsia"/>
                <w:color w:val="000000"/>
                <w:kern w:val="0"/>
                <w:szCs w:val="21"/>
              </w:rPr>
              <w:t>13.73%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1、中国证监会准予交银施罗德优选回报灵活配置混合型证券投资基金募集注册的文件；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2、《交银施罗德优选回报灵活配置混合型证券投资基金基金合同》；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3、《交银施罗德优选回报灵活配置混合型证券投资基金招募说明书》；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4、《交银施罗德优选回报灵活配置混合型证券投资基金托管协议》；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5、关于申请募集注册交银施罗德优选回报灵活配置混合型证券投资基金的法律意见书；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8、报告期内交银施罗德优选回报灵活配置混合型证券投资基金在指定报刊上各项公告的原稿。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交银施罗德优选回报灵活配置混合型证券投资基金2020年第3季度报告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