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2015年6月2日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939,521,518.40</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交银多策略回报灵活配置混合A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交银多策略回报灵活配置混合C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519755</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519761</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834,038,813.58</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105,482,704.82</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(2020年7月1日-2020年9月30日)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交银多策略回报灵活配置混合A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交银多策略回报灵活配置混合C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48,780,815.56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8,000,936.40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50,409,833.38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8,235,321.40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0.0673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0.0691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1,136,842,011.50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144,001,246.59</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1.363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1.365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注：1、上述基金A类业绩指标不包括持有人认购或交易基金的各项费用，计入费用后的实际收益水平要低于所列数字；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交银多策略回报灵活配置混合A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5.13%</w:t>
            </w:r>
          </w:p>
        </w:tc>
        <w:tc>
          <w:tcPr>
            <w:vAlign w:val="center"/>
          </w:tcPr>
          <w:p>
            <w:pPr>
              <w:jc w:val="center"/>
            </w:pPr>
            <w:r>
              <w:rPr>
                <w:color w:val="000000"/>
                <w:sz w:val="24"/>
              </w:rPr>
              <w:t>0.28%</w:t>
            </w:r>
          </w:p>
        </w:tc>
        <w:tc>
          <w:tcPr>
            <w:vAlign w:val="center"/>
          </w:tcPr>
          <w:p>
            <w:pPr>
              <w:jc w:val="center"/>
            </w:pPr>
            <w:r>
              <w:rPr>
                <w:color w:val="000000"/>
                <w:sz w:val="24"/>
              </w:rPr>
              <w:t>4.42%</w:t>
            </w:r>
          </w:p>
        </w:tc>
        <w:tc>
          <w:tcPr>
            <w:vAlign w:val="center"/>
          </w:tcPr>
          <w:p>
            <w:pPr>
              <w:jc w:val="center"/>
            </w:pPr>
            <w:r>
              <w:rPr>
                <w:color w:val="000000"/>
                <w:sz w:val="24"/>
              </w:rPr>
              <w:t>0.79%</w:t>
            </w:r>
          </w:p>
        </w:tc>
        <w:tc>
          <w:tcPr>
            <w:vAlign w:val="center"/>
          </w:tcPr>
          <w:p>
            <w:pPr>
              <w:jc w:val="center"/>
            </w:pPr>
            <w:r>
              <w:rPr>
                <w:color w:val="000000"/>
                <w:sz w:val="24"/>
              </w:rPr>
              <w:t>0.71%</w:t>
            </w:r>
          </w:p>
        </w:tc>
        <w:tc>
          <w:tcPr>
            <w:vAlign w:val="center"/>
          </w:tcPr>
          <w:p>
            <w:pPr>
              <w:jc w:val="center"/>
            </w:pPr>
            <w:r>
              <w:rPr>
                <w:color w:val="000000"/>
                <w:sz w:val="24"/>
              </w:rPr>
              <w:t>-0.51%</w:t>
            </w:r>
          </w:p>
        </w:tc>
      </w:tr>
      <w:tr>
        <w:tc>
          <w:tcPr>
            <w:vAlign w:val="center"/>
          </w:tcPr>
          <w:p>
            <w:pPr>
              <w:jc w:val="left"/>
            </w:pPr>
            <w:r>
              <w:rPr>
                <w:color w:val="000000"/>
                <w:sz w:val="24"/>
              </w:rPr>
              <w:t>过去六个月</w:t>
            </w:r>
          </w:p>
        </w:tc>
        <w:tc>
          <w:tcPr>
            <w:vAlign w:val="center"/>
          </w:tcPr>
          <w:p>
            <w:pPr>
              <w:jc w:val="center"/>
            </w:pPr>
            <w:r>
              <w:rPr>
                <w:color w:val="000000"/>
                <w:sz w:val="24"/>
              </w:rPr>
              <w:t>6.56%</w:t>
            </w:r>
          </w:p>
        </w:tc>
        <w:tc>
          <w:tcPr>
            <w:vAlign w:val="center"/>
          </w:tcPr>
          <w:p>
            <w:pPr>
              <w:jc w:val="center"/>
            </w:pPr>
            <w:r>
              <w:rPr>
                <w:color w:val="000000"/>
                <w:sz w:val="24"/>
              </w:rPr>
              <w:t>0.21%</w:t>
            </w:r>
          </w:p>
        </w:tc>
        <w:tc>
          <w:tcPr>
            <w:vAlign w:val="center"/>
          </w:tcPr>
          <w:p>
            <w:pPr>
              <w:jc w:val="center"/>
            </w:pPr>
            <w:r>
              <w:rPr>
                <w:color w:val="000000"/>
                <w:sz w:val="24"/>
              </w:rPr>
              <w:t>10.47%</w:t>
            </w:r>
          </w:p>
        </w:tc>
        <w:tc>
          <w:tcPr>
            <w:vAlign w:val="center"/>
          </w:tcPr>
          <w:p>
            <w:pPr>
              <w:jc w:val="center"/>
            </w:pPr>
            <w:r>
              <w:rPr>
                <w:color w:val="000000"/>
                <w:sz w:val="24"/>
              </w:rPr>
              <w:t>0.65%</w:t>
            </w:r>
          </w:p>
        </w:tc>
        <w:tc>
          <w:tcPr>
            <w:vAlign w:val="center"/>
          </w:tcPr>
          <w:p>
            <w:pPr>
              <w:jc w:val="center"/>
            </w:pPr>
            <w:r>
              <w:rPr>
                <w:color w:val="000000"/>
                <w:sz w:val="24"/>
              </w:rPr>
              <w:t>-3.91%</w:t>
            </w:r>
          </w:p>
        </w:tc>
        <w:tc>
          <w:tcPr>
            <w:vAlign w:val="center"/>
          </w:tcPr>
          <w:p>
            <w:pPr>
              <w:jc w:val="center"/>
            </w:pPr>
            <w:r>
              <w:rPr>
                <w:color w:val="000000"/>
                <w:sz w:val="24"/>
              </w:rPr>
              <w:t>-0.44%</w:t>
            </w:r>
          </w:p>
        </w:tc>
      </w:tr>
      <w:tr>
        <w:tc>
          <w:tcPr>
            <w:vAlign w:val="center"/>
          </w:tcPr>
          <w:p>
            <w:pPr>
              <w:jc w:val="left"/>
            </w:pPr>
            <w:r>
              <w:rPr>
                <w:color w:val="000000"/>
                <w:sz w:val="24"/>
              </w:rPr>
              <w:t>过去一年</w:t>
            </w:r>
          </w:p>
        </w:tc>
        <w:tc>
          <w:tcPr>
            <w:vAlign w:val="center"/>
          </w:tcPr>
          <w:p>
            <w:pPr>
              <w:jc w:val="center"/>
            </w:pPr>
            <w:r>
              <w:rPr>
                <w:color w:val="000000"/>
                <w:sz w:val="24"/>
              </w:rPr>
              <w:t>11.44%</w:t>
            </w:r>
          </w:p>
        </w:tc>
        <w:tc>
          <w:tcPr>
            <w:vAlign w:val="center"/>
          </w:tcPr>
          <w:p>
            <w:pPr>
              <w:jc w:val="center"/>
            </w:pPr>
            <w:r>
              <w:rPr>
                <w:color w:val="000000"/>
                <w:sz w:val="24"/>
              </w:rPr>
              <w:t>0.21%</w:t>
            </w:r>
          </w:p>
        </w:tc>
        <w:tc>
          <w:tcPr>
            <w:vAlign w:val="center"/>
          </w:tcPr>
          <w:p>
            <w:pPr>
              <w:jc w:val="center"/>
            </w:pPr>
            <w:r>
              <w:rPr>
                <w:color w:val="000000"/>
                <w:sz w:val="24"/>
              </w:rPr>
              <w:t>10.31%</w:t>
            </w:r>
          </w:p>
        </w:tc>
        <w:tc>
          <w:tcPr>
            <w:vAlign w:val="center"/>
          </w:tcPr>
          <w:p>
            <w:pPr>
              <w:jc w:val="center"/>
            </w:pPr>
            <w:r>
              <w:rPr>
                <w:color w:val="000000"/>
                <w:sz w:val="24"/>
              </w:rPr>
              <w:t>0.68%</w:t>
            </w:r>
          </w:p>
        </w:tc>
        <w:tc>
          <w:tcPr>
            <w:vAlign w:val="center"/>
          </w:tcPr>
          <w:p>
            <w:pPr>
              <w:jc w:val="center"/>
            </w:pPr>
            <w:r>
              <w:rPr>
                <w:color w:val="000000"/>
                <w:sz w:val="24"/>
              </w:rPr>
              <w:t>1.13%</w:t>
            </w:r>
          </w:p>
        </w:tc>
        <w:tc>
          <w:tcPr>
            <w:vAlign w:val="center"/>
          </w:tcPr>
          <w:p>
            <w:pPr>
              <w:jc w:val="center"/>
            </w:pPr>
            <w:r>
              <w:rPr>
                <w:color w:val="000000"/>
                <w:sz w:val="24"/>
              </w:rPr>
              <w:t>-0.47%</w:t>
            </w:r>
          </w:p>
        </w:tc>
      </w:tr>
      <w:tr>
        <w:tc>
          <w:tcPr>
            <w:vAlign w:val="center"/>
          </w:tcPr>
          <w:p>
            <w:pPr>
              <w:jc w:val="left"/>
            </w:pPr>
            <w:r>
              <w:rPr>
                <w:color w:val="000000"/>
                <w:sz w:val="24"/>
              </w:rPr>
              <w:t>过去三年</w:t>
            </w:r>
          </w:p>
        </w:tc>
        <w:tc>
          <w:tcPr>
            <w:vAlign w:val="center"/>
          </w:tcPr>
          <w:p>
            <w:pPr>
              <w:jc w:val="center"/>
            </w:pPr>
            <w:r>
              <w:rPr>
                <w:color w:val="000000"/>
                <w:sz w:val="24"/>
              </w:rPr>
              <w:t>28.57%</w:t>
            </w:r>
          </w:p>
        </w:tc>
        <w:tc>
          <w:tcPr>
            <w:vAlign w:val="center"/>
          </w:tcPr>
          <w:p>
            <w:pPr>
              <w:jc w:val="center"/>
            </w:pPr>
            <w:r>
              <w:rPr>
                <w:color w:val="000000"/>
                <w:sz w:val="24"/>
              </w:rPr>
              <w:t>0.33%</w:t>
            </w:r>
          </w:p>
        </w:tc>
        <w:tc>
          <w:tcPr>
            <w:vAlign w:val="center"/>
          </w:tcPr>
          <w:p>
            <w:pPr>
              <w:jc w:val="center"/>
            </w:pPr>
            <w:r>
              <w:rPr>
                <w:color w:val="000000"/>
                <w:sz w:val="24"/>
              </w:rPr>
              <w:t>13.54%</w:t>
            </w:r>
          </w:p>
        </w:tc>
        <w:tc>
          <w:tcPr>
            <w:vAlign w:val="center"/>
          </w:tcPr>
          <w:p>
            <w:pPr>
              <w:jc w:val="center"/>
            </w:pPr>
            <w:r>
              <w:rPr>
                <w:color w:val="000000"/>
                <w:sz w:val="24"/>
              </w:rPr>
              <w:t>0.66%</w:t>
            </w:r>
          </w:p>
        </w:tc>
        <w:tc>
          <w:tcPr>
            <w:vAlign w:val="center"/>
          </w:tcPr>
          <w:p>
            <w:pPr>
              <w:jc w:val="center"/>
            </w:pPr>
            <w:r>
              <w:rPr>
                <w:color w:val="000000"/>
                <w:sz w:val="24"/>
              </w:rPr>
              <w:t>15.03%</w:t>
            </w:r>
          </w:p>
        </w:tc>
        <w:tc>
          <w:tcPr>
            <w:vAlign w:val="center"/>
          </w:tcPr>
          <w:p>
            <w:pPr>
              <w:jc w:val="center"/>
            </w:pPr>
            <w:r>
              <w:rPr>
                <w:color w:val="000000"/>
                <w:sz w:val="24"/>
              </w:rPr>
              <w:t>-0.33%</w:t>
            </w:r>
          </w:p>
        </w:tc>
      </w:tr>
      <w:tr>
        <w:tc>
          <w:tcPr>
            <w:vAlign w:val="center"/>
          </w:tcPr>
          <w:p>
            <w:pPr>
              <w:jc w:val="left"/>
            </w:pPr>
            <w:r>
              <w:rPr>
                <w:color w:val="000000"/>
                <w:sz w:val="24"/>
              </w:rPr>
              <w:t>过去五年</w:t>
            </w:r>
          </w:p>
        </w:tc>
        <w:tc>
          <w:tcPr>
            <w:vAlign w:val="center"/>
          </w:tcPr>
          <w:p>
            <w:pPr>
              <w:jc w:val="center"/>
            </w:pPr>
            <w:r>
              <w:rPr>
                <w:color w:val="000000"/>
                <w:sz w:val="24"/>
              </w:rPr>
              <w:t>47.79%</w:t>
            </w:r>
          </w:p>
        </w:tc>
        <w:tc>
          <w:tcPr>
            <w:vAlign w:val="center"/>
          </w:tcPr>
          <w:p>
            <w:pPr>
              <w:jc w:val="center"/>
            </w:pPr>
            <w:r>
              <w:rPr>
                <w:color w:val="000000"/>
                <w:sz w:val="24"/>
              </w:rPr>
              <w:t>0.26%</w:t>
            </w:r>
          </w:p>
        </w:tc>
        <w:tc>
          <w:tcPr>
            <w:vAlign w:val="center"/>
          </w:tcPr>
          <w:p>
            <w:pPr>
              <w:jc w:val="center"/>
            </w:pPr>
            <w:r>
              <w:rPr>
                <w:color w:val="000000"/>
                <w:sz w:val="24"/>
              </w:rPr>
              <w:t>24.05%</w:t>
            </w:r>
          </w:p>
        </w:tc>
        <w:tc>
          <w:tcPr>
            <w:vAlign w:val="center"/>
          </w:tcPr>
          <w:p>
            <w:pPr>
              <w:jc w:val="center"/>
            </w:pPr>
            <w:r>
              <w:rPr>
                <w:color w:val="000000"/>
                <w:sz w:val="24"/>
              </w:rPr>
              <w:t>0.64%</w:t>
            </w:r>
          </w:p>
        </w:tc>
        <w:tc>
          <w:tcPr>
            <w:vAlign w:val="center"/>
          </w:tcPr>
          <w:p>
            <w:pPr>
              <w:jc w:val="center"/>
            </w:pPr>
            <w:r>
              <w:rPr>
                <w:color w:val="000000"/>
                <w:sz w:val="24"/>
              </w:rPr>
              <w:t>23.74%</w:t>
            </w:r>
          </w:p>
        </w:tc>
        <w:tc>
          <w:tcPr>
            <w:vAlign w:val="center"/>
          </w:tcPr>
          <w:p>
            <w:pPr>
              <w:jc w:val="center"/>
            </w:pPr>
            <w:r>
              <w:rPr>
                <w:color w:val="000000"/>
                <w:sz w:val="24"/>
              </w:rPr>
              <w:t>-0.38%</w:t>
            </w:r>
          </w:p>
        </w:tc>
      </w:tr>
      <w:tr>
        <w:tc>
          <w:tcPr>
            <w:vAlign w:val="center"/>
          </w:tcPr>
          <w:p>
            <w:pPr>
              <w:jc w:val="left"/>
            </w:pPr>
            <w:r>
              <w:rPr>
                <w:color w:val="000000"/>
                <w:sz w:val="24"/>
              </w:rPr>
              <w:t>自基金合同生效起至今</w:t>
            </w:r>
          </w:p>
        </w:tc>
        <w:tc>
          <w:tcPr>
            <w:vAlign w:val="center"/>
          </w:tcPr>
          <w:p>
            <w:pPr>
              <w:jc w:val="center"/>
            </w:pPr>
            <w:r>
              <w:rPr>
                <w:color w:val="000000"/>
                <w:sz w:val="24"/>
              </w:rPr>
              <w:t>46.31%</w:t>
            </w:r>
          </w:p>
        </w:tc>
        <w:tc>
          <w:tcPr>
            <w:vAlign w:val="center"/>
          </w:tcPr>
          <w:p>
            <w:pPr>
              <w:jc w:val="center"/>
            </w:pPr>
            <w:r>
              <w:rPr>
                <w:color w:val="000000"/>
                <w:sz w:val="24"/>
              </w:rPr>
              <w:t>0.26%</w:t>
            </w:r>
          </w:p>
        </w:tc>
        <w:tc>
          <w:tcPr>
            <w:vAlign w:val="center"/>
          </w:tcPr>
          <w:p>
            <w:pPr>
              <w:jc w:val="center"/>
            </w:pPr>
            <w:r>
              <w:rPr>
                <w:color w:val="000000"/>
                <w:sz w:val="24"/>
              </w:rPr>
              <w:t>0.31%</w:t>
            </w:r>
          </w:p>
        </w:tc>
        <w:tc>
          <w:tcPr>
            <w:vAlign w:val="center"/>
          </w:tcPr>
          <w:p>
            <w:pPr>
              <w:jc w:val="center"/>
            </w:pPr>
            <w:r>
              <w:rPr>
                <w:color w:val="000000"/>
                <w:sz w:val="24"/>
              </w:rPr>
              <w:t>0.75%</w:t>
            </w:r>
          </w:p>
        </w:tc>
        <w:tc>
          <w:tcPr>
            <w:vAlign w:val="center"/>
          </w:tcPr>
          <w:p>
            <w:pPr>
              <w:jc w:val="center"/>
            </w:pPr>
            <w:r>
              <w:rPr>
                <w:color w:val="000000"/>
                <w:sz w:val="24"/>
              </w:rPr>
              <w:t>46.00%</w:t>
            </w:r>
          </w:p>
        </w:tc>
        <w:tc>
          <w:tcPr>
            <w:vAlign w:val="center"/>
          </w:tcPr>
          <w:p>
            <w:pPr>
              <w:jc w:val="center"/>
            </w:pPr>
            <w:r>
              <w:rPr>
                <w:color w:val="000000"/>
                <w:sz w:val="24"/>
              </w:rPr>
              <w:t>-0.49%</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交银多策略回报灵活配置混合C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5.04%</w:t>
            </w:r>
          </w:p>
        </w:tc>
        <w:tc>
          <w:tcPr>
            <w:vAlign w:val="center"/>
          </w:tcPr>
          <w:p>
            <w:pPr>
              <w:jc w:val="center"/>
            </w:pPr>
            <w:r>
              <w:rPr>
                <w:color w:val="000000"/>
                <w:sz w:val="24"/>
              </w:rPr>
              <w:t>0.28%</w:t>
            </w:r>
          </w:p>
        </w:tc>
        <w:tc>
          <w:tcPr>
            <w:vAlign w:val="center"/>
          </w:tcPr>
          <w:p>
            <w:pPr>
              <w:jc w:val="center"/>
            </w:pPr>
            <w:r>
              <w:rPr>
                <w:color w:val="000000"/>
                <w:sz w:val="24"/>
              </w:rPr>
              <w:t>4.42%</w:t>
            </w:r>
          </w:p>
        </w:tc>
        <w:tc>
          <w:tcPr>
            <w:vAlign w:val="center"/>
          </w:tcPr>
          <w:p>
            <w:pPr>
              <w:jc w:val="center"/>
            </w:pPr>
            <w:r>
              <w:rPr>
                <w:color w:val="000000"/>
                <w:sz w:val="24"/>
              </w:rPr>
              <w:t>0.79%</w:t>
            </w:r>
          </w:p>
        </w:tc>
        <w:tc>
          <w:tcPr>
            <w:vAlign w:val="center"/>
          </w:tcPr>
          <w:p>
            <w:pPr>
              <w:jc w:val="center"/>
            </w:pPr>
            <w:r>
              <w:rPr>
                <w:color w:val="000000"/>
                <w:sz w:val="24"/>
              </w:rPr>
              <w:t>0.62%</w:t>
            </w:r>
          </w:p>
        </w:tc>
        <w:tc>
          <w:tcPr>
            <w:vAlign w:val="center"/>
          </w:tcPr>
          <w:p>
            <w:pPr>
              <w:jc w:val="center"/>
            </w:pPr>
            <w:r>
              <w:rPr>
                <w:color w:val="000000"/>
                <w:sz w:val="24"/>
              </w:rPr>
              <w:t>-0.51%</w:t>
            </w:r>
          </w:p>
        </w:tc>
      </w:tr>
      <w:tr>
        <w:tc>
          <w:tcPr>
            <w:vAlign w:val="center"/>
          </w:tcPr>
          <w:p>
            <w:pPr>
              <w:jc w:val="left"/>
            </w:pPr>
            <w:r>
              <w:rPr>
                <w:color w:val="000000"/>
                <w:sz w:val="24"/>
              </w:rPr>
              <w:t>过去六个月</w:t>
            </w:r>
          </w:p>
        </w:tc>
        <w:tc>
          <w:tcPr>
            <w:vAlign w:val="center"/>
          </w:tcPr>
          <w:p>
            <w:pPr>
              <w:jc w:val="center"/>
            </w:pPr>
            <w:r>
              <w:rPr>
                <w:color w:val="000000"/>
                <w:sz w:val="24"/>
              </w:rPr>
              <w:t>6.39%</w:t>
            </w:r>
          </w:p>
        </w:tc>
        <w:tc>
          <w:tcPr>
            <w:vAlign w:val="center"/>
          </w:tcPr>
          <w:p>
            <w:pPr>
              <w:jc w:val="center"/>
            </w:pPr>
            <w:r>
              <w:rPr>
                <w:color w:val="000000"/>
                <w:sz w:val="24"/>
              </w:rPr>
              <w:t>0.22%</w:t>
            </w:r>
          </w:p>
        </w:tc>
        <w:tc>
          <w:tcPr>
            <w:vAlign w:val="center"/>
          </w:tcPr>
          <w:p>
            <w:pPr>
              <w:jc w:val="center"/>
            </w:pPr>
            <w:r>
              <w:rPr>
                <w:color w:val="000000"/>
                <w:sz w:val="24"/>
              </w:rPr>
              <w:t>10.47%</w:t>
            </w:r>
          </w:p>
        </w:tc>
        <w:tc>
          <w:tcPr>
            <w:vAlign w:val="center"/>
          </w:tcPr>
          <w:p>
            <w:pPr>
              <w:jc w:val="center"/>
            </w:pPr>
            <w:r>
              <w:rPr>
                <w:color w:val="000000"/>
                <w:sz w:val="24"/>
              </w:rPr>
              <w:t>0.65%</w:t>
            </w:r>
          </w:p>
        </w:tc>
        <w:tc>
          <w:tcPr>
            <w:vAlign w:val="center"/>
          </w:tcPr>
          <w:p>
            <w:pPr>
              <w:jc w:val="center"/>
            </w:pPr>
            <w:r>
              <w:rPr>
                <w:color w:val="000000"/>
                <w:sz w:val="24"/>
              </w:rPr>
              <w:t>-4.08%</w:t>
            </w:r>
          </w:p>
        </w:tc>
        <w:tc>
          <w:tcPr>
            <w:vAlign w:val="center"/>
          </w:tcPr>
          <w:p>
            <w:pPr>
              <w:jc w:val="center"/>
            </w:pPr>
            <w:r>
              <w:rPr>
                <w:color w:val="000000"/>
                <w:sz w:val="24"/>
              </w:rPr>
              <w:t>-0.43%</w:t>
            </w:r>
          </w:p>
        </w:tc>
      </w:tr>
      <w:tr>
        <w:tc>
          <w:tcPr>
            <w:vAlign w:val="center"/>
          </w:tcPr>
          <w:p>
            <w:pPr>
              <w:jc w:val="left"/>
            </w:pPr>
            <w:r>
              <w:rPr>
                <w:color w:val="000000"/>
                <w:sz w:val="24"/>
              </w:rPr>
              <w:t>过去一年</w:t>
            </w:r>
          </w:p>
        </w:tc>
        <w:tc>
          <w:tcPr>
            <w:vAlign w:val="center"/>
          </w:tcPr>
          <w:p>
            <w:pPr>
              <w:jc w:val="center"/>
            </w:pPr>
            <w:r>
              <w:rPr>
                <w:color w:val="000000"/>
                <w:sz w:val="24"/>
              </w:rPr>
              <w:t>11.15%</w:t>
            </w:r>
          </w:p>
        </w:tc>
        <w:tc>
          <w:tcPr>
            <w:vAlign w:val="center"/>
          </w:tcPr>
          <w:p>
            <w:pPr>
              <w:jc w:val="center"/>
            </w:pPr>
            <w:r>
              <w:rPr>
                <w:color w:val="000000"/>
                <w:sz w:val="24"/>
              </w:rPr>
              <w:t>0.21%</w:t>
            </w:r>
          </w:p>
        </w:tc>
        <w:tc>
          <w:tcPr>
            <w:vAlign w:val="center"/>
          </w:tcPr>
          <w:p>
            <w:pPr>
              <w:jc w:val="center"/>
            </w:pPr>
            <w:r>
              <w:rPr>
                <w:color w:val="000000"/>
                <w:sz w:val="24"/>
              </w:rPr>
              <w:t>10.31%</w:t>
            </w:r>
          </w:p>
        </w:tc>
        <w:tc>
          <w:tcPr>
            <w:vAlign w:val="center"/>
          </w:tcPr>
          <w:p>
            <w:pPr>
              <w:jc w:val="center"/>
            </w:pPr>
            <w:r>
              <w:rPr>
                <w:color w:val="000000"/>
                <w:sz w:val="24"/>
              </w:rPr>
              <w:t>0.68%</w:t>
            </w:r>
          </w:p>
        </w:tc>
        <w:tc>
          <w:tcPr>
            <w:vAlign w:val="center"/>
          </w:tcPr>
          <w:p>
            <w:pPr>
              <w:jc w:val="center"/>
            </w:pPr>
            <w:r>
              <w:rPr>
                <w:color w:val="000000"/>
                <w:sz w:val="24"/>
              </w:rPr>
              <w:t>0.84%</w:t>
            </w:r>
          </w:p>
        </w:tc>
        <w:tc>
          <w:tcPr>
            <w:vAlign w:val="center"/>
          </w:tcPr>
          <w:p>
            <w:pPr>
              <w:jc w:val="center"/>
            </w:pPr>
            <w:r>
              <w:rPr>
                <w:color w:val="000000"/>
                <w:sz w:val="24"/>
              </w:rPr>
              <w:t>-0.47%</w:t>
            </w:r>
          </w:p>
        </w:tc>
      </w:tr>
      <w:tr>
        <w:tc>
          <w:tcPr>
            <w:vAlign w:val="center"/>
          </w:tcPr>
          <w:p>
            <w:pPr>
              <w:jc w:val="left"/>
            </w:pPr>
            <w:r>
              <w:rPr>
                <w:color w:val="000000"/>
                <w:sz w:val="24"/>
              </w:rPr>
              <w:t>过去三年</w:t>
            </w:r>
          </w:p>
        </w:tc>
        <w:tc>
          <w:tcPr>
            <w:vAlign w:val="center"/>
          </w:tcPr>
          <w:p>
            <w:pPr>
              <w:jc w:val="center"/>
            </w:pPr>
            <w:r>
              <w:rPr>
                <w:color w:val="000000"/>
                <w:sz w:val="24"/>
              </w:rPr>
              <w:t>29.30%</w:t>
            </w:r>
          </w:p>
        </w:tc>
        <w:tc>
          <w:tcPr>
            <w:vAlign w:val="center"/>
          </w:tcPr>
          <w:p>
            <w:pPr>
              <w:jc w:val="center"/>
            </w:pPr>
            <w:r>
              <w:rPr>
                <w:color w:val="000000"/>
                <w:sz w:val="24"/>
              </w:rPr>
              <w:t>0.33%</w:t>
            </w:r>
          </w:p>
        </w:tc>
        <w:tc>
          <w:tcPr>
            <w:vAlign w:val="center"/>
          </w:tcPr>
          <w:p>
            <w:pPr>
              <w:jc w:val="center"/>
            </w:pPr>
            <w:r>
              <w:rPr>
                <w:color w:val="000000"/>
                <w:sz w:val="24"/>
              </w:rPr>
              <w:t>13.54%</w:t>
            </w:r>
          </w:p>
        </w:tc>
        <w:tc>
          <w:tcPr>
            <w:vAlign w:val="center"/>
          </w:tcPr>
          <w:p>
            <w:pPr>
              <w:jc w:val="center"/>
            </w:pPr>
            <w:r>
              <w:rPr>
                <w:color w:val="000000"/>
                <w:sz w:val="24"/>
              </w:rPr>
              <w:t>0.66%</w:t>
            </w:r>
          </w:p>
        </w:tc>
        <w:tc>
          <w:tcPr>
            <w:vAlign w:val="center"/>
          </w:tcPr>
          <w:p>
            <w:pPr>
              <w:jc w:val="center"/>
            </w:pPr>
            <w:r>
              <w:rPr>
                <w:color w:val="000000"/>
                <w:sz w:val="24"/>
              </w:rPr>
              <w:t>15.76%</w:t>
            </w:r>
          </w:p>
        </w:tc>
        <w:tc>
          <w:tcPr>
            <w:vAlign w:val="center"/>
          </w:tcPr>
          <w:p>
            <w:pPr>
              <w:jc w:val="center"/>
            </w:pPr>
            <w:r>
              <w:rPr>
                <w:color w:val="000000"/>
                <w:sz w:val="24"/>
              </w:rPr>
              <w:t>-0.33%</w:t>
            </w:r>
          </w:p>
        </w:tc>
      </w:tr>
      <w:tr>
        <w:tc>
          <w:tcPr>
            <w:vAlign w:val="center"/>
          </w:tcPr>
          <w:p>
            <w:pPr>
              <w:jc w:val="left"/>
            </w:pPr>
            <w:r>
              <w:rPr>
                <w:color w:val="000000"/>
                <w:sz w:val="24"/>
              </w:rPr>
              <w:t>自基金合同生效起至今</w:t>
            </w:r>
          </w:p>
        </w:tc>
        <w:tc>
          <w:tcPr>
            <w:vAlign w:val="center"/>
          </w:tcPr>
          <w:p>
            <w:pPr>
              <w:jc w:val="center"/>
            </w:pPr>
            <w:r>
              <w:rPr>
                <w:color w:val="000000"/>
                <w:sz w:val="24"/>
              </w:rPr>
              <w:t>46.20%</w:t>
            </w:r>
          </w:p>
        </w:tc>
        <w:tc>
          <w:tcPr>
            <w:vAlign w:val="center"/>
          </w:tcPr>
          <w:p>
            <w:pPr>
              <w:jc w:val="center"/>
            </w:pPr>
            <w:r>
              <w:rPr>
                <w:color w:val="000000"/>
                <w:sz w:val="24"/>
              </w:rPr>
              <w:t>0.27%</w:t>
            </w:r>
          </w:p>
        </w:tc>
        <w:tc>
          <w:tcPr>
            <w:vAlign w:val="center"/>
          </w:tcPr>
          <w:p>
            <w:pPr>
              <w:jc w:val="center"/>
            </w:pPr>
            <w:r>
              <w:rPr>
                <w:color w:val="000000"/>
                <w:sz w:val="24"/>
              </w:rPr>
              <w:t>13.96%</w:t>
            </w:r>
          </w:p>
        </w:tc>
        <w:tc>
          <w:tcPr>
            <w:vAlign w:val="center"/>
          </w:tcPr>
          <w:p>
            <w:pPr>
              <w:jc w:val="center"/>
            </w:pPr>
            <w:r>
              <w:rPr>
                <w:color w:val="000000"/>
                <w:sz w:val="24"/>
              </w:rPr>
              <w:t>0.63%</w:t>
            </w:r>
          </w:p>
        </w:tc>
        <w:tc>
          <w:tcPr>
            <w:vAlign w:val="center"/>
          </w:tcPr>
          <w:p>
            <w:pPr>
              <w:jc w:val="center"/>
            </w:pPr>
            <w:r>
              <w:rPr>
                <w:color w:val="000000"/>
                <w:sz w:val="24"/>
              </w:rPr>
              <w:t>32.24%</w:t>
            </w:r>
          </w:p>
        </w:tc>
        <w:tc>
          <w:tcPr>
            <w:vAlign w:val="center"/>
          </w:tcPr>
          <w:p>
            <w:pPr>
              <w:jc w:val="center"/>
            </w:pPr>
            <w:r>
              <w:rPr>
                <w:color w:val="000000"/>
                <w:sz w:val="24"/>
              </w:rPr>
              <w:t>-0.36%</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交银施罗德多策略回报灵活配置混合型证券投资基金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2015年6月2日</w:t>
      </w:r>
      <w:r w:rsidR="009A045B" w:rsidRPr="007F52FA">
        <w:rPr>
          <w:rFonts w:ascii="Times New Roman" w:hAnsi="Times New Roman"/>
          <w:sz w:val="24"/>
          <w:szCs w:val="24"/>
        </w:rPr>
        <w:t>至</w:t>
      </w:r>
      <w:r w:rsidRPr="007F52FA">
        <w:rPr>
          <w:rFonts w:ascii="Times New Roman" w:hAnsi="Times New Roman"/>
          <w:sz w:val="24"/>
          <w:szCs w:val="24"/>
        </w:rPr>
        <w:t>2020年9月30日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注：图示日期为2015年6月2日至2020年9月30日。本基金建仓期为自基金合同生效日起的6个月。截至建仓期结束，本基金各项资产配置比例符合基金合同及招募说明书有关投资比例的约定。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交银多策略回报灵活配置混合C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注：本基金自2015年11月19日起，开始销售C类份额，投资者提交的申购申请于2015年11月20日被确认并将有效份额登记在册。图示日期为2015年11月20日至2020年9月30日。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2020-07-23</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2018年2月13日至2020年7月22日担任交银施罗德定期支付月月丰债券型证券投资基金、交银施罗德增强收益债券型证券投资基金（原交银荣泰保本）、交银施罗德强化回报债券型证券投资基金、交银施罗德增利增强债券型证券投资基金的基金经理。2019年2月28日至2020年7月22日担任交银施罗德稳固收益债券型证券投资基金（原交银荣祥保本)的基金经理。2019年7月20日至2020年7月22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r>
        <w:tc>
          <w:tcPr>
            <w:vAlign w:val="center"/>
          </w:tcPr>
          <w:p>
            <w:pPr>
              <w:jc w:val="center"/>
            </w:pPr>
            <w:r>
              <w:rPr>
                <w:color w:val="000000"/>
                <w:sz w:val="24"/>
              </w:rPr>
              <w:t>王艺伟</w:t>
            </w:r>
          </w:p>
        </w:tc>
        <w:tc>
          <w:tcPr>
            <w:vAlign w:val="center"/>
          </w:tcPr>
          <w:p>
            <w:pPr>
              <w:jc w:val="center"/>
            </w:pPr>
            <w:r>
              <w:rPr>
                <w:color w:val="000000"/>
                <w:sz w:val="24"/>
              </w:rPr>
              <w:t>交银周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的基金经理</w:t>
            </w:r>
          </w:p>
        </w:tc>
        <w:tc>
          <w:tcPr>
            <w:vAlign w:val="center"/>
          </w:tcPr>
          <w:p>
            <w:pPr>
              <w:jc w:val="center"/>
            </w:pPr>
            <w:r>
              <w:rPr>
                <w:color w:val="000000"/>
                <w:sz w:val="24"/>
              </w:rPr>
              <w:t>2020-07-09</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王艺伟女士，北京大学经济学硕士，吉林大学经济学学士、理学学士。2012年-2014年任光大证券研究所宏观分析师。2014年9月加入交银施罗德基金管理有限公司，历任研究员、研究部助理总经理、基金经理助理。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受货币政策回归常态、债券供给增加等因素影响，债券市场收益率震荡上行。七月，由于中观行业数据持续改善，叠加特别国债发行催化，债券收益率快速上行，此后受海外冲突带来的避险情绪及资金面影响转而向下。八月，债券发行、公开市场操作相对中性令资金面持续紧平衡，银行同业存单发行利率不断提升，中短端债券收益率上行更多，曲线呈现熊平。九月，央行通过公开市场操作平抑跨季资金价格，海外风险事件不断，债券收益率呈现震荡走势。</w:t>
      </w:r>
    </w:p>
    <w:p>
      <w:pPr>
        <w:spacing w:before="29" w:line="288" w:lineRule="auto"/>
        <w:ind w:firstLine="480" w:firstLineChars="200"/>
        <w:rPr>
          <w:color w:val="000000"/>
          <w:sz w:val="24"/>
        </w:rPr>
      </w:pPr>
      <w:r>
        <w:rPr>
          <w:color w:val="000000"/>
          <w:sz w:val="24"/>
        </w:rPr>
        <w:t>2020年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w:t>
      </w:r>
    </w:p>
    <w:p>
      <w:pPr>
        <w:spacing w:before="29" w:line="288" w:lineRule="auto"/>
        <w:ind w:firstLine="480" w:firstLineChars="200"/>
        <w:rPr>
          <w:color w:val="000000"/>
          <w:sz w:val="24"/>
        </w:rPr>
      </w:pPr>
      <w:r>
        <w:rPr>
          <w:color w:val="000000"/>
          <w:sz w:val="24"/>
        </w:rPr>
        <w:t>在基金操作中，债券部分我们维持中短久期高等级信用债的底仓配置，以获取稳定的票息收益。权益方面，二季度我们提升了消费电子、军工以及新能源等成长方向的仓位，三季度我们则根据持仓标的估值情况，降仓了部分纯beta的仓位，并在低估值板块内部根据基本面做了置换。此外，本基金积极参与权益及转债的一级申购，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四季度，我们预计经济将会继续磨底，随着货币政策回归中性，债券市场或将维持震荡格局。本基金将适度运用杠杆，维持底仓中短久期高等级信用债品种配置，谨慎把握债券供给、避险情绪带来的长债交易性机会。权益市场的机会更可能集中在景气度持续转好的细分行业龙头。在行业选择中，我们拟维持底仓相对均衡的配置策略，在配置金融等盈利稳定的品种同时，继续关注成长赛道中业绩能够持续改善的优质标的。此外，我们将继续积极参加权益及转债的一级申购，努力为投资者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165,823,285.15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12.89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165,823,285.15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12.89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1,079,841,935.98</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83.96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1,079,841,935.98</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83.96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8,000,000.00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0.62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12,032,693.46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0.94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20,377,337.15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1,286,075,251.74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3,756,807.00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0.29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94,203,124.19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7.35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4,589,430.12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0.36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2,870,554.03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0.22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5,284,788.36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5,201,180.51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24,469,769.39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1.91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18,838,466.27</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1.47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14,813.40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6,549,218.62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45,133.26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165,823,285.15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12.95</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765,343</w:t>
            </w:r>
          </w:p>
        </w:tc>
        <w:tc>
          <w:tcPr>
            <w:vAlign w:val="center"/>
          </w:tcPr>
          <w:p>
            <w:pPr>
              <w:jc w:val="right"/>
            </w:pPr>
            <w:r>
              <w:rPr>
                <w:color w:val="000000"/>
                <w:sz w:val="24"/>
              </w:rPr>
              <w:t>12,161,300.27</w:t>
            </w:r>
          </w:p>
        </w:tc>
        <w:tc>
          <w:tcPr>
            <w:vAlign w:val="center"/>
          </w:tcPr>
          <w:p>
            <w:pPr>
              <w:jc w:val="right"/>
            </w:pPr>
            <w:r>
              <w:rPr>
                <w:color w:val="000000"/>
                <w:sz w:val="24"/>
              </w:rPr>
              <w:t>0.95</w:t>
            </w:r>
          </w:p>
        </w:tc>
      </w:tr>
      <w:tr>
        <w:tc>
          <w:tcPr>
            <w:vAlign w:val="center"/>
          </w:tcPr>
          <w:p>
            <w:pPr>
              <w:jc w:val="center"/>
            </w:pPr>
            <w:r>
              <w:rPr>
                <w:color w:val="000000"/>
                <w:sz w:val="24"/>
              </w:rPr>
              <w:t>2</w:t>
            </w:r>
          </w:p>
        </w:tc>
        <w:tc>
          <w:tcPr>
            <w:vAlign w:val="center"/>
          </w:tcPr>
          <w:p>
            <w:pPr>
              <w:jc w:val="center"/>
            </w:pPr>
            <w:r>
              <w:rPr>
                <w:color w:val="000000"/>
                <w:sz w:val="24"/>
              </w:rPr>
              <w:t>002475</w:t>
            </w:r>
          </w:p>
        </w:tc>
        <w:tc>
          <w:tcPr>
            <w:vAlign w:val="center"/>
          </w:tcPr>
          <w:p>
            <w:pPr>
              <w:jc w:val="center"/>
            </w:pPr>
            <w:r>
              <w:rPr>
                <w:color w:val="000000"/>
                <w:sz w:val="24"/>
              </w:rPr>
              <w:t>立讯精密</w:t>
            </w:r>
          </w:p>
        </w:tc>
        <w:tc>
          <w:tcPr>
            <w:vAlign w:val="center"/>
          </w:tcPr>
          <w:p>
            <w:pPr>
              <w:jc w:val="right"/>
            </w:pPr>
            <w:r>
              <w:rPr>
                <w:color w:val="000000"/>
                <w:sz w:val="24"/>
              </w:rPr>
              <w:t>160,676</w:t>
            </w:r>
          </w:p>
        </w:tc>
        <w:tc>
          <w:tcPr>
            <w:vAlign w:val="center"/>
          </w:tcPr>
          <w:p>
            <w:pPr>
              <w:jc w:val="right"/>
            </w:pPr>
            <w:r>
              <w:rPr>
                <w:color w:val="000000"/>
                <w:sz w:val="24"/>
              </w:rPr>
              <w:t>9,179,419.88</w:t>
            </w:r>
          </w:p>
        </w:tc>
        <w:tc>
          <w:tcPr>
            <w:vAlign w:val="center"/>
          </w:tcPr>
          <w:p>
            <w:pPr>
              <w:jc w:val="right"/>
            </w:pPr>
            <w:r>
              <w:rPr>
                <w:color w:val="000000"/>
                <w:sz w:val="24"/>
              </w:rPr>
              <w:t>0.72</w:t>
            </w:r>
          </w:p>
        </w:tc>
      </w:tr>
      <w:tr>
        <w:tc>
          <w:tcPr>
            <w:vAlign w:val="center"/>
          </w:tcPr>
          <w:p>
            <w:pPr>
              <w:jc w:val="center"/>
            </w:pPr>
            <w:r>
              <w:rPr>
                <w:color w:val="000000"/>
                <w:sz w:val="24"/>
              </w:rPr>
              <w:t>3</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278,600</w:t>
            </w:r>
          </w:p>
        </w:tc>
        <w:tc>
          <w:tcPr>
            <w:vAlign w:val="center"/>
          </w:tcPr>
          <w:p>
            <w:pPr>
              <w:jc w:val="right"/>
            </w:pPr>
            <w:r>
              <w:rPr>
                <w:color w:val="000000"/>
                <w:sz w:val="24"/>
              </w:rPr>
              <w:t>8,695,106.00</w:t>
            </w:r>
          </w:p>
        </w:tc>
        <w:tc>
          <w:tcPr>
            <w:vAlign w:val="center"/>
          </w:tcPr>
          <w:p>
            <w:pPr>
              <w:jc w:val="right"/>
            </w:pPr>
            <w:r>
              <w:rPr>
                <w:color w:val="000000"/>
                <w:sz w:val="24"/>
              </w:rPr>
              <w:t>0.68</w:t>
            </w:r>
          </w:p>
        </w:tc>
      </w:tr>
      <w:tr>
        <w:tc>
          <w:tcPr>
            <w:vAlign w:val="center"/>
          </w:tcPr>
          <w:p>
            <w:pPr>
              <w:jc w:val="center"/>
            </w:pPr>
            <w:r>
              <w:rPr>
                <w:color w:val="000000"/>
                <w:sz w:val="24"/>
              </w:rPr>
              <w:t>4</w:t>
            </w:r>
          </w:p>
        </w:tc>
        <w:tc>
          <w:tcPr>
            <w:vAlign w:val="center"/>
          </w:tcPr>
          <w:p>
            <w:pPr>
              <w:jc w:val="center"/>
            </w:pPr>
            <w:r>
              <w:rPr>
                <w:color w:val="000000"/>
                <w:sz w:val="24"/>
              </w:rPr>
              <w:t>002064</w:t>
            </w:r>
          </w:p>
        </w:tc>
        <w:tc>
          <w:tcPr>
            <w:vAlign w:val="center"/>
          </w:tcPr>
          <w:p>
            <w:pPr>
              <w:jc w:val="center"/>
            </w:pPr>
            <w:r>
              <w:rPr>
                <w:color w:val="000000"/>
                <w:sz w:val="24"/>
              </w:rPr>
              <w:t>华峰氨纶</w:t>
            </w:r>
          </w:p>
        </w:tc>
        <w:tc>
          <w:tcPr>
            <w:vAlign w:val="center"/>
          </w:tcPr>
          <w:p>
            <w:pPr>
              <w:jc w:val="right"/>
            </w:pPr>
            <w:r>
              <w:rPr>
                <w:color w:val="000000"/>
                <w:sz w:val="24"/>
              </w:rPr>
              <w:t>1,170,800</w:t>
            </w:r>
          </w:p>
        </w:tc>
        <w:tc>
          <w:tcPr>
            <w:vAlign w:val="center"/>
          </w:tcPr>
          <w:p>
            <w:pPr>
              <w:jc w:val="right"/>
            </w:pPr>
            <w:r>
              <w:rPr>
                <w:color w:val="000000"/>
                <w:sz w:val="24"/>
              </w:rPr>
              <w:t>8,523,424.00</w:t>
            </w:r>
          </w:p>
        </w:tc>
        <w:tc>
          <w:tcPr>
            <w:vAlign w:val="center"/>
          </w:tcPr>
          <w:p>
            <w:pPr>
              <w:jc w:val="right"/>
            </w:pPr>
            <w:r>
              <w:rPr>
                <w:color w:val="000000"/>
                <w:sz w:val="24"/>
              </w:rPr>
              <w:t>0.67</w:t>
            </w:r>
          </w:p>
        </w:tc>
      </w:tr>
      <w:tr>
        <w:tc>
          <w:tcPr>
            <w:vAlign w:val="center"/>
          </w:tcPr>
          <w:p>
            <w:pPr>
              <w:jc w:val="center"/>
            </w:pPr>
            <w:r>
              <w:rPr>
                <w:color w:val="000000"/>
                <w:sz w:val="24"/>
              </w:rPr>
              <w:t>5</w:t>
            </w:r>
          </w:p>
        </w:tc>
        <w:tc>
          <w:tcPr>
            <w:vAlign w:val="center"/>
          </w:tcPr>
          <w:p>
            <w:pPr>
              <w:jc w:val="center"/>
            </w:pPr>
            <w:r>
              <w:rPr>
                <w:color w:val="000000"/>
                <w:sz w:val="24"/>
              </w:rPr>
              <w:t>000002</w:t>
            </w:r>
          </w:p>
        </w:tc>
        <w:tc>
          <w:tcPr>
            <w:vAlign w:val="center"/>
          </w:tcPr>
          <w:p>
            <w:pPr>
              <w:jc w:val="center"/>
            </w:pPr>
            <w:r>
              <w:rPr>
                <w:color w:val="000000"/>
                <w:sz w:val="24"/>
              </w:rPr>
              <w:t>万科A</w:t>
            </w:r>
          </w:p>
        </w:tc>
        <w:tc>
          <w:tcPr>
            <w:vAlign w:val="center"/>
          </w:tcPr>
          <w:p>
            <w:pPr>
              <w:jc w:val="right"/>
            </w:pPr>
            <w:r>
              <w:rPr>
                <w:color w:val="000000"/>
                <w:sz w:val="24"/>
              </w:rPr>
              <w:t>238,300</w:t>
            </w:r>
          </w:p>
        </w:tc>
        <w:tc>
          <w:tcPr>
            <w:vAlign w:val="center"/>
          </w:tcPr>
          <w:p>
            <w:pPr>
              <w:jc w:val="right"/>
            </w:pPr>
            <w:r>
              <w:rPr>
                <w:color w:val="000000"/>
                <w:sz w:val="24"/>
              </w:rPr>
              <w:t>6,677,166.00</w:t>
            </w:r>
          </w:p>
        </w:tc>
        <w:tc>
          <w:tcPr>
            <w:vAlign w:val="center"/>
          </w:tcPr>
          <w:p>
            <w:pPr>
              <w:jc w:val="right"/>
            </w:pPr>
            <w:r>
              <w:rPr>
                <w:color w:val="000000"/>
                <w:sz w:val="24"/>
              </w:rPr>
              <w:t>0.52</w:t>
            </w:r>
          </w:p>
        </w:tc>
      </w:tr>
      <w:tr>
        <w:tc>
          <w:tcPr>
            <w:vAlign w:val="center"/>
          </w:tcPr>
          <w:p>
            <w:pPr>
              <w:jc w:val="center"/>
            </w:pPr>
            <w:r>
              <w:rPr>
                <w:color w:val="000000"/>
                <w:sz w:val="24"/>
              </w:rPr>
              <w:t>6</w:t>
            </w:r>
          </w:p>
        </w:tc>
        <w:tc>
          <w:tcPr>
            <w:vAlign w:val="center"/>
          </w:tcPr>
          <w:p>
            <w:pPr>
              <w:jc w:val="center"/>
            </w:pPr>
            <w:r>
              <w:rPr>
                <w:color w:val="000000"/>
                <w:sz w:val="24"/>
              </w:rPr>
              <w:t>601838</w:t>
            </w:r>
          </w:p>
        </w:tc>
        <w:tc>
          <w:tcPr>
            <w:vAlign w:val="center"/>
          </w:tcPr>
          <w:p>
            <w:pPr>
              <w:jc w:val="center"/>
            </w:pPr>
            <w:r>
              <w:rPr>
                <w:color w:val="000000"/>
                <w:sz w:val="24"/>
              </w:rPr>
              <w:t>成都银行</w:t>
            </w:r>
          </w:p>
        </w:tc>
        <w:tc>
          <w:tcPr>
            <w:vAlign w:val="center"/>
          </w:tcPr>
          <w:p>
            <w:pPr>
              <w:jc w:val="right"/>
            </w:pPr>
            <w:r>
              <w:rPr>
                <w:color w:val="000000"/>
                <w:sz w:val="24"/>
              </w:rPr>
              <w:t>671,700</w:t>
            </w:r>
          </w:p>
        </w:tc>
        <w:tc>
          <w:tcPr>
            <w:vAlign w:val="center"/>
          </w:tcPr>
          <w:p>
            <w:pPr>
              <w:jc w:val="right"/>
            </w:pPr>
            <w:r>
              <w:rPr>
                <w:color w:val="000000"/>
                <w:sz w:val="24"/>
              </w:rPr>
              <w:t>6,636,396.00</w:t>
            </w:r>
          </w:p>
        </w:tc>
        <w:tc>
          <w:tcPr>
            <w:vAlign w:val="center"/>
          </w:tcPr>
          <w:p>
            <w:pPr>
              <w:jc w:val="right"/>
            </w:pPr>
            <w:r>
              <w:rPr>
                <w:color w:val="000000"/>
                <w:sz w:val="24"/>
              </w:rPr>
              <w:t>0.52</w:t>
            </w:r>
          </w:p>
        </w:tc>
      </w:tr>
      <w:tr>
        <w:tc>
          <w:tcPr>
            <w:vAlign w:val="center"/>
          </w:tcPr>
          <w:p>
            <w:pPr>
              <w:jc w:val="center"/>
            </w:pPr>
            <w:r>
              <w:rPr>
                <w:color w:val="000000"/>
                <w:sz w:val="24"/>
              </w:rPr>
              <w:t>7</w:t>
            </w:r>
          </w:p>
        </w:tc>
        <w:tc>
          <w:tcPr>
            <w:vAlign w:val="center"/>
          </w:tcPr>
          <w:p>
            <w:pPr>
              <w:jc w:val="center"/>
            </w:pPr>
            <w:r>
              <w:rPr>
                <w:color w:val="000000"/>
                <w:sz w:val="24"/>
              </w:rPr>
              <w:t>002493</w:t>
            </w:r>
          </w:p>
        </w:tc>
        <w:tc>
          <w:tcPr>
            <w:vAlign w:val="center"/>
          </w:tcPr>
          <w:p>
            <w:pPr>
              <w:jc w:val="center"/>
            </w:pPr>
            <w:r>
              <w:rPr>
                <w:color w:val="000000"/>
                <w:sz w:val="24"/>
              </w:rPr>
              <w:t>荣盛石化</w:t>
            </w:r>
          </w:p>
        </w:tc>
        <w:tc>
          <w:tcPr>
            <w:vAlign w:val="center"/>
          </w:tcPr>
          <w:p>
            <w:pPr>
              <w:jc w:val="right"/>
            </w:pPr>
            <w:r>
              <w:rPr>
                <w:color w:val="000000"/>
                <w:sz w:val="24"/>
              </w:rPr>
              <w:t>352,000</w:t>
            </w:r>
          </w:p>
        </w:tc>
        <w:tc>
          <w:tcPr>
            <w:vAlign w:val="center"/>
          </w:tcPr>
          <w:p>
            <w:pPr>
              <w:jc w:val="right"/>
            </w:pPr>
            <w:r>
              <w:rPr>
                <w:color w:val="000000"/>
                <w:sz w:val="24"/>
              </w:rPr>
              <w:t>6,603,520.00</w:t>
            </w:r>
          </w:p>
        </w:tc>
        <w:tc>
          <w:tcPr>
            <w:vAlign w:val="center"/>
          </w:tcPr>
          <w:p>
            <w:pPr>
              <w:jc w:val="right"/>
            </w:pPr>
            <w:r>
              <w:rPr>
                <w:color w:val="000000"/>
                <w:sz w:val="24"/>
              </w:rPr>
              <w:t>0.52</w:t>
            </w:r>
          </w:p>
        </w:tc>
      </w:tr>
      <w:tr>
        <w:tc>
          <w:tcPr>
            <w:vAlign w:val="center"/>
          </w:tcPr>
          <w:p>
            <w:pPr>
              <w:jc w:val="center"/>
            </w:pPr>
            <w:r>
              <w:rPr>
                <w:color w:val="000000"/>
                <w:sz w:val="24"/>
              </w:rPr>
              <w:t>8</w:t>
            </w:r>
          </w:p>
        </w:tc>
        <w:tc>
          <w:tcPr>
            <w:vAlign w:val="center"/>
          </w:tcPr>
          <w:p>
            <w:pPr>
              <w:jc w:val="center"/>
            </w:pPr>
            <w:r>
              <w:rPr>
                <w:color w:val="000000"/>
                <w:sz w:val="24"/>
              </w:rPr>
              <w:t>300070</w:t>
            </w:r>
          </w:p>
        </w:tc>
        <w:tc>
          <w:tcPr>
            <w:vAlign w:val="center"/>
          </w:tcPr>
          <w:p>
            <w:pPr>
              <w:jc w:val="center"/>
            </w:pPr>
            <w:r>
              <w:rPr>
                <w:color w:val="000000"/>
                <w:sz w:val="24"/>
              </w:rPr>
              <w:t>碧水源</w:t>
            </w:r>
          </w:p>
        </w:tc>
        <w:tc>
          <w:tcPr>
            <w:vAlign w:val="center"/>
          </w:tcPr>
          <w:p>
            <w:pPr>
              <w:jc w:val="right"/>
            </w:pPr>
            <w:r>
              <w:rPr>
                <w:color w:val="000000"/>
                <w:sz w:val="24"/>
              </w:rPr>
              <w:t>744,700</w:t>
            </w:r>
          </w:p>
        </w:tc>
        <w:tc>
          <w:tcPr>
            <w:vAlign w:val="center"/>
          </w:tcPr>
          <w:p>
            <w:pPr>
              <w:jc w:val="right"/>
            </w:pPr>
            <w:r>
              <w:rPr>
                <w:color w:val="000000"/>
                <w:sz w:val="24"/>
              </w:rPr>
              <w:t>6,478,890.00</w:t>
            </w:r>
          </w:p>
        </w:tc>
        <w:tc>
          <w:tcPr>
            <w:vAlign w:val="center"/>
          </w:tcPr>
          <w:p>
            <w:pPr>
              <w:jc w:val="right"/>
            </w:pPr>
            <w:r>
              <w:rPr>
                <w:color w:val="000000"/>
                <w:sz w:val="24"/>
              </w:rPr>
              <w:t>0.51</w:t>
            </w:r>
          </w:p>
        </w:tc>
      </w:tr>
      <w:tr>
        <w:tc>
          <w:tcPr>
            <w:vAlign w:val="center"/>
          </w:tcPr>
          <w:p>
            <w:pPr>
              <w:jc w:val="center"/>
            </w:pPr>
            <w:r>
              <w:rPr>
                <w:color w:val="000000"/>
                <w:sz w:val="24"/>
              </w:rPr>
              <w:t>9</w:t>
            </w:r>
          </w:p>
        </w:tc>
        <w:tc>
          <w:tcPr>
            <w:vAlign w:val="center"/>
          </w:tcPr>
          <w:p>
            <w:pPr>
              <w:jc w:val="center"/>
            </w:pPr>
            <w:r>
              <w:rPr>
                <w:color w:val="000000"/>
                <w:sz w:val="24"/>
              </w:rPr>
              <w:t>600019</w:t>
            </w:r>
          </w:p>
        </w:tc>
        <w:tc>
          <w:tcPr>
            <w:vAlign w:val="center"/>
          </w:tcPr>
          <w:p>
            <w:pPr>
              <w:jc w:val="center"/>
            </w:pPr>
            <w:r>
              <w:rPr>
                <w:color w:val="000000"/>
                <w:sz w:val="24"/>
              </w:rPr>
              <w:t>宝钢股份</w:t>
            </w:r>
          </w:p>
        </w:tc>
        <w:tc>
          <w:tcPr>
            <w:vAlign w:val="center"/>
          </w:tcPr>
          <w:p>
            <w:pPr>
              <w:jc w:val="right"/>
            </w:pPr>
            <w:r>
              <w:rPr>
                <w:color w:val="000000"/>
                <w:sz w:val="24"/>
              </w:rPr>
              <w:t>1,248,800</w:t>
            </w:r>
          </w:p>
        </w:tc>
        <w:tc>
          <w:tcPr>
            <w:vAlign w:val="center"/>
          </w:tcPr>
          <w:p>
            <w:pPr>
              <w:jc w:val="right"/>
            </w:pPr>
            <w:r>
              <w:rPr>
                <w:color w:val="000000"/>
                <w:sz w:val="24"/>
              </w:rPr>
              <w:t>6,231,512.00</w:t>
            </w:r>
          </w:p>
        </w:tc>
        <w:tc>
          <w:tcPr>
            <w:vAlign w:val="center"/>
          </w:tcPr>
          <w:p>
            <w:pPr>
              <w:jc w:val="right"/>
            </w:pPr>
            <w:r>
              <w:rPr>
                <w:color w:val="000000"/>
                <w:sz w:val="24"/>
              </w:rPr>
              <w:t>0.49</w:t>
            </w:r>
          </w:p>
        </w:tc>
      </w:tr>
      <w:tr>
        <w:tc>
          <w:tcPr>
            <w:vAlign w:val="center"/>
          </w:tcPr>
          <w:p>
            <w:pPr>
              <w:jc w:val="center"/>
            </w:pPr>
            <w:r>
              <w:rPr>
                <w:color w:val="000000"/>
                <w:sz w:val="24"/>
              </w:rPr>
              <w:t>10</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169,800</w:t>
            </w:r>
          </w:p>
        </w:tc>
        <w:tc>
          <w:tcPr>
            <w:vAlign w:val="center"/>
          </w:tcPr>
          <w:p>
            <w:pPr>
              <w:jc w:val="right"/>
            </w:pPr>
            <w:r>
              <w:rPr>
                <w:color w:val="000000"/>
                <w:sz w:val="24"/>
              </w:rPr>
              <w:t>6,112,800.00</w:t>
            </w:r>
          </w:p>
        </w:tc>
        <w:tc>
          <w:tcPr>
            <w:vAlign w:val="center"/>
          </w:tcPr>
          <w:p>
            <w:pPr>
              <w:jc w:val="right"/>
            </w:pPr>
            <w:r>
              <w:rPr>
                <w:color w:val="000000"/>
                <w:sz w:val="24"/>
              </w:rPr>
              <w:t>0.48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65,981,969.90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5.15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2,329,662.60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0.18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2,329,662.60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0.18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240,124,800.00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18.75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49,875,000.00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3.89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721,250,000.00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56.31</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280,503.48</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0.02</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1,079,841,935.98</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84.31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019627</w:t>
            </w:r>
          </w:p>
        </w:tc>
        <w:tc>
          <w:tcPr>
            <w:vAlign w:val="center"/>
          </w:tcPr>
          <w:p>
            <w:pPr>
              <w:jc w:val="center"/>
            </w:pPr>
            <w:r>
              <w:rPr>
                <w:color w:val="000000"/>
                <w:sz w:val="24"/>
              </w:rPr>
              <w:t>20国债01</w:t>
            </w:r>
          </w:p>
        </w:tc>
        <w:tc>
          <w:tcPr>
            <w:vAlign w:val="center"/>
          </w:tcPr>
          <w:p>
            <w:pPr>
              <w:jc w:val="right"/>
            </w:pPr>
            <w:r>
              <w:rPr>
                <w:color w:val="000000"/>
                <w:sz w:val="24"/>
              </w:rPr>
              <w:t>508,480</w:t>
            </w:r>
          </w:p>
        </w:tc>
        <w:tc>
          <w:tcPr>
            <w:vAlign w:val="center"/>
          </w:tcPr>
          <w:p>
            <w:pPr>
              <w:jc w:val="right"/>
            </w:pPr>
            <w:r>
              <w:rPr>
                <w:color w:val="000000"/>
                <w:sz w:val="24"/>
              </w:rPr>
              <w:t>50,797,152.00</w:t>
            </w:r>
          </w:p>
        </w:tc>
        <w:tc>
          <w:tcPr>
            <w:vAlign w:val="center"/>
          </w:tcPr>
          <w:p>
            <w:pPr>
              <w:jc w:val="right"/>
            </w:pPr>
            <w:r>
              <w:rPr>
                <w:color w:val="000000"/>
                <w:sz w:val="24"/>
              </w:rPr>
              <w:t>3.97</w:t>
            </w:r>
          </w:p>
        </w:tc>
      </w:tr>
      <w:tr>
        <w:tc>
          <w:tcPr>
            <w:vAlign w:val="center"/>
          </w:tcPr>
          <w:p>
            <w:pPr>
              <w:jc w:val="center"/>
            </w:pPr>
            <w:r>
              <w:rPr>
                <w:color w:val="000000"/>
                <w:sz w:val="24"/>
              </w:rPr>
              <w:t>2</w:t>
            </w:r>
          </w:p>
        </w:tc>
        <w:tc>
          <w:tcPr>
            <w:vAlign w:val="center"/>
          </w:tcPr>
          <w:p>
            <w:pPr>
              <w:jc w:val="center"/>
            </w:pPr>
            <w:r>
              <w:rPr>
                <w:color w:val="000000"/>
                <w:sz w:val="24"/>
              </w:rPr>
              <w:t>101900630</w:t>
            </w:r>
          </w:p>
        </w:tc>
        <w:tc>
          <w:tcPr>
            <w:vAlign w:val="center"/>
          </w:tcPr>
          <w:p>
            <w:pPr>
              <w:jc w:val="center"/>
            </w:pPr>
            <w:r>
              <w:rPr>
                <w:color w:val="000000"/>
                <w:sz w:val="24"/>
              </w:rPr>
              <w:t>19京国资MTN001</w:t>
            </w:r>
          </w:p>
        </w:tc>
        <w:tc>
          <w:tcPr>
            <w:vAlign w:val="center"/>
          </w:tcPr>
          <w:p>
            <w:pPr>
              <w:jc w:val="right"/>
            </w:pPr>
            <w:r>
              <w:rPr>
                <w:color w:val="000000"/>
                <w:sz w:val="24"/>
              </w:rPr>
              <w:t>400,000</w:t>
            </w:r>
          </w:p>
        </w:tc>
        <w:tc>
          <w:tcPr>
            <w:vAlign w:val="center"/>
          </w:tcPr>
          <w:p>
            <w:pPr>
              <w:jc w:val="right"/>
            </w:pPr>
            <w:r>
              <w:rPr>
                <w:color w:val="000000"/>
                <w:sz w:val="24"/>
              </w:rPr>
              <w:t>40,440,000.00</w:t>
            </w:r>
          </w:p>
        </w:tc>
        <w:tc>
          <w:tcPr>
            <w:vAlign w:val="center"/>
          </w:tcPr>
          <w:p>
            <w:pPr>
              <w:jc w:val="right"/>
            </w:pPr>
            <w:r>
              <w:rPr>
                <w:color w:val="000000"/>
                <w:sz w:val="24"/>
              </w:rPr>
              <w:t>3.16</w:t>
            </w:r>
          </w:p>
        </w:tc>
      </w:tr>
      <w:tr>
        <w:tc>
          <w:tcPr>
            <w:vAlign w:val="center"/>
          </w:tcPr>
          <w:p>
            <w:pPr>
              <w:jc w:val="center"/>
            </w:pPr>
            <w:r>
              <w:rPr>
                <w:color w:val="000000"/>
                <w:sz w:val="24"/>
              </w:rPr>
              <w:t>3</w:t>
            </w:r>
          </w:p>
        </w:tc>
        <w:tc>
          <w:tcPr>
            <w:vAlign w:val="center"/>
          </w:tcPr>
          <w:p>
            <w:pPr>
              <w:jc w:val="center"/>
            </w:pPr>
            <w:r>
              <w:rPr>
                <w:color w:val="000000"/>
                <w:sz w:val="24"/>
              </w:rPr>
              <w:t>102000048</w:t>
            </w:r>
          </w:p>
        </w:tc>
        <w:tc>
          <w:tcPr>
            <w:vAlign w:val="center"/>
          </w:tcPr>
          <w:p>
            <w:pPr>
              <w:jc w:val="center"/>
            </w:pPr>
            <w:r>
              <w:rPr>
                <w:color w:val="000000"/>
                <w:sz w:val="24"/>
              </w:rPr>
              <w:t>20中金集MTN001</w:t>
            </w:r>
          </w:p>
        </w:tc>
        <w:tc>
          <w:tcPr>
            <w:vAlign w:val="center"/>
          </w:tcPr>
          <w:p>
            <w:pPr>
              <w:jc w:val="right"/>
            </w:pPr>
            <w:r>
              <w:rPr>
                <w:color w:val="000000"/>
                <w:sz w:val="24"/>
              </w:rPr>
              <w:t>400,000</w:t>
            </w:r>
          </w:p>
        </w:tc>
        <w:tc>
          <w:tcPr>
            <w:vAlign w:val="center"/>
          </w:tcPr>
          <w:p>
            <w:pPr>
              <w:jc w:val="right"/>
            </w:pPr>
            <w:r>
              <w:rPr>
                <w:color w:val="000000"/>
                <w:sz w:val="24"/>
              </w:rPr>
              <w:t>40,028,000.00</w:t>
            </w:r>
          </w:p>
        </w:tc>
        <w:tc>
          <w:tcPr>
            <w:vAlign w:val="center"/>
          </w:tcPr>
          <w:p>
            <w:pPr>
              <w:jc w:val="right"/>
            </w:pPr>
            <w:r>
              <w:rPr>
                <w:color w:val="000000"/>
                <w:sz w:val="24"/>
              </w:rPr>
              <w:t>3.13</w:t>
            </w:r>
          </w:p>
        </w:tc>
      </w:tr>
      <w:tr>
        <w:tc>
          <w:tcPr>
            <w:vAlign w:val="center"/>
          </w:tcPr>
          <w:p>
            <w:pPr>
              <w:jc w:val="center"/>
            </w:pPr>
            <w:r>
              <w:rPr>
                <w:color w:val="000000"/>
                <w:sz w:val="24"/>
              </w:rPr>
              <w:t>4</w:t>
            </w:r>
          </w:p>
        </w:tc>
        <w:tc>
          <w:tcPr>
            <w:vAlign w:val="center"/>
          </w:tcPr>
          <w:p>
            <w:pPr>
              <w:jc w:val="center"/>
            </w:pPr>
            <w:r>
              <w:rPr>
                <w:color w:val="000000"/>
                <w:sz w:val="24"/>
              </w:rPr>
              <w:t>102000043</w:t>
            </w:r>
          </w:p>
        </w:tc>
        <w:tc>
          <w:tcPr>
            <w:vAlign w:val="center"/>
          </w:tcPr>
          <w:p>
            <w:pPr>
              <w:jc w:val="center"/>
            </w:pPr>
            <w:r>
              <w:rPr>
                <w:color w:val="000000"/>
                <w:sz w:val="24"/>
              </w:rPr>
              <w:t>20申迪MTN001</w:t>
            </w:r>
          </w:p>
        </w:tc>
        <w:tc>
          <w:tcPr>
            <w:vAlign w:val="center"/>
          </w:tcPr>
          <w:p>
            <w:pPr>
              <w:jc w:val="right"/>
            </w:pPr>
            <w:r>
              <w:rPr>
                <w:color w:val="000000"/>
                <w:sz w:val="24"/>
              </w:rPr>
              <w:t>400,000</w:t>
            </w:r>
          </w:p>
        </w:tc>
        <w:tc>
          <w:tcPr>
            <w:vAlign w:val="center"/>
          </w:tcPr>
          <w:p>
            <w:pPr>
              <w:jc w:val="right"/>
            </w:pPr>
            <w:r>
              <w:rPr>
                <w:color w:val="000000"/>
                <w:sz w:val="24"/>
              </w:rPr>
              <w:t>39,956,000.00</w:t>
            </w:r>
          </w:p>
        </w:tc>
        <w:tc>
          <w:tcPr>
            <w:vAlign w:val="center"/>
          </w:tcPr>
          <w:p>
            <w:pPr>
              <w:jc w:val="right"/>
            </w:pPr>
            <w:r>
              <w:rPr>
                <w:color w:val="000000"/>
                <w:sz w:val="24"/>
              </w:rPr>
              <w:t>3.12</w:t>
            </w:r>
          </w:p>
        </w:tc>
      </w:tr>
      <w:tr>
        <w:tc>
          <w:tcPr>
            <w:vAlign w:val="center"/>
          </w:tcPr>
          <w:p>
            <w:pPr>
              <w:jc w:val="center"/>
            </w:pPr>
            <w:r>
              <w:rPr>
                <w:color w:val="000000"/>
                <w:sz w:val="24"/>
              </w:rPr>
              <w:t>5</w:t>
            </w:r>
          </w:p>
        </w:tc>
        <w:tc>
          <w:tcPr>
            <w:vAlign w:val="center"/>
          </w:tcPr>
          <w:p>
            <w:pPr>
              <w:jc w:val="center"/>
            </w:pPr>
            <w:r>
              <w:rPr>
                <w:color w:val="000000"/>
                <w:sz w:val="24"/>
              </w:rPr>
              <w:t>101753017</w:t>
            </w:r>
          </w:p>
        </w:tc>
        <w:tc>
          <w:tcPr>
            <w:vAlign w:val="center"/>
          </w:tcPr>
          <w:p>
            <w:pPr>
              <w:jc w:val="center"/>
            </w:pPr>
            <w:r>
              <w:rPr>
                <w:color w:val="000000"/>
                <w:sz w:val="24"/>
              </w:rPr>
              <w:t>17华能MTN001</w:t>
            </w:r>
          </w:p>
        </w:tc>
        <w:tc>
          <w:tcPr>
            <w:vAlign w:val="center"/>
          </w:tcPr>
          <w:p>
            <w:pPr>
              <w:jc w:val="right"/>
            </w:pPr>
            <w:r>
              <w:rPr>
                <w:color w:val="000000"/>
                <w:sz w:val="24"/>
              </w:rPr>
              <w:t>300,000</w:t>
            </w:r>
          </w:p>
        </w:tc>
        <w:tc>
          <w:tcPr>
            <w:vAlign w:val="center"/>
          </w:tcPr>
          <w:p>
            <w:pPr>
              <w:jc w:val="right"/>
            </w:pPr>
            <w:r>
              <w:rPr>
                <w:color w:val="000000"/>
                <w:sz w:val="24"/>
              </w:rPr>
              <w:t>30,702,000.00</w:t>
            </w:r>
          </w:p>
        </w:tc>
        <w:tc>
          <w:tcPr>
            <w:vAlign w:val="center"/>
          </w:tcPr>
          <w:p>
            <w:pPr>
              <w:jc w:val="right"/>
            </w:pPr>
            <w:r>
              <w:rPr>
                <w:color w:val="000000"/>
                <w:sz w:val="24"/>
              </w:rPr>
              <w:t>2.40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70,106.82</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16,890,683.37</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3,416,546.96</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20,377,337.15</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交银多策略回报灵活配置混合A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交银多策略回报灵活配置混合C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798,664,173.25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119,563,721.24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309,271,427.49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18,107,461.34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273,896,787.16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32,188,477.76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834,038,813.58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105,482,704.82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1、中国证监会准予交银施罗德多策略回报灵活配置混合型证券投资基金募集注册的文件；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2、《交银施罗德多策略回报灵活配置混合型证券投资基金基金合同》；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3、《交银施罗德多策略回报灵活配置混合型证券投资基金招募说明书》；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4、《交银施罗德多策略回报灵活配置混合型证券投资基金托管协议》；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7、关于申请募集注册交银施罗德多策略回报灵活配置混合型证券投资基金的法律意见书；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8、报告期内交银施罗德多策略回报灵活配置混合型证券投资基金在指定报刊上各项公告的原稿。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交银施罗德多策略回报灵活配置混合型证券投资基金2020年第3季度报告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