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交银施罗德新成长混合型证券投资基金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二〇二〇年十月二十八日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8F0FAE" w:rsidRDefault="007623B6">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8F0FAE" w:rsidRDefault="007623B6">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2020</w:t>
      </w:r>
      <w:r>
        <w:rPr>
          <w:color w:val="000000"/>
          <w:sz w:val="24"/>
          <w:szCs w:val="24"/>
        </w:rPr>
        <w:t>年</w:t>
      </w:r>
      <w:r>
        <w:rPr>
          <w:color w:val="000000"/>
          <w:sz w:val="24"/>
          <w:szCs w:val="24"/>
        </w:rPr>
        <w:t>10</w:t>
      </w:r>
      <w:r>
        <w:rPr>
          <w:color w:val="000000"/>
          <w:sz w:val="24"/>
          <w:szCs w:val="24"/>
        </w:rPr>
        <w:t>月</w:t>
      </w:r>
      <w:r>
        <w:rPr>
          <w:color w:val="000000"/>
          <w:sz w:val="24"/>
          <w:szCs w:val="24"/>
        </w:rPr>
        <w:t>27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8F0FAE" w:rsidRDefault="007623B6">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8F0FAE" w:rsidRDefault="007623B6">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8F0FAE" w:rsidRDefault="007623B6">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交银新成长混合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519736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519736</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519737</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2014</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2,807,489,755.10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深入挖掘经济转型背景下的投资机会，自下而上精选个股，力争实现基金资产的长期稳定增值。</w:t>
            </w:r>
            <w:r w:rsidRPr="00414345">
              <w:rPr>
                <w:color w:val="000000"/>
                <w:kern w:val="0"/>
                <w:sz w:val="24"/>
                <w:szCs w:val="24"/>
              </w:rPr>
              <w:t xml:space="preserve"> </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在经济转型大背景下，分析和判断宏观经济运行变化和政府产业政策等多因素影响，积极挖掘不同行业和子行业景气度新变化下的个股投资机会，通过团队对个股深入的基本面研究和细致的实地调研，精选公司品质良好、成长具有可持续性、定价相对合理的股票进行投资，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w:t>
            </w:r>
            <w:r w:rsidRPr="00414345">
              <w:rPr>
                <w:color w:val="000000"/>
                <w:kern w:val="0"/>
                <w:sz w:val="24"/>
                <w:szCs w:val="24"/>
              </w:rPr>
              <w:lastRenderedPageBreak/>
              <w:t>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7623B6" w:rsidRPr="00414345" w:rsidTr="007623B6">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7623B6" w:rsidRPr="00414345" w:rsidTr="007623B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1,111,138,553.36</w:t>
            </w:r>
          </w:p>
        </w:tc>
      </w:tr>
      <w:tr w:rsidR="007623B6" w:rsidRPr="00414345" w:rsidTr="007623B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1,325,102,601.39</w:t>
            </w:r>
          </w:p>
        </w:tc>
      </w:tr>
      <w:tr w:rsidR="007623B6" w:rsidRPr="00414345" w:rsidTr="007623B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0.5088</w:t>
            </w:r>
          </w:p>
        </w:tc>
      </w:tr>
      <w:tr w:rsidR="007623B6" w:rsidRPr="00414345" w:rsidTr="007623B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10,585,533,100.01</w:t>
            </w:r>
          </w:p>
        </w:tc>
      </w:tr>
      <w:tr w:rsidR="007623B6" w:rsidRPr="00414345" w:rsidTr="007623B6">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3.770</w:t>
            </w:r>
          </w:p>
        </w:tc>
      </w:tr>
    </w:tbl>
    <w:p w:rsidR="008F0FAE" w:rsidRDefault="007623B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f2"/>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8F0FAE">
        <w:trPr>
          <w:jc w:val="center"/>
        </w:trPr>
        <w:tc>
          <w:tcPr>
            <w:tcW w:w="1701" w:type="dxa"/>
            <w:vAlign w:val="center"/>
          </w:tcPr>
          <w:p w:rsidR="008F0FAE" w:rsidRDefault="007623B6">
            <w:pPr>
              <w:jc w:val="left"/>
            </w:pPr>
            <w:r>
              <w:rPr>
                <w:color w:val="000000"/>
                <w:sz w:val="24"/>
                <w:szCs w:val="24"/>
              </w:rPr>
              <w:t>过去三个月</w:t>
            </w:r>
          </w:p>
        </w:tc>
        <w:tc>
          <w:tcPr>
            <w:tcW w:w="1045" w:type="dxa"/>
            <w:vAlign w:val="center"/>
          </w:tcPr>
          <w:p w:rsidR="008F0FAE" w:rsidRDefault="007623B6">
            <w:pPr>
              <w:jc w:val="center"/>
            </w:pPr>
            <w:r>
              <w:rPr>
                <w:color w:val="000000"/>
                <w:sz w:val="24"/>
                <w:szCs w:val="24"/>
              </w:rPr>
              <w:t>16.29%</w:t>
            </w:r>
          </w:p>
        </w:tc>
        <w:tc>
          <w:tcPr>
            <w:tcW w:w="1344" w:type="dxa"/>
            <w:vAlign w:val="center"/>
          </w:tcPr>
          <w:p w:rsidR="008F0FAE" w:rsidRDefault="007623B6">
            <w:pPr>
              <w:jc w:val="center"/>
            </w:pPr>
            <w:r>
              <w:rPr>
                <w:color w:val="000000"/>
                <w:sz w:val="24"/>
                <w:szCs w:val="24"/>
              </w:rPr>
              <w:t>1.36%</w:t>
            </w:r>
          </w:p>
        </w:tc>
        <w:tc>
          <w:tcPr>
            <w:tcW w:w="1194" w:type="dxa"/>
            <w:vAlign w:val="center"/>
          </w:tcPr>
          <w:p w:rsidR="008F0FAE" w:rsidRDefault="007623B6">
            <w:pPr>
              <w:jc w:val="center"/>
            </w:pPr>
            <w:r>
              <w:rPr>
                <w:color w:val="000000"/>
                <w:sz w:val="24"/>
                <w:szCs w:val="24"/>
              </w:rPr>
              <w:t>7.51%</w:t>
            </w:r>
          </w:p>
        </w:tc>
        <w:tc>
          <w:tcPr>
            <w:tcW w:w="1492" w:type="dxa"/>
            <w:vAlign w:val="center"/>
          </w:tcPr>
          <w:p w:rsidR="008F0FAE" w:rsidRDefault="007623B6">
            <w:pPr>
              <w:jc w:val="center"/>
            </w:pPr>
            <w:r>
              <w:rPr>
                <w:color w:val="000000"/>
                <w:sz w:val="24"/>
                <w:szCs w:val="24"/>
              </w:rPr>
              <w:t>1.27%</w:t>
            </w:r>
          </w:p>
        </w:tc>
        <w:tc>
          <w:tcPr>
            <w:tcW w:w="1194" w:type="dxa"/>
            <w:vAlign w:val="center"/>
          </w:tcPr>
          <w:p w:rsidR="008F0FAE" w:rsidRDefault="007623B6">
            <w:pPr>
              <w:jc w:val="center"/>
            </w:pPr>
            <w:r>
              <w:rPr>
                <w:color w:val="000000"/>
                <w:sz w:val="24"/>
                <w:szCs w:val="24"/>
              </w:rPr>
              <w:t>8.78%</w:t>
            </w:r>
          </w:p>
        </w:tc>
        <w:tc>
          <w:tcPr>
            <w:tcW w:w="898" w:type="dxa"/>
            <w:vAlign w:val="center"/>
          </w:tcPr>
          <w:p w:rsidR="008F0FAE" w:rsidRDefault="007623B6">
            <w:pPr>
              <w:jc w:val="center"/>
            </w:pPr>
            <w:r>
              <w:rPr>
                <w:color w:val="000000"/>
                <w:sz w:val="24"/>
                <w:szCs w:val="24"/>
              </w:rPr>
              <w:t>0.09%</w:t>
            </w:r>
          </w:p>
        </w:tc>
      </w:tr>
      <w:tr w:rsidR="008F0FAE">
        <w:trPr>
          <w:jc w:val="center"/>
        </w:trPr>
        <w:tc>
          <w:tcPr>
            <w:tcW w:w="1701" w:type="dxa"/>
            <w:vAlign w:val="center"/>
          </w:tcPr>
          <w:p w:rsidR="008F0FAE" w:rsidRDefault="007623B6">
            <w:pPr>
              <w:jc w:val="left"/>
            </w:pPr>
            <w:r>
              <w:rPr>
                <w:color w:val="000000"/>
                <w:sz w:val="24"/>
                <w:szCs w:val="24"/>
              </w:rPr>
              <w:t>过去六个月</w:t>
            </w:r>
          </w:p>
        </w:tc>
        <w:tc>
          <w:tcPr>
            <w:tcW w:w="1045" w:type="dxa"/>
            <w:vAlign w:val="center"/>
          </w:tcPr>
          <w:p w:rsidR="008F0FAE" w:rsidRDefault="007623B6">
            <w:pPr>
              <w:jc w:val="center"/>
            </w:pPr>
            <w:r>
              <w:rPr>
                <w:color w:val="000000"/>
                <w:sz w:val="24"/>
                <w:szCs w:val="24"/>
              </w:rPr>
              <w:t>39.11%</w:t>
            </w:r>
          </w:p>
        </w:tc>
        <w:tc>
          <w:tcPr>
            <w:tcW w:w="1344" w:type="dxa"/>
            <w:vAlign w:val="center"/>
          </w:tcPr>
          <w:p w:rsidR="008F0FAE" w:rsidRDefault="007623B6">
            <w:pPr>
              <w:jc w:val="center"/>
            </w:pPr>
            <w:r>
              <w:rPr>
                <w:color w:val="000000"/>
                <w:sz w:val="24"/>
                <w:szCs w:val="24"/>
              </w:rPr>
              <w:t>1.16%</w:t>
            </w:r>
          </w:p>
        </w:tc>
        <w:tc>
          <w:tcPr>
            <w:tcW w:w="1194" w:type="dxa"/>
            <w:vAlign w:val="center"/>
          </w:tcPr>
          <w:p w:rsidR="008F0FAE" w:rsidRDefault="007623B6">
            <w:pPr>
              <w:jc w:val="center"/>
            </w:pPr>
            <w:r>
              <w:rPr>
                <w:color w:val="000000"/>
                <w:sz w:val="24"/>
                <w:szCs w:val="24"/>
              </w:rPr>
              <w:t>24.53%</w:t>
            </w:r>
          </w:p>
        </w:tc>
        <w:tc>
          <w:tcPr>
            <w:tcW w:w="1492" w:type="dxa"/>
            <w:vAlign w:val="center"/>
          </w:tcPr>
          <w:p w:rsidR="008F0FAE" w:rsidRDefault="007623B6">
            <w:pPr>
              <w:jc w:val="center"/>
            </w:pPr>
            <w:r>
              <w:rPr>
                <w:color w:val="000000"/>
                <w:sz w:val="24"/>
                <w:szCs w:val="24"/>
              </w:rPr>
              <w:t>1.07%</w:t>
            </w:r>
          </w:p>
        </w:tc>
        <w:tc>
          <w:tcPr>
            <w:tcW w:w="1194" w:type="dxa"/>
            <w:vAlign w:val="center"/>
          </w:tcPr>
          <w:p w:rsidR="008F0FAE" w:rsidRDefault="007623B6">
            <w:pPr>
              <w:jc w:val="center"/>
            </w:pPr>
            <w:r>
              <w:rPr>
                <w:color w:val="000000"/>
                <w:sz w:val="24"/>
                <w:szCs w:val="24"/>
              </w:rPr>
              <w:t>14.58%</w:t>
            </w:r>
          </w:p>
        </w:tc>
        <w:tc>
          <w:tcPr>
            <w:tcW w:w="898" w:type="dxa"/>
            <w:vAlign w:val="center"/>
          </w:tcPr>
          <w:p w:rsidR="008F0FAE" w:rsidRDefault="007623B6">
            <w:pPr>
              <w:jc w:val="center"/>
            </w:pPr>
            <w:r>
              <w:rPr>
                <w:color w:val="000000"/>
                <w:sz w:val="24"/>
                <w:szCs w:val="24"/>
              </w:rPr>
              <w:t>0.09%</w:t>
            </w:r>
          </w:p>
        </w:tc>
      </w:tr>
      <w:tr w:rsidR="008F0FAE">
        <w:trPr>
          <w:jc w:val="center"/>
        </w:trPr>
        <w:tc>
          <w:tcPr>
            <w:tcW w:w="1701" w:type="dxa"/>
            <w:vAlign w:val="center"/>
          </w:tcPr>
          <w:p w:rsidR="008F0FAE" w:rsidRDefault="007623B6">
            <w:pPr>
              <w:jc w:val="left"/>
            </w:pPr>
            <w:r>
              <w:rPr>
                <w:color w:val="000000"/>
                <w:sz w:val="24"/>
                <w:szCs w:val="24"/>
              </w:rPr>
              <w:t>过去一年</w:t>
            </w:r>
          </w:p>
        </w:tc>
        <w:tc>
          <w:tcPr>
            <w:tcW w:w="1045" w:type="dxa"/>
            <w:vAlign w:val="center"/>
          </w:tcPr>
          <w:p w:rsidR="008F0FAE" w:rsidRDefault="007623B6">
            <w:pPr>
              <w:jc w:val="center"/>
            </w:pPr>
            <w:r>
              <w:rPr>
                <w:color w:val="000000"/>
                <w:sz w:val="24"/>
                <w:szCs w:val="24"/>
              </w:rPr>
              <w:t>59.34%</w:t>
            </w:r>
          </w:p>
        </w:tc>
        <w:tc>
          <w:tcPr>
            <w:tcW w:w="1344" w:type="dxa"/>
            <w:vAlign w:val="center"/>
          </w:tcPr>
          <w:p w:rsidR="008F0FAE" w:rsidRDefault="007623B6">
            <w:pPr>
              <w:jc w:val="center"/>
            </w:pPr>
            <w:r>
              <w:rPr>
                <w:color w:val="000000"/>
                <w:sz w:val="24"/>
                <w:szCs w:val="24"/>
              </w:rPr>
              <w:t>1.25%</w:t>
            </w:r>
          </w:p>
        </w:tc>
        <w:tc>
          <w:tcPr>
            <w:tcW w:w="1194" w:type="dxa"/>
            <w:vAlign w:val="center"/>
          </w:tcPr>
          <w:p w:rsidR="008F0FAE" w:rsidRDefault="007623B6">
            <w:pPr>
              <w:jc w:val="center"/>
            </w:pPr>
            <w:r>
              <w:rPr>
                <w:color w:val="000000"/>
                <w:sz w:val="24"/>
                <w:szCs w:val="24"/>
              </w:rPr>
              <w:t>25.18%</w:t>
            </w:r>
          </w:p>
        </w:tc>
        <w:tc>
          <w:tcPr>
            <w:tcW w:w="1492" w:type="dxa"/>
            <w:vAlign w:val="center"/>
          </w:tcPr>
          <w:p w:rsidR="008F0FAE" w:rsidRDefault="007623B6">
            <w:pPr>
              <w:jc w:val="center"/>
            </w:pPr>
            <w:r>
              <w:rPr>
                <w:color w:val="000000"/>
                <w:sz w:val="24"/>
                <w:szCs w:val="24"/>
              </w:rPr>
              <w:t>1.11%</w:t>
            </w:r>
          </w:p>
        </w:tc>
        <w:tc>
          <w:tcPr>
            <w:tcW w:w="1194" w:type="dxa"/>
            <w:vAlign w:val="center"/>
          </w:tcPr>
          <w:p w:rsidR="008F0FAE" w:rsidRDefault="007623B6">
            <w:pPr>
              <w:jc w:val="center"/>
            </w:pPr>
            <w:r>
              <w:rPr>
                <w:color w:val="000000"/>
                <w:sz w:val="24"/>
                <w:szCs w:val="24"/>
              </w:rPr>
              <w:t>34.16%</w:t>
            </w:r>
          </w:p>
        </w:tc>
        <w:tc>
          <w:tcPr>
            <w:tcW w:w="898" w:type="dxa"/>
            <w:vAlign w:val="center"/>
          </w:tcPr>
          <w:p w:rsidR="008F0FAE" w:rsidRDefault="007623B6">
            <w:pPr>
              <w:jc w:val="center"/>
            </w:pPr>
            <w:r>
              <w:rPr>
                <w:color w:val="000000"/>
                <w:sz w:val="24"/>
                <w:szCs w:val="24"/>
              </w:rPr>
              <w:t>0.14%</w:t>
            </w:r>
          </w:p>
        </w:tc>
      </w:tr>
      <w:tr w:rsidR="008F0FAE">
        <w:trPr>
          <w:jc w:val="center"/>
        </w:trPr>
        <w:tc>
          <w:tcPr>
            <w:tcW w:w="1701" w:type="dxa"/>
            <w:vAlign w:val="center"/>
          </w:tcPr>
          <w:p w:rsidR="008F0FAE" w:rsidRDefault="007623B6">
            <w:pPr>
              <w:jc w:val="left"/>
            </w:pPr>
            <w:r>
              <w:rPr>
                <w:color w:val="000000"/>
                <w:sz w:val="24"/>
                <w:szCs w:val="24"/>
              </w:rPr>
              <w:t>过去三年</w:t>
            </w:r>
          </w:p>
        </w:tc>
        <w:tc>
          <w:tcPr>
            <w:tcW w:w="1045" w:type="dxa"/>
            <w:vAlign w:val="center"/>
          </w:tcPr>
          <w:p w:rsidR="008F0FAE" w:rsidRDefault="007623B6">
            <w:pPr>
              <w:jc w:val="center"/>
            </w:pPr>
            <w:r>
              <w:rPr>
                <w:color w:val="000000"/>
                <w:sz w:val="24"/>
                <w:szCs w:val="24"/>
              </w:rPr>
              <w:t>96.25%</w:t>
            </w:r>
          </w:p>
        </w:tc>
        <w:tc>
          <w:tcPr>
            <w:tcW w:w="1344" w:type="dxa"/>
            <w:vAlign w:val="center"/>
          </w:tcPr>
          <w:p w:rsidR="008F0FAE" w:rsidRDefault="007623B6">
            <w:pPr>
              <w:jc w:val="center"/>
            </w:pPr>
            <w:r>
              <w:rPr>
                <w:color w:val="000000"/>
                <w:sz w:val="24"/>
                <w:szCs w:val="24"/>
              </w:rPr>
              <w:t>1.31%</w:t>
            </w:r>
          </w:p>
        </w:tc>
        <w:tc>
          <w:tcPr>
            <w:tcW w:w="1194" w:type="dxa"/>
            <w:vAlign w:val="center"/>
          </w:tcPr>
          <w:p w:rsidR="008F0FAE" w:rsidRDefault="007623B6">
            <w:pPr>
              <w:jc w:val="center"/>
            </w:pPr>
            <w:r>
              <w:rPr>
                <w:color w:val="000000"/>
                <w:sz w:val="24"/>
                <w:szCs w:val="24"/>
              </w:rPr>
              <w:t>26.90%</w:t>
            </w:r>
          </w:p>
        </w:tc>
        <w:tc>
          <w:tcPr>
            <w:tcW w:w="1492" w:type="dxa"/>
            <w:vAlign w:val="center"/>
          </w:tcPr>
          <w:p w:rsidR="008F0FAE" w:rsidRDefault="007623B6">
            <w:pPr>
              <w:jc w:val="center"/>
            </w:pPr>
            <w:r>
              <w:rPr>
                <w:color w:val="000000"/>
                <w:sz w:val="24"/>
                <w:szCs w:val="24"/>
              </w:rPr>
              <w:t>1.09%</w:t>
            </w:r>
          </w:p>
        </w:tc>
        <w:tc>
          <w:tcPr>
            <w:tcW w:w="1194" w:type="dxa"/>
            <w:vAlign w:val="center"/>
          </w:tcPr>
          <w:p w:rsidR="008F0FAE" w:rsidRDefault="007623B6">
            <w:pPr>
              <w:jc w:val="center"/>
            </w:pPr>
            <w:r>
              <w:rPr>
                <w:color w:val="000000"/>
                <w:sz w:val="24"/>
                <w:szCs w:val="24"/>
              </w:rPr>
              <w:t>69.35%</w:t>
            </w:r>
          </w:p>
        </w:tc>
        <w:tc>
          <w:tcPr>
            <w:tcW w:w="898" w:type="dxa"/>
            <w:vAlign w:val="center"/>
          </w:tcPr>
          <w:p w:rsidR="008F0FAE" w:rsidRDefault="007623B6">
            <w:pPr>
              <w:jc w:val="center"/>
            </w:pPr>
            <w:r>
              <w:rPr>
                <w:color w:val="000000"/>
                <w:sz w:val="24"/>
                <w:szCs w:val="24"/>
              </w:rPr>
              <w:t>0.22%</w:t>
            </w:r>
          </w:p>
        </w:tc>
      </w:tr>
      <w:tr w:rsidR="008F0FAE">
        <w:trPr>
          <w:jc w:val="center"/>
        </w:trPr>
        <w:tc>
          <w:tcPr>
            <w:tcW w:w="1701" w:type="dxa"/>
            <w:vAlign w:val="center"/>
          </w:tcPr>
          <w:p w:rsidR="008F0FAE" w:rsidRDefault="007623B6">
            <w:pPr>
              <w:jc w:val="left"/>
            </w:pPr>
            <w:r>
              <w:rPr>
                <w:color w:val="000000"/>
                <w:sz w:val="24"/>
                <w:szCs w:val="24"/>
              </w:rPr>
              <w:t>过去五年</w:t>
            </w:r>
          </w:p>
        </w:tc>
        <w:tc>
          <w:tcPr>
            <w:tcW w:w="1045" w:type="dxa"/>
            <w:vAlign w:val="center"/>
          </w:tcPr>
          <w:p w:rsidR="008F0FAE" w:rsidRDefault="007623B6">
            <w:pPr>
              <w:jc w:val="center"/>
            </w:pPr>
            <w:r>
              <w:rPr>
                <w:color w:val="000000"/>
                <w:sz w:val="24"/>
                <w:szCs w:val="24"/>
              </w:rPr>
              <w:t>212.21%</w:t>
            </w:r>
          </w:p>
        </w:tc>
        <w:tc>
          <w:tcPr>
            <w:tcW w:w="1344" w:type="dxa"/>
            <w:vAlign w:val="center"/>
          </w:tcPr>
          <w:p w:rsidR="008F0FAE" w:rsidRDefault="007623B6">
            <w:pPr>
              <w:jc w:val="center"/>
            </w:pPr>
            <w:r>
              <w:rPr>
                <w:color w:val="000000"/>
                <w:sz w:val="24"/>
                <w:szCs w:val="24"/>
              </w:rPr>
              <w:t>1.35%</w:t>
            </w:r>
          </w:p>
        </w:tc>
        <w:tc>
          <w:tcPr>
            <w:tcW w:w="1194" w:type="dxa"/>
            <w:vAlign w:val="center"/>
          </w:tcPr>
          <w:p w:rsidR="008F0FAE" w:rsidRDefault="007623B6">
            <w:pPr>
              <w:jc w:val="center"/>
            </w:pPr>
            <w:r>
              <w:rPr>
                <w:color w:val="000000"/>
                <w:sz w:val="24"/>
                <w:szCs w:val="24"/>
              </w:rPr>
              <w:t>35.00%</w:t>
            </w:r>
          </w:p>
        </w:tc>
        <w:tc>
          <w:tcPr>
            <w:tcW w:w="1492" w:type="dxa"/>
            <w:vAlign w:val="center"/>
          </w:tcPr>
          <w:p w:rsidR="008F0FAE" w:rsidRDefault="007623B6">
            <w:pPr>
              <w:jc w:val="center"/>
            </w:pPr>
            <w:r>
              <w:rPr>
                <w:color w:val="000000"/>
                <w:sz w:val="24"/>
                <w:szCs w:val="24"/>
              </w:rPr>
              <w:t>1.08%</w:t>
            </w:r>
          </w:p>
        </w:tc>
        <w:tc>
          <w:tcPr>
            <w:tcW w:w="1194" w:type="dxa"/>
            <w:vAlign w:val="center"/>
          </w:tcPr>
          <w:p w:rsidR="008F0FAE" w:rsidRDefault="007623B6">
            <w:pPr>
              <w:jc w:val="center"/>
            </w:pPr>
            <w:r>
              <w:rPr>
                <w:color w:val="000000"/>
                <w:sz w:val="24"/>
                <w:szCs w:val="24"/>
              </w:rPr>
              <w:t>177.21%</w:t>
            </w:r>
          </w:p>
        </w:tc>
        <w:tc>
          <w:tcPr>
            <w:tcW w:w="898" w:type="dxa"/>
            <w:vAlign w:val="center"/>
          </w:tcPr>
          <w:p w:rsidR="008F0FAE" w:rsidRDefault="007623B6">
            <w:pPr>
              <w:jc w:val="center"/>
            </w:pPr>
            <w:r>
              <w:rPr>
                <w:color w:val="000000"/>
                <w:sz w:val="24"/>
                <w:szCs w:val="24"/>
              </w:rPr>
              <w:t>0.27%</w:t>
            </w:r>
          </w:p>
        </w:tc>
      </w:tr>
      <w:tr w:rsidR="008F0FAE">
        <w:trPr>
          <w:jc w:val="center"/>
        </w:trPr>
        <w:tc>
          <w:tcPr>
            <w:tcW w:w="1701" w:type="dxa"/>
            <w:vAlign w:val="center"/>
          </w:tcPr>
          <w:p w:rsidR="008F0FAE" w:rsidRDefault="007623B6">
            <w:pPr>
              <w:jc w:val="left"/>
            </w:pPr>
            <w:r>
              <w:rPr>
                <w:color w:val="000000"/>
                <w:sz w:val="24"/>
                <w:szCs w:val="24"/>
              </w:rPr>
              <w:t>自基金合同生</w:t>
            </w:r>
            <w:r>
              <w:rPr>
                <w:color w:val="000000"/>
                <w:sz w:val="24"/>
                <w:szCs w:val="24"/>
              </w:rPr>
              <w:lastRenderedPageBreak/>
              <w:t>效至今</w:t>
            </w:r>
          </w:p>
        </w:tc>
        <w:tc>
          <w:tcPr>
            <w:tcW w:w="1045" w:type="dxa"/>
            <w:vAlign w:val="center"/>
          </w:tcPr>
          <w:p w:rsidR="008F0FAE" w:rsidRDefault="007623B6">
            <w:pPr>
              <w:jc w:val="center"/>
            </w:pPr>
            <w:r>
              <w:rPr>
                <w:color w:val="000000"/>
                <w:sz w:val="24"/>
                <w:szCs w:val="24"/>
              </w:rPr>
              <w:lastRenderedPageBreak/>
              <w:t>356.45</w:t>
            </w:r>
            <w:r>
              <w:rPr>
                <w:color w:val="000000"/>
                <w:sz w:val="24"/>
                <w:szCs w:val="24"/>
              </w:rPr>
              <w:lastRenderedPageBreak/>
              <w:t>%</w:t>
            </w:r>
          </w:p>
        </w:tc>
        <w:tc>
          <w:tcPr>
            <w:tcW w:w="1344" w:type="dxa"/>
            <w:vAlign w:val="center"/>
          </w:tcPr>
          <w:p w:rsidR="008F0FAE" w:rsidRDefault="007623B6">
            <w:pPr>
              <w:jc w:val="center"/>
            </w:pPr>
            <w:r>
              <w:rPr>
                <w:color w:val="000000"/>
                <w:sz w:val="24"/>
                <w:szCs w:val="24"/>
              </w:rPr>
              <w:lastRenderedPageBreak/>
              <w:t>1.56%</w:t>
            </w:r>
          </w:p>
        </w:tc>
        <w:tc>
          <w:tcPr>
            <w:tcW w:w="1194" w:type="dxa"/>
            <w:vAlign w:val="center"/>
          </w:tcPr>
          <w:p w:rsidR="008F0FAE" w:rsidRDefault="007623B6">
            <w:pPr>
              <w:jc w:val="center"/>
            </w:pPr>
            <w:r>
              <w:rPr>
                <w:color w:val="000000"/>
                <w:sz w:val="24"/>
                <w:szCs w:val="24"/>
              </w:rPr>
              <w:t>74.76%</w:t>
            </w:r>
          </w:p>
        </w:tc>
        <w:tc>
          <w:tcPr>
            <w:tcW w:w="1492" w:type="dxa"/>
            <w:vAlign w:val="center"/>
          </w:tcPr>
          <w:p w:rsidR="008F0FAE" w:rsidRDefault="007623B6">
            <w:pPr>
              <w:jc w:val="center"/>
            </w:pPr>
            <w:r>
              <w:rPr>
                <w:color w:val="000000"/>
                <w:sz w:val="24"/>
                <w:szCs w:val="24"/>
              </w:rPr>
              <w:t>1.22%</w:t>
            </w:r>
          </w:p>
        </w:tc>
        <w:tc>
          <w:tcPr>
            <w:tcW w:w="1194" w:type="dxa"/>
            <w:vAlign w:val="center"/>
          </w:tcPr>
          <w:p w:rsidR="008F0FAE" w:rsidRDefault="007623B6">
            <w:pPr>
              <w:jc w:val="center"/>
            </w:pPr>
            <w:r>
              <w:rPr>
                <w:color w:val="000000"/>
                <w:sz w:val="24"/>
                <w:szCs w:val="24"/>
              </w:rPr>
              <w:t>281.69%</w:t>
            </w:r>
          </w:p>
        </w:tc>
        <w:tc>
          <w:tcPr>
            <w:tcW w:w="898" w:type="dxa"/>
            <w:vAlign w:val="center"/>
          </w:tcPr>
          <w:p w:rsidR="008F0FAE" w:rsidRDefault="007623B6">
            <w:pPr>
              <w:jc w:val="center"/>
            </w:pPr>
            <w:r>
              <w:rPr>
                <w:color w:val="000000"/>
                <w:sz w:val="24"/>
                <w:szCs w:val="24"/>
              </w:rPr>
              <w:t>0.34%</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w:t>
      </w:r>
      <w:r w:rsidRPr="00414345">
        <w:rPr>
          <w:color w:val="000000"/>
          <w:sz w:val="24"/>
          <w:szCs w:val="24"/>
        </w:rPr>
        <w:t>+25%×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交银施罗德新成长混合型证券投资基金</w:t>
      </w:r>
    </w:p>
    <w:p w:rsidR="004061AC" w:rsidRPr="00414345" w:rsidRDefault="00B56F53"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6"/>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2014</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7623B6"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8F0FAE">
        <w:trPr>
          <w:jc w:val="center"/>
        </w:trPr>
        <w:tc>
          <w:tcPr>
            <w:tcW w:w="846" w:type="dxa"/>
            <w:vAlign w:val="center"/>
          </w:tcPr>
          <w:p w:rsidR="008F0FAE" w:rsidRDefault="007623B6">
            <w:pPr>
              <w:jc w:val="center"/>
            </w:pPr>
            <w:r>
              <w:rPr>
                <w:color w:val="000000"/>
                <w:sz w:val="24"/>
                <w:szCs w:val="24"/>
              </w:rPr>
              <w:t>王崇</w:t>
            </w:r>
          </w:p>
        </w:tc>
        <w:tc>
          <w:tcPr>
            <w:tcW w:w="845" w:type="dxa"/>
            <w:vAlign w:val="center"/>
          </w:tcPr>
          <w:p w:rsidR="008F0FAE" w:rsidRDefault="007623B6">
            <w:pPr>
              <w:jc w:val="center"/>
            </w:pPr>
            <w:r>
              <w:rPr>
                <w:color w:val="000000"/>
                <w:sz w:val="24"/>
                <w:szCs w:val="24"/>
              </w:rPr>
              <w:t>交银精选</w:t>
            </w:r>
            <w:r>
              <w:rPr>
                <w:color w:val="000000"/>
                <w:sz w:val="24"/>
                <w:szCs w:val="24"/>
              </w:rPr>
              <w:lastRenderedPageBreak/>
              <w:t>混合、交银新成长混合、交银瑞丰混合的基金经理，公司权益投资副总监</w:t>
            </w:r>
          </w:p>
        </w:tc>
        <w:tc>
          <w:tcPr>
            <w:tcW w:w="1549" w:type="dxa"/>
            <w:vAlign w:val="center"/>
          </w:tcPr>
          <w:p w:rsidR="008F0FAE" w:rsidRDefault="007623B6">
            <w:pPr>
              <w:jc w:val="center"/>
            </w:pPr>
            <w:r>
              <w:rPr>
                <w:color w:val="000000"/>
                <w:sz w:val="24"/>
                <w:szCs w:val="24"/>
              </w:rPr>
              <w:lastRenderedPageBreak/>
              <w:t>2014-10-22</w:t>
            </w:r>
          </w:p>
        </w:tc>
        <w:tc>
          <w:tcPr>
            <w:tcW w:w="1548" w:type="dxa"/>
            <w:vAlign w:val="center"/>
          </w:tcPr>
          <w:p w:rsidR="008F0FAE" w:rsidRDefault="007623B6">
            <w:pPr>
              <w:jc w:val="center"/>
            </w:pPr>
            <w:r>
              <w:rPr>
                <w:color w:val="000000"/>
                <w:sz w:val="24"/>
                <w:szCs w:val="24"/>
              </w:rPr>
              <w:t>-</w:t>
            </w:r>
          </w:p>
        </w:tc>
        <w:tc>
          <w:tcPr>
            <w:tcW w:w="1407" w:type="dxa"/>
            <w:vAlign w:val="center"/>
          </w:tcPr>
          <w:p w:rsidR="008F0FAE" w:rsidRDefault="007623B6">
            <w:pPr>
              <w:jc w:val="center"/>
            </w:pPr>
            <w:r>
              <w:rPr>
                <w:color w:val="000000"/>
                <w:sz w:val="24"/>
                <w:szCs w:val="24"/>
              </w:rPr>
              <w:t>12</w:t>
            </w:r>
            <w:r>
              <w:rPr>
                <w:color w:val="000000"/>
                <w:sz w:val="24"/>
                <w:szCs w:val="24"/>
              </w:rPr>
              <w:t>年</w:t>
            </w:r>
          </w:p>
        </w:tc>
        <w:tc>
          <w:tcPr>
            <w:tcW w:w="2673" w:type="dxa"/>
            <w:vAlign w:val="center"/>
          </w:tcPr>
          <w:p w:rsidR="008F0FAE" w:rsidRDefault="007623B6">
            <w:r>
              <w:rPr>
                <w:color w:val="000000"/>
                <w:sz w:val="24"/>
                <w:szCs w:val="24"/>
              </w:rPr>
              <w:t>王崇先生，北京大学金融学博士。</w:t>
            </w:r>
            <w:r>
              <w:rPr>
                <w:color w:val="000000"/>
                <w:sz w:val="24"/>
                <w:szCs w:val="24"/>
              </w:rPr>
              <w:t>2008</w:t>
            </w:r>
            <w:r>
              <w:rPr>
                <w:color w:val="000000"/>
                <w:sz w:val="24"/>
                <w:szCs w:val="24"/>
              </w:rPr>
              <w:t>年加入</w:t>
            </w:r>
            <w:r>
              <w:rPr>
                <w:color w:val="000000"/>
                <w:sz w:val="24"/>
                <w:szCs w:val="24"/>
              </w:rPr>
              <w:lastRenderedPageBreak/>
              <w:t>交银施罗德基金管理有限公司，历任行业分析师、高级研究员。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8F0FAE" w:rsidRDefault="007623B6">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8F0FAE" w:rsidRDefault="007623B6">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8F0FAE" w:rsidRDefault="007623B6">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lastRenderedPageBreak/>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8F0FAE" w:rsidRDefault="007623B6">
      <w:pPr>
        <w:spacing w:before="29" w:line="288" w:lineRule="auto"/>
        <w:ind w:firstLineChars="200" w:firstLine="480"/>
        <w:rPr>
          <w:color w:val="000000"/>
          <w:sz w:val="24"/>
          <w:szCs w:val="24"/>
        </w:rPr>
      </w:pPr>
      <w:r>
        <w:rPr>
          <w:color w:val="000000"/>
          <w:sz w:val="24"/>
          <w:szCs w:val="24"/>
        </w:rPr>
        <w:t>2020</w:t>
      </w:r>
      <w:r>
        <w:rPr>
          <w:color w:val="000000"/>
          <w:sz w:val="24"/>
          <w:szCs w:val="24"/>
        </w:rPr>
        <w:t>年三季度国内经济延续复苏趋势，货币政策逐渐回归正常化，长短端利率回升。三季度</w:t>
      </w:r>
      <w:r>
        <w:rPr>
          <w:color w:val="000000"/>
          <w:sz w:val="24"/>
          <w:szCs w:val="24"/>
        </w:rPr>
        <w:t>A</w:t>
      </w:r>
      <w:r>
        <w:rPr>
          <w:color w:val="000000"/>
          <w:sz w:val="24"/>
          <w:szCs w:val="24"/>
        </w:rPr>
        <w:t>股市场先扬后抑，七月初大幅反弹，八月震荡，九月小幅回落，指数涨幅不再两极分化，传统周期行业开始表现，风格走向均衡。行业层面，食品饮料等消费板块总体延续强势，科技股整体有所回落，汽车，家电、家具、化工以及建材等传统顺周期行业表现较好，金融地产低估值行业小幅反弹。</w:t>
      </w:r>
    </w:p>
    <w:p w:rsidR="008F0FAE" w:rsidRDefault="007623B6">
      <w:pPr>
        <w:spacing w:before="29" w:line="288" w:lineRule="auto"/>
        <w:ind w:firstLineChars="200" w:firstLine="480"/>
        <w:rPr>
          <w:color w:val="000000"/>
          <w:sz w:val="24"/>
          <w:szCs w:val="24"/>
        </w:rPr>
      </w:pPr>
      <w:r>
        <w:rPr>
          <w:color w:val="000000"/>
          <w:sz w:val="24"/>
          <w:szCs w:val="24"/>
        </w:rPr>
        <w:t>本基金在三季度保持略高仓位，减持医疗服务和器械以及新能源汽车产业链相关标的，加仓军工电子和物流相关标的，从整个季度来表现看，本基金跑赢业绩比较基准。</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年四季度，</w:t>
      </w:r>
      <w:r w:rsidR="00BE141E" w:rsidRPr="00BE141E">
        <w:rPr>
          <w:rFonts w:hint="eastAsia"/>
          <w:color w:val="000000"/>
          <w:sz w:val="24"/>
          <w:szCs w:val="24"/>
        </w:rPr>
        <w:t>市场在九月回调后我</w:t>
      </w:r>
      <w:bookmarkStart w:id="0" w:name="_GoBack"/>
      <w:bookmarkEnd w:id="0"/>
      <w:r w:rsidR="00BE141E" w:rsidRPr="00BE141E">
        <w:rPr>
          <w:rFonts w:hint="eastAsia"/>
          <w:color w:val="000000"/>
          <w:sz w:val="24"/>
          <w:szCs w:val="24"/>
        </w:rPr>
        <w:t>们并不悲观</w:t>
      </w:r>
      <w:r w:rsidRPr="00414345">
        <w:rPr>
          <w:color w:val="000000"/>
          <w:sz w:val="24"/>
          <w:szCs w:val="24"/>
        </w:rPr>
        <w:t>。国内经济从衰退走向弱复苏，货币政策正常化也会对权益市场估值水平有所压制，但预计权益资产仍旧可以赚取业绩增长的钱。尽管权益资产收益率不如衰退宽松时候高，但更具可持续性。从估值盈利匹配度来看，仍有不少传统行业龙头公司股票仍旧值得中期投资和持有。我们也注意到消费和科技热门板块的龙头公司股价在八九月有所回调，但估值仍旧不便宜，部分仍旧透支业绩预期，尽管相关公司质地很优秀，但无法具备投资要求的安全边际。本基金后续在谨慎扩展能力圈基础上，按照内需为先，结构优于总量、顺周期成长优于纯成长的思路，继续关注一二线房地产龙头、建材、物流服务，餐饮供应链、军工电子以及消费升级相关的产品和服务，坚守能力圈和安全边际，逆向投资，做中长期布局，努力为基金持有人带来稳健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f2"/>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7623B6">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7623B6">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7623B6">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7623B6">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7623B6">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7623B6">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7623B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9,259,818,963.98</w:t>
            </w:r>
          </w:p>
        </w:tc>
        <w:tc>
          <w:tcPr>
            <w:tcW w:w="2943" w:type="dxa"/>
            <w:vAlign w:val="center"/>
          </w:tcPr>
          <w:p w:rsidR="00BF0019" w:rsidRPr="007B5F21" w:rsidRDefault="00BF0019" w:rsidP="007623B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86.76</w:t>
            </w:r>
          </w:p>
        </w:tc>
      </w:tr>
      <w:tr w:rsidR="00BF0019" w:rsidRPr="007B5F21" w:rsidTr="00487A40">
        <w:tc>
          <w:tcPr>
            <w:tcW w:w="720" w:type="dxa"/>
            <w:vAlign w:val="center"/>
          </w:tcPr>
          <w:p w:rsidR="00BF0019" w:rsidRPr="007B5F21" w:rsidRDefault="00BF0019" w:rsidP="007623B6">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623B6">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7623B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9,259,818,963.98</w:t>
            </w:r>
          </w:p>
        </w:tc>
        <w:tc>
          <w:tcPr>
            <w:tcW w:w="2943" w:type="dxa"/>
            <w:vAlign w:val="center"/>
          </w:tcPr>
          <w:p w:rsidR="00BF0019" w:rsidRPr="007B5F21" w:rsidRDefault="00BF0019" w:rsidP="007623B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86.76</w:t>
            </w:r>
          </w:p>
        </w:tc>
      </w:tr>
      <w:tr w:rsidR="00BF0019" w:rsidRPr="007B5F21" w:rsidTr="00487A40">
        <w:tc>
          <w:tcPr>
            <w:tcW w:w="720" w:type="dxa"/>
            <w:vAlign w:val="center"/>
          </w:tcPr>
          <w:p w:rsidR="00BF0019" w:rsidRPr="007B5F21" w:rsidRDefault="00BF0019" w:rsidP="007623B6">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7623B6">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7623B6">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7623B6">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7623B6">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7623B6">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7623B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398,432,000.00</w:t>
            </w:r>
          </w:p>
        </w:tc>
        <w:tc>
          <w:tcPr>
            <w:tcW w:w="2943" w:type="dxa"/>
            <w:vAlign w:val="center"/>
          </w:tcPr>
          <w:p w:rsidR="00BF0019" w:rsidRPr="007B5F21" w:rsidRDefault="00BF0019" w:rsidP="007623B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3.73</w:t>
            </w:r>
          </w:p>
        </w:tc>
      </w:tr>
      <w:tr w:rsidR="00BF0019" w:rsidRPr="007B5F21" w:rsidTr="00487A40">
        <w:tc>
          <w:tcPr>
            <w:tcW w:w="720" w:type="dxa"/>
            <w:vAlign w:val="center"/>
          </w:tcPr>
          <w:p w:rsidR="00BF0019" w:rsidRPr="007B5F21" w:rsidRDefault="00BF0019" w:rsidP="007623B6">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623B6">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7623B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398,432,000.00</w:t>
            </w:r>
          </w:p>
        </w:tc>
        <w:tc>
          <w:tcPr>
            <w:tcW w:w="2943" w:type="dxa"/>
            <w:vAlign w:val="center"/>
          </w:tcPr>
          <w:p w:rsidR="00BF0019" w:rsidRPr="007B5F21" w:rsidRDefault="00BF0019" w:rsidP="007623B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3.73</w:t>
            </w:r>
          </w:p>
        </w:tc>
      </w:tr>
      <w:tr w:rsidR="00BF0019" w:rsidRPr="007B5F21" w:rsidTr="00487A40">
        <w:tc>
          <w:tcPr>
            <w:tcW w:w="720" w:type="dxa"/>
            <w:vAlign w:val="center"/>
          </w:tcPr>
          <w:p w:rsidR="00BF0019" w:rsidRPr="007B5F21" w:rsidRDefault="00BF0019" w:rsidP="007623B6">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7623B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7623B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7623B6">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7623B6">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7623B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7623B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7623B6">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7623B6">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7623B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7623B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7623B6">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7623B6">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7623B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7623B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7623B6">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623B6">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7623B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7623B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7623B6">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7623B6">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7623B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802,994,317.07</w:t>
            </w:r>
          </w:p>
        </w:tc>
        <w:tc>
          <w:tcPr>
            <w:tcW w:w="2943" w:type="dxa"/>
            <w:vAlign w:val="center"/>
          </w:tcPr>
          <w:p w:rsidR="00BF0019" w:rsidRPr="007B5F21" w:rsidRDefault="00BF0019" w:rsidP="007623B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7.52</w:t>
            </w:r>
          </w:p>
        </w:tc>
      </w:tr>
      <w:tr w:rsidR="00BF0019" w:rsidRPr="007B5F21" w:rsidTr="00487A40">
        <w:tc>
          <w:tcPr>
            <w:tcW w:w="720" w:type="dxa"/>
            <w:vAlign w:val="center"/>
          </w:tcPr>
          <w:p w:rsidR="00BF0019" w:rsidRPr="007B5F21" w:rsidRDefault="00BF0019" w:rsidP="007623B6">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7623B6">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7623B6">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211,594,685.93</w:t>
            </w:r>
          </w:p>
        </w:tc>
        <w:tc>
          <w:tcPr>
            <w:tcW w:w="2943" w:type="dxa"/>
            <w:vAlign w:val="center"/>
          </w:tcPr>
          <w:p w:rsidR="00BF0019" w:rsidRPr="007B5F21" w:rsidRDefault="00BF0019" w:rsidP="007623B6">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1.98</w:t>
            </w:r>
          </w:p>
        </w:tc>
      </w:tr>
      <w:tr w:rsidR="00BF0019" w:rsidRPr="007B5F21" w:rsidTr="00487A40">
        <w:tc>
          <w:tcPr>
            <w:tcW w:w="720" w:type="dxa"/>
            <w:vAlign w:val="center"/>
          </w:tcPr>
          <w:p w:rsidR="00BF0019" w:rsidRPr="007B5F21" w:rsidRDefault="00BF0019" w:rsidP="007623B6">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7623B6">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7623B6">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10,672,839,966.98</w:t>
            </w:r>
          </w:p>
        </w:tc>
        <w:tc>
          <w:tcPr>
            <w:tcW w:w="2943" w:type="dxa"/>
            <w:vAlign w:val="center"/>
          </w:tcPr>
          <w:p w:rsidR="00BF0019" w:rsidRPr="007B5F21" w:rsidRDefault="00BF0019" w:rsidP="007623B6">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223,946,536.65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2.12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5,288,709,567.04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49.96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13,029.12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28,264.03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938,727,636.96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8.87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467,812,285.12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419,758,528.08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1,290,694,432.64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12.19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377,500,418.40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15,348.36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252,612,917.58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9,259,818,963.98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87.48</w:t>
            </w:r>
          </w:p>
        </w:tc>
      </w:tr>
    </w:tbl>
    <w:p w:rsidR="007623B6" w:rsidRDefault="007623B6"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8F0FAE">
        <w:trPr>
          <w:jc w:val="center"/>
        </w:trPr>
        <w:tc>
          <w:tcPr>
            <w:tcW w:w="855" w:type="dxa"/>
            <w:vAlign w:val="center"/>
          </w:tcPr>
          <w:p w:rsidR="008F0FAE" w:rsidRDefault="007623B6">
            <w:pPr>
              <w:jc w:val="center"/>
            </w:pPr>
            <w:r>
              <w:rPr>
                <w:color w:val="000000"/>
                <w:sz w:val="24"/>
                <w:szCs w:val="24"/>
              </w:rPr>
              <w:t>1</w:t>
            </w:r>
          </w:p>
        </w:tc>
        <w:tc>
          <w:tcPr>
            <w:tcW w:w="1334" w:type="dxa"/>
            <w:vAlign w:val="center"/>
          </w:tcPr>
          <w:p w:rsidR="008F0FAE" w:rsidRDefault="007623B6">
            <w:pPr>
              <w:jc w:val="center"/>
            </w:pPr>
            <w:r>
              <w:rPr>
                <w:color w:val="000000"/>
                <w:sz w:val="24"/>
                <w:szCs w:val="24"/>
              </w:rPr>
              <w:t>002352</w:t>
            </w:r>
          </w:p>
        </w:tc>
        <w:tc>
          <w:tcPr>
            <w:tcW w:w="1777" w:type="dxa"/>
            <w:vAlign w:val="center"/>
          </w:tcPr>
          <w:p w:rsidR="008F0FAE" w:rsidRDefault="007623B6">
            <w:pPr>
              <w:jc w:val="center"/>
            </w:pPr>
            <w:r>
              <w:rPr>
                <w:color w:val="000000"/>
                <w:sz w:val="24"/>
                <w:szCs w:val="24"/>
              </w:rPr>
              <w:t>顺丰控股</w:t>
            </w:r>
          </w:p>
        </w:tc>
        <w:tc>
          <w:tcPr>
            <w:tcW w:w="1334" w:type="dxa"/>
            <w:vAlign w:val="center"/>
          </w:tcPr>
          <w:p w:rsidR="008F0FAE" w:rsidRDefault="007623B6">
            <w:pPr>
              <w:jc w:val="right"/>
            </w:pPr>
            <w:r>
              <w:rPr>
                <w:color w:val="000000"/>
                <w:sz w:val="24"/>
                <w:szCs w:val="24"/>
              </w:rPr>
              <w:t>11,700,203</w:t>
            </w:r>
          </w:p>
        </w:tc>
        <w:tc>
          <w:tcPr>
            <w:tcW w:w="1924" w:type="dxa"/>
            <w:vAlign w:val="center"/>
          </w:tcPr>
          <w:p w:rsidR="008F0FAE" w:rsidRDefault="007623B6">
            <w:pPr>
              <w:jc w:val="right"/>
            </w:pPr>
            <w:r>
              <w:rPr>
                <w:color w:val="000000"/>
                <w:sz w:val="24"/>
                <w:szCs w:val="24"/>
              </w:rPr>
              <w:t>938,708,983.60</w:t>
            </w:r>
          </w:p>
        </w:tc>
        <w:tc>
          <w:tcPr>
            <w:tcW w:w="1644" w:type="dxa"/>
            <w:vAlign w:val="center"/>
          </w:tcPr>
          <w:p w:rsidR="008F0FAE" w:rsidRDefault="007623B6">
            <w:pPr>
              <w:jc w:val="right"/>
            </w:pPr>
            <w:r>
              <w:rPr>
                <w:color w:val="000000"/>
                <w:sz w:val="24"/>
                <w:szCs w:val="24"/>
              </w:rPr>
              <w:t>8.87</w:t>
            </w:r>
          </w:p>
        </w:tc>
      </w:tr>
      <w:tr w:rsidR="008F0FAE">
        <w:trPr>
          <w:jc w:val="center"/>
        </w:trPr>
        <w:tc>
          <w:tcPr>
            <w:tcW w:w="855" w:type="dxa"/>
            <w:vAlign w:val="center"/>
          </w:tcPr>
          <w:p w:rsidR="008F0FAE" w:rsidRDefault="007623B6">
            <w:pPr>
              <w:jc w:val="center"/>
            </w:pPr>
            <w:r>
              <w:rPr>
                <w:color w:val="000000"/>
                <w:sz w:val="24"/>
                <w:szCs w:val="24"/>
              </w:rPr>
              <w:t>2</w:t>
            </w:r>
          </w:p>
        </w:tc>
        <w:tc>
          <w:tcPr>
            <w:tcW w:w="1334" w:type="dxa"/>
            <w:vAlign w:val="center"/>
          </w:tcPr>
          <w:p w:rsidR="008F0FAE" w:rsidRDefault="007623B6">
            <w:pPr>
              <w:jc w:val="center"/>
            </w:pPr>
            <w:r>
              <w:rPr>
                <w:color w:val="000000"/>
                <w:sz w:val="24"/>
                <w:szCs w:val="24"/>
              </w:rPr>
              <w:t>002271</w:t>
            </w:r>
          </w:p>
        </w:tc>
        <w:tc>
          <w:tcPr>
            <w:tcW w:w="1777" w:type="dxa"/>
            <w:vAlign w:val="center"/>
          </w:tcPr>
          <w:p w:rsidR="008F0FAE" w:rsidRDefault="007623B6">
            <w:pPr>
              <w:jc w:val="center"/>
            </w:pPr>
            <w:r>
              <w:rPr>
                <w:color w:val="000000"/>
                <w:sz w:val="24"/>
                <w:szCs w:val="24"/>
              </w:rPr>
              <w:t>东方雨虹</w:t>
            </w:r>
          </w:p>
        </w:tc>
        <w:tc>
          <w:tcPr>
            <w:tcW w:w="1334" w:type="dxa"/>
            <w:vAlign w:val="center"/>
          </w:tcPr>
          <w:p w:rsidR="008F0FAE" w:rsidRDefault="007623B6">
            <w:pPr>
              <w:jc w:val="right"/>
            </w:pPr>
            <w:r>
              <w:rPr>
                <w:color w:val="000000"/>
                <w:sz w:val="24"/>
                <w:szCs w:val="24"/>
              </w:rPr>
              <w:t>16,940,156</w:t>
            </w:r>
          </w:p>
        </w:tc>
        <w:tc>
          <w:tcPr>
            <w:tcW w:w="1924" w:type="dxa"/>
            <w:vAlign w:val="center"/>
          </w:tcPr>
          <w:p w:rsidR="008F0FAE" w:rsidRDefault="007623B6">
            <w:pPr>
              <w:jc w:val="right"/>
            </w:pPr>
            <w:r>
              <w:rPr>
                <w:color w:val="000000"/>
                <w:sz w:val="24"/>
                <w:szCs w:val="24"/>
              </w:rPr>
              <w:t>913,074,408.40</w:t>
            </w:r>
          </w:p>
        </w:tc>
        <w:tc>
          <w:tcPr>
            <w:tcW w:w="1644" w:type="dxa"/>
            <w:vAlign w:val="center"/>
          </w:tcPr>
          <w:p w:rsidR="008F0FAE" w:rsidRDefault="007623B6">
            <w:pPr>
              <w:jc w:val="right"/>
            </w:pPr>
            <w:r>
              <w:rPr>
                <w:color w:val="000000"/>
                <w:sz w:val="24"/>
                <w:szCs w:val="24"/>
              </w:rPr>
              <w:t>8.63</w:t>
            </w:r>
          </w:p>
        </w:tc>
      </w:tr>
      <w:tr w:rsidR="008F0FAE">
        <w:trPr>
          <w:jc w:val="center"/>
        </w:trPr>
        <w:tc>
          <w:tcPr>
            <w:tcW w:w="855" w:type="dxa"/>
            <w:vAlign w:val="center"/>
          </w:tcPr>
          <w:p w:rsidR="008F0FAE" w:rsidRDefault="007623B6">
            <w:pPr>
              <w:jc w:val="center"/>
            </w:pPr>
            <w:r>
              <w:rPr>
                <w:color w:val="000000"/>
                <w:sz w:val="24"/>
                <w:szCs w:val="24"/>
              </w:rPr>
              <w:t>3</w:t>
            </w:r>
          </w:p>
        </w:tc>
        <w:tc>
          <w:tcPr>
            <w:tcW w:w="1334" w:type="dxa"/>
            <w:vAlign w:val="center"/>
          </w:tcPr>
          <w:p w:rsidR="008F0FAE" w:rsidRDefault="007623B6">
            <w:pPr>
              <w:jc w:val="center"/>
            </w:pPr>
            <w:r>
              <w:rPr>
                <w:color w:val="000000"/>
                <w:sz w:val="24"/>
                <w:szCs w:val="24"/>
              </w:rPr>
              <w:t>603517</w:t>
            </w:r>
          </w:p>
        </w:tc>
        <w:tc>
          <w:tcPr>
            <w:tcW w:w="1777" w:type="dxa"/>
            <w:vAlign w:val="center"/>
          </w:tcPr>
          <w:p w:rsidR="008F0FAE" w:rsidRDefault="007623B6">
            <w:pPr>
              <w:jc w:val="center"/>
            </w:pPr>
            <w:r>
              <w:rPr>
                <w:color w:val="000000"/>
                <w:sz w:val="24"/>
                <w:szCs w:val="24"/>
              </w:rPr>
              <w:t>绝味食品</w:t>
            </w:r>
          </w:p>
        </w:tc>
        <w:tc>
          <w:tcPr>
            <w:tcW w:w="1334" w:type="dxa"/>
            <w:vAlign w:val="center"/>
          </w:tcPr>
          <w:p w:rsidR="008F0FAE" w:rsidRDefault="007623B6">
            <w:pPr>
              <w:jc w:val="right"/>
            </w:pPr>
            <w:r>
              <w:rPr>
                <w:color w:val="000000"/>
                <w:sz w:val="24"/>
                <w:szCs w:val="24"/>
              </w:rPr>
              <w:t>9,678,495</w:t>
            </w:r>
          </w:p>
        </w:tc>
        <w:tc>
          <w:tcPr>
            <w:tcW w:w="1924" w:type="dxa"/>
            <w:vAlign w:val="center"/>
          </w:tcPr>
          <w:p w:rsidR="008F0FAE" w:rsidRDefault="007623B6">
            <w:pPr>
              <w:jc w:val="right"/>
            </w:pPr>
            <w:r>
              <w:rPr>
                <w:color w:val="000000"/>
                <w:sz w:val="24"/>
                <w:szCs w:val="24"/>
              </w:rPr>
              <w:t>793,830,159.90</w:t>
            </w:r>
          </w:p>
        </w:tc>
        <w:tc>
          <w:tcPr>
            <w:tcW w:w="1644" w:type="dxa"/>
            <w:vAlign w:val="center"/>
          </w:tcPr>
          <w:p w:rsidR="008F0FAE" w:rsidRDefault="007623B6">
            <w:pPr>
              <w:jc w:val="right"/>
            </w:pPr>
            <w:r>
              <w:rPr>
                <w:color w:val="000000"/>
                <w:sz w:val="24"/>
                <w:szCs w:val="24"/>
              </w:rPr>
              <w:t>7.50</w:t>
            </w:r>
          </w:p>
        </w:tc>
      </w:tr>
      <w:tr w:rsidR="008F0FAE">
        <w:trPr>
          <w:jc w:val="center"/>
        </w:trPr>
        <w:tc>
          <w:tcPr>
            <w:tcW w:w="855" w:type="dxa"/>
            <w:vAlign w:val="center"/>
          </w:tcPr>
          <w:p w:rsidR="008F0FAE" w:rsidRDefault="007623B6">
            <w:pPr>
              <w:jc w:val="center"/>
            </w:pPr>
            <w:r>
              <w:rPr>
                <w:color w:val="000000"/>
                <w:sz w:val="24"/>
                <w:szCs w:val="24"/>
              </w:rPr>
              <w:t>4</w:t>
            </w:r>
          </w:p>
        </w:tc>
        <w:tc>
          <w:tcPr>
            <w:tcW w:w="1334" w:type="dxa"/>
            <w:vAlign w:val="center"/>
          </w:tcPr>
          <w:p w:rsidR="008F0FAE" w:rsidRDefault="007623B6">
            <w:pPr>
              <w:jc w:val="center"/>
            </w:pPr>
            <w:r>
              <w:rPr>
                <w:color w:val="000000"/>
                <w:sz w:val="24"/>
                <w:szCs w:val="24"/>
              </w:rPr>
              <w:t>000002</w:t>
            </w:r>
          </w:p>
        </w:tc>
        <w:tc>
          <w:tcPr>
            <w:tcW w:w="1777" w:type="dxa"/>
            <w:vAlign w:val="center"/>
          </w:tcPr>
          <w:p w:rsidR="008F0FAE" w:rsidRDefault="007623B6">
            <w:pPr>
              <w:jc w:val="center"/>
            </w:pPr>
            <w:r>
              <w:rPr>
                <w:color w:val="000000"/>
                <w:sz w:val="24"/>
                <w:szCs w:val="24"/>
              </w:rPr>
              <w:t>万科</w:t>
            </w:r>
            <w:r>
              <w:rPr>
                <w:color w:val="000000"/>
                <w:sz w:val="24"/>
                <w:szCs w:val="24"/>
              </w:rPr>
              <w:t>A</w:t>
            </w:r>
          </w:p>
        </w:tc>
        <w:tc>
          <w:tcPr>
            <w:tcW w:w="1334" w:type="dxa"/>
            <w:vAlign w:val="center"/>
          </w:tcPr>
          <w:p w:rsidR="008F0FAE" w:rsidRDefault="007623B6">
            <w:pPr>
              <w:jc w:val="right"/>
            </w:pPr>
            <w:r>
              <w:rPr>
                <w:color w:val="000000"/>
                <w:sz w:val="24"/>
                <w:szCs w:val="24"/>
              </w:rPr>
              <w:t>23,050,934</w:t>
            </w:r>
          </w:p>
        </w:tc>
        <w:tc>
          <w:tcPr>
            <w:tcW w:w="1924" w:type="dxa"/>
            <w:vAlign w:val="center"/>
          </w:tcPr>
          <w:p w:rsidR="008F0FAE" w:rsidRDefault="007623B6">
            <w:pPr>
              <w:jc w:val="right"/>
            </w:pPr>
            <w:r>
              <w:rPr>
                <w:color w:val="000000"/>
                <w:sz w:val="24"/>
                <w:szCs w:val="24"/>
              </w:rPr>
              <w:t>645,887,170.68</w:t>
            </w:r>
          </w:p>
        </w:tc>
        <w:tc>
          <w:tcPr>
            <w:tcW w:w="1644" w:type="dxa"/>
            <w:vAlign w:val="center"/>
          </w:tcPr>
          <w:p w:rsidR="008F0FAE" w:rsidRDefault="007623B6">
            <w:pPr>
              <w:jc w:val="right"/>
            </w:pPr>
            <w:r>
              <w:rPr>
                <w:color w:val="000000"/>
                <w:sz w:val="24"/>
                <w:szCs w:val="24"/>
              </w:rPr>
              <w:t>6.10</w:t>
            </w:r>
          </w:p>
        </w:tc>
      </w:tr>
      <w:tr w:rsidR="008F0FAE">
        <w:trPr>
          <w:jc w:val="center"/>
        </w:trPr>
        <w:tc>
          <w:tcPr>
            <w:tcW w:w="855" w:type="dxa"/>
            <w:vAlign w:val="center"/>
          </w:tcPr>
          <w:p w:rsidR="008F0FAE" w:rsidRDefault="007623B6">
            <w:pPr>
              <w:jc w:val="center"/>
            </w:pPr>
            <w:r>
              <w:rPr>
                <w:color w:val="000000"/>
                <w:sz w:val="24"/>
                <w:szCs w:val="24"/>
              </w:rPr>
              <w:t>5</w:t>
            </w:r>
          </w:p>
        </w:tc>
        <w:tc>
          <w:tcPr>
            <w:tcW w:w="1334" w:type="dxa"/>
            <w:vAlign w:val="center"/>
          </w:tcPr>
          <w:p w:rsidR="008F0FAE" w:rsidRDefault="007623B6">
            <w:pPr>
              <w:jc w:val="center"/>
            </w:pPr>
            <w:r>
              <w:rPr>
                <w:color w:val="000000"/>
                <w:sz w:val="24"/>
                <w:szCs w:val="24"/>
              </w:rPr>
              <w:t>002049</w:t>
            </w:r>
          </w:p>
        </w:tc>
        <w:tc>
          <w:tcPr>
            <w:tcW w:w="1777" w:type="dxa"/>
            <w:vAlign w:val="center"/>
          </w:tcPr>
          <w:p w:rsidR="008F0FAE" w:rsidRDefault="007623B6">
            <w:pPr>
              <w:jc w:val="center"/>
            </w:pPr>
            <w:r>
              <w:rPr>
                <w:color w:val="000000"/>
                <w:sz w:val="24"/>
                <w:szCs w:val="24"/>
              </w:rPr>
              <w:t>紫光国微</w:t>
            </w:r>
          </w:p>
        </w:tc>
        <w:tc>
          <w:tcPr>
            <w:tcW w:w="1334" w:type="dxa"/>
            <w:vAlign w:val="center"/>
          </w:tcPr>
          <w:p w:rsidR="008F0FAE" w:rsidRDefault="007623B6">
            <w:pPr>
              <w:jc w:val="right"/>
            </w:pPr>
            <w:r>
              <w:rPr>
                <w:color w:val="000000"/>
                <w:sz w:val="24"/>
                <w:szCs w:val="24"/>
              </w:rPr>
              <w:t>5,276,284</w:t>
            </w:r>
          </w:p>
        </w:tc>
        <w:tc>
          <w:tcPr>
            <w:tcW w:w="1924" w:type="dxa"/>
            <w:vAlign w:val="center"/>
          </w:tcPr>
          <w:p w:rsidR="008F0FAE" w:rsidRDefault="007623B6">
            <w:pPr>
              <w:jc w:val="right"/>
            </w:pPr>
            <w:r>
              <w:rPr>
                <w:color w:val="000000"/>
                <w:sz w:val="24"/>
                <w:szCs w:val="24"/>
              </w:rPr>
              <w:t>626,717,013.52</w:t>
            </w:r>
          </w:p>
        </w:tc>
        <w:tc>
          <w:tcPr>
            <w:tcW w:w="1644" w:type="dxa"/>
            <w:vAlign w:val="center"/>
          </w:tcPr>
          <w:p w:rsidR="008F0FAE" w:rsidRDefault="007623B6">
            <w:pPr>
              <w:jc w:val="right"/>
            </w:pPr>
            <w:r>
              <w:rPr>
                <w:color w:val="000000"/>
                <w:sz w:val="24"/>
                <w:szCs w:val="24"/>
              </w:rPr>
              <w:t>5.92</w:t>
            </w:r>
          </w:p>
        </w:tc>
      </w:tr>
      <w:tr w:rsidR="008F0FAE">
        <w:trPr>
          <w:jc w:val="center"/>
        </w:trPr>
        <w:tc>
          <w:tcPr>
            <w:tcW w:w="855" w:type="dxa"/>
            <w:vAlign w:val="center"/>
          </w:tcPr>
          <w:p w:rsidR="008F0FAE" w:rsidRDefault="007623B6">
            <w:pPr>
              <w:jc w:val="center"/>
            </w:pPr>
            <w:r>
              <w:rPr>
                <w:color w:val="000000"/>
                <w:sz w:val="24"/>
                <w:szCs w:val="24"/>
              </w:rPr>
              <w:t>6</w:t>
            </w:r>
          </w:p>
        </w:tc>
        <w:tc>
          <w:tcPr>
            <w:tcW w:w="1334" w:type="dxa"/>
            <w:vAlign w:val="center"/>
          </w:tcPr>
          <w:p w:rsidR="008F0FAE" w:rsidRDefault="007623B6">
            <w:pPr>
              <w:jc w:val="center"/>
            </w:pPr>
            <w:r>
              <w:rPr>
                <w:color w:val="000000"/>
                <w:sz w:val="24"/>
                <w:szCs w:val="24"/>
              </w:rPr>
              <w:t>002841</w:t>
            </w:r>
          </w:p>
        </w:tc>
        <w:tc>
          <w:tcPr>
            <w:tcW w:w="1777" w:type="dxa"/>
            <w:vAlign w:val="center"/>
          </w:tcPr>
          <w:p w:rsidR="008F0FAE" w:rsidRDefault="007623B6">
            <w:pPr>
              <w:jc w:val="center"/>
            </w:pPr>
            <w:r>
              <w:rPr>
                <w:color w:val="000000"/>
                <w:sz w:val="24"/>
                <w:szCs w:val="24"/>
              </w:rPr>
              <w:t>视源股份</w:t>
            </w:r>
          </w:p>
        </w:tc>
        <w:tc>
          <w:tcPr>
            <w:tcW w:w="1334" w:type="dxa"/>
            <w:vAlign w:val="center"/>
          </w:tcPr>
          <w:p w:rsidR="008F0FAE" w:rsidRDefault="007623B6">
            <w:pPr>
              <w:jc w:val="right"/>
            </w:pPr>
            <w:r>
              <w:rPr>
                <w:color w:val="000000"/>
                <w:sz w:val="24"/>
                <w:szCs w:val="24"/>
              </w:rPr>
              <w:t>5,461,942</w:t>
            </w:r>
          </w:p>
        </w:tc>
        <w:tc>
          <w:tcPr>
            <w:tcW w:w="1924" w:type="dxa"/>
            <w:vAlign w:val="center"/>
          </w:tcPr>
          <w:p w:rsidR="008F0FAE" w:rsidRDefault="007623B6">
            <w:pPr>
              <w:jc w:val="right"/>
            </w:pPr>
            <w:r>
              <w:rPr>
                <w:color w:val="000000"/>
                <w:sz w:val="24"/>
                <w:szCs w:val="24"/>
              </w:rPr>
              <w:t>528,504,970.22</w:t>
            </w:r>
          </w:p>
        </w:tc>
        <w:tc>
          <w:tcPr>
            <w:tcW w:w="1644" w:type="dxa"/>
            <w:vAlign w:val="center"/>
          </w:tcPr>
          <w:p w:rsidR="008F0FAE" w:rsidRDefault="007623B6">
            <w:pPr>
              <w:jc w:val="right"/>
            </w:pPr>
            <w:r>
              <w:rPr>
                <w:color w:val="000000"/>
                <w:sz w:val="24"/>
                <w:szCs w:val="24"/>
              </w:rPr>
              <w:t>4.99</w:t>
            </w:r>
          </w:p>
        </w:tc>
      </w:tr>
      <w:tr w:rsidR="008F0FAE">
        <w:trPr>
          <w:jc w:val="center"/>
        </w:trPr>
        <w:tc>
          <w:tcPr>
            <w:tcW w:w="855" w:type="dxa"/>
            <w:vAlign w:val="center"/>
          </w:tcPr>
          <w:p w:rsidR="008F0FAE" w:rsidRDefault="007623B6">
            <w:pPr>
              <w:jc w:val="center"/>
            </w:pPr>
            <w:r>
              <w:rPr>
                <w:color w:val="000000"/>
                <w:sz w:val="24"/>
                <w:szCs w:val="24"/>
              </w:rPr>
              <w:lastRenderedPageBreak/>
              <w:t>7</w:t>
            </w:r>
          </w:p>
        </w:tc>
        <w:tc>
          <w:tcPr>
            <w:tcW w:w="1334" w:type="dxa"/>
            <w:vAlign w:val="center"/>
          </w:tcPr>
          <w:p w:rsidR="008F0FAE" w:rsidRDefault="007623B6">
            <w:pPr>
              <w:jc w:val="center"/>
            </w:pPr>
            <w:r>
              <w:rPr>
                <w:color w:val="000000"/>
                <w:sz w:val="24"/>
                <w:szCs w:val="24"/>
              </w:rPr>
              <w:t>600519</w:t>
            </w:r>
          </w:p>
        </w:tc>
        <w:tc>
          <w:tcPr>
            <w:tcW w:w="1777" w:type="dxa"/>
            <w:vAlign w:val="center"/>
          </w:tcPr>
          <w:p w:rsidR="008F0FAE" w:rsidRDefault="007623B6">
            <w:pPr>
              <w:jc w:val="center"/>
            </w:pPr>
            <w:r>
              <w:rPr>
                <w:color w:val="000000"/>
                <w:sz w:val="24"/>
                <w:szCs w:val="24"/>
              </w:rPr>
              <w:t>贵州茅台</w:t>
            </w:r>
          </w:p>
        </w:tc>
        <w:tc>
          <w:tcPr>
            <w:tcW w:w="1334" w:type="dxa"/>
            <w:vAlign w:val="center"/>
          </w:tcPr>
          <w:p w:rsidR="008F0FAE" w:rsidRDefault="007623B6">
            <w:pPr>
              <w:jc w:val="right"/>
            </w:pPr>
            <w:r>
              <w:rPr>
                <w:color w:val="000000"/>
                <w:sz w:val="24"/>
                <w:szCs w:val="24"/>
              </w:rPr>
              <w:t>280,066</w:t>
            </w:r>
          </w:p>
        </w:tc>
        <w:tc>
          <w:tcPr>
            <w:tcW w:w="1924" w:type="dxa"/>
            <w:vAlign w:val="center"/>
          </w:tcPr>
          <w:p w:rsidR="008F0FAE" w:rsidRDefault="007623B6">
            <w:pPr>
              <w:jc w:val="right"/>
            </w:pPr>
            <w:r>
              <w:rPr>
                <w:color w:val="000000"/>
                <w:sz w:val="24"/>
                <w:szCs w:val="24"/>
              </w:rPr>
              <w:t>467,290,121.00</w:t>
            </w:r>
          </w:p>
        </w:tc>
        <w:tc>
          <w:tcPr>
            <w:tcW w:w="1644" w:type="dxa"/>
            <w:vAlign w:val="center"/>
          </w:tcPr>
          <w:p w:rsidR="008F0FAE" w:rsidRDefault="007623B6">
            <w:pPr>
              <w:jc w:val="right"/>
            </w:pPr>
            <w:r>
              <w:rPr>
                <w:color w:val="000000"/>
                <w:sz w:val="24"/>
                <w:szCs w:val="24"/>
              </w:rPr>
              <w:t>4.41</w:t>
            </w:r>
          </w:p>
        </w:tc>
      </w:tr>
      <w:tr w:rsidR="008F0FAE">
        <w:trPr>
          <w:jc w:val="center"/>
        </w:trPr>
        <w:tc>
          <w:tcPr>
            <w:tcW w:w="855" w:type="dxa"/>
            <w:vAlign w:val="center"/>
          </w:tcPr>
          <w:p w:rsidR="008F0FAE" w:rsidRDefault="007623B6">
            <w:pPr>
              <w:jc w:val="center"/>
            </w:pPr>
            <w:r>
              <w:rPr>
                <w:color w:val="000000"/>
                <w:sz w:val="24"/>
                <w:szCs w:val="24"/>
              </w:rPr>
              <w:t>8</w:t>
            </w:r>
          </w:p>
        </w:tc>
        <w:tc>
          <w:tcPr>
            <w:tcW w:w="1334" w:type="dxa"/>
            <w:vAlign w:val="center"/>
          </w:tcPr>
          <w:p w:rsidR="008F0FAE" w:rsidRDefault="007623B6">
            <w:pPr>
              <w:jc w:val="center"/>
            </w:pPr>
            <w:r>
              <w:rPr>
                <w:color w:val="000000"/>
                <w:sz w:val="24"/>
                <w:szCs w:val="24"/>
              </w:rPr>
              <w:t>601318</w:t>
            </w:r>
          </w:p>
        </w:tc>
        <w:tc>
          <w:tcPr>
            <w:tcW w:w="1777" w:type="dxa"/>
            <w:vAlign w:val="center"/>
          </w:tcPr>
          <w:p w:rsidR="008F0FAE" w:rsidRDefault="007623B6">
            <w:pPr>
              <w:jc w:val="center"/>
            </w:pPr>
            <w:r>
              <w:rPr>
                <w:color w:val="000000"/>
                <w:sz w:val="24"/>
                <w:szCs w:val="24"/>
              </w:rPr>
              <w:t>中国平安</w:t>
            </w:r>
          </w:p>
        </w:tc>
        <w:tc>
          <w:tcPr>
            <w:tcW w:w="1334" w:type="dxa"/>
            <w:vAlign w:val="center"/>
          </w:tcPr>
          <w:p w:rsidR="008F0FAE" w:rsidRDefault="007623B6">
            <w:pPr>
              <w:jc w:val="right"/>
            </w:pPr>
            <w:r>
              <w:rPr>
                <w:color w:val="000000"/>
                <w:sz w:val="24"/>
                <w:szCs w:val="24"/>
              </w:rPr>
              <w:t>5,504,308</w:t>
            </w:r>
          </w:p>
        </w:tc>
        <w:tc>
          <w:tcPr>
            <w:tcW w:w="1924" w:type="dxa"/>
            <w:vAlign w:val="center"/>
          </w:tcPr>
          <w:p w:rsidR="008F0FAE" w:rsidRDefault="007623B6">
            <w:pPr>
              <w:jc w:val="right"/>
            </w:pPr>
            <w:r>
              <w:rPr>
                <w:color w:val="000000"/>
                <w:sz w:val="24"/>
                <w:szCs w:val="24"/>
              </w:rPr>
              <w:t>419,758,528.08</w:t>
            </w:r>
          </w:p>
        </w:tc>
        <w:tc>
          <w:tcPr>
            <w:tcW w:w="1644" w:type="dxa"/>
            <w:vAlign w:val="center"/>
          </w:tcPr>
          <w:p w:rsidR="008F0FAE" w:rsidRDefault="007623B6">
            <w:pPr>
              <w:jc w:val="right"/>
            </w:pPr>
            <w:r>
              <w:rPr>
                <w:color w:val="000000"/>
                <w:sz w:val="24"/>
                <w:szCs w:val="24"/>
              </w:rPr>
              <w:t>3.97</w:t>
            </w:r>
          </w:p>
        </w:tc>
      </w:tr>
      <w:tr w:rsidR="008F0FAE">
        <w:trPr>
          <w:jc w:val="center"/>
        </w:trPr>
        <w:tc>
          <w:tcPr>
            <w:tcW w:w="855" w:type="dxa"/>
            <w:vAlign w:val="center"/>
          </w:tcPr>
          <w:p w:rsidR="008F0FAE" w:rsidRDefault="007623B6">
            <w:pPr>
              <w:jc w:val="center"/>
            </w:pPr>
            <w:r>
              <w:rPr>
                <w:color w:val="000000"/>
                <w:sz w:val="24"/>
                <w:szCs w:val="24"/>
              </w:rPr>
              <w:t>9</w:t>
            </w:r>
          </w:p>
        </w:tc>
        <w:tc>
          <w:tcPr>
            <w:tcW w:w="1334" w:type="dxa"/>
            <w:vAlign w:val="center"/>
          </w:tcPr>
          <w:p w:rsidR="008F0FAE" w:rsidRDefault="007623B6">
            <w:pPr>
              <w:jc w:val="center"/>
            </w:pPr>
            <w:r>
              <w:rPr>
                <w:color w:val="000000"/>
                <w:sz w:val="24"/>
                <w:szCs w:val="24"/>
              </w:rPr>
              <w:t>002475</w:t>
            </w:r>
          </w:p>
        </w:tc>
        <w:tc>
          <w:tcPr>
            <w:tcW w:w="1777" w:type="dxa"/>
            <w:vAlign w:val="center"/>
          </w:tcPr>
          <w:p w:rsidR="008F0FAE" w:rsidRDefault="007623B6">
            <w:pPr>
              <w:jc w:val="center"/>
            </w:pPr>
            <w:r>
              <w:rPr>
                <w:color w:val="000000"/>
                <w:sz w:val="24"/>
                <w:szCs w:val="24"/>
              </w:rPr>
              <w:t>立讯精密</w:t>
            </w:r>
          </w:p>
        </w:tc>
        <w:tc>
          <w:tcPr>
            <w:tcW w:w="1334" w:type="dxa"/>
            <w:vAlign w:val="center"/>
          </w:tcPr>
          <w:p w:rsidR="008F0FAE" w:rsidRDefault="007623B6">
            <w:pPr>
              <w:jc w:val="right"/>
            </w:pPr>
            <w:r>
              <w:rPr>
                <w:color w:val="000000"/>
                <w:sz w:val="24"/>
                <w:szCs w:val="24"/>
              </w:rPr>
              <w:t>6,722,855</w:t>
            </w:r>
          </w:p>
        </w:tc>
        <w:tc>
          <w:tcPr>
            <w:tcW w:w="1924" w:type="dxa"/>
            <w:vAlign w:val="center"/>
          </w:tcPr>
          <w:p w:rsidR="008F0FAE" w:rsidRDefault="007623B6">
            <w:pPr>
              <w:jc w:val="right"/>
            </w:pPr>
            <w:r>
              <w:rPr>
                <w:color w:val="000000"/>
                <w:sz w:val="24"/>
                <w:szCs w:val="24"/>
              </w:rPr>
              <w:t>384,076,706.15</w:t>
            </w:r>
          </w:p>
        </w:tc>
        <w:tc>
          <w:tcPr>
            <w:tcW w:w="1644" w:type="dxa"/>
            <w:vAlign w:val="center"/>
          </w:tcPr>
          <w:p w:rsidR="008F0FAE" w:rsidRDefault="007623B6">
            <w:pPr>
              <w:jc w:val="right"/>
            </w:pPr>
            <w:r>
              <w:rPr>
                <w:color w:val="000000"/>
                <w:sz w:val="24"/>
                <w:szCs w:val="24"/>
              </w:rPr>
              <w:t>3.63</w:t>
            </w:r>
          </w:p>
        </w:tc>
      </w:tr>
      <w:tr w:rsidR="008F0FAE">
        <w:trPr>
          <w:jc w:val="center"/>
        </w:trPr>
        <w:tc>
          <w:tcPr>
            <w:tcW w:w="855" w:type="dxa"/>
            <w:vAlign w:val="center"/>
          </w:tcPr>
          <w:p w:rsidR="008F0FAE" w:rsidRDefault="007623B6">
            <w:pPr>
              <w:jc w:val="center"/>
            </w:pPr>
            <w:r>
              <w:rPr>
                <w:color w:val="000000"/>
                <w:sz w:val="24"/>
                <w:szCs w:val="24"/>
              </w:rPr>
              <w:t>10</w:t>
            </w:r>
          </w:p>
        </w:tc>
        <w:tc>
          <w:tcPr>
            <w:tcW w:w="1334" w:type="dxa"/>
            <w:vAlign w:val="center"/>
          </w:tcPr>
          <w:p w:rsidR="008F0FAE" w:rsidRDefault="007623B6">
            <w:pPr>
              <w:jc w:val="center"/>
            </w:pPr>
            <w:r>
              <w:rPr>
                <w:color w:val="000000"/>
                <w:sz w:val="24"/>
                <w:szCs w:val="24"/>
              </w:rPr>
              <w:t>603259</w:t>
            </w:r>
          </w:p>
        </w:tc>
        <w:tc>
          <w:tcPr>
            <w:tcW w:w="1777" w:type="dxa"/>
            <w:vAlign w:val="center"/>
          </w:tcPr>
          <w:p w:rsidR="008F0FAE" w:rsidRDefault="007623B6">
            <w:pPr>
              <w:jc w:val="center"/>
            </w:pPr>
            <w:r>
              <w:rPr>
                <w:color w:val="000000"/>
                <w:sz w:val="24"/>
                <w:szCs w:val="24"/>
              </w:rPr>
              <w:t>药明康德</w:t>
            </w:r>
          </w:p>
        </w:tc>
        <w:tc>
          <w:tcPr>
            <w:tcW w:w="1334" w:type="dxa"/>
            <w:vAlign w:val="center"/>
          </w:tcPr>
          <w:p w:rsidR="008F0FAE" w:rsidRDefault="007623B6">
            <w:pPr>
              <w:jc w:val="right"/>
            </w:pPr>
            <w:r>
              <w:rPr>
                <w:color w:val="000000"/>
                <w:sz w:val="24"/>
                <w:szCs w:val="24"/>
              </w:rPr>
              <w:t>3,719,070</w:t>
            </w:r>
          </w:p>
        </w:tc>
        <w:tc>
          <w:tcPr>
            <w:tcW w:w="1924" w:type="dxa"/>
            <w:vAlign w:val="center"/>
          </w:tcPr>
          <w:p w:rsidR="008F0FAE" w:rsidRDefault="007623B6">
            <w:pPr>
              <w:jc w:val="right"/>
            </w:pPr>
            <w:r>
              <w:rPr>
                <w:color w:val="000000"/>
                <w:sz w:val="24"/>
                <w:szCs w:val="24"/>
              </w:rPr>
              <w:t>377,485,605.00</w:t>
            </w:r>
          </w:p>
        </w:tc>
        <w:tc>
          <w:tcPr>
            <w:tcW w:w="1644" w:type="dxa"/>
            <w:vAlign w:val="center"/>
          </w:tcPr>
          <w:p w:rsidR="008F0FAE" w:rsidRDefault="007623B6">
            <w:pPr>
              <w:jc w:val="right"/>
            </w:pPr>
            <w:r>
              <w:rPr>
                <w:color w:val="000000"/>
                <w:sz w:val="24"/>
                <w:szCs w:val="24"/>
              </w:rPr>
              <w:t>3.57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f2"/>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398,432,000.00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3.76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398,432,000.00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3.76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7623B6">
        <w:trPr>
          <w:jc w:val="center"/>
        </w:trPr>
        <w:tc>
          <w:tcPr>
            <w:tcW w:w="828" w:type="dxa"/>
            <w:vAlign w:val="center"/>
          </w:tcPr>
          <w:p w:rsidR="00F323FF" w:rsidRPr="007A70C2" w:rsidRDefault="00F323FF" w:rsidP="007623B6">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7623B6">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7623B6">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7623B6">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398,432,000.00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3.76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f2"/>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8F0FAE">
        <w:trPr>
          <w:jc w:val="center"/>
        </w:trPr>
        <w:tc>
          <w:tcPr>
            <w:tcW w:w="850" w:type="dxa"/>
            <w:vAlign w:val="center"/>
          </w:tcPr>
          <w:p w:rsidR="008F0FAE" w:rsidRDefault="007623B6">
            <w:pPr>
              <w:jc w:val="center"/>
            </w:pPr>
            <w:r>
              <w:rPr>
                <w:color w:val="000000"/>
                <w:sz w:val="24"/>
                <w:szCs w:val="24"/>
              </w:rPr>
              <w:t>1</w:t>
            </w:r>
          </w:p>
        </w:tc>
        <w:tc>
          <w:tcPr>
            <w:tcW w:w="1475" w:type="dxa"/>
            <w:vAlign w:val="center"/>
          </w:tcPr>
          <w:p w:rsidR="008F0FAE" w:rsidRDefault="007623B6">
            <w:pPr>
              <w:jc w:val="center"/>
            </w:pPr>
            <w:r>
              <w:rPr>
                <w:color w:val="000000"/>
                <w:sz w:val="24"/>
                <w:szCs w:val="24"/>
              </w:rPr>
              <w:t>207703</w:t>
            </w:r>
          </w:p>
        </w:tc>
        <w:tc>
          <w:tcPr>
            <w:tcW w:w="1769" w:type="dxa"/>
            <w:vAlign w:val="center"/>
          </w:tcPr>
          <w:p w:rsidR="008F0FAE" w:rsidRDefault="007623B6">
            <w:pPr>
              <w:jc w:val="center"/>
            </w:pPr>
            <w:r>
              <w:rPr>
                <w:color w:val="000000"/>
                <w:sz w:val="24"/>
                <w:szCs w:val="24"/>
              </w:rPr>
              <w:t>20</w:t>
            </w:r>
            <w:r>
              <w:rPr>
                <w:color w:val="000000"/>
                <w:sz w:val="24"/>
                <w:szCs w:val="24"/>
              </w:rPr>
              <w:t>贴现国开</w:t>
            </w:r>
            <w:r>
              <w:rPr>
                <w:color w:val="000000"/>
                <w:sz w:val="24"/>
                <w:szCs w:val="24"/>
              </w:rPr>
              <w:t>03</w:t>
            </w:r>
          </w:p>
        </w:tc>
        <w:tc>
          <w:tcPr>
            <w:tcW w:w="1387" w:type="dxa"/>
            <w:vAlign w:val="center"/>
          </w:tcPr>
          <w:p w:rsidR="008F0FAE" w:rsidRDefault="007623B6">
            <w:pPr>
              <w:jc w:val="right"/>
            </w:pPr>
            <w:r>
              <w:rPr>
                <w:color w:val="000000"/>
                <w:sz w:val="24"/>
                <w:szCs w:val="24"/>
              </w:rPr>
              <w:t>1,300,000</w:t>
            </w:r>
          </w:p>
        </w:tc>
        <w:tc>
          <w:tcPr>
            <w:tcW w:w="2150" w:type="dxa"/>
            <w:vAlign w:val="center"/>
          </w:tcPr>
          <w:p w:rsidR="008F0FAE" w:rsidRDefault="007623B6">
            <w:pPr>
              <w:jc w:val="right"/>
            </w:pPr>
            <w:r>
              <w:rPr>
                <w:color w:val="000000"/>
                <w:sz w:val="24"/>
                <w:szCs w:val="24"/>
              </w:rPr>
              <w:t>129,285,000.00</w:t>
            </w:r>
          </w:p>
        </w:tc>
        <w:tc>
          <w:tcPr>
            <w:tcW w:w="1237" w:type="dxa"/>
            <w:vAlign w:val="center"/>
          </w:tcPr>
          <w:p w:rsidR="008F0FAE" w:rsidRDefault="007623B6">
            <w:pPr>
              <w:jc w:val="right"/>
            </w:pPr>
            <w:r>
              <w:rPr>
                <w:color w:val="000000"/>
                <w:sz w:val="24"/>
                <w:szCs w:val="24"/>
              </w:rPr>
              <w:t>1.22</w:t>
            </w:r>
          </w:p>
        </w:tc>
      </w:tr>
      <w:tr w:rsidR="008F0FAE">
        <w:trPr>
          <w:jc w:val="center"/>
        </w:trPr>
        <w:tc>
          <w:tcPr>
            <w:tcW w:w="850" w:type="dxa"/>
            <w:vAlign w:val="center"/>
          </w:tcPr>
          <w:p w:rsidR="008F0FAE" w:rsidRDefault="007623B6">
            <w:pPr>
              <w:jc w:val="center"/>
            </w:pPr>
            <w:r>
              <w:rPr>
                <w:color w:val="000000"/>
                <w:sz w:val="24"/>
                <w:szCs w:val="24"/>
              </w:rPr>
              <w:t>2</w:t>
            </w:r>
          </w:p>
        </w:tc>
        <w:tc>
          <w:tcPr>
            <w:tcW w:w="1475" w:type="dxa"/>
            <w:vAlign w:val="center"/>
          </w:tcPr>
          <w:p w:rsidR="008F0FAE" w:rsidRDefault="007623B6">
            <w:pPr>
              <w:jc w:val="center"/>
            </w:pPr>
            <w:r>
              <w:rPr>
                <w:color w:val="000000"/>
                <w:sz w:val="24"/>
                <w:szCs w:val="24"/>
              </w:rPr>
              <w:t>190307</w:t>
            </w:r>
          </w:p>
        </w:tc>
        <w:tc>
          <w:tcPr>
            <w:tcW w:w="1769" w:type="dxa"/>
            <w:vAlign w:val="center"/>
          </w:tcPr>
          <w:p w:rsidR="008F0FAE" w:rsidRDefault="007623B6">
            <w:pPr>
              <w:jc w:val="center"/>
            </w:pPr>
            <w:r>
              <w:rPr>
                <w:color w:val="000000"/>
                <w:sz w:val="24"/>
                <w:szCs w:val="24"/>
              </w:rPr>
              <w:t>19</w:t>
            </w:r>
            <w:r>
              <w:rPr>
                <w:color w:val="000000"/>
                <w:sz w:val="24"/>
                <w:szCs w:val="24"/>
              </w:rPr>
              <w:t>进出</w:t>
            </w:r>
            <w:r>
              <w:rPr>
                <w:color w:val="000000"/>
                <w:sz w:val="24"/>
                <w:szCs w:val="24"/>
              </w:rPr>
              <w:t>07</w:t>
            </w:r>
          </w:p>
        </w:tc>
        <w:tc>
          <w:tcPr>
            <w:tcW w:w="1387" w:type="dxa"/>
            <w:vAlign w:val="center"/>
          </w:tcPr>
          <w:p w:rsidR="008F0FAE" w:rsidRDefault="007623B6">
            <w:pPr>
              <w:jc w:val="right"/>
            </w:pPr>
            <w:r>
              <w:rPr>
                <w:color w:val="000000"/>
                <w:sz w:val="24"/>
                <w:szCs w:val="24"/>
              </w:rPr>
              <w:t>900,000</w:t>
            </w:r>
          </w:p>
        </w:tc>
        <w:tc>
          <w:tcPr>
            <w:tcW w:w="2150" w:type="dxa"/>
            <w:vAlign w:val="center"/>
          </w:tcPr>
          <w:p w:rsidR="008F0FAE" w:rsidRDefault="007623B6">
            <w:pPr>
              <w:jc w:val="right"/>
            </w:pPr>
            <w:r>
              <w:rPr>
                <w:color w:val="000000"/>
                <w:sz w:val="24"/>
                <w:szCs w:val="24"/>
              </w:rPr>
              <w:t>90,027,000.00</w:t>
            </w:r>
          </w:p>
        </w:tc>
        <w:tc>
          <w:tcPr>
            <w:tcW w:w="1237" w:type="dxa"/>
            <w:vAlign w:val="center"/>
          </w:tcPr>
          <w:p w:rsidR="008F0FAE" w:rsidRDefault="007623B6">
            <w:pPr>
              <w:jc w:val="right"/>
            </w:pPr>
            <w:r>
              <w:rPr>
                <w:color w:val="000000"/>
                <w:sz w:val="24"/>
                <w:szCs w:val="24"/>
              </w:rPr>
              <w:t>0.85</w:t>
            </w:r>
          </w:p>
        </w:tc>
      </w:tr>
      <w:tr w:rsidR="008F0FAE">
        <w:trPr>
          <w:jc w:val="center"/>
        </w:trPr>
        <w:tc>
          <w:tcPr>
            <w:tcW w:w="850" w:type="dxa"/>
            <w:vAlign w:val="center"/>
          </w:tcPr>
          <w:p w:rsidR="008F0FAE" w:rsidRDefault="007623B6">
            <w:pPr>
              <w:jc w:val="center"/>
            </w:pPr>
            <w:r>
              <w:rPr>
                <w:color w:val="000000"/>
                <w:sz w:val="24"/>
                <w:szCs w:val="24"/>
              </w:rPr>
              <w:t>3</w:t>
            </w:r>
          </w:p>
        </w:tc>
        <w:tc>
          <w:tcPr>
            <w:tcW w:w="1475" w:type="dxa"/>
            <w:vAlign w:val="center"/>
          </w:tcPr>
          <w:p w:rsidR="008F0FAE" w:rsidRDefault="007623B6">
            <w:pPr>
              <w:jc w:val="center"/>
            </w:pPr>
            <w:r>
              <w:rPr>
                <w:color w:val="000000"/>
                <w:sz w:val="24"/>
                <w:szCs w:val="24"/>
              </w:rPr>
              <w:t>200309</w:t>
            </w:r>
          </w:p>
        </w:tc>
        <w:tc>
          <w:tcPr>
            <w:tcW w:w="1769" w:type="dxa"/>
            <w:vAlign w:val="center"/>
          </w:tcPr>
          <w:p w:rsidR="008F0FAE" w:rsidRDefault="007623B6">
            <w:pPr>
              <w:jc w:val="center"/>
            </w:pPr>
            <w:r>
              <w:rPr>
                <w:color w:val="000000"/>
                <w:sz w:val="24"/>
                <w:szCs w:val="24"/>
              </w:rPr>
              <w:t>20</w:t>
            </w:r>
            <w:r>
              <w:rPr>
                <w:color w:val="000000"/>
                <w:sz w:val="24"/>
                <w:szCs w:val="24"/>
              </w:rPr>
              <w:t>进出</w:t>
            </w:r>
            <w:r>
              <w:rPr>
                <w:color w:val="000000"/>
                <w:sz w:val="24"/>
                <w:szCs w:val="24"/>
              </w:rPr>
              <w:t>09</w:t>
            </w:r>
          </w:p>
        </w:tc>
        <w:tc>
          <w:tcPr>
            <w:tcW w:w="1387" w:type="dxa"/>
            <w:vAlign w:val="center"/>
          </w:tcPr>
          <w:p w:rsidR="008F0FAE" w:rsidRDefault="007623B6">
            <w:pPr>
              <w:jc w:val="right"/>
            </w:pPr>
            <w:r>
              <w:rPr>
                <w:color w:val="000000"/>
                <w:sz w:val="24"/>
                <w:szCs w:val="24"/>
              </w:rPr>
              <w:t>600,000</w:t>
            </w:r>
          </w:p>
        </w:tc>
        <w:tc>
          <w:tcPr>
            <w:tcW w:w="2150" w:type="dxa"/>
            <w:vAlign w:val="center"/>
          </w:tcPr>
          <w:p w:rsidR="008F0FAE" w:rsidRDefault="007623B6">
            <w:pPr>
              <w:jc w:val="right"/>
            </w:pPr>
            <w:r>
              <w:rPr>
                <w:color w:val="000000"/>
                <w:sz w:val="24"/>
                <w:szCs w:val="24"/>
              </w:rPr>
              <w:t>59,850,000.00</w:t>
            </w:r>
          </w:p>
        </w:tc>
        <w:tc>
          <w:tcPr>
            <w:tcW w:w="1237" w:type="dxa"/>
            <w:vAlign w:val="center"/>
          </w:tcPr>
          <w:p w:rsidR="008F0FAE" w:rsidRDefault="007623B6">
            <w:pPr>
              <w:jc w:val="right"/>
            </w:pPr>
            <w:r>
              <w:rPr>
                <w:color w:val="000000"/>
                <w:sz w:val="24"/>
                <w:szCs w:val="24"/>
              </w:rPr>
              <w:t>0.57</w:t>
            </w:r>
          </w:p>
        </w:tc>
      </w:tr>
      <w:tr w:rsidR="008F0FAE">
        <w:trPr>
          <w:jc w:val="center"/>
        </w:trPr>
        <w:tc>
          <w:tcPr>
            <w:tcW w:w="850" w:type="dxa"/>
            <w:vAlign w:val="center"/>
          </w:tcPr>
          <w:p w:rsidR="008F0FAE" w:rsidRDefault="007623B6">
            <w:pPr>
              <w:jc w:val="center"/>
            </w:pPr>
            <w:r>
              <w:rPr>
                <w:color w:val="000000"/>
                <w:sz w:val="24"/>
                <w:szCs w:val="24"/>
              </w:rPr>
              <w:t>4</w:t>
            </w:r>
          </w:p>
        </w:tc>
        <w:tc>
          <w:tcPr>
            <w:tcW w:w="1475" w:type="dxa"/>
            <w:vAlign w:val="center"/>
          </w:tcPr>
          <w:p w:rsidR="008F0FAE" w:rsidRDefault="007623B6">
            <w:pPr>
              <w:jc w:val="center"/>
            </w:pPr>
            <w:r>
              <w:rPr>
                <w:color w:val="000000"/>
                <w:sz w:val="24"/>
                <w:szCs w:val="24"/>
              </w:rPr>
              <w:t>200406</w:t>
            </w:r>
          </w:p>
        </w:tc>
        <w:tc>
          <w:tcPr>
            <w:tcW w:w="1769" w:type="dxa"/>
            <w:vAlign w:val="center"/>
          </w:tcPr>
          <w:p w:rsidR="008F0FAE" w:rsidRDefault="007623B6">
            <w:pPr>
              <w:jc w:val="center"/>
            </w:pPr>
            <w:r>
              <w:rPr>
                <w:color w:val="000000"/>
                <w:sz w:val="24"/>
                <w:szCs w:val="24"/>
              </w:rPr>
              <w:t>20</w:t>
            </w:r>
            <w:r>
              <w:rPr>
                <w:color w:val="000000"/>
                <w:sz w:val="24"/>
                <w:szCs w:val="24"/>
              </w:rPr>
              <w:t>农发</w:t>
            </w:r>
            <w:r>
              <w:rPr>
                <w:color w:val="000000"/>
                <w:sz w:val="24"/>
                <w:szCs w:val="24"/>
              </w:rPr>
              <w:t>06</w:t>
            </w:r>
          </w:p>
        </w:tc>
        <w:tc>
          <w:tcPr>
            <w:tcW w:w="1387" w:type="dxa"/>
            <w:vAlign w:val="center"/>
          </w:tcPr>
          <w:p w:rsidR="008F0FAE" w:rsidRDefault="007623B6">
            <w:pPr>
              <w:jc w:val="right"/>
            </w:pPr>
            <w:r>
              <w:rPr>
                <w:color w:val="000000"/>
                <w:sz w:val="24"/>
                <w:szCs w:val="24"/>
              </w:rPr>
              <w:t>500,000</w:t>
            </w:r>
          </w:p>
        </w:tc>
        <w:tc>
          <w:tcPr>
            <w:tcW w:w="2150" w:type="dxa"/>
            <w:vAlign w:val="center"/>
          </w:tcPr>
          <w:p w:rsidR="008F0FAE" w:rsidRDefault="007623B6">
            <w:pPr>
              <w:jc w:val="right"/>
            </w:pPr>
            <w:r>
              <w:rPr>
                <w:color w:val="000000"/>
                <w:sz w:val="24"/>
                <w:szCs w:val="24"/>
              </w:rPr>
              <w:t>49,735,000.00</w:t>
            </w:r>
          </w:p>
        </w:tc>
        <w:tc>
          <w:tcPr>
            <w:tcW w:w="1237" w:type="dxa"/>
            <w:vAlign w:val="center"/>
          </w:tcPr>
          <w:p w:rsidR="008F0FAE" w:rsidRDefault="007623B6">
            <w:pPr>
              <w:jc w:val="right"/>
            </w:pPr>
            <w:r>
              <w:rPr>
                <w:color w:val="000000"/>
                <w:sz w:val="24"/>
                <w:szCs w:val="24"/>
              </w:rPr>
              <w:t>0.47</w:t>
            </w:r>
          </w:p>
        </w:tc>
      </w:tr>
      <w:tr w:rsidR="008F0FAE">
        <w:trPr>
          <w:jc w:val="center"/>
        </w:trPr>
        <w:tc>
          <w:tcPr>
            <w:tcW w:w="850" w:type="dxa"/>
            <w:vAlign w:val="center"/>
          </w:tcPr>
          <w:p w:rsidR="008F0FAE" w:rsidRDefault="007623B6">
            <w:pPr>
              <w:jc w:val="center"/>
            </w:pPr>
            <w:r>
              <w:rPr>
                <w:color w:val="000000"/>
                <w:sz w:val="24"/>
                <w:szCs w:val="24"/>
              </w:rPr>
              <w:t>5</w:t>
            </w:r>
          </w:p>
        </w:tc>
        <w:tc>
          <w:tcPr>
            <w:tcW w:w="1475" w:type="dxa"/>
            <w:vAlign w:val="center"/>
          </w:tcPr>
          <w:p w:rsidR="008F0FAE" w:rsidRDefault="007623B6">
            <w:pPr>
              <w:jc w:val="center"/>
            </w:pPr>
            <w:r>
              <w:rPr>
                <w:color w:val="000000"/>
                <w:sz w:val="24"/>
                <w:szCs w:val="24"/>
              </w:rPr>
              <w:t>200211</w:t>
            </w:r>
          </w:p>
        </w:tc>
        <w:tc>
          <w:tcPr>
            <w:tcW w:w="1769" w:type="dxa"/>
            <w:vAlign w:val="center"/>
          </w:tcPr>
          <w:p w:rsidR="008F0FAE" w:rsidRDefault="007623B6">
            <w:pPr>
              <w:jc w:val="center"/>
            </w:pPr>
            <w:r>
              <w:rPr>
                <w:color w:val="000000"/>
                <w:sz w:val="24"/>
                <w:szCs w:val="24"/>
              </w:rPr>
              <w:t>20</w:t>
            </w:r>
            <w:r>
              <w:rPr>
                <w:color w:val="000000"/>
                <w:sz w:val="24"/>
                <w:szCs w:val="24"/>
              </w:rPr>
              <w:t>国开</w:t>
            </w:r>
            <w:r>
              <w:rPr>
                <w:color w:val="000000"/>
                <w:sz w:val="24"/>
                <w:szCs w:val="24"/>
              </w:rPr>
              <w:t>11</w:t>
            </w:r>
          </w:p>
        </w:tc>
        <w:tc>
          <w:tcPr>
            <w:tcW w:w="1387" w:type="dxa"/>
            <w:vAlign w:val="center"/>
          </w:tcPr>
          <w:p w:rsidR="008F0FAE" w:rsidRDefault="007623B6">
            <w:pPr>
              <w:jc w:val="right"/>
            </w:pPr>
            <w:r>
              <w:rPr>
                <w:color w:val="000000"/>
                <w:sz w:val="24"/>
                <w:szCs w:val="24"/>
              </w:rPr>
              <w:t>400,000</w:t>
            </w:r>
          </w:p>
        </w:tc>
        <w:tc>
          <w:tcPr>
            <w:tcW w:w="2150" w:type="dxa"/>
            <w:vAlign w:val="center"/>
          </w:tcPr>
          <w:p w:rsidR="008F0FAE" w:rsidRDefault="007623B6">
            <w:pPr>
              <w:jc w:val="right"/>
            </w:pPr>
            <w:r>
              <w:rPr>
                <w:color w:val="000000"/>
                <w:sz w:val="24"/>
                <w:szCs w:val="24"/>
              </w:rPr>
              <w:t>39,628,000.00</w:t>
            </w:r>
          </w:p>
        </w:tc>
        <w:tc>
          <w:tcPr>
            <w:tcW w:w="1237" w:type="dxa"/>
            <w:vAlign w:val="center"/>
          </w:tcPr>
          <w:p w:rsidR="008F0FAE" w:rsidRDefault="007623B6">
            <w:pPr>
              <w:jc w:val="right"/>
            </w:pPr>
            <w:r>
              <w:rPr>
                <w:color w:val="000000"/>
                <w:sz w:val="24"/>
                <w:szCs w:val="24"/>
              </w:rPr>
              <w:t>0.37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w:t>
      </w:r>
      <w:r w:rsidRPr="00414345">
        <w:rPr>
          <w:b/>
          <w:bCs/>
          <w:color w:val="000000"/>
          <w:kern w:val="0"/>
          <w:sz w:val="24"/>
          <w:szCs w:val="24"/>
        </w:rPr>
        <w:lastRenderedPageBreak/>
        <w:t>细</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7623B6" w:rsidRPr="00414345" w:rsidRDefault="007623B6"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f2"/>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2,141,689.56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174,705,180.13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3,785,926.06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30,961,890.18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211,594,685.93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lastRenderedPageBreak/>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066A97" w:rsidRPr="00414345" w:rsidRDefault="00066A97" w:rsidP="00066A97">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5F1F22"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8F0FAE">
        <w:trPr>
          <w:jc w:val="center"/>
        </w:trPr>
        <w:tc>
          <w:tcPr>
            <w:tcW w:w="1129" w:type="dxa"/>
            <w:vAlign w:val="center"/>
          </w:tcPr>
          <w:p w:rsidR="008F0FAE" w:rsidRDefault="007623B6">
            <w:pPr>
              <w:jc w:val="center"/>
            </w:pPr>
            <w:r>
              <w:rPr>
                <w:color w:val="000000"/>
                <w:sz w:val="24"/>
                <w:szCs w:val="24"/>
              </w:rPr>
              <w:t>1</w:t>
            </w:r>
          </w:p>
        </w:tc>
        <w:tc>
          <w:tcPr>
            <w:tcW w:w="1356" w:type="dxa"/>
            <w:vAlign w:val="center"/>
          </w:tcPr>
          <w:p w:rsidR="008F0FAE" w:rsidRDefault="007623B6">
            <w:pPr>
              <w:jc w:val="center"/>
            </w:pPr>
            <w:r>
              <w:rPr>
                <w:color w:val="000000"/>
                <w:sz w:val="24"/>
                <w:szCs w:val="24"/>
              </w:rPr>
              <w:t>002352</w:t>
            </w:r>
          </w:p>
        </w:tc>
        <w:tc>
          <w:tcPr>
            <w:tcW w:w="1355" w:type="dxa"/>
            <w:vAlign w:val="center"/>
          </w:tcPr>
          <w:p w:rsidR="008F0FAE" w:rsidRDefault="007623B6">
            <w:pPr>
              <w:jc w:val="center"/>
            </w:pPr>
            <w:r>
              <w:rPr>
                <w:color w:val="000000"/>
                <w:sz w:val="24"/>
                <w:szCs w:val="24"/>
              </w:rPr>
              <w:t>顺丰控股</w:t>
            </w:r>
          </w:p>
        </w:tc>
        <w:tc>
          <w:tcPr>
            <w:tcW w:w="1880" w:type="dxa"/>
            <w:vAlign w:val="center"/>
          </w:tcPr>
          <w:p w:rsidR="008F0FAE" w:rsidRDefault="007623B6">
            <w:pPr>
              <w:jc w:val="right"/>
            </w:pPr>
            <w:r>
              <w:rPr>
                <w:color w:val="000000"/>
                <w:sz w:val="24"/>
                <w:szCs w:val="24"/>
              </w:rPr>
              <w:t>205,456,500.00</w:t>
            </w:r>
          </w:p>
        </w:tc>
        <w:tc>
          <w:tcPr>
            <w:tcW w:w="1724" w:type="dxa"/>
            <w:vAlign w:val="center"/>
          </w:tcPr>
          <w:p w:rsidR="008F0FAE" w:rsidRDefault="007623B6">
            <w:pPr>
              <w:jc w:val="right"/>
            </w:pPr>
            <w:r>
              <w:rPr>
                <w:color w:val="000000"/>
                <w:sz w:val="24"/>
                <w:szCs w:val="24"/>
              </w:rPr>
              <w:t>1.94</w:t>
            </w:r>
          </w:p>
        </w:tc>
        <w:tc>
          <w:tcPr>
            <w:tcW w:w="1424" w:type="dxa"/>
            <w:vAlign w:val="center"/>
          </w:tcPr>
          <w:p w:rsidR="008F0FAE" w:rsidRDefault="007623B6">
            <w:pPr>
              <w:jc w:val="right"/>
            </w:pPr>
            <w:r>
              <w:rPr>
                <w:color w:val="000000"/>
                <w:sz w:val="24"/>
                <w:szCs w:val="24"/>
              </w:rPr>
              <w:t>限售股</w:t>
            </w:r>
          </w:p>
        </w:tc>
      </w:tr>
      <w:tr w:rsidR="008F0FAE">
        <w:trPr>
          <w:jc w:val="center"/>
        </w:trPr>
        <w:tc>
          <w:tcPr>
            <w:tcW w:w="1129" w:type="dxa"/>
            <w:vAlign w:val="center"/>
          </w:tcPr>
          <w:p w:rsidR="008F0FAE" w:rsidRDefault="007623B6">
            <w:pPr>
              <w:jc w:val="center"/>
            </w:pPr>
            <w:r>
              <w:rPr>
                <w:color w:val="000000"/>
                <w:sz w:val="24"/>
                <w:szCs w:val="24"/>
              </w:rPr>
              <w:t>2</w:t>
            </w:r>
          </w:p>
        </w:tc>
        <w:tc>
          <w:tcPr>
            <w:tcW w:w="1356" w:type="dxa"/>
            <w:vAlign w:val="center"/>
          </w:tcPr>
          <w:p w:rsidR="008F0FAE" w:rsidRDefault="007623B6">
            <w:pPr>
              <w:jc w:val="center"/>
            </w:pPr>
            <w:r>
              <w:rPr>
                <w:color w:val="000000"/>
                <w:sz w:val="24"/>
                <w:szCs w:val="24"/>
              </w:rPr>
              <w:t>002841</w:t>
            </w:r>
          </w:p>
        </w:tc>
        <w:tc>
          <w:tcPr>
            <w:tcW w:w="1355" w:type="dxa"/>
            <w:vAlign w:val="center"/>
          </w:tcPr>
          <w:p w:rsidR="008F0FAE" w:rsidRDefault="007623B6">
            <w:pPr>
              <w:jc w:val="center"/>
            </w:pPr>
            <w:r>
              <w:rPr>
                <w:color w:val="000000"/>
                <w:sz w:val="24"/>
                <w:szCs w:val="24"/>
              </w:rPr>
              <w:t>视源股份</w:t>
            </w:r>
          </w:p>
        </w:tc>
        <w:tc>
          <w:tcPr>
            <w:tcW w:w="1880" w:type="dxa"/>
            <w:vAlign w:val="center"/>
          </w:tcPr>
          <w:p w:rsidR="008F0FAE" w:rsidRDefault="007623B6">
            <w:pPr>
              <w:jc w:val="right"/>
            </w:pPr>
            <w:r>
              <w:rPr>
                <w:color w:val="000000"/>
                <w:sz w:val="24"/>
                <w:szCs w:val="24"/>
              </w:rPr>
              <w:t>171,795,200.00</w:t>
            </w:r>
          </w:p>
        </w:tc>
        <w:tc>
          <w:tcPr>
            <w:tcW w:w="1724" w:type="dxa"/>
            <w:vAlign w:val="center"/>
          </w:tcPr>
          <w:p w:rsidR="008F0FAE" w:rsidRDefault="007623B6">
            <w:pPr>
              <w:jc w:val="right"/>
            </w:pPr>
            <w:r>
              <w:rPr>
                <w:color w:val="000000"/>
                <w:sz w:val="24"/>
                <w:szCs w:val="24"/>
              </w:rPr>
              <w:t>1.62</w:t>
            </w:r>
          </w:p>
        </w:tc>
        <w:tc>
          <w:tcPr>
            <w:tcW w:w="1424" w:type="dxa"/>
            <w:vAlign w:val="center"/>
          </w:tcPr>
          <w:p w:rsidR="008F0FAE" w:rsidRDefault="007623B6">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2,585,770,118.63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1,066,503,530.38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844,783,893.91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2,807,489,755.10</w:t>
            </w:r>
          </w:p>
        </w:tc>
      </w:tr>
    </w:tbl>
    <w:p w:rsidR="008F0FAE" w:rsidRDefault="007623B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7623B6">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8F0FAE" w:rsidRDefault="007623B6">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、中国证监会准予交银施罗德新成长股票型证券投资基金募集注册的文件；</w:t>
      </w:r>
    </w:p>
    <w:p w:rsidR="008F0FAE" w:rsidRDefault="007623B6">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、《交银施罗德新成长混合型证券投资基金基金合同》；</w:t>
      </w:r>
      <w:r>
        <w:rPr>
          <w:color w:val="000000"/>
          <w:sz w:val="24"/>
          <w:szCs w:val="24"/>
        </w:rPr>
        <w:t xml:space="preserve"> </w:t>
      </w:r>
    </w:p>
    <w:p w:rsidR="008F0FAE" w:rsidRDefault="007623B6">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、《交银施罗德新成长混合型证券投资基金招募说明书》；</w:t>
      </w:r>
      <w:r>
        <w:rPr>
          <w:color w:val="000000"/>
          <w:sz w:val="24"/>
          <w:szCs w:val="24"/>
        </w:rPr>
        <w:t xml:space="preserve"> </w:t>
      </w:r>
    </w:p>
    <w:p w:rsidR="008F0FAE" w:rsidRDefault="007623B6">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、《交银施罗德新成长混合型证券投资基金托管协议》；</w:t>
      </w:r>
    </w:p>
    <w:p w:rsidR="008F0FAE" w:rsidRDefault="007623B6">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、关于申请募集注册交银施罗德新成长股票型证券投资基金的法律意见书；</w:t>
      </w:r>
      <w:r>
        <w:rPr>
          <w:color w:val="000000"/>
          <w:sz w:val="24"/>
          <w:szCs w:val="24"/>
        </w:rPr>
        <w:t xml:space="preserve"> </w:t>
      </w:r>
    </w:p>
    <w:p w:rsidR="008F0FAE" w:rsidRDefault="007623B6">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8F0FAE" w:rsidRDefault="007623B6">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、报告期内交银施罗德新成长混合型证券投资基金在指定报刊上各项公告的原稿。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8F0FAE" w:rsidRDefault="007623B6">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AEC" w:rsidRDefault="007C5AEC" w:rsidP="00876D65">
      <w:r>
        <w:separator/>
      </w:r>
    </w:p>
  </w:endnote>
  <w:endnote w:type="continuationSeparator" w:id="0">
    <w:p w:rsidR="007C5AEC" w:rsidRDefault="007C5AEC"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3B6" w:rsidRDefault="007623B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3B6" w:rsidRPr="001D0DB0" w:rsidRDefault="007623B6" w:rsidP="004D340C">
    <w:pPr>
      <w:pStyle w:val="a8"/>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noProof/>
        <w:kern w:val="0"/>
        <w:szCs w:val="21"/>
      </w:rPr>
      <w:t>17</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noProof/>
        <w:kern w:val="0"/>
        <w:szCs w:val="21"/>
      </w:rPr>
      <w:t>24</w:t>
    </w:r>
    <w:r>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3B6" w:rsidRDefault="007623B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AEC" w:rsidRDefault="007C5AEC" w:rsidP="00876D65">
      <w:r>
        <w:separator/>
      </w:r>
    </w:p>
  </w:footnote>
  <w:footnote w:type="continuationSeparator" w:id="0">
    <w:p w:rsidR="007C5AEC" w:rsidRDefault="007C5AEC" w:rsidP="0087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3B6" w:rsidRDefault="007623B6">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3B6" w:rsidRPr="00DC456F" w:rsidRDefault="007623B6" w:rsidP="00090A26">
    <w:pPr>
      <w:pStyle w:val="ac"/>
      <w:pBdr>
        <w:bottom w:val="single" w:sz="6" w:space="0" w:color="auto"/>
      </w:pBdr>
      <w:jc w:val="right"/>
      <w:rPr>
        <w:sz w:val="24"/>
        <w:szCs w:val="24"/>
      </w:rPr>
    </w:pPr>
    <w:r w:rsidRPr="003E676C">
      <w:rPr>
        <w:sz w:val="24"/>
        <w:szCs w:val="24"/>
      </w:rPr>
      <w:t>交银施罗德新成长混合型证券投资基金</w:t>
    </w:r>
    <w:r w:rsidRPr="003E676C">
      <w:rPr>
        <w:sz w:val="24"/>
        <w:szCs w:val="24"/>
      </w:rPr>
      <w:t>2020</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3B6" w:rsidRDefault="007623B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23B6"/>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C5AEC"/>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0FAE"/>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1E"/>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879A9"/>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5013"/>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rsid w:val="004061AC"/>
    <w:rPr>
      <w:rFonts w:ascii="Times New Roman" w:eastAsia="宋体" w:hAnsi="Times New Roman" w:cs="Times New Roman"/>
      <w:b/>
      <w:bCs/>
      <w:kern w:val="44"/>
      <w:sz w:val="44"/>
      <w:szCs w:val="44"/>
    </w:rPr>
  </w:style>
  <w:style w:type="character" w:customStyle="1" w:styleId="20">
    <w:name w:val="标题 2 字符"/>
    <w:basedOn w:val="a1"/>
    <w:link w:val="2"/>
    <w:uiPriority w:val="99"/>
    <w:rsid w:val="004061AC"/>
    <w:rPr>
      <w:rFonts w:ascii="Arial" w:eastAsia="宋体" w:hAnsi="Arial" w:cs="Arial"/>
      <w:b/>
      <w:bCs/>
      <w:sz w:val="24"/>
      <w:szCs w:val="24"/>
    </w:rPr>
  </w:style>
  <w:style w:type="character" w:customStyle="1" w:styleId="30">
    <w:name w:val="标题 3 字符"/>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a5"/>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5">
    <w:name w:val="正文文本缩进 字符"/>
    <w:basedOn w:val="a1"/>
    <w:link w:val="a4"/>
    <w:uiPriority w:val="99"/>
    <w:rsid w:val="004061AC"/>
    <w:rPr>
      <w:rFonts w:ascii="Arial Unicode MS" w:eastAsia="Arial Unicode MS" w:hAnsi="Arial Unicode MS" w:cs="Arial Unicode MS"/>
      <w:kern w:val="0"/>
      <w:sz w:val="24"/>
      <w:szCs w:val="24"/>
    </w:rPr>
  </w:style>
  <w:style w:type="paragraph" w:styleId="a6">
    <w:name w:val="Plain Text"/>
    <w:basedOn w:val="a"/>
    <w:link w:val="a7"/>
    <w:uiPriority w:val="99"/>
    <w:rsid w:val="004061AC"/>
    <w:rPr>
      <w:rFonts w:ascii="宋体" w:hAnsi="Courier New" w:cs="宋体"/>
    </w:rPr>
  </w:style>
  <w:style w:type="character" w:customStyle="1" w:styleId="a7">
    <w:name w:val="纯文本 字符"/>
    <w:basedOn w:val="a1"/>
    <w:link w:val="a6"/>
    <w:uiPriority w:val="99"/>
    <w:rsid w:val="004061AC"/>
    <w:rPr>
      <w:rFonts w:ascii="宋体" w:eastAsia="宋体" w:hAnsi="Courier New" w:cs="宋体"/>
      <w:szCs w:val="21"/>
    </w:rPr>
  </w:style>
  <w:style w:type="paragraph" w:styleId="21">
    <w:name w:val="Body Text Indent 2"/>
    <w:basedOn w:val="a"/>
    <w:link w:val="22"/>
    <w:uiPriority w:val="99"/>
    <w:rsid w:val="004061AC"/>
    <w:pPr>
      <w:spacing w:line="560" w:lineRule="exact"/>
      <w:ind w:firstLineChars="200" w:firstLine="480"/>
    </w:pPr>
    <w:rPr>
      <w:rFonts w:ascii="宋体" w:hAnsi="宋体" w:cs="宋体"/>
      <w:color w:val="FF0000"/>
      <w:sz w:val="24"/>
      <w:szCs w:val="24"/>
    </w:rPr>
  </w:style>
  <w:style w:type="character" w:customStyle="1" w:styleId="22">
    <w:name w:val="正文文本缩进 2 字符"/>
    <w:basedOn w:val="a1"/>
    <w:link w:val="21"/>
    <w:uiPriority w:val="99"/>
    <w:rsid w:val="004061AC"/>
    <w:rPr>
      <w:rFonts w:ascii="宋体" w:eastAsia="宋体" w:hAnsi="宋体" w:cs="宋体"/>
      <w:color w:val="FF0000"/>
      <w:sz w:val="24"/>
      <w:szCs w:val="24"/>
    </w:rPr>
  </w:style>
  <w:style w:type="paragraph" w:styleId="a8">
    <w:name w:val="footer"/>
    <w:basedOn w:val="a"/>
    <w:link w:val="a9"/>
    <w:rsid w:val="004061AC"/>
    <w:pPr>
      <w:tabs>
        <w:tab w:val="center" w:pos="4153"/>
        <w:tab w:val="right" w:pos="8306"/>
      </w:tabs>
      <w:snapToGrid w:val="0"/>
      <w:jc w:val="left"/>
    </w:pPr>
    <w:rPr>
      <w:sz w:val="18"/>
      <w:szCs w:val="18"/>
    </w:rPr>
  </w:style>
  <w:style w:type="character" w:customStyle="1" w:styleId="a9">
    <w:name w:val="页脚 字符"/>
    <w:basedOn w:val="a1"/>
    <w:link w:val="a8"/>
    <w:uiPriority w:val="99"/>
    <w:rsid w:val="004061AC"/>
    <w:rPr>
      <w:rFonts w:ascii="Times New Roman" w:eastAsia="宋体" w:hAnsi="Times New Roman" w:cs="Times New Roman"/>
      <w:sz w:val="18"/>
      <w:szCs w:val="18"/>
    </w:rPr>
  </w:style>
  <w:style w:type="character" w:styleId="aa">
    <w:name w:val="page number"/>
    <w:basedOn w:val="a1"/>
    <w:uiPriority w:val="99"/>
    <w:rsid w:val="004061AC"/>
  </w:style>
  <w:style w:type="character" w:styleId="ab">
    <w:name w:val="Hyperlink"/>
    <w:basedOn w:val="a1"/>
    <w:uiPriority w:val="99"/>
    <w:rsid w:val="004061AC"/>
    <w:rPr>
      <w:color w:val="0000FF"/>
      <w:u w:val="single"/>
    </w:rPr>
  </w:style>
  <w:style w:type="paragraph" w:styleId="31">
    <w:name w:val="Body Text Indent 3"/>
    <w:basedOn w:val="a"/>
    <w:link w:val="32"/>
    <w:uiPriority w:val="99"/>
    <w:rsid w:val="004061AC"/>
    <w:pPr>
      <w:spacing w:line="560" w:lineRule="exact"/>
      <w:ind w:firstLineChars="200" w:firstLine="420"/>
    </w:pPr>
    <w:rPr>
      <w:rFonts w:ascii="Arial" w:hAnsi="Arial" w:cs="Arial"/>
      <w:color w:val="FF0000"/>
    </w:rPr>
  </w:style>
  <w:style w:type="character" w:customStyle="1" w:styleId="32">
    <w:name w:val="正文文本缩进 3 字符"/>
    <w:basedOn w:val="a1"/>
    <w:link w:val="31"/>
    <w:uiPriority w:val="99"/>
    <w:rsid w:val="004061AC"/>
    <w:rPr>
      <w:rFonts w:ascii="Arial" w:eastAsia="宋体" w:hAnsi="Arial" w:cs="Arial"/>
      <w:color w:val="FF0000"/>
      <w:szCs w:val="21"/>
    </w:rPr>
  </w:style>
  <w:style w:type="paragraph" w:styleId="ac">
    <w:name w:val="header"/>
    <w:basedOn w:val="a"/>
    <w:link w:val="ad"/>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4061AC"/>
    <w:rPr>
      <w:rFonts w:ascii="Times New Roman" w:eastAsia="宋体" w:hAnsi="Times New Roman" w:cs="Times New Roman"/>
      <w:sz w:val="18"/>
      <w:szCs w:val="18"/>
    </w:rPr>
  </w:style>
  <w:style w:type="character" w:styleId="ae">
    <w:name w:val="FollowedHyperlink"/>
    <w:basedOn w:val="a1"/>
    <w:uiPriority w:val="99"/>
    <w:rsid w:val="004061AC"/>
    <w:rPr>
      <w:color w:val="800080"/>
      <w:u w:val="single"/>
    </w:rPr>
  </w:style>
  <w:style w:type="paragraph" w:styleId="af">
    <w:name w:val="List"/>
    <w:basedOn w:val="af0"/>
    <w:uiPriority w:val="99"/>
    <w:rsid w:val="004061AC"/>
    <w:pPr>
      <w:spacing w:after="220" w:line="220" w:lineRule="atLeast"/>
      <w:ind w:left="1440" w:hanging="360"/>
    </w:pPr>
  </w:style>
  <w:style w:type="paragraph" w:styleId="af0">
    <w:name w:val="Body Text"/>
    <w:basedOn w:val="a"/>
    <w:link w:val="af1"/>
    <w:uiPriority w:val="99"/>
    <w:rsid w:val="004061AC"/>
    <w:pPr>
      <w:spacing w:after="120"/>
    </w:pPr>
  </w:style>
  <w:style w:type="character" w:customStyle="1" w:styleId="af1">
    <w:name w:val="正文文本 字符"/>
    <w:basedOn w:val="a1"/>
    <w:link w:val="af0"/>
    <w:uiPriority w:val="99"/>
    <w:rsid w:val="004061AC"/>
    <w:rPr>
      <w:rFonts w:ascii="Times New Roman" w:eastAsia="宋体" w:hAnsi="Times New Roman" w:cs="Times New Roman"/>
      <w:szCs w:val="21"/>
    </w:rPr>
  </w:style>
  <w:style w:type="paragraph" w:styleId="af2">
    <w:name w:val="Date"/>
    <w:basedOn w:val="a"/>
    <w:next w:val="a"/>
    <w:link w:val="af3"/>
    <w:rsid w:val="004061AC"/>
    <w:rPr>
      <w:sz w:val="24"/>
      <w:szCs w:val="24"/>
    </w:rPr>
  </w:style>
  <w:style w:type="character" w:customStyle="1" w:styleId="af3">
    <w:name w:val="日期 字符"/>
    <w:basedOn w:val="a1"/>
    <w:link w:val="af2"/>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1">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uiPriority w:val="99"/>
    <w:semiHidden/>
    <w:rsid w:val="004061AC"/>
    <w:rPr>
      <w:sz w:val="18"/>
      <w:szCs w:val="18"/>
    </w:rPr>
  </w:style>
  <w:style w:type="character" w:customStyle="1" w:styleId="af5">
    <w:name w:val="批注框文本 字符"/>
    <w:basedOn w:val="a1"/>
    <w:link w:val="af4"/>
    <w:uiPriority w:val="99"/>
    <w:semiHidden/>
    <w:rsid w:val="004061AC"/>
    <w:rPr>
      <w:rFonts w:ascii="Times New Roman" w:eastAsia="宋体" w:hAnsi="Times New Roman" w:cs="Times New Roman"/>
      <w:sz w:val="18"/>
      <w:szCs w:val="18"/>
    </w:rPr>
  </w:style>
  <w:style w:type="character" w:styleId="af6">
    <w:name w:val="annotation reference"/>
    <w:basedOn w:val="a1"/>
    <w:uiPriority w:val="99"/>
    <w:semiHidden/>
    <w:rsid w:val="004061AC"/>
    <w:rPr>
      <w:sz w:val="21"/>
      <w:szCs w:val="21"/>
    </w:rPr>
  </w:style>
  <w:style w:type="paragraph" w:styleId="af7">
    <w:name w:val="annotation text"/>
    <w:basedOn w:val="a"/>
    <w:link w:val="af8"/>
    <w:uiPriority w:val="99"/>
    <w:semiHidden/>
    <w:rsid w:val="004061AC"/>
    <w:pPr>
      <w:jc w:val="left"/>
    </w:pPr>
  </w:style>
  <w:style w:type="character" w:customStyle="1" w:styleId="af8">
    <w:name w:val="批注文字 字符"/>
    <w:basedOn w:val="a1"/>
    <w:link w:val="af7"/>
    <w:uiPriority w:val="99"/>
    <w:semiHidden/>
    <w:rsid w:val="004061AC"/>
    <w:rPr>
      <w:rFonts w:ascii="Times New Roman" w:eastAsia="宋体" w:hAnsi="Times New Roman" w:cs="Times New Roman"/>
      <w:szCs w:val="21"/>
    </w:rPr>
  </w:style>
  <w:style w:type="paragraph" w:styleId="af9">
    <w:name w:val="annotation subject"/>
    <w:basedOn w:val="af7"/>
    <w:next w:val="af7"/>
    <w:link w:val="afa"/>
    <w:uiPriority w:val="99"/>
    <w:semiHidden/>
    <w:rsid w:val="004061AC"/>
    <w:rPr>
      <w:b/>
      <w:bCs/>
    </w:rPr>
  </w:style>
  <w:style w:type="character" w:customStyle="1" w:styleId="afa">
    <w:name w:val="批注主题 字符"/>
    <w:basedOn w:val="af8"/>
    <w:link w:val="af9"/>
    <w:uiPriority w:val="99"/>
    <w:semiHidden/>
    <w:rsid w:val="004061AC"/>
    <w:rPr>
      <w:rFonts w:ascii="Times New Roman" w:eastAsia="宋体" w:hAnsi="Times New Roman" w:cs="Times New Roman"/>
      <w:b/>
      <w:bCs/>
      <w:szCs w:val="21"/>
    </w:rPr>
  </w:style>
  <w:style w:type="paragraph" w:customStyle="1" w:styleId="Char">
    <w:name w:val="Char"/>
    <w:basedOn w:val="a"/>
    <w:uiPriority w:val="99"/>
    <w:rsid w:val="004061AC"/>
  </w:style>
  <w:style w:type="paragraph" w:styleId="afb">
    <w:name w:val="Document Map"/>
    <w:basedOn w:val="a"/>
    <w:link w:val="afc"/>
    <w:uiPriority w:val="99"/>
    <w:semiHidden/>
    <w:rsid w:val="004061AC"/>
    <w:pPr>
      <w:shd w:val="clear" w:color="auto" w:fill="000080"/>
    </w:pPr>
  </w:style>
  <w:style w:type="character" w:customStyle="1" w:styleId="afc">
    <w:name w:val="文档结构图 字符"/>
    <w:basedOn w:val="a1"/>
    <w:link w:val="afb"/>
    <w:uiPriority w:val="99"/>
    <w:semiHidden/>
    <w:rsid w:val="004061AC"/>
    <w:rPr>
      <w:rFonts w:ascii="Times New Roman" w:eastAsia="宋体" w:hAnsi="Times New Roman" w:cs="Times New Roman"/>
      <w:szCs w:val="21"/>
      <w:shd w:val="clear" w:color="auto" w:fill="000080"/>
    </w:rPr>
  </w:style>
  <w:style w:type="paragraph" w:customStyle="1" w:styleId="afd">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e">
    <w:name w:val="footnote text"/>
    <w:basedOn w:val="a"/>
    <w:link w:val="aff"/>
    <w:rsid w:val="004061AC"/>
    <w:pPr>
      <w:snapToGrid w:val="0"/>
      <w:jc w:val="left"/>
    </w:pPr>
    <w:rPr>
      <w:sz w:val="18"/>
      <w:szCs w:val="18"/>
    </w:rPr>
  </w:style>
  <w:style w:type="character" w:customStyle="1" w:styleId="aff">
    <w:name w:val="脚注文本 字符"/>
    <w:basedOn w:val="a1"/>
    <w:link w:val="afe"/>
    <w:rsid w:val="004061AC"/>
    <w:rPr>
      <w:rFonts w:ascii="Times New Roman" w:eastAsia="宋体" w:hAnsi="Times New Roman" w:cs="Times New Roman"/>
      <w:sz w:val="18"/>
      <w:szCs w:val="18"/>
    </w:rPr>
  </w:style>
  <w:style w:type="character" w:styleId="aff0">
    <w:name w:val="footnote reference"/>
    <w:basedOn w:val="a1"/>
    <w:rsid w:val="004061AC"/>
    <w:rPr>
      <w:vertAlign w:val="superscript"/>
    </w:rPr>
  </w:style>
  <w:style w:type="paragraph" w:styleId="aff1">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f2">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3">
    <w:name w:val="Title"/>
    <w:basedOn w:val="a"/>
    <w:next w:val="a"/>
    <w:link w:val="aff4"/>
    <w:uiPriority w:val="99"/>
    <w:qFormat/>
    <w:rsid w:val="004061AC"/>
    <w:pPr>
      <w:spacing w:before="240" w:after="60"/>
      <w:jc w:val="center"/>
      <w:outlineLvl w:val="0"/>
    </w:pPr>
    <w:rPr>
      <w:rFonts w:ascii="Cambria" w:hAnsi="Cambria" w:cs="Cambria"/>
      <w:b/>
      <w:bCs/>
      <w:sz w:val="32"/>
      <w:szCs w:val="32"/>
    </w:rPr>
  </w:style>
  <w:style w:type="character" w:customStyle="1" w:styleId="aff4">
    <w:name w:val="标题 字符"/>
    <w:basedOn w:val="a1"/>
    <w:link w:val="aff3"/>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5">
    <w:name w:val="No Spacing"/>
    <w:link w:val="aff6"/>
    <w:uiPriority w:val="1"/>
    <w:qFormat/>
    <w:rsid w:val="004061AC"/>
    <w:rPr>
      <w:rFonts w:ascii="Calibri" w:eastAsia="宋体" w:hAnsi="Calibri" w:cs="Calibri"/>
      <w:kern w:val="0"/>
      <w:sz w:val="22"/>
    </w:rPr>
  </w:style>
  <w:style w:type="character" w:customStyle="1" w:styleId="aff6">
    <w:name w:val="无间隔 字符"/>
    <w:basedOn w:val="a1"/>
    <w:link w:val="aff5"/>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f7">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f8">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D1783-4A47-407B-868C-6327DEB8E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1850</TotalTime>
  <Pages>12</Pages>
  <Words>1124</Words>
  <Characters>6411</Characters>
  <Application>Microsoft Office Word</Application>
  <DocSecurity>0</DocSecurity>
  <Lines>53</Lines>
  <Paragraphs>15</Paragraphs>
  <ScaleCrop>false</ScaleCrop>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602</cp:revision>
  <dcterms:created xsi:type="dcterms:W3CDTF">2012-10-16T06:07:00Z</dcterms:created>
  <dcterms:modified xsi:type="dcterms:W3CDTF">2020-10-23T09:55:00Z</dcterms:modified>
</cp:coreProperties>
</file>