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交银施罗德稳固收益债券型证券投资基金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523EC" w:rsidRDefault="005D174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523EC" w:rsidRDefault="005D1749">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523EC" w:rsidRDefault="005D174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523EC" w:rsidRDefault="005D1749">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523EC" w:rsidRDefault="005D1749">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交银稳固收益债券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31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52,419,883.89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在追求本金安全、有效控制风险的基础上，力争实现基金资产的持续稳定增值。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9523EC" w:rsidRDefault="005D1749">
            <w:pPr>
              <w:adjustRightInd w:val="0"/>
              <w:spacing w:before="29" w:line="288" w:lineRule="auto"/>
              <w:ind w:left="17"/>
              <w:jc w:val="left"/>
              <w:rPr>
                <w:color w:val="000000"/>
                <w:sz w:val="24"/>
                <w:szCs w:val="24"/>
              </w:rPr>
            </w:pPr>
            <w:r>
              <w:rPr>
                <w:color w:val="000000"/>
                <w:kern w:val="0"/>
                <w:sz w:val="24"/>
                <w:szCs w:val="24"/>
              </w:rPr>
              <w:t>本基金在逐期追求投资本金安全的风险控制目标下追求基金收益的稳定递增。自转型完成之日起，本基金以</w:t>
            </w:r>
            <w:r>
              <w:rPr>
                <w:color w:val="000000"/>
                <w:kern w:val="0"/>
                <w:sz w:val="24"/>
                <w:szCs w:val="24"/>
              </w:rPr>
              <w:t xml:space="preserve">3 </w:t>
            </w:r>
            <w:r>
              <w:rPr>
                <w:color w:val="000000"/>
                <w:kern w:val="0"/>
                <w:sz w:val="24"/>
                <w:szCs w:val="24"/>
              </w:rPr>
              <w:t>年为一个运作周期逐期运作，每一运作周期期满后且后一运作周期起始日前，安排不少于</w:t>
            </w:r>
            <w:r>
              <w:rPr>
                <w:color w:val="000000"/>
                <w:kern w:val="0"/>
                <w:sz w:val="24"/>
                <w:szCs w:val="24"/>
              </w:rPr>
              <w:t xml:space="preserve">5 </w:t>
            </w:r>
            <w:r>
              <w:rPr>
                <w:color w:val="000000"/>
                <w:kern w:val="0"/>
                <w:sz w:val="24"/>
                <w:szCs w:val="24"/>
              </w:rPr>
              <w:t>个工作日的运作调整期，除对持续持有期少于</w:t>
            </w:r>
            <w:r>
              <w:rPr>
                <w:color w:val="000000"/>
                <w:kern w:val="0"/>
                <w:sz w:val="24"/>
                <w:szCs w:val="24"/>
              </w:rPr>
              <w:t>7</w:t>
            </w:r>
            <w:r>
              <w:rPr>
                <w:color w:val="000000"/>
                <w:kern w:val="0"/>
                <w:sz w:val="24"/>
                <w:szCs w:val="24"/>
              </w:rPr>
              <w:t>日的基金份额持有人收取不低于</w:t>
            </w:r>
            <w:r>
              <w:rPr>
                <w:color w:val="000000"/>
                <w:kern w:val="0"/>
                <w:sz w:val="24"/>
                <w:szCs w:val="24"/>
              </w:rPr>
              <w:t>1.5%</w:t>
            </w:r>
            <w:r>
              <w:rPr>
                <w:color w:val="000000"/>
                <w:kern w:val="0"/>
                <w:sz w:val="24"/>
                <w:szCs w:val="24"/>
              </w:rPr>
              <w:t>的赎回费以外，投资者在运作调整期内办理本基金的申购和赎回业务时不收取申购、赎回费用。</w:t>
            </w:r>
          </w:p>
          <w:p w:rsidR="009523EC" w:rsidRDefault="005D1749">
            <w:pPr>
              <w:adjustRightInd w:val="0"/>
              <w:spacing w:before="29" w:line="288" w:lineRule="auto"/>
              <w:ind w:left="17"/>
              <w:jc w:val="left"/>
              <w:rPr>
                <w:color w:val="000000"/>
                <w:sz w:val="24"/>
                <w:szCs w:val="24"/>
              </w:rPr>
            </w:pPr>
            <w:r>
              <w:rPr>
                <w:color w:val="000000"/>
                <w:kern w:val="0"/>
                <w:sz w:val="24"/>
                <w:szCs w:val="24"/>
              </w:rPr>
              <w:t>本基金在每一运作周期的投资目标为力求期末基金份额净值加上该运作周期累计分红金额不低于该运作周</w:t>
            </w:r>
            <w:r>
              <w:rPr>
                <w:color w:val="000000"/>
                <w:kern w:val="0"/>
                <w:sz w:val="24"/>
                <w:szCs w:val="24"/>
              </w:rPr>
              <w:lastRenderedPageBreak/>
              <w:t>期第</w:t>
            </w:r>
            <w:r>
              <w:rPr>
                <w:color w:val="000000"/>
                <w:kern w:val="0"/>
                <w:sz w:val="24"/>
                <w:szCs w:val="24"/>
              </w:rPr>
              <w:t xml:space="preserve">1 </w:t>
            </w:r>
            <w:r>
              <w:rPr>
                <w:color w:val="000000"/>
                <w:kern w:val="0"/>
                <w:sz w:val="24"/>
                <w:szCs w:val="24"/>
              </w:rPr>
              <w:t>个工作日的基金份额净值。在每一运作周期中，本基金通过适当的投资策略和运作机制，优化基金组合的风险收益和流动性，增强对组合流动性的保护，力争实现设定的投资目标，满足投资人获取持续稳定收益的需求。</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本基金不设置担保人或保本义务人，不承诺基金份额持有人在本基金运作周期期满时可以获得保本金额的保证。</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注：本基金于</w:t>
      </w:r>
      <w:r w:rsidRPr="00414345">
        <w:rPr>
          <w:color w:val="000000"/>
          <w:sz w:val="24"/>
          <w:szCs w:val="24"/>
        </w:rPr>
        <w:t>2019</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31</w:t>
      </w:r>
      <w:r w:rsidRPr="00414345">
        <w:rPr>
          <w:color w:val="000000"/>
          <w:sz w:val="24"/>
          <w:szCs w:val="24"/>
        </w:rPr>
        <w:t>日由交银施罗德荣祥保本混合型证券投资基金转型为交银施罗德稳固收益债券型证券投资基金，新基金合同及托管协议即日起生效。</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D1749" w:rsidRPr="00414345" w:rsidTr="005D174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5D1749" w:rsidRPr="00414345" w:rsidTr="005D174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-33,599.50</w:t>
            </w:r>
          </w:p>
        </w:tc>
      </w:tr>
      <w:tr w:rsidR="005D1749" w:rsidRPr="00414345" w:rsidTr="005D174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-523,391.98</w:t>
            </w:r>
          </w:p>
        </w:tc>
      </w:tr>
      <w:tr w:rsidR="005D1749" w:rsidRPr="00414345" w:rsidTr="005D174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-0.0095</w:t>
            </w:r>
          </w:p>
        </w:tc>
      </w:tr>
      <w:tr w:rsidR="005D1749" w:rsidRPr="00414345" w:rsidTr="005D174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59,435,633.41</w:t>
            </w:r>
          </w:p>
        </w:tc>
      </w:tr>
      <w:tr w:rsidR="005D1749" w:rsidRPr="00414345" w:rsidTr="005D174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1.1338</w:t>
            </w:r>
          </w:p>
        </w:tc>
      </w:tr>
    </w:tbl>
    <w:p w:rsidR="009523EC" w:rsidRDefault="005D174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523EC">
        <w:trPr>
          <w:jc w:val="center"/>
        </w:trPr>
        <w:tc>
          <w:tcPr>
            <w:tcW w:w="1701" w:type="dxa"/>
            <w:vAlign w:val="center"/>
          </w:tcPr>
          <w:p w:rsidR="009523EC" w:rsidRDefault="005D1749">
            <w:pPr>
              <w:jc w:val="left"/>
            </w:pPr>
            <w:r>
              <w:rPr>
                <w:color w:val="000000"/>
                <w:sz w:val="24"/>
                <w:szCs w:val="24"/>
              </w:rPr>
              <w:t>过去三个月</w:t>
            </w:r>
          </w:p>
        </w:tc>
        <w:tc>
          <w:tcPr>
            <w:tcW w:w="1045" w:type="dxa"/>
            <w:vAlign w:val="center"/>
          </w:tcPr>
          <w:p w:rsidR="009523EC" w:rsidRDefault="005D1749">
            <w:pPr>
              <w:jc w:val="center"/>
            </w:pPr>
            <w:r>
              <w:rPr>
                <w:color w:val="000000"/>
                <w:sz w:val="24"/>
                <w:szCs w:val="24"/>
              </w:rPr>
              <w:t>-1.06%</w:t>
            </w:r>
          </w:p>
        </w:tc>
        <w:tc>
          <w:tcPr>
            <w:tcW w:w="1344" w:type="dxa"/>
            <w:vAlign w:val="center"/>
          </w:tcPr>
          <w:p w:rsidR="009523EC" w:rsidRDefault="005D1749">
            <w:pPr>
              <w:jc w:val="center"/>
            </w:pPr>
            <w:r>
              <w:rPr>
                <w:color w:val="000000"/>
                <w:sz w:val="24"/>
                <w:szCs w:val="24"/>
              </w:rPr>
              <w:t>0.36%</w:t>
            </w:r>
          </w:p>
        </w:tc>
        <w:tc>
          <w:tcPr>
            <w:tcW w:w="1194" w:type="dxa"/>
            <w:vAlign w:val="center"/>
          </w:tcPr>
          <w:p w:rsidR="009523EC" w:rsidRDefault="005D1749">
            <w:pPr>
              <w:jc w:val="center"/>
            </w:pPr>
            <w:r>
              <w:rPr>
                <w:color w:val="000000"/>
                <w:sz w:val="24"/>
                <w:szCs w:val="24"/>
              </w:rPr>
              <w:t>0.70%</w:t>
            </w:r>
          </w:p>
        </w:tc>
        <w:tc>
          <w:tcPr>
            <w:tcW w:w="1492" w:type="dxa"/>
            <w:vAlign w:val="center"/>
          </w:tcPr>
          <w:p w:rsidR="009523EC" w:rsidRDefault="005D1749">
            <w:pPr>
              <w:jc w:val="center"/>
            </w:pPr>
            <w:r>
              <w:rPr>
                <w:color w:val="000000"/>
                <w:sz w:val="24"/>
                <w:szCs w:val="24"/>
              </w:rPr>
              <w:t>0.01%</w:t>
            </w:r>
          </w:p>
        </w:tc>
        <w:tc>
          <w:tcPr>
            <w:tcW w:w="1194" w:type="dxa"/>
            <w:vAlign w:val="center"/>
          </w:tcPr>
          <w:p w:rsidR="009523EC" w:rsidRDefault="005D1749">
            <w:pPr>
              <w:jc w:val="center"/>
            </w:pPr>
            <w:r>
              <w:rPr>
                <w:color w:val="000000"/>
                <w:sz w:val="24"/>
                <w:szCs w:val="24"/>
              </w:rPr>
              <w:t>-1.76%</w:t>
            </w:r>
          </w:p>
        </w:tc>
        <w:tc>
          <w:tcPr>
            <w:tcW w:w="898" w:type="dxa"/>
            <w:vAlign w:val="center"/>
          </w:tcPr>
          <w:p w:rsidR="009523EC" w:rsidRDefault="005D1749">
            <w:pPr>
              <w:jc w:val="center"/>
            </w:pPr>
            <w:r>
              <w:rPr>
                <w:color w:val="000000"/>
                <w:sz w:val="24"/>
                <w:szCs w:val="24"/>
              </w:rPr>
              <w:t>0.35%</w:t>
            </w:r>
          </w:p>
        </w:tc>
      </w:tr>
      <w:tr w:rsidR="009523EC">
        <w:trPr>
          <w:jc w:val="center"/>
        </w:trPr>
        <w:tc>
          <w:tcPr>
            <w:tcW w:w="1701" w:type="dxa"/>
            <w:vAlign w:val="center"/>
          </w:tcPr>
          <w:p w:rsidR="009523EC" w:rsidRDefault="005D1749">
            <w:pPr>
              <w:jc w:val="left"/>
            </w:pPr>
            <w:r>
              <w:rPr>
                <w:color w:val="000000"/>
                <w:sz w:val="24"/>
                <w:szCs w:val="24"/>
              </w:rPr>
              <w:t>过去六个月</w:t>
            </w:r>
          </w:p>
        </w:tc>
        <w:tc>
          <w:tcPr>
            <w:tcW w:w="1045" w:type="dxa"/>
            <w:vAlign w:val="center"/>
          </w:tcPr>
          <w:p w:rsidR="009523EC" w:rsidRDefault="005D1749">
            <w:pPr>
              <w:jc w:val="center"/>
            </w:pPr>
            <w:r>
              <w:rPr>
                <w:color w:val="000000"/>
                <w:sz w:val="24"/>
                <w:szCs w:val="24"/>
              </w:rPr>
              <w:t>0.34%</w:t>
            </w:r>
          </w:p>
        </w:tc>
        <w:tc>
          <w:tcPr>
            <w:tcW w:w="1344" w:type="dxa"/>
            <w:vAlign w:val="center"/>
          </w:tcPr>
          <w:p w:rsidR="009523EC" w:rsidRDefault="005D1749">
            <w:pPr>
              <w:jc w:val="center"/>
            </w:pPr>
            <w:r>
              <w:rPr>
                <w:color w:val="000000"/>
                <w:sz w:val="24"/>
                <w:szCs w:val="24"/>
              </w:rPr>
              <w:t>0.28%</w:t>
            </w:r>
          </w:p>
        </w:tc>
        <w:tc>
          <w:tcPr>
            <w:tcW w:w="1194" w:type="dxa"/>
            <w:vAlign w:val="center"/>
          </w:tcPr>
          <w:p w:rsidR="009523EC" w:rsidRDefault="005D1749">
            <w:pPr>
              <w:jc w:val="center"/>
            </w:pPr>
            <w:r>
              <w:rPr>
                <w:color w:val="000000"/>
                <w:sz w:val="24"/>
                <w:szCs w:val="24"/>
              </w:rPr>
              <w:t>1.40%</w:t>
            </w:r>
          </w:p>
        </w:tc>
        <w:tc>
          <w:tcPr>
            <w:tcW w:w="1492" w:type="dxa"/>
            <w:vAlign w:val="center"/>
          </w:tcPr>
          <w:p w:rsidR="009523EC" w:rsidRDefault="005D1749">
            <w:pPr>
              <w:jc w:val="center"/>
            </w:pPr>
            <w:r>
              <w:rPr>
                <w:color w:val="000000"/>
                <w:sz w:val="24"/>
                <w:szCs w:val="24"/>
              </w:rPr>
              <w:t>0.01%</w:t>
            </w:r>
          </w:p>
        </w:tc>
        <w:tc>
          <w:tcPr>
            <w:tcW w:w="1194" w:type="dxa"/>
            <w:vAlign w:val="center"/>
          </w:tcPr>
          <w:p w:rsidR="009523EC" w:rsidRDefault="005D1749">
            <w:pPr>
              <w:jc w:val="center"/>
            </w:pPr>
            <w:r>
              <w:rPr>
                <w:color w:val="000000"/>
                <w:sz w:val="24"/>
                <w:szCs w:val="24"/>
              </w:rPr>
              <w:t>-1.06%</w:t>
            </w:r>
          </w:p>
        </w:tc>
        <w:tc>
          <w:tcPr>
            <w:tcW w:w="898" w:type="dxa"/>
            <w:vAlign w:val="center"/>
          </w:tcPr>
          <w:p w:rsidR="009523EC" w:rsidRDefault="005D1749">
            <w:pPr>
              <w:jc w:val="center"/>
            </w:pPr>
            <w:r>
              <w:rPr>
                <w:color w:val="000000"/>
                <w:sz w:val="24"/>
                <w:szCs w:val="24"/>
              </w:rPr>
              <w:t>0.27%</w:t>
            </w:r>
          </w:p>
        </w:tc>
      </w:tr>
      <w:tr w:rsidR="009523EC">
        <w:trPr>
          <w:jc w:val="center"/>
        </w:trPr>
        <w:tc>
          <w:tcPr>
            <w:tcW w:w="1701" w:type="dxa"/>
            <w:vAlign w:val="center"/>
          </w:tcPr>
          <w:p w:rsidR="009523EC" w:rsidRDefault="005D1749">
            <w:pPr>
              <w:jc w:val="left"/>
            </w:pPr>
            <w:r>
              <w:rPr>
                <w:color w:val="000000"/>
                <w:sz w:val="24"/>
                <w:szCs w:val="24"/>
              </w:rPr>
              <w:t>过去一年</w:t>
            </w:r>
          </w:p>
        </w:tc>
        <w:tc>
          <w:tcPr>
            <w:tcW w:w="1045" w:type="dxa"/>
            <w:vAlign w:val="center"/>
          </w:tcPr>
          <w:p w:rsidR="009523EC" w:rsidRDefault="005D1749">
            <w:pPr>
              <w:jc w:val="center"/>
            </w:pPr>
            <w:r>
              <w:rPr>
                <w:color w:val="000000"/>
                <w:sz w:val="24"/>
                <w:szCs w:val="24"/>
              </w:rPr>
              <w:t>4.31%</w:t>
            </w:r>
          </w:p>
        </w:tc>
        <w:tc>
          <w:tcPr>
            <w:tcW w:w="1344" w:type="dxa"/>
            <w:vAlign w:val="center"/>
          </w:tcPr>
          <w:p w:rsidR="009523EC" w:rsidRDefault="005D1749">
            <w:pPr>
              <w:jc w:val="center"/>
            </w:pPr>
            <w:r>
              <w:rPr>
                <w:color w:val="000000"/>
                <w:sz w:val="24"/>
                <w:szCs w:val="24"/>
              </w:rPr>
              <w:t>0.25%</w:t>
            </w:r>
          </w:p>
        </w:tc>
        <w:tc>
          <w:tcPr>
            <w:tcW w:w="1194" w:type="dxa"/>
            <w:vAlign w:val="center"/>
          </w:tcPr>
          <w:p w:rsidR="009523EC" w:rsidRDefault="005D1749" w:rsidP="00D32E7E">
            <w:pPr>
              <w:jc w:val="center"/>
            </w:pPr>
            <w:r>
              <w:rPr>
                <w:color w:val="000000"/>
                <w:sz w:val="24"/>
                <w:szCs w:val="24"/>
              </w:rPr>
              <w:t>2.8</w:t>
            </w:r>
            <w:r w:rsidR="00D32E7E">
              <w:rPr>
                <w:color w:val="000000"/>
                <w:sz w:val="24"/>
                <w:szCs w:val="24"/>
              </w:rPr>
              <w:t>0</w:t>
            </w:r>
            <w:r>
              <w:rPr>
                <w:color w:val="000000"/>
                <w:sz w:val="24"/>
                <w:szCs w:val="24"/>
              </w:rPr>
              <w:t>%</w:t>
            </w:r>
          </w:p>
        </w:tc>
        <w:tc>
          <w:tcPr>
            <w:tcW w:w="1492" w:type="dxa"/>
            <w:vAlign w:val="center"/>
          </w:tcPr>
          <w:p w:rsidR="009523EC" w:rsidRDefault="005D1749">
            <w:pPr>
              <w:jc w:val="center"/>
            </w:pPr>
            <w:r>
              <w:rPr>
                <w:color w:val="000000"/>
                <w:sz w:val="24"/>
                <w:szCs w:val="24"/>
              </w:rPr>
              <w:t>0.01%</w:t>
            </w:r>
          </w:p>
        </w:tc>
        <w:tc>
          <w:tcPr>
            <w:tcW w:w="1194" w:type="dxa"/>
            <w:vAlign w:val="center"/>
          </w:tcPr>
          <w:p w:rsidR="009523EC" w:rsidRDefault="005D1749" w:rsidP="00D32E7E">
            <w:pPr>
              <w:jc w:val="center"/>
            </w:pPr>
            <w:r>
              <w:rPr>
                <w:color w:val="000000"/>
                <w:sz w:val="24"/>
                <w:szCs w:val="24"/>
              </w:rPr>
              <w:t>1.</w:t>
            </w:r>
            <w:r w:rsidR="00D32E7E">
              <w:rPr>
                <w:color w:val="000000"/>
                <w:sz w:val="24"/>
                <w:szCs w:val="24"/>
              </w:rPr>
              <w:t>51</w:t>
            </w:r>
            <w:bookmarkStart w:id="0" w:name="_GoBack"/>
            <w:bookmarkEnd w:id="0"/>
            <w:r>
              <w:rPr>
                <w:color w:val="000000"/>
                <w:sz w:val="24"/>
                <w:szCs w:val="24"/>
              </w:rPr>
              <w:t>%</w:t>
            </w:r>
          </w:p>
        </w:tc>
        <w:tc>
          <w:tcPr>
            <w:tcW w:w="898" w:type="dxa"/>
            <w:vAlign w:val="center"/>
          </w:tcPr>
          <w:p w:rsidR="009523EC" w:rsidRDefault="005D1749">
            <w:pPr>
              <w:jc w:val="center"/>
            </w:pPr>
            <w:r>
              <w:rPr>
                <w:color w:val="000000"/>
                <w:sz w:val="24"/>
                <w:szCs w:val="24"/>
              </w:rPr>
              <w:t>0.24%</w:t>
            </w:r>
          </w:p>
        </w:tc>
      </w:tr>
      <w:tr w:rsidR="009523EC">
        <w:trPr>
          <w:jc w:val="center"/>
        </w:trPr>
        <w:tc>
          <w:tcPr>
            <w:tcW w:w="1701" w:type="dxa"/>
            <w:vAlign w:val="center"/>
          </w:tcPr>
          <w:p w:rsidR="009523EC" w:rsidRDefault="005D1749">
            <w:pPr>
              <w:jc w:val="left"/>
            </w:pPr>
            <w:r>
              <w:rPr>
                <w:color w:val="000000"/>
                <w:sz w:val="24"/>
                <w:szCs w:val="24"/>
              </w:rPr>
              <w:t>自基金合同生效起至今</w:t>
            </w:r>
          </w:p>
        </w:tc>
        <w:tc>
          <w:tcPr>
            <w:tcW w:w="1045" w:type="dxa"/>
            <w:vAlign w:val="center"/>
          </w:tcPr>
          <w:p w:rsidR="009523EC" w:rsidRDefault="005D1749">
            <w:pPr>
              <w:jc w:val="center"/>
            </w:pPr>
            <w:r>
              <w:rPr>
                <w:color w:val="000000"/>
                <w:sz w:val="24"/>
                <w:szCs w:val="24"/>
              </w:rPr>
              <w:t>5.47%</w:t>
            </w:r>
          </w:p>
        </w:tc>
        <w:tc>
          <w:tcPr>
            <w:tcW w:w="1344" w:type="dxa"/>
            <w:vAlign w:val="center"/>
          </w:tcPr>
          <w:p w:rsidR="009523EC" w:rsidRDefault="005D1749">
            <w:pPr>
              <w:jc w:val="center"/>
            </w:pPr>
            <w:r>
              <w:rPr>
                <w:color w:val="000000"/>
                <w:sz w:val="24"/>
                <w:szCs w:val="24"/>
              </w:rPr>
              <w:t>0.22%</w:t>
            </w:r>
          </w:p>
        </w:tc>
        <w:tc>
          <w:tcPr>
            <w:tcW w:w="1194" w:type="dxa"/>
            <w:vAlign w:val="center"/>
          </w:tcPr>
          <w:p w:rsidR="009523EC" w:rsidRDefault="005D1749">
            <w:pPr>
              <w:jc w:val="center"/>
            </w:pPr>
            <w:r>
              <w:rPr>
                <w:color w:val="000000"/>
                <w:sz w:val="24"/>
                <w:szCs w:val="24"/>
              </w:rPr>
              <w:t>3.74%</w:t>
            </w:r>
          </w:p>
        </w:tc>
        <w:tc>
          <w:tcPr>
            <w:tcW w:w="1492" w:type="dxa"/>
            <w:vAlign w:val="center"/>
          </w:tcPr>
          <w:p w:rsidR="009523EC" w:rsidRDefault="005D1749">
            <w:pPr>
              <w:jc w:val="center"/>
            </w:pPr>
            <w:r>
              <w:rPr>
                <w:color w:val="000000"/>
                <w:sz w:val="24"/>
                <w:szCs w:val="24"/>
              </w:rPr>
              <w:t>0.01%</w:t>
            </w:r>
          </w:p>
        </w:tc>
        <w:tc>
          <w:tcPr>
            <w:tcW w:w="1194" w:type="dxa"/>
            <w:vAlign w:val="center"/>
          </w:tcPr>
          <w:p w:rsidR="009523EC" w:rsidRDefault="005D1749">
            <w:pPr>
              <w:jc w:val="center"/>
            </w:pPr>
            <w:r>
              <w:rPr>
                <w:color w:val="000000"/>
                <w:sz w:val="24"/>
                <w:szCs w:val="24"/>
              </w:rPr>
              <w:t>1.73%</w:t>
            </w:r>
          </w:p>
        </w:tc>
        <w:tc>
          <w:tcPr>
            <w:tcW w:w="898" w:type="dxa"/>
            <w:vAlign w:val="center"/>
          </w:tcPr>
          <w:p w:rsidR="009523EC" w:rsidRDefault="005D1749">
            <w:pPr>
              <w:jc w:val="center"/>
            </w:pPr>
            <w:r>
              <w:rPr>
                <w:color w:val="000000"/>
                <w:sz w:val="24"/>
                <w:szCs w:val="24"/>
              </w:rPr>
              <w:t>0.21%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交银施罗德稳固收益债券型证券投资基金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注：本基金由交银施罗德荣祥保本混合型证券投资基金转型而来。基金转型日为</w:t>
      </w:r>
      <w:r w:rsidRPr="00414345">
        <w:rPr>
          <w:color w:val="000000"/>
          <w:sz w:val="24"/>
          <w:szCs w:val="24"/>
        </w:rPr>
        <w:t>2019</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31</w:t>
      </w:r>
      <w:r w:rsidRPr="00414345">
        <w:rPr>
          <w:color w:val="000000"/>
          <w:sz w:val="24"/>
          <w:szCs w:val="24"/>
        </w:rPr>
        <w:t>日。本基金的投资转型期为交银施罗德荣祥保本混合型证券投资基金保本周期到期选择期截止日次日（即</w:t>
      </w:r>
      <w:r w:rsidRPr="00414345">
        <w:rPr>
          <w:color w:val="000000"/>
          <w:sz w:val="24"/>
          <w:szCs w:val="24"/>
        </w:rPr>
        <w:t>2019</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31</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523EC">
        <w:trPr>
          <w:jc w:val="center"/>
        </w:trPr>
        <w:tc>
          <w:tcPr>
            <w:tcW w:w="846" w:type="dxa"/>
            <w:vAlign w:val="center"/>
          </w:tcPr>
          <w:p w:rsidR="009523EC" w:rsidRDefault="005D1749">
            <w:pPr>
              <w:jc w:val="center"/>
            </w:pPr>
            <w:r>
              <w:rPr>
                <w:color w:val="000000"/>
                <w:sz w:val="24"/>
                <w:szCs w:val="24"/>
              </w:rPr>
              <w:t>凌超</w:t>
            </w:r>
          </w:p>
        </w:tc>
        <w:tc>
          <w:tcPr>
            <w:tcW w:w="845" w:type="dxa"/>
            <w:vAlign w:val="center"/>
          </w:tcPr>
          <w:p w:rsidR="009523EC" w:rsidRDefault="005D1749">
            <w:pPr>
              <w:jc w:val="center"/>
            </w:pPr>
            <w:r>
              <w:rPr>
                <w:color w:val="000000"/>
                <w:sz w:val="24"/>
                <w:szCs w:val="24"/>
              </w:rPr>
              <w:t>交银定期支付月月丰债券、交银增强收益债券、交银强化回报债券、交银周期回报灵活配置混合、交银新回报灵活配置混合、交银多策略回报灵活配置混合、交银优选回报灵活配置混合、交</w:t>
            </w:r>
            <w:r>
              <w:rPr>
                <w:color w:val="000000"/>
                <w:sz w:val="24"/>
                <w:szCs w:val="24"/>
              </w:rPr>
              <w:lastRenderedPageBreak/>
              <w:t>银优择回报灵活配置混合、交银瑞鑫定期开放灵活配置混合、交银增利增强债券、交银恒益灵活配置混合、交银裕祥纯债债券、交银稳固收益债券的基金经理，公司固定收益</w:t>
            </w:r>
            <w:r>
              <w:rPr>
                <w:color w:val="000000"/>
                <w:sz w:val="24"/>
                <w:szCs w:val="24"/>
              </w:rPr>
              <w:t>(</w:t>
            </w:r>
            <w:r>
              <w:rPr>
                <w:color w:val="000000"/>
                <w:sz w:val="24"/>
                <w:szCs w:val="24"/>
              </w:rPr>
              <w:t>公募</w:t>
            </w:r>
            <w:r>
              <w:rPr>
                <w:color w:val="000000"/>
                <w:sz w:val="24"/>
                <w:szCs w:val="24"/>
              </w:rPr>
              <w:t>)</w:t>
            </w:r>
            <w:r>
              <w:rPr>
                <w:color w:val="000000"/>
                <w:sz w:val="24"/>
                <w:szCs w:val="24"/>
              </w:rPr>
              <w:t>投资副总监</w:t>
            </w:r>
          </w:p>
        </w:tc>
        <w:tc>
          <w:tcPr>
            <w:tcW w:w="1549" w:type="dxa"/>
            <w:vAlign w:val="center"/>
          </w:tcPr>
          <w:p w:rsidR="009523EC" w:rsidRDefault="005D1749">
            <w:pPr>
              <w:jc w:val="center"/>
            </w:pPr>
            <w:r>
              <w:rPr>
                <w:color w:val="000000"/>
                <w:sz w:val="24"/>
                <w:szCs w:val="24"/>
              </w:rPr>
              <w:lastRenderedPageBreak/>
              <w:t>2019-02-28</w:t>
            </w:r>
          </w:p>
        </w:tc>
        <w:tc>
          <w:tcPr>
            <w:tcW w:w="1548" w:type="dxa"/>
            <w:vAlign w:val="center"/>
          </w:tcPr>
          <w:p w:rsidR="009523EC" w:rsidRDefault="005D1749">
            <w:pPr>
              <w:jc w:val="center"/>
            </w:pPr>
            <w:r>
              <w:rPr>
                <w:color w:val="000000"/>
                <w:sz w:val="24"/>
                <w:szCs w:val="24"/>
              </w:rPr>
              <w:t>2020-07-23</w:t>
            </w:r>
          </w:p>
        </w:tc>
        <w:tc>
          <w:tcPr>
            <w:tcW w:w="1407" w:type="dxa"/>
            <w:vAlign w:val="center"/>
          </w:tcPr>
          <w:p w:rsidR="009523EC" w:rsidRDefault="005D1749">
            <w:pPr>
              <w:jc w:val="center"/>
            </w:pPr>
            <w:r>
              <w:rPr>
                <w:color w:val="000000"/>
                <w:sz w:val="24"/>
                <w:szCs w:val="24"/>
              </w:rPr>
              <w:t>14</w:t>
            </w:r>
            <w:r>
              <w:rPr>
                <w:color w:val="000000"/>
                <w:sz w:val="24"/>
                <w:szCs w:val="24"/>
              </w:rPr>
              <w:t>年</w:t>
            </w:r>
          </w:p>
        </w:tc>
        <w:tc>
          <w:tcPr>
            <w:tcW w:w="2673" w:type="dxa"/>
            <w:vAlign w:val="center"/>
          </w:tcPr>
          <w:p w:rsidR="009523EC" w:rsidRDefault="005D1749">
            <w:r>
              <w:rPr>
                <w:color w:val="000000"/>
                <w:sz w:val="24"/>
                <w:szCs w:val="24"/>
              </w:rPr>
              <w:t>凌超先生，华中科技大学数量经济学硕士、武汉科技大学信息与计算科学学士。</w:t>
            </w:r>
            <w:r>
              <w:rPr>
                <w:color w:val="000000"/>
                <w:sz w:val="24"/>
                <w:szCs w:val="24"/>
              </w:rPr>
              <w:t>2006</w:t>
            </w:r>
            <w:r>
              <w:rPr>
                <w:color w:val="000000"/>
                <w:sz w:val="24"/>
                <w:szCs w:val="24"/>
              </w:rPr>
              <w:t>年至</w:t>
            </w:r>
            <w:r>
              <w:rPr>
                <w:color w:val="000000"/>
                <w:sz w:val="24"/>
                <w:szCs w:val="24"/>
              </w:rPr>
              <w:t>2009</w:t>
            </w:r>
            <w:r>
              <w:rPr>
                <w:color w:val="000000"/>
                <w:sz w:val="24"/>
                <w:szCs w:val="24"/>
              </w:rPr>
              <w:t>年任长江证券股份有限公司研究员、投资经理，</w:t>
            </w:r>
            <w:r>
              <w:rPr>
                <w:color w:val="000000"/>
                <w:sz w:val="24"/>
                <w:szCs w:val="24"/>
              </w:rPr>
              <w:t>2009</w:t>
            </w:r>
            <w:r>
              <w:rPr>
                <w:color w:val="000000"/>
                <w:sz w:val="24"/>
                <w:szCs w:val="24"/>
              </w:rPr>
              <w:t>年至</w:t>
            </w:r>
            <w:r>
              <w:rPr>
                <w:color w:val="000000"/>
                <w:sz w:val="24"/>
                <w:szCs w:val="24"/>
              </w:rPr>
              <w:t>2012</w:t>
            </w:r>
            <w:r>
              <w:rPr>
                <w:color w:val="000000"/>
                <w:sz w:val="24"/>
                <w:szCs w:val="24"/>
              </w:rPr>
              <w:t>年任光大保德信基金有限管理公司研究员、基金助理、基金经理，</w:t>
            </w:r>
            <w:r>
              <w:rPr>
                <w:color w:val="000000"/>
                <w:sz w:val="24"/>
                <w:szCs w:val="24"/>
              </w:rPr>
              <w:t>2012</w:t>
            </w:r>
            <w:r>
              <w:rPr>
                <w:color w:val="000000"/>
                <w:sz w:val="24"/>
                <w:szCs w:val="24"/>
              </w:rPr>
              <w:t>年至</w:t>
            </w:r>
            <w:r>
              <w:rPr>
                <w:color w:val="000000"/>
                <w:sz w:val="24"/>
                <w:szCs w:val="24"/>
              </w:rPr>
              <w:t>2016</w:t>
            </w:r>
            <w:r>
              <w:rPr>
                <w:color w:val="000000"/>
                <w:sz w:val="24"/>
                <w:szCs w:val="24"/>
              </w:rPr>
              <w:t>年任海富通基金管理有限公司投资顾问、基金经理，</w:t>
            </w:r>
            <w:r>
              <w:rPr>
                <w:color w:val="000000"/>
                <w:sz w:val="24"/>
                <w:szCs w:val="24"/>
              </w:rPr>
              <w:t>2016</w:t>
            </w:r>
            <w:r>
              <w:rPr>
                <w:color w:val="000000"/>
                <w:sz w:val="24"/>
                <w:szCs w:val="24"/>
              </w:rPr>
              <w:t>年至</w:t>
            </w:r>
            <w:r>
              <w:rPr>
                <w:color w:val="000000"/>
                <w:sz w:val="24"/>
                <w:szCs w:val="24"/>
              </w:rPr>
              <w:t>2017</w:t>
            </w:r>
            <w:r>
              <w:rPr>
                <w:color w:val="000000"/>
                <w:sz w:val="24"/>
                <w:szCs w:val="24"/>
              </w:rPr>
              <w:t>年任天弘基金管理有限公司固定收益部副总经理、基金经理。</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31</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w:t>
            </w:r>
            <w:r>
              <w:rPr>
                <w:color w:val="000000"/>
                <w:sz w:val="24"/>
                <w:szCs w:val="24"/>
              </w:rPr>
              <w:t>日任光大保德信货币市场基金基金经理，</w:t>
            </w:r>
            <w:r>
              <w:rPr>
                <w:color w:val="000000"/>
                <w:sz w:val="24"/>
                <w:szCs w:val="24"/>
              </w:rPr>
              <w:t>2013</w:t>
            </w:r>
            <w:r>
              <w:rPr>
                <w:color w:val="000000"/>
                <w:sz w:val="24"/>
                <w:szCs w:val="24"/>
              </w:rPr>
              <w:t>年</w:t>
            </w:r>
            <w:r>
              <w:rPr>
                <w:color w:val="000000"/>
                <w:sz w:val="24"/>
                <w:szCs w:val="24"/>
              </w:rPr>
              <w:t>12</w:t>
            </w:r>
            <w:r>
              <w:rPr>
                <w:color w:val="000000"/>
                <w:sz w:val="24"/>
                <w:szCs w:val="24"/>
              </w:rPr>
              <w:t>月</w:t>
            </w:r>
            <w:r>
              <w:rPr>
                <w:color w:val="000000"/>
                <w:sz w:val="24"/>
                <w:szCs w:val="24"/>
              </w:rPr>
              <w:t>19</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日任海富通一年定期开放债券型证券投资基金基金经理，</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日任海富通纯债债券型证券投资基金基金经理，</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日任海富通稳固收益债券型证券投资基金基金经理，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日任天弘弘利债券型证券投资基金基金经理，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日任天弘裕利灵活配置混合型证券投资</w:t>
            </w:r>
            <w:r>
              <w:rPr>
                <w:color w:val="000000"/>
                <w:sz w:val="24"/>
                <w:szCs w:val="24"/>
              </w:rPr>
              <w:lastRenderedPageBreak/>
              <w:t>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日任天弘债券型发起式证券投资基金基金经理。</w:t>
            </w:r>
            <w:r>
              <w:rPr>
                <w:color w:val="000000"/>
                <w:sz w:val="24"/>
                <w:szCs w:val="24"/>
              </w:rPr>
              <w:t>2017</w:t>
            </w:r>
            <w:r>
              <w:rPr>
                <w:color w:val="000000"/>
                <w:sz w:val="24"/>
                <w:szCs w:val="24"/>
              </w:rPr>
              <w:t>年</w:t>
            </w:r>
            <w:r>
              <w:rPr>
                <w:color w:val="000000"/>
                <w:sz w:val="24"/>
                <w:szCs w:val="24"/>
              </w:rPr>
              <w:t>7</w:t>
            </w:r>
            <w:r>
              <w:rPr>
                <w:color w:val="000000"/>
                <w:sz w:val="24"/>
                <w:szCs w:val="24"/>
              </w:rPr>
              <w:t>月加入交银施罗德基金管理有限公司。</w:t>
            </w:r>
            <w:r>
              <w:rPr>
                <w:color w:val="000000"/>
                <w:sz w:val="24"/>
                <w:szCs w:val="24"/>
              </w:rPr>
              <w:t>2019</w:t>
            </w:r>
            <w:r>
              <w:rPr>
                <w:color w:val="000000"/>
                <w:sz w:val="24"/>
                <w:szCs w:val="24"/>
              </w:rPr>
              <w:t>年</w:t>
            </w:r>
            <w:r>
              <w:rPr>
                <w:color w:val="000000"/>
                <w:sz w:val="24"/>
                <w:szCs w:val="24"/>
              </w:rPr>
              <w:t>2</w:t>
            </w:r>
            <w:r>
              <w:rPr>
                <w:color w:val="000000"/>
                <w:sz w:val="24"/>
                <w:szCs w:val="24"/>
              </w:rPr>
              <w:t>月</w:t>
            </w:r>
            <w:r>
              <w:rPr>
                <w:color w:val="000000"/>
                <w:sz w:val="24"/>
                <w:szCs w:val="24"/>
              </w:rPr>
              <w:t>28</w:t>
            </w:r>
            <w:r>
              <w:rPr>
                <w:color w:val="000000"/>
                <w:sz w:val="24"/>
                <w:szCs w:val="24"/>
              </w:rPr>
              <w:t>日至</w:t>
            </w:r>
            <w:r>
              <w:rPr>
                <w:color w:val="000000"/>
                <w:sz w:val="24"/>
                <w:szCs w:val="24"/>
              </w:rPr>
              <w:t>2019</w:t>
            </w:r>
            <w:r>
              <w:rPr>
                <w:color w:val="000000"/>
                <w:sz w:val="24"/>
                <w:szCs w:val="24"/>
              </w:rPr>
              <w:t>年</w:t>
            </w:r>
            <w:r>
              <w:rPr>
                <w:color w:val="000000"/>
                <w:sz w:val="24"/>
                <w:szCs w:val="24"/>
              </w:rPr>
              <w:t>5</w:t>
            </w:r>
            <w:r>
              <w:rPr>
                <w:color w:val="000000"/>
                <w:sz w:val="24"/>
                <w:szCs w:val="24"/>
              </w:rPr>
              <w:t>月</w:t>
            </w:r>
            <w:r>
              <w:rPr>
                <w:color w:val="000000"/>
                <w:sz w:val="24"/>
                <w:szCs w:val="24"/>
              </w:rPr>
              <w:t>30</w:t>
            </w:r>
            <w:r>
              <w:rPr>
                <w:color w:val="000000"/>
                <w:sz w:val="24"/>
                <w:szCs w:val="24"/>
              </w:rPr>
              <w:t>日担任转型前的交银施罗德荣祥保本混合型证券投资基金的基金经理。</w:t>
            </w:r>
            <w:r>
              <w:rPr>
                <w:color w:val="000000"/>
                <w:sz w:val="24"/>
                <w:szCs w:val="24"/>
              </w:rPr>
              <w:t>2018</w:t>
            </w:r>
            <w:r>
              <w:rPr>
                <w:color w:val="000000"/>
                <w:sz w:val="24"/>
                <w:szCs w:val="24"/>
              </w:rPr>
              <w:t>年</w:t>
            </w:r>
            <w:r>
              <w:rPr>
                <w:color w:val="000000"/>
                <w:sz w:val="24"/>
                <w:szCs w:val="24"/>
              </w:rPr>
              <w:t>2</w:t>
            </w:r>
            <w:r>
              <w:rPr>
                <w:color w:val="000000"/>
                <w:sz w:val="24"/>
                <w:szCs w:val="24"/>
              </w:rPr>
              <w:t>月</w:t>
            </w:r>
            <w:r>
              <w:rPr>
                <w:color w:val="000000"/>
                <w:sz w:val="24"/>
                <w:szCs w:val="24"/>
              </w:rPr>
              <w:t>13</w:t>
            </w:r>
            <w:r>
              <w:rPr>
                <w:color w:val="000000"/>
                <w:sz w:val="24"/>
                <w:szCs w:val="24"/>
              </w:rPr>
              <w:t>日至</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22</w:t>
            </w:r>
            <w:r>
              <w:rPr>
                <w:color w:val="000000"/>
                <w:sz w:val="24"/>
                <w:szCs w:val="24"/>
              </w:rPr>
              <w:t>日担任交银施罗德定期支付月月丰债券型证券投资基金、交银施罗德增强收益债券型证券投资基金（原交银荣泰保本）、交银施罗德强化回报债券型证券投资基金、交银施罗德增利增强债券型证券投资基金的基金经理。</w:t>
            </w:r>
            <w:r>
              <w:rPr>
                <w:color w:val="000000"/>
                <w:sz w:val="24"/>
                <w:szCs w:val="24"/>
              </w:rPr>
              <w:t>2019</w:t>
            </w:r>
            <w:r>
              <w:rPr>
                <w:color w:val="000000"/>
                <w:sz w:val="24"/>
                <w:szCs w:val="24"/>
              </w:rPr>
              <w:t>年</w:t>
            </w:r>
            <w:r>
              <w:rPr>
                <w:color w:val="000000"/>
                <w:sz w:val="24"/>
                <w:szCs w:val="24"/>
              </w:rPr>
              <w:t>2</w:t>
            </w:r>
            <w:r>
              <w:rPr>
                <w:color w:val="000000"/>
                <w:sz w:val="24"/>
                <w:szCs w:val="24"/>
              </w:rPr>
              <w:t>月</w:t>
            </w:r>
            <w:r>
              <w:rPr>
                <w:color w:val="000000"/>
                <w:sz w:val="24"/>
                <w:szCs w:val="24"/>
              </w:rPr>
              <w:t>28</w:t>
            </w:r>
            <w:r>
              <w:rPr>
                <w:color w:val="000000"/>
                <w:sz w:val="24"/>
                <w:szCs w:val="24"/>
              </w:rPr>
              <w:t>日至</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22</w:t>
            </w:r>
            <w:r>
              <w:rPr>
                <w:color w:val="000000"/>
                <w:sz w:val="24"/>
                <w:szCs w:val="24"/>
              </w:rPr>
              <w:t>日担任交银施罗德稳固收益债券型证券投资基金（原交银荣祥保本</w:t>
            </w:r>
            <w:r>
              <w:rPr>
                <w:color w:val="000000"/>
                <w:sz w:val="24"/>
                <w:szCs w:val="24"/>
              </w:rPr>
              <w:t>)</w:t>
            </w:r>
            <w:r>
              <w:rPr>
                <w:color w:val="000000"/>
                <w:sz w:val="24"/>
                <w:szCs w:val="24"/>
              </w:rPr>
              <w:t>的基金经理。</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日至</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22</w:t>
            </w:r>
            <w:r>
              <w:rPr>
                <w:color w:val="000000"/>
                <w:sz w:val="24"/>
                <w:szCs w:val="24"/>
              </w:rPr>
              <w:t>日担任交银施罗德周期回报灵活配置混合型证券投资基金、交银施罗德新回报灵活配置混合型证券投资基金、交银施罗德多策略回报灵活配置混合型证券投资基金、交银施罗德优选回报灵活配置混合型证券投资基金、交银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r w:rsidR="009523EC">
        <w:trPr>
          <w:jc w:val="center"/>
        </w:trPr>
        <w:tc>
          <w:tcPr>
            <w:tcW w:w="846" w:type="dxa"/>
            <w:vAlign w:val="center"/>
          </w:tcPr>
          <w:p w:rsidR="009523EC" w:rsidRDefault="005D1749">
            <w:pPr>
              <w:jc w:val="center"/>
            </w:pPr>
            <w:r>
              <w:rPr>
                <w:color w:val="000000"/>
                <w:sz w:val="24"/>
                <w:szCs w:val="24"/>
              </w:rPr>
              <w:lastRenderedPageBreak/>
              <w:t>唐赟</w:t>
            </w:r>
          </w:p>
        </w:tc>
        <w:tc>
          <w:tcPr>
            <w:tcW w:w="845" w:type="dxa"/>
            <w:vAlign w:val="center"/>
          </w:tcPr>
          <w:p w:rsidR="009523EC" w:rsidRDefault="005D1749">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、交银双利债券、交银双轮动债券、交银定期支付月月丰债券、交银增强收益债券、交银强化回报债券、交银荣鑫灵活配置混合、交银稳固收益债券的基金经理</w:t>
            </w:r>
          </w:p>
        </w:tc>
        <w:tc>
          <w:tcPr>
            <w:tcW w:w="1549" w:type="dxa"/>
            <w:vAlign w:val="center"/>
          </w:tcPr>
          <w:p w:rsidR="009523EC" w:rsidRDefault="005D1749">
            <w:pPr>
              <w:jc w:val="center"/>
            </w:pPr>
            <w:r>
              <w:rPr>
                <w:color w:val="000000"/>
                <w:sz w:val="24"/>
                <w:szCs w:val="24"/>
              </w:rPr>
              <w:t>2020-07-14</w:t>
            </w:r>
          </w:p>
        </w:tc>
        <w:tc>
          <w:tcPr>
            <w:tcW w:w="1548" w:type="dxa"/>
            <w:vAlign w:val="center"/>
          </w:tcPr>
          <w:p w:rsidR="009523EC" w:rsidRDefault="005D1749">
            <w:pPr>
              <w:jc w:val="center"/>
            </w:pPr>
            <w:r>
              <w:rPr>
                <w:color w:val="000000"/>
                <w:sz w:val="24"/>
                <w:szCs w:val="24"/>
              </w:rPr>
              <w:t>-</w:t>
            </w:r>
          </w:p>
        </w:tc>
        <w:tc>
          <w:tcPr>
            <w:tcW w:w="1407" w:type="dxa"/>
            <w:vAlign w:val="center"/>
          </w:tcPr>
          <w:p w:rsidR="009523EC" w:rsidRDefault="005D1749">
            <w:pPr>
              <w:jc w:val="center"/>
            </w:pPr>
            <w:r>
              <w:rPr>
                <w:color w:val="000000"/>
                <w:sz w:val="24"/>
                <w:szCs w:val="24"/>
              </w:rPr>
              <w:t>10</w:t>
            </w:r>
            <w:r>
              <w:rPr>
                <w:color w:val="000000"/>
                <w:sz w:val="24"/>
                <w:szCs w:val="24"/>
              </w:rPr>
              <w:t>年</w:t>
            </w:r>
          </w:p>
        </w:tc>
        <w:tc>
          <w:tcPr>
            <w:tcW w:w="2673" w:type="dxa"/>
            <w:vAlign w:val="center"/>
          </w:tcPr>
          <w:p w:rsidR="009523EC" w:rsidRDefault="005D1749">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1</w:t>
            </w:r>
            <w:r>
              <w:rPr>
                <w:color w:val="000000"/>
                <w:sz w:val="24"/>
                <w:szCs w:val="24"/>
              </w:rPr>
              <w:t>日担任转型前的交银施罗德荣和保本混合型证券投资基金的基金经理。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日至</w:t>
            </w:r>
            <w:r>
              <w:rPr>
                <w:color w:val="000000"/>
                <w:sz w:val="24"/>
                <w:szCs w:val="24"/>
              </w:rPr>
              <w:t>2019</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日担任交银施罗德裕通纯债债券型证券投资基金的基金经理。</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2</w:t>
            </w:r>
            <w:r>
              <w:rPr>
                <w:color w:val="000000"/>
                <w:sz w:val="24"/>
                <w:szCs w:val="24"/>
              </w:rPr>
              <w:t>日至</w:t>
            </w:r>
            <w:r>
              <w:rPr>
                <w:color w:val="000000"/>
                <w:sz w:val="24"/>
                <w:szCs w:val="24"/>
              </w:rPr>
              <w:t>2019</w:t>
            </w:r>
            <w:r>
              <w:rPr>
                <w:color w:val="000000"/>
                <w:sz w:val="24"/>
                <w:szCs w:val="24"/>
              </w:rPr>
              <w:t>年</w:t>
            </w:r>
            <w:r>
              <w:rPr>
                <w:color w:val="000000"/>
                <w:sz w:val="24"/>
                <w:szCs w:val="24"/>
              </w:rPr>
              <w:t>12</w:t>
            </w:r>
            <w:r>
              <w:rPr>
                <w:color w:val="000000"/>
                <w:sz w:val="24"/>
                <w:szCs w:val="24"/>
              </w:rPr>
              <w:t>月</w:t>
            </w:r>
            <w:r>
              <w:rPr>
                <w:color w:val="000000"/>
                <w:sz w:val="24"/>
                <w:szCs w:val="24"/>
              </w:rPr>
              <w:t>13</w:t>
            </w:r>
            <w:r>
              <w:rPr>
                <w:color w:val="000000"/>
                <w:sz w:val="24"/>
                <w:szCs w:val="24"/>
              </w:rPr>
              <w:t>日担任交银施罗德安心收益债券型证券投资基金的基金经理。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523EC" w:rsidRDefault="005D174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523EC" w:rsidRDefault="005D174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523EC" w:rsidRDefault="005D174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523EC" w:rsidRDefault="005D1749">
      <w:pPr>
        <w:spacing w:before="29" w:line="288" w:lineRule="auto"/>
        <w:ind w:firstLineChars="200" w:firstLine="480"/>
        <w:rPr>
          <w:color w:val="000000"/>
          <w:sz w:val="24"/>
          <w:szCs w:val="24"/>
        </w:rPr>
      </w:pPr>
      <w:r>
        <w:rPr>
          <w:color w:val="000000"/>
          <w:sz w:val="24"/>
          <w:szCs w:val="24"/>
        </w:rPr>
        <w:t>本报告期内，三季度债券市场在震荡中逐步下跌。首先，从七月开始，央行在公开市场净回笼资金，叠加</w:t>
      </w:r>
      <w:r>
        <w:rPr>
          <w:color w:val="000000"/>
          <w:sz w:val="24"/>
          <w:szCs w:val="24"/>
        </w:rPr>
        <w:t>MLF</w:t>
      </w:r>
      <w:r>
        <w:rPr>
          <w:color w:val="000000"/>
          <w:sz w:val="24"/>
          <w:szCs w:val="24"/>
        </w:rPr>
        <w:t>大量到期、企业集中缴税等因素，银行间流动性出现持续收紧状态，资金利率中枢边际抬升，进入八月央行开展</w:t>
      </w:r>
      <w:r>
        <w:rPr>
          <w:color w:val="000000"/>
          <w:sz w:val="24"/>
          <w:szCs w:val="24"/>
        </w:rPr>
        <w:t>14</w:t>
      </w:r>
      <w:r>
        <w:rPr>
          <w:color w:val="000000"/>
          <w:sz w:val="24"/>
          <w:szCs w:val="24"/>
        </w:rPr>
        <w:t>天逆回购操作，引导</w:t>
      </w:r>
      <w:r>
        <w:rPr>
          <w:color w:val="000000"/>
          <w:sz w:val="24"/>
          <w:szCs w:val="24"/>
        </w:rPr>
        <w:t>DR007</w:t>
      </w:r>
      <w:r>
        <w:rPr>
          <w:color w:val="000000"/>
          <w:sz w:val="24"/>
          <w:szCs w:val="24"/>
        </w:rPr>
        <w:t>向</w:t>
      </w:r>
      <w:r>
        <w:rPr>
          <w:color w:val="000000"/>
          <w:sz w:val="24"/>
          <w:szCs w:val="24"/>
        </w:rPr>
        <w:t>2.2%</w:t>
      </w:r>
      <w:r>
        <w:rPr>
          <w:color w:val="000000"/>
          <w:sz w:val="24"/>
          <w:szCs w:val="24"/>
        </w:rPr>
        <w:t>收敛。其次，利率债供给方面，七月到九月供给压力不减，政府债券净融资量维持在高位。同时，三季度经济基本面呈现出平稳恢复的态势，出口改善带动了制造业投资修复，工业生产平稳运行，经济增长的支撑力较为充足。在以上因素的综合影响下，三季度债券市场在震荡中收益率大幅向上调整，同时收益率曲线呈现出平坦化的趋势。权益市场三季度先是经历了一波快速上涨拉升行情，但从七月中旬之后，转为震荡下跌，伴随着前期表现较好的科技、医药以及食品饮料等行业相继出现大幅的回调。</w:t>
      </w:r>
    </w:p>
    <w:p w:rsidR="009523EC" w:rsidRDefault="005D1749">
      <w:pPr>
        <w:spacing w:before="29" w:line="288" w:lineRule="auto"/>
        <w:ind w:firstLineChars="200" w:firstLine="480"/>
        <w:rPr>
          <w:color w:val="000000"/>
          <w:sz w:val="24"/>
          <w:szCs w:val="24"/>
        </w:rPr>
      </w:pPr>
      <w:r>
        <w:rPr>
          <w:color w:val="000000"/>
          <w:sz w:val="24"/>
          <w:szCs w:val="24"/>
        </w:rPr>
        <w:t>报告期内，我们的债券资产维持短久期低仓位配置。权益资产方面，七月中旬之前保持了中高仓位的配置。七月中旬之后科技、医药等行业的相继回调给组合净值带来了一定的回撤，我们相应地把仓位降低到了中性仓位附近，以控制组合回撤，并在配置的行业上做了一定的切换。</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四季度，一方面随着企业库存回升和通胀预期抬升，国内经济或从复苏期进入扩张期，宏观环境对权益类资产可能相对有利；另一方面预期四季度利率债的供给压力将明显减弱，叠加美国大选临近中美摩擦可能升级，海外疫情或不断反复，情绪方面可能对避险资产偏利好。组合策略方面，我们将保持债券资产相对偏低的杠杆和久期，并积极关注长端利率的波段交易机会；权益资产方面，等待优质资产过高的估值修复过程，并在控制组合回撤的前提下，积极把握权益类资产可能带来的增厚组合收益的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2,670,981.18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2,670,981.18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53,995,487.64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90.16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53,995,487.64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90.16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0.67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2,105,087.20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3.52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715,785.52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59,887,341.54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2,211,045.18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292,320.00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167,616.00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2,670,981.18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523EC">
        <w:trPr>
          <w:jc w:val="center"/>
        </w:trPr>
        <w:tc>
          <w:tcPr>
            <w:tcW w:w="855" w:type="dxa"/>
            <w:vAlign w:val="center"/>
          </w:tcPr>
          <w:p w:rsidR="009523EC" w:rsidRDefault="005D1749">
            <w:pPr>
              <w:jc w:val="center"/>
            </w:pPr>
            <w:r>
              <w:rPr>
                <w:color w:val="000000"/>
                <w:sz w:val="24"/>
                <w:szCs w:val="24"/>
              </w:rPr>
              <w:t>1</w:t>
            </w:r>
          </w:p>
        </w:tc>
        <w:tc>
          <w:tcPr>
            <w:tcW w:w="1334" w:type="dxa"/>
            <w:vAlign w:val="center"/>
          </w:tcPr>
          <w:p w:rsidR="009523EC" w:rsidRDefault="005D1749">
            <w:pPr>
              <w:jc w:val="center"/>
            </w:pPr>
            <w:r>
              <w:rPr>
                <w:color w:val="000000"/>
                <w:sz w:val="24"/>
                <w:szCs w:val="24"/>
              </w:rPr>
              <w:t>300587</w:t>
            </w:r>
          </w:p>
        </w:tc>
        <w:tc>
          <w:tcPr>
            <w:tcW w:w="1777" w:type="dxa"/>
            <w:vAlign w:val="center"/>
          </w:tcPr>
          <w:p w:rsidR="009523EC" w:rsidRDefault="005D1749">
            <w:pPr>
              <w:jc w:val="center"/>
            </w:pPr>
            <w:r>
              <w:rPr>
                <w:color w:val="000000"/>
                <w:sz w:val="24"/>
                <w:szCs w:val="24"/>
              </w:rPr>
              <w:t>天铁股份</w:t>
            </w:r>
          </w:p>
        </w:tc>
        <w:tc>
          <w:tcPr>
            <w:tcW w:w="1334" w:type="dxa"/>
            <w:vAlign w:val="center"/>
          </w:tcPr>
          <w:p w:rsidR="009523EC" w:rsidRDefault="005D1749">
            <w:pPr>
              <w:jc w:val="right"/>
            </w:pPr>
            <w:r>
              <w:rPr>
                <w:color w:val="000000"/>
                <w:sz w:val="24"/>
                <w:szCs w:val="24"/>
              </w:rPr>
              <w:t>79,051</w:t>
            </w:r>
          </w:p>
        </w:tc>
        <w:tc>
          <w:tcPr>
            <w:tcW w:w="1924" w:type="dxa"/>
            <w:vAlign w:val="center"/>
          </w:tcPr>
          <w:p w:rsidR="009523EC" w:rsidRDefault="005D1749">
            <w:pPr>
              <w:jc w:val="right"/>
            </w:pPr>
            <w:r>
              <w:rPr>
                <w:color w:val="000000"/>
                <w:sz w:val="24"/>
                <w:szCs w:val="24"/>
              </w:rPr>
              <w:t>1,247,424.78</w:t>
            </w:r>
          </w:p>
        </w:tc>
        <w:tc>
          <w:tcPr>
            <w:tcW w:w="1644" w:type="dxa"/>
            <w:vAlign w:val="center"/>
          </w:tcPr>
          <w:p w:rsidR="009523EC" w:rsidRDefault="005D1749">
            <w:pPr>
              <w:jc w:val="right"/>
            </w:pPr>
            <w:r>
              <w:rPr>
                <w:color w:val="000000"/>
                <w:sz w:val="24"/>
                <w:szCs w:val="24"/>
              </w:rPr>
              <w:t>2.10</w:t>
            </w:r>
          </w:p>
        </w:tc>
      </w:tr>
      <w:tr w:rsidR="009523EC">
        <w:trPr>
          <w:jc w:val="center"/>
        </w:trPr>
        <w:tc>
          <w:tcPr>
            <w:tcW w:w="855" w:type="dxa"/>
            <w:vAlign w:val="center"/>
          </w:tcPr>
          <w:p w:rsidR="009523EC" w:rsidRDefault="005D1749">
            <w:pPr>
              <w:jc w:val="center"/>
            </w:pPr>
            <w:r>
              <w:rPr>
                <w:color w:val="000000"/>
                <w:sz w:val="24"/>
                <w:szCs w:val="24"/>
              </w:rPr>
              <w:t>2</w:t>
            </w:r>
          </w:p>
        </w:tc>
        <w:tc>
          <w:tcPr>
            <w:tcW w:w="1334" w:type="dxa"/>
            <w:vAlign w:val="center"/>
          </w:tcPr>
          <w:p w:rsidR="009523EC" w:rsidRDefault="005D1749">
            <w:pPr>
              <w:jc w:val="center"/>
            </w:pPr>
            <w:r>
              <w:rPr>
                <w:color w:val="000000"/>
                <w:sz w:val="24"/>
                <w:szCs w:val="24"/>
              </w:rPr>
              <w:t>688169</w:t>
            </w:r>
          </w:p>
        </w:tc>
        <w:tc>
          <w:tcPr>
            <w:tcW w:w="1777" w:type="dxa"/>
            <w:vAlign w:val="center"/>
          </w:tcPr>
          <w:p w:rsidR="009523EC" w:rsidRDefault="005D1749">
            <w:pPr>
              <w:jc w:val="center"/>
            </w:pPr>
            <w:r>
              <w:rPr>
                <w:color w:val="000000"/>
                <w:sz w:val="24"/>
                <w:szCs w:val="24"/>
              </w:rPr>
              <w:t>石头科技</w:t>
            </w:r>
          </w:p>
        </w:tc>
        <w:tc>
          <w:tcPr>
            <w:tcW w:w="1334" w:type="dxa"/>
            <w:vAlign w:val="center"/>
          </w:tcPr>
          <w:p w:rsidR="009523EC" w:rsidRDefault="005D1749">
            <w:pPr>
              <w:jc w:val="right"/>
            </w:pPr>
            <w:r>
              <w:rPr>
                <w:color w:val="000000"/>
                <w:sz w:val="24"/>
                <w:szCs w:val="24"/>
              </w:rPr>
              <w:t>576</w:t>
            </w:r>
          </w:p>
        </w:tc>
        <w:tc>
          <w:tcPr>
            <w:tcW w:w="1924" w:type="dxa"/>
            <w:vAlign w:val="center"/>
          </w:tcPr>
          <w:p w:rsidR="009523EC" w:rsidRDefault="005D1749">
            <w:pPr>
              <w:jc w:val="right"/>
            </w:pPr>
            <w:r>
              <w:rPr>
                <w:color w:val="000000"/>
                <w:sz w:val="24"/>
                <w:szCs w:val="24"/>
              </w:rPr>
              <w:t>345,254.40</w:t>
            </w:r>
          </w:p>
        </w:tc>
        <w:tc>
          <w:tcPr>
            <w:tcW w:w="1644" w:type="dxa"/>
            <w:vAlign w:val="center"/>
          </w:tcPr>
          <w:p w:rsidR="009523EC" w:rsidRDefault="005D1749">
            <w:pPr>
              <w:jc w:val="right"/>
            </w:pPr>
            <w:r>
              <w:rPr>
                <w:color w:val="000000"/>
                <w:sz w:val="24"/>
                <w:szCs w:val="24"/>
              </w:rPr>
              <w:t>0.58</w:t>
            </w:r>
          </w:p>
        </w:tc>
      </w:tr>
      <w:tr w:rsidR="009523EC">
        <w:trPr>
          <w:jc w:val="center"/>
        </w:trPr>
        <w:tc>
          <w:tcPr>
            <w:tcW w:w="855" w:type="dxa"/>
            <w:vAlign w:val="center"/>
          </w:tcPr>
          <w:p w:rsidR="009523EC" w:rsidRDefault="005D1749">
            <w:pPr>
              <w:jc w:val="center"/>
            </w:pPr>
            <w:r>
              <w:rPr>
                <w:color w:val="000000"/>
                <w:sz w:val="24"/>
                <w:szCs w:val="24"/>
              </w:rPr>
              <w:t>3</w:t>
            </w:r>
          </w:p>
        </w:tc>
        <w:tc>
          <w:tcPr>
            <w:tcW w:w="1334" w:type="dxa"/>
            <w:vAlign w:val="center"/>
          </w:tcPr>
          <w:p w:rsidR="009523EC" w:rsidRDefault="005D1749">
            <w:pPr>
              <w:jc w:val="center"/>
            </w:pPr>
            <w:r>
              <w:rPr>
                <w:color w:val="000000"/>
                <w:sz w:val="24"/>
                <w:szCs w:val="24"/>
              </w:rPr>
              <w:t>300124</w:t>
            </w:r>
          </w:p>
        </w:tc>
        <w:tc>
          <w:tcPr>
            <w:tcW w:w="1777" w:type="dxa"/>
            <w:vAlign w:val="center"/>
          </w:tcPr>
          <w:p w:rsidR="009523EC" w:rsidRDefault="005D1749">
            <w:pPr>
              <w:jc w:val="center"/>
            </w:pPr>
            <w:r>
              <w:rPr>
                <w:color w:val="000000"/>
                <w:sz w:val="24"/>
                <w:szCs w:val="24"/>
              </w:rPr>
              <w:t>汇川技术</w:t>
            </w:r>
          </w:p>
        </w:tc>
        <w:tc>
          <w:tcPr>
            <w:tcW w:w="1334" w:type="dxa"/>
            <w:vAlign w:val="center"/>
          </w:tcPr>
          <w:p w:rsidR="009523EC" w:rsidRDefault="005D1749">
            <w:pPr>
              <w:jc w:val="right"/>
            </w:pPr>
            <w:r>
              <w:rPr>
                <w:color w:val="000000"/>
                <w:sz w:val="24"/>
                <w:szCs w:val="24"/>
              </w:rPr>
              <w:t>5,400</w:t>
            </w:r>
          </w:p>
        </w:tc>
        <w:tc>
          <w:tcPr>
            <w:tcW w:w="1924" w:type="dxa"/>
            <w:vAlign w:val="center"/>
          </w:tcPr>
          <w:p w:rsidR="009523EC" w:rsidRDefault="005D1749">
            <w:pPr>
              <w:jc w:val="right"/>
            </w:pPr>
            <w:r>
              <w:rPr>
                <w:color w:val="000000"/>
                <w:sz w:val="24"/>
                <w:szCs w:val="24"/>
              </w:rPr>
              <w:t>312,660.00</w:t>
            </w:r>
          </w:p>
        </w:tc>
        <w:tc>
          <w:tcPr>
            <w:tcW w:w="1644" w:type="dxa"/>
            <w:vAlign w:val="center"/>
          </w:tcPr>
          <w:p w:rsidR="009523EC" w:rsidRDefault="005D1749">
            <w:pPr>
              <w:jc w:val="right"/>
            </w:pPr>
            <w:r>
              <w:rPr>
                <w:color w:val="000000"/>
                <w:sz w:val="24"/>
                <w:szCs w:val="24"/>
              </w:rPr>
              <w:t>0.53</w:t>
            </w:r>
          </w:p>
        </w:tc>
      </w:tr>
      <w:tr w:rsidR="009523EC">
        <w:trPr>
          <w:jc w:val="center"/>
        </w:trPr>
        <w:tc>
          <w:tcPr>
            <w:tcW w:w="855" w:type="dxa"/>
            <w:vAlign w:val="center"/>
          </w:tcPr>
          <w:p w:rsidR="009523EC" w:rsidRDefault="005D1749">
            <w:pPr>
              <w:jc w:val="center"/>
            </w:pPr>
            <w:r>
              <w:rPr>
                <w:color w:val="000000"/>
                <w:sz w:val="24"/>
                <w:szCs w:val="24"/>
              </w:rPr>
              <w:t>4</w:t>
            </w:r>
          </w:p>
        </w:tc>
        <w:tc>
          <w:tcPr>
            <w:tcW w:w="1334" w:type="dxa"/>
            <w:vAlign w:val="center"/>
          </w:tcPr>
          <w:p w:rsidR="009523EC" w:rsidRDefault="005D1749">
            <w:pPr>
              <w:jc w:val="center"/>
            </w:pPr>
            <w:r>
              <w:rPr>
                <w:color w:val="000000"/>
                <w:sz w:val="24"/>
                <w:szCs w:val="24"/>
              </w:rPr>
              <w:t>002430</w:t>
            </w:r>
          </w:p>
        </w:tc>
        <w:tc>
          <w:tcPr>
            <w:tcW w:w="1777" w:type="dxa"/>
            <w:vAlign w:val="center"/>
          </w:tcPr>
          <w:p w:rsidR="009523EC" w:rsidRDefault="005D1749">
            <w:pPr>
              <w:jc w:val="center"/>
            </w:pPr>
            <w:r>
              <w:rPr>
                <w:color w:val="000000"/>
                <w:sz w:val="24"/>
                <w:szCs w:val="24"/>
              </w:rPr>
              <w:t>杭氧股份</w:t>
            </w:r>
          </w:p>
        </w:tc>
        <w:tc>
          <w:tcPr>
            <w:tcW w:w="1334" w:type="dxa"/>
            <w:vAlign w:val="center"/>
          </w:tcPr>
          <w:p w:rsidR="009523EC" w:rsidRDefault="005D1749">
            <w:pPr>
              <w:jc w:val="right"/>
            </w:pPr>
            <w:r>
              <w:rPr>
                <w:color w:val="000000"/>
                <w:sz w:val="24"/>
                <w:szCs w:val="24"/>
              </w:rPr>
              <w:t>13,400</w:t>
            </w:r>
          </w:p>
        </w:tc>
        <w:tc>
          <w:tcPr>
            <w:tcW w:w="1924" w:type="dxa"/>
            <w:vAlign w:val="center"/>
          </w:tcPr>
          <w:p w:rsidR="009523EC" w:rsidRDefault="005D1749">
            <w:pPr>
              <w:jc w:val="right"/>
            </w:pPr>
            <w:r>
              <w:rPr>
                <w:color w:val="000000"/>
                <w:sz w:val="24"/>
                <w:szCs w:val="24"/>
              </w:rPr>
              <w:t>301,366.00</w:t>
            </w:r>
          </w:p>
        </w:tc>
        <w:tc>
          <w:tcPr>
            <w:tcW w:w="1644" w:type="dxa"/>
            <w:vAlign w:val="center"/>
          </w:tcPr>
          <w:p w:rsidR="009523EC" w:rsidRDefault="005D1749">
            <w:pPr>
              <w:jc w:val="right"/>
            </w:pPr>
            <w:r>
              <w:rPr>
                <w:color w:val="000000"/>
                <w:sz w:val="24"/>
                <w:szCs w:val="24"/>
              </w:rPr>
              <w:t>0.51</w:t>
            </w:r>
          </w:p>
        </w:tc>
      </w:tr>
      <w:tr w:rsidR="009523EC">
        <w:trPr>
          <w:jc w:val="center"/>
        </w:trPr>
        <w:tc>
          <w:tcPr>
            <w:tcW w:w="855" w:type="dxa"/>
            <w:vAlign w:val="center"/>
          </w:tcPr>
          <w:p w:rsidR="009523EC" w:rsidRDefault="005D1749">
            <w:pPr>
              <w:jc w:val="center"/>
            </w:pPr>
            <w:r>
              <w:rPr>
                <w:color w:val="000000"/>
                <w:sz w:val="24"/>
                <w:szCs w:val="24"/>
              </w:rPr>
              <w:t>5</w:t>
            </w:r>
          </w:p>
        </w:tc>
        <w:tc>
          <w:tcPr>
            <w:tcW w:w="1334" w:type="dxa"/>
            <w:vAlign w:val="center"/>
          </w:tcPr>
          <w:p w:rsidR="009523EC" w:rsidRDefault="005D1749">
            <w:pPr>
              <w:jc w:val="center"/>
            </w:pPr>
            <w:r>
              <w:rPr>
                <w:color w:val="000000"/>
                <w:sz w:val="24"/>
                <w:szCs w:val="24"/>
              </w:rPr>
              <w:t>002352</w:t>
            </w:r>
          </w:p>
        </w:tc>
        <w:tc>
          <w:tcPr>
            <w:tcW w:w="1777" w:type="dxa"/>
            <w:vAlign w:val="center"/>
          </w:tcPr>
          <w:p w:rsidR="009523EC" w:rsidRDefault="005D1749">
            <w:pPr>
              <w:jc w:val="center"/>
            </w:pPr>
            <w:r>
              <w:rPr>
                <w:color w:val="000000"/>
                <w:sz w:val="24"/>
                <w:szCs w:val="24"/>
              </w:rPr>
              <w:t>顺丰控股</w:t>
            </w:r>
          </w:p>
        </w:tc>
        <w:tc>
          <w:tcPr>
            <w:tcW w:w="1334" w:type="dxa"/>
            <w:vAlign w:val="center"/>
          </w:tcPr>
          <w:p w:rsidR="009523EC" w:rsidRDefault="005D1749">
            <w:pPr>
              <w:jc w:val="right"/>
            </w:pPr>
            <w:r>
              <w:rPr>
                <w:color w:val="000000"/>
                <w:sz w:val="24"/>
                <w:szCs w:val="24"/>
              </w:rPr>
              <w:t>3,600</w:t>
            </w:r>
          </w:p>
        </w:tc>
        <w:tc>
          <w:tcPr>
            <w:tcW w:w="1924" w:type="dxa"/>
            <w:vAlign w:val="center"/>
          </w:tcPr>
          <w:p w:rsidR="009523EC" w:rsidRDefault="005D1749">
            <w:pPr>
              <w:jc w:val="right"/>
            </w:pPr>
            <w:r>
              <w:rPr>
                <w:color w:val="000000"/>
                <w:sz w:val="24"/>
                <w:szCs w:val="24"/>
              </w:rPr>
              <w:t>292,320.00</w:t>
            </w:r>
          </w:p>
        </w:tc>
        <w:tc>
          <w:tcPr>
            <w:tcW w:w="1644" w:type="dxa"/>
            <w:vAlign w:val="center"/>
          </w:tcPr>
          <w:p w:rsidR="009523EC" w:rsidRDefault="005D1749">
            <w:pPr>
              <w:jc w:val="right"/>
            </w:pPr>
            <w:r>
              <w:rPr>
                <w:color w:val="000000"/>
                <w:sz w:val="24"/>
                <w:szCs w:val="24"/>
              </w:rPr>
              <w:t>0.49</w:t>
            </w:r>
          </w:p>
        </w:tc>
      </w:tr>
      <w:tr w:rsidR="009523EC">
        <w:trPr>
          <w:jc w:val="center"/>
        </w:trPr>
        <w:tc>
          <w:tcPr>
            <w:tcW w:w="855" w:type="dxa"/>
            <w:vAlign w:val="center"/>
          </w:tcPr>
          <w:p w:rsidR="009523EC" w:rsidRDefault="005D1749">
            <w:pPr>
              <w:jc w:val="center"/>
            </w:pPr>
            <w:r>
              <w:rPr>
                <w:color w:val="000000"/>
                <w:sz w:val="24"/>
                <w:szCs w:val="24"/>
              </w:rPr>
              <w:t>6</w:t>
            </w:r>
          </w:p>
        </w:tc>
        <w:tc>
          <w:tcPr>
            <w:tcW w:w="1334" w:type="dxa"/>
            <w:vAlign w:val="center"/>
          </w:tcPr>
          <w:p w:rsidR="009523EC" w:rsidRDefault="005D1749">
            <w:pPr>
              <w:jc w:val="center"/>
            </w:pPr>
            <w:r>
              <w:rPr>
                <w:color w:val="000000"/>
                <w:sz w:val="24"/>
                <w:szCs w:val="24"/>
              </w:rPr>
              <w:t>601336</w:t>
            </w:r>
          </w:p>
        </w:tc>
        <w:tc>
          <w:tcPr>
            <w:tcW w:w="1777" w:type="dxa"/>
            <w:vAlign w:val="center"/>
          </w:tcPr>
          <w:p w:rsidR="009523EC" w:rsidRDefault="005D1749">
            <w:pPr>
              <w:jc w:val="center"/>
            </w:pPr>
            <w:r>
              <w:rPr>
                <w:color w:val="000000"/>
                <w:sz w:val="24"/>
                <w:szCs w:val="24"/>
              </w:rPr>
              <w:t>新华保险</w:t>
            </w:r>
          </w:p>
        </w:tc>
        <w:tc>
          <w:tcPr>
            <w:tcW w:w="1334" w:type="dxa"/>
            <w:vAlign w:val="center"/>
          </w:tcPr>
          <w:p w:rsidR="009523EC" w:rsidRDefault="005D1749">
            <w:pPr>
              <w:jc w:val="right"/>
            </w:pPr>
            <w:r>
              <w:rPr>
                <w:color w:val="000000"/>
                <w:sz w:val="24"/>
                <w:szCs w:val="24"/>
              </w:rPr>
              <w:t>2,700</w:t>
            </w:r>
          </w:p>
        </w:tc>
        <w:tc>
          <w:tcPr>
            <w:tcW w:w="1924" w:type="dxa"/>
            <w:vAlign w:val="center"/>
          </w:tcPr>
          <w:p w:rsidR="009523EC" w:rsidRDefault="005D1749">
            <w:pPr>
              <w:jc w:val="right"/>
            </w:pPr>
            <w:r>
              <w:rPr>
                <w:color w:val="000000"/>
                <w:sz w:val="24"/>
                <w:szCs w:val="24"/>
              </w:rPr>
              <w:t>167,616.00</w:t>
            </w:r>
          </w:p>
        </w:tc>
        <w:tc>
          <w:tcPr>
            <w:tcW w:w="1644" w:type="dxa"/>
            <w:vAlign w:val="center"/>
          </w:tcPr>
          <w:p w:rsidR="009523EC" w:rsidRDefault="005D1749">
            <w:pPr>
              <w:jc w:val="right"/>
            </w:pPr>
            <w:r>
              <w:rPr>
                <w:color w:val="000000"/>
                <w:sz w:val="24"/>
                <w:szCs w:val="24"/>
              </w:rPr>
              <w:t>0.28</w:t>
            </w:r>
          </w:p>
        </w:tc>
      </w:tr>
      <w:tr w:rsidR="009523EC">
        <w:trPr>
          <w:jc w:val="center"/>
        </w:trPr>
        <w:tc>
          <w:tcPr>
            <w:tcW w:w="855" w:type="dxa"/>
            <w:vAlign w:val="center"/>
          </w:tcPr>
          <w:p w:rsidR="009523EC" w:rsidRDefault="005D1749">
            <w:pPr>
              <w:jc w:val="center"/>
            </w:pPr>
            <w:r>
              <w:rPr>
                <w:color w:val="000000"/>
                <w:sz w:val="24"/>
                <w:szCs w:val="24"/>
              </w:rPr>
              <w:t>7</w:t>
            </w:r>
          </w:p>
        </w:tc>
        <w:tc>
          <w:tcPr>
            <w:tcW w:w="1334" w:type="dxa"/>
            <w:vAlign w:val="center"/>
          </w:tcPr>
          <w:p w:rsidR="009523EC" w:rsidRDefault="005D1749">
            <w:pPr>
              <w:jc w:val="center"/>
            </w:pPr>
            <w:r>
              <w:rPr>
                <w:color w:val="000000"/>
                <w:sz w:val="24"/>
                <w:szCs w:val="24"/>
              </w:rPr>
              <w:t>603308</w:t>
            </w:r>
          </w:p>
        </w:tc>
        <w:tc>
          <w:tcPr>
            <w:tcW w:w="1777" w:type="dxa"/>
            <w:vAlign w:val="center"/>
          </w:tcPr>
          <w:p w:rsidR="009523EC" w:rsidRDefault="005D1749">
            <w:pPr>
              <w:jc w:val="center"/>
            </w:pPr>
            <w:r>
              <w:rPr>
                <w:color w:val="000000"/>
                <w:sz w:val="24"/>
                <w:szCs w:val="24"/>
              </w:rPr>
              <w:t>应流股份</w:t>
            </w:r>
          </w:p>
        </w:tc>
        <w:tc>
          <w:tcPr>
            <w:tcW w:w="1334" w:type="dxa"/>
            <w:vAlign w:val="center"/>
          </w:tcPr>
          <w:p w:rsidR="009523EC" w:rsidRDefault="005D1749">
            <w:pPr>
              <w:jc w:val="right"/>
            </w:pPr>
            <w:r>
              <w:rPr>
                <w:color w:val="000000"/>
                <w:sz w:val="24"/>
                <w:szCs w:val="24"/>
              </w:rPr>
              <w:t>100</w:t>
            </w:r>
          </w:p>
        </w:tc>
        <w:tc>
          <w:tcPr>
            <w:tcW w:w="1924" w:type="dxa"/>
            <w:vAlign w:val="center"/>
          </w:tcPr>
          <w:p w:rsidR="009523EC" w:rsidRDefault="005D1749">
            <w:pPr>
              <w:jc w:val="right"/>
            </w:pPr>
            <w:r>
              <w:rPr>
                <w:color w:val="000000"/>
                <w:sz w:val="24"/>
                <w:szCs w:val="24"/>
              </w:rPr>
              <w:t>2,815.00</w:t>
            </w:r>
          </w:p>
        </w:tc>
        <w:tc>
          <w:tcPr>
            <w:tcW w:w="1644" w:type="dxa"/>
            <w:vAlign w:val="center"/>
          </w:tcPr>
          <w:p w:rsidR="009523EC" w:rsidRDefault="005D1749">
            <w:pPr>
              <w:jc w:val="right"/>
            </w:pPr>
            <w:r>
              <w:rPr>
                <w:color w:val="000000"/>
                <w:sz w:val="24"/>
                <w:szCs w:val="24"/>
              </w:rPr>
              <w:t>0.00</w:t>
            </w:r>
          </w:p>
        </w:tc>
      </w:tr>
      <w:tr w:rsidR="009523EC">
        <w:trPr>
          <w:jc w:val="center"/>
        </w:trPr>
        <w:tc>
          <w:tcPr>
            <w:tcW w:w="855" w:type="dxa"/>
            <w:vAlign w:val="center"/>
          </w:tcPr>
          <w:p w:rsidR="009523EC" w:rsidRDefault="005D1749">
            <w:pPr>
              <w:jc w:val="center"/>
            </w:pPr>
            <w:r>
              <w:rPr>
                <w:color w:val="000000"/>
                <w:sz w:val="24"/>
                <w:szCs w:val="24"/>
              </w:rPr>
              <w:t>8</w:t>
            </w:r>
          </w:p>
        </w:tc>
        <w:tc>
          <w:tcPr>
            <w:tcW w:w="1334" w:type="dxa"/>
            <w:vAlign w:val="center"/>
          </w:tcPr>
          <w:p w:rsidR="009523EC" w:rsidRDefault="005D1749">
            <w:pPr>
              <w:jc w:val="center"/>
            </w:pPr>
            <w:r>
              <w:rPr>
                <w:color w:val="000000"/>
                <w:sz w:val="24"/>
                <w:szCs w:val="24"/>
              </w:rPr>
              <w:t>601717</w:t>
            </w:r>
          </w:p>
        </w:tc>
        <w:tc>
          <w:tcPr>
            <w:tcW w:w="1777" w:type="dxa"/>
            <w:vAlign w:val="center"/>
          </w:tcPr>
          <w:p w:rsidR="009523EC" w:rsidRDefault="005D1749">
            <w:pPr>
              <w:jc w:val="center"/>
            </w:pPr>
            <w:r>
              <w:rPr>
                <w:color w:val="000000"/>
                <w:sz w:val="24"/>
                <w:szCs w:val="24"/>
              </w:rPr>
              <w:t>郑煤机</w:t>
            </w:r>
          </w:p>
        </w:tc>
        <w:tc>
          <w:tcPr>
            <w:tcW w:w="1334" w:type="dxa"/>
            <w:vAlign w:val="center"/>
          </w:tcPr>
          <w:p w:rsidR="009523EC" w:rsidRDefault="005D1749">
            <w:pPr>
              <w:jc w:val="right"/>
            </w:pPr>
            <w:r>
              <w:rPr>
                <w:color w:val="000000"/>
                <w:sz w:val="24"/>
                <w:szCs w:val="24"/>
              </w:rPr>
              <w:t>100</w:t>
            </w:r>
          </w:p>
        </w:tc>
        <w:tc>
          <w:tcPr>
            <w:tcW w:w="1924" w:type="dxa"/>
            <w:vAlign w:val="center"/>
          </w:tcPr>
          <w:p w:rsidR="009523EC" w:rsidRDefault="005D1749">
            <w:pPr>
              <w:jc w:val="right"/>
            </w:pPr>
            <w:r>
              <w:rPr>
                <w:color w:val="000000"/>
                <w:sz w:val="24"/>
                <w:szCs w:val="24"/>
              </w:rPr>
              <w:t>937.00</w:t>
            </w:r>
          </w:p>
        </w:tc>
        <w:tc>
          <w:tcPr>
            <w:tcW w:w="1644" w:type="dxa"/>
            <w:vAlign w:val="center"/>
          </w:tcPr>
          <w:p w:rsidR="009523EC" w:rsidRDefault="005D1749">
            <w:pPr>
              <w:jc w:val="right"/>
            </w:pPr>
            <w:r>
              <w:rPr>
                <w:color w:val="000000"/>
                <w:sz w:val="24"/>
                <w:szCs w:val="24"/>
              </w:rPr>
              <w:t>0.00</w:t>
            </w:r>
          </w:p>
        </w:tc>
      </w:tr>
      <w:tr w:rsidR="009523EC">
        <w:trPr>
          <w:jc w:val="center"/>
        </w:trPr>
        <w:tc>
          <w:tcPr>
            <w:tcW w:w="855" w:type="dxa"/>
            <w:vAlign w:val="center"/>
          </w:tcPr>
          <w:p w:rsidR="009523EC" w:rsidRDefault="005D1749">
            <w:pPr>
              <w:jc w:val="center"/>
            </w:pPr>
            <w:r>
              <w:rPr>
                <w:color w:val="000000"/>
                <w:sz w:val="24"/>
                <w:szCs w:val="24"/>
              </w:rPr>
              <w:t>9</w:t>
            </w:r>
          </w:p>
        </w:tc>
        <w:tc>
          <w:tcPr>
            <w:tcW w:w="1334" w:type="dxa"/>
            <w:vAlign w:val="center"/>
          </w:tcPr>
          <w:p w:rsidR="009523EC" w:rsidRDefault="005D1749">
            <w:pPr>
              <w:jc w:val="center"/>
            </w:pPr>
            <w:r>
              <w:rPr>
                <w:color w:val="000000"/>
                <w:sz w:val="24"/>
                <w:szCs w:val="24"/>
              </w:rPr>
              <w:t>002392</w:t>
            </w:r>
          </w:p>
        </w:tc>
        <w:tc>
          <w:tcPr>
            <w:tcW w:w="1777" w:type="dxa"/>
            <w:vAlign w:val="center"/>
          </w:tcPr>
          <w:p w:rsidR="009523EC" w:rsidRDefault="005D1749">
            <w:pPr>
              <w:jc w:val="center"/>
            </w:pPr>
            <w:r>
              <w:rPr>
                <w:color w:val="000000"/>
                <w:sz w:val="24"/>
                <w:szCs w:val="24"/>
              </w:rPr>
              <w:t>北京利尔</w:t>
            </w:r>
          </w:p>
        </w:tc>
        <w:tc>
          <w:tcPr>
            <w:tcW w:w="1334" w:type="dxa"/>
            <w:vAlign w:val="center"/>
          </w:tcPr>
          <w:p w:rsidR="009523EC" w:rsidRDefault="005D1749">
            <w:pPr>
              <w:jc w:val="right"/>
            </w:pPr>
            <w:r>
              <w:rPr>
                <w:color w:val="000000"/>
                <w:sz w:val="24"/>
                <w:szCs w:val="24"/>
              </w:rPr>
              <w:t>100</w:t>
            </w:r>
          </w:p>
        </w:tc>
        <w:tc>
          <w:tcPr>
            <w:tcW w:w="1924" w:type="dxa"/>
            <w:vAlign w:val="center"/>
          </w:tcPr>
          <w:p w:rsidR="009523EC" w:rsidRDefault="005D1749">
            <w:pPr>
              <w:jc w:val="right"/>
            </w:pPr>
            <w:r>
              <w:rPr>
                <w:color w:val="000000"/>
                <w:sz w:val="24"/>
                <w:szCs w:val="24"/>
              </w:rPr>
              <w:t>588.00</w:t>
            </w:r>
          </w:p>
        </w:tc>
        <w:tc>
          <w:tcPr>
            <w:tcW w:w="1644" w:type="dxa"/>
            <w:vAlign w:val="center"/>
          </w:tcPr>
          <w:p w:rsidR="009523EC" w:rsidRDefault="005D1749">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39,421,906.00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66.33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8,294,454.90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13.96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8,294,454.90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13.96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6,279,126.74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10.56</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53,995,487.64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90.85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523EC">
        <w:trPr>
          <w:jc w:val="center"/>
        </w:trPr>
        <w:tc>
          <w:tcPr>
            <w:tcW w:w="850" w:type="dxa"/>
            <w:vAlign w:val="center"/>
          </w:tcPr>
          <w:p w:rsidR="009523EC" w:rsidRDefault="005D1749">
            <w:pPr>
              <w:jc w:val="center"/>
            </w:pPr>
            <w:r>
              <w:rPr>
                <w:color w:val="000000"/>
                <w:sz w:val="24"/>
                <w:szCs w:val="24"/>
              </w:rPr>
              <w:t>1</w:t>
            </w:r>
          </w:p>
        </w:tc>
        <w:tc>
          <w:tcPr>
            <w:tcW w:w="1475" w:type="dxa"/>
            <w:vAlign w:val="center"/>
          </w:tcPr>
          <w:p w:rsidR="009523EC" w:rsidRDefault="005D1749">
            <w:pPr>
              <w:jc w:val="center"/>
            </w:pPr>
            <w:r>
              <w:rPr>
                <w:color w:val="000000"/>
                <w:sz w:val="24"/>
                <w:szCs w:val="24"/>
              </w:rPr>
              <w:t>010107</w:t>
            </w:r>
          </w:p>
        </w:tc>
        <w:tc>
          <w:tcPr>
            <w:tcW w:w="1769" w:type="dxa"/>
            <w:vAlign w:val="center"/>
          </w:tcPr>
          <w:p w:rsidR="009523EC" w:rsidRDefault="005D1749">
            <w:pPr>
              <w:jc w:val="center"/>
            </w:pPr>
            <w:r>
              <w:rPr>
                <w:color w:val="000000"/>
                <w:sz w:val="24"/>
                <w:szCs w:val="24"/>
              </w:rPr>
              <w:t>21</w:t>
            </w:r>
            <w:r>
              <w:rPr>
                <w:color w:val="000000"/>
                <w:sz w:val="24"/>
                <w:szCs w:val="24"/>
              </w:rPr>
              <w:t>国债</w:t>
            </w:r>
            <w:r>
              <w:rPr>
                <w:color w:val="000000"/>
                <w:sz w:val="24"/>
                <w:szCs w:val="24"/>
              </w:rPr>
              <w:t>⑺</w:t>
            </w:r>
          </w:p>
        </w:tc>
        <w:tc>
          <w:tcPr>
            <w:tcW w:w="1387" w:type="dxa"/>
            <w:vAlign w:val="center"/>
          </w:tcPr>
          <w:p w:rsidR="009523EC" w:rsidRDefault="005D1749">
            <w:pPr>
              <w:jc w:val="right"/>
            </w:pPr>
            <w:r>
              <w:rPr>
                <w:color w:val="000000"/>
                <w:sz w:val="24"/>
                <w:szCs w:val="24"/>
              </w:rPr>
              <w:t>225,800</w:t>
            </w:r>
          </w:p>
        </w:tc>
        <w:tc>
          <w:tcPr>
            <w:tcW w:w="2150" w:type="dxa"/>
            <w:vAlign w:val="center"/>
          </w:tcPr>
          <w:p w:rsidR="009523EC" w:rsidRDefault="005D1749">
            <w:pPr>
              <w:jc w:val="right"/>
            </w:pPr>
            <w:r>
              <w:rPr>
                <w:color w:val="000000"/>
                <w:sz w:val="24"/>
                <w:szCs w:val="24"/>
              </w:rPr>
              <w:t>22,968,376.00</w:t>
            </w:r>
          </w:p>
        </w:tc>
        <w:tc>
          <w:tcPr>
            <w:tcW w:w="1237" w:type="dxa"/>
            <w:vAlign w:val="center"/>
          </w:tcPr>
          <w:p w:rsidR="009523EC" w:rsidRDefault="005D1749">
            <w:pPr>
              <w:jc w:val="right"/>
            </w:pPr>
            <w:r>
              <w:rPr>
                <w:color w:val="000000"/>
                <w:sz w:val="24"/>
                <w:szCs w:val="24"/>
              </w:rPr>
              <w:t>38.64</w:t>
            </w:r>
          </w:p>
        </w:tc>
      </w:tr>
      <w:tr w:rsidR="009523EC">
        <w:trPr>
          <w:jc w:val="center"/>
        </w:trPr>
        <w:tc>
          <w:tcPr>
            <w:tcW w:w="850" w:type="dxa"/>
            <w:vAlign w:val="center"/>
          </w:tcPr>
          <w:p w:rsidR="009523EC" w:rsidRDefault="005D1749">
            <w:pPr>
              <w:jc w:val="center"/>
            </w:pPr>
            <w:r>
              <w:rPr>
                <w:color w:val="000000"/>
                <w:sz w:val="24"/>
                <w:szCs w:val="24"/>
              </w:rPr>
              <w:t>2</w:t>
            </w:r>
          </w:p>
        </w:tc>
        <w:tc>
          <w:tcPr>
            <w:tcW w:w="1475" w:type="dxa"/>
            <w:vAlign w:val="center"/>
          </w:tcPr>
          <w:p w:rsidR="009523EC" w:rsidRDefault="005D1749">
            <w:pPr>
              <w:jc w:val="center"/>
            </w:pPr>
            <w:r>
              <w:rPr>
                <w:color w:val="000000"/>
                <w:sz w:val="24"/>
                <w:szCs w:val="24"/>
              </w:rPr>
              <w:t>019627</w:t>
            </w:r>
          </w:p>
        </w:tc>
        <w:tc>
          <w:tcPr>
            <w:tcW w:w="1769" w:type="dxa"/>
            <w:vAlign w:val="center"/>
          </w:tcPr>
          <w:p w:rsidR="009523EC" w:rsidRDefault="005D1749">
            <w:pPr>
              <w:jc w:val="center"/>
            </w:pPr>
            <w:r>
              <w:rPr>
                <w:color w:val="000000"/>
                <w:sz w:val="24"/>
                <w:szCs w:val="24"/>
              </w:rPr>
              <w:t>20</w:t>
            </w:r>
            <w:r>
              <w:rPr>
                <w:color w:val="000000"/>
                <w:sz w:val="24"/>
                <w:szCs w:val="24"/>
              </w:rPr>
              <w:t>国债</w:t>
            </w:r>
            <w:r>
              <w:rPr>
                <w:color w:val="000000"/>
                <w:sz w:val="24"/>
                <w:szCs w:val="24"/>
              </w:rPr>
              <w:t>01</w:t>
            </w:r>
          </w:p>
        </w:tc>
        <w:tc>
          <w:tcPr>
            <w:tcW w:w="1387" w:type="dxa"/>
            <w:vAlign w:val="center"/>
          </w:tcPr>
          <w:p w:rsidR="009523EC" w:rsidRDefault="005D1749">
            <w:pPr>
              <w:jc w:val="right"/>
            </w:pPr>
            <w:r>
              <w:rPr>
                <w:color w:val="000000"/>
                <w:sz w:val="24"/>
                <w:szCs w:val="24"/>
              </w:rPr>
              <w:t>164,700</w:t>
            </w:r>
          </w:p>
        </w:tc>
        <w:tc>
          <w:tcPr>
            <w:tcW w:w="2150" w:type="dxa"/>
            <w:vAlign w:val="center"/>
          </w:tcPr>
          <w:p w:rsidR="009523EC" w:rsidRDefault="005D1749">
            <w:pPr>
              <w:jc w:val="right"/>
            </w:pPr>
            <w:r>
              <w:rPr>
                <w:color w:val="000000"/>
                <w:sz w:val="24"/>
                <w:szCs w:val="24"/>
              </w:rPr>
              <w:t>16,453,530.00</w:t>
            </w:r>
          </w:p>
        </w:tc>
        <w:tc>
          <w:tcPr>
            <w:tcW w:w="1237" w:type="dxa"/>
            <w:vAlign w:val="center"/>
          </w:tcPr>
          <w:p w:rsidR="009523EC" w:rsidRDefault="005D1749">
            <w:pPr>
              <w:jc w:val="right"/>
            </w:pPr>
            <w:r>
              <w:rPr>
                <w:color w:val="000000"/>
                <w:sz w:val="24"/>
                <w:szCs w:val="24"/>
              </w:rPr>
              <w:t>27.68</w:t>
            </w:r>
          </w:p>
        </w:tc>
      </w:tr>
      <w:tr w:rsidR="009523EC">
        <w:trPr>
          <w:jc w:val="center"/>
        </w:trPr>
        <w:tc>
          <w:tcPr>
            <w:tcW w:w="850" w:type="dxa"/>
            <w:vAlign w:val="center"/>
          </w:tcPr>
          <w:p w:rsidR="009523EC" w:rsidRDefault="005D1749">
            <w:pPr>
              <w:jc w:val="center"/>
            </w:pPr>
            <w:r>
              <w:rPr>
                <w:color w:val="000000"/>
                <w:sz w:val="24"/>
                <w:szCs w:val="24"/>
              </w:rPr>
              <w:t>3</w:t>
            </w:r>
          </w:p>
        </w:tc>
        <w:tc>
          <w:tcPr>
            <w:tcW w:w="1475" w:type="dxa"/>
            <w:vAlign w:val="center"/>
          </w:tcPr>
          <w:p w:rsidR="009523EC" w:rsidRDefault="005D1749">
            <w:pPr>
              <w:jc w:val="center"/>
            </w:pPr>
            <w:r>
              <w:rPr>
                <w:color w:val="000000"/>
                <w:sz w:val="24"/>
                <w:szCs w:val="24"/>
              </w:rPr>
              <w:t>018006</w:t>
            </w:r>
          </w:p>
        </w:tc>
        <w:tc>
          <w:tcPr>
            <w:tcW w:w="1769" w:type="dxa"/>
            <w:vAlign w:val="center"/>
          </w:tcPr>
          <w:p w:rsidR="009523EC" w:rsidRDefault="005D1749">
            <w:pPr>
              <w:jc w:val="center"/>
            </w:pPr>
            <w:r>
              <w:rPr>
                <w:color w:val="000000"/>
                <w:sz w:val="24"/>
                <w:szCs w:val="24"/>
              </w:rPr>
              <w:t>国开</w:t>
            </w:r>
            <w:r>
              <w:rPr>
                <w:color w:val="000000"/>
                <w:sz w:val="24"/>
                <w:szCs w:val="24"/>
              </w:rPr>
              <w:t>1702</w:t>
            </w:r>
          </w:p>
        </w:tc>
        <w:tc>
          <w:tcPr>
            <w:tcW w:w="1387" w:type="dxa"/>
            <w:vAlign w:val="center"/>
          </w:tcPr>
          <w:p w:rsidR="009523EC" w:rsidRDefault="005D1749">
            <w:pPr>
              <w:jc w:val="right"/>
            </w:pPr>
            <w:r>
              <w:rPr>
                <w:color w:val="000000"/>
                <w:sz w:val="24"/>
                <w:szCs w:val="24"/>
              </w:rPr>
              <w:t>81,390</w:t>
            </w:r>
          </w:p>
        </w:tc>
        <w:tc>
          <w:tcPr>
            <w:tcW w:w="2150" w:type="dxa"/>
            <w:vAlign w:val="center"/>
          </w:tcPr>
          <w:p w:rsidR="009523EC" w:rsidRDefault="005D1749">
            <w:pPr>
              <w:jc w:val="right"/>
            </w:pPr>
            <w:r>
              <w:rPr>
                <w:color w:val="000000"/>
                <w:sz w:val="24"/>
                <w:szCs w:val="24"/>
              </w:rPr>
              <w:t>8,294,454.90</w:t>
            </w:r>
          </w:p>
        </w:tc>
        <w:tc>
          <w:tcPr>
            <w:tcW w:w="1237" w:type="dxa"/>
            <w:vAlign w:val="center"/>
          </w:tcPr>
          <w:p w:rsidR="009523EC" w:rsidRDefault="005D1749">
            <w:pPr>
              <w:jc w:val="right"/>
            </w:pPr>
            <w:r>
              <w:rPr>
                <w:color w:val="000000"/>
                <w:sz w:val="24"/>
                <w:szCs w:val="24"/>
              </w:rPr>
              <w:t>13.96</w:t>
            </w:r>
          </w:p>
        </w:tc>
      </w:tr>
      <w:tr w:rsidR="009523EC">
        <w:trPr>
          <w:jc w:val="center"/>
        </w:trPr>
        <w:tc>
          <w:tcPr>
            <w:tcW w:w="850" w:type="dxa"/>
            <w:vAlign w:val="center"/>
          </w:tcPr>
          <w:p w:rsidR="009523EC" w:rsidRDefault="005D1749">
            <w:pPr>
              <w:jc w:val="center"/>
            </w:pPr>
            <w:r>
              <w:rPr>
                <w:color w:val="000000"/>
                <w:sz w:val="24"/>
                <w:szCs w:val="24"/>
              </w:rPr>
              <w:t>4</w:t>
            </w:r>
          </w:p>
        </w:tc>
        <w:tc>
          <w:tcPr>
            <w:tcW w:w="1475" w:type="dxa"/>
            <w:vAlign w:val="center"/>
          </w:tcPr>
          <w:p w:rsidR="009523EC" w:rsidRDefault="005D1749">
            <w:pPr>
              <w:jc w:val="center"/>
            </w:pPr>
            <w:r>
              <w:rPr>
                <w:color w:val="000000"/>
                <w:sz w:val="24"/>
                <w:szCs w:val="24"/>
              </w:rPr>
              <w:t>132005</w:t>
            </w:r>
          </w:p>
        </w:tc>
        <w:tc>
          <w:tcPr>
            <w:tcW w:w="1769" w:type="dxa"/>
            <w:vAlign w:val="center"/>
          </w:tcPr>
          <w:p w:rsidR="009523EC" w:rsidRDefault="005D1749">
            <w:pPr>
              <w:jc w:val="center"/>
            </w:pPr>
            <w:r>
              <w:rPr>
                <w:color w:val="000000"/>
                <w:sz w:val="24"/>
                <w:szCs w:val="24"/>
              </w:rPr>
              <w:t>15</w:t>
            </w:r>
            <w:r>
              <w:rPr>
                <w:color w:val="000000"/>
                <w:sz w:val="24"/>
                <w:szCs w:val="24"/>
              </w:rPr>
              <w:t>国资</w:t>
            </w:r>
            <w:r>
              <w:rPr>
                <w:color w:val="000000"/>
                <w:sz w:val="24"/>
                <w:szCs w:val="24"/>
              </w:rPr>
              <w:t>EB</w:t>
            </w:r>
          </w:p>
        </w:tc>
        <w:tc>
          <w:tcPr>
            <w:tcW w:w="1387" w:type="dxa"/>
            <w:vAlign w:val="center"/>
          </w:tcPr>
          <w:p w:rsidR="009523EC" w:rsidRDefault="005D1749">
            <w:pPr>
              <w:jc w:val="right"/>
            </w:pPr>
            <w:r>
              <w:rPr>
                <w:color w:val="000000"/>
                <w:sz w:val="24"/>
                <w:szCs w:val="24"/>
              </w:rPr>
              <w:t>22,740</w:t>
            </w:r>
          </w:p>
        </w:tc>
        <w:tc>
          <w:tcPr>
            <w:tcW w:w="2150" w:type="dxa"/>
            <w:vAlign w:val="center"/>
          </w:tcPr>
          <w:p w:rsidR="009523EC" w:rsidRDefault="005D1749">
            <w:pPr>
              <w:jc w:val="right"/>
            </w:pPr>
            <w:r>
              <w:rPr>
                <w:color w:val="000000"/>
                <w:sz w:val="24"/>
                <w:szCs w:val="24"/>
              </w:rPr>
              <w:t>2,470,701.00</w:t>
            </w:r>
          </w:p>
        </w:tc>
        <w:tc>
          <w:tcPr>
            <w:tcW w:w="1237" w:type="dxa"/>
            <w:vAlign w:val="center"/>
          </w:tcPr>
          <w:p w:rsidR="009523EC" w:rsidRDefault="005D1749">
            <w:pPr>
              <w:jc w:val="right"/>
            </w:pPr>
            <w:r>
              <w:rPr>
                <w:color w:val="000000"/>
                <w:sz w:val="24"/>
                <w:szCs w:val="24"/>
              </w:rPr>
              <w:t>4.16</w:t>
            </w:r>
          </w:p>
        </w:tc>
      </w:tr>
      <w:tr w:rsidR="009523EC">
        <w:trPr>
          <w:jc w:val="center"/>
        </w:trPr>
        <w:tc>
          <w:tcPr>
            <w:tcW w:w="850" w:type="dxa"/>
            <w:vAlign w:val="center"/>
          </w:tcPr>
          <w:p w:rsidR="009523EC" w:rsidRDefault="005D1749">
            <w:pPr>
              <w:jc w:val="center"/>
            </w:pPr>
            <w:r>
              <w:rPr>
                <w:color w:val="000000"/>
                <w:sz w:val="24"/>
                <w:szCs w:val="24"/>
              </w:rPr>
              <w:t>5</w:t>
            </w:r>
          </w:p>
        </w:tc>
        <w:tc>
          <w:tcPr>
            <w:tcW w:w="1475" w:type="dxa"/>
            <w:vAlign w:val="center"/>
          </w:tcPr>
          <w:p w:rsidR="009523EC" w:rsidRDefault="005D1749">
            <w:pPr>
              <w:jc w:val="center"/>
            </w:pPr>
            <w:r>
              <w:rPr>
                <w:color w:val="000000"/>
                <w:sz w:val="24"/>
                <w:szCs w:val="24"/>
              </w:rPr>
              <w:t>113582</w:t>
            </w:r>
          </w:p>
        </w:tc>
        <w:tc>
          <w:tcPr>
            <w:tcW w:w="1769" w:type="dxa"/>
            <w:vAlign w:val="center"/>
          </w:tcPr>
          <w:p w:rsidR="009523EC" w:rsidRDefault="005D1749">
            <w:pPr>
              <w:jc w:val="center"/>
            </w:pPr>
            <w:r>
              <w:rPr>
                <w:color w:val="000000"/>
                <w:sz w:val="24"/>
                <w:szCs w:val="24"/>
              </w:rPr>
              <w:t>火炬转债</w:t>
            </w:r>
          </w:p>
        </w:tc>
        <w:tc>
          <w:tcPr>
            <w:tcW w:w="1387" w:type="dxa"/>
            <w:vAlign w:val="center"/>
          </w:tcPr>
          <w:p w:rsidR="009523EC" w:rsidRDefault="005D1749">
            <w:pPr>
              <w:jc w:val="right"/>
            </w:pPr>
            <w:r>
              <w:rPr>
                <w:color w:val="000000"/>
                <w:sz w:val="24"/>
                <w:szCs w:val="24"/>
              </w:rPr>
              <w:t>3,690</w:t>
            </w:r>
          </w:p>
        </w:tc>
        <w:tc>
          <w:tcPr>
            <w:tcW w:w="2150" w:type="dxa"/>
            <w:vAlign w:val="center"/>
          </w:tcPr>
          <w:p w:rsidR="009523EC" w:rsidRDefault="005D1749">
            <w:pPr>
              <w:jc w:val="right"/>
            </w:pPr>
            <w:r>
              <w:rPr>
                <w:color w:val="000000"/>
                <w:sz w:val="24"/>
                <w:szCs w:val="24"/>
              </w:rPr>
              <w:t>658,074.60</w:t>
            </w:r>
          </w:p>
        </w:tc>
        <w:tc>
          <w:tcPr>
            <w:tcW w:w="1237" w:type="dxa"/>
            <w:vAlign w:val="center"/>
          </w:tcPr>
          <w:p w:rsidR="009523EC" w:rsidRDefault="005D1749">
            <w:pPr>
              <w:jc w:val="right"/>
            </w:pPr>
            <w:r>
              <w:rPr>
                <w:color w:val="000000"/>
                <w:sz w:val="24"/>
                <w:szCs w:val="24"/>
              </w:rPr>
              <w:t>1.11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84,502.98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615,793.45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15,489.09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715,785.52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rsidR="009523EC">
        <w:trPr>
          <w:jc w:val="center"/>
        </w:trPr>
        <w:tc>
          <w:tcPr>
            <w:tcW w:w="1883" w:type="dxa"/>
            <w:vAlign w:val="center"/>
          </w:tcPr>
          <w:p w:rsidR="009523EC" w:rsidRDefault="005D1749">
            <w:pPr>
              <w:jc w:val="center"/>
            </w:pPr>
            <w:r>
              <w:rPr>
                <w:color w:val="000000"/>
                <w:sz w:val="24"/>
                <w:szCs w:val="24"/>
              </w:rPr>
              <w:t>1</w:t>
            </w:r>
          </w:p>
        </w:tc>
        <w:tc>
          <w:tcPr>
            <w:tcW w:w="1801" w:type="dxa"/>
            <w:vAlign w:val="center"/>
          </w:tcPr>
          <w:p w:rsidR="009523EC" w:rsidRDefault="005D1749">
            <w:pPr>
              <w:jc w:val="center"/>
            </w:pPr>
            <w:r>
              <w:rPr>
                <w:color w:val="000000"/>
                <w:sz w:val="24"/>
                <w:szCs w:val="24"/>
              </w:rPr>
              <w:t>110065</w:t>
            </w:r>
          </w:p>
        </w:tc>
        <w:tc>
          <w:tcPr>
            <w:tcW w:w="1727" w:type="dxa"/>
            <w:vAlign w:val="center"/>
          </w:tcPr>
          <w:p w:rsidR="009523EC" w:rsidRDefault="005D1749">
            <w:pPr>
              <w:jc w:val="center"/>
            </w:pPr>
            <w:r>
              <w:rPr>
                <w:color w:val="000000"/>
                <w:sz w:val="24"/>
                <w:szCs w:val="24"/>
              </w:rPr>
              <w:t>淮矿转债</w:t>
            </w:r>
          </w:p>
        </w:tc>
        <w:tc>
          <w:tcPr>
            <w:tcW w:w="1768" w:type="dxa"/>
            <w:vAlign w:val="center"/>
          </w:tcPr>
          <w:p w:rsidR="009523EC" w:rsidRDefault="005D1749">
            <w:pPr>
              <w:jc w:val="right"/>
            </w:pPr>
            <w:r>
              <w:rPr>
                <w:color w:val="000000"/>
                <w:sz w:val="24"/>
                <w:szCs w:val="24"/>
              </w:rPr>
              <w:t>578,976.00</w:t>
            </w:r>
          </w:p>
        </w:tc>
        <w:tc>
          <w:tcPr>
            <w:tcW w:w="1689" w:type="dxa"/>
            <w:vAlign w:val="center"/>
          </w:tcPr>
          <w:p w:rsidR="009523EC" w:rsidRDefault="005D1749">
            <w:pPr>
              <w:jc w:val="right"/>
            </w:pPr>
            <w:r>
              <w:rPr>
                <w:color w:val="000000"/>
                <w:sz w:val="24"/>
                <w:szCs w:val="24"/>
              </w:rPr>
              <w:t>0.97</w:t>
            </w:r>
          </w:p>
        </w:tc>
      </w:tr>
      <w:tr w:rsidR="009523EC">
        <w:trPr>
          <w:jc w:val="center"/>
        </w:trPr>
        <w:tc>
          <w:tcPr>
            <w:tcW w:w="1883" w:type="dxa"/>
            <w:vAlign w:val="center"/>
          </w:tcPr>
          <w:p w:rsidR="009523EC" w:rsidRDefault="005D1749">
            <w:pPr>
              <w:jc w:val="center"/>
            </w:pPr>
            <w:r>
              <w:rPr>
                <w:color w:val="000000"/>
                <w:sz w:val="24"/>
                <w:szCs w:val="24"/>
              </w:rPr>
              <w:t>2</w:t>
            </w:r>
          </w:p>
        </w:tc>
        <w:tc>
          <w:tcPr>
            <w:tcW w:w="1801" w:type="dxa"/>
            <w:vAlign w:val="center"/>
          </w:tcPr>
          <w:p w:rsidR="009523EC" w:rsidRDefault="005D1749">
            <w:pPr>
              <w:jc w:val="center"/>
            </w:pPr>
            <w:r>
              <w:rPr>
                <w:color w:val="000000"/>
                <w:sz w:val="24"/>
                <w:szCs w:val="24"/>
              </w:rPr>
              <w:t>123027</w:t>
            </w:r>
          </w:p>
        </w:tc>
        <w:tc>
          <w:tcPr>
            <w:tcW w:w="1727" w:type="dxa"/>
            <w:vAlign w:val="center"/>
          </w:tcPr>
          <w:p w:rsidR="009523EC" w:rsidRDefault="005D1749">
            <w:pPr>
              <w:jc w:val="center"/>
            </w:pPr>
            <w:r>
              <w:rPr>
                <w:color w:val="000000"/>
                <w:sz w:val="24"/>
                <w:szCs w:val="24"/>
              </w:rPr>
              <w:t>蓝晓转债</w:t>
            </w:r>
          </w:p>
        </w:tc>
        <w:tc>
          <w:tcPr>
            <w:tcW w:w="1768" w:type="dxa"/>
            <w:vAlign w:val="center"/>
          </w:tcPr>
          <w:p w:rsidR="009523EC" w:rsidRDefault="005D1749">
            <w:pPr>
              <w:jc w:val="right"/>
            </w:pPr>
            <w:r>
              <w:rPr>
                <w:color w:val="000000"/>
                <w:sz w:val="24"/>
                <w:szCs w:val="24"/>
              </w:rPr>
              <w:t>564,944.70</w:t>
            </w:r>
          </w:p>
        </w:tc>
        <w:tc>
          <w:tcPr>
            <w:tcW w:w="1689" w:type="dxa"/>
            <w:vAlign w:val="center"/>
          </w:tcPr>
          <w:p w:rsidR="009523EC" w:rsidRDefault="005D1749">
            <w:pPr>
              <w:jc w:val="right"/>
            </w:pPr>
            <w:r>
              <w:rPr>
                <w:color w:val="000000"/>
                <w:sz w:val="24"/>
                <w:szCs w:val="24"/>
              </w:rPr>
              <w:t>0.95</w:t>
            </w:r>
          </w:p>
        </w:tc>
      </w:tr>
      <w:tr w:rsidR="009523EC">
        <w:trPr>
          <w:jc w:val="center"/>
        </w:trPr>
        <w:tc>
          <w:tcPr>
            <w:tcW w:w="1883" w:type="dxa"/>
            <w:vAlign w:val="center"/>
          </w:tcPr>
          <w:p w:rsidR="009523EC" w:rsidRDefault="005D1749">
            <w:pPr>
              <w:jc w:val="center"/>
            </w:pPr>
            <w:r>
              <w:rPr>
                <w:color w:val="000000"/>
                <w:sz w:val="24"/>
                <w:szCs w:val="24"/>
              </w:rPr>
              <w:t>3</w:t>
            </w:r>
          </w:p>
        </w:tc>
        <w:tc>
          <w:tcPr>
            <w:tcW w:w="1801" w:type="dxa"/>
            <w:vAlign w:val="center"/>
          </w:tcPr>
          <w:p w:rsidR="009523EC" w:rsidRDefault="005D1749">
            <w:pPr>
              <w:jc w:val="center"/>
            </w:pPr>
            <w:r>
              <w:rPr>
                <w:color w:val="000000"/>
                <w:sz w:val="24"/>
                <w:szCs w:val="24"/>
              </w:rPr>
              <w:t>113543</w:t>
            </w:r>
          </w:p>
        </w:tc>
        <w:tc>
          <w:tcPr>
            <w:tcW w:w="1727" w:type="dxa"/>
            <w:vAlign w:val="center"/>
          </w:tcPr>
          <w:p w:rsidR="009523EC" w:rsidRDefault="005D1749">
            <w:pPr>
              <w:jc w:val="center"/>
            </w:pPr>
            <w:r>
              <w:rPr>
                <w:color w:val="000000"/>
                <w:sz w:val="24"/>
                <w:szCs w:val="24"/>
              </w:rPr>
              <w:t>欧派转债</w:t>
            </w:r>
          </w:p>
        </w:tc>
        <w:tc>
          <w:tcPr>
            <w:tcW w:w="1768" w:type="dxa"/>
            <w:vAlign w:val="center"/>
          </w:tcPr>
          <w:p w:rsidR="009523EC" w:rsidRDefault="005D1749">
            <w:pPr>
              <w:jc w:val="right"/>
            </w:pPr>
            <w:r>
              <w:rPr>
                <w:color w:val="000000"/>
                <w:sz w:val="24"/>
                <w:szCs w:val="24"/>
              </w:rPr>
              <w:t>476,427.60</w:t>
            </w:r>
          </w:p>
        </w:tc>
        <w:tc>
          <w:tcPr>
            <w:tcW w:w="1689" w:type="dxa"/>
            <w:vAlign w:val="center"/>
          </w:tcPr>
          <w:p w:rsidR="009523EC" w:rsidRDefault="005D1749">
            <w:pPr>
              <w:jc w:val="right"/>
            </w:pPr>
            <w:r>
              <w:rPr>
                <w:color w:val="000000"/>
                <w:sz w:val="24"/>
                <w:szCs w:val="24"/>
              </w:rPr>
              <w:t>0.80</w:t>
            </w:r>
          </w:p>
        </w:tc>
      </w:tr>
      <w:tr w:rsidR="009523EC">
        <w:trPr>
          <w:jc w:val="center"/>
        </w:trPr>
        <w:tc>
          <w:tcPr>
            <w:tcW w:w="1883" w:type="dxa"/>
            <w:vAlign w:val="center"/>
          </w:tcPr>
          <w:p w:rsidR="009523EC" w:rsidRDefault="005D1749">
            <w:pPr>
              <w:jc w:val="center"/>
            </w:pPr>
            <w:r>
              <w:rPr>
                <w:color w:val="000000"/>
                <w:sz w:val="24"/>
                <w:szCs w:val="24"/>
              </w:rPr>
              <w:t>4</w:t>
            </w:r>
          </w:p>
        </w:tc>
        <w:tc>
          <w:tcPr>
            <w:tcW w:w="1801" w:type="dxa"/>
            <w:vAlign w:val="center"/>
          </w:tcPr>
          <w:p w:rsidR="009523EC" w:rsidRDefault="005D1749">
            <w:pPr>
              <w:jc w:val="center"/>
            </w:pPr>
            <w:r>
              <w:rPr>
                <w:color w:val="000000"/>
                <w:sz w:val="24"/>
                <w:szCs w:val="24"/>
              </w:rPr>
              <w:t>128102</w:t>
            </w:r>
          </w:p>
        </w:tc>
        <w:tc>
          <w:tcPr>
            <w:tcW w:w="1727" w:type="dxa"/>
            <w:vAlign w:val="center"/>
          </w:tcPr>
          <w:p w:rsidR="009523EC" w:rsidRDefault="005D1749">
            <w:pPr>
              <w:jc w:val="center"/>
            </w:pPr>
            <w:r>
              <w:rPr>
                <w:color w:val="000000"/>
                <w:sz w:val="24"/>
                <w:szCs w:val="24"/>
              </w:rPr>
              <w:t>海大转债</w:t>
            </w:r>
          </w:p>
        </w:tc>
        <w:tc>
          <w:tcPr>
            <w:tcW w:w="1768" w:type="dxa"/>
            <w:vAlign w:val="center"/>
          </w:tcPr>
          <w:p w:rsidR="009523EC" w:rsidRDefault="005D1749">
            <w:pPr>
              <w:jc w:val="right"/>
            </w:pPr>
            <w:r>
              <w:rPr>
                <w:color w:val="000000"/>
                <w:sz w:val="24"/>
                <w:szCs w:val="24"/>
              </w:rPr>
              <w:t>2,480.94</w:t>
            </w:r>
          </w:p>
        </w:tc>
        <w:tc>
          <w:tcPr>
            <w:tcW w:w="1689" w:type="dxa"/>
            <w:vAlign w:val="center"/>
          </w:tcPr>
          <w:p w:rsidR="009523EC" w:rsidRDefault="005D1749">
            <w:pPr>
              <w:jc w:val="right"/>
            </w:pPr>
            <w:r>
              <w:rPr>
                <w:color w:val="000000"/>
                <w:sz w:val="24"/>
                <w:szCs w:val="24"/>
              </w:rPr>
              <w:t>0.00</w:t>
            </w:r>
          </w:p>
        </w:tc>
      </w:tr>
      <w:tr w:rsidR="009523EC">
        <w:trPr>
          <w:jc w:val="center"/>
        </w:trPr>
        <w:tc>
          <w:tcPr>
            <w:tcW w:w="1883" w:type="dxa"/>
            <w:vAlign w:val="center"/>
          </w:tcPr>
          <w:p w:rsidR="009523EC" w:rsidRDefault="005D1749">
            <w:pPr>
              <w:jc w:val="center"/>
            </w:pPr>
            <w:r>
              <w:rPr>
                <w:color w:val="000000"/>
                <w:sz w:val="24"/>
                <w:szCs w:val="24"/>
              </w:rPr>
              <w:t>5</w:t>
            </w:r>
          </w:p>
        </w:tc>
        <w:tc>
          <w:tcPr>
            <w:tcW w:w="1801" w:type="dxa"/>
            <w:vAlign w:val="center"/>
          </w:tcPr>
          <w:p w:rsidR="009523EC" w:rsidRDefault="005D1749">
            <w:pPr>
              <w:jc w:val="center"/>
            </w:pPr>
            <w:r>
              <w:rPr>
                <w:color w:val="000000"/>
                <w:sz w:val="24"/>
                <w:szCs w:val="24"/>
              </w:rPr>
              <w:t>128029</w:t>
            </w:r>
          </w:p>
        </w:tc>
        <w:tc>
          <w:tcPr>
            <w:tcW w:w="1727" w:type="dxa"/>
            <w:vAlign w:val="center"/>
          </w:tcPr>
          <w:p w:rsidR="009523EC" w:rsidRDefault="005D1749">
            <w:pPr>
              <w:jc w:val="center"/>
            </w:pPr>
            <w:r>
              <w:rPr>
                <w:color w:val="000000"/>
                <w:sz w:val="24"/>
                <w:szCs w:val="24"/>
              </w:rPr>
              <w:t>太阳转债</w:t>
            </w:r>
          </w:p>
        </w:tc>
        <w:tc>
          <w:tcPr>
            <w:tcW w:w="1768" w:type="dxa"/>
            <w:vAlign w:val="center"/>
          </w:tcPr>
          <w:p w:rsidR="009523EC" w:rsidRDefault="005D1749">
            <w:pPr>
              <w:jc w:val="right"/>
            </w:pPr>
            <w:r>
              <w:rPr>
                <w:color w:val="000000"/>
                <w:sz w:val="24"/>
                <w:szCs w:val="24"/>
              </w:rPr>
              <w:t>838.50</w:t>
            </w:r>
          </w:p>
        </w:tc>
        <w:tc>
          <w:tcPr>
            <w:tcW w:w="1689" w:type="dxa"/>
            <w:vAlign w:val="center"/>
          </w:tcPr>
          <w:p w:rsidR="009523EC" w:rsidRDefault="005D1749">
            <w:pPr>
              <w:jc w:val="right"/>
            </w:pPr>
            <w:r>
              <w:rPr>
                <w:color w:val="000000"/>
                <w:sz w:val="24"/>
                <w:szCs w:val="24"/>
              </w:rPr>
              <w:t>0.00</w:t>
            </w:r>
          </w:p>
        </w:tc>
      </w:tr>
      <w:tr w:rsidR="005D1749">
        <w:trPr>
          <w:jc w:val="center"/>
        </w:trPr>
        <w:tc>
          <w:tcPr>
            <w:tcW w:w="1883" w:type="dxa"/>
            <w:vAlign w:val="center"/>
          </w:tcPr>
          <w:p w:rsidR="005D1749" w:rsidRDefault="005D1749" w:rsidP="005D1749">
            <w:pPr>
              <w:jc w:val="center"/>
              <w:rPr>
                <w:color w:val="000000"/>
                <w:sz w:val="24"/>
                <w:szCs w:val="24"/>
              </w:rPr>
            </w:pPr>
            <w:r>
              <w:rPr>
                <w:rFonts w:hint="eastAsia"/>
                <w:color w:val="000000"/>
                <w:sz w:val="24"/>
                <w:szCs w:val="24"/>
              </w:rPr>
              <w:t>6</w:t>
            </w:r>
          </w:p>
        </w:tc>
        <w:tc>
          <w:tcPr>
            <w:tcW w:w="1801" w:type="dxa"/>
            <w:vAlign w:val="center"/>
          </w:tcPr>
          <w:p w:rsidR="005D1749" w:rsidRDefault="005D1749">
            <w:pPr>
              <w:jc w:val="center"/>
              <w:rPr>
                <w:color w:val="000000"/>
                <w:sz w:val="24"/>
                <w:szCs w:val="24"/>
              </w:rPr>
            </w:pPr>
            <w:r>
              <w:rPr>
                <w:color w:val="000000"/>
                <w:sz w:val="24"/>
                <w:szCs w:val="24"/>
              </w:rPr>
              <w:t>132005</w:t>
            </w:r>
          </w:p>
        </w:tc>
        <w:tc>
          <w:tcPr>
            <w:tcW w:w="1727" w:type="dxa"/>
            <w:vAlign w:val="center"/>
          </w:tcPr>
          <w:p w:rsidR="005D1749" w:rsidRDefault="005D1749">
            <w:pPr>
              <w:jc w:val="center"/>
              <w:rPr>
                <w:color w:val="000000"/>
                <w:sz w:val="24"/>
                <w:szCs w:val="24"/>
              </w:rPr>
            </w:pPr>
            <w:r>
              <w:rPr>
                <w:color w:val="000000"/>
                <w:sz w:val="24"/>
                <w:szCs w:val="24"/>
              </w:rPr>
              <w:t>15</w:t>
            </w:r>
            <w:r>
              <w:rPr>
                <w:rFonts w:hint="eastAsia"/>
                <w:color w:val="000000"/>
                <w:sz w:val="24"/>
                <w:szCs w:val="24"/>
              </w:rPr>
              <w:t>国资</w:t>
            </w:r>
            <w:r>
              <w:rPr>
                <w:color w:val="000000"/>
                <w:sz w:val="24"/>
                <w:szCs w:val="24"/>
              </w:rPr>
              <w:t>EB</w:t>
            </w:r>
          </w:p>
        </w:tc>
        <w:tc>
          <w:tcPr>
            <w:tcW w:w="1768" w:type="dxa"/>
            <w:vAlign w:val="center"/>
          </w:tcPr>
          <w:p w:rsidR="005D1749" w:rsidRDefault="005D1749">
            <w:pPr>
              <w:jc w:val="right"/>
              <w:rPr>
                <w:color w:val="000000"/>
                <w:sz w:val="24"/>
                <w:szCs w:val="24"/>
              </w:rPr>
            </w:pPr>
            <w:r>
              <w:rPr>
                <w:color w:val="000000"/>
                <w:sz w:val="24"/>
                <w:szCs w:val="24"/>
              </w:rPr>
              <w:t>2,470,701.00</w:t>
            </w:r>
          </w:p>
        </w:tc>
        <w:tc>
          <w:tcPr>
            <w:tcW w:w="1689" w:type="dxa"/>
            <w:vAlign w:val="center"/>
          </w:tcPr>
          <w:p w:rsidR="005D1749" w:rsidRDefault="005D1749">
            <w:pPr>
              <w:jc w:val="right"/>
              <w:rPr>
                <w:color w:val="000000"/>
                <w:sz w:val="24"/>
                <w:szCs w:val="24"/>
              </w:rPr>
            </w:pPr>
            <w:r>
              <w:rPr>
                <w:color w:val="000000"/>
                <w:sz w:val="24"/>
                <w:szCs w:val="24"/>
              </w:rPr>
              <w:t>4.16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61,037,729.39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2,488,080.86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11,105,926.36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52,419,883.89</w:t>
            </w:r>
          </w:p>
        </w:tc>
      </w:tr>
    </w:tbl>
    <w:p w:rsidR="009523EC" w:rsidRDefault="005D174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9523EC">
        <w:tc>
          <w:tcPr>
            <w:tcW w:w="993" w:type="dxa"/>
            <w:vMerge w:val="restart"/>
          </w:tcPr>
          <w:p w:rsidR="009523EC" w:rsidRDefault="009523EC"/>
          <w:p w:rsidR="009523EC" w:rsidRDefault="005D1749">
            <w:r>
              <w:rPr>
                <w:rFonts w:ascii="宋体" w:hAnsi="宋体" w:hint="eastAsia"/>
                <w:bCs/>
                <w:color w:val="000000"/>
                <w:kern w:val="0"/>
              </w:rPr>
              <w:t>机构</w:t>
            </w:r>
          </w:p>
        </w:tc>
        <w:tc>
          <w:tcPr>
            <w:tcW w:w="992" w:type="dxa"/>
            <w:vAlign w:val="center"/>
          </w:tcPr>
          <w:p w:rsidR="009523EC" w:rsidRDefault="005D1749">
            <w:pPr>
              <w:jc w:val="center"/>
            </w:pPr>
            <w:r>
              <w:rPr>
                <w:rFonts w:ascii="宋体" w:hAnsi="宋体"/>
                <w:color w:val="000000"/>
                <w:kern w:val="0"/>
              </w:rPr>
              <w:t>1</w:t>
            </w:r>
          </w:p>
        </w:tc>
        <w:tc>
          <w:tcPr>
            <w:tcW w:w="1843" w:type="dxa"/>
            <w:vAlign w:val="center"/>
          </w:tcPr>
          <w:p w:rsidR="009523EC" w:rsidRDefault="005D1749">
            <w:pPr>
              <w:jc w:val="center"/>
            </w:pPr>
            <w:r>
              <w:rPr>
                <w:rFonts w:ascii="宋体" w:hAnsi="宋体"/>
                <w:color w:val="000000"/>
                <w:kern w:val="0"/>
              </w:rPr>
              <w:t>2020/7/1-2020/9/30</w:t>
            </w:r>
          </w:p>
        </w:tc>
        <w:tc>
          <w:tcPr>
            <w:tcW w:w="851" w:type="dxa"/>
            <w:vAlign w:val="center"/>
          </w:tcPr>
          <w:p w:rsidR="009523EC" w:rsidRDefault="005D1749">
            <w:pPr>
              <w:jc w:val="center"/>
            </w:pPr>
            <w:r>
              <w:rPr>
                <w:rFonts w:ascii="宋体" w:hAnsi="宋体"/>
                <w:color w:val="000000"/>
                <w:kern w:val="0"/>
              </w:rPr>
              <w:t>17,651,368.05</w:t>
            </w:r>
          </w:p>
        </w:tc>
        <w:tc>
          <w:tcPr>
            <w:tcW w:w="850" w:type="dxa"/>
            <w:vAlign w:val="center"/>
          </w:tcPr>
          <w:p w:rsidR="009523EC" w:rsidRDefault="005D1749">
            <w:pPr>
              <w:jc w:val="center"/>
            </w:pPr>
            <w:r>
              <w:rPr>
                <w:rFonts w:ascii="宋体" w:hAnsi="宋体"/>
                <w:color w:val="000000"/>
                <w:kern w:val="0"/>
              </w:rPr>
              <w:t>-</w:t>
            </w:r>
          </w:p>
        </w:tc>
        <w:tc>
          <w:tcPr>
            <w:tcW w:w="1134" w:type="dxa"/>
            <w:vAlign w:val="center"/>
          </w:tcPr>
          <w:p w:rsidR="009523EC" w:rsidRDefault="005D1749">
            <w:pPr>
              <w:jc w:val="center"/>
            </w:pPr>
            <w:r>
              <w:rPr>
                <w:rFonts w:ascii="宋体" w:hAnsi="宋体"/>
                <w:color w:val="000000"/>
                <w:kern w:val="0"/>
              </w:rPr>
              <w:t>-</w:t>
            </w:r>
          </w:p>
        </w:tc>
        <w:tc>
          <w:tcPr>
            <w:tcW w:w="1419" w:type="dxa"/>
            <w:vAlign w:val="center"/>
          </w:tcPr>
          <w:p w:rsidR="009523EC" w:rsidRDefault="005D1749">
            <w:pPr>
              <w:jc w:val="center"/>
            </w:pPr>
            <w:r>
              <w:rPr>
                <w:rFonts w:ascii="宋体" w:hAnsi="宋体"/>
                <w:color w:val="000000"/>
                <w:kern w:val="0"/>
              </w:rPr>
              <w:t>17,651,368.05</w:t>
            </w:r>
          </w:p>
        </w:tc>
        <w:tc>
          <w:tcPr>
            <w:tcW w:w="1130" w:type="dxa"/>
            <w:vAlign w:val="center"/>
          </w:tcPr>
          <w:p w:rsidR="009523EC" w:rsidRDefault="005D1749">
            <w:pPr>
              <w:jc w:val="center"/>
            </w:pPr>
            <w:r>
              <w:rPr>
                <w:rFonts w:ascii="宋体" w:hAnsi="宋体"/>
                <w:color w:val="000000"/>
                <w:kern w:val="0"/>
              </w:rPr>
              <w:t>33.67%</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8.2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为更好地维护基金份额持有人的利益，提高本基金基金份额净值的精确度，本基金管理人经与基金托管人协商一致，并报中国证券监督管理委员会备案，自2020年7月27日起调整本基金的基金份额净值计算小数点后保留位数，由保留到小数点后3位调整为小数点后4位，小数点后第5位四舍五入，并对本基金的基金合同、托管协议作相应修改。详情请查阅本基金管理人于2020年7月24日发布的《交银施罗德基金管理有限公司关于调整旗下11只公募基金的基金份额净值计算小数点后保留位数并修改基金合同、托管协议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9523EC" w:rsidRDefault="005D174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rsidR="009523EC" w:rsidRDefault="005D174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、《交银施罗德稳固收益债券型证券投资基金基金合同》；</w:t>
      </w:r>
      <w:r>
        <w:rPr>
          <w:color w:val="000000"/>
          <w:sz w:val="24"/>
          <w:szCs w:val="24"/>
        </w:rPr>
        <w:t xml:space="preserve"> </w:t>
      </w:r>
    </w:p>
    <w:p w:rsidR="009523EC" w:rsidRDefault="005D174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、《交银施罗德稳固收益债券型证券投资基金招募说明书》；</w:t>
      </w:r>
      <w:r>
        <w:rPr>
          <w:color w:val="000000"/>
          <w:sz w:val="24"/>
          <w:szCs w:val="24"/>
        </w:rPr>
        <w:t xml:space="preserve"> </w:t>
      </w:r>
    </w:p>
    <w:p w:rsidR="009523EC" w:rsidRDefault="005D174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、《交银施罗德稳固收益债券型证券投资基金托管协议》；</w:t>
      </w:r>
      <w:r>
        <w:rPr>
          <w:color w:val="000000"/>
          <w:sz w:val="24"/>
          <w:szCs w:val="24"/>
        </w:rPr>
        <w:t xml:space="preserve"> </w:t>
      </w:r>
    </w:p>
    <w:p w:rsidR="009523EC" w:rsidRDefault="005D1749">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、《交银施罗德荣祥保本混合型证券投资基金基金合同》；</w:t>
      </w:r>
      <w:r>
        <w:rPr>
          <w:color w:val="000000"/>
          <w:sz w:val="24"/>
          <w:szCs w:val="24"/>
        </w:rPr>
        <w:t xml:space="preserve"> </w:t>
      </w:r>
    </w:p>
    <w:p w:rsidR="009523EC" w:rsidRDefault="005D1749">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、《交银施罗德荣祥保本混合型证券投资基金招募说明书》；</w:t>
      </w:r>
      <w:r>
        <w:rPr>
          <w:color w:val="000000"/>
          <w:sz w:val="24"/>
          <w:szCs w:val="24"/>
        </w:rPr>
        <w:t xml:space="preserve"> </w:t>
      </w:r>
    </w:p>
    <w:p w:rsidR="009523EC" w:rsidRDefault="005D1749">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、《交银施罗德荣祥保本混合型证券投资基金托管协议》；</w:t>
      </w:r>
      <w:r>
        <w:rPr>
          <w:color w:val="000000"/>
          <w:sz w:val="24"/>
          <w:szCs w:val="24"/>
        </w:rPr>
        <w:t xml:space="preserve"> </w:t>
      </w:r>
    </w:p>
    <w:p w:rsidR="009523EC" w:rsidRDefault="005D1749">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、《交银施罗德荣祥保本混合型证券投资基金保证合同》；</w:t>
      </w:r>
    </w:p>
    <w:p w:rsidR="009523EC" w:rsidRDefault="005D1749">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r>
        <w:rPr>
          <w:color w:val="000000"/>
          <w:sz w:val="24"/>
          <w:szCs w:val="24"/>
        </w:rPr>
        <w:t xml:space="preserve"> </w:t>
      </w:r>
    </w:p>
    <w:p w:rsidR="009523EC" w:rsidRDefault="005D1749">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r>
        <w:rPr>
          <w:color w:val="000000"/>
          <w:sz w:val="24"/>
          <w:szCs w:val="24"/>
        </w:rPr>
        <w:t xml:space="preserve"> </w:t>
      </w:r>
    </w:p>
    <w:p w:rsidR="009523EC" w:rsidRDefault="005D1749">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、关于申请募集交银施罗德荣祥保本混合型证券投资基金之法律意见书；</w:t>
      </w:r>
      <w:r>
        <w:rPr>
          <w:color w:val="000000"/>
          <w:sz w:val="24"/>
          <w:szCs w:val="24"/>
        </w:rPr>
        <w:t xml:space="preserve"> </w:t>
      </w:r>
    </w:p>
    <w:p w:rsidR="009523EC" w:rsidRDefault="005D1749">
      <w:pPr>
        <w:spacing w:before="29" w:line="288" w:lineRule="auto"/>
        <w:ind w:firstLineChars="200" w:firstLine="480"/>
        <w:rPr>
          <w:color w:val="000000"/>
          <w:sz w:val="24"/>
          <w:szCs w:val="24"/>
        </w:rPr>
      </w:pPr>
      <w:r>
        <w:rPr>
          <w:color w:val="000000"/>
          <w:sz w:val="24"/>
          <w:szCs w:val="24"/>
        </w:rPr>
        <w:t>12</w:t>
      </w:r>
      <w:r>
        <w:rPr>
          <w:color w:val="000000"/>
          <w:sz w:val="24"/>
          <w:szCs w:val="24"/>
        </w:rPr>
        <w:t>、关于修改《交银施罗德荣祥保本混合型证券投资基金基金合同》的法律意见书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、报告期内交银施罗德荣祥保本混合型证券投资基金、交银施罗德稳固收益债券型证券投资基金在指定报刊上各项公告的原稿。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9523EC" w:rsidRDefault="005D174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D32E7E">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D32E7E">
      <w:rPr>
        <w:noProof/>
        <w:kern w:val="0"/>
        <w:szCs w:val="21"/>
      </w:rPr>
      <w:t>16</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A1" w:rsidRDefault="00C11AA1" w:rsidP="00876D65">
      <w:r>
        <w:separator/>
      </w:r>
    </w:p>
  </w:footnote>
  <w:footnote w:type="continuationSeparator" w:id="0">
    <w:p w:rsidR="00C11AA1" w:rsidRDefault="00C11AA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交银施罗德稳固收益债券型证券投资基金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1749"/>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23EC"/>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2E7E"/>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687">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643CF-A0A4-4B6F-9FFB-CB3D5B88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16</Pages>
  <Words>1432</Words>
  <Characters>8169</Characters>
  <Application>Microsoft Office Word</Application>
  <DocSecurity>0</DocSecurity>
  <Lines>68</Lines>
  <Paragraphs>19</Paragraphs>
  <ScaleCrop>false</ScaleCrop>
  <Company/>
  <LinksUpToDate>false</LinksUpToDate>
  <CharactersWithSpaces>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biz-chenkezhen</cp:lastModifiedBy>
  <cp:revision>602</cp:revision>
  <dcterms:created xsi:type="dcterms:W3CDTF">2012-10-16T06:07:00Z</dcterms:created>
  <dcterms:modified xsi:type="dcterms:W3CDTF">2020-10-21T07:34:00Z</dcterms:modified>
</cp:coreProperties>
</file>