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交银施罗德纯债债券型发起式证券投资基金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2020年第3季度报告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2020年9月30日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中国农业银行股份有限公司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二〇二〇年十月二十八日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基金托管人中国农业银行股份有限公司根据本基金合同规定，于2020年10月27日复核了本报告中的财务指标、净值表现和投资组合报告等内容，保证复核内容不存在虚假记载、误导性陈述或者重大遗漏。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本报告期自2020年7月1日起至9月30日止。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交银纯债债券发起</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519718</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2012年12月19日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4,448,057,763.51</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本基金为纯债基金，在严格控制投资风险的基础上，追求稳定的当期收益和基金资产的稳健增值。</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交银纯债债券发起A/B</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交银纯债债券发起C</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下属两级基金的交易代码</w:t>
            </w:r>
          </w:p>
        </w:tc>
        <w:tc>
          <w:tcPr>
            <w:tcW w:type="dxa" w:w="2922"/>
            <w:vAlign w:val="center"/>
          </w:tcPr>
          <w:p w:rsidP="007C14DF" w:rsidR="00C23B30" w:rsidRDefault="00C23B30" w:rsidRPr="007F52FA">
            <w:pPr>
              <w:spacing w:before="29" w:line="288" w:lineRule="auto"/>
              <w:jc w:val="left"/>
              <w:rPr>
                <w:sz w:val="24"/>
              </w:rPr>
            </w:pPr>
            <w:r w:rsidRPr="007F52FA">
              <w:rPr>
                <w:color w:themeColor="text1" w:val="000000"/>
                <w:sz w:val="24"/>
              </w:rPr>
              <w:t>519718</w:t>
            </w:r>
            <w:r w:rsidRPr="007F52FA">
              <w:rPr>
                <w:color w:themeColor="text1" w:val="000000"/>
                <w:sz w:val="24"/>
              </w:rPr>
              <w:t>（前端）、</w:t>
            </w:r>
            <w:r w:rsidRPr="007F52FA">
              <w:rPr>
                <w:color w:themeColor="text1" w:val="000000"/>
                <w:sz w:val="24"/>
              </w:rPr>
              <w:t>519719</w:t>
            </w:r>
            <w:r w:rsidRPr="007F52FA">
              <w:rPr>
                <w:color w:themeColor="text1" w:val="000000"/>
                <w:sz w:val="24"/>
              </w:rPr>
              <w:t>（后端）</w:t>
            </w:r>
          </w:p>
        </w:tc>
        <w:tc>
          <w:tcPr>
            <w:tcW w:type="dxa" w:w="3048"/>
            <w:vAlign w:val="center"/>
          </w:tcPr>
          <w:p w:rsidP="007C14DF" w:rsidR="00C23B30" w:rsidRDefault="00C23B30" w:rsidRPr="007F52FA">
            <w:pPr>
              <w:spacing w:before="29" w:line="288" w:lineRule="auto"/>
              <w:jc w:val="left"/>
              <w:rPr>
                <w:color w:themeColor="text1" w:val="000000"/>
                <w:sz w:val="24"/>
              </w:rPr>
            </w:pPr>
            <w:r w:rsidRPr="007F52FA">
              <w:rPr>
                <w:color w:themeColor="text1" w:val="000000"/>
                <w:sz w:val="24"/>
              </w:rPr>
              <w:t>519720</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4,263,825,298.06</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184,232,465.45</w:t>
            </w:r>
            <w:r w:rsidRPr="007F52FA">
              <w:rPr>
                <w:color w:val="000000"/>
                <w:kern w:val="0"/>
                <w:sz w:val="24"/>
              </w:rPr>
              <w:t>份</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注：1、本基金A类基金份额采用前端收费模式，B类基金份额采用后端收费模式，前端交易代码即为A类基金份额交易代码，后端交易代码即为B类基金份额交易代码。</w:t>
      </w:r>
    </w:p>
    <w:p w:rsidP="007C14DF" w:rsidR="009238DB" w:rsidRDefault="00A6200E"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2、本基金为发起式基金。</w:t>
      </w:r>
    </w:p>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(2020年7月1日-2020年9月30日)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交银纯债债券发起A/B</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交银纯债债券发起C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18,901,653.27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702,867.47</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4,500,588.82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-537,451.82</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0.0013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-0.0022</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4,543,701,229.33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196,824,619.72</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1.0656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1.0683</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注：1、本基金A/B类业绩指标不包括持有人认购或交易基金的各项费用，计入费用后的实际收益水平要低于所列数字。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交银纯债债券发起A/B</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0.16%</w:t>
            </w:r>
          </w:p>
        </w:tc>
        <w:tc>
          <w:tcPr>
            <w:vAlign w:val="center"/>
          </w:tcPr>
          <w:p>
            <w:pPr>
              <w:jc w:val="center"/>
            </w:pPr>
            <w:r>
              <w:rPr>
                <w:color w:val="000000"/>
                <w:sz w:val="24"/>
              </w:rPr>
              <w:t>0.09%</w:t>
            </w:r>
          </w:p>
        </w:tc>
        <w:tc>
          <w:tcPr>
            <w:vAlign w:val="center"/>
          </w:tcPr>
          <w:p>
            <w:pPr>
              <w:jc w:val="center"/>
            </w:pPr>
            <w:r>
              <w:rPr>
                <w:color w:val="000000"/>
                <w:sz w:val="24"/>
              </w:rPr>
              <w:t>-1.48%</w:t>
            </w:r>
          </w:p>
        </w:tc>
        <w:tc>
          <w:tcPr>
            <w:vAlign w:val="center"/>
          </w:tcPr>
          <w:p>
            <w:pPr>
              <w:jc w:val="center"/>
            </w:pPr>
            <w:r>
              <w:rPr>
                <w:color w:val="000000"/>
                <w:sz w:val="24"/>
              </w:rPr>
              <w:t>0.08%</w:t>
            </w:r>
          </w:p>
        </w:tc>
        <w:tc>
          <w:tcPr>
            <w:vAlign w:val="center"/>
          </w:tcPr>
          <w:p>
            <w:pPr>
              <w:jc w:val="center"/>
            </w:pPr>
            <w:r>
              <w:rPr>
                <w:color w:val="000000"/>
                <w:sz w:val="24"/>
              </w:rPr>
              <w:t>1.64%</w:t>
            </w:r>
          </w:p>
        </w:tc>
        <w:tc>
          <w:tcPr>
            <w:vAlign w:val="center"/>
          </w:tcPr>
          <w:p>
            <w:pPr>
              <w:jc w:val="center"/>
            </w:pPr>
            <w:r>
              <w:rPr>
                <w:color w:val="000000"/>
                <w:sz w:val="24"/>
              </w:rPr>
              <w:t>0.01%</w:t>
            </w:r>
          </w:p>
        </w:tc>
      </w:tr>
      <w:tr>
        <w:tc>
          <w:tcPr>
            <w:vAlign w:val="center"/>
          </w:tcPr>
          <w:p>
            <w:pPr>
              <w:jc w:val="left"/>
            </w:pPr>
            <w:r>
              <w:rPr>
                <w:color w:val="000000"/>
                <w:sz w:val="24"/>
              </w:rPr>
              <w:t>过去六个月</w:t>
            </w:r>
          </w:p>
        </w:tc>
        <w:tc>
          <w:tcPr>
            <w:vAlign w:val="center"/>
          </w:tcPr>
          <w:p>
            <w:pPr>
              <w:jc w:val="center"/>
            </w:pPr>
            <w:r>
              <w:rPr>
                <w:color w:val="000000"/>
                <w:sz w:val="24"/>
              </w:rPr>
              <w:t>0.33%</w:t>
            </w:r>
          </w:p>
        </w:tc>
        <w:tc>
          <w:tcPr>
            <w:vAlign w:val="center"/>
          </w:tcPr>
          <w:p>
            <w:pPr>
              <w:jc w:val="center"/>
            </w:pPr>
            <w:r>
              <w:rPr>
                <w:color w:val="000000"/>
                <w:sz w:val="24"/>
              </w:rPr>
              <w:t>0.10%</w:t>
            </w:r>
          </w:p>
        </w:tc>
        <w:tc>
          <w:tcPr>
            <w:vAlign w:val="center"/>
          </w:tcPr>
          <w:p>
            <w:pPr>
              <w:jc w:val="center"/>
            </w:pPr>
            <w:r>
              <w:rPr>
                <w:color w:val="000000"/>
                <w:sz w:val="24"/>
              </w:rPr>
              <w:t>-2.50%</w:t>
            </w:r>
          </w:p>
        </w:tc>
        <w:tc>
          <w:tcPr>
            <w:vAlign w:val="center"/>
          </w:tcPr>
          <w:p>
            <w:pPr>
              <w:jc w:val="center"/>
            </w:pPr>
            <w:r>
              <w:rPr>
                <w:color w:val="000000"/>
                <w:sz w:val="24"/>
              </w:rPr>
              <w:t>0.10%</w:t>
            </w:r>
          </w:p>
        </w:tc>
        <w:tc>
          <w:tcPr>
            <w:vAlign w:val="center"/>
          </w:tcPr>
          <w:p>
            <w:pPr>
              <w:jc w:val="center"/>
            </w:pPr>
            <w:r>
              <w:rPr>
                <w:color w:val="000000"/>
                <w:sz w:val="24"/>
              </w:rPr>
              <w:t>2.83%</w:t>
            </w:r>
          </w:p>
        </w:tc>
        <w:tc>
          <w:tcPr>
            <w:vAlign w:val="center"/>
          </w:tcPr>
          <w:p>
            <w:pPr>
              <w:jc w:val="center"/>
            </w:pPr>
            <w:r>
              <w:rPr>
                <w:color w:val="000000"/>
                <w:sz w:val="24"/>
              </w:rPr>
              <w:t>0.00%</w:t>
            </w:r>
          </w:p>
        </w:tc>
      </w:tr>
      <w:tr>
        <w:tc>
          <w:tcPr>
            <w:vAlign w:val="center"/>
          </w:tcPr>
          <w:p>
            <w:pPr>
              <w:jc w:val="left"/>
            </w:pPr>
            <w:r>
              <w:rPr>
                <w:color w:val="000000"/>
                <w:sz w:val="24"/>
              </w:rPr>
              <w:t>过去一年</w:t>
            </w:r>
          </w:p>
        </w:tc>
        <w:tc>
          <w:tcPr>
            <w:vAlign w:val="center"/>
          </w:tcPr>
          <w:p>
            <w:pPr>
              <w:jc w:val="center"/>
            </w:pPr>
            <w:r>
              <w:rPr>
                <w:color w:val="000000"/>
                <w:sz w:val="24"/>
              </w:rPr>
              <w:t>3.64%</w:t>
            </w:r>
          </w:p>
        </w:tc>
        <w:tc>
          <w:tcPr>
            <w:vAlign w:val="center"/>
          </w:tcPr>
          <w:p>
            <w:pPr>
              <w:jc w:val="center"/>
            </w:pPr>
            <w:r>
              <w:rPr>
                <w:color w:val="000000"/>
                <w:sz w:val="24"/>
              </w:rPr>
              <w:t>0.09%</w:t>
            </w:r>
          </w:p>
        </w:tc>
        <w:tc>
          <w:tcPr>
            <w:vAlign w:val="center"/>
          </w:tcPr>
          <w:p>
            <w:pPr>
              <w:jc w:val="center"/>
            </w:pPr>
            <w:r>
              <w:rPr>
                <w:color w:val="000000"/>
                <w:sz w:val="24"/>
              </w:rPr>
              <w:t>-0.08%</w:t>
            </w:r>
          </w:p>
        </w:tc>
        <w:tc>
          <w:tcPr>
            <w:vAlign w:val="center"/>
          </w:tcPr>
          <w:p>
            <w:pPr>
              <w:jc w:val="center"/>
            </w:pPr>
            <w:r>
              <w:rPr>
                <w:color w:val="000000"/>
                <w:sz w:val="24"/>
              </w:rPr>
              <w:t>0.09%</w:t>
            </w:r>
          </w:p>
        </w:tc>
        <w:tc>
          <w:tcPr>
            <w:vAlign w:val="center"/>
          </w:tcPr>
          <w:p>
            <w:pPr>
              <w:jc w:val="center"/>
            </w:pPr>
            <w:r>
              <w:rPr>
                <w:color w:val="000000"/>
                <w:sz w:val="24"/>
              </w:rPr>
              <w:t>3.72%</w:t>
            </w:r>
          </w:p>
        </w:tc>
        <w:tc>
          <w:tcPr>
            <w:vAlign w:val="center"/>
          </w:tcPr>
          <w:p>
            <w:pPr>
              <w:jc w:val="center"/>
            </w:pPr>
            <w:r>
              <w:rPr>
                <w:color w:val="000000"/>
                <w:sz w:val="24"/>
              </w:rPr>
              <w:t>0.00%</w:t>
            </w:r>
          </w:p>
        </w:tc>
      </w:tr>
      <w:tr>
        <w:tc>
          <w:tcPr>
            <w:vAlign w:val="center"/>
          </w:tcPr>
          <w:p>
            <w:pPr>
              <w:jc w:val="left"/>
            </w:pPr>
            <w:r>
              <w:rPr>
                <w:color w:val="000000"/>
                <w:sz w:val="24"/>
              </w:rPr>
              <w:t>过去三年</w:t>
            </w:r>
          </w:p>
        </w:tc>
        <w:tc>
          <w:tcPr>
            <w:vAlign w:val="center"/>
          </w:tcPr>
          <w:p>
            <w:pPr>
              <w:jc w:val="center"/>
            </w:pPr>
            <w:r>
              <w:rPr>
                <w:color w:val="000000"/>
                <w:sz w:val="24"/>
              </w:rPr>
              <w:t>16.71%</w:t>
            </w:r>
          </w:p>
        </w:tc>
        <w:tc>
          <w:tcPr>
            <w:vAlign w:val="center"/>
          </w:tcPr>
          <w:p>
            <w:pPr>
              <w:jc w:val="center"/>
            </w:pPr>
            <w:r>
              <w:rPr>
                <w:color w:val="000000"/>
                <w:sz w:val="24"/>
              </w:rPr>
              <w:t>0.08%</w:t>
            </w:r>
          </w:p>
        </w:tc>
        <w:tc>
          <w:tcPr>
            <w:vAlign w:val="center"/>
          </w:tcPr>
          <w:p>
            <w:pPr>
              <w:jc w:val="center"/>
            </w:pPr>
            <w:r>
              <w:rPr>
                <w:color w:val="000000"/>
                <w:sz w:val="24"/>
              </w:rPr>
              <w:t>4.21%</w:t>
            </w:r>
          </w:p>
        </w:tc>
        <w:tc>
          <w:tcPr>
            <w:vAlign w:val="center"/>
          </w:tcPr>
          <w:p>
            <w:pPr>
              <w:jc w:val="center"/>
            </w:pPr>
            <w:r>
              <w:rPr>
                <w:color w:val="000000"/>
                <w:sz w:val="24"/>
              </w:rPr>
              <w:t>0.07%</w:t>
            </w:r>
          </w:p>
        </w:tc>
        <w:tc>
          <w:tcPr>
            <w:vAlign w:val="center"/>
          </w:tcPr>
          <w:p>
            <w:pPr>
              <w:jc w:val="center"/>
            </w:pPr>
            <w:r>
              <w:rPr>
                <w:color w:val="000000"/>
                <w:sz w:val="24"/>
              </w:rPr>
              <w:t>12.50%</w:t>
            </w:r>
          </w:p>
        </w:tc>
        <w:tc>
          <w:tcPr>
            <w:vAlign w:val="center"/>
          </w:tcPr>
          <w:p>
            <w:pPr>
              <w:jc w:val="center"/>
            </w:pPr>
            <w:r>
              <w:rPr>
                <w:color w:val="000000"/>
                <w:sz w:val="24"/>
              </w:rPr>
              <w:t>0.01%</w:t>
            </w:r>
          </w:p>
        </w:tc>
      </w:tr>
      <w:tr>
        <w:tc>
          <w:tcPr>
            <w:vAlign w:val="center"/>
          </w:tcPr>
          <w:p>
            <w:pPr>
              <w:jc w:val="left"/>
            </w:pPr>
            <w:r>
              <w:rPr>
                <w:color w:val="000000"/>
                <w:sz w:val="24"/>
              </w:rPr>
              <w:t>过去五年</w:t>
            </w:r>
          </w:p>
        </w:tc>
        <w:tc>
          <w:tcPr>
            <w:vAlign w:val="center"/>
          </w:tcPr>
          <w:p>
            <w:pPr>
              <w:jc w:val="center"/>
            </w:pPr>
            <w:r>
              <w:rPr>
                <w:color w:val="000000"/>
                <w:sz w:val="24"/>
              </w:rPr>
              <w:t>16.45%</w:t>
            </w:r>
          </w:p>
        </w:tc>
        <w:tc>
          <w:tcPr>
            <w:vAlign w:val="center"/>
          </w:tcPr>
          <w:p>
            <w:pPr>
              <w:jc w:val="center"/>
            </w:pPr>
            <w:r>
              <w:rPr>
                <w:color w:val="000000"/>
                <w:sz w:val="24"/>
              </w:rPr>
              <w:t>0.09%</w:t>
            </w:r>
          </w:p>
        </w:tc>
        <w:tc>
          <w:tcPr>
            <w:vAlign w:val="center"/>
          </w:tcPr>
          <w:p>
            <w:pPr>
              <w:jc w:val="center"/>
            </w:pPr>
            <w:r>
              <w:rPr>
                <w:color w:val="000000"/>
                <w:sz w:val="24"/>
              </w:rPr>
              <w:t>2.00%</w:t>
            </w:r>
          </w:p>
        </w:tc>
        <w:tc>
          <w:tcPr>
            <w:vAlign w:val="center"/>
          </w:tcPr>
          <w:p>
            <w:pPr>
              <w:jc w:val="center"/>
            </w:pPr>
            <w:r>
              <w:rPr>
                <w:color w:val="000000"/>
                <w:sz w:val="24"/>
              </w:rPr>
              <w:t>0.08%</w:t>
            </w:r>
          </w:p>
        </w:tc>
        <w:tc>
          <w:tcPr>
            <w:vAlign w:val="center"/>
          </w:tcPr>
          <w:p>
            <w:pPr>
              <w:jc w:val="center"/>
            </w:pPr>
            <w:r>
              <w:rPr>
                <w:color w:val="000000"/>
                <w:sz w:val="24"/>
              </w:rPr>
              <w:t>14.45%</w:t>
            </w:r>
          </w:p>
        </w:tc>
        <w:tc>
          <w:tcPr>
            <w:vAlign w:val="center"/>
          </w:tcPr>
          <w:p>
            <w:pPr>
              <w:jc w:val="center"/>
            </w:pPr>
            <w:r>
              <w:rPr>
                <w:color w:val="000000"/>
                <w:sz w:val="24"/>
              </w:rPr>
              <w:t>0.01%</w:t>
            </w:r>
          </w:p>
        </w:tc>
      </w:tr>
      <w:tr>
        <w:tc>
          <w:tcPr>
            <w:vAlign w:val="center"/>
          </w:tcPr>
          <w:p>
            <w:pPr>
              <w:jc w:val="left"/>
            </w:pPr>
            <w:r>
              <w:rPr>
                <w:color w:val="000000"/>
                <w:sz w:val="24"/>
              </w:rPr>
              <w:t>自基金合同生效至今</w:t>
            </w:r>
          </w:p>
        </w:tc>
        <w:tc>
          <w:tcPr>
            <w:vAlign w:val="center"/>
          </w:tcPr>
          <w:p>
            <w:pPr>
              <w:jc w:val="center"/>
            </w:pPr>
            <w:r>
              <w:rPr>
                <w:color w:val="000000"/>
                <w:sz w:val="24"/>
              </w:rPr>
              <w:t>38.39%</w:t>
            </w:r>
          </w:p>
        </w:tc>
        <w:tc>
          <w:tcPr>
            <w:vAlign w:val="center"/>
          </w:tcPr>
          <w:p>
            <w:pPr>
              <w:jc w:val="center"/>
            </w:pPr>
            <w:r>
              <w:rPr>
                <w:color w:val="000000"/>
                <w:sz w:val="24"/>
              </w:rPr>
              <w:t>0.10%</w:t>
            </w:r>
          </w:p>
        </w:tc>
        <w:tc>
          <w:tcPr>
            <w:vAlign w:val="center"/>
          </w:tcPr>
          <w:p>
            <w:pPr>
              <w:jc w:val="center"/>
            </w:pPr>
            <w:r>
              <w:rPr>
                <w:color w:val="000000"/>
                <w:sz w:val="24"/>
              </w:rPr>
              <w:t>7.09%</w:t>
            </w:r>
          </w:p>
        </w:tc>
        <w:tc>
          <w:tcPr>
            <w:vAlign w:val="center"/>
          </w:tcPr>
          <w:p>
            <w:pPr>
              <w:jc w:val="center"/>
            </w:pPr>
            <w:r>
              <w:rPr>
                <w:color w:val="000000"/>
                <w:sz w:val="24"/>
              </w:rPr>
              <w:t>0.08%</w:t>
            </w:r>
          </w:p>
        </w:tc>
        <w:tc>
          <w:tcPr>
            <w:vAlign w:val="center"/>
          </w:tcPr>
          <w:p>
            <w:pPr>
              <w:jc w:val="center"/>
            </w:pPr>
            <w:r>
              <w:rPr>
                <w:color w:val="000000"/>
                <w:sz w:val="24"/>
              </w:rPr>
              <w:t>31.30%</w:t>
            </w:r>
          </w:p>
        </w:tc>
        <w:tc>
          <w:tcPr>
            <w:vAlign w:val="center"/>
          </w:tcPr>
          <w:p>
            <w:pPr>
              <w:jc w:val="center"/>
            </w:pPr>
            <w:r>
              <w:rPr>
                <w:color w:val="000000"/>
                <w:sz w:val="24"/>
              </w:rPr>
              <w:t>0.02%</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交银纯债债券发起C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0.04%</w:t>
            </w:r>
          </w:p>
        </w:tc>
        <w:tc>
          <w:tcPr>
            <w:vAlign w:val="center"/>
          </w:tcPr>
          <w:p>
            <w:pPr>
              <w:jc w:val="center"/>
            </w:pPr>
            <w:r>
              <w:rPr>
                <w:color w:val="000000"/>
                <w:sz w:val="24"/>
              </w:rPr>
              <w:t>0.09%</w:t>
            </w:r>
          </w:p>
        </w:tc>
        <w:tc>
          <w:tcPr>
            <w:vAlign w:val="center"/>
          </w:tcPr>
          <w:p>
            <w:pPr>
              <w:jc w:val="center"/>
            </w:pPr>
            <w:r>
              <w:rPr>
                <w:color w:val="000000"/>
                <w:sz w:val="24"/>
              </w:rPr>
              <w:t>-1.48%</w:t>
            </w:r>
          </w:p>
        </w:tc>
        <w:tc>
          <w:tcPr>
            <w:vAlign w:val="center"/>
          </w:tcPr>
          <w:p>
            <w:pPr>
              <w:jc w:val="center"/>
            </w:pPr>
            <w:r>
              <w:rPr>
                <w:color w:val="000000"/>
                <w:sz w:val="24"/>
              </w:rPr>
              <w:t>0.08%</w:t>
            </w:r>
          </w:p>
        </w:tc>
        <w:tc>
          <w:tcPr>
            <w:vAlign w:val="center"/>
          </w:tcPr>
          <w:p>
            <w:pPr>
              <w:jc w:val="center"/>
            </w:pPr>
            <w:r>
              <w:rPr>
                <w:color w:val="000000"/>
                <w:sz w:val="24"/>
              </w:rPr>
              <w:t>1.52%</w:t>
            </w:r>
          </w:p>
        </w:tc>
        <w:tc>
          <w:tcPr>
            <w:vAlign w:val="center"/>
          </w:tcPr>
          <w:p>
            <w:pPr>
              <w:jc w:val="center"/>
            </w:pPr>
            <w:r>
              <w:rPr>
                <w:color w:val="000000"/>
                <w:sz w:val="24"/>
              </w:rPr>
              <w:t>0.01%</w:t>
            </w:r>
          </w:p>
        </w:tc>
      </w:tr>
      <w:tr>
        <w:tc>
          <w:tcPr>
            <w:vAlign w:val="center"/>
          </w:tcPr>
          <w:p>
            <w:pPr>
              <w:jc w:val="left"/>
            </w:pPr>
            <w:r>
              <w:rPr>
                <w:color w:val="000000"/>
                <w:sz w:val="24"/>
              </w:rPr>
              <w:t>过去六个月</w:t>
            </w:r>
          </w:p>
        </w:tc>
        <w:tc>
          <w:tcPr>
            <w:vAlign w:val="center"/>
          </w:tcPr>
          <w:p>
            <w:pPr>
              <w:jc w:val="center"/>
            </w:pPr>
            <w:r>
              <w:rPr>
                <w:color w:val="000000"/>
                <w:sz w:val="24"/>
              </w:rPr>
              <w:t>0.12%</w:t>
            </w:r>
          </w:p>
        </w:tc>
        <w:tc>
          <w:tcPr>
            <w:vAlign w:val="center"/>
          </w:tcPr>
          <w:p>
            <w:pPr>
              <w:jc w:val="center"/>
            </w:pPr>
            <w:r>
              <w:rPr>
                <w:color w:val="000000"/>
                <w:sz w:val="24"/>
              </w:rPr>
              <w:t>0.09%</w:t>
            </w:r>
          </w:p>
        </w:tc>
        <w:tc>
          <w:tcPr>
            <w:vAlign w:val="center"/>
          </w:tcPr>
          <w:p>
            <w:pPr>
              <w:jc w:val="center"/>
            </w:pPr>
            <w:r>
              <w:rPr>
                <w:color w:val="000000"/>
                <w:sz w:val="24"/>
              </w:rPr>
              <w:t>-2.50%</w:t>
            </w:r>
          </w:p>
        </w:tc>
        <w:tc>
          <w:tcPr>
            <w:vAlign w:val="center"/>
          </w:tcPr>
          <w:p>
            <w:pPr>
              <w:jc w:val="center"/>
            </w:pPr>
            <w:r>
              <w:rPr>
                <w:color w:val="000000"/>
                <w:sz w:val="24"/>
              </w:rPr>
              <w:t>0.10%</w:t>
            </w:r>
          </w:p>
        </w:tc>
        <w:tc>
          <w:tcPr>
            <w:vAlign w:val="center"/>
          </w:tcPr>
          <w:p>
            <w:pPr>
              <w:jc w:val="center"/>
            </w:pPr>
            <w:r>
              <w:rPr>
                <w:color w:val="000000"/>
                <w:sz w:val="24"/>
              </w:rPr>
              <w:t>2.62%</w:t>
            </w:r>
          </w:p>
        </w:tc>
        <w:tc>
          <w:tcPr>
            <w:vAlign w:val="center"/>
          </w:tcPr>
          <w:p>
            <w:pPr>
              <w:jc w:val="center"/>
            </w:pPr>
            <w:r>
              <w:rPr>
                <w:color w:val="000000"/>
                <w:sz w:val="24"/>
              </w:rPr>
              <w:t>-0.01%</w:t>
            </w:r>
          </w:p>
        </w:tc>
      </w:tr>
      <w:tr>
        <w:tc>
          <w:tcPr>
            <w:vAlign w:val="center"/>
          </w:tcPr>
          <w:p>
            <w:pPr>
              <w:jc w:val="left"/>
            </w:pPr>
            <w:r>
              <w:rPr>
                <w:color w:val="000000"/>
                <w:sz w:val="24"/>
              </w:rPr>
              <w:t>过去一年</w:t>
            </w:r>
          </w:p>
        </w:tc>
        <w:tc>
          <w:tcPr>
            <w:vAlign w:val="center"/>
          </w:tcPr>
          <w:p>
            <w:pPr>
              <w:jc w:val="center"/>
            </w:pPr>
            <w:r>
              <w:rPr>
                <w:color w:val="000000"/>
                <w:sz w:val="24"/>
              </w:rPr>
              <w:t>3.25%</w:t>
            </w:r>
          </w:p>
        </w:tc>
        <w:tc>
          <w:tcPr>
            <w:vAlign w:val="center"/>
          </w:tcPr>
          <w:p>
            <w:pPr>
              <w:jc w:val="center"/>
            </w:pPr>
            <w:r>
              <w:rPr>
                <w:color w:val="000000"/>
                <w:sz w:val="24"/>
              </w:rPr>
              <w:t>0.08%</w:t>
            </w:r>
          </w:p>
        </w:tc>
        <w:tc>
          <w:tcPr>
            <w:vAlign w:val="center"/>
          </w:tcPr>
          <w:p>
            <w:pPr>
              <w:jc w:val="center"/>
            </w:pPr>
            <w:r>
              <w:rPr>
                <w:color w:val="000000"/>
                <w:sz w:val="24"/>
              </w:rPr>
              <w:t>-0.08%</w:t>
            </w:r>
          </w:p>
        </w:tc>
        <w:tc>
          <w:tcPr>
            <w:vAlign w:val="center"/>
          </w:tcPr>
          <w:p>
            <w:pPr>
              <w:jc w:val="center"/>
            </w:pPr>
            <w:r>
              <w:rPr>
                <w:color w:val="000000"/>
                <w:sz w:val="24"/>
              </w:rPr>
              <w:t>0.09%</w:t>
            </w:r>
          </w:p>
        </w:tc>
        <w:tc>
          <w:tcPr>
            <w:vAlign w:val="center"/>
          </w:tcPr>
          <w:p>
            <w:pPr>
              <w:jc w:val="center"/>
            </w:pPr>
            <w:r>
              <w:rPr>
                <w:color w:val="000000"/>
                <w:sz w:val="24"/>
              </w:rPr>
              <w:t>3.33%</w:t>
            </w:r>
          </w:p>
        </w:tc>
        <w:tc>
          <w:tcPr>
            <w:vAlign w:val="center"/>
          </w:tcPr>
          <w:p>
            <w:pPr>
              <w:jc w:val="center"/>
            </w:pPr>
            <w:r>
              <w:rPr>
                <w:color w:val="000000"/>
                <w:sz w:val="24"/>
              </w:rPr>
              <w:t>-0.01%</w:t>
            </w:r>
          </w:p>
        </w:tc>
      </w:tr>
      <w:tr>
        <w:tc>
          <w:tcPr>
            <w:vAlign w:val="center"/>
          </w:tcPr>
          <w:p>
            <w:pPr>
              <w:jc w:val="left"/>
            </w:pPr>
            <w:r>
              <w:rPr>
                <w:color w:val="000000"/>
                <w:sz w:val="24"/>
              </w:rPr>
              <w:t>过去三年</w:t>
            </w:r>
          </w:p>
        </w:tc>
        <w:tc>
          <w:tcPr>
            <w:vAlign w:val="center"/>
          </w:tcPr>
          <w:p>
            <w:pPr>
              <w:jc w:val="center"/>
            </w:pPr>
            <w:r>
              <w:rPr>
                <w:color w:val="000000"/>
                <w:sz w:val="24"/>
              </w:rPr>
              <w:t>15.28%</w:t>
            </w:r>
          </w:p>
        </w:tc>
        <w:tc>
          <w:tcPr>
            <w:vAlign w:val="center"/>
          </w:tcPr>
          <w:p>
            <w:pPr>
              <w:jc w:val="center"/>
            </w:pPr>
            <w:r>
              <w:rPr>
                <w:color w:val="000000"/>
                <w:sz w:val="24"/>
              </w:rPr>
              <w:t>0.08%</w:t>
            </w:r>
          </w:p>
        </w:tc>
        <w:tc>
          <w:tcPr>
            <w:vAlign w:val="center"/>
          </w:tcPr>
          <w:p>
            <w:pPr>
              <w:jc w:val="center"/>
            </w:pPr>
            <w:r>
              <w:rPr>
                <w:color w:val="000000"/>
                <w:sz w:val="24"/>
              </w:rPr>
              <w:t>4.21%</w:t>
            </w:r>
          </w:p>
        </w:tc>
        <w:tc>
          <w:tcPr>
            <w:vAlign w:val="center"/>
          </w:tcPr>
          <w:p>
            <w:pPr>
              <w:jc w:val="center"/>
            </w:pPr>
            <w:r>
              <w:rPr>
                <w:color w:val="000000"/>
                <w:sz w:val="24"/>
              </w:rPr>
              <w:t>0.07%</w:t>
            </w:r>
          </w:p>
        </w:tc>
        <w:tc>
          <w:tcPr>
            <w:vAlign w:val="center"/>
          </w:tcPr>
          <w:p>
            <w:pPr>
              <w:jc w:val="center"/>
            </w:pPr>
            <w:r>
              <w:rPr>
                <w:color w:val="000000"/>
                <w:sz w:val="24"/>
              </w:rPr>
              <w:t>11.07%</w:t>
            </w:r>
          </w:p>
        </w:tc>
        <w:tc>
          <w:tcPr>
            <w:vAlign w:val="center"/>
          </w:tcPr>
          <w:p>
            <w:pPr>
              <w:jc w:val="center"/>
            </w:pPr>
            <w:r>
              <w:rPr>
                <w:color w:val="000000"/>
                <w:sz w:val="24"/>
              </w:rPr>
              <w:t>0.01%</w:t>
            </w:r>
          </w:p>
        </w:tc>
      </w:tr>
      <w:tr>
        <w:tc>
          <w:tcPr>
            <w:vAlign w:val="center"/>
          </w:tcPr>
          <w:p>
            <w:pPr>
              <w:jc w:val="left"/>
            </w:pPr>
            <w:r>
              <w:rPr>
                <w:color w:val="000000"/>
                <w:sz w:val="24"/>
              </w:rPr>
              <w:t>过去五年</w:t>
            </w:r>
          </w:p>
        </w:tc>
        <w:tc>
          <w:tcPr>
            <w:vAlign w:val="center"/>
          </w:tcPr>
          <w:p>
            <w:pPr>
              <w:jc w:val="center"/>
            </w:pPr>
            <w:r>
              <w:rPr>
                <w:color w:val="000000"/>
                <w:sz w:val="24"/>
              </w:rPr>
              <w:t>14.07%</w:t>
            </w:r>
          </w:p>
        </w:tc>
        <w:tc>
          <w:tcPr>
            <w:vAlign w:val="center"/>
          </w:tcPr>
          <w:p>
            <w:pPr>
              <w:jc w:val="center"/>
            </w:pPr>
            <w:r>
              <w:rPr>
                <w:color w:val="000000"/>
                <w:sz w:val="24"/>
              </w:rPr>
              <w:t>0.09%</w:t>
            </w:r>
          </w:p>
        </w:tc>
        <w:tc>
          <w:tcPr>
            <w:vAlign w:val="center"/>
          </w:tcPr>
          <w:p>
            <w:pPr>
              <w:jc w:val="center"/>
            </w:pPr>
            <w:r>
              <w:rPr>
                <w:color w:val="000000"/>
                <w:sz w:val="24"/>
              </w:rPr>
              <w:t>2.00%</w:t>
            </w:r>
          </w:p>
        </w:tc>
        <w:tc>
          <w:tcPr>
            <w:vAlign w:val="center"/>
          </w:tcPr>
          <w:p>
            <w:pPr>
              <w:jc w:val="center"/>
            </w:pPr>
            <w:r>
              <w:rPr>
                <w:color w:val="000000"/>
                <w:sz w:val="24"/>
              </w:rPr>
              <w:t>0.08%</w:t>
            </w:r>
          </w:p>
        </w:tc>
        <w:tc>
          <w:tcPr>
            <w:vAlign w:val="center"/>
          </w:tcPr>
          <w:p>
            <w:pPr>
              <w:jc w:val="center"/>
            </w:pPr>
            <w:r>
              <w:rPr>
                <w:color w:val="000000"/>
                <w:sz w:val="24"/>
              </w:rPr>
              <w:t>12.07%</w:t>
            </w:r>
          </w:p>
        </w:tc>
        <w:tc>
          <w:tcPr>
            <w:vAlign w:val="center"/>
          </w:tcPr>
          <w:p>
            <w:pPr>
              <w:jc w:val="center"/>
            </w:pPr>
            <w:r>
              <w:rPr>
                <w:color w:val="000000"/>
                <w:sz w:val="24"/>
              </w:rPr>
              <w:t>0.01%</w:t>
            </w:r>
          </w:p>
        </w:tc>
      </w:tr>
      <w:tr>
        <w:tc>
          <w:tcPr>
            <w:vAlign w:val="center"/>
          </w:tcPr>
          <w:p>
            <w:pPr>
              <w:jc w:val="left"/>
            </w:pPr>
            <w:r>
              <w:rPr>
                <w:color w:val="000000"/>
                <w:sz w:val="24"/>
              </w:rPr>
              <w:t>自基金合同生效至今</w:t>
            </w:r>
          </w:p>
        </w:tc>
        <w:tc>
          <w:tcPr>
            <w:vAlign w:val="center"/>
          </w:tcPr>
          <w:p>
            <w:pPr>
              <w:jc w:val="center"/>
            </w:pPr>
            <w:r>
              <w:rPr>
                <w:color w:val="000000"/>
                <w:sz w:val="24"/>
              </w:rPr>
              <w:t>33.46%</w:t>
            </w:r>
          </w:p>
        </w:tc>
        <w:tc>
          <w:tcPr>
            <w:vAlign w:val="center"/>
          </w:tcPr>
          <w:p>
            <w:pPr>
              <w:jc w:val="center"/>
            </w:pPr>
            <w:r>
              <w:rPr>
                <w:color w:val="000000"/>
                <w:sz w:val="24"/>
              </w:rPr>
              <w:t>0.10%</w:t>
            </w:r>
          </w:p>
        </w:tc>
        <w:tc>
          <w:tcPr>
            <w:vAlign w:val="center"/>
          </w:tcPr>
          <w:p>
            <w:pPr>
              <w:jc w:val="center"/>
            </w:pPr>
            <w:r>
              <w:rPr>
                <w:color w:val="000000"/>
                <w:sz w:val="24"/>
              </w:rPr>
              <w:t>7.09%</w:t>
            </w:r>
          </w:p>
        </w:tc>
        <w:tc>
          <w:tcPr>
            <w:vAlign w:val="center"/>
          </w:tcPr>
          <w:p>
            <w:pPr>
              <w:jc w:val="center"/>
            </w:pPr>
            <w:r>
              <w:rPr>
                <w:color w:val="000000"/>
                <w:sz w:val="24"/>
              </w:rPr>
              <w:t>0.08%</w:t>
            </w:r>
          </w:p>
        </w:tc>
        <w:tc>
          <w:tcPr>
            <w:vAlign w:val="center"/>
          </w:tcPr>
          <w:p>
            <w:pPr>
              <w:jc w:val="center"/>
            </w:pPr>
            <w:r>
              <w:rPr>
                <w:color w:val="000000"/>
                <w:sz w:val="24"/>
              </w:rPr>
              <w:t>26.37%</w:t>
            </w:r>
          </w:p>
        </w:tc>
        <w:tc>
          <w:tcPr>
            <w:vAlign w:val="center"/>
          </w:tcPr>
          <w:p>
            <w:pPr>
              <w:jc w:val="center"/>
            </w:pPr>
            <w:r>
              <w:rPr>
                <w:color w:val="000000"/>
                <w:sz w:val="24"/>
              </w:rPr>
              <w:t>0.02%</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交银施罗德纯债债券型发起式证券投资基金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2012年12月19日</w:t>
      </w:r>
      <w:r w:rsidR="009A045B" w:rsidRPr="007F52FA">
        <w:rPr>
          <w:rFonts w:ascii="Times New Roman" w:hAnsi="Times New Roman"/>
          <w:sz w:val="24"/>
          <w:szCs w:val="24"/>
        </w:rPr>
        <w:t>至</w:t>
      </w:r>
      <w:r w:rsidRPr="007F52FA">
        <w:rPr>
          <w:rFonts w:ascii="Times New Roman" w:hAnsi="Times New Roman"/>
          <w:sz w:val="24"/>
          <w:szCs w:val="24"/>
        </w:rPr>
        <w:t>2020年9月30日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交银纯债债券发起A/B</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交银纯债债券发起C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于海颖</w:t>
            </w:r>
          </w:p>
        </w:tc>
        <w:tc>
          <w:tcPr>
            <w:vAlign w:val="center"/>
          </w:tcPr>
          <w:p>
            <w:pPr>
              <w:jc w:val="center"/>
            </w:pPr>
            <w:r>
              <w:rPr>
                <w:color w:val="000000"/>
                <w:sz w:val="24"/>
              </w:rPr>
              <w:t>交银纯债债券发起、交银丰晟收益债券、交银裕如纯债债券、交银裕泰两年定期开放债券、交银裕坤纯债一年定期开放债券的基金经理，公司固定收益（公募）投资总监</w:t>
            </w:r>
          </w:p>
        </w:tc>
        <w:tc>
          <w:tcPr>
            <w:vAlign w:val="center"/>
          </w:tcPr>
          <w:p>
            <w:pPr>
              <w:jc w:val="center"/>
            </w:pPr>
            <w:r>
              <w:rPr>
                <w:color w:val="000000"/>
                <w:sz w:val="24"/>
              </w:rPr>
              <w:t>2017-06-10</w:t>
            </w:r>
          </w:p>
        </w:tc>
        <w:tc>
          <w:tcPr>
            <w:vAlign w:val="center"/>
          </w:tcPr>
          <w:p>
            <w:pPr>
              <w:jc w:val="center"/>
            </w:pPr>
            <w:r>
              <w:rPr>
                <w:color w:val="000000"/>
                <w:sz w:val="24"/>
              </w:rPr>
              <w:t>-</w:t>
            </w:r>
          </w:p>
        </w:tc>
        <w:tc>
          <w:tcPr>
            <w:vAlign w:val="center"/>
          </w:tcPr>
          <w:p>
            <w:pPr>
              <w:jc w:val="center"/>
            </w:pPr>
            <w:r>
              <w:rPr>
                <w:color w:val="000000"/>
                <w:sz w:val="24"/>
              </w:rPr>
              <w:t>14年</w:t>
            </w:r>
          </w:p>
        </w:tc>
        <w:tc>
          <w:tcPr>
            <w:vAlign w:val="center"/>
          </w:tcPr>
          <w:p>
            <w:pPr>
              <w:jc w:val="both"/>
            </w:pPr>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2017年6月10日至2018年7月18日担任交银施罗德丰硕收益债券型证券投资基金的基金经理。2017年6月10日至2019年3月14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2016年12月29日至2020年8月21日担任交银施罗德丰盈收益债券型证券投资基金的基金经理。2017年6月10日至2020年8月21日担任交银施罗德增利债券证券投资基金的基金经理。</w:t>
            </w:r>
          </w:p>
        </w:tc>
      </w:tr>
      <w:tr>
        <w:tc>
          <w:tcPr>
            <w:vAlign w:val="center"/>
          </w:tcPr>
          <w:p>
            <w:pPr>
              <w:jc w:val="center"/>
            </w:pPr>
            <w:r>
              <w:rPr>
                <w:color w:val="000000"/>
                <w:sz w:val="24"/>
              </w:rPr>
              <w:t>魏玉敏</w:t>
            </w:r>
          </w:p>
        </w:tc>
        <w:tc>
          <w:tcPr>
            <w:vAlign w:val="center"/>
          </w:tcPr>
          <w:p>
            <w:pPr>
              <w:jc w:val="center"/>
            </w:pPr>
            <w:r>
              <w:rPr>
                <w:color w:val="000000"/>
                <w:sz w:val="24"/>
              </w:rPr>
              <w:t>交银增利债券、交银纯债债券发起、交银丰润收益债券、交银增利增强债券、交银丰晟收益债券、交银裕如纯债债券、交银中债1-3年农发债指数、交银可转债债券、交银裕泰两年定期开放债券的基金经理</w:t>
            </w:r>
          </w:p>
        </w:tc>
        <w:tc>
          <w:tcPr>
            <w:vAlign w:val="center"/>
          </w:tcPr>
          <w:p>
            <w:pPr>
              <w:jc w:val="center"/>
            </w:pPr>
            <w:r>
              <w:rPr>
                <w:color w:val="000000"/>
                <w:sz w:val="24"/>
              </w:rPr>
              <w:t>2018-08-29</w:t>
            </w:r>
          </w:p>
        </w:tc>
        <w:tc>
          <w:tcPr>
            <w:vAlign w:val="center"/>
          </w:tcPr>
          <w:p>
            <w:pPr>
              <w:jc w:val="center"/>
            </w:pPr>
            <w:r>
              <w:rPr>
                <w:color w:val="000000"/>
                <w:sz w:val="24"/>
              </w:rPr>
              <w:t>-</w:t>
            </w:r>
          </w:p>
        </w:tc>
        <w:tc>
          <w:tcPr>
            <w:vAlign w:val="center"/>
          </w:tcPr>
          <w:p>
            <w:pPr>
              <w:jc w:val="center"/>
            </w:pPr>
            <w:r>
              <w:rPr>
                <w:color w:val="000000"/>
                <w:sz w:val="24"/>
              </w:rPr>
              <w:t>8年</w:t>
            </w:r>
          </w:p>
        </w:tc>
        <w:tc>
          <w:tcPr>
            <w:vAlign w:val="center"/>
          </w:tcPr>
          <w:p>
            <w:pPr>
              <w:jc w:val="both"/>
            </w:pPr>
            <w:r>
              <w:rPr>
                <w:color w:val="000000"/>
                <w:sz w:val="24"/>
              </w:rPr>
              <w:t>魏玉敏女士，厦门大学金融学硕士、学士。2012年至2013年任招商证券固定收益研究员，2013年至2016年任国信证券固定收益高级分析师。2016年加入交银施罗德基金管理有限公司，历任基金经理助理。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回顾2020年三季度，债券收益率整体呈现震荡上行的趋势，从宏观数据来看，经济基本面走势在疫情之后出现了一定回暖态势，而在这种情况下，公开市场操作也进行了相应的节奏调整，在这种情况下，经济复苏预期下叠加货币政策回归中性，资金面呈现出阶段性紧张局面，债券市场弱势震荡。具体来看，本季度初，央行公开市场操作持续净回笼传递货币政策偏紧预期，一级市场供给压力导致市场供需问题明显，债券市场延续弱势调整。季度中期，债市在配置资金和避险情绪催化下开启一波反弹行情。进入季度末，在超储率低位的情况下，并受到假期因素的影响，资金面持续维持平衡偏紧格局，存单发行利率不断上行，带动曲线平坦化上行，考虑到票息因素，中短久期信用债配置需求恢复较好。</w:t>
      </w:r>
    </w:p>
    <w:p>
      <w:pPr>
        <w:spacing w:before="29" w:line="288" w:lineRule="auto"/>
        <w:ind w:firstLine="480" w:firstLineChars="200"/>
        <w:rPr>
          <w:color w:val="000000"/>
          <w:sz w:val="24"/>
        </w:rPr>
      </w:pPr>
      <w:r>
        <w:rPr>
          <w:color w:val="000000"/>
          <w:sz w:val="24"/>
        </w:rPr>
        <w:t>报告期内，组合以信用债为主要配置，基于对宏观经济和政策的判断，认为债券市场趋势性机会需要等待，组合控制久期，降低利率风险暴露，把握票息机会，通过精选信用个券和保持一定的杠杆操作，增强组合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四季度，国内基本面恢复的节奏和货币信用的边际变化将成为影响债市的主要因素。短期来看经济延续改善趋势、工业品价格上行压力增大，货币政策回归中性以及银行负债端压力较大等因素影响下，我们认为债券市场将维持震荡上行，趋势性机会仍需要等待。但随着年末供给压力减弱、信用增速放缓以及中美关系不确定性提升，债券市场或存在波段交易机会。操作策略方面，我们将关注信用债的票息机会，进一步挖掘信用债投资机会，并维持中等的杠杆水平，以期提升组合整体静态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5,398,002,000.00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97.99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5,398,002,000.00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97.99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19,819,577.72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0.36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91,113,214.66</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1.65</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5,508,934,792.38</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222,500,500.00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4.69</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19,894,000.00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0.42</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19,894,000.00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0.42</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112,944,000.00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2.38</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399,764,000.00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8.43</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4,642,899,500.00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97.94</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5,398,002,000.00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113.87</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019627</w:t>
            </w:r>
          </w:p>
        </w:tc>
        <w:tc>
          <w:tcPr>
            <w:vAlign w:val="center"/>
          </w:tcPr>
          <w:p>
            <w:pPr>
              <w:jc w:val="center"/>
            </w:pPr>
            <w:r>
              <w:rPr>
                <w:color w:val="000000"/>
                <w:sz w:val="24"/>
              </w:rPr>
              <w:t>20国债01</w:t>
            </w:r>
          </w:p>
        </w:tc>
        <w:tc>
          <w:tcPr>
            <w:vAlign w:val="center"/>
          </w:tcPr>
          <w:p>
            <w:pPr>
              <w:jc w:val="right"/>
            </w:pPr>
            <w:r>
              <w:rPr>
                <w:color w:val="000000"/>
                <w:sz w:val="24"/>
              </w:rPr>
              <w:t>1,100,000</w:t>
            </w:r>
          </w:p>
        </w:tc>
        <w:tc>
          <w:tcPr>
            <w:vAlign w:val="center"/>
          </w:tcPr>
          <w:p>
            <w:pPr>
              <w:jc w:val="right"/>
            </w:pPr>
            <w:r>
              <w:rPr>
                <w:color w:val="000000"/>
                <w:sz w:val="24"/>
              </w:rPr>
              <w:t>109,890,000.00</w:t>
            </w:r>
          </w:p>
        </w:tc>
        <w:tc>
          <w:tcPr>
            <w:vAlign w:val="center"/>
          </w:tcPr>
          <w:p>
            <w:pPr>
              <w:jc w:val="right"/>
            </w:pPr>
            <w:r>
              <w:rPr>
                <w:color w:val="000000"/>
                <w:sz w:val="24"/>
              </w:rPr>
              <w:t>2.32</w:t>
            </w:r>
          </w:p>
        </w:tc>
      </w:tr>
      <w:tr>
        <w:tc>
          <w:tcPr>
            <w:vAlign w:val="center"/>
          </w:tcPr>
          <w:p>
            <w:pPr>
              <w:jc w:val="center"/>
            </w:pPr>
            <w:r>
              <w:rPr>
                <w:color w:val="000000"/>
                <w:sz w:val="24"/>
              </w:rPr>
              <w:t>2</w:t>
            </w:r>
          </w:p>
        </w:tc>
        <w:tc>
          <w:tcPr>
            <w:vAlign w:val="center"/>
          </w:tcPr>
          <w:p>
            <w:pPr>
              <w:jc w:val="center"/>
            </w:pPr>
            <w:r>
              <w:rPr>
                <w:color w:val="000000"/>
                <w:sz w:val="24"/>
              </w:rPr>
              <w:t>101900216</w:t>
            </w:r>
          </w:p>
        </w:tc>
        <w:tc>
          <w:tcPr>
            <w:vAlign w:val="center"/>
          </w:tcPr>
          <w:p>
            <w:pPr>
              <w:jc w:val="center"/>
            </w:pPr>
            <w:r>
              <w:rPr>
                <w:color w:val="000000"/>
                <w:sz w:val="24"/>
              </w:rPr>
              <w:t>19南浦口MTN001</w:t>
            </w:r>
          </w:p>
        </w:tc>
        <w:tc>
          <w:tcPr>
            <w:vAlign w:val="center"/>
          </w:tcPr>
          <w:p>
            <w:pPr>
              <w:jc w:val="right"/>
            </w:pPr>
            <w:r>
              <w:rPr>
                <w:color w:val="000000"/>
                <w:sz w:val="24"/>
              </w:rPr>
              <w:t>900,000</w:t>
            </w:r>
          </w:p>
        </w:tc>
        <w:tc>
          <w:tcPr>
            <w:vAlign w:val="center"/>
          </w:tcPr>
          <w:p>
            <w:pPr>
              <w:jc w:val="right"/>
            </w:pPr>
            <w:r>
              <w:rPr>
                <w:color w:val="000000"/>
                <w:sz w:val="24"/>
              </w:rPr>
              <w:t>91,449,000.00</w:t>
            </w:r>
          </w:p>
        </w:tc>
        <w:tc>
          <w:tcPr>
            <w:vAlign w:val="center"/>
          </w:tcPr>
          <w:p>
            <w:pPr>
              <w:jc w:val="right"/>
            </w:pPr>
            <w:r>
              <w:rPr>
                <w:color w:val="000000"/>
                <w:sz w:val="24"/>
              </w:rPr>
              <w:t>1.93</w:t>
            </w:r>
          </w:p>
        </w:tc>
      </w:tr>
      <w:tr>
        <w:tc>
          <w:tcPr>
            <w:vAlign w:val="center"/>
          </w:tcPr>
          <w:p>
            <w:pPr>
              <w:jc w:val="center"/>
            </w:pPr>
            <w:r>
              <w:rPr>
                <w:color w:val="000000"/>
                <w:sz w:val="24"/>
              </w:rPr>
              <w:t>3</w:t>
            </w:r>
          </w:p>
        </w:tc>
        <w:tc>
          <w:tcPr>
            <w:vAlign w:val="center"/>
          </w:tcPr>
          <w:p>
            <w:pPr>
              <w:jc w:val="center"/>
            </w:pPr>
            <w:r>
              <w:rPr>
                <w:color w:val="000000"/>
                <w:sz w:val="24"/>
              </w:rPr>
              <w:t>101800690</w:t>
            </w:r>
          </w:p>
        </w:tc>
        <w:tc>
          <w:tcPr>
            <w:vAlign w:val="center"/>
          </w:tcPr>
          <w:p>
            <w:pPr>
              <w:jc w:val="center"/>
            </w:pPr>
            <w:r>
              <w:rPr>
                <w:color w:val="000000"/>
                <w:sz w:val="24"/>
              </w:rPr>
              <w:t>18江北新城MTN001</w:t>
            </w:r>
          </w:p>
        </w:tc>
        <w:tc>
          <w:tcPr>
            <w:vAlign w:val="center"/>
          </w:tcPr>
          <w:p>
            <w:pPr>
              <w:jc w:val="right"/>
            </w:pPr>
            <w:r>
              <w:rPr>
                <w:color w:val="000000"/>
                <w:sz w:val="24"/>
              </w:rPr>
              <w:t>800,000</w:t>
            </w:r>
          </w:p>
        </w:tc>
        <w:tc>
          <w:tcPr>
            <w:vAlign w:val="center"/>
          </w:tcPr>
          <w:p>
            <w:pPr>
              <w:jc w:val="right"/>
            </w:pPr>
            <w:r>
              <w:rPr>
                <w:color w:val="000000"/>
                <w:sz w:val="24"/>
              </w:rPr>
              <w:t>85,624,000.00</w:t>
            </w:r>
          </w:p>
        </w:tc>
        <w:tc>
          <w:tcPr>
            <w:vAlign w:val="center"/>
          </w:tcPr>
          <w:p>
            <w:pPr>
              <w:jc w:val="right"/>
            </w:pPr>
            <w:r>
              <w:rPr>
                <w:color w:val="000000"/>
                <w:sz w:val="24"/>
              </w:rPr>
              <w:t>1.81</w:t>
            </w:r>
          </w:p>
        </w:tc>
      </w:tr>
      <w:tr>
        <w:tc>
          <w:tcPr>
            <w:vAlign w:val="center"/>
          </w:tcPr>
          <w:p>
            <w:pPr>
              <w:jc w:val="center"/>
            </w:pPr>
            <w:r>
              <w:rPr>
                <w:color w:val="000000"/>
                <w:sz w:val="24"/>
              </w:rPr>
              <w:t>4</w:t>
            </w:r>
          </w:p>
        </w:tc>
        <w:tc>
          <w:tcPr>
            <w:vAlign w:val="center"/>
          </w:tcPr>
          <w:p>
            <w:pPr>
              <w:jc w:val="center"/>
            </w:pPr>
            <w:r>
              <w:rPr>
                <w:color w:val="000000"/>
                <w:sz w:val="24"/>
              </w:rPr>
              <w:t>019640</w:t>
            </w:r>
          </w:p>
        </w:tc>
        <w:tc>
          <w:tcPr>
            <w:vAlign w:val="center"/>
          </w:tcPr>
          <w:p>
            <w:pPr>
              <w:jc w:val="center"/>
            </w:pPr>
            <w:r>
              <w:rPr>
                <w:color w:val="000000"/>
                <w:sz w:val="24"/>
              </w:rPr>
              <w:t>20国债10</w:t>
            </w:r>
          </w:p>
        </w:tc>
        <w:tc>
          <w:tcPr>
            <w:vAlign w:val="center"/>
          </w:tcPr>
          <w:p>
            <w:pPr>
              <w:jc w:val="right"/>
            </w:pPr>
            <w:r>
              <w:rPr>
                <w:color w:val="000000"/>
                <w:sz w:val="24"/>
              </w:rPr>
              <w:t>830,000</w:t>
            </w:r>
          </w:p>
        </w:tc>
        <w:tc>
          <w:tcPr>
            <w:vAlign w:val="center"/>
          </w:tcPr>
          <w:p>
            <w:pPr>
              <w:jc w:val="right"/>
            </w:pPr>
            <w:r>
              <w:rPr>
                <w:color w:val="000000"/>
                <w:sz w:val="24"/>
              </w:rPr>
              <w:t>82,709,500.00</w:t>
            </w:r>
          </w:p>
        </w:tc>
        <w:tc>
          <w:tcPr>
            <w:vAlign w:val="center"/>
          </w:tcPr>
          <w:p>
            <w:pPr>
              <w:jc w:val="right"/>
            </w:pPr>
            <w:r>
              <w:rPr>
                <w:color w:val="000000"/>
                <w:sz w:val="24"/>
              </w:rPr>
              <w:t>1.74</w:t>
            </w:r>
          </w:p>
        </w:tc>
      </w:tr>
      <w:tr>
        <w:tc>
          <w:tcPr>
            <w:vAlign w:val="center"/>
          </w:tcPr>
          <w:p>
            <w:pPr>
              <w:jc w:val="center"/>
            </w:pPr>
            <w:r>
              <w:rPr>
                <w:color w:val="000000"/>
                <w:sz w:val="24"/>
              </w:rPr>
              <w:t>5</w:t>
            </w:r>
          </w:p>
        </w:tc>
        <w:tc>
          <w:tcPr>
            <w:vAlign w:val="center"/>
          </w:tcPr>
          <w:p>
            <w:pPr>
              <w:jc w:val="center"/>
            </w:pPr>
            <w:r>
              <w:rPr>
                <w:color w:val="000000"/>
                <w:sz w:val="24"/>
              </w:rPr>
              <w:t>101900948</w:t>
            </w:r>
          </w:p>
        </w:tc>
        <w:tc>
          <w:tcPr>
            <w:vAlign w:val="center"/>
          </w:tcPr>
          <w:p>
            <w:pPr>
              <w:jc w:val="center"/>
            </w:pPr>
            <w:r>
              <w:rPr>
                <w:color w:val="000000"/>
                <w:sz w:val="24"/>
              </w:rPr>
              <w:t>19萧山环境MTN001</w:t>
            </w:r>
          </w:p>
        </w:tc>
        <w:tc>
          <w:tcPr>
            <w:vAlign w:val="center"/>
          </w:tcPr>
          <w:p>
            <w:pPr>
              <w:jc w:val="right"/>
            </w:pPr>
            <w:r>
              <w:rPr>
                <w:color w:val="000000"/>
                <w:sz w:val="24"/>
              </w:rPr>
              <w:t>800,000</w:t>
            </w:r>
          </w:p>
        </w:tc>
        <w:tc>
          <w:tcPr>
            <w:vAlign w:val="center"/>
          </w:tcPr>
          <w:p>
            <w:pPr>
              <w:jc w:val="right"/>
            </w:pPr>
            <w:r>
              <w:rPr>
                <w:color w:val="000000"/>
                <w:sz w:val="24"/>
              </w:rPr>
              <w:t>81,224,000.00</w:t>
            </w:r>
          </w:p>
        </w:tc>
        <w:tc>
          <w:tcPr>
            <w:vAlign w:val="center"/>
          </w:tcPr>
          <w:p>
            <w:pPr>
              <w:jc w:val="right"/>
            </w:pPr>
            <w:r>
              <w:rPr>
                <w:color w:val="000000"/>
                <w:sz w:val="24"/>
              </w:rPr>
              <w:t>1.71</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D00E04">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D00E04">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D00E04">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32,606.02</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82,088,809.20</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8,991,749.44</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50.00</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91,113,214.66</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交银纯债债券发起A/B</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交银纯债债券发起C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3,452,236,692.75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357,814,801.63</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2,264,440,583.02</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58,344,712.02</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1,452,851,977.71</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231,927,048.20</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4,263,825,298.06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184,232,465.45</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B47574" w:rsidRDefault="006B046C" w:rsidRPr="007F52FA">
      <w:pPr>
        <w:pStyle w:val="1"/>
        <w:spacing w:after="312" w:afterLines="100" w:before="312" w:beforeLines="100" w:line="288" w:lineRule="auto"/>
        <w:jc w:val="center"/>
        <w:rPr>
          <w:rFonts w:eastAsiaTheme="minorEastAsia"/>
          <w:b w:val="0"/>
          <w:color w:val="000000"/>
          <w:sz w:val="24"/>
          <w:szCs w:val="24"/>
        </w:rPr>
      </w:pPr>
      <w:r w:rsidRPr="007F52FA">
        <w:rPr>
          <w:rFonts w:eastAsiaTheme="minorEastAsia"/>
          <w:color w:val="000000"/>
          <w:kern w:val="0"/>
          <w:sz w:val="24"/>
          <w:szCs w:val="24"/>
        </w:rPr>
        <w:t/>
      </w:r>
      <w:r w:rsidR="00B47574" w:rsidRPr="007F52FA">
        <w:rPr>
          <w:rFonts w:eastAsiaTheme="minorEastAsia"/>
          <w:color w:val="000000"/>
          <w:kern w:val="0"/>
          <w:sz w:val="24"/>
          <w:szCs w:val="24"/>
        </w:rPr>
        <w:t>§</w:t>
      </w:r>
      <w:r w:rsidR="00D66685" w:rsidRPr="007F52FA">
        <w:rPr>
          <w:rFonts w:eastAsiaTheme="minorEastAsia"/>
          <w:color w:val="000000"/>
          <w:kern w:val="0"/>
          <w:sz w:val="24"/>
          <w:szCs w:val="24"/>
        </w:rPr>
        <w:t/>
      </w:r>
      <w:r w:rsidR="00B47574" w:rsidRPr="007F52FA">
        <w:rPr>
          <w:rFonts w:eastAsiaTheme="minorEastAsia"/>
          <w:color w:val="000000"/>
          <w:kern w:val="0"/>
          <w:sz w:val="24"/>
          <w:szCs w:val="24"/>
        </w:rPr>
        <w:t xml:space="preserve">8  </w:t>
      </w:r>
      <w:r w:rsidR="00EA7533" w:rsidRPr="007F52FA">
        <w:rPr>
          <w:rFonts w:eastAsiaTheme="minorEastAsia"/>
          <w:color w:val="000000"/>
          <w:kern w:val="0"/>
          <w:sz w:val="24"/>
          <w:szCs w:val="24"/>
        </w:rPr>
        <w:t>报告期末</w:t>
      </w:r>
      <w:r w:rsidR="00B47574" w:rsidRPr="007F52FA">
        <w:rPr>
          <w:rFonts w:eastAsiaTheme="minorEastAsia"/>
          <w:color w:val="000000"/>
          <w:kern w:val="0"/>
          <w:sz w:val="24"/>
          <w:szCs w:val="24"/>
        </w:rPr>
        <w:t>发起式基金发起资金持有份额情况</w:t>
      </w:r>
    </w:p>
    <w:p w:rsidP="007C14DF" w:rsidR="00B47574" w:rsidRDefault="00B4757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基金管理人于本基金募集期内运用固有资金认购本基金份额10,000,000.00元人民币（不含募集期利息结转的份额），作为本基金的发起资金。自本基金基金合同生效之日起，发起资金所认购的基金份额持有期限不低于三年。本基金管理人持有的发起份额已于2017年一季度全部赎回，相应份额的持有期限符合基金合同的约定。</w:t>
      </w:r>
    </w:p>
    <w:p w:rsidP="007C14DF" w:rsidR="00574FC7" w:rsidRDefault="00574FC7"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§9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9.1 影响投资者决策的其他重要信息</w:t>
      </w:r>
    </w:p>
    <w:p w:rsidP="00ED0E09" w:rsidR="00ED0E09" w:rsidRDefault="00ED0E09">
      <w:pPr>
        <w:spacing w:line="360" w:lineRule="auto"/>
        <w:ind w:firstLine="420" w:firstLineChars="200"/>
        <w:rPr>
          <w:rFonts w:ascii="宋体" w:hAnsi="宋体"/>
          <w:color w:val="000000"/>
          <w:szCs w:val="21"/>
        </w:rPr>
      </w:pPr>
      <w:r>
        <w:rPr>
          <w:rFonts w:ascii="宋体" w:hAnsi="宋体" w:hint="eastAsia"/>
          <w:color w:val="000000"/>
          <w:szCs w:val="21"/>
        </w:rPr>
        <w:t>为更好地维护基金份额持有人的利益，提高本基金基金份额净值的精确度，本基金管理人经与基金托管人协商一致，并报中国证券监督管理委员会备案，自2020年7月27日起调整本基金的基金份额净值计算小数点后保留位数，由保留到小数点后3位调整为小数点后4位，小数点后第5位四舍五入，并对本基金的基金合同、托管协议作相应修改。详情请查阅本基金管理人于2020年7月24日发布的《交银施罗德基金管理有限公司关于调整旗下11只公募基金的基金份额净值计算小数点后保留位数并修改基金合同、托管协议的公告》。</w:t>
      </w:r>
    </w:p>
    <w:p w:rsidP="007C14DF" w:rsidR="00BB1033" w:rsidRDefault="00BB1033" w:rsidRPr="007F52FA">
      <w:pPr>
        <w:spacing w:before="29" w:line="288" w:lineRule="auto"/>
        <w:ind w:firstLine="480" w:firstLineChars="200"/>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1、中国证监会批准交银施罗德纯债债券型发起式证券投资基金募集的文件；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2、《交银施罗德纯债债券型发起式证券投资基金基金合同》；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3、《交银施罗德纯债债券型发起式证券投资基金招募说明书》；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4、《交银施罗德纯债债券型发起式证券投资基金托管协议》；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5、关于募集交银施罗德纯债债券型发起式证券投资基金之法律意见书；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8、报告期内交银施罗德纯债债券型发起式证券投资基金在指定报刊上各项公告的原稿。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10.2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B1A" w:rsidRDefault="00B86B1A">
      <w:r>
        <w:separator/>
      </w:r>
    </w:p>
  </w:endnote>
  <w:endnote w:type="continuationSeparator" w:id="0">
    <w:p w:rsidR="00B86B1A" w:rsidRDefault="00B8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D00E04">
      <w:rPr>
        <w:noProof/>
        <w:kern w:val="0"/>
        <w:szCs w:val="21"/>
      </w:rPr>
      <w:t>20</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D00E04">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B86B1A" w:rsidRDefault="00B86B1A">
      <w:r>
        <w:separator/>
      </w:r>
    </w:p>
  </w:footnote>
  <w:footnote w:id="0" w:type="continuationSeparator">
    <w:p w:rsidR="00B86B1A" w:rsidRDefault="00B86B1A">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交银施罗德纯债债券型发起式证券投资基金2020年第3季度报告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793"/>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4653"/>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86B1A"/>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0E04"/>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258FC-C285-488F-ADBD-197F096C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241</TotalTime>
  <Pages>1</Pages>
  <Words>4278</Words>
  <Characters>24388</Characters>
  <Application>Microsoft Office Word</Application>
  <DocSecurity>0</DocSecurity>
  <Lines>203</Lines>
  <Paragraphs>57</Paragraphs>
  <ScaleCrop>false</ScaleCrop>
  <Company>TRT. Ltd. Co.</Company>
  <LinksUpToDate>false</LinksUpToDate>
  <CharactersWithSpaces>28609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2020-03-05T08:02:00Z</dcterms:modified>
  <cp:revision>404</cp:revision>
</cp:coreProperties>
</file>