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交银施罗德消费新驱动股票型证券投资基金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2015年7月1日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389,539,377.31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85%×中证内地消费主题指数+15%×中证综合债券指数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84,532,396.40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78,395,192.90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0.2107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607,380,182.13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18.38%</w:t>
            </w:r>
          </w:p>
        </w:tc>
        <w:tc>
          <w:tcPr>
            <w:vAlign w:val="center"/>
          </w:tcPr>
          <w:p>
            <w:pPr>
              <w:jc w:val="center"/>
            </w:pPr>
            <w:r>
              <w:rPr>
                <w:color w:val="000000"/>
                <w:sz w:val="24"/>
                <w:szCs w:val="24"/>
              </w:rPr>
              <w:t>1.57%</w:t>
            </w:r>
          </w:p>
        </w:tc>
        <w:tc>
          <w:tcPr>
            <w:vAlign w:val="center"/>
          </w:tcPr>
          <w:p>
            <w:pPr>
              <w:jc w:val="center"/>
            </w:pPr>
            <w:r>
              <w:rPr>
                <w:color w:val="000000"/>
                <w:sz w:val="24"/>
                <w:szCs w:val="24"/>
              </w:rPr>
              <w:t>15.62%</w:t>
            </w:r>
          </w:p>
        </w:tc>
        <w:tc>
          <w:tcPr>
            <w:vAlign w:val="center"/>
          </w:tcPr>
          <w:p>
            <w:pPr>
              <w:jc w:val="center"/>
            </w:pPr>
            <w:r>
              <w:rPr>
                <w:color w:val="000000"/>
                <w:sz w:val="24"/>
                <w:szCs w:val="24"/>
              </w:rPr>
              <w:t>1.47%</w:t>
            </w:r>
          </w:p>
        </w:tc>
        <w:tc>
          <w:tcPr>
            <w:vAlign w:val="center"/>
          </w:tcPr>
          <w:p>
            <w:pPr>
              <w:jc w:val="center"/>
            </w:pPr>
            <w:r>
              <w:rPr>
                <w:color w:val="000000"/>
                <w:sz w:val="24"/>
                <w:szCs w:val="24"/>
              </w:rPr>
              <w:t>2.76%</w:t>
            </w:r>
          </w:p>
        </w:tc>
        <w:tc>
          <w:tcPr>
            <w:vAlign w:val="center"/>
          </w:tcPr>
          <w:p>
            <w:pPr>
              <w:jc w:val="center"/>
            </w:pPr>
            <w:r>
              <w:rPr>
                <w:color w:val="000000"/>
                <w:sz w:val="24"/>
                <w:szCs w:val="24"/>
              </w:rPr>
              <w:t>0.10%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64.97%</w:t>
            </w:r>
          </w:p>
        </w:tc>
        <w:tc>
          <w:tcPr>
            <w:vAlign w:val="center"/>
          </w:tcPr>
          <w:p>
            <w:pPr>
              <w:jc w:val="center"/>
            </w:pPr>
            <w:r>
              <w:rPr>
                <w:color w:val="000000"/>
                <w:sz w:val="24"/>
                <w:szCs w:val="24"/>
              </w:rPr>
              <w:t>1.38%</w:t>
            </w:r>
          </w:p>
        </w:tc>
        <w:tc>
          <w:tcPr>
            <w:vAlign w:val="center"/>
          </w:tcPr>
          <w:p>
            <w:pPr>
              <w:jc w:val="center"/>
            </w:pPr>
            <w:r>
              <w:rPr>
                <w:color w:val="000000"/>
                <w:sz w:val="24"/>
                <w:szCs w:val="24"/>
              </w:rPr>
              <w:t>35.71%</w:t>
            </w:r>
          </w:p>
        </w:tc>
        <w:tc>
          <w:tcPr>
            <w:vAlign w:val="center"/>
          </w:tcPr>
          <w:p>
            <w:pPr>
              <w:jc w:val="center"/>
            </w:pPr>
            <w:r>
              <w:rPr>
                <w:color w:val="000000"/>
                <w:sz w:val="24"/>
                <w:szCs w:val="24"/>
              </w:rPr>
              <w:t>1.23%</w:t>
            </w:r>
          </w:p>
        </w:tc>
        <w:tc>
          <w:tcPr>
            <w:vAlign w:val="center"/>
          </w:tcPr>
          <w:p>
            <w:pPr>
              <w:jc w:val="center"/>
            </w:pPr>
            <w:r>
              <w:rPr>
                <w:color w:val="000000"/>
                <w:sz w:val="24"/>
                <w:szCs w:val="24"/>
              </w:rPr>
              <w:t>29.26%</w:t>
            </w:r>
          </w:p>
        </w:tc>
        <w:tc>
          <w:tcPr>
            <w:vAlign w:val="center"/>
          </w:tcPr>
          <w:p>
            <w:pPr>
              <w:jc w:val="center"/>
            </w:pPr>
            <w:r>
              <w:rPr>
                <w:color w:val="000000"/>
                <w:sz w:val="24"/>
                <w:szCs w:val="24"/>
              </w:rPr>
              <w:t>0.15%</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63.88%</w:t>
            </w:r>
          </w:p>
        </w:tc>
        <w:tc>
          <w:tcPr>
            <w:vAlign w:val="center"/>
          </w:tcPr>
          <w:p>
            <w:pPr>
              <w:jc w:val="center"/>
            </w:pPr>
            <w:r>
              <w:rPr>
                <w:color w:val="000000"/>
                <w:sz w:val="24"/>
                <w:szCs w:val="24"/>
              </w:rPr>
              <w:t>1.45%</w:t>
            </w:r>
          </w:p>
        </w:tc>
        <w:tc>
          <w:tcPr>
            <w:vAlign w:val="center"/>
          </w:tcPr>
          <w:p>
            <w:pPr>
              <w:jc w:val="center"/>
            </w:pPr>
            <w:r>
              <w:rPr>
                <w:color w:val="000000"/>
                <w:sz w:val="24"/>
                <w:szCs w:val="24"/>
              </w:rPr>
              <w:t>35.52%</w:t>
            </w:r>
          </w:p>
        </w:tc>
        <w:tc>
          <w:tcPr>
            <w:vAlign w:val="center"/>
          </w:tcPr>
          <w:p>
            <w:pPr>
              <w:jc w:val="center"/>
            </w:pPr>
            <w:r>
              <w:rPr>
                <w:color w:val="000000"/>
                <w:sz w:val="24"/>
                <w:szCs w:val="24"/>
              </w:rPr>
              <w:t>1.31%</w:t>
            </w:r>
          </w:p>
        </w:tc>
        <w:tc>
          <w:tcPr>
            <w:vAlign w:val="center"/>
          </w:tcPr>
          <w:p>
            <w:pPr>
              <w:jc w:val="center"/>
            </w:pPr>
            <w:r>
              <w:rPr>
                <w:color w:val="000000"/>
                <w:sz w:val="24"/>
                <w:szCs w:val="24"/>
              </w:rPr>
              <w:t>28.36%</w:t>
            </w:r>
          </w:p>
        </w:tc>
        <w:tc>
          <w:tcPr>
            <w:vAlign w:val="center"/>
          </w:tcPr>
          <w:p>
            <w:pPr>
              <w:jc w:val="center"/>
            </w:pPr>
            <w:r>
              <w:rPr>
                <w:color w:val="000000"/>
                <w:sz w:val="24"/>
                <w:szCs w:val="24"/>
              </w:rPr>
              <w:t>0.14%</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95.29%</w:t>
            </w:r>
          </w:p>
        </w:tc>
        <w:tc>
          <w:tcPr>
            <w:vAlign w:val="center"/>
          </w:tcPr>
          <w:p>
            <w:pPr>
              <w:jc w:val="center"/>
            </w:pPr>
            <w:r>
              <w:rPr>
                <w:color w:val="000000"/>
                <w:sz w:val="24"/>
                <w:szCs w:val="24"/>
              </w:rPr>
              <w:t>1.44%</w:t>
            </w:r>
          </w:p>
        </w:tc>
        <w:tc>
          <w:tcPr>
            <w:vAlign w:val="center"/>
          </w:tcPr>
          <w:p>
            <w:pPr>
              <w:jc w:val="center"/>
            </w:pPr>
            <w:r>
              <w:rPr>
                <w:color w:val="000000"/>
                <w:sz w:val="24"/>
                <w:szCs w:val="24"/>
              </w:rPr>
              <w:t>64.42%</w:t>
            </w:r>
          </w:p>
        </w:tc>
        <w:tc>
          <w:tcPr>
            <w:vAlign w:val="center"/>
          </w:tcPr>
          <w:p>
            <w:pPr>
              <w:jc w:val="center"/>
            </w:pPr>
            <w:r>
              <w:rPr>
                <w:color w:val="000000"/>
                <w:sz w:val="24"/>
                <w:szCs w:val="24"/>
              </w:rPr>
              <w:t>1.35%</w:t>
            </w:r>
          </w:p>
        </w:tc>
        <w:tc>
          <w:tcPr>
            <w:vAlign w:val="center"/>
          </w:tcPr>
          <w:p>
            <w:pPr>
              <w:jc w:val="center"/>
            </w:pPr>
            <w:r>
              <w:rPr>
                <w:color w:val="000000"/>
                <w:sz w:val="24"/>
                <w:szCs w:val="24"/>
              </w:rPr>
              <w:t>30.87%</w:t>
            </w:r>
          </w:p>
        </w:tc>
        <w:tc>
          <w:tcPr>
            <w:vAlign w:val="center"/>
          </w:tcPr>
          <w:p>
            <w:pPr>
              <w:jc w:val="center"/>
            </w:pPr>
            <w:r>
              <w:rPr>
                <w:color w:val="000000"/>
                <w:sz w:val="24"/>
                <w:szCs w:val="24"/>
              </w:rPr>
              <w:t>0.09%</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176.87%</w:t>
            </w:r>
          </w:p>
        </w:tc>
        <w:tc>
          <w:tcPr>
            <w:vAlign w:val="center"/>
          </w:tcPr>
          <w:p>
            <w:pPr>
              <w:jc w:val="center"/>
            </w:pPr>
            <w:r>
              <w:rPr>
                <w:color w:val="000000"/>
                <w:sz w:val="24"/>
                <w:szCs w:val="24"/>
              </w:rPr>
              <w:t>1.35%</w:t>
            </w:r>
          </w:p>
        </w:tc>
        <w:tc>
          <w:tcPr>
            <w:vAlign w:val="center"/>
          </w:tcPr>
          <w:p>
            <w:pPr>
              <w:jc w:val="center"/>
            </w:pPr>
            <w:r>
              <w:rPr>
                <w:color w:val="000000"/>
                <w:sz w:val="24"/>
                <w:szCs w:val="24"/>
              </w:rPr>
              <w:t>123.60%</w:t>
            </w:r>
          </w:p>
        </w:tc>
        <w:tc>
          <w:tcPr>
            <w:vAlign w:val="center"/>
          </w:tcPr>
          <w:p>
            <w:pPr>
              <w:jc w:val="center"/>
            </w:pPr>
            <w:r>
              <w:rPr>
                <w:color w:val="000000"/>
                <w:sz w:val="24"/>
                <w:szCs w:val="24"/>
              </w:rPr>
              <w:t>1.26%</w:t>
            </w:r>
          </w:p>
        </w:tc>
        <w:tc>
          <w:tcPr>
            <w:vAlign w:val="center"/>
          </w:tcPr>
          <w:p>
            <w:pPr>
              <w:jc w:val="center"/>
            </w:pPr>
            <w:r>
              <w:rPr>
                <w:color w:val="000000"/>
                <w:sz w:val="24"/>
                <w:szCs w:val="24"/>
              </w:rPr>
              <w:t>53.27%</w:t>
            </w:r>
          </w:p>
        </w:tc>
        <w:tc>
          <w:tcPr>
            <w:vAlign w:val="center"/>
          </w:tcPr>
          <w:p>
            <w:pPr>
              <w:jc w:val="center"/>
            </w:pPr>
            <w:r>
              <w:rPr>
                <w:color w:val="000000"/>
                <w:sz w:val="24"/>
                <w:szCs w:val="24"/>
              </w:rPr>
              <w:t>0.09%</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138.10%</w:t>
            </w:r>
          </w:p>
        </w:tc>
        <w:tc>
          <w:tcPr>
            <w:vAlign w:val="center"/>
          </w:tcPr>
          <w:p>
            <w:pPr>
              <w:jc w:val="center"/>
            </w:pPr>
            <w:r>
              <w:rPr>
                <w:color w:val="000000"/>
                <w:sz w:val="24"/>
                <w:szCs w:val="24"/>
              </w:rPr>
              <w:t>1.37%</w:t>
            </w:r>
          </w:p>
        </w:tc>
        <w:tc>
          <w:tcPr>
            <w:vAlign w:val="center"/>
          </w:tcPr>
          <w:p>
            <w:pPr>
              <w:jc w:val="center"/>
            </w:pPr>
            <w:r>
              <w:rPr>
                <w:color w:val="000000"/>
                <w:sz w:val="24"/>
                <w:szCs w:val="24"/>
              </w:rPr>
              <w:t>75.88%</w:t>
            </w:r>
          </w:p>
        </w:tc>
        <w:tc>
          <w:tcPr>
            <w:vAlign w:val="center"/>
          </w:tcPr>
          <w:p>
            <w:pPr>
              <w:jc w:val="center"/>
            </w:pPr>
            <w:r>
              <w:rPr>
                <w:color w:val="000000"/>
                <w:sz w:val="24"/>
                <w:szCs w:val="24"/>
              </w:rPr>
              <w:t>1.38%</w:t>
            </w:r>
          </w:p>
        </w:tc>
        <w:tc>
          <w:tcPr>
            <w:vAlign w:val="center"/>
          </w:tcPr>
          <w:p>
            <w:pPr>
              <w:jc w:val="center"/>
            </w:pPr>
            <w:r>
              <w:rPr>
                <w:color w:val="000000"/>
                <w:sz w:val="24"/>
                <w:szCs w:val="24"/>
              </w:rPr>
              <w:t>62.22%</w:t>
            </w:r>
          </w:p>
        </w:tc>
        <w:tc>
          <w:tcPr>
            <w:vAlign w:val="center"/>
          </w:tcPr>
          <w:p>
            <w:pPr>
              <w:jc w:val="center"/>
            </w:pPr>
            <w:r>
              <w:rPr>
                <w:color w:val="000000"/>
                <w:sz w:val="24"/>
                <w:szCs w:val="24"/>
              </w:rPr>
              <w:t>-0.01%</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85%×中证内地消费主题指数+15%×中信标普全债指数”变更为“85%×中证内地消费主题指数+15%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交银施罗德消费新驱动股票型证券投资基金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2015年7月1日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沪深300行业分层等权重指数证券投资基金转型而来。基金转型日为2015年7月1日。本基金的投资转型期为交银施罗德沪深300行业分层等权重指数证券投资基金转型实施日（即2015年7月1日）起的6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2018-08-24</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三季度，国内疫情基本上已得到控制，整个经济活动开始明显复苏。全球流动性泛滥，导致全球资本市场溢价率快速提升。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三季度仍然主要以消费白马配置为主，主要增加了一些上半年疫情受损后出现明显复苏的行业和个股，如区域白酒、酒店旅游以及医疗服务等，减持了疫情受益的品种。国内消费行业有望迎来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国庆中秋消费复苏比较明显，明年春节可能会更加明显，在假设国内疫情不出现大幅反复的背景下，预计整个吃喝玩乐以及医疗服务等行业或在未来三到四个季度出现比较明显的环比改善和高增长。</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546,468,220.46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546,468,220.46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74,297,253.47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11.93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1,793,659.92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622,559,133.85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406,529,331.17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21,339,013.36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30,323,380.59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4.99</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6,828,250.94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29,897,340.00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25,026,341.90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728,898.05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25,726,533.20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27,838.10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546,468,220.46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89.97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32,670</w:t>
            </w:r>
          </w:p>
        </w:tc>
        <w:tc>
          <w:tcPr>
            <w:vAlign w:val="center"/>
          </w:tcPr>
          <w:p>
            <w:pPr>
              <w:jc w:val="right"/>
            </w:pPr>
            <w:r>
              <w:rPr>
                <w:color w:val="000000"/>
                <w:sz w:val="24"/>
                <w:szCs w:val="24"/>
              </w:rPr>
              <w:t>54,509,895.00</w:t>
            </w:r>
          </w:p>
        </w:tc>
        <w:tc>
          <w:tcPr>
            <w:vAlign w:val="center"/>
          </w:tcPr>
          <w:p>
            <w:pPr>
              <w:jc w:val="right"/>
            </w:pPr>
            <w:r>
              <w:rPr>
                <w:color w:val="000000"/>
                <w:sz w:val="24"/>
                <w:szCs w:val="24"/>
              </w:rPr>
              <w:t>8.97</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427,055</w:t>
            </w:r>
          </w:p>
        </w:tc>
        <w:tc>
          <w:tcPr>
            <w:vAlign w:val="center"/>
          </w:tcPr>
          <w:p>
            <w:pPr>
              <w:jc w:val="right"/>
            </w:pPr>
            <w:r>
              <w:rPr>
                <w:color w:val="000000"/>
                <w:sz w:val="24"/>
                <w:szCs w:val="24"/>
              </w:rPr>
              <w:t>53,377,604.45</w:t>
            </w:r>
          </w:p>
        </w:tc>
        <w:tc>
          <w:tcPr>
            <w:vAlign w:val="center"/>
          </w:tcPr>
          <w:p>
            <w:pPr>
              <w:jc w:val="right"/>
            </w:pPr>
            <w:r>
              <w:rPr>
                <w:color w:val="000000"/>
                <w:sz w:val="24"/>
                <w:szCs w:val="24"/>
              </w:rPr>
              <w:t>8.79</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218,294</w:t>
            </w:r>
          </w:p>
        </w:tc>
        <w:tc>
          <w:tcPr>
            <w:vAlign w:val="center"/>
          </w:tcPr>
          <w:p>
            <w:pPr>
              <w:jc w:val="right"/>
            </w:pPr>
            <w:r>
              <w:rPr>
                <w:color w:val="000000"/>
                <w:sz w:val="24"/>
                <w:szCs w:val="24"/>
              </w:rPr>
              <w:t>48,242,974.00</w:t>
            </w:r>
          </w:p>
        </w:tc>
        <w:tc>
          <w:tcPr>
            <w:vAlign w:val="center"/>
          </w:tcPr>
          <w:p>
            <w:pPr>
              <w:jc w:val="right"/>
            </w:pPr>
            <w:r>
              <w:rPr>
                <w:color w:val="000000"/>
                <w:sz w:val="24"/>
                <w:szCs w:val="24"/>
              </w:rPr>
              <w:t>7.94</w:t>
            </w:r>
          </w:p>
        </w:tc>
      </w:tr>
      <w:tr>
        <w:tc>
          <w:tcPr>
            <w:vAlign w:val="center"/>
          </w:tcPr>
          <w:p>
            <w:pPr>
              <w:jc w:val="center"/>
            </w:pPr>
            <w:r>
              <w:rPr>
                <w:color w:val="000000"/>
                <w:sz w:val="24"/>
                <w:szCs w:val="24"/>
              </w:rPr>
              <w:t>4</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1,671,548</w:t>
            </w:r>
          </w:p>
        </w:tc>
        <w:tc>
          <w:tcPr>
            <w:vAlign w:val="center"/>
          </w:tcPr>
          <w:p>
            <w:pPr>
              <w:jc w:val="right"/>
            </w:pPr>
            <w:r>
              <w:rPr>
                <w:color w:val="000000"/>
                <w:sz w:val="24"/>
                <w:szCs w:val="24"/>
              </w:rPr>
              <w:t>35,119,223.48</w:t>
            </w:r>
          </w:p>
        </w:tc>
        <w:tc>
          <w:tcPr>
            <w:vAlign w:val="center"/>
          </w:tcPr>
          <w:p>
            <w:pPr>
              <w:jc w:val="right"/>
            </w:pPr>
            <w:r>
              <w:rPr>
                <w:color w:val="000000"/>
                <w:sz w:val="24"/>
                <w:szCs w:val="24"/>
              </w:rPr>
              <w:t>5.78</w:t>
            </w:r>
          </w:p>
        </w:tc>
      </w:tr>
      <w:tr>
        <w:tc>
          <w:tcPr>
            <w:vAlign w:val="center"/>
          </w:tcPr>
          <w:p>
            <w:pPr>
              <w:jc w:val="center"/>
            </w:pPr>
            <w:r>
              <w:rPr>
                <w:color w:val="000000"/>
                <w:sz w:val="24"/>
                <w:szCs w:val="24"/>
              </w:rPr>
              <w:t>5</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369,454</w:t>
            </w:r>
          </w:p>
        </w:tc>
        <w:tc>
          <w:tcPr>
            <w:vAlign w:val="center"/>
          </w:tcPr>
          <w:p>
            <w:pPr>
              <w:jc w:val="right"/>
            </w:pPr>
            <w:r>
              <w:rPr>
                <w:color w:val="000000"/>
                <w:sz w:val="24"/>
                <w:szCs w:val="24"/>
              </w:rPr>
              <w:t>30,424,536.90</w:t>
            </w:r>
          </w:p>
        </w:tc>
        <w:tc>
          <w:tcPr>
            <w:vAlign w:val="center"/>
          </w:tcPr>
          <w:p>
            <w:pPr>
              <w:jc w:val="right"/>
            </w:pPr>
            <w:r>
              <w:rPr>
                <w:color w:val="000000"/>
                <w:sz w:val="24"/>
                <w:szCs w:val="24"/>
              </w:rPr>
              <w:t>5.01</w:t>
            </w:r>
          </w:p>
        </w:tc>
      </w:tr>
      <w:tr>
        <w:tc>
          <w:tcPr>
            <w:vAlign w:val="center"/>
          </w:tcPr>
          <w:p>
            <w:pPr>
              <w:jc w:val="center"/>
            </w:pPr>
            <w:r>
              <w:rPr>
                <w:color w:val="000000"/>
                <w:sz w:val="24"/>
                <w:szCs w:val="24"/>
              </w:rPr>
              <w:t>6</w:t>
            </w:r>
          </w:p>
        </w:tc>
        <w:tc>
          <w:tcPr>
            <w:vAlign w:val="center"/>
          </w:tcPr>
          <w:p>
            <w:pPr>
              <w:jc w:val="center"/>
            </w:pPr>
            <w:r>
              <w:rPr>
                <w:color w:val="000000"/>
                <w:sz w:val="24"/>
                <w:szCs w:val="24"/>
              </w:rPr>
              <w:t>600779</w:t>
            </w:r>
          </w:p>
        </w:tc>
        <w:tc>
          <w:tcPr>
            <w:vAlign w:val="center"/>
          </w:tcPr>
          <w:p>
            <w:pPr>
              <w:jc w:val="center"/>
            </w:pPr>
            <w:r>
              <w:rPr>
                <w:color w:val="000000"/>
                <w:sz w:val="24"/>
                <w:szCs w:val="24"/>
              </w:rPr>
              <w:t>水井坊</w:t>
            </w:r>
          </w:p>
        </w:tc>
        <w:tc>
          <w:tcPr>
            <w:vAlign w:val="center"/>
          </w:tcPr>
          <w:p>
            <w:pPr>
              <w:jc w:val="right"/>
            </w:pPr>
            <w:r>
              <w:rPr>
                <w:color w:val="000000"/>
                <w:sz w:val="24"/>
                <w:szCs w:val="24"/>
              </w:rPr>
              <w:t>471,124</w:t>
            </w:r>
          </w:p>
        </w:tc>
        <w:tc>
          <w:tcPr>
            <w:vAlign w:val="center"/>
          </w:tcPr>
          <w:p>
            <w:pPr>
              <w:jc w:val="right"/>
            </w:pPr>
            <w:r>
              <w:rPr>
                <w:color w:val="000000"/>
                <w:sz w:val="24"/>
                <w:szCs w:val="24"/>
              </w:rPr>
              <w:t>30,387,498.00</w:t>
            </w:r>
          </w:p>
        </w:tc>
        <w:tc>
          <w:tcPr>
            <w:vAlign w:val="center"/>
          </w:tcPr>
          <w:p>
            <w:pPr>
              <w:jc w:val="right"/>
            </w:pPr>
            <w:r>
              <w:rPr>
                <w:color w:val="000000"/>
                <w:sz w:val="24"/>
                <w:szCs w:val="24"/>
              </w:rPr>
              <w:t>5.00</w:t>
            </w:r>
          </w:p>
        </w:tc>
      </w:tr>
      <w:tr>
        <w:tc>
          <w:tcPr>
            <w:vAlign w:val="center"/>
          </w:tcPr>
          <w:p>
            <w:pPr>
              <w:jc w:val="center"/>
            </w:pPr>
            <w:r>
              <w:rPr>
                <w:color w:val="000000"/>
                <w:sz w:val="24"/>
                <w:szCs w:val="24"/>
              </w:rPr>
              <w:t>7</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743,767</w:t>
            </w:r>
          </w:p>
        </w:tc>
        <w:tc>
          <w:tcPr>
            <w:vAlign w:val="center"/>
          </w:tcPr>
          <w:p>
            <w:pPr>
              <w:jc w:val="right"/>
            </w:pPr>
            <w:r>
              <w:rPr>
                <w:color w:val="000000"/>
                <w:sz w:val="24"/>
                <w:szCs w:val="24"/>
              </w:rPr>
              <w:t>30,323,380.59</w:t>
            </w:r>
          </w:p>
        </w:tc>
        <w:tc>
          <w:tcPr>
            <w:vAlign w:val="center"/>
          </w:tcPr>
          <w:p>
            <w:pPr>
              <w:jc w:val="right"/>
            </w:pPr>
            <w:r>
              <w:rPr>
                <w:color w:val="000000"/>
                <w:sz w:val="24"/>
                <w:szCs w:val="24"/>
              </w:rPr>
              <w:t>4.99</w:t>
            </w:r>
          </w:p>
        </w:tc>
      </w:tr>
      <w:tr>
        <w:tc>
          <w:tcPr>
            <w:vAlign w:val="center"/>
          </w:tcPr>
          <w:p>
            <w:pPr>
              <w:jc w:val="center"/>
            </w:pPr>
            <w:r>
              <w:rPr>
                <w:color w:val="000000"/>
                <w:sz w:val="24"/>
                <w:szCs w:val="24"/>
              </w:rPr>
              <w:t>8</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1,067,000</w:t>
            </w:r>
          </w:p>
        </w:tc>
        <w:tc>
          <w:tcPr>
            <w:vAlign w:val="center"/>
          </w:tcPr>
          <w:p>
            <w:pPr>
              <w:jc w:val="right"/>
            </w:pPr>
            <w:r>
              <w:rPr>
                <w:color w:val="000000"/>
                <w:sz w:val="24"/>
                <w:szCs w:val="24"/>
              </w:rPr>
              <w:t>29,897,340.00</w:t>
            </w:r>
          </w:p>
        </w:tc>
        <w:tc>
          <w:tcPr>
            <w:vAlign w:val="center"/>
          </w:tcPr>
          <w:p>
            <w:pPr>
              <w:jc w:val="right"/>
            </w:pPr>
            <w:r>
              <w:rPr>
                <w:color w:val="000000"/>
                <w:sz w:val="24"/>
                <w:szCs w:val="24"/>
              </w:rPr>
              <w:t>4.92</w:t>
            </w:r>
          </w:p>
        </w:tc>
      </w:tr>
      <w:tr>
        <w:tc>
          <w:tcPr>
            <w:vAlign w:val="center"/>
          </w:tcPr>
          <w:p>
            <w:pPr>
              <w:jc w:val="center"/>
            </w:pPr>
            <w:r>
              <w:rPr>
                <w:color w:val="000000"/>
                <w:sz w:val="24"/>
                <w:szCs w:val="24"/>
              </w:rPr>
              <w:t>9</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246,419</w:t>
            </w:r>
          </w:p>
        </w:tc>
        <w:tc>
          <w:tcPr>
            <w:vAlign w:val="center"/>
          </w:tcPr>
          <w:p>
            <w:pPr>
              <w:jc w:val="right"/>
            </w:pPr>
            <w:r>
              <w:rPr>
                <w:color w:val="000000"/>
                <w:sz w:val="24"/>
                <w:szCs w:val="24"/>
              </w:rPr>
              <w:t>25,011,528.50</w:t>
            </w:r>
          </w:p>
        </w:tc>
        <w:tc>
          <w:tcPr>
            <w:vAlign w:val="center"/>
          </w:tcPr>
          <w:p>
            <w:pPr>
              <w:jc w:val="right"/>
            </w:pPr>
            <w:r>
              <w:rPr>
                <w:color w:val="000000"/>
                <w:sz w:val="24"/>
                <w:szCs w:val="24"/>
              </w:rPr>
              <w:t>4.12</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422,200</w:t>
            </w:r>
          </w:p>
        </w:tc>
        <w:tc>
          <w:tcPr>
            <w:vAlign w:val="center"/>
          </w:tcPr>
          <w:p>
            <w:pPr>
              <w:jc w:val="right"/>
            </w:pPr>
            <w:r>
              <w:rPr>
                <w:color w:val="000000"/>
                <w:sz w:val="24"/>
                <w:szCs w:val="24"/>
              </w:rPr>
              <w:t>22,756,580.00</w:t>
            </w:r>
          </w:p>
        </w:tc>
        <w:tc>
          <w:tcPr>
            <w:vAlign w:val="center"/>
          </w:tcPr>
          <w:p>
            <w:pPr>
              <w:jc w:val="right"/>
            </w:pPr>
            <w:r>
              <w:rPr>
                <w:color w:val="000000"/>
                <w:sz w:val="24"/>
                <w:szCs w:val="24"/>
              </w:rPr>
              <w:t>3.75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198,567.71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6,150.76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1,588,941.45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1,793,659.92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294,817,260.62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292,995,116.53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198,272,999.84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389,539,377.31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w:t>
            </w:r>
            <w:r w:rsidRPr="00ED2620">
              <w:rPr>
                <w:color w:val="000000"/>
                <w:sz w:val="24"/>
              </w:rPr>
              <w:lastRenderedPageBreak/>
              <w:t>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lastRenderedPageBreak/>
              <w:t/>
            </w:r>
            <w:r w:rsidRPr="00ED2620">
              <w:rPr>
                <w:rFonts w:eastAsiaTheme="minorEastAsia"/>
                <w:color w:val="000000"/>
                <w:sz w:val="24"/>
              </w:rPr>
              <w:lastRenderedPageBreak/>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4.65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2、如果本报告期间发生转换出业务，则总赎回份额中包含该业务。</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1、中国证监会批准交银施罗德沪深300行业分层等权重指数证券投资基金募集的文件；</w:t>
      </w:r>
    </w:p>
    <w:p>
      <w:pPr>
        <w:spacing w:before="29" w:line="288" w:lineRule="auto"/>
        <w:ind w:firstLine="480" w:firstLineChars="200"/>
        <w:rPr>
          <w:color w:val="000000"/>
          <w:sz w:val="24"/>
          <w:szCs w:val="24"/>
        </w:rPr>
      </w:pPr>
      <w:r>
        <w:rPr>
          <w:color w:val="000000"/>
          <w:sz w:val="24"/>
          <w:szCs w:val="24"/>
        </w:rPr>
        <w:t>2、《交银施罗德消费新驱动股票型证券投资基金基金合同》；</w:t>
      </w:r>
    </w:p>
    <w:p>
      <w:pPr>
        <w:spacing w:before="29" w:line="288" w:lineRule="auto"/>
        <w:ind w:firstLine="480" w:firstLineChars="200"/>
        <w:rPr>
          <w:color w:val="000000"/>
          <w:sz w:val="24"/>
          <w:szCs w:val="24"/>
        </w:rPr>
      </w:pPr>
      <w:r>
        <w:rPr>
          <w:color w:val="000000"/>
          <w:sz w:val="24"/>
          <w:szCs w:val="24"/>
        </w:rPr>
        <w:t>3、《交银施罗德消费新驱动股票型证券投资基金招募说明书》；</w:t>
      </w:r>
    </w:p>
    <w:p>
      <w:pPr>
        <w:spacing w:before="29" w:line="288" w:lineRule="auto"/>
        <w:ind w:firstLine="480" w:firstLineChars="200"/>
        <w:rPr>
          <w:color w:val="000000"/>
          <w:sz w:val="24"/>
          <w:szCs w:val="24"/>
        </w:rPr>
      </w:pPr>
      <w:r>
        <w:rPr>
          <w:color w:val="000000"/>
          <w:sz w:val="24"/>
          <w:szCs w:val="24"/>
        </w:rPr>
        <w:t>4、《交银施罗德消费新驱动股票型证券投资基金托管协议》；</w:t>
      </w:r>
    </w:p>
    <w:p>
      <w:pPr>
        <w:spacing w:before="29" w:line="288" w:lineRule="auto"/>
        <w:ind w:firstLine="480" w:firstLineChars="200"/>
        <w:rPr>
          <w:color w:val="000000"/>
          <w:sz w:val="24"/>
          <w:szCs w:val="24"/>
        </w:rPr>
      </w:pPr>
      <w:r>
        <w:rPr>
          <w:color w:val="000000"/>
          <w:sz w:val="24"/>
          <w:szCs w:val="24"/>
        </w:rPr>
        <w:t>5、《交银施罗德沪深300行业分层等权重指数证券投资基金基金合同》；</w:t>
      </w:r>
    </w:p>
    <w:p>
      <w:pPr>
        <w:spacing w:before="29" w:line="288" w:lineRule="auto"/>
        <w:ind w:firstLine="480" w:firstLineChars="200"/>
        <w:rPr>
          <w:color w:val="000000"/>
          <w:sz w:val="24"/>
          <w:szCs w:val="24"/>
        </w:rPr>
      </w:pPr>
      <w:r>
        <w:rPr>
          <w:color w:val="000000"/>
          <w:sz w:val="24"/>
          <w:szCs w:val="24"/>
        </w:rPr>
        <w:t>6、《交银施罗德沪深300行业分层等权重指数证券投资基金招募说明书》；</w:t>
      </w:r>
    </w:p>
    <w:p>
      <w:pPr>
        <w:spacing w:before="29" w:line="288" w:lineRule="auto"/>
        <w:ind w:firstLine="480" w:firstLineChars="200"/>
        <w:rPr>
          <w:color w:val="000000"/>
          <w:sz w:val="24"/>
          <w:szCs w:val="24"/>
        </w:rPr>
      </w:pPr>
      <w:r>
        <w:rPr>
          <w:color w:val="000000"/>
          <w:sz w:val="24"/>
          <w:szCs w:val="24"/>
        </w:rPr>
        <w:t>7、《交银施罗德沪深300行业分层等权重指数证券投资基金托管协议》；</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w:t>
      </w:r>
    </w:p>
    <w:p>
      <w:pPr>
        <w:spacing w:before="29" w:line="288" w:lineRule="auto"/>
        <w:ind w:firstLine="480" w:firstLineChars="200"/>
        <w:rPr>
          <w:color w:val="000000"/>
          <w:sz w:val="24"/>
          <w:szCs w:val="24"/>
        </w:rPr>
      </w:pPr>
      <w:r>
        <w:rPr>
          <w:color w:val="000000"/>
          <w:sz w:val="24"/>
          <w:szCs w:val="24"/>
        </w:rPr>
        <w:t>10、关于申请募集交银施罗德沪深300行业分层等权重指数证券投资基金之法律意见书；</w:t>
      </w:r>
    </w:p>
    <w:p>
      <w:pPr>
        <w:spacing w:before="29" w:line="288" w:lineRule="auto"/>
        <w:ind w:firstLine="480" w:firstLineChars="200"/>
        <w:rPr>
          <w:color w:val="000000"/>
          <w:sz w:val="24"/>
          <w:szCs w:val="24"/>
        </w:rPr>
      </w:pPr>
      <w:r>
        <w:rPr>
          <w:color w:val="000000"/>
          <w:sz w:val="24"/>
          <w:szCs w:val="24"/>
        </w:rPr>
        <w:t>11、关于《申请交银施罗德沪深300行业分层等权重指数证券投资基金变更注册为交银施罗德消费新驱动股票型证券投资基金》的法律意见；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12、报告期内交银施罗德消费新驱动股票型证券投资基金、交银施罗德沪深300行业分层等权重指数证券投资基金在指定报刊上各项公告的原稿。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交银施罗德消费新驱动股票型证券投资基金2020年第3季度报告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