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755E9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8BAE9C1"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55A6403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65FB6E07"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79B8E4C5" w14:textId="77777777" w:rsidR="000C1E17" w:rsidRPr="00414345" w:rsidRDefault="000C1E17" w:rsidP="00C15CAC">
      <w:pPr>
        <w:autoSpaceDE w:val="0"/>
        <w:autoSpaceDN w:val="0"/>
        <w:adjustRightInd w:val="0"/>
        <w:spacing w:before="29" w:line="288" w:lineRule="auto"/>
        <w:jc w:val="left"/>
        <w:rPr>
          <w:color w:val="000000"/>
          <w:kern w:val="0"/>
          <w:sz w:val="24"/>
          <w:szCs w:val="24"/>
        </w:rPr>
      </w:pPr>
    </w:p>
    <w:p w14:paraId="452D5ECA" w14:textId="77777777" w:rsidR="002279D3" w:rsidRPr="0081286B" w:rsidRDefault="002279D3" w:rsidP="00C15CAC">
      <w:pPr>
        <w:spacing w:before="29" w:line="288" w:lineRule="auto"/>
        <w:jc w:val="center"/>
        <w:rPr>
          <w:b/>
          <w:sz w:val="36"/>
          <w:szCs w:val="36"/>
        </w:rPr>
      </w:pPr>
      <w:r w:rsidRPr="0081286B">
        <w:rPr>
          <w:b/>
          <w:sz w:val="36"/>
          <w:szCs w:val="36"/>
        </w:rPr>
        <w:t>交银施罗德先锋混合型证券投资基金</w:t>
      </w:r>
    </w:p>
    <w:p w14:paraId="789A43B8" w14:textId="77777777"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14:paraId="5124EFF7" w14:textId="77777777"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14:paraId="1116B5F8" w14:textId="77777777" w:rsidR="004061AC" w:rsidRPr="00414345" w:rsidRDefault="004061AC" w:rsidP="00C15CAC">
      <w:pPr>
        <w:spacing w:before="29" w:line="288" w:lineRule="auto"/>
        <w:jc w:val="center"/>
        <w:rPr>
          <w:b/>
          <w:bCs/>
          <w:color w:val="000000"/>
          <w:sz w:val="24"/>
          <w:szCs w:val="24"/>
        </w:rPr>
      </w:pPr>
    </w:p>
    <w:p w14:paraId="2F4F9967" w14:textId="77777777" w:rsidR="004061AC" w:rsidRPr="00414345" w:rsidRDefault="004061AC" w:rsidP="00C15CAC">
      <w:pPr>
        <w:spacing w:before="29" w:line="288" w:lineRule="auto"/>
        <w:jc w:val="center"/>
        <w:rPr>
          <w:b/>
          <w:bCs/>
          <w:color w:val="000000"/>
          <w:sz w:val="24"/>
          <w:szCs w:val="24"/>
        </w:rPr>
      </w:pPr>
    </w:p>
    <w:p w14:paraId="1BBCC1A3" w14:textId="77777777" w:rsidR="004061AC" w:rsidRPr="00414345" w:rsidRDefault="004061AC" w:rsidP="00C15CAC">
      <w:pPr>
        <w:spacing w:before="29" w:line="288" w:lineRule="auto"/>
        <w:jc w:val="center"/>
        <w:rPr>
          <w:b/>
          <w:bCs/>
          <w:color w:val="000000"/>
          <w:sz w:val="24"/>
          <w:szCs w:val="24"/>
        </w:rPr>
      </w:pPr>
    </w:p>
    <w:p w14:paraId="335D4D0D" w14:textId="77777777" w:rsidR="004061AC" w:rsidRPr="00414345" w:rsidRDefault="004061AC" w:rsidP="00C15CAC">
      <w:pPr>
        <w:spacing w:before="29" w:line="288" w:lineRule="auto"/>
        <w:jc w:val="center"/>
        <w:rPr>
          <w:b/>
          <w:bCs/>
          <w:color w:val="000000"/>
          <w:sz w:val="24"/>
          <w:szCs w:val="24"/>
        </w:rPr>
      </w:pPr>
    </w:p>
    <w:p w14:paraId="1D61C677" w14:textId="77777777" w:rsidR="004061AC" w:rsidRPr="00414345" w:rsidRDefault="004061AC" w:rsidP="00C15CAC">
      <w:pPr>
        <w:spacing w:before="29" w:line="288" w:lineRule="auto"/>
        <w:jc w:val="center"/>
        <w:rPr>
          <w:b/>
          <w:bCs/>
          <w:color w:val="000000"/>
          <w:sz w:val="24"/>
          <w:szCs w:val="24"/>
        </w:rPr>
      </w:pPr>
    </w:p>
    <w:p w14:paraId="4B07756F" w14:textId="77777777" w:rsidR="004061AC" w:rsidRPr="00414345" w:rsidRDefault="004061AC" w:rsidP="00C15CAC">
      <w:pPr>
        <w:spacing w:before="29" w:line="288" w:lineRule="auto"/>
        <w:jc w:val="center"/>
        <w:rPr>
          <w:b/>
          <w:bCs/>
          <w:color w:val="000000"/>
          <w:sz w:val="24"/>
          <w:szCs w:val="24"/>
        </w:rPr>
      </w:pPr>
    </w:p>
    <w:p w14:paraId="7830F19F" w14:textId="77777777" w:rsidR="004061AC" w:rsidRPr="00414345" w:rsidRDefault="004061AC" w:rsidP="00C15CAC">
      <w:pPr>
        <w:spacing w:before="29" w:line="288" w:lineRule="auto"/>
        <w:jc w:val="center"/>
        <w:rPr>
          <w:b/>
          <w:bCs/>
          <w:color w:val="000000"/>
          <w:sz w:val="24"/>
          <w:szCs w:val="24"/>
        </w:rPr>
      </w:pPr>
    </w:p>
    <w:p w14:paraId="08B259D9" w14:textId="77777777" w:rsidR="004061AC" w:rsidRPr="00414345" w:rsidRDefault="004061AC" w:rsidP="00C15CAC">
      <w:pPr>
        <w:spacing w:before="29" w:line="288" w:lineRule="auto"/>
        <w:jc w:val="center"/>
        <w:rPr>
          <w:b/>
          <w:bCs/>
          <w:color w:val="000000"/>
          <w:sz w:val="24"/>
          <w:szCs w:val="24"/>
        </w:rPr>
      </w:pPr>
    </w:p>
    <w:p w14:paraId="3D2DA1B0" w14:textId="77777777" w:rsidR="004061AC" w:rsidRPr="00414345" w:rsidRDefault="004061AC" w:rsidP="00C15CAC">
      <w:pPr>
        <w:spacing w:before="29" w:line="288" w:lineRule="auto"/>
        <w:jc w:val="center"/>
        <w:rPr>
          <w:b/>
          <w:bCs/>
          <w:color w:val="000000"/>
          <w:sz w:val="24"/>
          <w:szCs w:val="24"/>
        </w:rPr>
      </w:pPr>
    </w:p>
    <w:p w14:paraId="1AA0BE32" w14:textId="77777777" w:rsidR="004061AC" w:rsidRPr="00414345" w:rsidRDefault="004061AC" w:rsidP="00C15CAC">
      <w:pPr>
        <w:spacing w:before="29" w:line="288" w:lineRule="auto"/>
        <w:jc w:val="center"/>
        <w:rPr>
          <w:b/>
          <w:bCs/>
          <w:color w:val="000000"/>
          <w:sz w:val="24"/>
          <w:szCs w:val="24"/>
        </w:rPr>
      </w:pPr>
    </w:p>
    <w:p w14:paraId="23AD552A" w14:textId="77777777" w:rsidR="004061AC" w:rsidRPr="00414345" w:rsidRDefault="004061AC" w:rsidP="00C15CAC">
      <w:pPr>
        <w:spacing w:before="29" w:line="288" w:lineRule="auto"/>
        <w:jc w:val="center"/>
        <w:rPr>
          <w:b/>
          <w:bCs/>
          <w:color w:val="000000"/>
          <w:sz w:val="24"/>
          <w:szCs w:val="24"/>
        </w:rPr>
      </w:pPr>
    </w:p>
    <w:p w14:paraId="4BA8ED4C" w14:textId="77777777" w:rsidR="004061AC" w:rsidRPr="00414345" w:rsidRDefault="004061AC" w:rsidP="00C15CAC">
      <w:pPr>
        <w:spacing w:before="29" w:line="288" w:lineRule="auto"/>
        <w:jc w:val="center"/>
        <w:rPr>
          <w:b/>
          <w:bCs/>
          <w:color w:val="000000"/>
          <w:sz w:val="24"/>
          <w:szCs w:val="24"/>
        </w:rPr>
      </w:pPr>
    </w:p>
    <w:p w14:paraId="2AA44990"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14:paraId="7BA6E1B1" w14:textId="77777777"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14:paraId="4C2D2EF9" w14:textId="77777777"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14:paraId="7C6FE10B" w14:textId="77777777"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14:paraId="6B1953FC" w14:textId="77777777" w:rsidR="00FD27AD" w:rsidRDefault="002435E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14:paraId="45B7E774" w14:textId="77777777" w:rsidR="00FD27AD" w:rsidRDefault="002435EC">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14:paraId="3B371F30" w14:textId="77777777" w:rsidR="00FD27AD" w:rsidRDefault="002435E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14:paraId="4CB44A4E" w14:textId="77777777" w:rsidR="00FD27AD" w:rsidRDefault="002435E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14:paraId="3B937252" w14:textId="77777777" w:rsidR="00FD27AD" w:rsidRDefault="002435EC">
      <w:pPr>
        <w:spacing w:before="29" w:line="288" w:lineRule="auto"/>
        <w:ind w:firstLineChars="200" w:firstLine="480"/>
        <w:rPr>
          <w:color w:val="000000"/>
          <w:sz w:val="24"/>
          <w:szCs w:val="24"/>
        </w:rPr>
      </w:pPr>
      <w:r>
        <w:rPr>
          <w:color w:val="000000"/>
          <w:sz w:val="24"/>
          <w:szCs w:val="24"/>
        </w:rPr>
        <w:t>本报告中财务资料未经审计。</w:t>
      </w:r>
    </w:p>
    <w:p w14:paraId="2295816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14:paraId="5C92A03D" w14:textId="77777777" w:rsidR="00627E2D" w:rsidRPr="00414345" w:rsidRDefault="00627E2D" w:rsidP="00C15CAC">
      <w:pPr>
        <w:spacing w:before="29" w:line="288" w:lineRule="auto"/>
        <w:ind w:firstLineChars="200" w:firstLine="480"/>
        <w:rPr>
          <w:color w:val="000000"/>
          <w:sz w:val="24"/>
          <w:szCs w:val="24"/>
        </w:rPr>
      </w:pPr>
    </w:p>
    <w:p w14:paraId="001A311C"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14:paraId="4123C3AF" w14:textId="77777777" w:rsidTr="006E6726">
        <w:trPr>
          <w:jc w:val="center"/>
        </w:trPr>
        <w:tc>
          <w:tcPr>
            <w:tcW w:w="3023" w:type="dxa"/>
            <w:vAlign w:val="center"/>
          </w:tcPr>
          <w:p w14:paraId="07DAB6B3" w14:textId="77777777"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14:paraId="6C9F94FE" w14:textId="77777777"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14:paraId="0429FCB9"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1416DF07" w14:textId="77777777"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14:paraId="4C76C9D6" w14:textId="77777777"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14:paraId="6D45F51E" w14:textId="77777777"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14:paraId="59D100D9" w14:textId="77777777"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14:paraId="421A7526" w14:textId="77777777"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14:paraId="0C0D175D" w14:textId="77777777"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14:paraId="4A0A522C" w14:textId="77777777" w:rsidTr="006E6726">
        <w:trPr>
          <w:jc w:val="center"/>
        </w:trPr>
        <w:tc>
          <w:tcPr>
            <w:tcW w:w="3023" w:type="dxa"/>
            <w:vAlign w:val="center"/>
          </w:tcPr>
          <w:p w14:paraId="2FD971CA"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14:paraId="43EF2FD2"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14:paraId="0B2AB9F3" w14:textId="77777777" w:rsidTr="006E6726">
        <w:trPr>
          <w:jc w:val="center"/>
        </w:trPr>
        <w:tc>
          <w:tcPr>
            <w:tcW w:w="3023" w:type="dxa"/>
            <w:vAlign w:val="center"/>
          </w:tcPr>
          <w:p w14:paraId="08FF356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14:paraId="41AFAA72"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14:paraId="0BA4D165" w14:textId="77777777" w:rsidTr="006E6726">
        <w:trPr>
          <w:jc w:val="center"/>
        </w:trPr>
        <w:tc>
          <w:tcPr>
            <w:tcW w:w="3023" w:type="dxa"/>
            <w:vAlign w:val="center"/>
          </w:tcPr>
          <w:p w14:paraId="012C4D4A"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14:paraId="1B9DB13A"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339,433,415.20</w:t>
            </w:r>
            <w:r w:rsidRPr="00414345">
              <w:rPr>
                <w:color w:val="000000"/>
                <w:kern w:val="0"/>
                <w:sz w:val="24"/>
                <w:szCs w:val="24"/>
              </w:rPr>
              <w:t>份</w:t>
            </w:r>
          </w:p>
        </w:tc>
      </w:tr>
      <w:tr w:rsidR="001B2F35" w:rsidRPr="00414345" w14:paraId="3A67B7B1" w14:textId="77777777" w:rsidTr="006E6726">
        <w:trPr>
          <w:jc w:val="center"/>
        </w:trPr>
        <w:tc>
          <w:tcPr>
            <w:tcW w:w="3023" w:type="dxa"/>
            <w:vAlign w:val="center"/>
          </w:tcPr>
          <w:p w14:paraId="4D01CE1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14:paraId="594B577A"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14:paraId="6A041699" w14:textId="77777777" w:rsidTr="006E6726">
        <w:trPr>
          <w:jc w:val="center"/>
        </w:trPr>
        <w:tc>
          <w:tcPr>
            <w:tcW w:w="3023" w:type="dxa"/>
            <w:vAlign w:val="center"/>
          </w:tcPr>
          <w:p w14:paraId="37FEC902"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14:paraId="4472250C"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14:paraId="030805FA" w14:textId="77777777" w:rsidTr="006E6726">
        <w:trPr>
          <w:jc w:val="center"/>
        </w:trPr>
        <w:tc>
          <w:tcPr>
            <w:tcW w:w="3023" w:type="dxa"/>
            <w:vAlign w:val="center"/>
          </w:tcPr>
          <w:p w14:paraId="39E3D23C"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14:paraId="74051BCA"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14:paraId="31EBD1FF" w14:textId="77777777" w:rsidTr="006E6726">
        <w:trPr>
          <w:jc w:val="center"/>
        </w:trPr>
        <w:tc>
          <w:tcPr>
            <w:tcW w:w="3023" w:type="dxa"/>
            <w:vAlign w:val="center"/>
          </w:tcPr>
          <w:p w14:paraId="65DA0961"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14:paraId="78A6CBF8"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14:paraId="75FABB05" w14:textId="77777777" w:rsidTr="006E6726">
        <w:trPr>
          <w:jc w:val="center"/>
        </w:trPr>
        <w:tc>
          <w:tcPr>
            <w:tcW w:w="3023" w:type="dxa"/>
            <w:vAlign w:val="center"/>
          </w:tcPr>
          <w:p w14:paraId="3EE3E280"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14:paraId="4775318D"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14:paraId="77B120A1" w14:textId="77777777" w:rsidTr="006E6726">
        <w:trPr>
          <w:jc w:val="center"/>
        </w:trPr>
        <w:tc>
          <w:tcPr>
            <w:tcW w:w="3023" w:type="dxa"/>
            <w:vAlign w:val="center"/>
          </w:tcPr>
          <w:p w14:paraId="2EE5B5FD" w14:textId="77777777"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14:paraId="3D837876" w14:textId="77777777"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14:paraId="613DB18E" w14:textId="77777777" w:rsidR="005910BF" w:rsidRPr="00414345" w:rsidRDefault="005910BF" w:rsidP="00C15CAC">
      <w:pPr>
        <w:autoSpaceDE w:val="0"/>
        <w:autoSpaceDN w:val="0"/>
        <w:adjustRightInd w:val="0"/>
        <w:spacing w:before="29" w:line="288" w:lineRule="auto"/>
        <w:jc w:val="left"/>
        <w:rPr>
          <w:color w:val="000000"/>
          <w:kern w:val="0"/>
          <w:sz w:val="24"/>
          <w:szCs w:val="24"/>
        </w:rPr>
      </w:pPr>
    </w:p>
    <w:p w14:paraId="16D1722D"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14:paraId="7C15D6CD"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14:paraId="6CDE67FD"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F7C77" w:rsidRPr="00414345" w14:paraId="4640A2B5" w14:textId="77777777" w:rsidTr="00CF7C77">
        <w:trPr>
          <w:jc w:val="center"/>
        </w:trPr>
        <w:tc>
          <w:tcPr>
            <w:tcW w:w="3402" w:type="dxa"/>
            <w:vAlign w:val="center"/>
          </w:tcPr>
          <w:p w14:paraId="2B4835F2" w14:textId="77777777"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14:paraId="0C4A4116" w14:textId="77777777"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14:paraId="17AF9700" w14:textId="77777777"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CF7C77" w:rsidRPr="00414345" w14:paraId="45C9EABB" w14:textId="77777777" w:rsidTr="00CF7C77">
        <w:trPr>
          <w:jc w:val="center"/>
        </w:trPr>
        <w:tc>
          <w:tcPr>
            <w:tcW w:w="3402" w:type="dxa"/>
            <w:vAlign w:val="center"/>
          </w:tcPr>
          <w:p w14:paraId="38AECD13"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14:paraId="24FE2B25"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132,643,004.37</w:t>
            </w:r>
          </w:p>
        </w:tc>
      </w:tr>
      <w:tr w:rsidR="00CF7C77" w:rsidRPr="00414345" w14:paraId="0928BBDE" w14:textId="77777777" w:rsidTr="00CF7C77">
        <w:trPr>
          <w:jc w:val="center"/>
        </w:trPr>
        <w:tc>
          <w:tcPr>
            <w:tcW w:w="3402" w:type="dxa"/>
            <w:vAlign w:val="center"/>
          </w:tcPr>
          <w:p w14:paraId="6E3EDBED"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14:paraId="7C8804B0"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115,261,376.80</w:t>
            </w:r>
          </w:p>
        </w:tc>
      </w:tr>
      <w:tr w:rsidR="00CF7C77" w:rsidRPr="00414345" w14:paraId="351268A6" w14:textId="77777777" w:rsidTr="00CF7C77">
        <w:trPr>
          <w:jc w:val="center"/>
        </w:trPr>
        <w:tc>
          <w:tcPr>
            <w:tcW w:w="3402" w:type="dxa"/>
            <w:vAlign w:val="center"/>
          </w:tcPr>
          <w:p w14:paraId="7ABBE4B9"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14:paraId="15428C70"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0.3657</w:t>
            </w:r>
          </w:p>
        </w:tc>
      </w:tr>
      <w:tr w:rsidR="00CF7C77" w:rsidRPr="00414345" w14:paraId="2C9CB108" w14:textId="77777777" w:rsidTr="00CF7C77">
        <w:trPr>
          <w:jc w:val="center"/>
        </w:trPr>
        <w:tc>
          <w:tcPr>
            <w:tcW w:w="3402" w:type="dxa"/>
            <w:vAlign w:val="center"/>
          </w:tcPr>
          <w:p w14:paraId="1E45787B"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14:paraId="6A2BC7CB"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734,194,435.75</w:t>
            </w:r>
          </w:p>
        </w:tc>
      </w:tr>
      <w:tr w:rsidR="00CF7C77" w:rsidRPr="00414345" w14:paraId="4DE6E654" w14:textId="77777777" w:rsidTr="00CF7C77">
        <w:trPr>
          <w:trHeight w:val="158"/>
          <w:jc w:val="center"/>
        </w:trPr>
        <w:tc>
          <w:tcPr>
            <w:tcW w:w="3402" w:type="dxa"/>
            <w:vAlign w:val="center"/>
          </w:tcPr>
          <w:p w14:paraId="1240442B" w14:textId="77777777"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14:paraId="4683EB4E" w14:textId="77777777"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2.1630</w:t>
            </w:r>
          </w:p>
        </w:tc>
      </w:tr>
    </w:tbl>
    <w:p w14:paraId="2E1EF9EF" w14:textId="77777777" w:rsidR="00FD27AD" w:rsidRDefault="002435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14:paraId="7567225C"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14:paraId="109E09C7"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9E9CF9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14:paraId="39CCB0F6" w14:textId="77777777"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14:paraId="321BD72F" w14:textId="77777777" w:rsidTr="00A324F4">
        <w:trPr>
          <w:jc w:val="center"/>
        </w:trPr>
        <w:tc>
          <w:tcPr>
            <w:tcW w:w="1614" w:type="dxa"/>
            <w:vAlign w:val="center"/>
          </w:tcPr>
          <w:p w14:paraId="7CADAB8C"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14:paraId="2D9B266D"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14:paraId="341DF426"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14:paraId="7C2C1364"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14:paraId="41F0EF5F"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14:paraId="531BD5B8"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14:paraId="6DE2D540" w14:textId="77777777"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D27AD" w14:paraId="009ED3A5" w14:textId="77777777">
        <w:trPr>
          <w:jc w:val="center"/>
        </w:trPr>
        <w:tc>
          <w:tcPr>
            <w:tcW w:w="1701" w:type="dxa"/>
            <w:vAlign w:val="center"/>
          </w:tcPr>
          <w:p w14:paraId="711B054E" w14:textId="77777777" w:rsidR="00FD27AD" w:rsidRDefault="002435EC">
            <w:pPr>
              <w:jc w:val="left"/>
            </w:pPr>
            <w:r>
              <w:rPr>
                <w:color w:val="000000"/>
                <w:sz w:val="24"/>
                <w:szCs w:val="24"/>
              </w:rPr>
              <w:t>过去三个月</w:t>
            </w:r>
          </w:p>
        </w:tc>
        <w:tc>
          <w:tcPr>
            <w:tcW w:w="1045" w:type="dxa"/>
            <w:vAlign w:val="center"/>
          </w:tcPr>
          <w:p w14:paraId="34A77C5F" w14:textId="77777777" w:rsidR="00FD27AD" w:rsidRDefault="002435EC">
            <w:pPr>
              <w:jc w:val="center"/>
            </w:pPr>
            <w:r>
              <w:rPr>
                <w:color w:val="000000"/>
                <w:sz w:val="24"/>
                <w:szCs w:val="24"/>
              </w:rPr>
              <w:t>22.63%</w:t>
            </w:r>
          </w:p>
        </w:tc>
        <w:tc>
          <w:tcPr>
            <w:tcW w:w="1344" w:type="dxa"/>
            <w:vAlign w:val="center"/>
          </w:tcPr>
          <w:p w14:paraId="185B05E1" w14:textId="77777777" w:rsidR="00FD27AD" w:rsidRDefault="002435EC">
            <w:pPr>
              <w:jc w:val="center"/>
            </w:pPr>
            <w:r>
              <w:rPr>
                <w:color w:val="000000"/>
                <w:sz w:val="24"/>
                <w:szCs w:val="24"/>
              </w:rPr>
              <w:t>1.63%</w:t>
            </w:r>
          </w:p>
        </w:tc>
        <w:tc>
          <w:tcPr>
            <w:tcW w:w="1194" w:type="dxa"/>
            <w:vAlign w:val="center"/>
          </w:tcPr>
          <w:p w14:paraId="76FD5982" w14:textId="77777777" w:rsidR="00FD27AD" w:rsidRDefault="002435EC">
            <w:pPr>
              <w:jc w:val="center"/>
            </w:pPr>
            <w:r>
              <w:rPr>
                <w:color w:val="000000"/>
                <w:sz w:val="24"/>
                <w:szCs w:val="24"/>
              </w:rPr>
              <w:t>5.81%</w:t>
            </w:r>
          </w:p>
        </w:tc>
        <w:tc>
          <w:tcPr>
            <w:tcW w:w="1492" w:type="dxa"/>
            <w:vAlign w:val="center"/>
          </w:tcPr>
          <w:p w14:paraId="705FC915" w14:textId="77777777" w:rsidR="00FD27AD" w:rsidRDefault="002435EC">
            <w:pPr>
              <w:jc w:val="center"/>
            </w:pPr>
            <w:r>
              <w:rPr>
                <w:color w:val="000000"/>
                <w:sz w:val="24"/>
                <w:szCs w:val="24"/>
              </w:rPr>
              <w:t>1.30%</w:t>
            </w:r>
          </w:p>
        </w:tc>
        <w:tc>
          <w:tcPr>
            <w:tcW w:w="1194" w:type="dxa"/>
            <w:vAlign w:val="center"/>
          </w:tcPr>
          <w:p w14:paraId="25B22A62" w14:textId="77777777" w:rsidR="00FD27AD" w:rsidRDefault="002435EC">
            <w:pPr>
              <w:jc w:val="center"/>
            </w:pPr>
            <w:r>
              <w:rPr>
                <w:color w:val="000000"/>
                <w:sz w:val="24"/>
                <w:szCs w:val="24"/>
              </w:rPr>
              <w:t>16.82%</w:t>
            </w:r>
          </w:p>
        </w:tc>
        <w:tc>
          <w:tcPr>
            <w:tcW w:w="898" w:type="dxa"/>
            <w:vAlign w:val="center"/>
          </w:tcPr>
          <w:p w14:paraId="3F10BFE7" w14:textId="77777777" w:rsidR="00FD27AD" w:rsidRDefault="002435EC">
            <w:pPr>
              <w:jc w:val="center"/>
            </w:pPr>
            <w:r>
              <w:rPr>
                <w:color w:val="000000"/>
                <w:sz w:val="24"/>
                <w:szCs w:val="24"/>
              </w:rPr>
              <w:t>0.33%</w:t>
            </w:r>
          </w:p>
        </w:tc>
      </w:tr>
      <w:tr w:rsidR="00FD27AD" w14:paraId="2255FA70" w14:textId="77777777">
        <w:trPr>
          <w:jc w:val="center"/>
        </w:trPr>
        <w:tc>
          <w:tcPr>
            <w:tcW w:w="1701" w:type="dxa"/>
            <w:vAlign w:val="center"/>
          </w:tcPr>
          <w:p w14:paraId="682A026F" w14:textId="77777777" w:rsidR="00FD27AD" w:rsidRDefault="002435EC">
            <w:pPr>
              <w:jc w:val="left"/>
            </w:pPr>
            <w:r>
              <w:rPr>
                <w:color w:val="000000"/>
                <w:sz w:val="24"/>
                <w:szCs w:val="24"/>
              </w:rPr>
              <w:t>过去六个月</w:t>
            </w:r>
          </w:p>
        </w:tc>
        <w:tc>
          <w:tcPr>
            <w:tcW w:w="1045" w:type="dxa"/>
            <w:vAlign w:val="center"/>
          </w:tcPr>
          <w:p w14:paraId="2EAC3D95" w14:textId="77777777" w:rsidR="00FD27AD" w:rsidRDefault="002435EC">
            <w:pPr>
              <w:jc w:val="center"/>
            </w:pPr>
            <w:r>
              <w:rPr>
                <w:color w:val="000000"/>
                <w:sz w:val="24"/>
                <w:szCs w:val="24"/>
              </w:rPr>
              <w:t>52.61%</w:t>
            </w:r>
          </w:p>
        </w:tc>
        <w:tc>
          <w:tcPr>
            <w:tcW w:w="1344" w:type="dxa"/>
            <w:vAlign w:val="center"/>
          </w:tcPr>
          <w:p w14:paraId="20C35998" w14:textId="77777777" w:rsidR="00FD27AD" w:rsidRDefault="002435EC">
            <w:pPr>
              <w:jc w:val="center"/>
            </w:pPr>
            <w:r>
              <w:rPr>
                <w:color w:val="000000"/>
                <w:sz w:val="24"/>
                <w:szCs w:val="24"/>
              </w:rPr>
              <w:t>1.52%</w:t>
            </w:r>
          </w:p>
        </w:tc>
        <w:tc>
          <w:tcPr>
            <w:tcW w:w="1194" w:type="dxa"/>
            <w:vAlign w:val="center"/>
          </w:tcPr>
          <w:p w14:paraId="0150D53E" w14:textId="77777777" w:rsidR="00FD27AD" w:rsidRDefault="002435EC">
            <w:pPr>
              <w:jc w:val="center"/>
            </w:pPr>
            <w:r>
              <w:rPr>
                <w:color w:val="000000"/>
                <w:sz w:val="24"/>
                <w:szCs w:val="24"/>
              </w:rPr>
              <w:t>18.98%</w:t>
            </w:r>
          </w:p>
        </w:tc>
        <w:tc>
          <w:tcPr>
            <w:tcW w:w="1492" w:type="dxa"/>
            <w:vAlign w:val="center"/>
          </w:tcPr>
          <w:p w14:paraId="151167C5" w14:textId="77777777" w:rsidR="00FD27AD" w:rsidRDefault="002435EC">
            <w:pPr>
              <w:jc w:val="center"/>
            </w:pPr>
            <w:r>
              <w:rPr>
                <w:color w:val="000000"/>
                <w:sz w:val="24"/>
                <w:szCs w:val="24"/>
              </w:rPr>
              <w:t>1.10%</w:t>
            </w:r>
          </w:p>
        </w:tc>
        <w:tc>
          <w:tcPr>
            <w:tcW w:w="1194" w:type="dxa"/>
            <w:vAlign w:val="center"/>
          </w:tcPr>
          <w:p w14:paraId="57C6A58A" w14:textId="77777777" w:rsidR="00FD27AD" w:rsidRDefault="002435EC">
            <w:pPr>
              <w:jc w:val="center"/>
            </w:pPr>
            <w:r>
              <w:rPr>
                <w:color w:val="000000"/>
                <w:sz w:val="24"/>
                <w:szCs w:val="24"/>
              </w:rPr>
              <w:t>33.63%</w:t>
            </w:r>
          </w:p>
        </w:tc>
        <w:tc>
          <w:tcPr>
            <w:tcW w:w="898" w:type="dxa"/>
            <w:vAlign w:val="center"/>
          </w:tcPr>
          <w:p w14:paraId="7AC99494" w14:textId="77777777" w:rsidR="00FD27AD" w:rsidRDefault="002435EC">
            <w:pPr>
              <w:jc w:val="center"/>
            </w:pPr>
            <w:r>
              <w:rPr>
                <w:color w:val="000000"/>
                <w:sz w:val="24"/>
                <w:szCs w:val="24"/>
              </w:rPr>
              <w:t>0.42%</w:t>
            </w:r>
          </w:p>
        </w:tc>
      </w:tr>
      <w:tr w:rsidR="00FD27AD" w14:paraId="727AA08C" w14:textId="77777777">
        <w:trPr>
          <w:jc w:val="center"/>
        </w:trPr>
        <w:tc>
          <w:tcPr>
            <w:tcW w:w="1701" w:type="dxa"/>
            <w:vAlign w:val="center"/>
          </w:tcPr>
          <w:p w14:paraId="57755A27" w14:textId="77777777" w:rsidR="00FD27AD" w:rsidRDefault="002435EC">
            <w:pPr>
              <w:jc w:val="left"/>
            </w:pPr>
            <w:r>
              <w:rPr>
                <w:color w:val="000000"/>
                <w:sz w:val="24"/>
                <w:szCs w:val="24"/>
              </w:rPr>
              <w:t>过去一年</w:t>
            </w:r>
          </w:p>
        </w:tc>
        <w:tc>
          <w:tcPr>
            <w:tcW w:w="1045" w:type="dxa"/>
            <w:vAlign w:val="center"/>
          </w:tcPr>
          <w:p w14:paraId="4C105E3D" w14:textId="77777777" w:rsidR="00FD27AD" w:rsidRDefault="002435EC">
            <w:pPr>
              <w:jc w:val="center"/>
            </w:pPr>
            <w:r>
              <w:rPr>
                <w:color w:val="000000"/>
                <w:sz w:val="24"/>
                <w:szCs w:val="24"/>
              </w:rPr>
              <w:t>54.88%</w:t>
            </w:r>
          </w:p>
        </w:tc>
        <w:tc>
          <w:tcPr>
            <w:tcW w:w="1344" w:type="dxa"/>
            <w:vAlign w:val="center"/>
          </w:tcPr>
          <w:p w14:paraId="2AFC1C5C" w14:textId="77777777" w:rsidR="00FD27AD" w:rsidRDefault="002435EC">
            <w:pPr>
              <w:jc w:val="center"/>
            </w:pPr>
            <w:r>
              <w:rPr>
                <w:color w:val="000000"/>
                <w:sz w:val="24"/>
                <w:szCs w:val="24"/>
              </w:rPr>
              <w:t>1.68%</w:t>
            </w:r>
          </w:p>
        </w:tc>
        <w:tc>
          <w:tcPr>
            <w:tcW w:w="1194" w:type="dxa"/>
            <w:vAlign w:val="center"/>
          </w:tcPr>
          <w:p w14:paraId="24D8B2DD" w14:textId="77777777" w:rsidR="00FD27AD" w:rsidRDefault="002435EC">
            <w:pPr>
              <w:jc w:val="center"/>
            </w:pPr>
            <w:r>
              <w:rPr>
                <w:color w:val="000000"/>
                <w:sz w:val="24"/>
                <w:szCs w:val="24"/>
              </w:rPr>
              <w:t>23.73%</w:t>
            </w:r>
          </w:p>
        </w:tc>
        <w:tc>
          <w:tcPr>
            <w:tcW w:w="1492" w:type="dxa"/>
            <w:vAlign w:val="center"/>
          </w:tcPr>
          <w:p w14:paraId="2852A007" w14:textId="77777777" w:rsidR="00FD27AD" w:rsidRDefault="002435EC">
            <w:pPr>
              <w:jc w:val="center"/>
            </w:pPr>
            <w:r>
              <w:rPr>
                <w:color w:val="000000"/>
                <w:sz w:val="24"/>
                <w:szCs w:val="24"/>
              </w:rPr>
              <w:t>1.17%</w:t>
            </w:r>
          </w:p>
        </w:tc>
        <w:tc>
          <w:tcPr>
            <w:tcW w:w="1194" w:type="dxa"/>
            <w:vAlign w:val="center"/>
          </w:tcPr>
          <w:p w14:paraId="04D1FAEC" w14:textId="77777777" w:rsidR="00FD27AD" w:rsidRDefault="002435EC">
            <w:pPr>
              <w:jc w:val="center"/>
            </w:pPr>
            <w:r>
              <w:rPr>
                <w:color w:val="000000"/>
                <w:sz w:val="24"/>
                <w:szCs w:val="24"/>
              </w:rPr>
              <w:t>31.15%</w:t>
            </w:r>
          </w:p>
        </w:tc>
        <w:tc>
          <w:tcPr>
            <w:tcW w:w="898" w:type="dxa"/>
            <w:vAlign w:val="center"/>
          </w:tcPr>
          <w:p w14:paraId="0693E310" w14:textId="77777777" w:rsidR="00FD27AD" w:rsidRDefault="002435EC">
            <w:pPr>
              <w:jc w:val="center"/>
            </w:pPr>
            <w:r>
              <w:rPr>
                <w:color w:val="000000"/>
                <w:sz w:val="24"/>
                <w:szCs w:val="24"/>
              </w:rPr>
              <w:t>0.51%</w:t>
            </w:r>
          </w:p>
        </w:tc>
      </w:tr>
      <w:tr w:rsidR="00FD27AD" w14:paraId="186B7D40" w14:textId="77777777">
        <w:trPr>
          <w:jc w:val="center"/>
        </w:trPr>
        <w:tc>
          <w:tcPr>
            <w:tcW w:w="1701" w:type="dxa"/>
            <w:vAlign w:val="center"/>
          </w:tcPr>
          <w:p w14:paraId="656DFC7D" w14:textId="77777777" w:rsidR="00FD27AD" w:rsidRDefault="002435EC">
            <w:pPr>
              <w:jc w:val="left"/>
            </w:pPr>
            <w:r>
              <w:rPr>
                <w:color w:val="000000"/>
                <w:sz w:val="24"/>
                <w:szCs w:val="24"/>
              </w:rPr>
              <w:lastRenderedPageBreak/>
              <w:t>过去三年</w:t>
            </w:r>
          </w:p>
        </w:tc>
        <w:tc>
          <w:tcPr>
            <w:tcW w:w="1045" w:type="dxa"/>
            <w:vAlign w:val="center"/>
          </w:tcPr>
          <w:p w14:paraId="477C3B53" w14:textId="77777777" w:rsidR="00FD27AD" w:rsidRDefault="002435EC">
            <w:pPr>
              <w:jc w:val="center"/>
            </w:pPr>
            <w:r>
              <w:rPr>
                <w:color w:val="000000"/>
                <w:sz w:val="24"/>
                <w:szCs w:val="24"/>
              </w:rPr>
              <w:t>74.99%</w:t>
            </w:r>
          </w:p>
        </w:tc>
        <w:tc>
          <w:tcPr>
            <w:tcW w:w="1344" w:type="dxa"/>
            <w:vAlign w:val="center"/>
          </w:tcPr>
          <w:p w14:paraId="03FCB8EC" w14:textId="77777777" w:rsidR="00FD27AD" w:rsidRDefault="002435EC">
            <w:pPr>
              <w:jc w:val="center"/>
            </w:pPr>
            <w:r>
              <w:rPr>
                <w:color w:val="000000"/>
                <w:sz w:val="24"/>
                <w:szCs w:val="24"/>
              </w:rPr>
              <w:t>1.75%</w:t>
            </w:r>
          </w:p>
        </w:tc>
        <w:tc>
          <w:tcPr>
            <w:tcW w:w="1194" w:type="dxa"/>
            <w:vAlign w:val="center"/>
          </w:tcPr>
          <w:p w14:paraId="114EDA14" w14:textId="77777777" w:rsidR="00FD27AD" w:rsidRDefault="002435EC">
            <w:pPr>
              <w:jc w:val="center"/>
            </w:pPr>
            <w:r>
              <w:rPr>
                <w:color w:val="000000"/>
                <w:sz w:val="24"/>
                <w:szCs w:val="24"/>
              </w:rPr>
              <w:t>7.58%</w:t>
            </w:r>
          </w:p>
        </w:tc>
        <w:tc>
          <w:tcPr>
            <w:tcW w:w="1492" w:type="dxa"/>
            <w:vAlign w:val="center"/>
          </w:tcPr>
          <w:p w14:paraId="1910E86A" w14:textId="77777777" w:rsidR="00FD27AD" w:rsidRDefault="002435EC">
            <w:pPr>
              <w:jc w:val="center"/>
            </w:pPr>
            <w:r>
              <w:rPr>
                <w:color w:val="000000"/>
                <w:sz w:val="24"/>
                <w:szCs w:val="24"/>
              </w:rPr>
              <w:t>1.11%</w:t>
            </w:r>
          </w:p>
        </w:tc>
        <w:tc>
          <w:tcPr>
            <w:tcW w:w="1194" w:type="dxa"/>
            <w:vAlign w:val="center"/>
          </w:tcPr>
          <w:p w14:paraId="38B0F85C" w14:textId="77777777" w:rsidR="00FD27AD" w:rsidRDefault="002435EC">
            <w:pPr>
              <w:jc w:val="center"/>
            </w:pPr>
            <w:r>
              <w:rPr>
                <w:color w:val="000000"/>
                <w:sz w:val="24"/>
                <w:szCs w:val="24"/>
              </w:rPr>
              <w:t>67.41%</w:t>
            </w:r>
          </w:p>
        </w:tc>
        <w:tc>
          <w:tcPr>
            <w:tcW w:w="898" w:type="dxa"/>
            <w:vAlign w:val="center"/>
          </w:tcPr>
          <w:p w14:paraId="7834B0B1" w14:textId="77777777" w:rsidR="00FD27AD" w:rsidRDefault="002435EC">
            <w:pPr>
              <w:jc w:val="center"/>
            </w:pPr>
            <w:r>
              <w:rPr>
                <w:color w:val="000000"/>
                <w:sz w:val="24"/>
                <w:szCs w:val="24"/>
              </w:rPr>
              <w:t>0.64%</w:t>
            </w:r>
          </w:p>
        </w:tc>
      </w:tr>
      <w:tr w:rsidR="00FD27AD" w14:paraId="232E9A48" w14:textId="77777777">
        <w:trPr>
          <w:jc w:val="center"/>
        </w:trPr>
        <w:tc>
          <w:tcPr>
            <w:tcW w:w="1701" w:type="dxa"/>
            <w:vAlign w:val="center"/>
          </w:tcPr>
          <w:p w14:paraId="6EB0B8F8" w14:textId="77777777" w:rsidR="00FD27AD" w:rsidRDefault="002435EC">
            <w:pPr>
              <w:jc w:val="left"/>
            </w:pPr>
            <w:r>
              <w:rPr>
                <w:color w:val="000000"/>
                <w:sz w:val="24"/>
                <w:szCs w:val="24"/>
              </w:rPr>
              <w:t>过去五年</w:t>
            </w:r>
          </w:p>
        </w:tc>
        <w:tc>
          <w:tcPr>
            <w:tcW w:w="1045" w:type="dxa"/>
            <w:vAlign w:val="center"/>
          </w:tcPr>
          <w:p w14:paraId="0CB4EF31" w14:textId="77777777" w:rsidR="00FD27AD" w:rsidRDefault="002435EC">
            <w:pPr>
              <w:jc w:val="center"/>
            </w:pPr>
            <w:r>
              <w:rPr>
                <w:color w:val="000000"/>
                <w:sz w:val="24"/>
                <w:szCs w:val="24"/>
              </w:rPr>
              <w:t>87.30%</w:t>
            </w:r>
          </w:p>
        </w:tc>
        <w:tc>
          <w:tcPr>
            <w:tcW w:w="1344" w:type="dxa"/>
            <w:vAlign w:val="center"/>
          </w:tcPr>
          <w:p w14:paraId="1448F043" w14:textId="77777777" w:rsidR="00FD27AD" w:rsidRDefault="002435EC">
            <w:pPr>
              <w:jc w:val="center"/>
            </w:pPr>
            <w:r>
              <w:rPr>
                <w:color w:val="000000"/>
                <w:sz w:val="24"/>
                <w:szCs w:val="24"/>
              </w:rPr>
              <w:t>1.88%</w:t>
            </w:r>
          </w:p>
        </w:tc>
        <w:tc>
          <w:tcPr>
            <w:tcW w:w="1194" w:type="dxa"/>
            <w:vAlign w:val="center"/>
          </w:tcPr>
          <w:p w14:paraId="4D35FC6D" w14:textId="77777777" w:rsidR="00FD27AD" w:rsidRDefault="002435EC">
            <w:pPr>
              <w:jc w:val="center"/>
            </w:pPr>
            <w:r>
              <w:rPr>
                <w:color w:val="000000"/>
                <w:sz w:val="24"/>
                <w:szCs w:val="24"/>
              </w:rPr>
              <w:t>16.49%</w:t>
            </w:r>
          </w:p>
        </w:tc>
        <w:tc>
          <w:tcPr>
            <w:tcW w:w="1492" w:type="dxa"/>
            <w:vAlign w:val="center"/>
          </w:tcPr>
          <w:p w14:paraId="2B21C361" w14:textId="77777777" w:rsidR="00FD27AD" w:rsidRDefault="002435EC">
            <w:pPr>
              <w:jc w:val="center"/>
            </w:pPr>
            <w:r>
              <w:rPr>
                <w:color w:val="000000"/>
                <w:sz w:val="24"/>
                <w:szCs w:val="24"/>
              </w:rPr>
              <w:t>1.13%</w:t>
            </w:r>
          </w:p>
        </w:tc>
        <w:tc>
          <w:tcPr>
            <w:tcW w:w="1194" w:type="dxa"/>
            <w:vAlign w:val="center"/>
          </w:tcPr>
          <w:p w14:paraId="49513BA7" w14:textId="77777777" w:rsidR="00FD27AD" w:rsidRDefault="002435EC">
            <w:pPr>
              <w:jc w:val="center"/>
            </w:pPr>
            <w:r>
              <w:rPr>
                <w:color w:val="000000"/>
                <w:sz w:val="24"/>
                <w:szCs w:val="24"/>
              </w:rPr>
              <w:t>70.81%</w:t>
            </w:r>
          </w:p>
        </w:tc>
        <w:tc>
          <w:tcPr>
            <w:tcW w:w="898" w:type="dxa"/>
            <w:vAlign w:val="center"/>
          </w:tcPr>
          <w:p w14:paraId="4C6A4039" w14:textId="77777777" w:rsidR="00FD27AD" w:rsidRDefault="002435EC">
            <w:pPr>
              <w:jc w:val="center"/>
            </w:pPr>
            <w:r>
              <w:rPr>
                <w:color w:val="000000"/>
                <w:sz w:val="24"/>
                <w:szCs w:val="24"/>
              </w:rPr>
              <w:t>0.75%</w:t>
            </w:r>
          </w:p>
        </w:tc>
      </w:tr>
      <w:tr w:rsidR="00FD27AD" w14:paraId="082B662C" w14:textId="77777777">
        <w:trPr>
          <w:jc w:val="center"/>
        </w:trPr>
        <w:tc>
          <w:tcPr>
            <w:tcW w:w="1701" w:type="dxa"/>
            <w:vAlign w:val="center"/>
          </w:tcPr>
          <w:p w14:paraId="4DE19240" w14:textId="77777777" w:rsidR="00FD27AD" w:rsidRDefault="002435EC">
            <w:pPr>
              <w:jc w:val="left"/>
            </w:pPr>
            <w:r>
              <w:rPr>
                <w:color w:val="000000"/>
                <w:sz w:val="24"/>
                <w:szCs w:val="24"/>
              </w:rPr>
              <w:t>自基金合同生效至今</w:t>
            </w:r>
          </w:p>
        </w:tc>
        <w:tc>
          <w:tcPr>
            <w:tcW w:w="1045" w:type="dxa"/>
            <w:vAlign w:val="center"/>
          </w:tcPr>
          <w:p w14:paraId="61B46FC6" w14:textId="77777777" w:rsidR="00FD27AD" w:rsidRDefault="002435EC">
            <w:pPr>
              <w:jc w:val="center"/>
            </w:pPr>
            <w:r>
              <w:rPr>
                <w:color w:val="000000"/>
                <w:sz w:val="24"/>
                <w:szCs w:val="24"/>
              </w:rPr>
              <w:t>189.14%</w:t>
            </w:r>
          </w:p>
        </w:tc>
        <w:tc>
          <w:tcPr>
            <w:tcW w:w="1344" w:type="dxa"/>
            <w:vAlign w:val="center"/>
          </w:tcPr>
          <w:p w14:paraId="6230E68E" w14:textId="77777777" w:rsidR="00FD27AD" w:rsidRDefault="002435EC">
            <w:pPr>
              <w:jc w:val="center"/>
            </w:pPr>
            <w:r>
              <w:rPr>
                <w:color w:val="000000"/>
                <w:sz w:val="24"/>
                <w:szCs w:val="24"/>
              </w:rPr>
              <w:t>1.82%</w:t>
            </w:r>
          </w:p>
        </w:tc>
        <w:tc>
          <w:tcPr>
            <w:tcW w:w="1194" w:type="dxa"/>
            <w:vAlign w:val="center"/>
          </w:tcPr>
          <w:p w14:paraId="0909B772" w14:textId="77777777" w:rsidR="00FD27AD" w:rsidRDefault="002435EC">
            <w:pPr>
              <w:jc w:val="center"/>
            </w:pPr>
            <w:r>
              <w:rPr>
                <w:color w:val="000000"/>
                <w:sz w:val="24"/>
                <w:szCs w:val="24"/>
              </w:rPr>
              <w:t>99.13%</w:t>
            </w:r>
          </w:p>
        </w:tc>
        <w:tc>
          <w:tcPr>
            <w:tcW w:w="1492" w:type="dxa"/>
            <w:vAlign w:val="center"/>
          </w:tcPr>
          <w:p w14:paraId="54CF4C6E" w14:textId="77777777" w:rsidR="00FD27AD" w:rsidRDefault="002435EC">
            <w:pPr>
              <w:jc w:val="center"/>
            </w:pPr>
            <w:r>
              <w:rPr>
                <w:color w:val="000000"/>
                <w:sz w:val="24"/>
                <w:szCs w:val="24"/>
              </w:rPr>
              <w:t>1.26%</w:t>
            </w:r>
          </w:p>
        </w:tc>
        <w:tc>
          <w:tcPr>
            <w:tcW w:w="1194" w:type="dxa"/>
            <w:vAlign w:val="center"/>
          </w:tcPr>
          <w:p w14:paraId="2FB404C2" w14:textId="77777777" w:rsidR="00FD27AD" w:rsidRDefault="002435EC">
            <w:pPr>
              <w:jc w:val="center"/>
            </w:pPr>
            <w:r>
              <w:rPr>
                <w:color w:val="000000"/>
                <w:sz w:val="24"/>
                <w:szCs w:val="24"/>
              </w:rPr>
              <w:t>90.01%</w:t>
            </w:r>
          </w:p>
        </w:tc>
        <w:tc>
          <w:tcPr>
            <w:tcW w:w="898" w:type="dxa"/>
            <w:vAlign w:val="center"/>
          </w:tcPr>
          <w:p w14:paraId="2827566D" w14:textId="77777777" w:rsidR="00FD27AD" w:rsidRDefault="002435EC">
            <w:pPr>
              <w:jc w:val="center"/>
            </w:pPr>
            <w:r>
              <w:rPr>
                <w:color w:val="000000"/>
                <w:sz w:val="24"/>
                <w:szCs w:val="24"/>
              </w:rPr>
              <w:t>0.56%</w:t>
            </w:r>
          </w:p>
        </w:tc>
      </w:tr>
    </w:tbl>
    <w:p w14:paraId="03FB5FE8"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14:paraId="5D9B0A6A"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FEB7B1F"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14:paraId="27DF1C58" w14:textId="77777777"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14:paraId="354F2BC5" w14:textId="77777777"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394EE934" w14:textId="77777777"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14:paraId="2355320E" w14:textId="77777777"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14:anchorId="4CE40867" wp14:editId="63233992">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14:paraId="166E057A"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14:paraId="1F5FC42E" w14:textId="77777777" w:rsidR="00693843" w:rsidRPr="00414345" w:rsidRDefault="00693843" w:rsidP="00C15CAC">
      <w:pPr>
        <w:tabs>
          <w:tab w:val="left" w:pos="1800"/>
        </w:tabs>
        <w:spacing w:before="29" w:line="288" w:lineRule="auto"/>
        <w:rPr>
          <w:color w:val="000000"/>
          <w:sz w:val="24"/>
          <w:szCs w:val="24"/>
        </w:rPr>
      </w:pPr>
    </w:p>
    <w:p w14:paraId="37F5E4C4"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14:paraId="6F55F4B0" w14:textId="77777777"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14:paraId="45D3237D" w14:textId="77777777" w:rsidTr="006A10AB">
        <w:trPr>
          <w:trHeight w:val="292"/>
          <w:jc w:val="center"/>
        </w:trPr>
        <w:tc>
          <w:tcPr>
            <w:tcW w:w="851" w:type="dxa"/>
            <w:vMerge w:val="restart"/>
            <w:vAlign w:val="center"/>
          </w:tcPr>
          <w:p w14:paraId="4F98FAB3"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14:paraId="3AD67B1F"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14:paraId="513E22C9"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14:paraId="57C960A5"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14:paraId="638D7BCC" w14:textId="77777777"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14:paraId="11A601FB" w14:textId="77777777" w:rsidTr="006A10AB">
        <w:trPr>
          <w:jc w:val="center"/>
        </w:trPr>
        <w:tc>
          <w:tcPr>
            <w:tcW w:w="851" w:type="dxa"/>
            <w:vMerge/>
            <w:vAlign w:val="center"/>
          </w:tcPr>
          <w:p w14:paraId="50055F35" w14:textId="77777777"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14:paraId="79224433" w14:textId="77777777"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14:paraId="329F5176"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14:paraId="2504FC4D" w14:textId="77777777"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14:paraId="4B4FE70B" w14:textId="77777777"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14:paraId="535F7F5D" w14:textId="77777777" w:rsidR="004061AC" w:rsidRPr="00414345" w:rsidRDefault="004061AC" w:rsidP="00C15CAC">
            <w:pPr>
              <w:widowControl/>
              <w:spacing w:before="29" w:line="288" w:lineRule="auto"/>
              <w:jc w:val="left"/>
              <w:rPr>
                <w:color w:val="000000"/>
                <w:kern w:val="0"/>
                <w:sz w:val="24"/>
                <w:szCs w:val="24"/>
              </w:rPr>
            </w:pPr>
          </w:p>
        </w:tc>
      </w:tr>
      <w:tr w:rsidR="00FD27AD" w14:paraId="0477F1EB" w14:textId="77777777">
        <w:trPr>
          <w:jc w:val="center"/>
        </w:trPr>
        <w:tc>
          <w:tcPr>
            <w:tcW w:w="846" w:type="dxa"/>
            <w:vAlign w:val="center"/>
          </w:tcPr>
          <w:p w14:paraId="28A6C2F1" w14:textId="77777777" w:rsidR="00FD27AD" w:rsidRDefault="002435EC">
            <w:pPr>
              <w:jc w:val="center"/>
            </w:pPr>
            <w:r>
              <w:rPr>
                <w:color w:val="000000"/>
                <w:sz w:val="24"/>
                <w:szCs w:val="24"/>
              </w:rPr>
              <w:t>芮晨</w:t>
            </w:r>
          </w:p>
        </w:tc>
        <w:tc>
          <w:tcPr>
            <w:tcW w:w="845" w:type="dxa"/>
            <w:vAlign w:val="center"/>
          </w:tcPr>
          <w:p w14:paraId="20915957" w14:textId="77777777" w:rsidR="00FD27AD" w:rsidRDefault="002435EC">
            <w:pPr>
              <w:jc w:val="center"/>
            </w:pPr>
            <w:r>
              <w:rPr>
                <w:color w:val="000000"/>
                <w:sz w:val="24"/>
                <w:szCs w:val="24"/>
              </w:rPr>
              <w:t>交银科技创新灵活配置混合的基金经理</w:t>
            </w:r>
          </w:p>
        </w:tc>
        <w:tc>
          <w:tcPr>
            <w:tcW w:w="1549" w:type="dxa"/>
            <w:vAlign w:val="center"/>
          </w:tcPr>
          <w:p w14:paraId="031D2485" w14:textId="77777777" w:rsidR="00FD27AD" w:rsidRDefault="002435EC">
            <w:pPr>
              <w:jc w:val="center"/>
            </w:pPr>
            <w:r>
              <w:rPr>
                <w:color w:val="000000"/>
                <w:sz w:val="24"/>
                <w:szCs w:val="24"/>
              </w:rPr>
              <w:t>2015-05-18</w:t>
            </w:r>
          </w:p>
        </w:tc>
        <w:tc>
          <w:tcPr>
            <w:tcW w:w="1548" w:type="dxa"/>
            <w:vAlign w:val="center"/>
          </w:tcPr>
          <w:p w14:paraId="100EA17D" w14:textId="77777777" w:rsidR="00FD27AD" w:rsidRDefault="002435EC">
            <w:pPr>
              <w:jc w:val="center"/>
            </w:pPr>
            <w:r>
              <w:rPr>
                <w:color w:val="000000"/>
                <w:sz w:val="24"/>
                <w:szCs w:val="24"/>
              </w:rPr>
              <w:t>2020-07-15</w:t>
            </w:r>
          </w:p>
        </w:tc>
        <w:tc>
          <w:tcPr>
            <w:tcW w:w="1407" w:type="dxa"/>
            <w:vAlign w:val="center"/>
          </w:tcPr>
          <w:p w14:paraId="1C560178" w14:textId="77777777" w:rsidR="00FD27AD" w:rsidRDefault="002435EC">
            <w:pPr>
              <w:jc w:val="center"/>
            </w:pPr>
            <w:r>
              <w:rPr>
                <w:color w:val="000000"/>
                <w:sz w:val="24"/>
                <w:szCs w:val="24"/>
              </w:rPr>
              <w:t>13</w:t>
            </w:r>
            <w:r>
              <w:rPr>
                <w:color w:val="000000"/>
                <w:sz w:val="24"/>
                <w:szCs w:val="24"/>
              </w:rPr>
              <w:t>年</w:t>
            </w:r>
          </w:p>
        </w:tc>
        <w:tc>
          <w:tcPr>
            <w:tcW w:w="2673" w:type="dxa"/>
            <w:vAlign w:val="center"/>
          </w:tcPr>
          <w:p w14:paraId="2A8326E5" w14:textId="77777777" w:rsidR="00FD27AD" w:rsidRDefault="002435EC">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r>
              <w:rPr>
                <w:color w:val="000000"/>
                <w:sz w:val="24"/>
                <w:szCs w:val="24"/>
              </w:rPr>
              <w:t>2016</w:t>
            </w:r>
            <w:r>
              <w:rPr>
                <w:color w:val="000000"/>
                <w:sz w:val="24"/>
                <w:szCs w:val="24"/>
              </w:rPr>
              <w:t>年</w:t>
            </w:r>
            <w:r>
              <w:rPr>
                <w:color w:val="000000"/>
                <w:sz w:val="24"/>
                <w:szCs w:val="24"/>
              </w:rPr>
              <w:t>8</w:t>
            </w:r>
            <w:r>
              <w:rPr>
                <w:color w:val="000000"/>
                <w:sz w:val="24"/>
                <w:szCs w:val="24"/>
              </w:rPr>
              <w:t>月</w:t>
            </w:r>
            <w:r>
              <w:rPr>
                <w:color w:val="000000"/>
                <w:sz w:val="24"/>
                <w:szCs w:val="24"/>
              </w:rPr>
              <w:t>16</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日担任交银施罗德数据产业灵活配置混合型证券投资基金的基金经理。</w:t>
            </w:r>
            <w:r>
              <w:rPr>
                <w:color w:val="000000"/>
                <w:sz w:val="24"/>
                <w:szCs w:val="24"/>
              </w:rPr>
              <w:t>2015</w:t>
            </w:r>
            <w:r>
              <w:rPr>
                <w:color w:val="000000"/>
                <w:sz w:val="24"/>
                <w:szCs w:val="24"/>
              </w:rPr>
              <w:t>年</w:t>
            </w:r>
            <w:r>
              <w:rPr>
                <w:color w:val="000000"/>
                <w:sz w:val="24"/>
                <w:szCs w:val="24"/>
              </w:rPr>
              <w:t>5</w:t>
            </w:r>
            <w:r>
              <w:rPr>
                <w:color w:val="000000"/>
                <w:sz w:val="24"/>
                <w:szCs w:val="24"/>
              </w:rPr>
              <w:t>月</w:t>
            </w:r>
            <w:r>
              <w:rPr>
                <w:color w:val="000000"/>
                <w:sz w:val="24"/>
                <w:szCs w:val="24"/>
              </w:rPr>
              <w:t>18</w:t>
            </w:r>
            <w:r>
              <w:rPr>
                <w:color w:val="000000"/>
                <w:sz w:val="24"/>
                <w:szCs w:val="24"/>
              </w:rPr>
              <w:t>日至</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14</w:t>
            </w:r>
            <w:r>
              <w:rPr>
                <w:color w:val="000000"/>
                <w:sz w:val="24"/>
                <w:szCs w:val="24"/>
              </w:rPr>
              <w:t>日担任交银施罗德先锋混合型证券投资基金的基金经理。</w:t>
            </w:r>
          </w:p>
        </w:tc>
      </w:tr>
      <w:tr w:rsidR="00FD27AD" w14:paraId="321C3792" w14:textId="77777777">
        <w:trPr>
          <w:jc w:val="center"/>
        </w:trPr>
        <w:tc>
          <w:tcPr>
            <w:tcW w:w="846" w:type="dxa"/>
            <w:vAlign w:val="center"/>
          </w:tcPr>
          <w:p w14:paraId="088865DE" w14:textId="77777777" w:rsidR="00FD27AD" w:rsidRDefault="002435EC">
            <w:pPr>
              <w:jc w:val="center"/>
            </w:pPr>
            <w:r>
              <w:rPr>
                <w:color w:val="000000"/>
                <w:sz w:val="24"/>
                <w:szCs w:val="24"/>
              </w:rPr>
              <w:t>封晴</w:t>
            </w:r>
          </w:p>
        </w:tc>
        <w:tc>
          <w:tcPr>
            <w:tcW w:w="845" w:type="dxa"/>
            <w:vAlign w:val="center"/>
          </w:tcPr>
          <w:p w14:paraId="73B8B08A" w14:textId="77777777" w:rsidR="00FD27AD" w:rsidRDefault="002435EC">
            <w:pPr>
              <w:jc w:val="center"/>
            </w:pPr>
            <w:r>
              <w:rPr>
                <w:color w:val="000000"/>
                <w:sz w:val="24"/>
                <w:szCs w:val="24"/>
              </w:rPr>
              <w:t>交银先锋混合的基金经理</w:t>
            </w:r>
          </w:p>
        </w:tc>
        <w:tc>
          <w:tcPr>
            <w:tcW w:w="1549" w:type="dxa"/>
            <w:vAlign w:val="center"/>
          </w:tcPr>
          <w:p w14:paraId="0F59957F" w14:textId="77777777" w:rsidR="00FD27AD" w:rsidRDefault="002435EC">
            <w:pPr>
              <w:jc w:val="center"/>
            </w:pPr>
            <w:r>
              <w:rPr>
                <w:color w:val="000000"/>
                <w:sz w:val="24"/>
                <w:szCs w:val="24"/>
              </w:rPr>
              <w:t>2020-07-03</w:t>
            </w:r>
          </w:p>
        </w:tc>
        <w:tc>
          <w:tcPr>
            <w:tcW w:w="1548" w:type="dxa"/>
            <w:vAlign w:val="center"/>
          </w:tcPr>
          <w:p w14:paraId="7AC8EA3F" w14:textId="77777777" w:rsidR="00FD27AD" w:rsidRDefault="002435EC">
            <w:pPr>
              <w:jc w:val="center"/>
            </w:pPr>
            <w:r>
              <w:rPr>
                <w:color w:val="000000"/>
                <w:sz w:val="24"/>
                <w:szCs w:val="24"/>
              </w:rPr>
              <w:t>-</w:t>
            </w:r>
          </w:p>
        </w:tc>
        <w:tc>
          <w:tcPr>
            <w:tcW w:w="1407" w:type="dxa"/>
            <w:vAlign w:val="center"/>
          </w:tcPr>
          <w:p w14:paraId="08CF6D2C" w14:textId="77777777" w:rsidR="00FD27AD" w:rsidRDefault="002435EC">
            <w:pPr>
              <w:jc w:val="center"/>
            </w:pPr>
            <w:r>
              <w:rPr>
                <w:color w:val="000000"/>
                <w:sz w:val="24"/>
                <w:szCs w:val="24"/>
              </w:rPr>
              <w:t>9</w:t>
            </w:r>
            <w:r>
              <w:rPr>
                <w:color w:val="000000"/>
                <w:sz w:val="24"/>
                <w:szCs w:val="24"/>
              </w:rPr>
              <w:t>年</w:t>
            </w:r>
          </w:p>
        </w:tc>
        <w:tc>
          <w:tcPr>
            <w:tcW w:w="2673" w:type="dxa"/>
            <w:vAlign w:val="center"/>
          </w:tcPr>
          <w:p w14:paraId="189BF53F" w14:textId="77777777" w:rsidR="00FD27AD" w:rsidRDefault="002435EC">
            <w:r>
              <w:rPr>
                <w:color w:val="000000"/>
                <w:sz w:val="24"/>
                <w:szCs w:val="24"/>
              </w:rPr>
              <w:t>封晴先生，中山大学地产经营与管理硕士、中南财经政法大学投资学学士、华中科技大学英语学士。</w:t>
            </w:r>
            <w:r>
              <w:rPr>
                <w:color w:val="000000"/>
                <w:sz w:val="24"/>
                <w:szCs w:val="24"/>
              </w:rPr>
              <w:t>2011</w:t>
            </w:r>
            <w:r>
              <w:rPr>
                <w:color w:val="000000"/>
                <w:sz w:val="24"/>
                <w:szCs w:val="24"/>
              </w:rPr>
              <w:t>年至</w:t>
            </w:r>
            <w:r>
              <w:rPr>
                <w:color w:val="000000"/>
                <w:sz w:val="24"/>
                <w:szCs w:val="24"/>
              </w:rPr>
              <w:t>2013</w:t>
            </w:r>
            <w:r>
              <w:rPr>
                <w:color w:val="000000"/>
                <w:sz w:val="24"/>
                <w:szCs w:val="24"/>
              </w:rPr>
              <w:t>年任金鹰基金研究员，</w:t>
            </w:r>
            <w:r>
              <w:rPr>
                <w:color w:val="000000"/>
                <w:sz w:val="24"/>
                <w:szCs w:val="24"/>
              </w:rPr>
              <w:t>2013</w:t>
            </w:r>
            <w:r>
              <w:rPr>
                <w:color w:val="000000"/>
                <w:sz w:val="24"/>
                <w:szCs w:val="24"/>
              </w:rPr>
              <w:t>至</w:t>
            </w:r>
            <w:r>
              <w:rPr>
                <w:color w:val="000000"/>
                <w:sz w:val="24"/>
                <w:szCs w:val="24"/>
              </w:rPr>
              <w:t>2014</w:t>
            </w:r>
            <w:r>
              <w:rPr>
                <w:color w:val="000000"/>
                <w:sz w:val="24"/>
                <w:szCs w:val="24"/>
              </w:rPr>
              <w:t>年任中海基金研究员。</w:t>
            </w:r>
            <w:r>
              <w:rPr>
                <w:color w:val="000000"/>
                <w:sz w:val="24"/>
                <w:szCs w:val="24"/>
              </w:rPr>
              <w:t>2014</w:t>
            </w:r>
            <w:r>
              <w:rPr>
                <w:color w:val="000000"/>
                <w:sz w:val="24"/>
                <w:szCs w:val="24"/>
              </w:rPr>
              <w:t>年加入交银施罗德基金管理有限公司，历任行业分析师，基金经理助理。</w:t>
            </w:r>
          </w:p>
        </w:tc>
      </w:tr>
    </w:tbl>
    <w:p w14:paraId="7F8CB307"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14:paraId="53BD0F53"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1701BFB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14:paraId="3923A94A"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14:paraId="28225A5F"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48F1A3DC"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14:paraId="79281558"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14:paraId="11C7DCCA" w14:textId="77777777" w:rsidR="00FD27AD" w:rsidRDefault="002435E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14:paraId="3B6DE2C3" w14:textId="77777777" w:rsidR="00FD27AD" w:rsidRDefault="002435E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14:paraId="01A12138" w14:textId="77777777" w:rsidR="00FD27AD" w:rsidRDefault="002435E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1D8414AC"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14:paraId="6F19CE38" w14:textId="77777777"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14:paraId="4C09277A" w14:textId="77777777"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14:paraId="163C4F8F" w14:textId="77777777" w:rsidR="004061AC" w:rsidRPr="00414345" w:rsidRDefault="004061AC" w:rsidP="00C15CAC">
      <w:pPr>
        <w:spacing w:before="29" w:line="288" w:lineRule="auto"/>
        <w:ind w:firstLineChars="200" w:firstLine="480"/>
        <w:rPr>
          <w:color w:val="000000"/>
          <w:sz w:val="24"/>
          <w:szCs w:val="24"/>
        </w:rPr>
      </w:pPr>
    </w:p>
    <w:p w14:paraId="22C4EB6E" w14:textId="77777777"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14:paraId="7788A390" w14:textId="77777777" w:rsidR="00FD27AD" w:rsidRDefault="002435EC">
      <w:pPr>
        <w:spacing w:before="29" w:line="288" w:lineRule="auto"/>
        <w:ind w:firstLineChars="200" w:firstLine="480"/>
        <w:rPr>
          <w:color w:val="000000"/>
          <w:sz w:val="24"/>
          <w:szCs w:val="24"/>
        </w:rPr>
      </w:pPr>
      <w:bookmarkStart w:id="0" w:name="_Hlk54290415"/>
      <w:r>
        <w:rPr>
          <w:color w:val="000000"/>
          <w:sz w:val="24"/>
          <w:szCs w:val="24"/>
        </w:rPr>
        <w:t>2020</w:t>
      </w:r>
      <w:r>
        <w:rPr>
          <w:color w:val="000000"/>
          <w:sz w:val="24"/>
          <w:szCs w:val="24"/>
        </w:rPr>
        <w:t>年三季度，国内经济处于疫情影响后恢复阶段，地产、基建以及制造业投资逐步企稳带动经济持续改善。八月规模以上企业工业增加值同比增长</w:t>
      </w:r>
      <w:r>
        <w:rPr>
          <w:color w:val="000000"/>
          <w:sz w:val="24"/>
          <w:szCs w:val="24"/>
        </w:rPr>
        <w:t>5.6%</w:t>
      </w:r>
      <w:r>
        <w:rPr>
          <w:color w:val="000000"/>
          <w:sz w:val="24"/>
          <w:szCs w:val="24"/>
        </w:rPr>
        <w:t>，工业生产加快恢复。固定资产投资增速恢复到</w:t>
      </w:r>
      <w:r>
        <w:rPr>
          <w:color w:val="000000"/>
          <w:sz w:val="24"/>
          <w:szCs w:val="24"/>
        </w:rPr>
        <w:t>-0.3%</w:t>
      </w:r>
      <w:r>
        <w:rPr>
          <w:color w:val="000000"/>
          <w:sz w:val="24"/>
          <w:szCs w:val="24"/>
        </w:rPr>
        <w:t>，降幅明显收窄。基础设施投资同比下降</w:t>
      </w:r>
      <w:r>
        <w:rPr>
          <w:color w:val="000000"/>
          <w:sz w:val="24"/>
          <w:szCs w:val="24"/>
        </w:rPr>
        <w:t>0.3%</w:t>
      </w:r>
      <w:r>
        <w:rPr>
          <w:color w:val="000000"/>
          <w:sz w:val="24"/>
          <w:szCs w:val="24"/>
        </w:rPr>
        <w:t>，房地产投资同比增长</w:t>
      </w:r>
      <w:r>
        <w:rPr>
          <w:color w:val="000000"/>
          <w:sz w:val="24"/>
          <w:szCs w:val="24"/>
        </w:rPr>
        <w:t>4.6%</w:t>
      </w:r>
      <w:r>
        <w:rPr>
          <w:color w:val="000000"/>
          <w:sz w:val="24"/>
          <w:szCs w:val="24"/>
        </w:rPr>
        <w:t>，地产投资表现靓丽。社零总额同比增长</w:t>
      </w:r>
      <w:r>
        <w:rPr>
          <w:color w:val="000000"/>
          <w:sz w:val="24"/>
          <w:szCs w:val="24"/>
        </w:rPr>
        <w:t>0.5%</w:t>
      </w:r>
      <w:r>
        <w:rPr>
          <w:color w:val="000000"/>
          <w:sz w:val="24"/>
          <w:szCs w:val="24"/>
        </w:rPr>
        <w:t>，年内首次转正。随着经济逐步恢复，利率水平也有所抬升，十年期国债收益率回升到疫情前水平。</w:t>
      </w:r>
    </w:p>
    <w:p w14:paraId="4FF7CBE4" w14:textId="77777777" w:rsidR="00FD27AD" w:rsidRDefault="002435EC">
      <w:pPr>
        <w:spacing w:before="29" w:line="288" w:lineRule="auto"/>
        <w:ind w:firstLineChars="200" w:firstLine="480"/>
        <w:rPr>
          <w:color w:val="000000"/>
          <w:sz w:val="24"/>
          <w:szCs w:val="24"/>
        </w:rPr>
      </w:pPr>
      <w:r>
        <w:rPr>
          <w:color w:val="000000"/>
          <w:sz w:val="24"/>
          <w:szCs w:val="24"/>
        </w:rPr>
        <w:t>四季度投资端回升幅度较三季度预计有所放缓。地产调控政策进一步加严，地产投资高增长面临一定压力。专项债年内额度已经大多数发行完成，四季度基建投资增速进一步回升压力也有所加大。消费端受益国内疫情的控制，预计会持续改善，四季度整体经济预计会继续复苏。流动性方面预计短期不会面临经济持续增长、通胀压力所带来的掣肘，收紧压力不大，但也可能不会进一步宽松。因此，四季度预计以震荡为主，依旧以结构性行情为主。</w:t>
      </w:r>
    </w:p>
    <w:p w14:paraId="7055B7FA" w14:textId="77777777" w:rsidR="00FD27AD" w:rsidRDefault="002435EC">
      <w:pPr>
        <w:spacing w:before="29" w:line="288" w:lineRule="auto"/>
        <w:ind w:firstLineChars="200" w:firstLine="480"/>
        <w:rPr>
          <w:color w:val="000000"/>
          <w:sz w:val="24"/>
          <w:szCs w:val="24"/>
        </w:rPr>
      </w:pPr>
      <w:r>
        <w:rPr>
          <w:color w:val="000000"/>
          <w:sz w:val="24"/>
          <w:szCs w:val="24"/>
        </w:rPr>
        <w:t>三季度本基金跑赢业绩比较基准，主要在地产产业链、军工以及医药等领域配置了部分龙头公司，取得了一定的收益。</w:t>
      </w:r>
    </w:p>
    <w:p w14:paraId="237FDCF8" w14:textId="45AE2796"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我们对市场保持谨慎乐观。结构性机会依旧存在，从行业层面，根据行业空间、产业周期位置、细分行业的格局以及公司质地角度，依旧重点关注受益房地产行业集中度提升、住宅精装修比例提高，未来两三年自身行业集中度提升趋势可以持续的消费建材。受益人口老龄化、医药创新发展推动下，行业需求可以持续保持较快增长的医疗服务等医药板块。军工装备需求进入长期高景气扩张周期的军工板块。长期行业成长空间大，下半年需求环比回升的新能源产业链以及经济复苏预期下，估值被低估的传统周期板块。综合考虑行业格局、公司质地以及盈利模式，通过不同行业、不同公司横向对比，优选性价比</w:t>
      </w:r>
      <w:bookmarkStart w:id="1" w:name="_GoBack"/>
      <w:bookmarkEnd w:id="1"/>
      <w:r w:rsidR="000B6E3C">
        <w:rPr>
          <w:rFonts w:hint="eastAsia"/>
          <w:color w:val="000000"/>
          <w:sz w:val="24"/>
          <w:szCs w:val="24"/>
        </w:rPr>
        <w:t>较高</w:t>
      </w:r>
      <w:r w:rsidRPr="00414345">
        <w:rPr>
          <w:color w:val="000000"/>
          <w:sz w:val="24"/>
          <w:szCs w:val="24"/>
        </w:rPr>
        <w:t>的公司，努力为持有人持续带来回报。</w:t>
      </w:r>
      <w:bookmarkEnd w:id="0"/>
    </w:p>
    <w:p w14:paraId="7B4CE657" w14:textId="77777777" w:rsidR="00627E2D" w:rsidRPr="00414345" w:rsidRDefault="00627E2D" w:rsidP="00C15CAC">
      <w:pPr>
        <w:spacing w:before="29" w:line="288" w:lineRule="auto"/>
        <w:ind w:firstLineChars="200" w:firstLine="480"/>
        <w:rPr>
          <w:color w:val="000000"/>
          <w:sz w:val="24"/>
          <w:szCs w:val="24"/>
        </w:rPr>
      </w:pPr>
    </w:p>
    <w:p w14:paraId="502D860D" w14:textId="77777777"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14:paraId="7D7C70AB" w14:textId="77777777"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14:paraId="29FB490F" w14:textId="77777777" w:rsidR="009C5186" w:rsidRPr="00414345" w:rsidRDefault="009C5186" w:rsidP="00C15CAC">
      <w:pPr>
        <w:spacing w:before="29" w:line="288" w:lineRule="auto"/>
        <w:ind w:firstLineChars="200" w:firstLine="480"/>
        <w:rPr>
          <w:color w:val="000000"/>
          <w:sz w:val="24"/>
          <w:szCs w:val="24"/>
        </w:rPr>
      </w:pPr>
    </w:p>
    <w:p w14:paraId="282E7E85" w14:textId="77777777"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1AB88564" w14:textId="77777777"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14:paraId="33E21556" w14:textId="77777777"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14:paraId="03594D14" w14:textId="77777777"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14:paraId="13EE9AA9" w14:textId="77777777"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14:paraId="1580E53D" w14:textId="77777777" w:rsidTr="00487A40">
        <w:tc>
          <w:tcPr>
            <w:tcW w:w="720" w:type="dxa"/>
            <w:vAlign w:val="center"/>
          </w:tcPr>
          <w:p w14:paraId="43B0072F"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14:paraId="53105BFB"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14:paraId="35A59815"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14:paraId="2CC826AF"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14:paraId="77A1D05D" w14:textId="77777777" w:rsidTr="00487A40">
        <w:tc>
          <w:tcPr>
            <w:tcW w:w="720" w:type="dxa"/>
            <w:vAlign w:val="center"/>
          </w:tcPr>
          <w:p w14:paraId="0CE70A96"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14:paraId="168DE387"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14:paraId="5C5E6D03"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644,739,583.47</w:t>
            </w:r>
          </w:p>
        </w:tc>
        <w:tc>
          <w:tcPr>
            <w:tcW w:w="2943" w:type="dxa"/>
            <w:vAlign w:val="center"/>
          </w:tcPr>
          <w:p w14:paraId="2D88E40F"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87.10</w:t>
            </w:r>
          </w:p>
        </w:tc>
      </w:tr>
      <w:tr w:rsidR="00BF0019" w:rsidRPr="007B5F21" w14:paraId="70A218A0" w14:textId="77777777" w:rsidTr="00487A40">
        <w:tc>
          <w:tcPr>
            <w:tcW w:w="720" w:type="dxa"/>
            <w:vAlign w:val="center"/>
          </w:tcPr>
          <w:p w14:paraId="15C3737A" w14:textId="77777777"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14:paraId="0631D42F"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14:paraId="40A5BFC7"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644,739,583.47</w:t>
            </w:r>
          </w:p>
        </w:tc>
        <w:tc>
          <w:tcPr>
            <w:tcW w:w="2943" w:type="dxa"/>
            <w:vAlign w:val="center"/>
          </w:tcPr>
          <w:p w14:paraId="31BB11AE"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87.10</w:t>
            </w:r>
          </w:p>
        </w:tc>
      </w:tr>
      <w:tr w:rsidR="00BF0019" w:rsidRPr="007B5F21" w14:paraId="5420B7C3" w14:textId="77777777" w:rsidTr="00487A40">
        <w:tc>
          <w:tcPr>
            <w:tcW w:w="720" w:type="dxa"/>
            <w:vAlign w:val="center"/>
          </w:tcPr>
          <w:p w14:paraId="159798DB"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14:paraId="73CFBE3B"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14:paraId="03C1D1E0"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14:paraId="3D9D3C57"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14:paraId="564BFC07" w14:textId="77777777" w:rsidTr="00487A40">
        <w:tc>
          <w:tcPr>
            <w:tcW w:w="720" w:type="dxa"/>
            <w:vAlign w:val="center"/>
          </w:tcPr>
          <w:p w14:paraId="06368BBC"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14:paraId="759B613E"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14:paraId="64EE7F55"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41,358,472.30</w:t>
            </w:r>
          </w:p>
        </w:tc>
        <w:tc>
          <w:tcPr>
            <w:tcW w:w="2943" w:type="dxa"/>
            <w:vAlign w:val="center"/>
          </w:tcPr>
          <w:p w14:paraId="2C97CACE"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w:t>
            </w:r>
          </w:p>
        </w:tc>
      </w:tr>
      <w:tr w:rsidR="00BF0019" w:rsidRPr="007B5F21" w14:paraId="089CCE6F" w14:textId="77777777" w:rsidTr="00487A40">
        <w:tc>
          <w:tcPr>
            <w:tcW w:w="720" w:type="dxa"/>
            <w:vAlign w:val="center"/>
          </w:tcPr>
          <w:p w14:paraId="3C10856A" w14:textId="77777777"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14:paraId="60DB0A6C"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14:paraId="4E2BC60C"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41,358,472.30</w:t>
            </w:r>
          </w:p>
        </w:tc>
        <w:tc>
          <w:tcPr>
            <w:tcW w:w="2943" w:type="dxa"/>
            <w:vAlign w:val="center"/>
          </w:tcPr>
          <w:p w14:paraId="00599B05"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5.59</w:t>
            </w:r>
          </w:p>
        </w:tc>
      </w:tr>
      <w:tr w:rsidR="00BF0019" w:rsidRPr="007B5F21" w14:paraId="0C1FF886" w14:textId="77777777" w:rsidTr="00487A40">
        <w:tc>
          <w:tcPr>
            <w:tcW w:w="720" w:type="dxa"/>
            <w:vAlign w:val="center"/>
          </w:tcPr>
          <w:p w14:paraId="02A833F9" w14:textId="77777777"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14:paraId="09DE896E" w14:textId="77777777"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14:paraId="394AEB1A"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0A2A1979"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389CA42E" w14:textId="77777777" w:rsidTr="00487A40">
        <w:tc>
          <w:tcPr>
            <w:tcW w:w="720" w:type="dxa"/>
            <w:vAlign w:val="center"/>
          </w:tcPr>
          <w:p w14:paraId="418DDDAF"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14:paraId="7A7E5478" w14:textId="77777777"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14:paraId="5B7B6DE3"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293385B1"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75DF2C84" w14:textId="77777777" w:rsidTr="00487A40">
        <w:tc>
          <w:tcPr>
            <w:tcW w:w="720" w:type="dxa"/>
            <w:vAlign w:val="center"/>
          </w:tcPr>
          <w:p w14:paraId="6C533A1F"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14:paraId="4FE9A70E"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14:paraId="51BA9E39"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7F54DE40"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46A7201D" w14:textId="77777777" w:rsidTr="00487A40">
        <w:tc>
          <w:tcPr>
            <w:tcW w:w="720" w:type="dxa"/>
            <w:vAlign w:val="center"/>
          </w:tcPr>
          <w:p w14:paraId="0DBBBA1E"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14:paraId="75DFD59B"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14:paraId="27128ACE"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0D63BF1B"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264CBA4D" w14:textId="77777777" w:rsidTr="00487A40">
        <w:tc>
          <w:tcPr>
            <w:tcW w:w="720" w:type="dxa"/>
            <w:vAlign w:val="center"/>
          </w:tcPr>
          <w:p w14:paraId="1487BFF2" w14:textId="77777777"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14:paraId="36DB5E5D"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14:paraId="18BFD926"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14:paraId="12FA4599"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14:paraId="1642909A" w14:textId="77777777" w:rsidTr="00487A40">
        <w:tc>
          <w:tcPr>
            <w:tcW w:w="720" w:type="dxa"/>
            <w:vAlign w:val="center"/>
          </w:tcPr>
          <w:p w14:paraId="6893ECE5"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14:paraId="0DF3EDA1" w14:textId="77777777"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14:paraId="61EFE432"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37,793,913.26</w:t>
            </w:r>
          </w:p>
        </w:tc>
        <w:tc>
          <w:tcPr>
            <w:tcW w:w="2943" w:type="dxa"/>
            <w:vAlign w:val="center"/>
          </w:tcPr>
          <w:p w14:paraId="4B124088" w14:textId="77777777"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5.11</w:t>
            </w:r>
          </w:p>
        </w:tc>
      </w:tr>
      <w:tr w:rsidR="00BF0019" w:rsidRPr="007B5F21" w14:paraId="2914CEAB" w14:textId="77777777" w:rsidTr="00487A40">
        <w:tc>
          <w:tcPr>
            <w:tcW w:w="720" w:type="dxa"/>
            <w:vAlign w:val="center"/>
          </w:tcPr>
          <w:p w14:paraId="12B22CB4"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14:paraId="5869B72D" w14:textId="77777777"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14:paraId="6AA5259E" w14:textId="77777777"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16,343,840.30</w:t>
            </w:r>
          </w:p>
        </w:tc>
        <w:tc>
          <w:tcPr>
            <w:tcW w:w="2943" w:type="dxa"/>
            <w:vAlign w:val="center"/>
          </w:tcPr>
          <w:p w14:paraId="5CA10A4B" w14:textId="77777777"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2.21</w:t>
            </w:r>
          </w:p>
        </w:tc>
      </w:tr>
      <w:tr w:rsidR="00BF0019" w:rsidRPr="007B5F21" w14:paraId="7376BB6D" w14:textId="77777777" w:rsidTr="00487A40">
        <w:tc>
          <w:tcPr>
            <w:tcW w:w="720" w:type="dxa"/>
            <w:vAlign w:val="center"/>
          </w:tcPr>
          <w:p w14:paraId="1E492D6C" w14:textId="77777777"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14:paraId="78603DA8" w14:textId="77777777"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14:paraId="1F2A436E" w14:textId="77777777"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740,235,809.33</w:t>
            </w:r>
          </w:p>
        </w:tc>
        <w:tc>
          <w:tcPr>
            <w:tcW w:w="2943" w:type="dxa"/>
            <w:vAlign w:val="center"/>
          </w:tcPr>
          <w:p w14:paraId="33698DEE" w14:textId="77777777"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14:paraId="2D0127E1" w14:textId="77777777" w:rsidR="004061AC" w:rsidRPr="00414345" w:rsidRDefault="004061AC" w:rsidP="00C15CAC">
      <w:pPr>
        <w:autoSpaceDE w:val="0"/>
        <w:autoSpaceDN w:val="0"/>
        <w:adjustRightInd w:val="0"/>
        <w:spacing w:before="29" w:line="288" w:lineRule="auto"/>
        <w:jc w:val="left"/>
        <w:rPr>
          <w:color w:val="000000"/>
          <w:sz w:val="24"/>
          <w:szCs w:val="24"/>
        </w:rPr>
      </w:pPr>
    </w:p>
    <w:p w14:paraId="2063B024"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14:paraId="2B6920E8" w14:textId="77777777"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14:paraId="7B203739" w14:textId="77777777"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14:paraId="21BED0B8" w14:textId="77777777"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DF388D5"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D5286D"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7C974A" w14:textId="77777777"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C4ECD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14:paraId="1D82019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59E9CD"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6B37D7"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49E8D5"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75EFEC" w14:textId="77777777"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14:paraId="417E565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838A98"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68BE6A"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5DB024" w14:textId="77777777"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3B216E" w14:textId="77777777"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14:paraId="63397164"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C26E11"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0559B2"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44EBB22" w14:textId="77777777" w:rsidR="00531F10" w:rsidRPr="00414345" w:rsidRDefault="00531F10" w:rsidP="00C15CAC">
            <w:pPr>
              <w:spacing w:before="29" w:line="288" w:lineRule="auto"/>
              <w:jc w:val="right"/>
              <w:rPr>
                <w:sz w:val="24"/>
                <w:szCs w:val="24"/>
              </w:rPr>
            </w:pPr>
            <w:r w:rsidRPr="00414345">
              <w:rPr>
                <w:sz w:val="24"/>
                <w:szCs w:val="24"/>
              </w:rPr>
              <w:t>482,296,792.41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6DED68" w14:textId="77777777" w:rsidR="00531F10" w:rsidRPr="00414345" w:rsidRDefault="00531F10" w:rsidP="00C15CAC">
            <w:pPr>
              <w:spacing w:before="29" w:line="288" w:lineRule="auto"/>
              <w:jc w:val="right"/>
              <w:rPr>
                <w:sz w:val="24"/>
                <w:szCs w:val="24"/>
              </w:rPr>
            </w:pPr>
            <w:r w:rsidRPr="00414345">
              <w:rPr>
                <w:sz w:val="24"/>
                <w:szCs w:val="24"/>
              </w:rPr>
              <w:t>65.69</w:t>
            </w:r>
          </w:p>
        </w:tc>
      </w:tr>
      <w:tr w:rsidR="00531F10" w:rsidRPr="00414345" w14:paraId="09312F36"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BFF587"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3AFA9C"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ACFFD9"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E0051F"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B25792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ECDFE4"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560D4A"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0489319" w14:textId="77777777"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3FD6F0" w14:textId="77777777"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14:paraId="63E0D235"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A576FA"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1D23C72"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65C346" w14:textId="77777777" w:rsidR="00531F10" w:rsidRPr="00414345" w:rsidRDefault="00531F10" w:rsidP="00C15CAC">
            <w:pPr>
              <w:spacing w:before="29" w:line="288" w:lineRule="auto"/>
              <w:jc w:val="right"/>
              <w:rPr>
                <w:sz w:val="24"/>
                <w:szCs w:val="24"/>
              </w:rPr>
            </w:pPr>
            <w:r w:rsidRPr="00414345">
              <w:rPr>
                <w:sz w:val="24"/>
                <w:szCs w:val="24"/>
              </w:rPr>
              <w:t>17,093,540.89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011073" w14:textId="77777777"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14:paraId="6D1EDF8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ED3191"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0935A40"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FFA032B" w14:textId="77777777" w:rsidR="00531F10" w:rsidRPr="00414345" w:rsidRDefault="00531F10" w:rsidP="00C15CAC">
            <w:pPr>
              <w:spacing w:before="29" w:line="288" w:lineRule="auto"/>
              <w:jc w:val="right"/>
              <w:rPr>
                <w:sz w:val="24"/>
                <w:szCs w:val="24"/>
              </w:rPr>
            </w:pPr>
            <w:r w:rsidRPr="00414345">
              <w:rPr>
                <w:sz w:val="24"/>
                <w:szCs w:val="24"/>
              </w:rPr>
              <w:t>61,660,880.26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58721F" w14:textId="77777777" w:rsidR="00531F10" w:rsidRPr="00414345" w:rsidRDefault="00531F10" w:rsidP="00C15CAC">
            <w:pPr>
              <w:spacing w:before="29" w:line="288" w:lineRule="auto"/>
              <w:jc w:val="right"/>
              <w:rPr>
                <w:sz w:val="24"/>
                <w:szCs w:val="24"/>
              </w:rPr>
            </w:pPr>
            <w:r w:rsidRPr="00414345">
              <w:rPr>
                <w:sz w:val="24"/>
                <w:szCs w:val="24"/>
              </w:rPr>
              <w:t>8.40</w:t>
            </w:r>
          </w:p>
        </w:tc>
      </w:tr>
      <w:tr w:rsidR="00531F10" w:rsidRPr="00414345" w14:paraId="734C0674"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716CAC"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62D26F" w14:textId="77777777"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2FBEE5"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BB377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0D5E2F84" w14:textId="77777777"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A086C1" w14:textId="77777777"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5E6246" w14:textId="77777777"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ECC7D6" w14:textId="77777777" w:rsidR="00531F10" w:rsidRPr="00414345" w:rsidRDefault="00531F10" w:rsidP="00C15CAC">
            <w:pPr>
              <w:spacing w:before="29" w:line="288" w:lineRule="auto"/>
              <w:jc w:val="right"/>
              <w:rPr>
                <w:sz w:val="24"/>
                <w:szCs w:val="24"/>
              </w:rPr>
            </w:pPr>
            <w:r w:rsidRPr="00414345">
              <w:rPr>
                <w:sz w:val="24"/>
                <w:szCs w:val="24"/>
              </w:rPr>
              <w:t>2,543,592.97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BB1D42" w14:textId="77777777" w:rsidR="00531F10" w:rsidRPr="00414345" w:rsidRDefault="00531F10" w:rsidP="00C15CAC">
            <w:pPr>
              <w:spacing w:before="29" w:line="288" w:lineRule="auto"/>
              <w:jc w:val="right"/>
              <w:rPr>
                <w:sz w:val="24"/>
                <w:szCs w:val="24"/>
              </w:rPr>
            </w:pPr>
            <w:r w:rsidRPr="00414345">
              <w:rPr>
                <w:sz w:val="24"/>
                <w:szCs w:val="24"/>
              </w:rPr>
              <w:t>0.35</w:t>
            </w:r>
          </w:p>
        </w:tc>
      </w:tr>
      <w:tr w:rsidR="00531F10" w:rsidRPr="00414345" w14:paraId="15048C60"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5199D1"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86CFF9"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E576C5" w14:textId="77777777" w:rsidR="00531F10" w:rsidRPr="00414345" w:rsidRDefault="00531F10" w:rsidP="00C15CAC">
            <w:pPr>
              <w:spacing w:before="29" w:line="288" w:lineRule="auto"/>
              <w:jc w:val="right"/>
              <w:rPr>
                <w:sz w:val="24"/>
                <w:szCs w:val="24"/>
              </w:rPr>
            </w:pPr>
            <w:r w:rsidRPr="00414345">
              <w:rPr>
                <w:sz w:val="24"/>
                <w:szCs w:val="24"/>
              </w:rPr>
              <w:t>48,106,809.34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0A524F" w14:textId="77777777" w:rsidR="00531F10" w:rsidRPr="00414345" w:rsidRDefault="00531F10" w:rsidP="00C15CAC">
            <w:pPr>
              <w:spacing w:before="29" w:line="288" w:lineRule="auto"/>
              <w:jc w:val="right"/>
              <w:rPr>
                <w:sz w:val="24"/>
                <w:szCs w:val="24"/>
              </w:rPr>
            </w:pPr>
            <w:r w:rsidRPr="00414345">
              <w:rPr>
                <w:sz w:val="24"/>
                <w:szCs w:val="24"/>
              </w:rPr>
              <w:t>6.55</w:t>
            </w:r>
          </w:p>
        </w:tc>
      </w:tr>
      <w:tr w:rsidR="00531F10" w:rsidRPr="00414345" w14:paraId="3F5CF27F"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89F30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3D1734"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B0008E"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12192F"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72041EAE"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BCFC47B"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CB1946D"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397E93F"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DBF2F2"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3132D80D"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19E137"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E1B2F4"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9B086B" w14:textId="77777777" w:rsidR="00531F10" w:rsidRPr="00414345" w:rsidRDefault="00531F10" w:rsidP="00C15CAC">
            <w:pPr>
              <w:spacing w:before="29" w:line="288" w:lineRule="auto"/>
              <w:jc w:val="right"/>
              <w:rPr>
                <w:sz w:val="24"/>
                <w:szCs w:val="24"/>
              </w:rPr>
            </w:pPr>
            <w:r w:rsidRPr="00414345">
              <w:rPr>
                <w:sz w:val="24"/>
                <w:szCs w:val="24"/>
              </w:rPr>
              <w:t>32,615,320.16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9EB92E" w14:textId="77777777" w:rsidR="00531F10" w:rsidRPr="00414345" w:rsidRDefault="00531F10" w:rsidP="00C15CAC">
            <w:pPr>
              <w:spacing w:before="29" w:line="288" w:lineRule="auto"/>
              <w:jc w:val="right"/>
              <w:rPr>
                <w:sz w:val="24"/>
                <w:szCs w:val="24"/>
              </w:rPr>
            </w:pPr>
            <w:r w:rsidRPr="00414345">
              <w:rPr>
                <w:sz w:val="24"/>
                <w:szCs w:val="24"/>
              </w:rPr>
              <w:t>4.44</w:t>
            </w:r>
          </w:p>
        </w:tc>
      </w:tr>
      <w:tr w:rsidR="00531F10" w:rsidRPr="00414345" w14:paraId="60A1EFBF"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97495C"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611B4"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422AF1" w14:textId="77777777" w:rsidR="00531F10" w:rsidRPr="00414345" w:rsidRDefault="00531F10" w:rsidP="00C15CAC">
            <w:pPr>
              <w:spacing w:before="29" w:line="288" w:lineRule="auto"/>
              <w:jc w:val="right"/>
              <w:rPr>
                <w:sz w:val="24"/>
                <w:szCs w:val="24"/>
              </w:rPr>
            </w:pPr>
            <w:r w:rsidRPr="00414345">
              <w:rPr>
                <w:sz w:val="24"/>
                <w:szCs w:val="24"/>
              </w:rPr>
              <w:t>79,253.48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761F77" w14:textId="77777777"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14:paraId="16E82D9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F775238"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9A1465"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0D4FAB"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B618F4"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114EE308"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290737"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06A645"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B255E03"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9474BB"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2A4BA532"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686D1F"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2EEF1E"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A9815DC"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8B6919"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5389D95D"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0D4316"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D36741"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CEE4C" w14:textId="77777777" w:rsidR="00531F10" w:rsidRPr="00414345" w:rsidRDefault="00531F10" w:rsidP="00C15CAC">
            <w:pPr>
              <w:spacing w:before="29" w:line="288" w:lineRule="auto"/>
              <w:jc w:val="right"/>
              <w:rPr>
                <w:sz w:val="24"/>
                <w:szCs w:val="24"/>
              </w:rPr>
            </w:pPr>
            <w:r w:rsidRPr="00414345">
              <w:rPr>
                <w:sz w:val="24"/>
                <w:szCs w:val="24"/>
              </w:rPr>
              <w:t>330,364.84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BEB099" w14:textId="77777777"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14:paraId="0AEA789C"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64A152" w14:textId="77777777"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8DAD24"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3381C91" w14:textId="77777777"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AC9C06" w14:textId="77777777"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14:paraId="533789EA" w14:textId="77777777"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21B7C3" w14:textId="77777777"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938B6F" w14:textId="77777777"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F58E1C4" w14:textId="77777777" w:rsidR="00531F10" w:rsidRPr="00414345" w:rsidRDefault="00531F10" w:rsidP="00C15CAC">
            <w:pPr>
              <w:spacing w:before="29" w:line="288" w:lineRule="auto"/>
              <w:jc w:val="right"/>
              <w:rPr>
                <w:sz w:val="24"/>
                <w:szCs w:val="24"/>
              </w:rPr>
            </w:pPr>
            <w:r w:rsidRPr="00414345">
              <w:rPr>
                <w:sz w:val="24"/>
                <w:szCs w:val="24"/>
              </w:rPr>
              <w:t>644,739,583.47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D9D7C6" w14:textId="77777777" w:rsidR="00531F10" w:rsidRPr="00414345" w:rsidRDefault="00531F10" w:rsidP="00C15CAC">
            <w:pPr>
              <w:spacing w:before="29" w:line="288" w:lineRule="auto"/>
              <w:jc w:val="right"/>
              <w:rPr>
                <w:sz w:val="24"/>
                <w:szCs w:val="24"/>
              </w:rPr>
            </w:pPr>
            <w:r w:rsidRPr="00414345">
              <w:rPr>
                <w:sz w:val="24"/>
                <w:szCs w:val="24"/>
              </w:rPr>
              <w:t>87.82</w:t>
            </w:r>
          </w:p>
        </w:tc>
      </w:tr>
    </w:tbl>
    <w:p w14:paraId="15B7E624" w14:textId="77777777" w:rsidR="00E03F7B" w:rsidRDefault="00E03F7B" w:rsidP="00F51C4E">
      <w:pPr>
        <w:jc w:val="left"/>
        <w:rPr>
          <w:rFonts w:asciiTheme="minorEastAsia" w:eastAsiaTheme="minorEastAsia" w:hAnsiTheme="minorEastAsia"/>
          <w:b/>
          <w:bCs/>
          <w:color w:val="000000" w:themeColor="text1"/>
          <w:kern w:val="0"/>
          <w:sz w:val="24"/>
        </w:rPr>
      </w:pPr>
    </w:p>
    <w:p w14:paraId="14B2BEB0" w14:textId="5C251588"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14:paraId="284A0FE6" w14:textId="77777777"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14:paraId="3C50B99B" w14:textId="77777777" w:rsidR="004061AC" w:rsidRPr="00F51C4E" w:rsidRDefault="004061AC" w:rsidP="00C15CAC">
      <w:pPr>
        <w:autoSpaceDE w:val="0"/>
        <w:autoSpaceDN w:val="0"/>
        <w:adjustRightInd w:val="0"/>
        <w:spacing w:before="29" w:line="288" w:lineRule="auto"/>
        <w:jc w:val="left"/>
        <w:rPr>
          <w:color w:val="000000"/>
          <w:kern w:val="0"/>
          <w:sz w:val="24"/>
          <w:szCs w:val="24"/>
        </w:rPr>
      </w:pPr>
    </w:p>
    <w:p w14:paraId="7FED3AFC"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14:paraId="18CD800A" w14:textId="77777777" w:rsidTr="00A324F4">
        <w:trPr>
          <w:jc w:val="center"/>
        </w:trPr>
        <w:tc>
          <w:tcPr>
            <w:tcW w:w="869" w:type="dxa"/>
            <w:vAlign w:val="center"/>
          </w:tcPr>
          <w:p w14:paraId="4AFCC0EB"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14:paraId="5D81DC73"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14:paraId="59F302E4"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14:paraId="5AC2B9DF"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14:paraId="7B618011" w14:textId="77777777"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14:paraId="667B0722" w14:textId="77777777"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D27AD" w14:paraId="62413C81" w14:textId="77777777">
        <w:trPr>
          <w:jc w:val="center"/>
        </w:trPr>
        <w:tc>
          <w:tcPr>
            <w:tcW w:w="855" w:type="dxa"/>
            <w:vAlign w:val="center"/>
          </w:tcPr>
          <w:p w14:paraId="1EB5CD90" w14:textId="77777777" w:rsidR="00FD27AD" w:rsidRDefault="002435EC">
            <w:pPr>
              <w:jc w:val="center"/>
            </w:pPr>
            <w:r>
              <w:rPr>
                <w:color w:val="000000"/>
                <w:sz w:val="24"/>
                <w:szCs w:val="24"/>
              </w:rPr>
              <w:t>1</w:t>
            </w:r>
          </w:p>
        </w:tc>
        <w:tc>
          <w:tcPr>
            <w:tcW w:w="1334" w:type="dxa"/>
            <w:vAlign w:val="center"/>
          </w:tcPr>
          <w:p w14:paraId="3F9BBD31" w14:textId="77777777" w:rsidR="00FD27AD" w:rsidRDefault="002435EC">
            <w:pPr>
              <w:jc w:val="center"/>
            </w:pPr>
            <w:r>
              <w:rPr>
                <w:color w:val="000000"/>
                <w:sz w:val="24"/>
                <w:szCs w:val="24"/>
              </w:rPr>
              <w:t>002271</w:t>
            </w:r>
          </w:p>
        </w:tc>
        <w:tc>
          <w:tcPr>
            <w:tcW w:w="1777" w:type="dxa"/>
            <w:vAlign w:val="center"/>
          </w:tcPr>
          <w:p w14:paraId="54B5DD43" w14:textId="77777777" w:rsidR="00FD27AD" w:rsidRDefault="002435EC">
            <w:pPr>
              <w:jc w:val="center"/>
            </w:pPr>
            <w:r>
              <w:rPr>
                <w:color w:val="000000"/>
                <w:sz w:val="24"/>
                <w:szCs w:val="24"/>
              </w:rPr>
              <w:t>东方雨虹</w:t>
            </w:r>
          </w:p>
        </w:tc>
        <w:tc>
          <w:tcPr>
            <w:tcW w:w="1334" w:type="dxa"/>
            <w:vAlign w:val="center"/>
          </w:tcPr>
          <w:p w14:paraId="5FF632B9" w14:textId="77777777" w:rsidR="00FD27AD" w:rsidRDefault="002435EC">
            <w:pPr>
              <w:jc w:val="right"/>
            </w:pPr>
            <w:r>
              <w:rPr>
                <w:color w:val="000000"/>
                <w:sz w:val="24"/>
                <w:szCs w:val="24"/>
              </w:rPr>
              <w:t>1,044,800</w:t>
            </w:r>
          </w:p>
        </w:tc>
        <w:tc>
          <w:tcPr>
            <w:tcW w:w="1924" w:type="dxa"/>
            <w:vAlign w:val="center"/>
          </w:tcPr>
          <w:p w14:paraId="0304C5D1" w14:textId="77777777" w:rsidR="00FD27AD" w:rsidRDefault="002435EC">
            <w:pPr>
              <w:jc w:val="right"/>
            </w:pPr>
            <w:r>
              <w:rPr>
                <w:color w:val="000000"/>
                <w:sz w:val="24"/>
                <w:szCs w:val="24"/>
              </w:rPr>
              <w:t>56,314,720.00</w:t>
            </w:r>
          </w:p>
        </w:tc>
        <w:tc>
          <w:tcPr>
            <w:tcW w:w="1644" w:type="dxa"/>
            <w:vAlign w:val="center"/>
          </w:tcPr>
          <w:p w14:paraId="692597E6" w14:textId="77777777" w:rsidR="00FD27AD" w:rsidRDefault="002435EC">
            <w:pPr>
              <w:jc w:val="right"/>
            </w:pPr>
            <w:r>
              <w:rPr>
                <w:color w:val="000000"/>
                <w:sz w:val="24"/>
                <w:szCs w:val="24"/>
              </w:rPr>
              <w:t>7.67</w:t>
            </w:r>
          </w:p>
        </w:tc>
      </w:tr>
      <w:tr w:rsidR="00FD27AD" w14:paraId="139BF63F" w14:textId="77777777">
        <w:trPr>
          <w:jc w:val="center"/>
        </w:trPr>
        <w:tc>
          <w:tcPr>
            <w:tcW w:w="855" w:type="dxa"/>
            <w:vAlign w:val="center"/>
          </w:tcPr>
          <w:p w14:paraId="7BBB0B8F" w14:textId="77777777" w:rsidR="00FD27AD" w:rsidRDefault="002435EC">
            <w:pPr>
              <w:jc w:val="center"/>
            </w:pPr>
            <w:r>
              <w:rPr>
                <w:color w:val="000000"/>
                <w:sz w:val="24"/>
                <w:szCs w:val="24"/>
              </w:rPr>
              <w:t>2</w:t>
            </w:r>
          </w:p>
        </w:tc>
        <w:tc>
          <w:tcPr>
            <w:tcW w:w="1334" w:type="dxa"/>
            <w:vAlign w:val="center"/>
          </w:tcPr>
          <w:p w14:paraId="51B75FF7" w14:textId="77777777" w:rsidR="00FD27AD" w:rsidRDefault="002435EC">
            <w:pPr>
              <w:jc w:val="center"/>
            </w:pPr>
            <w:r>
              <w:rPr>
                <w:color w:val="000000"/>
                <w:sz w:val="24"/>
                <w:szCs w:val="24"/>
              </w:rPr>
              <w:t>002352</w:t>
            </w:r>
          </w:p>
        </w:tc>
        <w:tc>
          <w:tcPr>
            <w:tcW w:w="1777" w:type="dxa"/>
            <w:vAlign w:val="center"/>
          </w:tcPr>
          <w:p w14:paraId="02E959AE" w14:textId="77777777" w:rsidR="00FD27AD" w:rsidRDefault="002435EC">
            <w:pPr>
              <w:jc w:val="center"/>
            </w:pPr>
            <w:r>
              <w:rPr>
                <w:color w:val="000000"/>
                <w:sz w:val="24"/>
                <w:szCs w:val="24"/>
              </w:rPr>
              <w:t>顺丰控股</w:t>
            </w:r>
          </w:p>
        </w:tc>
        <w:tc>
          <w:tcPr>
            <w:tcW w:w="1334" w:type="dxa"/>
            <w:vAlign w:val="center"/>
          </w:tcPr>
          <w:p w14:paraId="4D221E9C" w14:textId="77777777" w:rsidR="00FD27AD" w:rsidRDefault="002435EC">
            <w:pPr>
              <w:jc w:val="right"/>
            </w:pPr>
            <w:r>
              <w:rPr>
                <w:color w:val="000000"/>
                <w:sz w:val="24"/>
                <w:szCs w:val="24"/>
              </w:rPr>
              <w:t>488,200</w:t>
            </w:r>
          </w:p>
        </w:tc>
        <w:tc>
          <w:tcPr>
            <w:tcW w:w="1924" w:type="dxa"/>
            <w:vAlign w:val="center"/>
          </w:tcPr>
          <w:p w14:paraId="30FD1B92" w14:textId="77777777" w:rsidR="00FD27AD" w:rsidRDefault="002435EC">
            <w:pPr>
              <w:jc w:val="right"/>
            </w:pPr>
            <w:r>
              <w:rPr>
                <w:color w:val="000000"/>
                <w:sz w:val="24"/>
                <w:szCs w:val="24"/>
              </w:rPr>
              <w:t>39,089,340.00</w:t>
            </w:r>
          </w:p>
        </w:tc>
        <w:tc>
          <w:tcPr>
            <w:tcW w:w="1644" w:type="dxa"/>
            <w:vAlign w:val="center"/>
          </w:tcPr>
          <w:p w14:paraId="791772CC" w14:textId="77777777" w:rsidR="00FD27AD" w:rsidRDefault="002435EC">
            <w:pPr>
              <w:jc w:val="right"/>
            </w:pPr>
            <w:r>
              <w:rPr>
                <w:color w:val="000000"/>
                <w:sz w:val="24"/>
                <w:szCs w:val="24"/>
              </w:rPr>
              <w:t>5.32</w:t>
            </w:r>
          </w:p>
        </w:tc>
      </w:tr>
      <w:tr w:rsidR="00FD27AD" w14:paraId="46CC5981" w14:textId="77777777">
        <w:trPr>
          <w:jc w:val="center"/>
        </w:trPr>
        <w:tc>
          <w:tcPr>
            <w:tcW w:w="855" w:type="dxa"/>
            <w:vAlign w:val="center"/>
          </w:tcPr>
          <w:p w14:paraId="6142855C" w14:textId="77777777" w:rsidR="00FD27AD" w:rsidRDefault="002435EC">
            <w:pPr>
              <w:jc w:val="center"/>
            </w:pPr>
            <w:r>
              <w:rPr>
                <w:color w:val="000000"/>
                <w:sz w:val="24"/>
                <w:szCs w:val="24"/>
              </w:rPr>
              <w:t>3</w:t>
            </w:r>
          </w:p>
        </w:tc>
        <w:tc>
          <w:tcPr>
            <w:tcW w:w="1334" w:type="dxa"/>
            <w:vAlign w:val="center"/>
          </w:tcPr>
          <w:p w14:paraId="5002F649" w14:textId="77777777" w:rsidR="00FD27AD" w:rsidRDefault="002435EC">
            <w:pPr>
              <w:jc w:val="center"/>
            </w:pPr>
            <w:r>
              <w:rPr>
                <w:color w:val="000000"/>
                <w:sz w:val="24"/>
                <w:szCs w:val="24"/>
              </w:rPr>
              <w:t>603816</w:t>
            </w:r>
          </w:p>
        </w:tc>
        <w:tc>
          <w:tcPr>
            <w:tcW w:w="1777" w:type="dxa"/>
            <w:vAlign w:val="center"/>
          </w:tcPr>
          <w:p w14:paraId="1CAF1C86" w14:textId="77777777" w:rsidR="00FD27AD" w:rsidRDefault="002435EC">
            <w:pPr>
              <w:jc w:val="center"/>
            </w:pPr>
            <w:r>
              <w:rPr>
                <w:color w:val="000000"/>
                <w:sz w:val="24"/>
                <w:szCs w:val="24"/>
              </w:rPr>
              <w:t>顾家家居</w:t>
            </w:r>
          </w:p>
        </w:tc>
        <w:tc>
          <w:tcPr>
            <w:tcW w:w="1334" w:type="dxa"/>
            <w:vAlign w:val="center"/>
          </w:tcPr>
          <w:p w14:paraId="04E5F788" w14:textId="77777777" w:rsidR="00FD27AD" w:rsidRDefault="002435EC">
            <w:pPr>
              <w:jc w:val="right"/>
            </w:pPr>
            <w:r>
              <w:rPr>
                <w:color w:val="000000"/>
                <w:sz w:val="24"/>
                <w:szCs w:val="24"/>
              </w:rPr>
              <w:t>584,389</w:t>
            </w:r>
          </w:p>
        </w:tc>
        <w:tc>
          <w:tcPr>
            <w:tcW w:w="1924" w:type="dxa"/>
            <w:vAlign w:val="center"/>
          </w:tcPr>
          <w:p w14:paraId="0555CE63" w14:textId="77777777" w:rsidR="00FD27AD" w:rsidRDefault="002435EC">
            <w:pPr>
              <w:jc w:val="right"/>
            </w:pPr>
            <w:r>
              <w:rPr>
                <w:color w:val="000000"/>
                <w:sz w:val="24"/>
                <w:szCs w:val="24"/>
              </w:rPr>
              <w:t>35,238,656.70</w:t>
            </w:r>
          </w:p>
        </w:tc>
        <w:tc>
          <w:tcPr>
            <w:tcW w:w="1644" w:type="dxa"/>
            <w:vAlign w:val="center"/>
          </w:tcPr>
          <w:p w14:paraId="47DB655C" w14:textId="77777777" w:rsidR="00FD27AD" w:rsidRDefault="002435EC">
            <w:pPr>
              <w:jc w:val="right"/>
            </w:pPr>
            <w:r>
              <w:rPr>
                <w:color w:val="000000"/>
                <w:sz w:val="24"/>
                <w:szCs w:val="24"/>
              </w:rPr>
              <w:t>4.80</w:t>
            </w:r>
          </w:p>
        </w:tc>
      </w:tr>
      <w:tr w:rsidR="00FD27AD" w14:paraId="197D0C86" w14:textId="77777777">
        <w:trPr>
          <w:jc w:val="center"/>
        </w:trPr>
        <w:tc>
          <w:tcPr>
            <w:tcW w:w="855" w:type="dxa"/>
            <w:vAlign w:val="center"/>
          </w:tcPr>
          <w:p w14:paraId="289296F6" w14:textId="77777777" w:rsidR="00FD27AD" w:rsidRDefault="002435EC">
            <w:pPr>
              <w:jc w:val="center"/>
            </w:pPr>
            <w:r>
              <w:rPr>
                <w:color w:val="000000"/>
                <w:sz w:val="24"/>
                <w:szCs w:val="24"/>
              </w:rPr>
              <w:t>4</w:t>
            </w:r>
          </w:p>
        </w:tc>
        <w:tc>
          <w:tcPr>
            <w:tcW w:w="1334" w:type="dxa"/>
            <w:vAlign w:val="center"/>
          </w:tcPr>
          <w:p w14:paraId="1AB620D4" w14:textId="77777777" w:rsidR="00FD27AD" w:rsidRDefault="002435EC">
            <w:pPr>
              <w:jc w:val="center"/>
            </w:pPr>
            <w:r>
              <w:rPr>
                <w:color w:val="000000"/>
                <w:sz w:val="24"/>
                <w:szCs w:val="24"/>
              </w:rPr>
              <w:t>000733</w:t>
            </w:r>
          </w:p>
        </w:tc>
        <w:tc>
          <w:tcPr>
            <w:tcW w:w="1777" w:type="dxa"/>
            <w:vAlign w:val="center"/>
          </w:tcPr>
          <w:p w14:paraId="5816271A" w14:textId="77777777" w:rsidR="00FD27AD" w:rsidRDefault="002435EC">
            <w:pPr>
              <w:jc w:val="center"/>
            </w:pPr>
            <w:r>
              <w:rPr>
                <w:color w:val="000000"/>
                <w:sz w:val="24"/>
                <w:szCs w:val="24"/>
              </w:rPr>
              <w:t>振华科技</w:t>
            </w:r>
          </w:p>
        </w:tc>
        <w:tc>
          <w:tcPr>
            <w:tcW w:w="1334" w:type="dxa"/>
            <w:vAlign w:val="center"/>
          </w:tcPr>
          <w:p w14:paraId="64E6F23A" w14:textId="77777777" w:rsidR="00FD27AD" w:rsidRDefault="002435EC">
            <w:pPr>
              <w:jc w:val="right"/>
            </w:pPr>
            <w:r>
              <w:rPr>
                <w:color w:val="000000"/>
                <w:sz w:val="24"/>
                <w:szCs w:val="24"/>
              </w:rPr>
              <w:t>728,600</w:t>
            </w:r>
          </w:p>
        </w:tc>
        <w:tc>
          <w:tcPr>
            <w:tcW w:w="1924" w:type="dxa"/>
            <w:vAlign w:val="center"/>
          </w:tcPr>
          <w:p w14:paraId="0AE7767D" w14:textId="77777777" w:rsidR="00FD27AD" w:rsidRDefault="002435EC">
            <w:pPr>
              <w:jc w:val="right"/>
            </w:pPr>
            <w:r>
              <w:rPr>
                <w:color w:val="000000"/>
                <w:sz w:val="24"/>
                <w:szCs w:val="24"/>
              </w:rPr>
              <w:t>32,641,280.00</w:t>
            </w:r>
          </w:p>
        </w:tc>
        <w:tc>
          <w:tcPr>
            <w:tcW w:w="1644" w:type="dxa"/>
            <w:vAlign w:val="center"/>
          </w:tcPr>
          <w:p w14:paraId="6CB93D99" w14:textId="77777777" w:rsidR="00FD27AD" w:rsidRDefault="002435EC">
            <w:pPr>
              <w:jc w:val="right"/>
            </w:pPr>
            <w:r>
              <w:rPr>
                <w:color w:val="000000"/>
                <w:sz w:val="24"/>
                <w:szCs w:val="24"/>
              </w:rPr>
              <w:t>4.45</w:t>
            </w:r>
          </w:p>
        </w:tc>
      </w:tr>
      <w:tr w:rsidR="00FD27AD" w14:paraId="78C2B779" w14:textId="77777777">
        <w:trPr>
          <w:jc w:val="center"/>
        </w:trPr>
        <w:tc>
          <w:tcPr>
            <w:tcW w:w="855" w:type="dxa"/>
            <w:vAlign w:val="center"/>
          </w:tcPr>
          <w:p w14:paraId="6D56208E" w14:textId="77777777" w:rsidR="00FD27AD" w:rsidRDefault="002435EC">
            <w:pPr>
              <w:jc w:val="center"/>
            </w:pPr>
            <w:r>
              <w:rPr>
                <w:color w:val="000000"/>
                <w:sz w:val="24"/>
                <w:szCs w:val="24"/>
              </w:rPr>
              <w:t>5</w:t>
            </w:r>
          </w:p>
        </w:tc>
        <w:tc>
          <w:tcPr>
            <w:tcW w:w="1334" w:type="dxa"/>
            <w:vAlign w:val="center"/>
          </w:tcPr>
          <w:p w14:paraId="1C2BEA6A" w14:textId="77777777" w:rsidR="00FD27AD" w:rsidRDefault="002435EC">
            <w:pPr>
              <w:jc w:val="center"/>
            </w:pPr>
            <w:r>
              <w:rPr>
                <w:color w:val="000000"/>
                <w:sz w:val="24"/>
                <w:szCs w:val="24"/>
              </w:rPr>
              <w:t>603259</w:t>
            </w:r>
          </w:p>
        </w:tc>
        <w:tc>
          <w:tcPr>
            <w:tcW w:w="1777" w:type="dxa"/>
            <w:vAlign w:val="center"/>
          </w:tcPr>
          <w:p w14:paraId="5BCC9DAD" w14:textId="77777777" w:rsidR="00FD27AD" w:rsidRDefault="002435EC">
            <w:pPr>
              <w:jc w:val="center"/>
            </w:pPr>
            <w:r>
              <w:rPr>
                <w:color w:val="000000"/>
                <w:sz w:val="24"/>
                <w:szCs w:val="24"/>
              </w:rPr>
              <w:t>药明康德</w:t>
            </w:r>
          </w:p>
        </w:tc>
        <w:tc>
          <w:tcPr>
            <w:tcW w:w="1334" w:type="dxa"/>
            <w:vAlign w:val="center"/>
          </w:tcPr>
          <w:p w14:paraId="53C9E664" w14:textId="77777777" w:rsidR="00FD27AD" w:rsidRDefault="002435EC">
            <w:pPr>
              <w:jc w:val="right"/>
            </w:pPr>
            <w:r>
              <w:rPr>
                <w:color w:val="000000"/>
                <w:sz w:val="24"/>
                <w:szCs w:val="24"/>
              </w:rPr>
              <w:t>319,550</w:t>
            </w:r>
          </w:p>
        </w:tc>
        <w:tc>
          <w:tcPr>
            <w:tcW w:w="1924" w:type="dxa"/>
            <w:vAlign w:val="center"/>
          </w:tcPr>
          <w:p w14:paraId="03985D6D" w14:textId="77777777" w:rsidR="00FD27AD" w:rsidRDefault="002435EC">
            <w:pPr>
              <w:jc w:val="right"/>
            </w:pPr>
            <w:r>
              <w:rPr>
                <w:color w:val="000000"/>
                <w:sz w:val="24"/>
                <w:szCs w:val="24"/>
              </w:rPr>
              <w:t>32,434,325.00</w:t>
            </w:r>
          </w:p>
        </w:tc>
        <w:tc>
          <w:tcPr>
            <w:tcW w:w="1644" w:type="dxa"/>
            <w:vAlign w:val="center"/>
          </w:tcPr>
          <w:p w14:paraId="0744E2F0" w14:textId="77777777" w:rsidR="00FD27AD" w:rsidRDefault="002435EC">
            <w:pPr>
              <w:jc w:val="right"/>
            </w:pPr>
            <w:r>
              <w:rPr>
                <w:color w:val="000000"/>
                <w:sz w:val="24"/>
                <w:szCs w:val="24"/>
              </w:rPr>
              <w:t>4.42</w:t>
            </w:r>
          </w:p>
        </w:tc>
      </w:tr>
      <w:tr w:rsidR="00FD27AD" w14:paraId="61A068B2" w14:textId="77777777">
        <w:trPr>
          <w:jc w:val="center"/>
        </w:trPr>
        <w:tc>
          <w:tcPr>
            <w:tcW w:w="855" w:type="dxa"/>
            <w:vAlign w:val="center"/>
          </w:tcPr>
          <w:p w14:paraId="61059630" w14:textId="77777777" w:rsidR="00FD27AD" w:rsidRDefault="002435EC">
            <w:pPr>
              <w:jc w:val="center"/>
            </w:pPr>
            <w:r>
              <w:rPr>
                <w:color w:val="000000"/>
                <w:sz w:val="24"/>
                <w:szCs w:val="24"/>
              </w:rPr>
              <w:t>6</w:t>
            </w:r>
          </w:p>
        </w:tc>
        <w:tc>
          <w:tcPr>
            <w:tcW w:w="1334" w:type="dxa"/>
            <w:vAlign w:val="center"/>
          </w:tcPr>
          <w:p w14:paraId="2E5FABBF" w14:textId="77777777" w:rsidR="00FD27AD" w:rsidRDefault="002435EC">
            <w:pPr>
              <w:jc w:val="center"/>
            </w:pPr>
            <w:r>
              <w:rPr>
                <w:color w:val="000000"/>
                <w:sz w:val="24"/>
                <w:szCs w:val="24"/>
              </w:rPr>
              <w:t>300395</w:t>
            </w:r>
          </w:p>
        </w:tc>
        <w:tc>
          <w:tcPr>
            <w:tcW w:w="1777" w:type="dxa"/>
            <w:vAlign w:val="center"/>
          </w:tcPr>
          <w:p w14:paraId="274C7EFA" w14:textId="77777777" w:rsidR="00FD27AD" w:rsidRDefault="002435EC">
            <w:pPr>
              <w:jc w:val="center"/>
            </w:pPr>
            <w:r>
              <w:rPr>
                <w:color w:val="000000"/>
                <w:sz w:val="24"/>
                <w:szCs w:val="24"/>
              </w:rPr>
              <w:t>菲利华</w:t>
            </w:r>
          </w:p>
        </w:tc>
        <w:tc>
          <w:tcPr>
            <w:tcW w:w="1334" w:type="dxa"/>
            <w:vAlign w:val="center"/>
          </w:tcPr>
          <w:p w14:paraId="3CB00653" w14:textId="77777777" w:rsidR="00FD27AD" w:rsidRDefault="002435EC">
            <w:pPr>
              <w:jc w:val="right"/>
            </w:pPr>
            <w:r>
              <w:rPr>
                <w:color w:val="000000"/>
                <w:sz w:val="24"/>
                <w:szCs w:val="24"/>
              </w:rPr>
              <w:t>736,968</w:t>
            </w:r>
          </w:p>
        </w:tc>
        <w:tc>
          <w:tcPr>
            <w:tcW w:w="1924" w:type="dxa"/>
            <w:vAlign w:val="center"/>
          </w:tcPr>
          <w:p w14:paraId="47EF7F42" w14:textId="77777777" w:rsidR="00FD27AD" w:rsidRDefault="002435EC">
            <w:pPr>
              <w:jc w:val="right"/>
            </w:pPr>
            <w:r>
              <w:rPr>
                <w:color w:val="000000"/>
                <w:sz w:val="24"/>
                <w:szCs w:val="24"/>
              </w:rPr>
              <w:t>31,969,671.84</w:t>
            </w:r>
          </w:p>
        </w:tc>
        <w:tc>
          <w:tcPr>
            <w:tcW w:w="1644" w:type="dxa"/>
            <w:vAlign w:val="center"/>
          </w:tcPr>
          <w:p w14:paraId="49F1F066" w14:textId="77777777" w:rsidR="00FD27AD" w:rsidRDefault="002435EC">
            <w:pPr>
              <w:jc w:val="right"/>
            </w:pPr>
            <w:r>
              <w:rPr>
                <w:color w:val="000000"/>
                <w:sz w:val="24"/>
                <w:szCs w:val="24"/>
              </w:rPr>
              <w:t>4.35</w:t>
            </w:r>
          </w:p>
        </w:tc>
      </w:tr>
      <w:tr w:rsidR="00FD27AD" w14:paraId="47FD35D0" w14:textId="77777777">
        <w:trPr>
          <w:jc w:val="center"/>
        </w:trPr>
        <w:tc>
          <w:tcPr>
            <w:tcW w:w="855" w:type="dxa"/>
            <w:vAlign w:val="center"/>
          </w:tcPr>
          <w:p w14:paraId="61DD673A" w14:textId="77777777" w:rsidR="00FD27AD" w:rsidRDefault="002435EC">
            <w:pPr>
              <w:jc w:val="center"/>
            </w:pPr>
            <w:r>
              <w:rPr>
                <w:color w:val="000000"/>
                <w:sz w:val="24"/>
                <w:szCs w:val="24"/>
              </w:rPr>
              <w:t>7</w:t>
            </w:r>
          </w:p>
        </w:tc>
        <w:tc>
          <w:tcPr>
            <w:tcW w:w="1334" w:type="dxa"/>
            <w:vAlign w:val="center"/>
          </w:tcPr>
          <w:p w14:paraId="05CE11DD" w14:textId="77777777" w:rsidR="00FD27AD" w:rsidRDefault="002435EC">
            <w:pPr>
              <w:jc w:val="center"/>
            </w:pPr>
            <w:r>
              <w:rPr>
                <w:color w:val="000000"/>
                <w:sz w:val="24"/>
                <w:szCs w:val="24"/>
              </w:rPr>
              <w:t>002475</w:t>
            </w:r>
          </w:p>
        </w:tc>
        <w:tc>
          <w:tcPr>
            <w:tcW w:w="1777" w:type="dxa"/>
            <w:vAlign w:val="center"/>
          </w:tcPr>
          <w:p w14:paraId="4D8FED14" w14:textId="77777777" w:rsidR="00FD27AD" w:rsidRDefault="002435EC">
            <w:pPr>
              <w:jc w:val="center"/>
            </w:pPr>
            <w:r>
              <w:rPr>
                <w:color w:val="000000"/>
                <w:sz w:val="24"/>
                <w:szCs w:val="24"/>
              </w:rPr>
              <w:t>立讯精密</w:t>
            </w:r>
          </w:p>
        </w:tc>
        <w:tc>
          <w:tcPr>
            <w:tcW w:w="1334" w:type="dxa"/>
            <w:vAlign w:val="center"/>
          </w:tcPr>
          <w:p w14:paraId="2586EF09" w14:textId="77777777" w:rsidR="00FD27AD" w:rsidRDefault="002435EC">
            <w:pPr>
              <w:jc w:val="right"/>
            </w:pPr>
            <w:r>
              <w:rPr>
                <w:color w:val="000000"/>
                <w:sz w:val="24"/>
                <w:szCs w:val="24"/>
              </w:rPr>
              <w:t>537,657</w:t>
            </w:r>
          </w:p>
        </w:tc>
        <w:tc>
          <w:tcPr>
            <w:tcW w:w="1924" w:type="dxa"/>
            <w:vAlign w:val="center"/>
          </w:tcPr>
          <w:p w14:paraId="448CECC8" w14:textId="77777777" w:rsidR="00FD27AD" w:rsidRDefault="002435EC">
            <w:pPr>
              <w:jc w:val="right"/>
            </w:pPr>
            <w:r>
              <w:rPr>
                <w:color w:val="000000"/>
                <w:sz w:val="24"/>
                <w:szCs w:val="24"/>
              </w:rPr>
              <w:t>30,716,344.41</w:t>
            </w:r>
          </w:p>
        </w:tc>
        <w:tc>
          <w:tcPr>
            <w:tcW w:w="1644" w:type="dxa"/>
            <w:vAlign w:val="center"/>
          </w:tcPr>
          <w:p w14:paraId="6D649D8E" w14:textId="77777777" w:rsidR="00FD27AD" w:rsidRDefault="002435EC">
            <w:pPr>
              <w:jc w:val="right"/>
            </w:pPr>
            <w:r>
              <w:rPr>
                <w:color w:val="000000"/>
                <w:sz w:val="24"/>
                <w:szCs w:val="24"/>
              </w:rPr>
              <w:t>4.18</w:t>
            </w:r>
          </w:p>
        </w:tc>
      </w:tr>
      <w:tr w:rsidR="00FD27AD" w14:paraId="19B297C3" w14:textId="77777777">
        <w:trPr>
          <w:jc w:val="center"/>
        </w:trPr>
        <w:tc>
          <w:tcPr>
            <w:tcW w:w="855" w:type="dxa"/>
            <w:vAlign w:val="center"/>
          </w:tcPr>
          <w:p w14:paraId="580655B0" w14:textId="77777777" w:rsidR="00FD27AD" w:rsidRDefault="002435EC">
            <w:pPr>
              <w:jc w:val="center"/>
            </w:pPr>
            <w:r>
              <w:rPr>
                <w:color w:val="000000"/>
                <w:sz w:val="24"/>
                <w:szCs w:val="24"/>
              </w:rPr>
              <w:t>8</w:t>
            </w:r>
          </w:p>
        </w:tc>
        <w:tc>
          <w:tcPr>
            <w:tcW w:w="1334" w:type="dxa"/>
            <w:vAlign w:val="center"/>
          </w:tcPr>
          <w:p w14:paraId="061214B6" w14:textId="77777777" w:rsidR="00FD27AD" w:rsidRDefault="002435EC">
            <w:pPr>
              <w:jc w:val="center"/>
            </w:pPr>
            <w:r>
              <w:rPr>
                <w:color w:val="000000"/>
                <w:sz w:val="24"/>
                <w:szCs w:val="24"/>
              </w:rPr>
              <w:t>600519</w:t>
            </w:r>
          </w:p>
        </w:tc>
        <w:tc>
          <w:tcPr>
            <w:tcW w:w="1777" w:type="dxa"/>
            <w:vAlign w:val="center"/>
          </w:tcPr>
          <w:p w14:paraId="7EB14070" w14:textId="77777777" w:rsidR="00FD27AD" w:rsidRDefault="002435EC">
            <w:pPr>
              <w:jc w:val="center"/>
            </w:pPr>
            <w:r>
              <w:rPr>
                <w:color w:val="000000"/>
                <w:sz w:val="24"/>
                <w:szCs w:val="24"/>
              </w:rPr>
              <w:t>贵州茅台</w:t>
            </w:r>
          </w:p>
        </w:tc>
        <w:tc>
          <w:tcPr>
            <w:tcW w:w="1334" w:type="dxa"/>
            <w:vAlign w:val="center"/>
          </w:tcPr>
          <w:p w14:paraId="7101FCF9" w14:textId="77777777" w:rsidR="00FD27AD" w:rsidRDefault="002435EC">
            <w:pPr>
              <w:jc w:val="right"/>
            </w:pPr>
            <w:r>
              <w:rPr>
                <w:color w:val="000000"/>
                <w:sz w:val="24"/>
                <w:szCs w:val="24"/>
              </w:rPr>
              <w:t>17,134</w:t>
            </w:r>
          </w:p>
        </w:tc>
        <w:tc>
          <w:tcPr>
            <w:tcW w:w="1924" w:type="dxa"/>
            <w:vAlign w:val="center"/>
          </w:tcPr>
          <w:p w14:paraId="7452D90F" w14:textId="77777777" w:rsidR="00FD27AD" w:rsidRDefault="002435EC">
            <w:pPr>
              <w:jc w:val="right"/>
            </w:pPr>
            <w:r>
              <w:rPr>
                <w:color w:val="000000"/>
                <w:sz w:val="24"/>
                <w:szCs w:val="24"/>
              </w:rPr>
              <w:t>28,588,079.00</w:t>
            </w:r>
          </w:p>
        </w:tc>
        <w:tc>
          <w:tcPr>
            <w:tcW w:w="1644" w:type="dxa"/>
            <w:vAlign w:val="center"/>
          </w:tcPr>
          <w:p w14:paraId="295E175A" w14:textId="77777777" w:rsidR="00FD27AD" w:rsidRDefault="002435EC">
            <w:pPr>
              <w:jc w:val="right"/>
            </w:pPr>
            <w:r>
              <w:rPr>
                <w:color w:val="000000"/>
                <w:sz w:val="24"/>
                <w:szCs w:val="24"/>
              </w:rPr>
              <w:t>3.89</w:t>
            </w:r>
          </w:p>
        </w:tc>
      </w:tr>
      <w:tr w:rsidR="00FD27AD" w14:paraId="79727E9D" w14:textId="77777777">
        <w:trPr>
          <w:jc w:val="center"/>
        </w:trPr>
        <w:tc>
          <w:tcPr>
            <w:tcW w:w="855" w:type="dxa"/>
            <w:vAlign w:val="center"/>
          </w:tcPr>
          <w:p w14:paraId="7374D2ED" w14:textId="77777777" w:rsidR="00FD27AD" w:rsidRDefault="002435EC">
            <w:pPr>
              <w:jc w:val="center"/>
            </w:pPr>
            <w:r>
              <w:rPr>
                <w:color w:val="000000"/>
                <w:sz w:val="24"/>
                <w:szCs w:val="24"/>
              </w:rPr>
              <w:t>9</w:t>
            </w:r>
          </w:p>
        </w:tc>
        <w:tc>
          <w:tcPr>
            <w:tcW w:w="1334" w:type="dxa"/>
            <w:vAlign w:val="center"/>
          </w:tcPr>
          <w:p w14:paraId="63CCCC0D" w14:textId="77777777" w:rsidR="00FD27AD" w:rsidRDefault="002435EC">
            <w:pPr>
              <w:jc w:val="center"/>
            </w:pPr>
            <w:r>
              <w:rPr>
                <w:color w:val="000000"/>
                <w:sz w:val="24"/>
                <w:szCs w:val="24"/>
              </w:rPr>
              <w:t>600346</w:t>
            </w:r>
          </w:p>
        </w:tc>
        <w:tc>
          <w:tcPr>
            <w:tcW w:w="1777" w:type="dxa"/>
            <w:vAlign w:val="center"/>
          </w:tcPr>
          <w:p w14:paraId="42BCF599" w14:textId="77777777" w:rsidR="00FD27AD" w:rsidRDefault="002435EC">
            <w:pPr>
              <w:jc w:val="center"/>
            </w:pPr>
            <w:r>
              <w:rPr>
                <w:color w:val="000000"/>
                <w:sz w:val="24"/>
                <w:szCs w:val="24"/>
              </w:rPr>
              <w:t>恒力石化</w:t>
            </w:r>
          </w:p>
        </w:tc>
        <w:tc>
          <w:tcPr>
            <w:tcW w:w="1334" w:type="dxa"/>
            <w:vAlign w:val="center"/>
          </w:tcPr>
          <w:p w14:paraId="6626D77B" w14:textId="77777777" w:rsidR="00FD27AD" w:rsidRDefault="002435EC">
            <w:pPr>
              <w:jc w:val="right"/>
            </w:pPr>
            <w:r>
              <w:rPr>
                <w:color w:val="000000"/>
                <w:sz w:val="24"/>
                <w:szCs w:val="24"/>
              </w:rPr>
              <w:t>1,438,200</w:t>
            </w:r>
          </w:p>
        </w:tc>
        <w:tc>
          <w:tcPr>
            <w:tcW w:w="1924" w:type="dxa"/>
            <w:vAlign w:val="center"/>
          </w:tcPr>
          <w:p w14:paraId="7B256EE9" w14:textId="77777777" w:rsidR="00FD27AD" w:rsidRDefault="002435EC">
            <w:pPr>
              <w:jc w:val="right"/>
            </w:pPr>
            <w:r>
              <w:rPr>
                <w:color w:val="000000"/>
                <w:sz w:val="24"/>
                <w:szCs w:val="24"/>
              </w:rPr>
              <w:t>26,692,992.00</w:t>
            </w:r>
          </w:p>
        </w:tc>
        <w:tc>
          <w:tcPr>
            <w:tcW w:w="1644" w:type="dxa"/>
            <w:vAlign w:val="center"/>
          </w:tcPr>
          <w:p w14:paraId="661CC9B1" w14:textId="77777777" w:rsidR="00FD27AD" w:rsidRDefault="002435EC">
            <w:pPr>
              <w:jc w:val="right"/>
            </w:pPr>
            <w:r>
              <w:rPr>
                <w:color w:val="000000"/>
                <w:sz w:val="24"/>
                <w:szCs w:val="24"/>
              </w:rPr>
              <w:t>3.64</w:t>
            </w:r>
          </w:p>
        </w:tc>
      </w:tr>
      <w:tr w:rsidR="00FD27AD" w14:paraId="38993D53" w14:textId="77777777">
        <w:trPr>
          <w:jc w:val="center"/>
        </w:trPr>
        <w:tc>
          <w:tcPr>
            <w:tcW w:w="855" w:type="dxa"/>
            <w:vAlign w:val="center"/>
          </w:tcPr>
          <w:p w14:paraId="38703BC8" w14:textId="77777777" w:rsidR="00FD27AD" w:rsidRDefault="002435EC">
            <w:pPr>
              <w:jc w:val="center"/>
            </w:pPr>
            <w:r>
              <w:rPr>
                <w:color w:val="000000"/>
                <w:sz w:val="24"/>
                <w:szCs w:val="24"/>
              </w:rPr>
              <w:t>10</w:t>
            </w:r>
          </w:p>
        </w:tc>
        <w:tc>
          <w:tcPr>
            <w:tcW w:w="1334" w:type="dxa"/>
            <w:vAlign w:val="center"/>
          </w:tcPr>
          <w:p w14:paraId="44B22D1D" w14:textId="77777777" w:rsidR="00FD27AD" w:rsidRDefault="002435EC">
            <w:pPr>
              <w:jc w:val="center"/>
            </w:pPr>
            <w:r>
              <w:rPr>
                <w:color w:val="000000"/>
                <w:sz w:val="24"/>
                <w:szCs w:val="24"/>
              </w:rPr>
              <w:t>300724</w:t>
            </w:r>
          </w:p>
        </w:tc>
        <w:tc>
          <w:tcPr>
            <w:tcW w:w="1777" w:type="dxa"/>
            <w:vAlign w:val="center"/>
          </w:tcPr>
          <w:p w14:paraId="027999FD" w14:textId="77777777" w:rsidR="00FD27AD" w:rsidRDefault="002435EC">
            <w:pPr>
              <w:jc w:val="center"/>
            </w:pPr>
            <w:r>
              <w:rPr>
                <w:color w:val="000000"/>
                <w:sz w:val="24"/>
                <w:szCs w:val="24"/>
              </w:rPr>
              <w:t>捷佳伟创</w:t>
            </w:r>
          </w:p>
        </w:tc>
        <w:tc>
          <w:tcPr>
            <w:tcW w:w="1334" w:type="dxa"/>
            <w:vAlign w:val="center"/>
          </w:tcPr>
          <w:p w14:paraId="0E153A55" w14:textId="77777777" w:rsidR="00FD27AD" w:rsidRDefault="002435EC">
            <w:pPr>
              <w:jc w:val="right"/>
            </w:pPr>
            <w:r>
              <w:rPr>
                <w:color w:val="000000"/>
                <w:sz w:val="24"/>
                <w:szCs w:val="24"/>
              </w:rPr>
              <w:t>243,000</w:t>
            </w:r>
          </w:p>
        </w:tc>
        <w:tc>
          <w:tcPr>
            <w:tcW w:w="1924" w:type="dxa"/>
            <w:vAlign w:val="center"/>
          </w:tcPr>
          <w:p w14:paraId="5F6B83EE" w14:textId="77777777" w:rsidR="00FD27AD" w:rsidRDefault="002435EC">
            <w:pPr>
              <w:jc w:val="right"/>
            </w:pPr>
            <w:r>
              <w:rPr>
                <w:color w:val="000000"/>
                <w:sz w:val="24"/>
                <w:szCs w:val="24"/>
              </w:rPr>
              <w:t>25,534,440.00</w:t>
            </w:r>
          </w:p>
        </w:tc>
        <w:tc>
          <w:tcPr>
            <w:tcW w:w="1644" w:type="dxa"/>
            <w:vAlign w:val="center"/>
          </w:tcPr>
          <w:p w14:paraId="3AB12305" w14:textId="77777777" w:rsidR="00FD27AD" w:rsidRDefault="002435EC">
            <w:pPr>
              <w:jc w:val="right"/>
            </w:pPr>
            <w:r>
              <w:rPr>
                <w:color w:val="000000"/>
                <w:sz w:val="24"/>
                <w:szCs w:val="24"/>
              </w:rPr>
              <w:t>3.48</w:t>
            </w:r>
          </w:p>
        </w:tc>
      </w:tr>
    </w:tbl>
    <w:p w14:paraId="69D27011"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492230FD"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14:paraId="3FBE3A91" w14:textId="77777777"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14:paraId="374CA63E" w14:textId="77777777" w:rsidTr="00F323FF">
        <w:trPr>
          <w:jc w:val="center"/>
        </w:trPr>
        <w:tc>
          <w:tcPr>
            <w:tcW w:w="828" w:type="dxa"/>
            <w:vAlign w:val="center"/>
          </w:tcPr>
          <w:p w14:paraId="7FD9B2A6"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14:paraId="5DA792AC"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14:paraId="00B2C0CE"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14:paraId="649B5D06"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14:paraId="6C271F99" w14:textId="77777777" w:rsidTr="00F323FF">
        <w:trPr>
          <w:jc w:val="center"/>
        </w:trPr>
        <w:tc>
          <w:tcPr>
            <w:tcW w:w="828" w:type="dxa"/>
            <w:vAlign w:val="center"/>
          </w:tcPr>
          <w:p w14:paraId="12926F85"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14:paraId="16CCF060"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F2E490C"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3DB537B6"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45A60A06" w14:textId="77777777" w:rsidTr="00F323FF">
        <w:trPr>
          <w:jc w:val="center"/>
        </w:trPr>
        <w:tc>
          <w:tcPr>
            <w:tcW w:w="828" w:type="dxa"/>
            <w:vAlign w:val="center"/>
          </w:tcPr>
          <w:p w14:paraId="33F432A9"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14:paraId="3A483D75"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006A96F6"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42E0C99"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3542C1F3" w14:textId="77777777" w:rsidTr="00F323FF">
        <w:trPr>
          <w:jc w:val="center"/>
        </w:trPr>
        <w:tc>
          <w:tcPr>
            <w:tcW w:w="828" w:type="dxa"/>
            <w:vAlign w:val="center"/>
          </w:tcPr>
          <w:p w14:paraId="0DDB4F41"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14:paraId="317C1BEC"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01480621"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39,900,000.00</w:t>
            </w:r>
          </w:p>
        </w:tc>
        <w:tc>
          <w:tcPr>
            <w:tcW w:w="1751" w:type="dxa"/>
            <w:vAlign w:val="center"/>
          </w:tcPr>
          <w:p w14:paraId="431FC7DA"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5.43</w:t>
            </w:r>
          </w:p>
        </w:tc>
      </w:tr>
      <w:tr w:rsidR="00AC592E" w:rsidRPr="00414345" w14:paraId="3722BE62" w14:textId="77777777" w:rsidTr="00F323FF">
        <w:trPr>
          <w:jc w:val="center"/>
        </w:trPr>
        <w:tc>
          <w:tcPr>
            <w:tcW w:w="828" w:type="dxa"/>
            <w:vAlign w:val="center"/>
          </w:tcPr>
          <w:p w14:paraId="5D175EB8" w14:textId="77777777" w:rsidR="00AC592E" w:rsidRPr="00414345" w:rsidRDefault="00AC592E" w:rsidP="00C15CAC">
            <w:pPr>
              <w:spacing w:before="29" w:line="288" w:lineRule="auto"/>
              <w:ind w:left="17"/>
              <w:jc w:val="center"/>
              <w:rPr>
                <w:color w:val="000000"/>
                <w:sz w:val="24"/>
                <w:szCs w:val="24"/>
              </w:rPr>
            </w:pPr>
          </w:p>
        </w:tc>
        <w:tc>
          <w:tcPr>
            <w:tcW w:w="3302" w:type="dxa"/>
            <w:vAlign w:val="center"/>
          </w:tcPr>
          <w:p w14:paraId="649991B5"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7277B6ED"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39,900,000.00</w:t>
            </w:r>
          </w:p>
        </w:tc>
        <w:tc>
          <w:tcPr>
            <w:tcW w:w="1751" w:type="dxa"/>
            <w:vAlign w:val="center"/>
          </w:tcPr>
          <w:p w14:paraId="75B18AB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5.43</w:t>
            </w:r>
          </w:p>
        </w:tc>
      </w:tr>
      <w:tr w:rsidR="00AC592E" w:rsidRPr="00414345" w14:paraId="4023D87B" w14:textId="77777777" w:rsidTr="00F323FF">
        <w:trPr>
          <w:jc w:val="center"/>
        </w:trPr>
        <w:tc>
          <w:tcPr>
            <w:tcW w:w="828" w:type="dxa"/>
            <w:vAlign w:val="center"/>
          </w:tcPr>
          <w:p w14:paraId="4AEE88D9"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14:paraId="3C04BF1B"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1D24333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0CDBEF8"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7DD22D03" w14:textId="77777777" w:rsidTr="00F323FF">
        <w:trPr>
          <w:jc w:val="center"/>
        </w:trPr>
        <w:tc>
          <w:tcPr>
            <w:tcW w:w="828" w:type="dxa"/>
            <w:vAlign w:val="center"/>
          </w:tcPr>
          <w:p w14:paraId="3A34BCDA" w14:textId="77777777"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14:paraId="143DCCB1"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14:paraId="21E25F72"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04745449"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14:paraId="16216B2F" w14:textId="77777777" w:rsidTr="00F323FF">
        <w:trPr>
          <w:jc w:val="center"/>
        </w:trPr>
        <w:tc>
          <w:tcPr>
            <w:tcW w:w="828" w:type="dxa"/>
            <w:vAlign w:val="center"/>
          </w:tcPr>
          <w:p w14:paraId="0315CAA6" w14:textId="77777777"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14:paraId="760BEDD6" w14:textId="77777777"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42B0190A"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78BD6D92" w14:textId="77777777"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793ACEF1" w14:textId="77777777" w:rsidTr="00F323FF">
        <w:trPr>
          <w:jc w:val="center"/>
        </w:trPr>
        <w:tc>
          <w:tcPr>
            <w:tcW w:w="828" w:type="dxa"/>
            <w:vAlign w:val="center"/>
          </w:tcPr>
          <w:p w14:paraId="1B19A858" w14:textId="77777777"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14:paraId="425BE946"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14:paraId="5B10E9D6"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1,458,472.30</w:t>
            </w:r>
          </w:p>
        </w:tc>
        <w:tc>
          <w:tcPr>
            <w:tcW w:w="1751" w:type="dxa"/>
            <w:vAlign w:val="center"/>
          </w:tcPr>
          <w:p w14:paraId="32E7948E"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0.20</w:t>
            </w:r>
          </w:p>
        </w:tc>
      </w:tr>
      <w:tr w:rsidR="00F323FF" w:rsidRPr="00414345" w14:paraId="25369F64" w14:textId="77777777" w:rsidTr="0006711A">
        <w:trPr>
          <w:jc w:val="center"/>
        </w:trPr>
        <w:tc>
          <w:tcPr>
            <w:tcW w:w="828" w:type="dxa"/>
            <w:vAlign w:val="center"/>
          </w:tcPr>
          <w:p w14:paraId="6021FF11" w14:textId="77777777"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14:paraId="13431169" w14:textId="77777777"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0EFFA1A5" w14:textId="77777777"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14:paraId="7FE8E8C4" w14:textId="77777777"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14:paraId="61D7594C" w14:textId="77777777" w:rsidTr="00F323FF">
        <w:trPr>
          <w:jc w:val="center"/>
        </w:trPr>
        <w:tc>
          <w:tcPr>
            <w:tcW w:w="828" w:type="dxa"/>
            <w:vAlign w:val="center"/>
          </w:tcPr>
          <w:p w14:paraId="3B8D804B"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14:paraId="3E7F833B"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3CDA3AF0"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14:paraId="1B13CE20"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14:paraId="5C3F78D6" w14:textId="77777777" w:rsidTr="00F323FF">
        <w:trPr>
          <w:jc w:val="center"/>
        </w:trPr>
        <w:tc>
          <w:tcPr>
            <w:tcW w:w="828" w:type="dxa"/>
            <w:vAlign w:val="center"/>
          </w:tcPr>
          <w:p w14:paraId="1D8990E1" w14:textId="77777777"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14:paraId="4187BA2A" w14:textId="77777777"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0EFDC077"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41,358,472.30</w:t>
            </w:r>
          </w:p>
        </w:tc>
        <w:tc>
          <w:tcPr>
            <w:tcW w:w="1751" w:type="dxa"/>
            <w:vAlign w:val="center"/>
          </w:tcPr>
          <w:p w14:paraId="37CD5B97" w14:textId="77777777" w:rsidR="00AC592E" w:rsidRPr="00414345" w:rsidRDefault="00AC592E" w:rsidP="00C15CAC">
            <w:pPr>
              <w:spacing w:before="29" w:line="288" w:lineRule="auto"/>
              <w:ind w:left="17"/>
              <w:jc w:val="right"/>
              <w:rPr>
                <w:color w:val="000000"/>
                <w:sz w:val="24"/>
                <w:szCs w:val="24"/>
              </w:rPr>
            </w:pPr>
            <w:r w:rsidRPr="00414345">
              <w:rPr>
                <w:color w:val="000000"/>
                <w:sz w:val="24"/>
                <w:szCs w:val="24"/>
              </w:rPr>
              <w:t>5.63</w:t>
            </w:r>
          </w:p>
        </w:tc>
      </w:tr>
    </w:tbl>
    <w:p w14:paraId="0A0B8070"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64B023B"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14:paraId="36A17E75" w14:textId="77777777"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14:paraId="72DBA314" w14:textId="77777777" w:rsidTr="00A324F4">
        <w:trPr>
          <w:jc w:val="center"/>
        </w:trPr>
        <w:tc>
          <w:tcPr>
            <w:tcW w:w="817" w:type="dxa"/>
            <w:vAlign w:val="center"/>
          </w:tcPr>
          <w:p w14:paraId="6C7D0D11"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14:paraId="146B38B8"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14:paraId="706BA1EA"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14:paraId="6C2F7B40"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14:paraId="74984028"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14:paraId="0FE22CC1"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D27AD" w14:paraId="6F047348" w14:textId="77777777">
        <w:trPr>
          <w:jc w:val="center"/>
        </w:trPr>
        <w:tc>
          <w:tcPr>
            <w:tcW w:w="850" w:type="dxa"/>
            <w:vAlign w:val="center"/>
          </w:tcPr>
          <w:p w14:paraId="6F0C3498" w14:textId="77777777" w:rsidR="00FD27AD" w:rsidRDefault="002435EC">
            <w:pPr>
              <w:jc w:val="center"/>
            </w:pPr>
            <w:r>
              <w:rPr>
                <w:color w:val="000000"/>
                <w:sz w:val="24"/>
                <w:szCs w:val="24"/>
              </w:rPr>
              <w:t>1</w:t>
            </w:r>
          </w:p>
        </w:tc>
        <w:tc>
          <w:tcPr>
            <w:tcW w:w="1475" w:type="dxa"/>
            <w:vAlign w:val="center"/>
          </w:tcPr>
          <w:p w14:paraId="424A8EA6" w14:textId="77777777" w:rsidR="00FD27AD" w:rsidRDefault="002435EC">
            <w:pPr>
              <w:jc w:val="center"/>
            </w:pPr>
            <w:r>
              <w:rPr>
                <w:color w:val="000000"/>
                <w:sz w:val="24"/>
                <w:szCs w:val="24"/>
              </w:rPr>
              <w:t>200309</w:t>
            </w:r>
          </w:p>
        </w:tc>
        <w:tc>
          <w:tcPr>
            <w:tcW w:w="1769" w:type="dxa"/>
            <w:vAlign w:val="center"/>
          </w:tcPr>
          <w:p w14:paraId="414F51A4" w14:textId="77777777" w:rsidR="00FD27AD" w:rsidRDefault="002435EC">
            <w:pPr>
              <w:jc w:val="center"/>
            </w:pPr>
            <w:r>
              <w:rPr>
                <w:color w:val="000000"/>
                <w:sz w:val="24"/>
                <w:szCs w:val="24"/>
              </w:rPr>
              <w:t>20</w:t>
            </w:r>
            <w:r>
              <w:rPr>
                <w:color w:val="000000"/>
                <w:sz w:val="24"/>
                <w:szCs w:val="24"/>
              </w:rPr>
              <w:t>进出</w:t>
            </w:r>
            <w:r>
              <w:rPr>
                <w:color w:val="000000"/>
                <w:sz w:val="24"/>
                <w:szCs w:val="24"/>
              </w:rPr>
              <w:t>09</w:t>
            </w:r>
          </w:p>
        </w:tc>
        <w:tc>
          <w:tcPr>
            <w:tcW w:w="1387" w:type="dxa"/>
            <w:vAlign w:val="center"/>
          </w:tcPr>
          <w:p w14:paraId="1AFBEA88" w14:textId="77777777" w:rsidR="00FD27AD" w:rsidRDefault="002435EC">
            <w:pPr>
              <w:jc w:val="right"/>
            </w:pPr>
            <w:r>
              <w:rPr>
                <w:color w:val="000000"/>
                <w:sz w:val="24"/>
                <w:szCs w:val="24"/>
              </w:rPr>
              <w:t>400,000</w:t>
            </w:r>
          </w:p>
        </w:tc>
        <w:tc>
          <w:tcPr>
            <w:tcW w:w="2150" w:type="dxa"/>
            <w:vAlign w:val="center"/>
          </w:tcPr>
          <w:p w14:paraId="4D6110BD" w14:textId="77777777" w:rsidR="00FD27AD" w:rsidRDefault="002435EC">
            <w:pPr>
              <w:jc w:val="right"/>
            </w:pPr>
            <w:r>
              <w:rPr>
                <w:color w:val="000000"/>
                <w:sz w:val="24"/>
                <w:szCs w:val="24"/>
              </w:rPr>
              <w:t>39,900,000.00</w:t>
            </w:r>
          </w:p>
        </w:tc>
        <w:tc>
          <w:tcPr>
            <w:tcW w:w="1237" w:type="dxa"/>
            <w:vAlign w:val="center"/>
          </w:tcPr>
          <w:p w14:paraId="1FCBF861" w14:textId="77777777" w:rsidR="00FD27AD" w:rsidRDefault="002435EC">
            <w:pPr>
              <w:jc w:val="right"/>
            </w:pPr>
            <w:r>
              <w:rPr>
                <w:color w:val="000000"/>
                <w:sz w:val="24"/>
                <w:szCs w:val="24"/>
              </w:rPr>
              <w:t>5.43</w:t>
            </w:r>
          </w:p>
        </w:tc>
      </w:tr>
      <w:tr w:rsidR="00FD27AD" w14:paraId="27B7B7DC" w14:textId="77777777">
        <w:trPr>
          <w:jc w:val="center"/>
        </w:trPr>
        <w:tc>
          <w:tcPr>
            <w:tcW w:w="850" w:type="dxa"/>
            <w:vAlign w:val="center"/>
          </w:tcPr>
          <w:p w14:paraId="18C78D64" w14:textId="77777777" w:rsidR="00FD27AD" w:rsidRDefault="002435EC">
            <w:pPr>
              <w:jc w:val="center"/>
            </w:pPr>
            <w:r>
              <w:rPr>
                <w:color w:val="000000"/>
                <w:sz w:val="24"/>
                <w:szCs w:val="24"/>
              </w:rPr>
              <w:t>2</w:t>
            </w:r>
          </w:p>
        </w:tc>
        <w:tc>
          <w:tcPr>
            <w:tcW w:w="1475" w:type="dxa"/>
            <w:vAlign w:val="center"/>
          </w:tcPr>
          <w:p w14:paraId="3A87EF19" w14:textId="77777777" w:rsidR="00FD27AD" w:rsidRDefault="002435EC">
            <w:pPr>
              <w:jc w:val="center"/>
            </w:pPr>
            <w:r>
              <w:rPr>
                <w:color w:val="000000"/>
                <w:sz w:val="24"/>
                <w:szCs w:val="24"/>
              </w:rPr>
              <w:t>128125</w:t>
            </w:r>
          </w:p>
        </w:tc>
        <w:tc>
          <w:tcPr>
            <w:tcW w:w="1769" w:type="dxa"/>
            <w:vAlign w:val="center"/>
          </w:tcPr>
          <w:p w14:paraId="0BEC6DA6" w14:textId="77777777" w:rsidR="00FD27AD" w:rsidRDefault="002435EC">
            <w:pPr>
              <w:jc w:val="center"/>
            </w:pPr>
            <w:r>
              <w:rPr>
                <w:color w:val="000000"/>
                <w:sz w:val="24"/>
                <w:szCs w:val="24"/>
              </w:rPr>
              <w:t>华阳转债</w:t>
            </w:r>
          </w:p>
        </w:tc>
        <w:tc>
          <w:tcPr>
            <w:tcW w:w="1387" w:type="dxa"/>
            <w:vAlign w:val="center"/>
          </w:tcPr>
          <w:p w14:paraId="08372B6F" w14:textId="77777777" w:rsidR="00FD27AD" w:rsidRDefault="002435EC">
            <w:pPr>
              <w:jc w:val="right"/>
            </w:pPr>
            <w:r>
              <w:rPr>
                <w:color w:val="000000"/>
                <w:sz w:val="24"/>
                <w:szCs w:val="24"/>
              </w:rPr>
              <w:t>6,274</w:t>
            </w:r>
          </w:p>
        </w:tc>
        <w:tc>
          <w:tcPr>
            <w:tcW w:w="2150" w:type="dxa"/>
            <w:vAlign w:val="center"/>
          </w:tcPr>
          <w:p w14:paraId="478A08A8" w14:textId="77777777" w:rsidR="00FD27AD" w:rsidRDefault="002435EC">
            <w:pPr>
              <w:jc w:val="right"/>
            </w:pPr>
            <w:r>
              <w:rPr>
                <w:color w:val="000000"/>
                <w:sz w:val="24"/>
                <w:szCs w:val="24"/>
              </w:rPr>
              <w:t>736,881.30</w:t>
            </w:r>
          </w:p>
        </w:tc>
        <w:tc>
          <w:tcPr>
            <w:tcW w:w="1237" w:type="dxa"/>
            <w:vAlign w:val="center"/>
          </w:tcPr>
          <w:p w14:paraId="157AEBE0" w14:textId="77777777" w:rsidR="00FD27AD" w:rsidRDefault="002435EC">
            <w:pPr>
              <w:jc w:val="right"/>
            </w:pPr>
            <w:r>
              <w:rPr>
                <w:color w:val="000000"/>
                <w:sz w:val="24"/>
                <w:szCs w:val="24"/>
              </w:rPr>
              <w:t>0.10</w:t>
            </w:r>
          </w:p>
        </w:tc>
      </w:tr>
      <w:tr w:rsidR="00FD27AD" w14:paraId="67EA3EC1" w14:textId="77777777">
        <w:trPr>
          <w:jc w:val="center"/>
        </w:trPr>
        <w:tc>
          <w:tcPr>
            <w:tcW w:w="850" w:type="dxa"/>
            <w:vAlign w:val="center"/>
          </w:tcPr>
          <w:p w14:paraId="4E153156" w14:textId="77777777" w:rsidR="00FD27AD" w:rsidRDefault="002435EC">
            <w:pPr>
              <w:jc w:val="center"/>
            </w:pPr>
            <w:r>
              <w:rPr>
                <w:color w:val="000000"/>
                <w:sz w:val="24"/>
                <w:szCs w:val="24"/>
              </w:rPr>
              <w:t>3</w:t>
            </w:r>
          </w:p>
        </w:tc>
        <w:tc>
          <w:tcPr>
            <w:tcW w:w="1475" w:type="dxa"/>
            <w:vAlign w:val="center"/>
          </w:tcPr>
          <w:p w14:paraId="1E1295D9" w14:textId="77777777" w:rsidR="00FD27AD" w:rsidRDefault="002435EC">
            <w:pPr>
              <w:jc w:val="center"/>
            </w:pPr>
            <w:r>
              <w:rPr>
                <w:color w:val="000000"/>
                <w:sz w:val="24"/>
                <w:szCs w:val="24"/>
              </w:rPr>
              <w:t>113038</w:t>
            </w:r>
          </w:p>
        </w:tc>
        <w:tc>
          <w:tcPr>
            <w:tcW w:w="1769" w:type="dxa"/>
            <w:vAlign w:val="center"/>
          </w:tcPr>
          <w:p w14:paraId="4A0B64FF" w14:textId="77777777" w:rsidR="00FD27AD" w:rsidRDefault="002435EC">
            <w:pPr>
              <w:jc w:val="center"/>
            </w:pPr>
            <w:r>
              <w:rPr>
                <w:color w:val="000000"/>
                <w:sz w:val="24"/>
                <w:szCs w:val="24"/>
              </w:rPr>
              <w:t>隆</w:t>
            </w:r>
            <w:r>
              <w:rPr>
                <w:color w:val="000000"/>
                <w:sz w:val="24"/>
                <w:szCs w:val="24"/>
              </w:rPr>
              <w:t>20</w:t>
            </w:r>
            <w:r>
              <w:rPr>
                <w:color w:val="000000"/>
                <w:sz w:val="24"/>
                <w:szCs w:val="24"/>
              </w:rPr>
              <w:t>转债</w:t>
            </w:r>
          </w:p>
        </w:tc>
        <w:tc>
          <w:tcPr>
            <w:tcW w:w="1387" w:type="dxa"/>
            <w:vAlign w:val="center"/>
          </w:tcPr>
          <w:p w14:paraId="322E6933" w14:textId="77777777" w:rsidR="00FD27AD" w:rsidRDefault="002435EC">
            <w:pPr>
              <w:jc w:val="right"/>
            </w:pPr>
            <w:r>
              <w:rPr>
                <w:color w:val="000000"/>
                <w:sz w:val="24"/>
                <w:szCs w:val="24"/>
              </w:rPr>
              <w:t>4,700</w:t>
            </w:r>
          </w:p>
        </w:tc>
        <w:tc>
          <w:tcPr>
            <w:tcW w:w="2150" w:type="dxa"/>
            <w:vAlign w:val="center"/>
          </w:tcPr>
          <w:p w14:paraId="398685D8" w14:textId="77777777" w:rsidR="00FD27AD" w:rsidRDefault="002435EC">
            <w:pPr>
              <w:jc w:val="right"/>
            </w:pPr>
            <w:r>
              <w:rPr>
                <w:color w:val="000000"/>
                <w:sz w:val="24"/>
                <w:szCs w:val="24"/>
              </w:rPr>
              <w:t>721,591.00</w:t>
            </w:r>
          </w:p>
        </w:tc>
        <w:tc>
          <w:tcPr>
            <w:tcW w:w="1237" w:type="dxa"/>
            <w:vAlign w:val="center"/>
          </w:tcPr>
          <w:p w14:paraId="78C991C6" w14:textId="77777777" w:rsidR="00FD27AD" w:rsidRDefault="002435EC">
            <w:pPr>
              <w:jc w:val="right"/>
            </w:pPr>
            <w:r>
              <w:rPr>
                <w:color w:val="000000"/>
                <w:sz w:val="24"/>
                <w:szCs w:val="24"/>
              </w:rPr>
              <w:t>0.10</w:t>
            </w:r>
          </w:p>
        </w:tc>
      </w:tr>
    </w:tbl>
    <w:p w14:paraId="20766CA0" w14:textId="77777777" w:rsidR="004061AC" w:rsidRPr="00414345" w:rsidRDefault="004061AC" w:rsidP="00C15CAC">
      <w:pPr>
        <w:autoSpaceDE w:val="0"/>
        <w:autoSpaceDN w:val="0"/>
        <w:adjustRightInd w:val="0"/>
        <w:spacing w:before="29" w:line="288" w:lineRule="auto"/>
        <w:jc w:val="left"/>
        <w:rPr>
          <w:b/>
          <w:bCs/>
          <w:color w:val="000000"/>
          <w:kern w:val="0"/>
          <w:sz w:val="24"/>
          <w:szCs w:val="24"/>
        </w:rPr>
      </w:pPr>
    </w:p>
    <w:p w14:paraId="7A31E8EC" w14:textId="77777777"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14:paraId="67C1ABC7" w14:textId="77777777"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14:paraId="0BE7EFDA" w14:textId="77777777" w:rsidR="00CF7C77" w:rsidRPr="00414345" w:rsidRDefault="00CF7C77" w:rsidP="00C15CAC">
      <w:pPr>
        <w:autoSpaceDE w:val="0"/>
        <w:autoSpaceDN w:val="0"/>
        <w:adjustRightInd w:val="0"/>
        <w:spacing w:before="29" w:line="288" w:lineRule="auto"/>
        <w:jc w:val="left"/>
        <w:rPr>
          <w:color w:val="000000"/>
          <w:sz w:val="24"/>
          <w:szCs w:val="24"/>
        </w:rPr>
      </w:pPr>
    </w:p>
    <w:p w14:paraId="5BE929A7" w14:textId="77777777"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14:paraId="1AEFD2FF" w14:textId="77777777"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14:paraId="7D7E469E"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0680E43" w14:textId="77777777"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14:paraId="62F80BB6"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14:paraId="60E62A32" w14:textId="77777777" w:rsidR="004061AC" w:rsidRPr="00414345" w:rsidRDefault="004061AC" w:rsidP="00C15CAC">
      <w:pPr>
        <w:autoSpaceDE w:val="0"/>
        <w:autoSpaceDN w:val="0"/>
        <w:adjustRightInd w:val="0"/>
        <w:spacing w:before="29" w:line="288" w:lineRule="auto"/>
        <w:jc w:val="left"/>
        <w:rPr>
          <w:color w:val="000000"/>
          <w:kern w:val="0"/>
          <w:sz w:val="24"/>
          <w:szCs w:val="24"/>
        </w:rPr>
      </w:pPr>
    </w:p>
    <w:p w14:paraId="78ED9B46" w14:textId="77777777"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14:paraId="4E6AC7D6" w14:textId="77777777"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14:paraId="71813CDF" w14:textId="77777777" w:rsidR="00AA3A38" w:rsidRPr="00414345" w:rsidRDefault="00AA3A38" w:rsidP="00C15CAC">
      <w:pPr>
        <w:adjustRightInd w:val="0"/>
        <w:snapToGrid w:val="0"/>
        <w:spacing w:before="29" w:line="288" w:lineRule="auto"/>
        <w:rPr>
          <w:sz w:val="24"/>
          <w:szCs w:val="24"/>
        </w:rPr>
      </w:pPr>
    </w:p>
    <w:p w14:paraId="060938F1" w14:textId="77777777"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14:paraId="2ADA27D4" w14:textId="77777777"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14:paraId="0E36C54A" w14:textId="77777777" w:rsidR="00426096" w:rsidRPr="00414345" w:rsidRDefault="00426096" w:rsidP="00C15CAC">
      <w:pPr>
        <w:autoSpaceDE w:val="0"/>
        <w:autoSpaceDN w:val="0"/>
        <w:adjustRightInd w:val="0"/>
        <w:spacing w:before="29" w:line="288" w:lineRule="auto"/>
        <w:jc w:val="left"/>
        <w:rPr>
          <w:color w:val="000000"/>
          <w:sz w:val="24"/>
          <w:szCs w:val="24"/>
        </w:rPr>
      </w:pPr>
    </w:p>
    <w:p w14:paraId="663B501E" w14:textId="77777777"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14:paraId="0C7D7D7F" w14:textId="77777777"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5442882" w14:textId="77777777"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14:paraId="62D2E5FB" w14:textId="77777777"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14:paraId="4FCDB775" w14:textId="77777777"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14:paraId="6F02339B" w14:textId="77777777" w:rsidTr="000243BD">
        <w:trPr>
          <w:jc w:val="center"/>
        </w:trPr>
        <w:tc>
          <w:tcPr>
            <w:tcW w:w="1235" w:type="dxa"/>
            <w:vAlign w:val="center"/>
          </w:tcPr>
          <w:p w14:paraId="2203E536"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14:paraId="0A7D1D11"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14:paraId="7CD0BD7C" w14:textId="77777777"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14:paraId="549024A5" w14:textId="77777777" w:rsidTr="000243BD">
        <w:trPr>
          <w:jc w:val="center"/>
        </w:trPr>
        <w:tc>
          <w:tcPr>
            <w:tcW w:w="1235" w:type="dxa"/>
            <w:vAlign w:val="center"/>
          </w:tcPr>
          <w:p w14:paraId="4282C15C"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14:paraId="2D40D099"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14:paraId="2A8F3FD2"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368,309.11</w:t>
            </w:r>
          </w:p>
        </w:tc>
      </w:tr>
      <w:tr w:rsidR="004C0914" w:rsidRPr="00414345" w14:paraId="49D6E076" w14:textId="77777777" w:rsidTr="000243BD">
        <w:trPr>
          <w:jc w:val="center"/>
        </w:trPr>
        <w:tc>
          <w:tcPr>
            <w:tcW w:w="1235" w:type="dxa"/>
            <w:vAlign w:val="center"/>
          </w:tcPr>
          <w:p w14:paraId="38DAA11D"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14:paraId="3663A0D7"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14:paraId="271E20A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15,417,234.47</w:t>
            </w:r>
          </w:p>
        </w:tc>
      </w:tr>
      <w:tr w:rsidR="004C0914" w:rsidRPr="00414345" w14:paraId="51338AA8" w14:textId="77777777" w:rsidTr="000243BD">
        <w:trPr>
          <w:jc w:val="center"/>
        </w:trPr>
        <w:tc>
          <w:tcPr>
            <w:tcW w:w="1235" w:type="dxa"/>
            <w:vAlign w:val="center"/>
          </w:tcPr>
          <w:p w14:paraId="536DE12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14:paraId="3962E67D"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14:paraId="22311D08"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5714E605" w14:textId="77777777" w:rsidTr="000243BD">
        <w:trPr>
          <w:jc w:val="center"/>
        </w:trPr>
        <w:tc>
          <w:tcPr>
            <w:tcW w:w="1235" w:type="dxa"/>
            <w:vAlign w:val="center"/>
          </w:tcPr>
          <w:p w14:paraId="415B2533"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14:paraId="60AEEB05"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14:paraId="317B025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192,972.35</w:t>
            </w:r>
          </w:p>
        </w:tc>
      </w:tr>
      <w:tr w:rsidR="004C0914" w:rsidRPr="00414345" w14:paraId="20873F78" w14:textId="77777777" w:rsidTr="000243BD">
        <w:trPr>
          <w:jc w:val="center"/>
        </w:trPr>
        <w:tc>
          <w:tcPr>
            <w:tcW w:w="1235" w:type="dxa"/>
            <w:vAlign w:val="center"/>
          </w:tcPr>
          <w:p w14:paraId="57C92CAD"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14:paraId="5BC3C109"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14:paraId="7FD16E73"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365,324.37</w:t>
            </w:r>
          </w:p>
        </w:tc>
      </w:tr>
      <w:tr w:rsidR="004C0914" w:rsidRPr="00414345" w14:paraId="051997FC" w14:textId="77777777" w:rsidTr="000243BD">
        <w:trPr>
          <w:jc w:val="center"/>
        </w:trPr>
        <w:tc>
          <w:tcPr>
            <w:tcW w:w="1235" w:type="dxa"/>
            <w:vAlign w:val="center"/>
          </w:tcPr>
          <w:p w14:paraId="7F9AA4A6"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14:paraId="6AAB6E23"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14:paraId="4DAD1C0A"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7ADC1A0" w14:textId="77777777" w:rsidTr="000243BD">
        <w:trPr>
          <w:jc w:val="center"/>
        </w:trPr>
        <w:tc>
          <w:tcPr>
            <w:tcW w:w="1235" w:type="dxa"/>
            <w:vAlign w:val="center"/>
          </w:tcPr>
          <w:p w14:paraId="41E844B0"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14:paraId="069FD8E0"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14:paraId="3D4FC10C"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3B6885A9" w14:textId="77777777" w:rsidTr="000243BD">
        <w:trPr>
          <w:jc w:val="center"/>
        </w:trPr>
        <w:tc>
          <w:tcPr>
            <w:tcW w:w="1235" w:type="dxa"/>
            <w:vAlign w:val="center"/>
          </w:tcPr>
          <w:p w14:paraId="1FE9EFEB"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14:paraId="6CA5C736"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14:paraId="2ED84F57"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14:paraId="1FC28D1E" w14:textId="77777777" w:rsidTr="000243BD">
        <w:trPr>
          <w:jc w:val="center"/>
        </w:trPr>
        <w:tc>
          <w:tcPr>
            <w:tcW w:w="1235" w:type="dxa"/>
            <w:vAlign w:val="center"/>
          </w:tcPr>
          <w:p w14:paraId="33DC820E" w14:textId="77777777"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14:paraId="2D762EE0" w14:textId="77777777"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14:paraId="29F10E69" w14:textId="77777777"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16,343,840.30</w:t>
            </w:r>
          </w:p>
        </w:tc>
      </w:tr>
    </w:tbl>
    <w:p w14:paraId="05AC6981" w14:textId="77777777" w:rsidR="002918E3" w:rsidRPr="00414345" w:rsidRDefault="002918E3" w:rsidP="00C15CAC">
      <w:pPr>
        <w:autoSpaceDE w:val="0"/>
        <w:autoSpaceDN w:val="0"/>
        <w:adjustRightInd w:val="0"/>
        <w:spacing w:before="29" w:line="288" w:lineRule="auto"/>
        <w:rPr>
          <w:color w:val="000000"/>
          <w:sz w:val="24"/>
          <w:szCs w:val="24"/>
        </w:rPr>
      </w:pPr>
    </w:p>
    <w:p w14:paraId="425836C8" w14:textId="77777777"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14:paraId="4D3A63FB" w14:textId="77777777"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14:paraId="541A7F68" w14:textId="77777777" w:rsidR="00CF7C77" w:rsidRPr="00414345" w:rsidRDefault="00CF7C77" w:rsidP="00C15CAC">
      <w:pPr>
        <w:autoSpaceDE w:val="0"/>
        <w:autoSpaceDN w:val="0"/>
        <w:adjustRightInd w:val="0"/>
        <w:spacing w:before="29" w:line="288" w:lineRule="auto"/>
        <w:jc w:val="left"/>
        <w:rPr>
          <w:color w:val="000000"/>
          <w:sz w:val="24"/>
          <w:szCs w:val="24"/>
        </w:rPr>
      </w:pPr>
    </w:p>
    <w:p w14:paraId="17968FDA" w14:textId="77777777"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14:paraId="06195439" w14:textId="77777777"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14:paraId="044CEBE8" w14:textId="77777777" w:rsidTr="00BC216C">
        <w:trPr>
          <w:jc w:val="center"/>
        </w:trPr>
        <w:tc>
          <w:tcPr>
            <w:tcW w:w="1083" w:type="dxa"/>
            <w:vAlign w:val="center"/>
          </w:tcPr>
          <w:p w14:paraId="14C0C0C3"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14:paraId="41AFB934"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14:paraId="0D60DADB"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14:paraId="57B8CAAA" w14:textId="77777777"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14:paraId="6743C40E"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14:paraId="2DC5474C" w14:textId="77777777"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FD27AD" w14:paraId="68090023" w14:textId="77777777">
        <w:trPr>
          <w:jc w:val="center"/>
        </w:trPr>
        <w:tc>
          <w:tcPr>
            <w:tcW w:w="1129" w:type="dxa"/>
            <w:vAlign w:val="center"/>
          </w:tcPr>
          <w:p w14:paraId="1602C6BA" w14:textId="77777777" w:rsidR="00FD27AD" w:rsidRDefault="002435EC">
            <w:pPr>
              <w:jc w:val="center"/>
            </w:pPr>
            <w:r>
              <w:rPr>
                <w:color w:val="000000"/>
                <w:sz w:val="24"/>
                <w:szCs w:val="24"/>
              </w:rPr>
              <w:t>1</w:t>
            </w:r>
          </w:p>
        </w:tc>
        <w:tc>
          <w:tcPr>
            <w:tcW w:w="1356" w:type="dxa"/>
            <w:vAlign w:val="center"/>
          </w:tcPr>
          <w:p w14:paraId="038E7DD4" w14:textId="77777777" w:rsidR="00FD27AD" w:rsidRDefault="002435EC">
            <w:pPr>
              <w:jc w:val="center"/>
            </w:pPr>
            <w:r>
              <w:rPr>
                <w:color w:val="000000"/>
                <w:sz w:val="24"/>
                <w:szCs w:val="24"/>
              </w:rPr>
              <w:t>002352</w:t>
            </w:r>
          </w:p>
        </w:tc>
        <w:tc>
          <w:tcPr>
            <w:tcW w:w="1355" w:type="dxa"/>
            <w:vAlign w:val="center"/>
          </w:tcPr>
          <w:p w14:paraId="0C7DE098" w14:textId="77777777" w:rsidR="00FD27AD" w:rsidRDefault="002435EC">
            <w:pPr>
              <w:jc w:val="center"/>
            </w:pPr>
            <w:r>
              <w:rPr>
                <w:color w:val="000000"/>
                <w:sz w:val="24"/>
                <w:szCs w:val="24"/>
              </w:rPr>
              <w:t>顺丰控股</w:t>
            </w:r>
          </w:p>
        </w:tc>
        <w:tc>
          <w:tcPr>
            <w:tcW w:w="1880" w:type="dxa"/>
            <w:vAlign w:val="center"/>
          </w:tcPr>
          <w:p w14:paraId="541DF1FF" w14:textId="77777777" w:rsidR="00FD27AD" w:rsidRDefault="002435EC">
            <w:pPr>
              <w:jc w:val="right"/>
            </w:pPr>
            <w:r>
              <w:rPr>
                <w:color w:val="000000"/>
                <w:sz w:val="24"/>
                <w:szCs w:val="24"/>
              </w:rPr>
              <w:t>10,003,500.00</w:t>
            </w:r>
          </w:p>
        </w:tc>
        <w:tc>
          <w:tcPr>
            <w:tcW w:w="1724" w:type="dxa"/>
            <w:vAlign w:val="center"/>
          </w:tcPr>
          <w:p w14:paraId="1BD9A81E" w14:textId="77777777" w:rsidR="00FD27AD" w:rsidRDefault="002435EC">
            <w:pPr>
              <w:jc w:val="right"/>
            </w:pPr>
            <w:r>
              <w:rPr>
                <w:color w:val="000000"/>
                <w:sz w:val="24"/>
                <w:szCs w:val="24"/>
              </w:rPr>
              <w:t>1.36</w:t>
            </w:r>
          </w:p>
        </w:tc>
        <w:tc>
          <w:tcPr>
            <w:tcW w:w="1424" w:type="dxa"/>
            <w:vAlign w:val="center"/>
          </w:tcPr>
          <w:p w14:paraId="081350A2" w14:textId="77777777" w:rsidR="00FD27AD" w:rsidRDefault="002435EC">
            <w:pPr>
              <w:jc w:val="right"/>
            </w:pPr>
            <w:r>
              <w:rPr>
                <w:color w:val="000000"/>
                <w:sz w:val="24"/>
                <w:szCs w:val="24"/>
              </w:rPr>
              <w:t>限售股</w:t>
            </w:r>
          </w:p>
        </w:tc>
      </w:tr>
    </w:tbl>
    <w:p w14:paraId="3C571BC7" w14:textId="77777777" w:rsidR="002918E3" w:rsidRPr="00414345" w:rsidRDefault="002918E3" w:rsidP="00C15CAC">
      <w:pPr>
        <w:autoSpaceDE w:val="0"/>
        <w:autoSpaceDN w:val="0"/>
        <w:adjustRightInd w:val="0"/>
        <w:spacing w:before="29" w:line="288" w:lineRule="auto"/>
        <w:rPr>
          <w:color w:val="000000"/>
          <w:sz w:val="24"/>
          <w:szCs w:val="24"/>
        </w:rPr>
      </w:pPr>
    </w:p>
    <w:p w14:paraId="74D16BB2" w14:textId="77777777"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14:paraId="211D73AB" w14:textId="77777777"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14:paraId="01EB1F19" w14:textId="77777777" w:rsidR="001F3E2A" w:rsidRPr="00414345" w:rsidRDefault="001F3E2A" w:rsidP="00C15CAC">
      <w:pPr>
        <w:spacing w:before="29" w:line="288" w:lineRule="auto"/>
        <w:ind w:firstLineChars="200" w:firstLine="480"/>
        <w:rPr>
          <w:color w:val="000000"/>
          <w:sz w:val="24"/>
          <w:szCs w:val="24"/>
        </w:rPr>
      </w:pPr>
    </w:p>
    <w:p w14:paraId="3414A97F" w14:textId="77777777"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14:paraId="17B73573" w14:textId="77777777"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14:paraId="6EF29B77"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A8A2BC1"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1BD870B" w14:textId="77777777"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312,136,243.39</w:t>
            </w:r>
          </w:p>
        </w:tc>
      </w:tr>
      <w:tr w:rsidR="004061AC" w:rsidRPr="00414345" w14:paraId="4FF0AEDE"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6C4328B4" w14:textId="77777777"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677D609F"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100,742,356.96</w:t>
            </w:r>
          </w:p>
        </w:tc>
      </w:tr>
      <w:tr w:rsidR="004061AC" w:rsidRPr="00414345" w14:paraId="7AC969A2"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5F716532" w14:textId="77777777"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1C44143F"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73,445,185.15</w:t>
            </w:r>
          </w:p>
        </w:tc>
      </w:tr>
      <w:tr w:rsidR="004061AC" w:rsidRPr="00414345" w14:paraId="2E6020BC"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1BE66743" w14:textId="77777777"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14:paraId="71142F1B" w14:textId="77777777"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14:paraId="3229371B" w14:textId="77777777"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14:paraId="38D4A4F0" w14:textId="77777777"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14:paraId="50C86075" w14:textId="77777777"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339,433,415.20</w:t>
            </w:r>
          </w:p>
        </w:tc>
      </w:tr>
    </w:tbl>
    <w:p w14:paraId="7233CF09" w14:textId="77777777" w:rsidR="00FD27AD" w:rsidRDefault="002435E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14:paraId="489A905E" w14:textId="77777777"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14:paraId="6CA148FA" w14:textId="77777777" w:rsidR="00320E90" w:rsidRDefault="00320E90" w:rsidP="00C15CAC">
      <w:pPr>
        <w:autoSpaceDE w:val="0"/>
        <w:autoSpaceDN w:val="0"/>
        <w:adjustRightInd w:val="0"/>
        <w:spacing w:before="29" w:line="288" w:lineRule="auto"/>
        <w:jc w:val="left"/>
        <w:rPr>
          <w:color w:val="000000"/>
          <w:sz w:val="24"/>
          <w:szCs w:val="24"/>
        </w:rPr>
      </w:pPr>
    </w:p>
    <w:p w14:paraId="02798F11" w14:textId="77777777"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14:paraId="0C72368D" w14:textId="77777777"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14:paraId="14A37B9F" w14:textId="77777777"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14:paraId="5ECA364D" w14:textId="77777777" w:rsidR="00410630" w:rsidRDefault="00410630" w:rsidP="00C15CAC">
      <w:pPr>
        <w:autoSpaceDE w:val="0"/>
        <w:autoSpaceDN w:val="0"/>
        <w:adjustRightInd w:val="0"/>
        <w:spacing w:before="29" w:line="288" w:lineRule="auto"/>
        <w:jc w:val="left"/>
        <w:rPr>
          <w:rFonts w:eastAsiaTheme="minorEastAsia"/>
          <w:color w:val="000000"/>
          <w:sz w:val="24"/>
        </w:rPr>
      </w:pPr>
    </w:p>
    <w:p w14:paraId="0E9217BB" w14:textId="77777777"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14:paraId="15A5245F" w14:textId="77777777"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14:paraId="7B711644" w14:textId="77777777" w:rsidR="00480B35" w:rsidRPr="00414345" w:rsidRDefault="00480B35" w:rsidP="00C15CAC">
      <w:pPr>
        <w:autoSpaceDE w:val="0"/>
        <w:autoSpaceDN w:val="0"/>
        <w:adjustRightInd w:val="0"/>
        <w:spacing w:before="29" w:line="288" w:lineRule="auto"/>
        <w:jc w:val="left"/>
        <w:rPr>
          <w:color w:val="000000"/>
          <w:sz w:val="24"/>
        </w:rPr>
      </w:pPr>
    </w:p>
    <w:p w14:paraId="3C703307" w14:textId="77777777"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14:paraId="376264FE"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14:paraId="54C928C2" w14:textId="77777777" w:rsidR="00FD27AD" w:rsidRDefault="002435E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14:paraId="442D7511" w14:textId="77777777" w:rsidR="00FD27AD" w:rsidRDefault="002435E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14:paraId="1EF0D7CF" w14:textId="77777777" w:rsidR="00FD27AD" w:rsidRDefault="002435E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14:paraId="1893D061" w14:textId="77777777" w:rsidR="00FD27AD" w:rsidRDefault="002435E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14:paraId="79ADEB35" w14:textId="77777777" w:rsidR="00FD27AD" w:rsidRDefault="002435EC">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14:paraId="20254585" w14:textId="77777777" w:rsidR="00FD27AD" w:rsidRDefault="002435EC">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14:paraId="50E8BD22" w14:textId="77777777" w:rsidR="00FD27AD" w:rsidRDefault="002435EC">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14:paraId="0BAC9593"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14:paraId="76F2E22B" w14:textId="77777777" w:rsidR="006A48FD" w:rsidRPr="00414345" w:rsidRDefault="006A48FD" w:rsidP="00C15CAC">
      <w:pPr>
        <w:spacing w:before="29" w:line="288" w:lineRule="auto"/>
        <w:ind w:firstLineChars="200" w:firstLine="480"/>
        <w:rPr>
          <w:color w:val="000000"/>
          <w:sz w:val="24"/>
          <w:szCs w:val="24"/>
        </w:rPr>
      </w:pPr>
    </w:p>
    <w:p w14:paraId="5EDB8D8C"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14:paraId="27D20C80" w14:textId="77777777"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14:paraId="40365FC5" w14:textId="77777777" w:rsidR="006A48FD" w:rsidRPr="00414345" w:rsidRDefault="006A48FD" w:rsidP="00C15CAC">
      <w:pPr>
        <w:spacing w:before="29" w:line="288" w:lineRule="auto"/>
        <w:ind w:firstLineChars="200" w:firstLine="480"/>
        <w:rPr>
          <w:color w:val="000000"/>
          <w:sz w:val="24"/>
          <w:szCs w:val="24"/>
        </w:rPr>
      </w:pPr>
    </w:p>
    <w:p w14:paraId="0104D72C" w14:textId="77777777"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14:paraId="31BF54DA" w14:textId="77777777" w:rsidR="00FD27AD" w:rsidRDefault="002435E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14:paraId="14270CEF" w14:textId="77777777"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14:paraId="3927F4B8" w14:textId="77777777"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AAB8A" w14:textId="77777777" w:rsidR="00F13DEE" w:rsidRDefault="00F13DEE" w:rsidP="00876D65">
      <w:r>
        <w:separator/>
      </w:r>
    </w:p>
  </w:endnote>
  <w:endnote w:type="continuationSeparator" w:id="0">
    <w:p w14:paraId="1C66246F" w14:textId="77777777" w:rsidR="00F13DEE" w:rsidRDefault="00F13DE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5D3268" w14:textId="77777777"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61419" w14:textId="77777777"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B6E3C">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B6E3C">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30FD3" w14:textId="77777777"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FAFA98" w14:textId="77777777" w:rsidR="00F13DEE" w:rsidRDefault="00F13DEE" w:rsidP="00876D65">
      <w:r>
        <w:separator/>
      </w:r>
    </w:p>
  </w:footnote>
  <w:footnote w:type="continuationSeparator" w:id="0">
    <w:p w14:paraId="40761B6D" w14:textId="77777777" w:rsidR="00F13DEE" w:rsidRDefault="00F13DE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73DDE" w14:textId="77777777"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6690" w14:textId="77777777" w:rsidR="00171EF0" w:rsidRPr="00DC456F" w:rsidRDefault="00DC456F" w:rsidP="00090A26">
    <w:pPr>
      <w:pStyle w:val="a9"/>
      <w:pBdr>
        <w:bottom w:val="single" w:sz="6" w:space="0" w:color="auto"/>
      </w:pBdr>
      <w:jc w:val="right"/>
      <w:rPr>
        <w:sz w:val="24"/>
        <w:szCs w:val="24"/>
      </w:rPr>
    </w:pPr>
    <w:r w:rsidRPr="003E676C">
      <w:rPr>
        <w:sz w:val="24"/>
        <w:szCs w:val="24"/>
      </w:rPr>
      <w:t>交银施罗德先锋混合型证券投资基金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EAD84" w14:textId="77777777"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6E3C"/>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5EC"/>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7745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CF7C77"/>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4528"/>
    <w:rsid w:val="00DD7A00"/>
    <w:rsid w:val="00DE27F7"/>
    <w:rsid w:val="00DE4B43"/>
    <w:rsid w:val="00E02660"/>
    <w:rsid w:val="00E03F7B"/>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3DEE"/>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27AD"/>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2D8F89"/>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CF7C77"/>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A9291-0B39-4BB1-88FD-304279209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12</Pages>
  <Words>1161</Words>
  <Characters>6623</Characters>
  <Application>Microsoft Office Word</Application>
  <DocSecurity>0</DocSecurity>
  <Lines>55</Lines>
  <Paragraphs>15</Paragraphs>
  <ScaleCrop>false</ScaleCrop>
  <Company/>
  <LinksUpToDate>false</LinksUpToDate>
  <CharactersWithSpaces>7769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604</cp:revision>
  <dcterms:created xsi:type="dcterms:W3CDTF">2012-10-16T06:07:00Z</dcterms:created>
  <dcterms:modified xsi:type="dcterms:W3CDTF">2020-10-26T02:48:00Z</dcterms:modified>
</cp:coreProperties>
</file>