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交银施罗德蓝筹混合型证券投资基金</w:t>
      </w:r>
    </w:p>
    <w:p w:rsidP="00C15CAC" w:rsidR="002279D3" w:rsidRDefault="002279D3" w:rsidRPr="0081286B">
      <w:pPr>
        <w:spacing w:before="29" w:line="288" w:lineRule="auto"/>
        <w:jc w:val="center"/>
        <w:rPr>
          <w:b/>
          <w:sz w:val="36"/>
          <w:szCs w:val="36"/>
        </w:rPr>
      </w:pPr>
      <w:r w:rsidRPr="0081286B">
        <w:rPr>
          <w:b/>
          <w:sz w:val="36"/>
          <w:szCs w:val="36"/>
        </w:rPr>
        <w:t>2020年第3季度报告</w:t>
      </w:r>
    </w:p>
    <w:p w:rsidP="00C15CAC" w:rsidR="004061AC" w:rsidRDefault="00655CD8" w:rsidRPr="0081286B">
      <w:pPr>
        <w:spacing w:before="29" w:line="288" w:lineRule="auto"/>
        <w:jc w:val="center"/>
        <w:rPr>
          <w:b/>
          <w:sz w:val="36"/>
          <w:szCs w:val="36"/>
        </w:rPr>
      </w:pPr>
      <w:r w:rsidRPr="0081286B">
        <w:rPr>
          <w:b/>
          <w:sz w:val="36"/>
          <w:szCs w:val="36"/>
        </w:rPr>
        <w:t>2020年9月30日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中国建设银行股份有限公司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二〇二〇年十月二十八日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基金托管人中国建设银行股份有限公司根据本基金合同规定，于2020年10月27日复核了本报告中的财务指标、净值表现和投资组合报告等内容，保证复核内容不存在虚假记载、误导性陈述或者重大遗漏。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本报告期自2020年7月1日起至9月30日止。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交银蓝筹混合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519694</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2922"/>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519694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type="dxa" w:w="29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519695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2007年8月8日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2,364,761,735.88</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为一只蓝筹混合型基金，主要通过投资于业绩优良、发展稳定、在行业内占有支配性地位、分红稳定的蓝筹上市公司股票，在有效控制风险并保持基金资产良好流动性的前提下，追求在稳定分红的基础上实现基金资产的长期稳定增长。</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75%×中证100指数+25%×中证综合债券指数</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本基金是一只混合型基金，以优质蓝筹股为主要投资对象，其风险和预期收益高于债券型基金和货币市场基金，低于股票型基金。属于承担较高风险、预期收益较高的证券投资基金品种。</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(2020年7月1日-2020年9月30日)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280,039,893.23</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358,836,586.21</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0.1542</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3,087,598,591.35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1.3057</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13.74%</w:t>
            </w:r>
          </w:p>
        </w:tc>
        <w:tc>
          <w:tcPr>
            <w:vAlign w:val="center"/>
          </w:tcPr>
          <w:p>
            <w:pPr>
              <w:jc w:val="center"/>
            </w:pPr>
            <w:r>
              <w:rPr>
                <w:color w:val="000000"/>
                <w:sz w:val="24"/>
                <w:szCs w:val="24"/>
              </w:rPr>
              <w:t>1.74%</w:t>
            </w:r>
          </w:p>
        </w:tc>
        <w:tc>
          <w:tcPr>
            <w:vAlign w:val="center"/>
          </w:tcPr>
          <w:p>
            <w:pPr>
              <w:jc w:val="center"/>
            </w:pPr>
            <w:r>
              <w:rPr>
                <w:color w:val="000000"/>
                <w:sz w:val="24"/>
                <w:szCs w:val="24"/>
              </w:rPr>
              <w:t>7.68%</w:t>
            </w:r>
          </w:p>
        </w:tc>
        <w:tc>
          <w:tcPr>
            <w:vAlign w:val="center"/>
          </w:tcPr>
          <w:p>
            <w:pPr>
              <w:jc w:val="center"/>
            </w:pPr>
            <w:r>
              <w:rPr>
                <w:color w:val="000000"/>
                <w:sz w:val="24"/>
                <w:szCs w:val="24"/>
              </w:rPr>
              <w:t>1.18%</w:t>
            </w:r>
          </w:p>
        </w:tc>
        <w:tc>
          <w:tcPr>
            <w:vAlign w:val="center"/>
          </w:tcPr>
          <w:p>
            <w:pPr>
              <w:jc w:val="center"/>
            </w:pPr>
            <w:r>
              <w:rPr>
                <w:color w:val="000000"/>
                <w:sz w:val="24"/>
                <w:szCs w:val="24"/>
              </w:rPr>
              <w:t>6.06%</w:t>
            </w:r>
          </w:p>
        </w:tc>
        <w:tc>
          <w:tcPr>
            <w:vAlign w:val="center"/>
          </w:tcPr>
          <w:p>
            <w:pPr>
              <w:jc w:val="center"/>
            </w:pPr>
            <w:r>
              <w:rPr>
                <w:color w:val="000000"/>
                <w:sz w:val="24"/>
                <w:szCs w:val="24"/>
              </w:rPr>
              <w:t>0.56%</w:t>
            </w:r>
          </w:p>
        </w:tc>
      </w:tr>
      <w:tr>
        <w:tc>
          <w:tcPr>
            <w:vAlign w:val="center"/>
          </w:tcPr>
          <w:p>
            <w:pPr>
              <w:jc w:val="left"/>
            </w:pPr>
            <w:r>
              <w:rPr>
                <w:color w:val="000000"/>
                <w:sz w:val="24"/>
                <w:szCs w:val="24"/>
              </w:rPr>
              <w:t>过去六个月</w:t>
            </w:r>
          </w:p>
        </w:tc>
        <w:tc>
          <w:tcPr>
            <w:vAlign w:val="center"/>
          </w:tcPr>
          <w:p>
            <w:pPr>
              <w:jc w:val="center"/>
            </w:pPr>
            <w:r>
              <w:rPr>
                <w:color w:val="000000"/>
                <w:sz w:val="24"/>
                <w:szCs w:val="24"/>
              </w:rPr>
              <w:t>38.12%</w:t>
            </w:r>
          </w:p>
        </w:tc>
        <w:tc>
          <w:tcPr>
            <w:vAlign w:val="center"/>
          </w:tcPr>
          <w:p>
            <w:pPr>
              <w:jc w:val="center"/>
            </w:pPr>
            <w:r>
              <w:rPr>
                <w:color w:val="000000"/>
                <w:sz w:val="24"/>
                <w:szCs w:val="24"/>
              </w:rPr>
              <w:t>1.56%</w:t>
            </w:r>
          </w:p>
        </w:tc>
        <w:tc>
          <w:tcPr>
            <w:vAlign w:val="center"/>
          </w:tcPr>
          <w:p>
            <w:pPr>
              <w:jc w:val="center"/>
            </w:pPr>
            <w:r>
              <w:rPr>
                <w:color w:val="000000"/>
                <w:sz w:val="24"/>
                <w:szCs w:val="24"/>
              </w:rPr>
              <w:t>16.21%</w:t>
            </w:r>
          </w:p>
        </w:tc>
        <w:tc>
          <w:tcPr>
            <w:vAlign w:val="center"/>
          </w:tcPr>
          <w:p>
            <w:pPr>
              <w:jc w:val="center"/>
            </w:pPr>
            <w:r>
              <w:rPr>
                <w:color w:val="000000"/>
                <w:sz w:val="24"/>
                <w:szCs w:val="24"/>
              </w:rPr>
              <w:t>0.96%</w:t>
            </w:r>
          </w:p>
        </w:tc>
        <w:tc>
          <w:tcPr>
            <w:vAlign w:val="center"/>
          </w:tcPr>
          <w:p>
            <w:pPr>
              <w:jc w:val="center"/>
            </w:pPr>
            <w:r>
              <w:rPr>
                <w:color w:val="000000"/>
                <w:sz w:val="24"/>
                <w:szCs w:val="24"/>
              </w:rPr>
              <w:t>21.91%</w:t>
            </w:r>
          </w:p>
        </w:tc>
        <w:tc>
          <w:tcPr>
            <w:vAlign w:val="center"/>
          </w:tcPr>
          <w:p>
            <w:pPr>
              <w:jc w:val="center"/>
            </w:pPr>
            <w:r>
              <w:rPr>
                <w:color w:val="000000"/>
                <w:sz w:val="24"/>
                <w:szCs w:val="24"/>
              </w:rPr>
              <w:t>0.60%</w:t>
            </w:r>
          </w:p>
        </w:tc>
      </w:tr>
      <w:tr>
        <w:tc>
          <w:tcPr>
            <w:vAlign w:val="center"/>
          </w:tcPr>
          <w:p>
            <w:pPr>
              <w:jc w:val="left"/>
            </w:pPr>
            <w:r>
              <w:rPr>
                <w:color w:val="000000"/>
                <w:sz w:val="24"/>
                <w:szCs w:val="24"/>
              </w:rPr>
              <w:t>过去一年</w:t>
            </w:r>
          </w:p>
        </w:tc>
        <w:tc>
          <w:tcPr>
            <w:vAlign w:val="center"/>
          </w:tcPr>
          <w:p>
            <w:pPr>
              <w:jc w:val="center"/>
            </w:pPr>
            <w:r>
              <w:rPr>
                <w:color w:val="000000"/>
                <w:sz w:val="24"/>
                <w:szCs w:val="24"/>
              </w:rPr>
              <w:t>74.96%</w:t>
            </w:r>
          </w:p>
        </w:tc>
        <w:tc>
          <w:tcPr>
            <w:vAlign w:val="center"/>
          </w:tcPr>
          <w:p>
            <w:pPr>
              <w:jc w:val="center"/>
            </w:pPr>
            <w:r>
              <w:rPr>
                <w:color w:val="000000"/>
                <w:sz w:val="24"/>
                <w:szCs w:val="24"/>
              </w:rPr>
              <w:t>1.56%</w:t>
            </w:r>
          </w:p>
        </w:tc>
        <w:tc>
          <w:tcPr>
            <w:vAlign w:val="center"/>
          </w:tcPr>
          <w:p>
            <w:pPr>
              <w:jc w:val="center"/>
            </w:pPr>
            <w:r>
              <w:rPr>
                <w:color w:val="000000"/>
                <w:sz w:val="24"/>
                <w:szCs w:val="24"/>
              </w:rPr>
              <w:t>11.40%</w:t>
            </w:r>
          </w:p>
        </w:tc>
        <w:tc>
          <w:tcPr>
            <w:vAlign w:val="center"/>
          </w:tcPr>
          <w:p>
            <w:pPr>
              <w:jc w:val="center"/>
            </w:pPr>
            <w:r>
              <w:rPr>
                <w:color w:val="000000"/>
                <w:sz w:val="24"/>
                <w:szCs w:val="24"/>
              </w:rPr>
              <w:t>1.01%</w:t>
            </w:r>
          </w:p>
        </w:tc>
        <w:tc>
          <w:tcPr>
            <w:vAlign w:val="center"/>
          </w:tcPr>
          <w:p>
            <w:pPr>
              <w:jc w:val="center"/>
            </w:pPr>
            <w:r>
              <w:rPr>
                <w:color w:val="000000"/>
                <w:sz w:val="24"/>
                <w:szCs w:val="24"/>
              </w:rPr>
              <w:t>63.56%</w:t>
            </w:r>
          </w:p>
        </w:tc>
        <w:tc>
          <w:tcPr>
            <w:vAlign w:val="center"/>
          </w:tcPr>
          <w:p>
            <w:pPr>
              <w:jc w:val="center"/>
            </w:pPr>
            <w:r>
              <w:rPr>
                <w:color w:val="000000"/>
                <w:sz w:val="24"/>
                <w:szCs w:val="24"/>
              </w:rPr>
              <w:t>0.55%</w:t>
            </w:r>
          </w:p>
        </w:tc>
      </w:tr>
      <w:tr>
        <w:tc>
          <w:tcPr>
            <w:vAlign w:val="center"/>
          </w:tcPr>
          <w:p>
            <w:pPr>
              <w:jc w:val="left"/>
            </w:pPr>
            <w:r>
              <w:rPr>
                <w:color w:val="000000"/>
                <w:sz w:val="24"/>
                <w:szCs w:val="24"/>
              </w:rPr>
              <w:t>过去三年</w:t>
            </w:r>
          </w:p>
        </w:tc>
        <w:tc>
          <w:tcPr>
            <w:vAlign w:val="center"/>
          </w:tcPr>
          <w:p>
            <w:pPr>
              <w:jc w:val="center"/>
            </w:pPr>
            <w:r>
              <w:rPr>
                <w:color w:val="000000"/>
                <w:sz w:val="24"/>
                <w:szCs w:val="24"/>
              </w:rPr>
              <w:t>94.22%</w:t>
            </w:r>
          </w:p>
        </w:tc>
        <w:tc>
          <w:tcPr>
            <w:vAlign w:val="center"/>
          </w:tcPr>
          <w:p>
            <w:pPr>
              <w:jc w:val="center"/>
            </w:pPr>
            <w:r>
              <w:rPr>
                <w:color w:val="000000"/>
                <w:sz w:val="24"/>
                <w:szCs w:val="24"/>
              </w:rPr>
              <w:t>1.36%</w:t>
            </w:r>
          </w:p>
        </w:tc>
        <w:tc>
          <w:tcPr>
            <w:vAlign w:val="center"/>
          </w:tcPr>
          <w:p>
            <w:pPr>
              <w:jc w:val="center"/>
            </w:pPr>
            <w:r>
              <w:rPr>
                <w:color w:val="000000"/>
                <w:sz w:val="24"/>
                <w:szCs w:val="24"/>
              </w:rPr>
              <w:t>22.25%</w:t>
            </w:r>
          </w:p>
        </w:tc>
        <w:tc>
          <w:tcPr>
            <w:vAlign w:val="center"/>
          </w:tcPr>
          <w:p>
            <w:pPr>
              <w:jc w:val="center"/>
            </w:pPr>
            <w:r>
              <w:rPr>
                <w:color w:val="000000"/>
                <w:sz w:val="24"/>
                <w:szCs w:val="24"/>
              </w:rPr>
              <w:t>1.00%</w:t>
            </w:r>
          </w:p>
        </w:tc>
        <w:tc>
          <w:tcPr>
            <w:vAlign w:val="center"/>
          </w:tcPr>
          <w:p>
            <w:pPr>
              <w:jc w:val="center"/>
            </w:pPr>
            <w:r>
              <w:rPr>
                <w:color w:val="000000"/>
                <w:sz w:val="24"/>
                <w:szCs w:val="24"/>
              </w:rPr>
              <w:t>71.97%</w:t>
            </w:r>
          </w:p>
        </w:tc>
        <w:tc>
          <w:tcPr>
            <w:vAlign w:val="center"/>
          </w:tcPr>
          <w:p>
            <w:pPr>
              <w:jc w:val="center"/>
            </w:pPr>
            <w:r>
              <w:rPr>
                <w:color w:val="000000"/>
                <w:sz w:val="24"/>
                <w:szCs w:val="24"/>
              </w:rPr>
              <w:t>0.36%</w:t>
            </w:r>
          </w:p>
        </w:tc>
      </w:tr>
      <w:tr>
        <w:tc>
          <w:tcPr>
            <w:vAlign w:val="center"/>
          </w:tcPr>
          <w:p>
            <w:pPr>
              <w:jc w:val="left"/>
            </w:pPr>
            <w:r>
              <w:rPr>
                <w:color w:val="000000"/>
                <w:sz w:val="24"/>
                <w:szCs w:val="24"/>
              </w:rPr>
              <w:t>过去五年</w:t>
            </w:r>
          </w:p>
        </w:tc>
        <w:tc>
          <w:tcPr>
            <w:vAlign w:val="center"/>
          </w:tcPr>
          <w:p>
            <w:pPr>
              <w:jc w:val="center"/>
            </w:pPr>
            <w:r>
              <w:rPr>
                <w:color w:val="000000"/>
                <w:sz w:val="24"/>
                <w:szCs w:val="24"/>
              </w:rPr>
              <w:t>143.32%</w:t>
            </w:r>
          </w:p>
        </w:tc>
        <w:tc>
          <w:tcPr>
            <w:vAlign w:val="center"/>
          </w:tcPr>
          <w:p>
            <w:pPr>
              <w:jc w:val="center"/>
            </w:pPr>
            <w:r>
              <w:rPr>
                <w:color w:val="000000"/>
                <w:sz w:val="24"/>
                <w:szCs w:val="24"/>
              </w:rPr>
              <w:t>1.39%</w:t>
            </w:r>
          </w:p>
        </w:tc>
        <w:tc>
          <w:tcPr>
            <w:vAlign w:val="center"/>
          </w:tcPr>
          <w:p>
            <w:pPr>
              <w:jc w:val="center"/>
            </w:pPr>
            <w:r>
              <w:rPr>
                <w:color w:val="000000"/>
                <w:sz w:val="24"/>
                <w:szCs w:val="24"/>
              </w:rPr>
              <w:t>49.15%</w:t>
            </w:r>
          </w:p>
        </w:tc>
        <w:tc>
          <w:tcPr>
            <w:vAlign w:val="center"/>
          </w:tcPr>
          <w:p>
            <w:pPr>
              <w:jc w:val="center"/>
            </w:pPr>
            <w:r>
              <w:rPr>
                <w:color w:val="000000"/>
                <w:sz w:val="24"/>
                <w:szCs w:val="24"/>
              </w:rPr>
              <w:t>0.93%</w:t>
            </w:r>
          </w:p>
        </w:tc>
        <w:tc>
          <w:tcPr>
            <w:vAlign w:val="center"/>
          </w:tcPr>
          <w:p>
            <w:pPr>
              <w:jc w:val="center"/>
            </w:pPr>
            <w:r>
              <w:rPr>
                <w:color w:val="000000"/>
                <w:sz w:val="24"/>
                <w:szCs w:val="24"/>
              </w:rPr>
              <w:t>94.17%</w:t>
            </w:r>
          </w:p>
        </w:tc>
        <w:tc>
          <w:tcPr>
            <w:vAlign w:val="center"/>
          </w:tcPr>
          <w:p>
            <w:pPr>
              <w:jc w:val="center"/>
            </w:pPr>
            <w:r>
              <w:rPr>
                <w:color w:val="000000"/>
                <w:sz w:val="24"/>
                <w:szCs w:val="24"/>
              </w:rPr>
              <w:t>0.46%</w:t>
            </w:r>
          </w:p>
        </w:tc>
      </w:tr>
      <w:tr>
        <w:tc>
          <w:tcPr>
            <w:vAlign w:val="center"/>
          </w:tcPr>
          <w:p>
            <w:pPr>
              <w:jc w:val="left"/>
            </w:pPr>
            <w:r>
              <w:rPr>
                <w:color w:val="000000"/>
                <w:sz w:val="24"/>
                <w:szCs w:val="24"/>
              </w:rPr>
              <w:t>自基金合同生效至今</w:t>
            </w:r>
          </w:p>
        </w:tc>
        <w:tc>
          <w:tcPr>
            <w:vAlign w:val="center"/>
          </w:tcPr>
          <w:p>
            <w:pPr>
              <w:jc w:val="center"/>
            </w:pPr>
            <w:r>
              <w:rPr>
                <w:color w:val="000000"/>
                <w:sz w:val="24"/>
                <w:szCs w:val="24"/>
              </w:rPr>
              <w:t>137.45%</w:t>
            </w:r>
          </w:p>
        </w:tc>
        <w:tc>
          <w:tcPr>
            <w:vAlign w:val="center"/>
          </w:tcPr>
          <w:p>
            <w:pPr>
              <w:jc w:val="center"/>
            </w:pPr>
            <w:r>
              <w:rPr>
                <w:color w:val="000000"/>
                <w:sz w:val="24"/>
                <w:szCs w:val="24"/>
              </w:rPr>
              <w:t>1.50%</w:t>
            </w:r>
          </w:p>
        </w:tc>
        <w:tc>
          <w:tcPr>
            <w:vAlign w:val="center"/>
          </w:tcPr>
          <w:p>
            <w:pPr>
              <w:jc w:val="center"/>
            </w:pPr>
            <w:r>
              <w:rPr>
                <w:color w:val="000000"/>
                <w:sz w:val="24"/>
                <w:szCs w:val="24"/>
              </w:rPr>
              <w:t>20.46%</w:t>
            </w:r>
          </w:p>
        </w:tc>
        <w:tc>
          <w:tcPr>
            <w:vAlign w:val="center"/>
          </w:tcPr>
          <w:p>
            <w:pPr>
              <w:jc w:val="center"/>
            </w:pPr>
            <w:r>
              <w:rPr>
                <w:color w:val="000000"/>
                <w:sz w:val="24"/>
                <w:szCs w:val="24"/>
              </w:rPr>
              <w:t>1.27%</w:t>
            </w:r>
          </w:p>
        </w:tc>
        <w:tc>
          <w:tcPr>
            <w:vAlign w:val="center"/>
          </w:tcPr>
          <w:p>
            <w:pPr>
              <w:jc w:val="center"/>
            </w:pPr>
            <w:r>
              <w:rPr>
                <w:color w:val="000000"/>
                <w:sz w:val="24"/>
                <w:szCs w:val="24"/>
              </w:rPr>
              <w:t>116.99%</w:t>
            </w:r>
          </w:p>
        </w:tc>
        <w:tc>
          <w:tcPr>
            <w:vAlign w:val="center"/>
          </w:tcPr>
          <w:p>
            <w:pPr>
              <w:jc w:val="center"/>
            </w:pPr>
            <w:r>
              <w:rPr>
                <w:color w:val="000000"/>
                <w:sz w:val="24"/>
                <w:szCs w:val="24"/>
              </w:rPr>
              <w:t>0.23%</w:t>
            </w:r>
          </w:p>
        </w:tc>
      </w:tr>
    </w:tbl>
    <w:p w:rsidP="00C15CAC" w:rsidR="004061AC" w:rsidRDefault="003F39DF"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本基金业绩比较基准自2015年10月1日起，由“75%×中证100指数+25%×中信全债指数”变更为“75%×中证100指数+25%×中证综合债券指数”，3.2.2同。详情见本基金管理人于2015年9月28日发布的《交银施罗德基金管理有限公司关于旗下部分基金业绩比较基准变更并修改基金合同相关内容的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交银施罗德蓝筹混合型证券投资基金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2007年8月8日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2020年9月30日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王少成</w:t>
            </w:r>
          </w:p>
        </w:tc>
        <w:tc>
          <w:tcPr>
            <w:vAlign w:val="center"/>
          </w:tcPr>
          <w:p>
            <w:pPr>
              <w:jc w:val="center"/>
            </w:pPr>
            <w:r>
              <w:rPr>
                <w:color w:val="000000"/>
                <w:sz w:val="24"/>
                <w:szCs w:val="24"/>
              </w:rPr>
              <w:t>交银成长混合、交银蓝筹混合的基金经理，公司权益投资总监</w:t>
            </w:r>
          </w:p>
        </w:tc>
        <w:tc>
          <w:tcPr>
            <w:vAlign w:val="center"/>
          </w:tcPr>
          <w:p>
            <w:pPr>
              <w:jc w:val="center"/>
            </w:pPr>
            <w:r>
              <w:rPr>
                <w:color w:val="000000"/>
                <w:sz w:val="24"/>
                <w:szCs w:val="24"/>
              </w:rPr>
              <w:t>2018-09-28</w:t>
            </w:r>
          </w:p>
        </w:tc>
        <w:tc>
          <w:tcPr>
            <w:vAlign w:val="center"/>
          </w:tcPr>
          <w:p>
            <w:pPr>
              <w:jc w:val="center"/>
            </w:pPr>
            <w:r>
              <w:rPr>
                <w:color w:val="000000"/>
                <w:sz w:val="24"/>
                <w:szCs w:val="24"/>
              </w:rPr>
              <w:t>-</w:t>
            </w:r>
          </w:p>
        </w:tc>
        <w:tc>
          <w:tcPr>
            <w:vAlign w:val="center"/>
          </w:tcPr>
          <w:p>
            <w:pPr>
              <w:jc w:val="center"/>
            </w:pPr>
            <w:r>
              <w:rPr>
                <w:color w:val="000000"/>
                <w:sz w:val="24"/>
                <w:szCs w:val="24"/>
              </w:rPr>
              <w:t>16年</w:t>
            </w:r>
          </w:p>
        </w:tc>
        <w:tc>
          <w:tcPr>
            <w:vAlign w:val="center"/>
          </w:tcPr>
          <w:p>
            <w:pPr>
              <w:jc w:val="both"/>
            </w:pPr>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2010年9月至2012年10月担任东吴新创业股票型证券投资基金基金经理，2011年2月至2012年11月担任东吴中证新兴产业指数证券投资基金基金经理，2011年5月至2012年11月担任东吴价值成长双动力股票型证券投资基金基金经理。2012年加入交银施罗德基金管理有限公司，历任公司权益部副总经理。2013年3月21日至2015年8月14日担任交银施罗德先进制造混合型证券投资基金（原交银施罗德先进制造股票证券投资基金）基金经理，2013年5月29日至2015年8月14日担任交银施罗德先锋混合型证券投资基金（原交银施罗德先锋股票证券投资基金）基金经理，2015年11月7日至2018年5月15日担任交银施罗德荣和保本混合型证券投资基金的基金经理，2015年11月7日至2018年6月7日担任交银施罗德策略回报灵活配置混合型证券投资基金的基金经理。2013年7月2日至2019年6月17日担任交银施罗德成长30混合型证券投资基金的基金经理。2018年8月24日至2019年8月28日担任交银施罗德恒益灵活配置混合型证券投资基金的基金经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2020年三季度国内金融监管定向收紧房地产企业融资以及部分城市房地产交易，八月房地产信托融资放量。中国定价全球商品价格，海外尤其是美国定价全球资金价格，当中国经济显著强于海外经济时，可以兼顾偏高的通胀预期和偏宽松的流动性环境，支撑着全球资产估值。长期的低利率和疫情驱动美联储极端宽松货币政策共同驱动了资产价格上涨。以美国科技股代表FAAMG为例，其合计市值占SP500市值权重23%，占罗素1000成长指数的39%，其集中度已经显著高于2000年科网泡沫峰值水平，达到过去40年最高值。一旦美联储极端宽松货币政策边际收缩，风险资产价格预计会有明显的均值回归压力。</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尽管经济恢复正常与风格切换的进度不会一蹴而就，四季度仍有中国信用派生回落、美国大选和英国硬脱欧等事件带来不确定性，风险资产价格有回落的压力。对于A股市场而言,宏观经济依然处于复苏通道，流动性总量性宽松持续，我们将关注景气向上周期板块和中长期具有成长动能的消费和科技龙头上市公司，特别是在数字化转型上有先发优势企业。</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2,891,777,682.48</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93.26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2,891,777,682.48</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93.26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180,091,144.61</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5.81</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180,091,144.61</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5.81</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22,230,978.66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0.72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6,707,961.71</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0.22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3,100,807,767.46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179,213,079.96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5.80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1,731,313,147.33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56.07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127,054,433.52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4.11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28,264.03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18,653.36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442,968,633.56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14.35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57,638,322.00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1.87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14,813.40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15,348.36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353,467,853.70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11.45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45,133.26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2,891,777,682.48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93.66</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002216</w:t>
            </w:r>
          </w:p>
        </w:tc>
        <w:tc>
          <w:tcPr>
            <w:vAlign w:val="center"/>
          </w:tcPr>
          <w:p>
            <w:pPr>
              <w:jc w:val="center"/>
            </w:pPr>
            <w:r>
              <w:rPr>
                <w:color w:val="000000"/>
                <w:sz w:val="24"/>
                <w:szCs w:val="24"/>
              </w:rPr>
              <w:t>三全食品</w:t>
            </w:r>
          </w:p>
        </w:tc>
        <w:tc>
          <w:tcPr>
            <w:vAlign w:val="center"/>
          </w:tcPr>
          <w:p>
            <w:pPr>
              <w:jc w:val="right"/>
            </w:pPr>
            <w:r>
              <w:rPr>
                <w:color w:val="000000"/>
                <w:sz w:val="24"/>
                <w:szCs w:val="24"/>
              </w:rPr>
              <w:t>8,763,277</w:t>
            </w:r>
          </w:p>
        </w:tc>
        <w:tc>
          <w:tcPr>
            <w:vAlign w:val="center"/>
          </w:tcPr>
          <w:p>
            <w:pPr>
              <w:jc w:val="right"/>
            </w:pPr>
            <w:r>
              <w:rPr>
                <w:color w:val="000000"/>
                <w:sz w:val="24"/>
                <w:szCs w:val="24"/>
              </w:rPr>
              <w:t>304,699,141.29</w:t>
            </w:r>
          </w:p>
        </w:tc>
        <w:tc>
          <w:tcPr>
            <w:vAlign w:val="center"/>
          </w:tcPr>
          <w:p>
            <w:pPr>
              <w:jc w:val="right"/>
            </w:pPr>
            <w:r>
              <w:rPr>
                <w:color w:val="000000"/>
                <w:sz w:val="24"/>
                <w:szCs w:val="24"/>
              </w:rPr>
              <w:t>9.87</w:t>
            </w:r>
          </w:p>
        </w:tc>
      </w:tr>
      <w:tr>
        <w:tc>
          <w:tcPr>
            <w:vAlign w:val="center"/>
          </w:tcPr>
          <w:p>
            <w:pPr>
              <w:jc w:val="center"/>
            </w:pPr>
            <w:r>
              <w:rPr>
                <w:color w:val="000000"/>
                <w:sz w:val="24"/>
                <w:szCs w:val="24"/>
              </w:rPr>
              <w:t>2</w:t>
            </w:r>
          </w:p>
        </w:tc>
        <w:tc>
          <w:tcPr>
            <w:vAlign w:val="center"/>
          </w:tcPr>
          <w:p>
            <w:pPr>
              <w:jc w:val="center"/>
            </w:pPr>
            <w:r>
              <w:rPr>
                <w:color w:val="000000"/>
                <w:sz w:val="24"/>
                <w:szCs w:val="24"/>
              </w:rPr>
              <w:t>603517</w:t>
            </w:r>
          </w:p>
        </w:tc>
        <w:tc>
          <w:tcPr>
            <w:vAlign w:val="center"/>
          </w:tcPr>
          <w:p>
            <w:pPr>
              <w:jc w:val="center"/>
            </w:pPr>
            <w:r>
              <w:rPr>
                <w:color w:val="000000"/>
                <w:sz w:val="24"/>
                <w:szCs w:val="24"/>
              </w:rPr>
              <w:t>绝味食品</w:t>
            </w:r>
          </w:p>
        </w:tc>
        <w:tc>
          <w:tcPr>
            <w:vAlign w:val="center"/>
          </w:tcPr>
          <w:p>
            <w:pPr>
              <w:jc w:val="right"/>
            </w:pPr>
            <w:r>
              <w:rPr>
                <w:color w:val="000000"/>
                <w:sz w:val="24"/>
                <w:szCs w:val="24"/>
              </w:rPr>
              <w:t>3,613,618</w:t>
            </w:r>
          </w:p>
        </w:tc>
        <w:tc>
          <w:tcPr>
            <w:vAlign w:val="center"/>
          </w:tcPr>
          <w:p>
            <w:pPr>
              <w:jc w:val="right"/>
            </w:pPr>
            <w:r>
              <w:rPr>
                <w:color w:val="000000"/>
                <w:sz w:val="24"/>
                <w:szCs w:val="24"/>
              </w:rPr>
              <w:t>296,388,948.36</w:t>
            </w:r>
          </w:p>
        </w:tc>
        <w:tc>
          <w:tcPr>
            <w:vAlign w:val="center"/>
          </w:tcPr>
          <w:p>
            <w:pPr>
              <w:jc w:val="right"/>
            </w:pPr>
            <w:r>
              <w:rPr>
                <w:color w:val="000000"/>
                <w:sz w:val="24"/>
                <w:szCs w:val="24"/>
              </w:rPr>
              <w:t>9.60</w:t>
            </w:r>
          </w:p>
        </w:tc>
      </w:tr>
      <w:tr>
        <w:tc>
          <w:tcPr>
            <w:vAlign w:val="center"/>
          </w:tcPr>
          <w:p>
            <w:pPr>
              <w:jc w:val="center"/>
            </w:pPr>
            <w:r>
              <w:rPr>
                <w:color w:val="000000"/>
                <w:sz w:val="24"/>
                <w:szCs w:val="24"/>
              </w:rPr>
              <w:t>3</w:t>
            </w:r>
          </w:p>
        </w:tc>
        <w:tc>
          <w:tcPr>
            <w:vAlign w:val="center"/>
          </w:tcPr>
          <w:p>
            <w:pPr>
              <w:jc w:val="center"/>
            </w:pPr>
            <w:r>
              <w:rPr>
                <w:color w:val="000000"/>
                <w:sz w:val="24"/>
                <w:szCs w:val="24"/>
              </w:rPr>
              <w:t>603707</w:t>
            </w:r>
          </w:p>
        </w:tc>
        <w:tc>
          <w:tcPr>
            <w:vAlign w:val="center"/>
          </w:tcPr>
          <w:p>
            <w:pPr>
              <w:jc w:val="center"/>
            </w:pPr>
            <w:r>
              <w:rPr>
                <w:color w:val="000000"/>
                <w:sz w:val="24"/>
                <w:szCs w:val="24"/>
              </w:rPr>
              <w:t>健友股份</w:t>
            </w:r>
          </w:p>
        </w:tc>
        <w:tc>
          <w:tcPr>
            <w:vAlign w:val="center"/>
          </w:tcPr>
          <w:p>
            <w:pPr>
              <w:jc w:val="right"/>
            </w:pPr>
            <w:r>
              <w:rPr>
                <w:color w:val="000000"/>
                <w:sz w:val="24"/>
                <w:szCs w:val="24"/>
              </w:rPr>
              <w:t>5,858,298</w:t>
            </w:r>
          </w:p>
        </w:tc>
        <w:tc>
          <w:tcPr>
            <w:vAlign w:val="center"/>
          </w:tcPr>
          <w:p>
            <w:pPr>
              <w:jc w:val="right"/>
            </w:pPr>
            <w:r>
              <w:rPr>
                <w:color w:val="000000"/>
                <w:sz w:val="24"/>
                <w:szCs w:val="24"/>
              </w:rPr>
              <w:t>262,510,333.38</w:t>
            </w:r>
          </w:p>
        </w:tc>
        <w:tc>
          <w:tcPr>
            <w:vAlign w:val="center"/>
          </w:tcPr>
          <w:p>
            <w:pPr>
              <w:jc w:val="right"/>
            </w:pPr>
            <w:r>
              <w:rPr>
                <w:color w:val="000000"/>
                <w:sz w:val="24"/>
                <w:szCs w:val="24"/>
              </w:rPr>
              <w:t>8.50</w:t>
            </w:r>
          </w:p>
        </w:tc>
      </w:tr>
      <w:tr>
        <w:tc>
          <w:tcPr>
            <w:vAlign w:val="center"/>
          </w:tcPr>
          <w:p>
            <w:pPr>
              <w:jc w:val="center"/>
            </w:pPr>
            <w:r>
              <w:rPr>
                <w:color w:val="000000"/>
                <w:sz w:val="24"/>
                <w:szCs w:val="24"/>
              </w:rPr>
              <w:t>4</w:t>
            </w:r>
          </w:p>
        </w:tc>
        <w:tc>
          <w:tcPr>
            <w:vAlign w:val="center"/>
          </w:tcPr>
          <w:p>
            <w:pPr>
              <w:jc w:val="center"/>
            </w:pPr>
            <w:r>
              <w:rPr>
                <w:color w:val="000000"/>
                <w:sz w:val="24"/>
                <w:szCs w:val="24"/>
              </w:rPr>
              <w:t>002607</w:t>
            </w:r>
          </w:p>
        </w:tc>
        <w:tc>
          <w:tcPr>
            <w:vAlign w:val="center"/>
          </w:tcPr>
          <w:p>
            <w:pPr>
              <w:jc w:val="center"/>
            </w:pPr>
            <w:r>
              <w:rPr>
                <w:color w:val="000000"/>
                <w:sz w:val="24"/>
                <w:szCs w:val="24"/>
              </w:rPr>
              <w:t>中公教育</w:t>
            </w:r>
          </w:p>
        </w:tc>
        <w:tc>
          <w:tcPr>
            <w:vAlign w:val="center"/>
          </w:tcPr>
          <w:p>
            <w:pPr>
              <w:jc w:val="right"/>
            </w:pPr>
            <w:r>
              <w:rPr>
                <w:color w:val="000000"/>
                <w:sz w:val="24"/>
                <w:szCs w:val="24"/>
              </w:rPr>
              <w:t>8,028,102</w:t>
            </w:r>
          </w:p>
        </w:tc>
        <w:tc>
          <w:tcPr>
            <w:vAlign w:val="center"/>
          </w:tcPr>
          <w:p>
            <w:pPr>
              <w:jc w:val="right"/>
            </w:pPr>
            <w:r>
              <w:rPr>
                <w:color w:val="000000"/>
                <w:sz w:val="24"/>
                <w:szCs w:val="24"/>
              </w:rPr>
              <w:t>261,956,968.26</w:t>
            </w:r>
          </w:p>
        </w:tc>
        <w:tc>
          <w:tcPr>
            <w:vAlign w:val="center"/>
          </w:tcPr>
          <w:p>
            <w:pPr>
              <w:jc w:val="right"/>
            </w:pPr>
            <w:r>
              <w:rPr>
                <w:color w:val="000000"/>
                <w:sz w:val="24"/>
                <w:szCs w:val="24"/>
              </w:rPr>
              <w:t>8.48</w:t>
            </w:r>
          </w:p>
        </w:tc>
      </w:tr>
      <w:tr>
        <w:tc>
          <w:tcPr>
            <w:vAlign w:val="center"/>
          </w:tcPr>
          <w:p>
            <w:pPr>
              <w:jc w:val="center"/>
            </w:pPr>
            <w:r>
              <w:rPr>
                <w:color w:val="000000"/>
                <w:sz w:val="24"/>
                <w:szCs w:val="24"/>
              </w:rPr>
              <w:t>5</w:t>
            </w:r>
          </w:p>
        </w:tc>
        <w:tc>
          <w:tcPr>
            <w:vAlign w:val="center"/>
          </w:tcPr>
          <w:p>
            <w:pPr>
              <w:jc w:val="center"/>
            </w:pPr>
            <w:r>
              <w:rPr>
                <w:color w:val="000000"/>
                <w:sz w:val="24"/>
                <w:szCs w:val="24"/>
              </w:rPr>
              <w:t>002230</w:t>
            </w:r>
          </w:p>
        </w:tc>
        <w:tc>
          <w:tcPr>
            <w:vAlign w:val="center"/>
          </w:tcPr>
          <w:p>
            <w:pPr>
              <w:jc w:val="center"/>
            </w:pPr>
            <w:r>
              <w:rPr>
                <w:color w:val="000000"/>
                <w:sz w:val="24"/>
                <w:szCs w:val="24"/>
              </w:rPr>
              <w:t>科大讯飞</w:t>
            </w:r>
          </w:p>
        </w:tc>
        <w:tc>
          <w:tcPr>
            <w:vAlign w:val="center"/>
          </w:tcPr>
          <w:p>
            <w:pPr>
              <w:jc w:val="right"/>
            </w:pPr>
            <w:r>
              <w:rPr>
                <w:color w:val="000000"/>
                <w:sz w:val="24"/>
                <w:szCs w:val="24"/>
              </w:rPr>
              <w:t>7,320,331</w:t>
            </w:r>
          </w:p>
        </w:tc>
        <w:tc>
          <w:tcPr>
            <w:vAlign w:val="center"/>
          </w:tcPr>
          <w:p>
            <w:pPr>
              <w:jc w:val="right"/>
            </w:pPr>
            <w:r>
              <w:rPr>
                <w:color w:val="000000"/>
                <w:sz w:val="24"/>
                <w:szCs w:val="24"/>
              </w:rPr>
              <w:t>250,867,743.37</w:t>
            </w:r>
          </w:p>
        </w:tc>
        <w:tc>
          <w:tcPr>
            <w:vAlign w:val="center"/>
          </w:tcPr>
          <w:p>
            <w:pPr>
              <w:jc w:val="right"/>
            </w:pPr>
            <w:r>
              <w:rPr>
                <w:color w:val="000000"/>
                <w:sz w:val="24"/>
                <w:szCs w:val="24"/>
              </w:rPr>
              <w:t>8.13</w:t>
            </w:r>
          </w:p>
        </w:tc>
      </w:tr>
      <w:tr>
        <w:tc>
          <w:tcPr>
            <w:vAlign w:val="center"/>
          </w:tcPr>
          <w:p>
            <w:pPr>
              <w:jc w:val="center"/>
            </w:pPr>
            <w:r>
              <w:rPr>
                <w:color w:val="000000"/>
                <w:sz w:val="24"/>
                <w:szCs w:val="24"/>
              </w:rPr>
              <w:t>6</w:t>
            </w:r>
          </w:p>
        </w:tc>
        <w:tc>
          <w:tcPr>
            <w:vAlign w:val="center"/>
          </w:tcPr>
          <w:p>
            <w:pPr>
              <w:jc w:val="center"/>
            </w:pPr>
            <w:r>
              <w:rPr>
                <w:color w:val="000000"/>
                <w:sz w:val="24"/>
                <w:szCs w:val="24"/>
              </w:rPr>
              <w:t>002049</w:t>
            </w:r>
          </w:p>
        </w:tc>
        <w:tc>
          <w:tcPr>
            <w:vAlign w:val="center"/>
          </w:tcPr>
          <w:p>
            <w:pPr>
              <w:jc w:val="center"/>
            </w:pPr>
            <w:r>
              <w:rPr>
                <w:color w:val="000000"/>
                <w:sz w:val="24"/>
                <w:szCs w:val="24"/>
              </w:rPr>
              <w:t>紫光国微</w:t>
            </w:r>
          </w:p>
        </w:tc>
        <w:tc>
          <w:tcPr>
            <w:vAlign w:val="center"/>
          </w:tcPr>
          <w:p>
            <w:pPr>
              <w:jc w:val="right"/>
            </w:pPr>
            <w:r>
              <w:rPr>
                <w:color w:val="000000"/>
                <w:sz w:val="24"/>
                <w:szCs w:val="24"/>
              </w:rPr>
              <w:t>2,088,515</w:t>
            </w:r>
          </w:p>
        </w:tc>
        <w:tc>
          <w:tcPr>
            <w:vAlign w:val="center"/>
          </w:tcPr>
          <w:p>
            <w:pPr>
              <w:jc w:val="right"/>
            </w:pPr>
            <w:r>
              <w:rPr>
                <w:color w:val="000000"/>
                <w:sz w:val="24"/>
                <w:szCs w:val="24"/>
              </w:rPr>
              <w:t>248,073,811.70</w:t>
            </w:r>
          </w:p>
        </w:tc>
        <w:tc>
          <w:tcPr>
            <w:vAlign w:val="center"/>
          </w:tcPr>
          <w:p>
            <w:pPr>
              <w:jc w:val="right"/>
            </w:pPr>
            <w:r>
              <w:rPr>
                <w:color w:val="000000"/>
                <w:sz w:val="24"/>
                <w:szCs w:val="24"/>
              </w:rPr>
              <w:t>8.03</w:t>
            </w:r>
          </w:p>
        </w:tc>
      </w:tr>
      <w:tr>
        <w:tc>
          <w:tcPr>
            <w:vAlign w:val="center"/>
          </w:tcPr>
          <w:p>
            <w:pPr>
              <w:jc w:val="center"/>
            </w:pPr>
            <w:r>
              <w:rPr>
                <w:color w:val="000000"/>
                <w:sz w:val="24"/>
                <w:szCs w:val="24"/>
              </w:rPr>
              <w:t>7</w:t>
            </w:r>
          </w:p>
        </w:tc>
        <w:tc>
          <w:tcPr>
            <w:vAlign w:val="center"/>
          </w:tcPr>
          <w:p>
            <w:pPr>
              <w:jc w:val="center"/>
            </w:pPr>
            <w:r>
              <w:rPr>
                <w:color w:val="000000"/>
                <w:sz w:val="24"/>
                <w:szCs w:val="24"/>
              </w:rPr>
              <w:t>000998</w:t>
            </w:r>
          </w:p>
        </w:tc>
        <w:tc>
          <w:tcPr>
            <w:vAlign w:val="center"/>
          </w:tcPr>
          <w:p>
            <w:pPr>
              <w:jc w:val="center"/>
            </w:pPr>
            <w:r>
              <w:rPr>
                <w:color w:val="000000"/>
                <w:sz w:val="24"/>
                <w:szCs w:val="24"/>
              </w:rPr>
              <w:t>隆平高科</w:t>
            </w:r>
          </w:p>
        </w:tc>
        <w:tc>
          <w:tcPr>
            <w:vAlign w:val="center"/>
          </w:tcPr>
          <w:p>
            <w:pPr>
              <w:jc w:val="right"/>
            </w:pPr>
            <w:r>
              <w:rPr>
                <w:color w:val="000000"/>
                <w:sz w:val="24"/>
                <w:szCs w:val="24"/>
              </w:rPr>
              <w:t>9,787,716</w:t>
            </w:r>
          </w:p>
        </w:tc>
        <w:tc>
          <w:tcPr>
            <w:vAlign w:val="center"/>
          </w:tcPr>
          <w:p>
            <w:pPr>
              <w:jc w:val="right"/>
            </w:pPr>
            <w:r>
              <w:rPr>
                <w:color w:val="000000"/>
                <w:sz w:val="24"/>
                <w:szCs w:val="24"/>
              </w:rPr>
              <w:t>179,213,079.96</w:t>
            </w:r>
          </w:p>
        </w:tc>
        <w:tc>
          <w:tcPr>
            <w:vAlign w:val="center"/>
          </w:tcPr>
          <w:p>
            <w:pPr>
              <w:jc w:val="right"/>
            </w:pPr>
            <w:r>
              <w:rPr>
                <w:color w:val="000000"/>
                <w:sz w:val="24"/>
                <w:szCs w:val="24"/>
              </w:rPr>
              <w:t>5.80</w:t>
            </w:r>
          </w:p>
        </w:tc>
      </w:tr>
      <w:tr>
        <w:tc>
          <w:tcPr>
            <w:vAlign w:val="center"/>
          </w:tcPr>
          <w:p>
            <w:pPr>
              <w:jc w:val="center"/>
            </w:pPr>
            <w:r>
              <w:rPr>
                <w:color w:val="000000"/>
                <w:sz w:val="24"/>
                <w:szCs w:val="24"/>
              </w:rPr>
              <w:t>8</w:t>
            </w:r>
          </w:p>
        </w:tc>
        <w:tc>
          <w:tcPr>
            <w:vAlign w:val="center"/>
          </w:tcPr>
          <w:p>
            <w:pPr>
              <w:jc w:val="center"/>
            </w:pPr>
            <w:r>
              <w:rPr>
                <w:color w:val="000000"/>
                <w:sz w:val="24"/>
                <w:szCs w:val="24"/>
              </w:rPr>
              <w:t>002311</w:t>
            </w:r>
          </w:p>
        </w:tc>
        <w:tc>
          <w:tcPr>
            <w:vAlign w:val="center"/>
          </w:tcPr>
          <w:p>
            <w:pPr>
              <w:jc w:val="center"/>
            </w:pPr>
            <w:r>
              <w:rPr>
                <w:color w:val="000000"/>
                <w:sz w:val="24"/>
                <w:szCs w:val="24"/>
              </w:rPr>
              <w:t>海大集团</w:t>
            </w:r>
          </w:p>
        </w:tc>
        <w:tc>
          <w:tcPr>
            <w:vAlign w:val="center"/>
          </w:tcPr>
          <w:p>
            <w:pPr>
              <w:jc w:val="right"/>
            </w:pPr>
            <w:r>
              <w:rPr>
                <w:color w:val="000000"/>
                <w:sz w:val="24"/>
                <w:szCs w:val="24"/>
              </w:rPr>
              <w:t>2,301,670</w:t>
            </w:r>
          </w:p>
        </w:tc>
        <w:tc>
          <w:tcPr>
            <w:vAlign w:val="center"/>
          </w:tcPr>
          <w:p>
            <w:pPr>
              <w:jc w:val="right"/>
            </w:pPr>
            <w:r>
              <w:rPr>
                <w:color w:val="000000"/>
                <w:sz w:val="24"/>
                <w:szCs w:val="24"/>
              </w:rPr>
              <w:t>141,161,421.10</w:t>
            </w:r>
          </w:p>
        </w:tc>
        <w:tc>
          <w:tcPr>
            <w:vAlign w:val="center"/>
          </w:tcPr>
          <w:p>
            <w:pPr>
              <w:jc w:val="right"/>
            </w:pPr>
            <w:r>
              <w:rPr>
                <w:color w:val="000000"/>
                <w:sz w:val="24"/>
                <w:szCs w:val="24"/>
              </w:rPr>
              <w:t>4.57</w:t>
            </w:r>
          </w:p>
        </w:tc>
      </w:tr>
      <w:tr>
        <w:tc>
          <w:tcPr>
            <w:vAlign w:val="center"/>
          </w:tcPr>
          <w:p>
            <w:pPr>
              <w:jc w:val="center"/>
            </w:pPr>
            <w:r>
              <w:rPr>
                <w:color w:val="000000"/>
                <w:sz w:val="24"/>
                <w:szCs w:val="24"/>
              </w:rPr>
              <w:t>9</w:t>
            </w:r>
          </w:p>
        </w:tc>
        <w:tc>
          <w:tcPr>
            <w:vAlign w:val="center"/>
          </w:tcPr>
          <w:p>
            <w:pPr>
              <w:jc w:val="center"/>
            </w:pPr>
            <w:r>
              <w:rPr>
                <w:color w:val="000000"/>
                <w:sz w:val="24"/>
                <w:szCs w:val="24"/>
              </w:rPr>
              <w:t>688188</w:t>
            </w:r>
          </w:p>
        </w:tc>
        <w:tc>
          <w:tcPr>
            <w:vAlign w:val="center"/>
          </w:tcPr>
          <w:p>
            <w:pPr>
              <w:jc w:val="center"/>
            </w:pPr>
            <w:r>
              <w:rPr>
                <w:color w:val="000000"/>
                <w:sz w:val="24"/>
                <w:szCs w:val="24"/>
              </w:rPr>
              <w:t>柏楚电子</w:t>
            </w:r>
          </w:p>
        </w:tc>
        <w:tc>
          <w:tcPr>
            <w:vAlign w:val="center"/>
          </w:tcPr>
          <w:p>
            <w:pPr>
              <w:jc w:val="right"/>
            </w:pPr>
            <w:r>
              <w:rPr>
                <w:color w:val="000000"/>
                <w:sz w:val="24"/>
                <w:szCs w:val="24"/>
              </w:rPr>
              <w:t>556,094</w:t>
            </w:r>
          </w:p>
        </w:tc>
        <w:tc>
          <w:tcPr>
            <w:vAlign w:val="center"/>
          </w:tcPr>
          <w:p>
            <w:pPr>
              <w:jc w:val="right"/>
            </w:pPr>
            <w:r>
              <w:rPr>
                <w:color w:val="000000"/>
                <w:sz w:val="24"/>
                <w:szCs w:val="24"/>
              </w:rPr>
              <w:t>132,194,665.68</w:t>
            </w:r>
          </w:p>
        </w:tc>
        <w:tc>
          <w:tcPr>
            <w:vAlign w:val="center"/>
          </w:tcPr>
          <w:p>
            <w:pPr>
              <w:jc w:val="right"/>
            </w:pPr>
            <w:r>
              <w:rPr>
                <w:color w:val="000000"/>
                <w:sz w:val="24"/>
                <w:szCs w:val="24"/>
              </w:rPr>
              <w:t>4.28</w:t>
            </w:r>
          </w:p>
        </w:tc>
      </w:tr>
      <w:tr>
        <w:tc>
          <w:tcPr>
            <w:vAlign w:val="center"/>
          </w:tcPr>
          <w:p>
            <w:pPr>
              <w:jc w:val="center"/>
            </w:pPr>
            <w:r>
              <w:rPr>
                <w:color w:val="000000"/>
                <w:sz w:val="24"/>
                <w:szCs w:val="24"/>
              </w:rPr>
              <w:t>10</w:t>
            </w:r>
          </w:p>
        </w:tc>
        <w:tc>
          <w:tcPr>
            <w:vAlign w:val="center"/>
          </w:tcPr>
          <w:p>
            <w:pPr>
              <w:jc w:val="center"/>
            </w:pPr>
            <w:r>
              <w:rPr>
                <w:color w:val="000000"/>
                <w:sz w:val="24"/>
                <w:szCs w:val="24"/>
              </w:rPr>
              <w:t>603866</w:t>
            </w:r>
          </w:p>
        </w:tc>
        <w:tc>
          <w:tcPr>
            <w:vAlign w:val="center"/>
          </w:tcPr>
          <w:p>
            <w:pPr>
              <w:jc w:val="center"/>
            </w:pPr>
            <w:r>
              <w:rPr>
                <w:color w:val="000000"/>
                <w:sz w:val="24"/>
                <w:szCs w:val="24"/>
              </w:rPr>
              <w:t>桃李面包</w:t>
            </w:r>
          </w:p>
        </w:tc>
        <w:tc>
          <w:tcPr>
            <w:vAlign w:val="center"/>
          </w:tcPr>
          <w:p>
            <w:pPr>
              <w:jc w:val="right"/>
            </w:pPr>
            <w:r>
              <w:rPr>
                <w:color w:val="000000"/>
                <w:sz w:val="24"/>
                <w:szCs w:val="24"/>
              </w:rPr>
              <w:t>2,213,800</w:t>
            </w:r>
          </w:p>
        </w:tc>
        <w:tc>
          <w:tcPr>
            <w:vAlign w:val="center"/>
          </w:tcPr>
          <w:p>
            <w:pPr>
              <w:jc w:val="right"/>
            </w:pPr>
            <w:r>
              <w:rPr>
                <w:color w:val="000000"/>
                <w:sz w:val="24"/>
                <w:szCs w:val="24"/>
              </w:rPr>
              <w:t>131,920,342.00</w:t>
            </w:r>
          </w:p>
        </w:tc>
        <w:tc>
          <w:tcPr>
            <w:vAlign w:val="center"/>
          </w:tcPr>
          <w:p>
            <w:pPr>
              <w:jc w:val="right"/>
            </w:pPr>
            <w:r>
              <w:rPr>
                <w:color w:val="000000"/>
                <w:sz w:val="24"/>
                <w:szCs w:val="24"/>
              </w:rPr>
              <w:t>4.27</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168,452,000.00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5.46</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168,452,000.00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5.46</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11,639,144.61</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0.38</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180,091,144.61</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5.83</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200211</w:t>
            </w:r>
          </w:p>
        </w:tc>
        <w:tc>
          <w:tcPr>
            <w:vAlign w:val="center"/>
          </w:tcPr>
          <w:p>
            <w:pPr>
              <w:jc w:val="center"/>
            </w:pPr>
            <w:r>
              <w:rPr>
                <w:color w:val="000000"/>
                <w:sz w:val="24"/>
                <w:szCs w:val="24"/>
              </w:rPr>
              <w:t>20国开11</w:t>
            </w:r>
          </w:p>
        </w:tc>
        <w:tc>
          <w:tcPr>
            <w:vAlign w:val="center"/>
          </w:tcPr>
          <w:p>
            <w:pPr>
              <w:jc w:val="right"/>
            </w:pPr>
            <w:r>
              <w:rPr>
                <w:color w:val="000000"/>
                <w:sz w:val="24"/>
                <w:szCs w:val="24"/>
              </w:rPr>
              <w:t>1,600,000</w:t>
            </w:r>
          </w:p>
        </w:tc>
        <w:tc>
          <w:tcPr>
            <w:vAlign w:val="center"/>
          </w:tcPr>
          <w:p>
            <w:pPr>
              <w:jc w:val="right"/>
            </w:pPr>
            <w:r>
              <w:rPr>
                <w:color w:val="000000"/>
                <w:sz w:val="24"/>
                <w:szCs w:val="24"/>
              </w:rPr>
              <w:t>158,512,000.00</w:t>
            </w:r>
          </w:p>
        </w:tc>
        <w:tc>
          <w:tcPr>
            <w:vAlign w:val="center"/>
          </w:tcPr>
          <w:p>
            <w:pPr>
              <w:jc w:val="right"/>
            </w:pPr>
            <w:r>
              <w:rPr>
                <w:color w:val="000000"/>
                <w:sz w:val="24"/>
                <w:szCs w:val="24"/>
              </w:rPr>
              <w:t>5.13</w:t>
            </w:r>
          </w:p>
        </w:tc>
      </w:tr>
      <w:tr>
        <w:tc>
          <w:tcPr>
            <w:vAlign w:val="center"/>
          </w:tcPr>
          <w:p>
            <w:pPr>
              <w:jc w:val="center"/>
            </w:pPr>
            <w:r>
              <w:rPr>
                <w:color w:val="000000"/>
                <w:sz w:val="24"/>
                <w:szCs w:val="24"/>
              </w:rPr>
              <w:t>2</w:t>
            </w:r>
          </w:p>
        </w:tc>
        <w:tc>
          <w:tcPr>
            <w:vAlign w:val="center"/>
          </w:tcPr>
          <w:p>
            <w:pPr>
              <w:jc w:val="center"/>
            </w:pPr>
            <w:r>
              <w:rPr>
                <w:color w:val="000000"/>
                <w:sz w:val="24"/>
                <w:szCs w:val="24"/>
              </w:rPr>
              <w:t>207701</w:t>
            </w:r>
          </w:p>
        </w:tc>
        <w:tc>
          <w:tcPr>
            <w:vAlign w:val="center"/>
          </w:tcPr>
          <w:p>
            <w:pPr>
              <w:jc w:val="center"/>
            </w:pPr>
            <w:r>
              <w:rPr>
                <w:color w:val="000000"/>
                <w:sz w:val="24"/>
                <w:szCs w:val="24"/>
              </w:rPr>
              <w:t>20贴现国开01</w:t>
            </w:r>
          </w:p>
        </w:tc>
        <w:tc>
          <w:tcPr>
            <w:vAlign w:val="center"/>
          </w:tcPr>
          <w:p>
            <w:pPr>
              <w:jc w:val="right"/>
            </w:pPr>
            <w:r>
              <w:rPr>
                <w:color w:val="000000"/>
                <w:sz w:val="24"/>
                <w:szCs w:val="24"/>
              </w:rPr>
              <w:t>100,000</w:t>
            </w:r>
          </w:p>
        </w:tc>
        <w:tc>
          <w:tcPr>
            <w:vAlign w:val="center"/>
          </w:tcPr>
          <w:p>
            <w:pPr>
              <w:jc w:val="right"/>
            </w:pPr>
            <w:r>
              <w:rPr>
                <w:color w:val="000000"/>
                <w:sz w:val="24"/>
                <w:szCs w:val="24"/>
              </w:rPr>
              <w:t>9,940,000.00</w:t>
            </w:r>
          </w:p>
        </w:tc>
        <w:tc>
          <w:tcPr>
            <w:vAlign w:val="center"/>
          </w:tcPr>
          <w:p>
            <w:pPr>
              <w:jc w:val="right"/>
            </w:pPr>
            <w:r>
              <w:rPr>
                <w:color w:val="000000"/>
                <w:sz w:val="24"/>
                <w:szCs w:val="24"/>
              </w:rPr>
              <w:t>0.32</w:t>
            </w:r>
          </w:p>
        </w:tc>
      </w:tr>
      <w:tr>
        <w:tc>
          <w:tcPr>
            <w:vAlign w:val="center"/>
          </w:tcPr>
          <w:p>
            <w:pPr>
              <w:jc w:val="center"/>
            </w:pPr>
            <w:r>
              <w:rPr>
                <w:color w:val="000000"/>
                <w:sz w:val="24"/>
                <w:szCs w:val="24"/>
              </w:rPr>
              <w:t>3</w:t>
            </w:r>
          </w:p>
        </w:tc>
        <w:tc>
          <w:tcPr>
            <w:vAlign w:val="center"/>
          </w:tcPr>
          <w:p>
            <w:pPr>
              <w:jc w:val="center"/>
            </w:pPr>
            <w:r>
              <w:rPr>
                <w:color w:val="000000"/>
                <w:sz w:val="24"/>
                <w:szCs w:val="24"/>
              </w:rPr>
              <w:t>128102</w:t>
            </w:r>
          </w:p>
        </w:tc>
        <w:tc>
          <w:tcPr>
            <w:vAlign w:val="center"/>
          </w:tcPr>
          <w:p>
            <w:pPr>
              <w:jc w:val="center"/>
            </w:pPr>
            <w:r>
              <w:rPr>
                <w:color w:val="000000"/>
                <w:sz w:val="24"/>
                <w:szCs w:val="24"/>
              </w:rPr>
              <w:t>海大转债</w:t>
            </w:r>
          </w:p>
        </w:tc>
        <w:tc>
          <w:tcPr>
            <w:vAlign w:val="center"/>
          </w:tcPr>
          <w:p>
            <w:pPr>
              <w:jc w:val="right"/>
            </w:pPr>
            <w:r>
              <w:rPr>
                <w:color w:val="000000"/>
                <w:sz w:val="24"/>
                <w:szCs w:val="24"/>
              </w:rPr>
              <w:t>47,271</w:t>
            </w:r>
          </w:p>
        </w:tc>
        <w:tc>
          <w:tcPr>
            <w:vAlign w:val="center"/>
          </w:tcPr>
          <w:p>
            <w:pPr>
              <w:jc w:val="right"/>
            </w:pPr>
            <w:r>
              <w:rPr>
                <w:color w:val="000000"/>
                <w:sz w:val="24"/>
                <w:szCs w:val="24"/>
              </w:rPr>
              <w:t>8,376,893.91</w:t>
            </w:r>
          </w:p>
        </w:tc>
        <w:tc>
          <w:tcPr>
            <w:vAlign w:val="center"/>
          </w:tcPr>
          <w:p>
            <w:pPr>
              <w:jc w:val="right"/>
            </w:pPr>
            <w:r>
              <w:rPr>
                <w:color w:val="000000"/>
                <w:sz w:val="24"/>
                <w:szCs w:val="24"/>
              </w:rPr>
              <w:t>0.27</w:t>
            </w:r>
          </w:p>
        </w:tc>
      </w:tr>
      <w:tr>
        <w:tc>
          <w:tcPr>
            <w:vAlign w:val="center"/>
          </w:tcPr>
          <w:p>
            <w:pPr>
              <w:jc w:val="center"/>
            </w:pPr>
            <w:r>
              <w:rPr>
                <w:color w:val="000000"/>
                <w:sz w:val="24"/>
                <w:szCs w:val="24"/>
              </w:rPr>
              <w:t>4</w:t>
            </w:r>
          </w:p>
        </w:tc>
        <w:tc>
          <w:tcPr>
            <w:vAlign w:val="center"/>
          </w:tcPr>
          <w:p>
            <w:pPr>
              <w:jc w:val="center"/>
            </w:pPr>
            <w:r>
              <w:rPr>
                <w:color w:val="000000"/>
                <w:sz w:val="24"/>
                <w:szCs w:val="24"/>
              </w:rPr>
              <w:t>113579</w:t>
            </w:r>
          </w:p>
        </w:tc>
        <w:tc>
          <w:tcPr>
            <w:vAlign w:val="center"/>
          </w:tcPr>
          <w:p>
            <w:pPr>
              <w:jc w:val="center"/>
            </w:pPr>
            <w:r>
              <w:rPr>
                <w:color w:val="000000"/>
                <w:sz w:val="24"/>
                <w:szCs w:val="24"/>
              </w:rPr>
              <w:t>健友转债</w:t>
            </w:r>
          </w:p>
        </w:tc>
        <w:tc>
          <w:tcPr>
            <w:vAlign w:val="center"/>
          </w:tcPr>
          <w:p>
            <w:pPr>
              <w:jc w:val="right"/>
            </w:pPr>
            <w:r>
              <w:rPr>
                <w:color w:val="000000"/>
                <w:sz w:val="24"/>
                <w:szCs w:val="24"/>
              </w:rPr>
              <w:t>25,330</w:t>
            </w:r>
          </w:p>
        </w:tc>
        <w:tc>
          <w:tcPr>
            <w:vAlign w:val="center"/>
          </w:tcPr>
          <w:p>
            <w:pPr>
              <w:jc w:val="right"/>
            </w:pPr>
            <w:r>
              <w:rPr>
                <w:color w:val="000000"/>
                <w:sz w:val="24"/>
                <w:szCs w:val="24"/>
              </w:rPr>
              <w:t>3,262,250.70</w:t>
            </w:r>
          </w:p>
        </w:tc>
        <w:tc>
          <w:tcPr>
            <w:vAlign w:val="center"/>
          </w:tcPr>
          <w:p>
            <w:pPr>
              <w:jc w:val="right"/>
            </w:pPr>
            <w:r>
              <w:rPr>
                <w:color w:val="000000"/>
                <w:sz w:val="24"/>
                <w:szCs w:val="24"/>
              </w:rPr>
              <w:t>0.11</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435,715.09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3,510,496.93</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839,052.55</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1,922,697.14</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6,707,961.71</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173B44" w:rsidR="00173B44" w:rsidRDefault="00173B44"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883"/>
        <w:gridCol w:w="1801"/>
        <w:gridCol w:w="1727"/>
        <w:gridCol w:w="1768"/>
        <w:gridCol w:w="1689"/>
      </w:tblGrid>
      <w:tr w:rsidR="003E62FB" w:rsidRPr="00414345" w:rsidTr="00A324F4">
        <w:trPr>
          <w:jc w:val="center"/>
        </w:trPr>
        <w:tc>
          <w:tcPr>
            <w:tcW w:type="dxa" w:w="180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729"/>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65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69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62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128102</w:t>
            </w:r>
          </w:p>
        </w:tc>
        <w:tc>
          <w:tcPr>
            <w:vAlign w:val="center"/>
          </w:tcPr>
          <w:p>
            <w:pPr>
              <w:jc w:val="center"/>
            </w:pPr>
            <w:r>
              <w:rPr>
                <w:color w:val="000000"/>
                <w:sz w:val="24"/>
                <w:szCs w:val="24"/>
              </w:rPr>
              <w:t>海大转债</w:t>
            </w:r>
          </w:p>
        </w:tc>
        <w:tc>
          <w:tcPr>
            <w:vAlign w:val="center"/>
          </w:tcPr>
          <w:p>
            <w:pPr>
              <w:jc w:val="right"/>
            </w:pPr>
            <w:r>
              <w:rPr>
                <w:color w:val="000000"/>
                <w:sz w:val="24"/>
                <w:szCs w:val="24"/>
              </w:rPr>
              <w:t>8,376,893.91</w:t>
            </w:r>
          </w:p>
        </w:tc>
        <w:tc>
          <w:tcPr>
            <w:vAlign w:val="center"/>
          </w:tcPr>
          <w:p>
            <w:pPr>
              <w:jc w:val="right"/>
            </w:pPr>
            <w:r>
              <w:rPr>
                <w:color w:val="000000"/>
                <w:sz w:val="24"/>
                <w:szCs w:val="24"/>
              </w:rPr>
              <w:t>0.27</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lastRenderedPageBreak/>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本基金本报告期末前十名股票中不存在流通受限情况。</w:t>
      </w: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2,262,242,310.87</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603,652,844.91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501,133,419.90</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2,364,761,735.88</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注：1、如果本报告期间发生转换入、红利再投业务，则总申购份额中包含该业务；     </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1、中国证监会批准交银施罗德蓝筹股票证券投资基金募集的文件； </w:t>
      </w:r>
    </w:p>
    <w:p>
      <w:pPr>
        <w:spacing w:before="29" w:line="288" w:lineRule="auto"/>
        <w:ind w:firstLine="480" w:firstLineChars="200"/>
        <w:rPr>
          <w:color w:val="000000"/>
          <w:sz w:val="24"/>
          <w:szCs w:val="24"/>
        </w:rPr>
      </w:pPr>
      <w:r>
        <w:rPr>
          <w:color w:val="000000"/>
          <w:sz w:val="24"/>
          <w:szCs w:val="24"/>
        </w:rPr>
        <w:t xml:space="preserve">2、《交银施罗德蓝筹混合型证券投资基金基金合同》；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3、《交银施罗德蓝筹混合型证券投资基金招募说明书》；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4、《交银施罗德蓝筹混合型证券投资基金托管协议》； </w:t>
      </w:r>
    </w:p>
    <w:p>
      <w:pPr>
        <w:spacing w:before="29" w:line="288" w:lineRule="auto"/>
        <w:ind w:firstLine="480" w:firstLineChars="200"/>
        <w:rPr>
          <w:color w:val="000000"/>
          <w:sz w:val="24"/>
          <w:szCs w:val="24"/>
        </w:rPr>
      </w:pPr>
      <w:r>
        <w:rPr>
          <w:color w:val="000000"/>
          <w:sz w:val="24"/>
          <w:szCs w:val="24"/>
        </w:rPr>
        <w:t xml:space="preserve">5、关于募集交银施罗德蓝筹股票证券投资基金之法律意见书； </w:t>
      </w:r>
    </w:p>
    <w:p>
      <w:pPr>
        <w:spacing w:before="29" w:line="288" w:lineRule="auto"/>
        <w:ind w:firstLine="480" w:firstLineChars="200"/>
        <w:rPr>
          <w:color w:val="000000"/>
          <w:sz w:val="24"/>
          <w:szCs w:val="24"/>
        </w:rPr>
      </w:pPr>
      <w:r>
        <w:rPr>
          <w:color w:val="000000"/>
          <w:sz w:val="24"/>
          <w:szCs w:val="24"/>
        </w:rPr>
        <w:t xml:space="preserve">6、基金管理人业务资格批件、营业执照； </w:t>
      </w:r>
    </w:p>
    <w:p>
      <w:pPr>
        <w:spacing w:before="29" w:line="288" w:lineRule="auto"/>
        <w:ind w:firstLine="480" w:firstLineChars="200"/>
        <w:rPr>
          <w:color w:val="000000"/>
          <w:sz w:val="24"/>
          <w:szCs w:val="24"/>
        </w:rPr>
      </w:pPr>
      <w:r>
        <w:rPr>
          <w:color w:val="000000"/>
          <w:sz w:val="24"/>
          <w:szCs w:val="24"/>
        </w:rPr>
        <w:t xml:space="preserve">7、基金托管人业务资格批件、营业执照； </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8、报告期内交银施罗德蓝筹混合型证券投资基金在指定报刊上各项公告的原稿。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交银施罗德蓝筹混合型证券投资基金2020年第3季度报告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