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交银施罗德稳健配置混合型证券投资基金</w:t>
      </w:r>
    </w:p>
    <w:p w:rsidR="002279D3" w:rsidRPr="0081286B" w:rsidRDefault="002279D3" w:rsidP="00C15CAC">
      <w:pPr>
        <w:spacing w:before="29" w:line="288" w:lineRule="auto"/>
        <w:jc w:val="center"/>
        <w:rPr>
          <w:b/>
          <w:sz w:val="36"/>
          <w:szCs w:val="36"/>
        </w:rPr>
      </w:pPr>
      <w:r w:rsidRPr="0081286B">
        <w:rPr>
          <w:b/>
          <w:sz w:val="36"/>
          <w:szCs w:val="36"/>
        </w:rPr>
        <w:t>2020</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2020</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二〇二〇年十月二十八日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2D1DEA" w:rsidRDefault="00F74943">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2D1DEA" w:rsidRDefault="00F74943">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2020</w:t>
      </w:r>
      <w:r>
        <w:rPr>
          <w:color w:val="000000"/>
          <w:sz w:val="24"/>
          <w:szCs w:val="24"/>
        </w:rPr>
        <w:t>年</w:t>
      </w:r>
      <w:r>
        <w:rPr>
          <w:color w:val="000000"/>
          <w:sz w:val="24"/>
          <w:szCs w:val="24"/>
        </w:rPr>
        <w:t>10</w:t>
      </w:r>
      <w:r>
        <w:rPr>
          <w:color w:val="000000"/>
          <w:sz w:val="24"/>
          <w:szCs w:val="24"/>
        </w:rPr>
        <w:t>月</w:t>
      </w:r>
      <w:r>
        <w:rPr>
          <w:color w:val="000000"/>
          <w:sz w:val="24"/>
          <w:szCs w:val="24"/>
        </w:rPr>
        <w:t>27</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2D1DEA" w:rsidRDefault="00F74943">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2D1DEA" w:rsidRDefault="00F74943">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2D1DEA" w:rsidRDefault="00F74943">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2020</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交银稳健配置混合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519690</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519690</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519691</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2006</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14</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1,764,160,205.31</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将坚持并不断深化价值投资的基本理念，充分发挥专业研究与管理能力，根据宏观经济周期和市场环境的变化，自上而下灵活配置资产，自下而上精选证券，有效分散风险，谋求实现基金财产的长期稳定增长。</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把握宏观经济和投资市场的变化趋势，根据经济周期理论动态调整投资组合比例，自上而下配置资产，自下而上精选证券，有效分散风险。</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65%×MSCI</w:t>
            </w:r>
            <w:r w:rsidRPr="00414345">
              <w:rPr>
                <w:color w:val="000000"/>
                <w:kern w:val="0"/>
                <w:sz w:val="24"/>
                <w:szCs w:val="24"/>
              </w:rPr>
              <w:t>中国</w:t>
            </w:r>
            <w:r w:rsidRPr="00414345">
              <w:rPr>
                <w:color w:val="000000"/>
                <w:kern w:val="0"/>
                <w:sz w:val="24"/>
                <w:szCs w:val="24"/>
              </w:rPr>
              <w:t>A</w:t>
            </w:r>
            <w:r w:rsidRPr="00414345">
              <w:rPr>
                <w:color w:val="000000"/>
                <w:kern w:val="0"/>
                <w:sz w:val="24"/>
                <w:szCs w:val="24"/>
              </w:rPr>
              <w:t>股指数</w:t>
            </w:r>
            <w:r w:rsidRPr="00414345">
              <w:rPr>
                <w:color w:val="000000"/>
                <w:kern w:val="0"/>
                <w:sz w:val="24"/>
                <w:szCs w:val="24"/>
              </w:rPr>
              <w:t>+35%×</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本基金是一只混合型基金，属于证券投资基金产品中的中等风险品种，本基金的风险与预期收益处于股票型基金和债券型基金之间。</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196F38" w:rsidRPr="00414345" w:rsidTr="00196F38">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(2020</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-2020</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196F38" w:rsidRPr="00414345" w:rsidTr="00196F3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276,284,353.97</w:t>
            </w:r>
          </w:p>
        </w:tc>
      </w:tr>
      <w:tr w:rsidR="00196F38" w:rsidRPr="00414345" w:rsidTr="00196F3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157,351,489.56</w:t>
            </w:r>
          </w:p>
        </w:tc>
      </w:tr>
      <w:tr w:rsidR="00196F38" w:rsidRPr="00414345" w:rsidTr="00196F3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0.0893</w:t>
            </w:r>
          </w:p>
        </w:tc>
      </w:tr>
      <w:tr w:rsidR="00196F38" w:rsidRPr="00414345" w:rsidTr="00196F3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2,757,817,192.69</w:t>
            </w:r>
          </w:p>
        </w:tc>
      </w:tr>
      <w:tr w:rsidR="00196F38" w:rsidRPr="00414345" w:rsidTr="00196F38">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1.5632</w:t>
            </w:r>
          </w:p>
        </w:tc>
      </w:tr>
    </w:tbl>
    <w:p w:rsidR="002D1DEA" w:rsidRDefault="00F74943">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f2"/>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2D1DEA">
        <w:trPr>
          <w:jc w:val="center"/>
        </w:trPr>
        <w:tc>
          <w:tcPr>
            <w:tcW w:w="1701" w:type="dxa"/>
            <w:vAlign w:val="center"/>
          </w:tcPr>
          <w:p w:rsidR="002D1DEA" w:rsidRDefault="00F74943">
            <w:pPr>
              <w:jc w:val="left"/>
            </w:pPr>
            <w:r>
              <w:rPr>
                <w:color w:val="000000"/>
                <w:sz w:val="24"/>
                <w:szCs w:val="24"/>
              </w:rPr>
              <w:t>过去三个月</w:t>
            </w:r>
          </w:p>
        </w:tc>
        <w:tc>
          <w:tcPr>
            <w:tcW w:w="1045" w:type="dxa"/>
            <w:vAlign w:val="center"/>
          </w:tcPr>
          <w:p w:rsidR="002D1DEA" w:rsidRDefault="00F74943">
            <w:pPr>
              <w:jc w:val="center"/>
            </w:pPr>
            <w:r>
              <w:rPr>
                <w:color w:val="000000"/>
                <w:sz w:val="24"/>
                <w:szCs w:val="24"/>
              </w:rPr>
              <w:t>5.72%</w:t>
            </w:r>
          </w:p>
        </w:tc>
        <w:tc>
          <w:tcPr>
            <w:tcW w:w="1344" w:type="dxa"/>
            <w:vAlign w:val="center"/>
          </w:tcPr>
          <w:p w:rsidR="002D1DEA" w:rsidRDefault="00F74943">
            <w:pPr>
              <w:jc w:val="center"/>
            </w:pPr>
            <w:r>
              <w:rPr>
                <w:color w:val="000000"/>
                <w:sz w:val="24"/>
                <w:szCs w:val="24"/>
              </w:rPr>
              <w:t>1.19%</w:t>
            </w:r>
          </w:p>
        </w:tc>
        <w:tc>
          <w:tcPr>
            <w:tcW w:w="1194" w:type="dxa"/>
            <w:vAlign w:val="center"/>
          </w:tcPr>
          <w:p w:rsidR="002D1DEA" w:rsidRDefault="00F74943">
            <w:pPr>
              <w:jc w:val="center"/>
            </w:pPr>
            <w:r>
              <w:rPr>
                <w:color w:val="000000"/>
                <w:sz w:val="24"/>
                <w:szCs w:val="24"/>
              </w:rPr>
              <w:t>5.64%</w:t>
            </w:r>
          </w:p>
        </w:tc>
        <w:tc>
          <w:tcPr>
            <w:tcW w:w="1492" w:type="dxa"/>
            <w:vAlign w:val="center"/>
          </w:tcPr>
          <w:p w:rsidR="002D1DEA" w:rsidRDefault="00F74943">
            <w:pPr>
              <w:jc w:val="center"/>
            </w:pPr>
            <w:r>
              <w:rPr>
                <w:color w:val="000000"/>
                <w:sz w:val="24"/>
                <w:szCs w:val="24"/>
              </w:rPr>
              <w:t>1.05%</w:t>
            </w:r>
          </w:p>
        </w:tc>
        <w:tc>
          <w:tcPr>
            <w:tcW w:w="1194" w:type="dxa"/>
            <w:vAlign w:val="center"/>
          </w:tcPr>
          <w:p w:rsidR="002D1DEA" w:rsidRDefault="00F74943">
            <w:pPr>
              <w:jc w:val="center"/>
            </w:pPr>
            <w:r>
              <w:rPr>
                <w:color w:val="000000"/>
                <w:sz w:val="24"/>
                <w:szCs w:val="24"/>
              </w:rPr>
              <w:t>0.08%</w:t>
            </w:r>
          </w:p>
        </w:tc>
        <w:tc>
          <w:tcPr>
            <w:tcW w:w="898" w:type="dxa"/>
            <w:vAlign w:val="center"/>
          </w:tcPr>
          <w:p w:rsidR="002D1DEA" w:rsidRDefault="00F74943">
            <w:pPr>
              <w:jc w:val="center"/>
            </w:pPr>
            <w:r>
              <w:rPr>
                <w:color w:val="000000"/>
                <w:sz w:val="24"/>
                <w:szCs w:val="24"/>
              </w:rPr>
              <w:t>0.14%</w:t>
            </w:r>
          </w:p>
        </w:tc>
      </w:tr>
      <w:tr w:rsidR="002D1DEA">
        <w:trPr>
          <w:jc w:val="center"/>
        </w:trPr>
        <w:tc>
          <w:tcPr>
            <w:tcW w:w="1701" w:type="dxa"/>
            <w:vAlign w:val="center"/>
          </w:tcPr>
          <w:p w:rsidR="002D1DEA" w:rsidRDefault="00F74943">
            <w:pPr>
              <w:jc w:val="left"/>
            </w:pPr>
            <w:r>
              <w:rPr>
                <w:color w:val="000000"/>
                <w:sz w:val="24"/>
                <w:szCs w:val="24"/>
              </w:rPr>
              <w:t>过去六个月</w:t>
            </w:r>
          </w:p>
        </w:tc>
        <w:tc>
          <w:tcPr>
            <w:tcW w:w="1045" w:type="dxa"/>
            <w:vAlign w:val="center"/>
          </w:tcPr>
          <w:p w:rsidR="002D1DEA" w:rsidRDefault="00F74943">
            <w:pPr>
              <w:jc w:val="center"/>
            </w:pPr>
            <w:r>
              <w:rPr>
                <w:color w:val="000000"/>
                <w:sz w:val="24"/>
                <w:szCs w:val="24"/>
              </w:rPr>
              <w:t>19.29%</w:t>
            </w:r>
          </w:p>
        </w:tc>
        <w:tc>
          <w:tcPr>
            <w:tcW w:w="1344" w:type="dxa"/>
            <w:vAlign w:val="center"/>
          </w:tcPr>
          <w:p w:rsidR="002D1DEA" w:rsidRDefault="00F74943">
            <w:pPr>
              <w:jc w:val="center"/>
            </w:pPr>
            <w:r>
              <w:rPr>
                <w:color w:val="000000"/>
                <w:sz w:val="24"/>
                <w:szCs w:val="24"/>
              </w:rPr>
              <w:t>1.06%</w:t>
            </w:r>
          </w:p>
        </w:tc>
        <w:tc>
          <w:tcPr>
            <w:tcW w:w="1194" w:type="dxa"/>
            <w:vAlign w:val="center"/>
          </w:tcPr>
          <w:p w:rsidR="002D1DEA" w:rsidRDefault="00F74943">
            <w:pPr>
              <w:jc w:val="center"/>
            </w:pPr>
            <w:r>
              <w:rPr>
                <w:color w:val="000000"/>
                <w:sz w:val="24"/>
                <w:szCs w:val="24"/>
              </w:rPr>
              <w:t>15.47%</w:t>
            </w:r>
          </w:p>
        </w:tc>
        <w:tc>
          <w:tcPr>
            <w:tcW w:w="1492" w:type="dxa"/>
            <w:vAlign w:val="center"/>
          </w:tcPr>
          <w:p w:rsidR="002D1DEA" w:rsidRDefault="00F74943">
            <w:pPr>
              <w:jc w:val="center"/>
            </w:pPr>
            <w:r>
              <w:rPr>
                <w:color w:val="000000"/>
                <w:sz w:val="24"/>
                <w:szCs w:val="24"/>
              </w:rPr>
              <w:t>0.87%</w:t>
            </w:r>
          </w:p>
        </w:tc>
        <w:tc>
          <w:tcPr>
            <w:tcW w:w="1194" w:type="dxa"/>
            <w:vAlign w:val="center"/>
          </w:tcPr>
          <w:p w:rsidR="002D1DEA" w:rsidRDefault="00F74943">
            <w:pPr>
              <w:jc w:val="center"/>
            </w:pPr>
            <w:r>
              <w:rPr>
                <w:color w:val="000000"/>
                <w:sz w:val="24"/>
                <w:szCs w:val="24"/>
              </w:rPr>
              <w:t>3.82%</w:t>
            </w:r>
          </w:p>
        </w:tc>
        <w:tc>
          <w:tcPr>
            <w:tcW w:w="898" w:type="dxa"/>
            <w:vAlign w:val="center"/>
          </w:tcPr>
          <w:p w:rsidR="002D1DEA" w:rsidRDefault="00F74943">
            <w:pPr>
              <w:jc w:val="center"/>
            </w:pPr>
            <w:r>
              <w:rPr>
                <w:color w:val="000000"/>
                <w:sz w:val="24"/>
                <w:szCs w:val="24"/>
              </w:rPr>
              <w:t>0.19%</w:t>
            </w:r>
          </w:p>
        </w:tc>
      </w:tr>
      <w:tr w:rsidR="002D1DEA">
        <w:trPr>
          <w:jc w:val="center"/>
        </w:trPr>
        <w:tc>
          <w:tcPr>
            <w:tcW w:w="1701" w:type="dxa"/>
            <w:vAlign w:val="center"/>
          </w:tcPr>
          <w:p w:rsidR="002D1DEA" w:rsidRDefault="00F74943">
            <w:pPr>
              <w:jc w:val="left"/>
            </w:pPr>
            <w:r>
              <w:rPr>
                <w:color w:val="000000"/>
                <w:sz w:val="24"/>
                <w:szCs w:val="24"/>
              </w:rPr>
              <w:t>过去一年</w:t>
            </w:r>
          </w:p>
        </w:tc>
        <w:tc>
          <w:tcPr>
            <w:tcW w:w="1045" w:type="dxa"/>
            <w:vAlign w:val="center"/>
          </w:tcPr>
          <w:p w:rsidR="002D1DEA" w:rsidRDefault="00F74943">
            <w:pPr>
              <w:jc w:val="center"/>
            </w:pPr>
            <w:r>
              <w:rPr>
                <w:color w:val="000000"/>
                <w:sz w:val="24"/>
                <w:szCs w:val="24"/>
              </w:rPr>
              <w:t>32.27%</w:t>
            </w:r>
          </w:p>
        </w:tc>
        <w:tc>
          <w:tcPr>
            <w:tcW w:w="1344" w:type="dxa"/>
            <w:vAlign w:val="center"/>
          </w:tcPr>
          <w:p w:rsidR="002D1DEA" w:rsidRDefault="00F74943">
            <w:pPr>
              <w:jc w:val="center"/>
            </w:pPr>
            <w:r>
              <w:rPr>
                <w:color w:val="000000"/>
                <w:sz w:val="24"/>
                <w:szCs w:val="24"/>
              </w:rPr>
              <w:t>1.29%</w:t>
            </w:r>
          </w:p>
        </w:tc>
        <w:tc>
          <w:tcPr>
            <w:tcW w:w="1194" w:type="dxa"/>
            <w:vAlign w:val="center"/>
          </w:tcPr>
          <w:p w:rsidR="002D1DEA" w:rsidRDefault="00F74943">
            <w:pPr>
              <w:jc w:val="center"/>
            </w:pPr>
            <w:r>
              <w:rPr>
                <w:color w:val="000000"/>
                <w:sz w:val="24"/>
                <w:szCs w:val="24"/>
              </w:rPr>
              <w:t>16.59%</w:t>
            </w:r>
          </w:p>
        </w:tc>
        <w:tc>
          <w:tcPr>
            <w:tcW w:w="1492" w:type="dxa"/>
            <w:vAlign w:val="center"/>
          </w:tcPr>
          <w:p w:rsidR="002D1DEA" w:rsidRDefault="00F74943">
            <w:pPr>
              <w:jc w:val="center"/>
            </w:pPr>
            <w:r>
              <w:rPr>
                <w:color w:val="000000"/>
                <w:sz w:val="24"/>
                <w:szCs w:val="24"/>
              </w:rPr>
              <w:t>0.92%</w:t>
            </w:r>
          </w:p>
        </w:tc>
        <w:tc>
          <w:tcPr>
            <w:tcW w:w="1194" w:type="dxa"/>
            <w:vAlign w:val="center"/>
          </w:tcPr>
          <w:p w:rsidR="002D1DEA" w:rsidRDefault="00F74943">
            <w:pPr>
              <w:jc w:val="center"/>
            </w:pPr>
            <w:r>
              <w:rPr>
                <w:color w:val="000000"/>
                <w:sz w:val="24"/>
                <w:szCs w:val="24"/>
              </w:rPr>
              <w:t>15.68%</w:t>
            </w:r>
          </w:p>
        </w:tc>
        <w:tc>
          <w:tcPr>
            <w:tcW w:w="898" w:type="dxa"/>
            <w:vAlign w:val="center"/>
          </w:tcPr>
          <w:p w:rsidR="002D1DEA" w:rsidRDefault="00F74943">
            <w:pPr>
              <w:jc w:val="center"/>
            </w:pPr>
            <w:r>
              <w:rPr>
                <w:color w:val="000000"/>
                <w:sz w:val="24"/>
                <w:szCs w:val="24"/>
              </w:rPr>
              <w:t>0.37%</w:t>
            </w:r>
          </w:p>
        </w:tc>
      </w:tr>
      <w:tr w:rsidR="002D1DEA">
        <w:trPr>
          <w:jc w:val="center"/>
        </w:trPr>
        <w:tc>
          <w:tcPr>
            <w:tcW w:w="1701" w:type="dxa"/>
            <w:vAlign w:val="center"/>
          </w:tcPr>
          <w:p w:rsidR="002D1DEA" w:rsidRDefault="00F74943">
            <w:pPr>
              <w:jc w:val="left"/>
            </w:pPr>
            <w:r>
              <w:rPr>
                <w:color w:val="000000"/>
                <w:sz w:val="24"/>
                <w:szCs w:val="24"/>
              </w:rPr>
              <w:t>过去三年</w:t>
            </w:r>
          </w:p>
        </w:tc>
        <w:tc>
          <w:tcPr>
            <w:tcW w:w="1045" w:type="dxa"/>
            <w:vAlign w:val="center"/>
          </w:tcPr>
          <w:p w:rsidR="002D1DEA" w:rsidRDefault="00F74943">
            <w:pPr>
              <w:jc w:val="center"/>
            </w:pPr>
            <w:r>
              <w:rPr>
                <w:color w:val="000000"/>
                <w:sz w:val="24"/>
                <w:szCs w:val="24"/>
              </w:rPr>
              <w:t>32.72%</w:t>
            </w:r>
          </w:p>
        </w:tc>
        <w:tc>
          <w:tcPr>
            <w:tcW w:w="1344" w:type="dxa"/>
            <w:vAlign w:val="center"/>
          </w:tcPr>
          <w:p w:rsidR="002D1DEA" w:rsidRDefault="00F74943">
            <w:pPr>
              <w:jc w:val="center"/>
            </w:pPr>
            <w:r>
              <w:rPr>
                <w:color w:val="000000"/>
                <w:sz w:val="24"/>
                <w:szCs w:val="24"/>
              </w:rPr>
              <w:t>1.28%</w:t>
            </w:r>
          </w:p>
        </w:tc>
        <w:tc>
          <w:tcPr>
            <w:tcW w:w="1194" w:type="dxa"/>
            <w:vAlign w:val="center"/>
          </w:tcPr>
          <w:p w:rsidR="002D1DEA" w:rsidRDefault="00F74943">
            <w:pPr>
              <w:jc w:val="center"/>
            </w:pPr>
            <w:r>
              <w:rPr>
                <w:color w:val="000000"/>
                <w:sz w:val="24"/>
                <w:szCs w:val="24"/>
              </w:rPr>
              <w:t>12.38%</w:t>
            </w:r>
          </w:p>
        </w:tc>
        <w:tc>
          <w:tcPr>
            <w:tcW w:w="1492" w:type="dxa"/>
            <w:vAlign w:val="center"/>
          </w:tcPr>
          <w:p w:rsidR="002D1DEA" w:rsidRDefault="00F74943">
            <w:pPr>
              <w:jc w:val="center"/>
            </w:pPr>
            <w:r>
              <w:rPr>
                <w:color w:val="000000"/>
                <w:sz w:val="24"/>
                <w:szCs w:val="24"/>
              </w:rPr>
              <w:t>0.88%</w:t>
            </w:r>
          </w:p>
        </w:tc>
        <w:tc>
          <w:tcPr>
            <w:tcW w:w="1194" w:type="dxa"/>
            <w:vAlign w:val="center"/>
          </w:tcPr>
          <w:p w:rsidR="002D1DEA" w:rsidRDefault="00F74943">
            <w:pPr>
              <w:jc w:val="center"/>
            </w:pPr>
            <w:r>
              <w:rPr>
                <w:color w:val="000000"/>
                <w:sz w:val="24"/>
                <w:szCs w:val="24"/>
              </w:rPr>
              <w:t>20.34%</w:t>
            </w:r>
          </w:p>
        </w:tc>
        <w:tc>
          <w:tcPr>
            <w:tcW w:w="898" w:type="dxa"/>
            <w:vAlign w:val="center"/>
          </w:tcPr>
          <w:p w:rsidR="002D1DEA" w:rsidRDefault="00F74943">
            <w:pPr>
              <w:jc w:val="center"/>
            </w:pPr>
            <w:r>
              <w:rPr>
                <w:color w:val="000000"/>
                <w:sz w:val="24"/>
                <w:szCs w:val="24"/>
              </w:rPr>
              <w:t>0.40%</w:t>
            </w:r>
          </w:p>
        </w:tc>
      </w:tr>
      <w:tr w:rsidR="002D1DEA">
        <w:trPr>
          <w:jc w:val="center"/>
        </w:trPr>
        <w:tc>
          <w:tcPr>
            <w:tcW w:w="1701" w:type="dxa"/>
            <w:vAlign w:val="center"/>
          </w:tcPr>
          <w:p w:rsidR="002D1DEA" w:rsidRDefault="00F74943">
            <w:pPr>
              <w:jc w:val="left"/>
            </w:pPr>
            <w:r>
              <w:rPr>
                <w:color w:val="000000"/>
                <w:sz w:val="24"/>
                <w:szCs w:val="24"/>
              </w:rPr>
              <w:t>过去五年</w:t>
            </w:r>
          </w:p>
        </w:tc>
        <w:tc>
          <w:tcPr>
            <w:tcW w:w="1045" w:type="dxa"/>
            <w:vAlign w:val="center"/>
          </w:tcPr>
          <w:p w:rsidR="002D1DEA" w:rsidRDefault="00F74943">
            <w:pPr>
              <w:jc w:val="center"/>
            </w:pPr>
            <w:r>
              <w:rPr>
                <w:color w:val="000000"/>
                <w:sz w:val="24"/>
                <w:szCs w:val="24"/>
              </w:rPr>
              <w:t>85.39%</w:t>
            </w:r>
          </w:p>
        </w:tc>
        <w:tc>
          <w:tcPr>
            <w:tcW w:w="1344" w:type="dxa"/>
            <w:vAlign w:val="center"/>
          </w:tcPr>
          <w:p w:rsidR="002D1DEA" w:rsidRDefault="00F74943">
            <w:pPr>
              <w:jc w:val="center"/>
            </w:pPr>
            <w:r>
              <w:rPr>
                <w:color w:val="000000"/>
                <w:sz w:val="24"/>
                <w:szCs w:val="24"/>
              </w:rPr>
              <w:t>1.24%</w:t>
            </w:r>
          </w:p>
        </w:tc>
        <w:tc>
          <w:tcPr>
            <w:tcW w:w="1194" w:type="dxa"/>
            <w:vAlign w:val="center"/>
          </w:tcPr>
          <w:p w:rsidR="002D1DEA" w:rsidRDefault="00F74943">
            <w:pPr>
              <w:jc w:val="center"/>
            </w:pPr>
            <w:r>
              <w:rPr>
                <w:color w:val="000000"/>
                <w:sz w:val="24"/>
                <w:szCs w:val="24"/>
              </w:rPr>
              <w:t>24.40%</w:t>
            </w:r>
          </w:p>
        </w:tc>
        <w:tc>
          <w:tcPr>
            <w:tcW w:w="1492" w:type="dxa"/>
            <w:vAlign w:val="center"/>
          </w:tcPr>
          <w:p w:rsidR="002D1DEA" w:rsidRDefault="00F74943">
            <w:pPr>
              <w:jc w:val="center"/>
            </w:pPr>
            <w:r>
              <w:rPr>
                <w:color w:val="000000"/>
                <w:sz w:val="24"/>
                <w:szCs w:val="24"/>
              </w:rPr>
              <w:t>0.86%</w:t>
            </w:r>
          </w:p>
        </w:tc>
        <w:tc>
          <w:tcPr>
            <w:tcW w:w="1194" w:type="dxa"/>
            <w:vAlign w:val="center"/>
          </w:tcPr>
          <w:p w:rsidR="002D1DEA" w:rsidRDefault="00F74943">
            <w:pPr>
              <w:jc w:val="center"/>
            </w:pPr>
            <w:r>
              <w:rPr>
                <w:color w:val="000000"/>
                <w:sz w:val="24"/>
                <w:szCs w:val="24"/>
              </w:rPr>
              <w:t>60.99%</w:t>
            </w:r>
          </w:p>
        </w:tc>
        <w:tc>
          <w:tcPr>
            <w:tcW w:w="898" w:type="dxa"/>
            <w:vAlign w:val="center"/>
          </w:tcPr>
          <w:p w:rsidR="002D1DEA" w:rsidRDefault="00F74943">
            <w:pPr>
              <w:jc w:val="center"/>
            </w:pPr>
            <w:r>
              <w:rPr>
                <w:color w:val="000000"/>
                <w:sz w:val="24"/>
                <w:szCs w:val="24"/>
              </w:rPr>
              <w:t>0.38%</w:t>
            </w:r>
          </w:p>
        </w:tc>
      </w:tr>
      <w:tr w:rsidR="002D1DEA">
        <w:trPr>
          <w:jc w:val="center"/>
        </w:trPr>
        <w:tc>
          <w:tcPr>
            <w:tcW w:w="1701" w:type="dxa"/>
            <w:vAlign w:val="center"/>
          </w:tcPr>
          <w:p w:rsidR="002D1DEA" w:rsidRDefault="00F74943">
            <w:pPr>
              <w:jc w:val="left"/>
            </w:pPr>
            <w:r>
              <w:rPr>
                <w:color w:val="000000"/>
                <w:sz w:val="24"/>
                <w:szCs w:val="24"/>
              </w:rPr>
              <w:t>自基金合同生效至今</w:t>
            </w:r>
          </w:p>
        </w:tc>
        <w:tc>
          <w:tcPr>
            <w:tcW w:w="1045" w:type="dxa"/>
            <w:vAlign w:val="center"/>
          </w:tcPr>
          <w:p w:rsidR="002D1DEA" w:rsidRDefault="00F74943">
            <w:pPr>
              <w:jc w:val="center"/>
            </w:pPr>
            <w:r>
              <w:rPr>
                <w:color w:val="000000"/>
                <w:sz w:val="24"/>
                <w:szCs w:val="24"/>
              </w:rPr>
              <w:t>679.95%</w:t>
            </w:r>
          </w:p>
        </w:tc>
        <w:tc>
          <w:tcPr>
            <w:tcW w:w="1344" w:type="dxa"/>
            <w:vAlign w:val="center"/>
          </w:tcPr>
          <w:p w:rsidR="002D1DEA" w:rsidRDefault="00F74943">
            <w:pPr>
              <w:jc w:val="center"/>
            </w:pPr>
            <w:r>
              <w:rPr>
                <w:color w:val="000000"/>
                <w:sz w:val="24"/>
                <w:szCs w:val="24"/>
              </w:rPr>
              <w:t>1.54%</w:t>
            </w:r>
          </w:p>
        </w:tc>
        <w:tc>
          <w:tcPr>
            <w:tcW w:w="1194" w:type="dxa"/>
            <w:vAlign w:val="center"/>
          </w:tcPr>
          <w:p w:rsidR="002D1DEA" w:rsidRDefault="00F74943">
            <w:pPr>
              <w:jc w:val="center"/>
            </w:pPr>
            <w:r>
              <w:rPr>
                <w:color w:val="000000"/>
                <w:sz w:val="24"/>
                <w:szCs w:val="24"/>
              </w:rPr>
              <w:t>190.39%</w:t>
            </w:r>
          </w:p>
        </w:tc>
        <w:tc>
          <w:tcPr>
            <w:tcW w:w="1492" w:type="dxa"/>
            <w:vAlign w:val="center"/>
          </w:tcPr>
          <w:p w:rsidR="002D1DEA" w:rsidRDefault="00F74943">
            <w:pPr>
              <w:jc w:val="center"/>
            </w:pPr>
            <w:r>
              <w:rPr>
                <w:color w:val="000000"/>
                <w:sz w:val="24"/>
                <w:szCs w:val="24"/>
              </w:rPr>
              <w:t>1.13%</w:t>
            </w:r>
          </w:p>
        </w:tc>
        <w:tc>
          <w:tcPr>
            <w:tcW w:w="1194" w:type="dxa"/>
            <w:vAlign w:val="center"/>
          </w:tcPr>
          <w:p w:rsidR="002D1DEA" w:rsidRDefault="00F74943">
            <w:pPr>
              <w:jc w:val="center"/>
            </w:pPr>
            <w:r>
              <w:rPr>
                <w:color w:val="000000"/>
                <w:sz w:val="24"/>
                <w:szCs w:val="24"/>
              </w:rPr>
              <w:t>489.56%</w:t>
            </w:r>
          </w:p>
        </w:tc>
        <w:tc>
          <w:tcPr>
            <w:tcW w:w="898" w:type="dxa"/>
            <w:vAlign w:val="center"/>
          </w:tcPr>
          <w:p w:rsidR="002D1DEA" w:rsidRDefault="00F74943">
            <w:pPr>
              <w:jc w:val="center"/>
            </w:pPr>
            <w:r>
              <w:rPr>
                <w:color w:val="000000"/>
                <w:sz w:val="24"/>
                <w:szCs w:val="24"/>
              </w:rPr>
              <w:t>0.41%</w:t>
            </w:r>
          </w:p>
        </w:tc>
      </w:tr>
    </w:tbl>
    <w:p w:rsidR="002D1DEA" w:rsidRDefault="00F74943">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、本基金业绩比较基准自</w:t>
      </w:r>
      <w:r>
        <w:rPr>
          <w:color w:val="000000"/>
          <w:sz w:val="24"/>
          <w:szCs w:val="24"/>
        </w:rPr>
        <w:t>2013</w:t>
      </w:r>
      <w:r>
        <w:rPr>
          <w:color w:val="000000"/>
          <w:sz w:val="24"/>
          <w:szCs w:val="24"/>
        </w:rPr>
        <w:t>年</w:t>
      </w:r>
      <w:r>
        <w:rPr>
          <w:color w:val="000000"/>
          <w:sz w:val="24"/>
          <w:szCs w:val="24"/>
        </w:rPr>
        <w:t>7</w:t>
      </w:r>
      <w:r>
        <w:rPr>
          <w:color w:val="000000"/>
          <w:sz w:val="24"/>
          <w:szCs w:val="24"/>
        </w:rPr>
        <w:t>月</w:t>
      </w:r>
      <w:r>
        <w:rPr>
          <w:color w:val="000000"/>
          <w:sz w:val="24"/>
          <w:szCs w:val="24"/>
        </w:rPr>
        <w:t>1</w:t>
      </w:r>
      <w:r>
        <w:rPr>
          <w:color w:val="000000"/>
          <w:sz w:val="24"/>
          <w:szCs w:val="24"/>
        </w:rPr>
        <w:t>日起，由</w:t>
      </w:r>
      <w:r>
        <w:rPr>
          <w:color w:val="000000"/>
          <w:sz w:val="24"/>
          <w:szCs w:val="24"/>
        </w:rPr>
        <w:t>“65%×MSCI</w:t>
      </w:r>
      <w:r>
        <w:rPr>
          <w:color w:val="000000"/>
          <w:sz w:val="24"/>
          <w:szCs w:val="24"/>
        </w:rPr>
        <w:t>中国</w:t>
      </w:r>
      <w:r>
        <w:rPr>
          <w:color w:val="000000"/>
          <w:sz w:val="24"/>
          <w:szCs w:val="24"/>
        </w:rPr>
        <w:t>A</w:t>
      </w:r>
      <w:r>
        <w:rPr>
          <w:color w:val="000000"/>
          <w:sz w:val="24"/>
          <w:szCs w:val="24"/>
        </w:rPr>
        <w:t>股指数</w:t>
      </w:r>
      <w:r>
        <w:rPr>
          <w:color w:val="000000"/>
          <w:sz w:val="24"/>
          <w:szCs w:val="24"/>
        </w:rPr>
        <w:t>+35%×</w:t>
      </w:r>
      <w:r>
        <w:rPr>
          <w:color w:val="000000"/>
          <w:sz w:val="24"/>
          <w:szCs w:val="24"/>
        </w:rPr>
        <w:t>新华巴克莱资本中国全债指数</w:t>
      </w:r>
      <w:r>
        <w:rPr>
          <w:color w:val="000000"/>
          <w:sz w:val="24"/>
          <w:szCs w:val="24"/>
        </w:rPr>
        <w:t>”</w:t>
      </w:r>
      <w:r>
        <w:rPr>
          <w:color w:val="000000"/>
          <w:sz w:val="24"/>
          <w:szCs w:val="24"/>
        </w:rPr>
        <w:t>变更为</w:t>
      </w:r>
      <w:r>
        <w:rPr>
          <w:color w:val="000000"/>
          <w:sz w:val="24"/>
          <w:szCs w:val="24"/>
        </w:rPr>
        <w:t>“65%×MSCI</w:t>
      </w:r>
      <w:r>
        <w:rPr>
          <w:color w:val="000000"/>
          <w:sz w:val="24"/>
          <w:szCs w:val="24"/>
        </w:rPr>
        <w:t>中国</w:t>
      </w:r>
      <w:r>
        <w:rPr>
          <w:color w:val="000000"/>
          <w:sz w:val="24"/>
          <w:szCs w:val="24"/>
        </w:rPr>
        <w:t>A</w:t>
      </w:r>
      <w:r>
        <w:rPr>
          <w:color w:val="000000"/>
          <w:sz w:val="24"/>
          <w:szCs w:val="24"/>
        </w:rPr>
        <w:t>股指数</w:t>
      </w:r>
      <w:r>
        <w:rPr>
          <w:color w:val="000000"/>
          <w:sz w:val="24"/>
          <w:szCs w:val="24"/>
        </w:rPr>
        <w:t>+35%×</w:t>
      </w:r>
      <w:r>
        <w:rPr>
          <w:color w:val="000000"/>
          <w:sz w:val="24"/>
          <w:szCs w:val="24"/>
        </w:rPr>
        <w:t>中信标普全债指</w:t>
      </w:r>
      <w:r>
        <w:rPr>
          <w:color w:val="000000"/>
          <w:sz w:val="24"/>
          <w:szCs w:val="24"/>
        </w:rPr>
        <w:lastRenderedPageBreak/>
        <w:t>数</w:t>
      </w:r>
      <w:r>
        <w:rPr>
          <w:color w:val="000000"/>
          <w:sz w:val="24"/>
          <w:szCs w:val="24"/>
        </w:rPr>
        <w:t>”</w:t>
      </w:r>
      <w:r>
        <w:rPr>
          <w:color w:val="000000"/>
          <w:sz w:val="24"/>
          <w:szCs w:val="24"/>
        </w:rPr>
        <w:t>，</w:t>
      </w:r>
      <w:r>
        <w:rPr>
          <w:color w:val="000000"/>
          <w:sz w:val="24"/>
          <w:szCs w:val="24"/>
        </w:rPr>
        <w:t>3.2.2</w:t>
      </w:r>
      <w:r>
        <w:rPr>
          <w:color w:val="000000"/>
          <w:sz w:val="24"/>
          <w:szCs w:val="24"/>
        </w:rPr>
        <w:t>同。详情见本基金管理人于</w:t>
      </w:r>
      <w:r>
        <w:rPr>
          <w:color w:val="000000"/>
          <w:sz w:val="24"/>
          <w:szCs w:val="24"/>
        </w:rPr>
        <w:t>2013</w:t>
      </w:r>
      <w:r>
        <w:rPr>
          <w:color w:val="000000"/>
          <w:sz w:val="24"/>
          <w:szCs w:val="24"/>
        </w:rPr>
        <w:t>年</w:t>
      </w:r>
      <w:r>
        <w:rPr>
          <w:color w:val="000000"/>
          <w:sz w:val="24"/>
          <w:szCs w:val="24"/>
        </w:rPr>
        <w:t>6</w:t>
      </w:r>
      <w:r>
        <w:rPr>
          <w:color w:val="000000"/>
          <w:sz w:val="24"/>
          <w:szCs w:val="24"/>
        </w:rPr>
        <w:t>月</w:t>
      </w:r>
      <w:r>
        <w:rPr>
          <w:color w:val="000000"/>
          <w:sz w:val="24"/>
          <w:szCs w:val="24"/>
        </w:rPr>
        <w:t>26</w:t>
      </w:r>
      <w:r>
        <w:rPr>
          <w:color w:val="000000"/>
          <w:sz w:val="24"/>
          <w:szCs w:val="24"/>
        </w:rPr>
        <w:t>日发布的《交银施罗德基金管理有限公司关于变更交银施罗德稳健配置混合型证券投资基金业绩比较基准并修改基金合同相关内容的公告》。</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“65%×MSCI</w:t>
      </w:r>
      <w:r w:rsidRPr="00414345">
        <w:rPr>
          <w:color w:val="000000"/>
          <w:sz w:val="24"/>
          <w:szCs w:val="24"/>
        </w:rPr>
        <w:t>中国</w:t>
      </w:r>
      <w:r w:rsidRPr="00414345">
        <w:rPr>
          <w:color w:val="000000"/>
          <w:sz w:val="24"/>
          <w:szCs w:val="24"/>
        </w:rPr>
        <w:t>A</w:t>
      </w:r>
      <w:r w:rsidRPr="00414345">
        <w:rPr>
          <w:color w:val="000000"/>
          <w:sz w:val="24"/>
          <w:szCs w:val="24"/>
        </w:rPr>
        <w:t>股指数</w:t>
      </w:r>
      <w:r w:rsidRPr="00414345">
        <w:rPr>
          <w:color w:val="000000"/>
          <w:sz w:val="24"/>
          <w:szCs w:val="24"/>
        </w:rPr>
        <w:t>+35%×</w:t>
      </w:r>
      <w:r w:rsidRPr="00414345">
        <w:rPr>
          <w:color w:val="000000"/>
          <w:sz w:val="24"/>
          <w:szCs w:val="24"/>
        </w:rPr>
        <w:t>中信标普全债指数</w:t>
      </w:r>
      <w:r w:rsidRPr="00414345">
        <w:rPr>
          <w:color w:val="000000"/>
          <w:sz w:val="24"/>
          <w:szCs w:val="24"/>
        </w:rPr>
        <w:t>”</w:t>
      </w:r>
      <w:r w:rsidRPr="00414345">
        <w:rPr>
          <w:color w:val="000000"/>
          <w:sz w:val="24"/>
          <w:szCs w:val="24"/>
        </w:rPr>
        <w:t>变更为</w:t>
      </w:r>
      <w:r w:rsidRPr="00414345">
        <w:rPr>
          <w:color w:val="000000"/>
          <w:sz w:val="24"/>
          <w:szCs w:val="24"/>
        </w:rPr>
        <w:t>“65%×MSCI</w:t>
      </w:r>
      <w:r w:rsidRPr="00414345">
        <w:rPr>
          <w:color w:val="000000"/>
          <w:sz w:val="24"/>
          <w:szCs w:val="24"/>
        </w:rPr>
        <w:t>中国</w:t>
      </w:r>
      <w:r w:rsidRPr="00414345">
        <w:rPr>
          <w:color w:val="000000"/>
          <w:sz w:val="24"/>
          <w:szCs w:val="24"/>
        </w:rPr>
        <w:t>A</w:t>
      </w:r>
      <w:r w:rsidRPr="00414345">
        <w:rPr>
          <w:color w:val="000000"/>
          <w:sz w:val="24"/>
          <w:szCs w:val="24"/>
        </w:rPr>
        <w:t>股指数</w:t>
      </w:r>
      <w:r w:rsidRPr="00414345">
        <w:rPr>
          <w:color w:val="000000"/>
          <w:sz w:val="24"/>
          <w:szCs w:val="24"/>
        </w:rPr>
        <w:t>+35%×</w:t>
      </w:r>
      <w:r w:rsidRPr="00414345">
        <w:rPr>
          <w:color w:val="000000"/>
          <w:sz w:val="24"/>
          <w:szCs w:val="24"/>
        </w:rPr>
        <w:t>中证综合债券指数</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交银施罗德稳健配置混合型证券投资基金</w:t>
      </w:r>
    </w:p>
    <w:p w:rsidR="004061AC" w:rsidRPr="00414345" w:rsidRDefault="00B56F53" w:rsidP="00C15CAC">
      <w:pPr>
        <w:pStyle w:val="a6"/>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6"/>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2006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14</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2020</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6"/>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2D1DEA">
        <w:trPr>
          <w:jc w:val="center"/>
        </w:trPr>
        <w:tc>
          <w:tcPr>
            <w:tcW w:w="846" w:type="dxa"/>
            <w:vAlign w:val="center"/>
          </w:tcPr>
          <w:p w:rsidR="002D1DEA" w:rsidRDefault="00F74943">
            <w:pPr>
              <w:jc w:val="center"/>
            </w:pPr>
            <w:r>
              <w:rPr>
                <w:color w:val="000000"/>
                <w:sz w:val="24"/>
                <w:szCs w:val="24"/>
              </w:rPr>
              <w:lastRenderedPageBreak/>
              <w:t>陈孜铎</w:t>
            </w:r>
          </w:p>
        </w:tc>
        <w:tc>
          <w:tcPr>
            <w:tcW w:w="845" w:type="dxa"/>
            <w:vAlign w:val="center"/>
          </w:tcPr>
          <w:p w:rsidR="002D1DEA" w:rsidRDefault="00F74943">
            <w:pPr>
              <w:jc w:val="center"/>
            </w:pPr>
            <w:r>
              <w:rPr>
                <w:color w:val="000000"/>
                <w:sz w:val="24"/>
                <w:szCs w:val="24"/>
              </w:rPr>
              <w:t>交银稳健配置混合的基金经理，公司研究部助理总经理</w:t>
            </w:r>
          </w:p>
        </w:tc>
        <w:tc>
          <w:tcPr>
            <w:tcW w:w="1549" w:type="dxa"/>
            <w:vAlign w:val="center"/>
          </w:tcPr>
          <w:p w:rsidR="002D1DEA" w:rsidRDefault="00F74943">
            <w:pPr>
              <w:jc w:val="center"/>
            </w:pPr>
            <w:r>
              <w:rPr>
                <w:color w:val="000000"/>
                <w:sz w:val="24"/>
                <w:szCs w:val="24"/>
              </w:rPr>
              <w:t>2018-07-04</w:t>
            </w:r>
          </w:p>
        </w:tc>
        <w:tc>
          <w:tcPr>
            <w:tcW w:w="1548" w:type="dxa"/>
            <w:vAlign w:val="center"/>
          </w:tcPr>
          <w:p w:rsidR="002D1DEA" w:rsidRDefault="00F74943">
            <w:pPr>
              <w:jc w:val="center"/>
            </w:pPr>
            <w:r>
              <w:rPr>
                <w:color w:val="000000"/>
                <w:sz w:val="24"/>
                <w:szCs w:val="24"/>
              </w:rPr>
              <w:t>-</w:t>
            </w:r>
          </w:p>
        </w:tc>
        <w:tc>
          <w:tcPr>
            <w:tcW w:w="1407" w:type="dxa"/>
            <w:vAlign w:val="center"/>
          </w:tcPr>
          <w:p w:rsidR="002D1DEA" w:rsidRDefault="00F74943">
            <w:pPr>
              <w:jc w:val="center"/>
            </w:pPr>
            <w:r>
              <w:rPr>
                <w:color w:val="000000"/>
                <w:sz w:val="24"/>
                <w:szCs w:val="24"/>
              </w:rPr>
              <w:t>12</w:t>
            </w:r>
            <w:r>
              <w:rPr>
                <w:color w:val="000000"/>
                <w:sz w:val="24"/>
                <w:szCs w:val="24"/>
              </w:rPr>
              <w:t>年</w:t>
            </w:r>
          </w:p>
        </w:tc>
        <w:tc>
          <w:tcPr>
            <w:tcW w:w="2673" w:type="dxa"/>
            <w:vAlign w:val="center"/>
          </w:tcPr>
          <w:p w:rsidR="002D1DEA" w:rsidRDefault="00F74943">
            <w:r>
              <w:rPr>
                <w:color w:val="000000"/>
                <w:sz w:val="24"/>
                <w:szCs w:val="24"/>
              </w:rPr>
              <w:t>陈孜铎先生，清华大学材料科学与工程硕士。</w:t>
            </w:r>
            <w:r>
              <w:rPr>
                <w:color w:val="000000"/>
                <w:sz w:val="24"/>
                <w:szCs w:val="24"/>
              </w:rPr>
              <w:t>2008</w:t>
            </w:r>
            <w:r>
              <w:rPr>
                <w:color w:val="000000"/>
                <w:sz w:val="24"/>
                <w:szCs w:val="24"/>
              </w:rPr>
              <w:t>年加入交银施罗德基金管理有限公司，历任行业分析师、高级研究员。</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22</w:t>
            </w:r>
            <w:r>
              <w:rPr>
                <w:color w:val="000000"/>
                <w:sz w:val="24"/>
                <w:szCs w:val="24"/>
              </w:rPr>
              <w:t>日至</w:t>
            </w:r>
            <w:r>
              <w:rPr>
                <w:color w:val="000000"/>
                <w:sz w:val="24"/>
                <w:szCs w:val="24"/>
              </w:rPr>
              <w:t>2019</w:t>
            </w:r>
            <w:r>
              <w:rPr>
                <w:color w:val="000000"/>
                <w:sz w:val="24"/>
                <w:szCs w:val="24"/>
              </w:rPr>
              <w:t>年</w:t>
            </w:r>
            <w:r>
              <w:rPr>
                <w:color w:val="000000"/>
                <w:sz w:val="24"/>
                <w:szCs w:val="24"/>
              </w:rPr>
              <w:t>1</w:t>
            </w:r>
            <w:r>
              <w:rPr>
                <w:color w:val="000000"/>
                <w:sz w:val="24"/>
                <w:szCs w:val="24"/>
              </w:rPr>
              <w:t>月</w:t>
            </w:r>
            <w:r>
              <w:rPr>
                <w:color w:val="000000"/>
                <w:sz w:val="24"/>
                <w:szCs w:val="24"/>
              </w:rPr>
              <w:t>28</w:t>
            </w:r>
            <w:r>
              <w:rPr>
                <w:color w:val="000000"/>
                <w:sz w:val="24"/>
                <w:szCs w:val="24"/>
              </w:rPr>
              <w:t>日担任交银施罗德蓝筹混合型证券投资基金的基金经理。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2D1DEA" w:rsidRDefault="00F74943">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2D1DEA" w:rsidRDefault="00F74943">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2D1DEA" w:rsidRDefault="00F74943">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w:t>
      </w:r>
      <w:r>
        <w:rPr>
          <w:color w:val="000000"/>
          <w:sz w:val="24"/>
          <w:szCs w:val="24"/>
        </w:rPr>
        <w:t>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lastRenderedPageBreak/>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2D1DEA" w:rsidRDefault="00F74943">
      <w:pPr>
        <w:spacing w:before="29" w:line="288" w:lineRule="auto"/>
        <w:ind w:firstLineChars="200" w:firstLine="480"/>
        <w:rPr>
          <w:color w:val="000000"/>
          <w:sz w:val="24"/>
          <w:szCs w:val="24"/>
        </w:rPr>
      </w:pPr>
      <w:r>
        <w:rPr>
          <w:color w:val="000000"/>
          <w:sz w:val="24"/>
          <w:szCs w:val="24"/>
        </w:rPr>
        <w:t>2020</w:t>
      </w:r>
      <w:r>
        <w:rPr>
          <w:color w:val="000000"/>
          <w:sz w:val="24"/>
          <w:szCs w:val="24"/>
        </w:rPr>
        <w:t>年三季度，整个</w:t>
      </w:r>
      <w:r>
        <w:rPr>
          <w:color w:val="000000"/>
          <w:sz w:val="24"/>
          <w:szCs w:val="24"/>
        </w:rPr>
        <w:t>A</w:t>
      </w:r>
      <w:r>
        <w:rPr>
          <w:color w:val="000000"/>
          <w:sz w:val="24"/>
          <w:szCs w:val="24"/>
        </w:rPr>
        <w:t>股市场整体呈明显上行走势后，震荡持稳。随着中国疫情影响逐步减弱，市场对中国经济增速回到潜在水平得以确认，整体</w:t>
      </w:r>
      <w:r>
        <w:rPr>
          <w:color w:val="000000"/>
          <w:sz w:val="24"/>
          <w:szCs w:val="24"/>
        </w:rPr>
        <w:t>A</w:t>
      </w:r>
      <w:r>
        <w:rPr>
          <w:color w:val="000000"/>
          <w:sz w:val="24"/>
          <w:szCs w:val="24"/>
        </w:rPr>
        <w:t>股估值迅速回补，消费类表现尤为明显，而与宏观相关联的传统白马蓝筹估值虽然略有修复，但整体相对水平仍接近历史下缘。</w:t>
      </w:r>
    </w:p>
    <w:p w:rsidR="002D1DEA" w:rsidRDefault="00F74943">
      <w:pPr>
        <w:spacing w:before="29" w:line="288" w:lineRule="auto"/>
        <w:ind w:firstLineChars="200" w:firstLine="480"/>
        <w:rPr>
          <w:color w:val="000000"/>
          <w:sz w:val="24"/>
          <w:szCs w:val="24"/>
        </w:rPr>
      </w:pPr>
      <w:r>
        <w:rPr>
          <w:color w:val="000000"/>
          <w:sz w:val="24"/>
          <w:szCs w:val="24"/>
        </w:rPr>
        <w:t>在市场回暖的过程中，组合继续持有估值相对合理的优质资产，保持了风险偏好较高类资产仓位的配置，整体仓位变动不大，实现了绝对收益，但相对收益水平不佳。</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疫情的持续下由于对全球流动性的预期，整个市场在局部景气领域表现出的资金推动性的估值扩张继续保持，三季度疫情控制较好的中国市场很多行业已看到了基本面的明显修复，但整个市场的估值体系分化依然保持在历史比较大的区域，严重偏离了基本面的中期背景。中国经济的增长在三季度基本恢复到了接近潜在增速的位置，市场流动性的进一步宽松预期难以持续。在这种情况下，未来一年估值对股票价格的影响将小于基本面对股票价格的影响。在这种情况下，我们更需要思考疫情爆发后对整个中国和全球经济格局的中期影响，而对风险偏好在局部区域的持续放大持谨慎态度。在上述基本判断下，我们将更为关心估值的中期合理性以及行业、公司实质性的基本面变化，本基金将努力寻找在相对底部的价值品种，受益于政策导向的品种以及产业潜力及竞争力具备优势的品种进行布局，努力为投资者持续创造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f2"/>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lastRenderedPageBreak/>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2,092,644,379.21</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75.50</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2,092,644,379.21</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75.50</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152,573,461.90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5.50</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152,573,461.90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5.50</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483,216,211.57</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17.43</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43,325,661.52</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1.56</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2,771,759,714.20</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66,150,063.92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2.40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1,057,694,714.19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38.35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13,029.12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28,264.03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49,465.86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78,437,064.76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814,335,312.09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29.53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40,350,000.00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180,995.16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19,046,739.91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0.69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16,313,596.91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0.59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45,133.26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2,092,644,379.21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75.88</w:t>
            </w:r>
          </w:p>
        </w:tc>
      </w:tr>
    </w:tbl>
    <w:p w:rsidR="00196F38" w:rsidRDefault="00196F38"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f2"/>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2D1DEA">
        <w:trPr>
          <w:jc w:val="center"/>
        </w:trPr>
        <w:tc>
          <w:tcPr>
            <w:tcW w:w="855" w:type="dxa"/>
            <w:vAlign w:val="center"/>
          </w:tcPr>
          <w:p w:rsidR="002D1DEA" w:rsidRDefault="00F74943">
            <w:pPr>
              <w:jc w:val="center"/>
            </w:pPr>
            <w:r>
              <w:rPr>
                <w:color w:val="000000"/>
                <w:sz w:val="24"/>
                <w:szCs w:val="24"/>
              </w:rPr>
              <w:t>1</w:t>
            </w:r>
          </w:p>
        </w:tc>
        <w:tc>
          <w:tcPr>
            <w:tcW w:w="1334" w:type="dxa"/>
            <w:vAlign w:val="center"/>
          </w:tcPr>
          <w:p w:rsidR="002D1DEA" w:rsidRDefault="00F74943">
            <w:pPr>
              <w:jc w:val="center"/>
            </w:pPr>
            <w:r>
              <w:rPr>
                <w:color w:val="000000"/>
                <w:sz w:val="24"/>
                <w:szCs w:val="24"/>
              </w:rPr>
              <w:t>000961</w:t>
            </w:r>
          </w:p>
        </w:tc>
        <w:tc>
          <w:tcPr>
            <w:tcW w:w="1777" w:type="dxa"/>
            <w:vAlign w:val="center"/>
          </w:tcPr>
          <w:p w:rsidR="002D1DEA" w:rsidRDefault="00F74943">
            <w:pPr>
              <w:jc w:val="center"/>
            </w:pPr>
            <w:r>
              <w:rPr>
                <w:color w:val="000000"/>
                <w:sz w:val="24"/>
                <w:szCs w:val="24"/>
              </w:rPr>
              <w:t>中南建设</w:t>
            </w:r>
          </w:p>
        </w:tc>
        <w:tc>
          <w:tcPr>
            <w:tcW w:w="1334" w:type="dxa"/>
            <w:vAlign w:val="center"/>
          </w:tcPr>
          <w:p w:rsidR="002D1DEA" w:rsidRDefault="00F74943">
            <w:pPr>
              <w:jc w:val="right"/>
            </w:pPr>
            <w:r>
              <w:rPr>
                <w:color w:val="000000"/>
                <w:sz w:val="24"/>
                <w:szCs w:val="24"/>
              </w:rPr>
              <w:t>27,006,173</w:t>
            </w:r>
          </w:p>
        </w:tc>
        <w:tc>
          <w:tcPr>
            <w:tcW w:w="1924" w:type="dxa"/>
            <w:vAlign w:val="center"/>
          </w:tcPr>
          <w:p w:rsidR="002D1DEA" w:rsidRDefault="00F74943">
            <w:pPr>
              <w:jc w:val="right"/>
            </w:pPr>
            <w:r>
              <w:rPr>
                <w:color w:val="000000"/>
                <w:sz w:val="24"/>
                <w:szCs w:val="24"/>
              </w:rPr>
              <w:t>247,646,606.41</w:t>
            </w:r>
          </w:p>
        </w:tc>
        <w:tc>
          <w:tcPr>
            <w:tcW w:w="1644" w:type="dxa"/>
            <w:vAlign w:val="center"/>
          </w:tcPr>
          <w:p w:rsidR="002D1DEA" w:rsidRDefault="00F74943">
            <w:pPr>
              <w:jc w:val="right"/>
            </w:pPr>
            <w:r>
              <w:rPr>
                <w:color w:val="000000"/>
                <w:sz w:val="24"/>
                <w:szCs w:val="24"/>
              </w:rPr>
              <w:t>8.98</w:t>
            </w:r>
          </w:p>
        </w:tc>
      </w:tr>
      <w:tr w:rsidR="002D1DEA">
        <w:trPr>
          <w:jc w:val="center"/>
        </w:trPr>
        <w:tc>
          <w:tcPr>
            <w:tcW w:w="855" w:type="dxa"/>
            <w:vAlign w:val="center"/>
          </w:tcPr>
          <w:p w:rsidR="002D1DEA" w:rsidRDefault="00F74943">
            <w:pPr>
              <w:jc w:val="center"/>
            </w:pPr>
            <w:r>
              <w:rPr>
                <w:color w:val="000000"/>
                <w:sz w:val="24"/>
                <w:szCs w:val="24"/>
              </w:rPr>
              <w:t>2</w:t>
            </w:r>
          </w:p>
        </w:tc>
        <w:tc>
          <w:tcPr>
            <w:tcW w:w="1334" w:type="dxa"/>
            <w:vAlign w:val="center"/>
          </w:tcPr>
          <w:p w:rsidR="002D1DEA" w:rsidRDefault="00F74943">
            <w:pPr>
              <w:jc w:val="center"/>
            </w:pPr>
            <w:r>
              <w:rPr>
                <w:color w:val="000000"/>
                <w:sz w:val="24"/>
                <w:szCs w:val="24"/>
              </w:rPr>
              <w:t>000651</w:t>
            </w:r>
          </w:p>
        </w:tc>
        <w:tc>
          <w:tcPr>
            <w:tcW w:w="1777" w:type="dxa"/>
            <w:vAlign w:val="center"/>
          </w:tcPr>
          <w:p w:rsidR="002D1DEA" w:rsidRDefault="00F74943">
            <w:pPr>
              <w:jc w:val="center"/>
            </w:pPr>
            <w:r>
              <w:rPr>
                <w:color w:val="000000"/>
                <w:sz w:val="24"/>
                <w:szCs w:val="24"/>
              </w:rPr>
              <w:t>格力电器</w:t>
            </w:r>
          </w:p>
        </w:tc>
        <w:tc>
          <w:tcPr>
            <w:tcW w:w="1334" w:type="dxa"/>
            <w:vAlign w:val="center"/>
          </w:tcPr>
          <w:p w:rsidR="002D1DEA" w:rsidRDefault="00F74943">
            <w:pPr>
              <w:jc w:val="right"/>
            </w:pPr>
            <w:r>
              <w:rPr>
                <w:color w:val="000000"/>
                <w:sz w:val="24"/>
                <w:szCs w:val="24"/>
              </w:rPr>
              <w:t>2,805,736</w:t>
            </w:r>
          </w:p>
        </w:tc>
        <w:tc>
          <w:tcPr>
            <w:tcW w:w="1924" w:type="dxa"/>
            <w:vAlign w:val="center"/>
          </w:tcPr>
          <w:p w:rsidR="002D1DEA" w:rsidRDefault="00F74943">
            <w:pPr>
              <w:jc w:val="right"/>
            </w:pPr>
            <w:r>
              <w:rPr>
                <w:color w:val="000000"/>
                <w:sz w:val="24"/>
                <w:szCs w:val="24"/>
              </w:rPr>
              <w:t>149,545,728.80</w:t>
            </w:r>
          </w:p>
        </w:tc>
        <w:tc>
          <w:tcPr>
            <w:tcW w:w="1644" w:type="dxa"/>
            <w:vAlign w:val="center"/>
          </w:tcPr>
          <w:p w:rsidR="002D1DEA" w:rsidRDefault="00F74943">
            <w:pPr>
              <w:jc w:val="right"/>
            </w:pPr>
            <w:r>
              <w:rPr>
                <w:color w:val="000000"/>
                <w:sz w:val="24"/>
                <w:szCs w:val="24"/>
              </w:rPr>
              <w:t>5.42</w:t>
            </w:r>
          </w:p>
        </w:tc>
      </w:tr>
      <w:tr w:rsidR="002D1DEA">
        <w:trPr>
          <w:jc w:val="center"/>
        </w:trPr>
        <w:tc>
          <w:tcPr>
            <w:tcW w:w="855" w:type="dxa"/>
            <w:vAlign w:val="center"/>
          </w:tcPr>
          <w:p w:rsidR="002D1DEA" w:rsidRDefault="00F74943">
            <w:pPr>
              <w:jc w:val="center"/>
            </w:pPr>
            <w:r>
              <w:rPr>
                <w:color w:val="000000"/>
                <w:sz w:val="24"/>
                <w:szCs w:val="24"/>
              </w:rPr>
              <w:t>3</w:t>
            </w:r>
          </w:p>
        </w:tc>
        <w:tc>
          <w:tcPr>
            <w:tcW w:w="1334" w:type="dxa"/>
            <w:vAlign w:val="center"/>
          </w:tcPr>
          <w:p w:rsidR="002D1DEA" w:rsidRDefault="00F74943">
            <w:pPr>
              <w:jc w:val="center"/>
            </w:pPr>
            <w:r>
              <w:rPr>
                <w:color w:val="000000"/>
                <w:sz w:val="24"/>
                <w:szCs w:val="24"/>
              </w:rPr>
              <w:t>600048</w:t>
            </w:r>
          </w:p>
        </w:tc>
        <w:tc>
          <w:tcPr>
            <w:tcW w:w="1777" w:type="dxa"/>
            <w:vAlign w:val="center"/>
          </w:tcPr>
          <w:p w:rsidR="002D1DEA" w:rsidRDefault="00F74943">
            <w:pPr>
              <w:jc w:val="center"/>
            </w:pPr>
            <w:r>
              <w:rPr>
                <w:color w:val="000000"/>
                <w:sz w:val="24"/>
                <w:szCs w:val="24"/>
              </w:rPr>
              <w:t>保利地产</w:t>
            </w:r>
          </w:p>
        </w:tc>
        <w:tc>
          <w:tcPr>
            <w:tcW w:w="1334" w:type="dxa"/>
            <w:vAlign w:val="center"/>
          </w:tcPr>
          <w:p w:rsidR="002D1DEA" w:rsidRDefault="00F74943">
            <w:pPr>
              <w:jc w:val="right"/>
            </w:pPr>
            <w:r>
              <w:rPr>
                <w:color w:val="000000"/>
                <w:sz w:val="24"/>
                <w:szCs w:val="24"/>
              </w:rPr>
              <w:t>8,999,954</w:t>
            </w:r>
          </w:p>
        </w:tc>
        <w:tc>
          <w:tcPr>
            <w:tcW w:w="1924" w:type="dxa"/>
            <w:vAlign w:val="center"/>
          </w:tcPr>
          <w:p w:rsidR="002D1DEA" w:rsidRDefault="00F74943">
            <w:pPr>
              <w:jc w:val="right"/>
            </w:pPr>
            <w:r>
              <w:rPr>
                <w:color w:val="000000"/>
                <w:sz w:val="24"/>
                <w:szCs w:val="24"/>
              </w:rPr>
              <w:t>143,009,269.06</w:t>
            </w:r>
          </w:p>
        </w:tc>
        <w:tc>
          <w:tcPr>
            <w:tcW w:w="1644" w:type="dxa"/>
            <w:vAlign w:val="center"/>
          </w:tcPr>
          <w:p w:rsidR="002D1DEA" w:rsidRDefault="00F74943">
            <w:pPr>
              <w:jc w:val="right"/>
            </w:pPr>
            <w:r>
              <w:rPr>
                <w:color w:val="000000"/>
                <w:sz w:val="24"/>
                <w:szCs w:val="24"/>
              </w:rPr>
              <w:t>5.19</w:t>
            </w:r>
          </w:p>
        </w:tc>
      </w:tr>
      <w:tr w:rsidR="002D1DEA">
        <w:trPr>
          <w:jc w:val="center"/>
        </w:trPr>
        <w:tc>
          <w:tcPr>
            <w:tcW w:w="855" w:type="dxa"/>
            <w:vAlign w:val="center"/>
          </w:tcPr>
          <w:p w:rsidR="002D1DEA" w:rsidRDefault="00F74943">
            <w:pPr>
              <w:jc w:val="center"/>
            </w:pPr>
            <w:r>
              <w:rPr>
                <w:color w:val="000000"/>
                <w:sz w:val="24"/>
                <w:szCs w:val="24"/>
              </w:rPr>
              <w:t>4</w:t>
            </w:r>
          </w:p>
        </w:tc>
        <w:tc>
          <w:tcPr>
            <w:tcW w:w="1334" w:type="dxa"/>
            <w:vAlign w:val="center"/>
          </w:tcPr>
          <w:p w:rsidR="002D1DEA" w:rsidRDefault="00F74943">
            <w:pPr>
              <w:jc w:val="center"/>
            </w:pPr>
            <w:r>
              <w:rPr>
                <w:color w:val="000000"/>
                <w:sz w:val="24"/>
                <w:szCs w:val="24"/>
              </w:rPr>
              <w:t>000671</w:t>
            </w:r>
          </w:p>
        </w:tc>
        <w:tc>
          <w:tcPr>
            <w:tcW w:w="1777" w:type="dxa"/>
            <w:vAlign w:val="center"/>
          </w:tcPr>
          <w:p w:rsidR="002D1DEA" w:rsidRDefault="00F74943">
            <w:pPr>
              <w:jc w:val="center"/>
            </w:pPr>
            <w:r>
              <w:rPr>
                <w:color w:val="000000"/>
                <w:sz w:val="24"/>
                <w:szCs w:val="24"/>
              </w:rPr>
              <w:t>阳光城</w:t>
            </w:r>
          </w:p>
        </w:tc>
        <w:tc>
          <w:tcPr>
            <w:tcW w:w="1334" w:type="dxa"/>
            <w:vAlign w:val="center"/>
          </w:tcPr>
          <w:p w:rsidR="002D1DEA" w:rsidRDefault="00F74943">
            <w:pPr>
              <w:jc w:val="right"/>
            </w:pPr>
            <w:r>
              <w:rPr>
                <w:color w:val="000000"/>
                <w:sz w:val="24"/>
                <w:szCs w:val="24"/>
              </w:rPr>
              <w:t>19,005,900</w:t>
            </w:r>
          </w:p>
        </w:tc>
        <w:tc>
          <w:tcPr>
            <w:tcW w:w="1924" w:type="dxa"/>
            <w:vAlign w:val="center"/>
          </w:tcPr>
          <w:p w:rsidR="002D1DEA" w:rsidRDefault="00F74943">
            <w:pPr>
              <w:jc w:val="right"/>
            </w:pPr>
            <w:r>
              <w:rPr>
                <w:color w:val="000000"/>
                <w:sz w:val="24"/>
                <w:szCs w:val="24"/>
              </w:rPr>
              <w:t>138,933,129.00</w:t>
            </w:r>
          </w:p>
        </w:tc>
        <w:tc>
          <w:tcPr>
            <w:tcW w:w="1644" w:type="dxa"/>
            <w:vAlign w:val="center"/>
          </w:tcPr>
          <w:p w:rsidR="002D1DEA" w:rsidRDefault="00F74943">
            <w:pPr>
              <w:jc w:val="right"/>
            </w:pPr>
            <w:r>
              <w:rPr>
                <w:color w:val="000000"/>
                <w:sz w:val="24"/>
                <w:szCs w:val="24"/>
              </w:rPr>
              <w:t>5.04</w:t>
            </w:r>
          </w:p>
        </w:tc>
      </w:tr>
      <w:tr w:rsidR="002D1DEA">
        <w:trPr>
          <w:jc w:val="center"/>
        </w:trPr>
        <w:tc>
          <w:tcPr>
            <w:tcW w:w="855" w:type="dxa"/>
            <w:vAlign w:val="center"/>
          </w:tcPr>
          <w:p w:rsidR="002D1DEA" w:rsidRDefault="00F74943">
            <w:pPr>
              <w:jc w:val="center"/>
            </w:pPr>
            <w:r>
              <w:rPr>
                <w:color w:val="000000"/>
                <w:sz w:val="24"/>
                <w:szCs w:val="24"/>
              </w:rPr>
              <w:t>5</w:t>
            </w:r>
          </w:p>
        </w:tc>
        <w:tc>
          <w:tcPr>
            <w:tcW w:w="1334" w:type="dxa"/>
            <w:vAlign w:val="center"/>
          </w:tcPr>
          <w:p w:rsidR="002D1DEA" w:rsidRDefault="00F74943">
            <w:pPr>
              <w:jc w:val="center"/>
            </w:pPr>
            <w:r>
              <w:rPr>
                <w:color w:val="000000"/>
                <w:sz w:val="24"/>
                <w:szCs w:val="24"/>
              </w:rPr>
              <w:t>000656</w:t>
            </w:r>
          </w:p>
        </w:tc>
        <w:tc>
          <w:tcPr>
            <w:tcW w:w="1777" w:type="dxa"/>
            <w:vAlign w:val="center"/>
          </w:tcPr>
          <w:p w:rsidR="002D1DEA" w:rsidRDefault="00F74943">
            <w:pPr>
              <w:jc w:val="center"/>
            </w:pPr>
            <w:r>
              <w:rPr>
                <w:color w:val="000000"/>
                <w:sz w:val="24"/>
                <w:szCs w:val="24"/>
              </w:rPr>
              <w:t>金科股份</w:t>
            </w:r>
          </w:p>
        </w:tc>
        <w:tc>
          <w:tcPr>
            <w:tcW w:w="1334" w:type="dxa"/>
            <w:vAlign w:val="center"/>
          </w:tcPr>
          <w:p w:rsidR="002D1DEA" w:rsidRDefault="00F74943">
            <w:pPr>
              <w:jc w:val="right"/>
            </w:pPr>
            <w:r>
              <w:rPr>
                <w:color w:val="000000"/>
                <w:sz w:val="24"/>
                <w:szCs w:val="24"/>
              </w:rPr>
              <w:t>12,999,930</w:t>
            </w:r>
          </w:p>
        </w:tc>
        <w:tc>
          <w:tcPr>
            <w:tcW w:w="1924" w:type="dxa"/>
            <w:vAlign w:val="center"/>
          </w:tcPr>
          <w:p w:rsidR="002D1DEA" w:rsidRDefault="00F74943">
            <w:pPr>
              <w:jc w:val="right"/>
            </w:pPr>
            <w:r>
              <w:rPr>
                <w:color w:val="000000"/>
                <w:sz w:val="24"/>
                <w:szCs w:val="24"/>
              </w:rPr>
              <w:t>117,649,366.50</w:t>
            </w:r>
          </w:p>
        </w:tc>
        <w:tc>
          <w:tcPr>
            <w:tcW w:w="1644" w:type="dxa"/>
            <w:vAlign w:val="center"/>
          </w:tcPr>
          <w:p w:rsidR="002D1DEA" w:rsidRDefault="00F74943">
            <w:pPr>
              <w:jc w:val="right"/>
            </w:pPr>
            <w:r>
              <w:rPr>
                <w:color w:val="000000"/>
                <w:sz w:val="24"/>
                <w:szCs w:val="24"/>
              </w:rPr>
              <w:t>4.27</w:t>
            </w:r>
          </w:p>
        </w:tc>
      </w:tr>
      <w:tr w:rsidR="002D1DEA">
        <w:trPr>
          <w:jc w:val="center"/>
        </w:trPr>
        <w:tc>
          <w:tcPr>
            <w:tcW w:w="855" w:type="dxa"/>
            <w:vAlign w:val="center"/>
          </w:tcPr>
          <w:p w:rsidR="002D1DEA" w:rsidRDefault="00F74943">
            <w:pPr>
              <w:jc w:val="center"/>
            </w:pPr>
            <w:r>
              <w:rPr>
                <w:color w:val="000000"/>
                <w:sz w:val="24"/>
                <w:szCs w:val="24"/>
              </w:rPr>
              <w:t>6</w:t>
            </w:r>
          </w:p>
        </w:tc>
        <w:tc>
          <w:tcPr>
            <w:tcW w:w="1334" w:type="dxa"/>
            <w:vAlign w:val="center"/>
          </w:tcPr>
          <w:p w:rsidR="002D1DEA" w:rsidRDefault="00F74943">
            <w:pPr>
              <w:jc w:val="center"/>
            </w:pPr>
            <w:r>
              <w:rPr>
                <w:color w:val="000000"/>
                <w:sz w:val="24"/>
                <w:szCs w:val="24"/>
              </w:rPr>
              <w:t>002049</w:t>
            </w:r>
          </w:p>
        </w:tc>
        <w:tc>
          <w:tcPr>
            <w:tcW w:w="1777" w:type="dxa"/>
            <w:vAlign w:val="center"/>
          </w:tcPr>
          <w:p w:rsidR="002D1DEA" w:rsidRDefault="00F74943">
            <w:pPr>
              <w:jc w:val="center"/>
            </w:pPr>
            <w:r>
              <w:rPr>
                <w:color w:val="000000"/>
                <w:sz w:val="24"/>
                <w:szCs w:val="24"/>
              </w:rPr>
              <w:t>紫光国微</w:t>
            </w:r>
          </w:p>
        </w:tc>
        <w:tc>
          <w:tcPr>
            <w:tcW w:w="1334" w:type="dxa"/>
            <w:vAlign w:val="center"/>
          </w:tcPr>
          <w:p w:rsidR="002D1DEA" w:rsidRDefault="00F74943">
            <w:pPr>
              <w:jc w:val="right"/>
            </w:pPr>
            <w:r>
              <w:rPr>
                <w:color w:val="000000"/>
                <w:sz w:val="24"/>
                <w:szCs w:val="24"/>
              </w:rPr>
              <w:t>899,980</w:t>
            </w:r>
          </w:p>
        </w:tc>
        <w:tc>
          <w:tcPr>
            <w:tcW w:w="1924" w:type="dxa"/>
            <w:vAlign w:val="center"/>
          </w:tcPr>
          <w:p w:rsidR="002D1DEA" w:rsidRDefault="00F74943">
            <w:pPr>
              <w:jc w:val="right"/>
            </w:pPr>
            <w:r>
              <w:rPr>
                <w:color w:val="000000"/>
                <w:sz w:val="24"/>
                <w:szCs w:val="24"/>
              </w:rPr>
              <w:t>106,899,624.40</w:t>
            </w:r>
          </w:p>
        </w:tc>
        <w:tc>
          <w:tcPr>
            <w:tcW w:w="1644" w:type="dxa"/>
            <w:vAlign w:val="center"/>
          </w:tcPr>
          <w:p w:rsidR="002D1DEA" w:rsidRDefault="00F74943">
            <w:pPr>
              <w:jc w:val="right"/>
            </w:pPr>
            <w:r>
              <w:rPr>
                <w:color w:val="000000"/>
                <w:sz w:val="24"/>
                <w:szCs w:val="24"/>
              </w:rPr>
              <w:t>3.88</w:t>
            </w:r>
          </w:p>
        </w:tc>
      </w:tr>
      <w:tr w:rsidR="002D1DEA">
        <w:trPr>
          <w:jc w:val="center"/>
        </w:trPr>
        <w:tc>
          <w:tcPr>
            <w:tcW w:w="855" w:type="dxa"/>
            <w:vAlign w:val="center"/>
          </w:tcPr>
          <w:p w:rsidR="002D1DEA" w:rsidRDefault="00F74943">
            <w:pPr>
              <w:jc w:val="center"/>
            </w:pPr>
            <w:r>
              <w:rPr>
                <w:color w:val="000000"/>
                <w:sz w:val="24"/>
                <w:szCs w:val="24"/>
              </w:rPr>
              <w:t>7</w:t>
            </w:r>
          </w:p>
        </w:tc>
        <w:tc>
          <w:tcPr>
            <w:tcW w:w="1334" w:type="dxa"/>
            <w:vAlign w:val="center"/>
          </w:tcPr>
          <w:p w:rsidR="002D1DEA" w:rsidRDefault="00F74943">
            <w:pPr>
              <w:jc w:val="center"/>
            </w:pPr>
            <w:r>
              <w:rPr>
                <w:color w:val="000000"/>
                <w:sz w:val="24"/>
                <w:szCs w:val="24"/>
              </w:rPr>
              <w:t>603517</w:t>
            </w:r>
          </w:p>
        </w:tc>
        <w:tc>
          <w:tcPr>
            <w:tcW w:w="1777" w:type="dxa"/>
            <w:vAlign w:val="center"/>
          </w:tcPr>
          <w:p w:rsidR="002D1DEA" w:rsidRDefault="00F74943">
            <w:pPr>
              <w:jc w:val="center"/>
            </w:pPr>
            <w:r>
              <w:rPr>
                <w:color w:val="000000"/>
                <w:sz w:val="24"/>
                <w:szCs w:val="24"/>
              </w:rPr>
              <w:t>绝味食品</w:t>
            </w:r>
          </w:p>
        </w:tc>
        <w:tc>
          <w:tcPr>
            <w:tcW w:w="1334" w:type="dxa"/>
            <w:vAlign w:val="center"/>
          </w:tcPr>
          <w:p w:rsidR="002D1DEA" w:rsidRDefault="00F74943">
            <w:pPr>
              <w:jc w:val="right"/>
            </w:pPr>
            <w:r>
              <w:rPr>
                <w:color w:val="000000"/>
                <w:sz w:val="24"/>
                <w:szCs w:val="24"/>
              </w:rPr>
              <w:t>1,100,000</w:t>
            </w:r>
          </w:p>
        </w:tc>
        <w:tc>
          <w:tcPr>
            <w:tcW w:w="1924" w:type="dxa"/>
            <w:vAlign w:val="center"/>
          </w:tcPr>
          <w:p w:rsidR="002D1DEA" w:rsidRDefault="00F74943">
            <w:pPr>
              <w:jc w:val="right"/>
            </w:pPr>
            <w:r>
              <w:rPr>
                <w:color w:val="000000"/>
                <w:sz w:val="24"/>
                <w:szCs w:val="24"/>
              </w:rPr>
              <w:t>90,222,000.00</w:t>
            </w:r>
          </w:p>
        </w:tc>
        <w:tc>
          <w:tcPr>
            <w:tcW w:w="1644" w:type="dxa"/>
            <w:vAlign w:val="center"/>
          </w:tcPr>
          <w:p w:rsidR="002D1DEA" w:rsidRDefault="00F74943">
            <w:pPr>
              <w:jc w:val="right"/>
            </w:pPr>
            <w:r>
              <w:rPr>
                <w:color w:val="000000"/>
                <w:sz w:val="24"/>
                <w:szCs w:val="24"/>
              </w:rPr>
              <w:t>3.27</w:t>
            </w:r>
          </w:p>
        </w:tc>
      </w:tr>
      <w:tr w:rsidR="002D1DEA">
        <w:trPr>
          <w:jc w:val="center"/>
        </w:trPr>
        <w:tc>
          <w:tcPr>
            <w:tcW w:w="855" w:type="dxa"/>
            <w:vAlign w:val="center"/>
          </w:tcPr>
          <w:p w:rsidR="002D1DEA" w:rsidRDefault="00F74943">
            <w:pPr>
              <w:jc w:val="center"/>
            </w:pPr>
            <w:r>
              <w:rPr>
                <w:color w:val="000000"/>
                <w:sz w:val="24"/>
                <w:szCs w:val="24"/>
              </w:rPr>
              <w:t>8</w:t>
            </w:r>
          </w:p>
        </w:tc>
        <w:tc>
          <w:tcPr>
            <w:tcW w:w="1334" w:type="dxa"/>
            <w:vAlign w:val="center"/>
          </w:tcPr>
          <w:p w:rsidR="002D1DEA" w:rsidRDefault="00F74943">
            <w:pPr>
              <w:jc w:val="center"/>
            </w:pPr>
            <w:r>
              <w:rPr>
                <w:color w:val="000000"/>
                <w:sz w:val="24"/>
                <w:szCs w:val="24"/>
              </w:rPr>
              <w:t>601155</w:t>
            </w:r>
          </w:p>
        </w:tc>
        <w:tc>
          <w:tcPr>
            <w:tcW w:w="1777" w:type="dxa"/>
            <w:vAlign w:val="center"/>
          </w:tcPr>
          <w:p w:rsidR="002D1DEA" w:rsidRDefault="00F74943">
            <w:pPr>
              <w:jc w:val="center"/>
            </w:pPr>
            <w:r>
              <w:rPr>
                <w:color w:val="000000"/>
                <w:sz w:val="24"/>
                <w:szCs w:val="24"/>
              </w:rPr>
              <w:t>新城控股</w:t>
            </w:r>
          </w:p>
        </w:tc>
        <w:tc>
          <w:tcPr>
            <w:tcW w:w="1334" w:type="dxa"/>
            <w:vAlign w:val="center"/>
          </w:tcPr>
          <w:p w:rsidR="002D1DEA" w:rsidRDefault="00F74943">
            <w:pPr>
              <w:jc w:val="right"/>
            </w:pPr>
            <w:r>
              <w:rPr>
                <w:color w:val="000000"/>
                <w:sz w:val="24"/>
                <w:szCs w:val="24"/>
              </w:rPr>
              <w:t>2,099,797</w:t>
            </w:r>
          </w:p>
        </w:tc>
        <w:tc>
          <w:tcPr>
            <w:tcW w:w="1924" w:type="dxa"/>
            <w:vAlign w:val="center"/>
          </w:tcPr>
          <w:p w:rsidR="002D1DEA" w:rsidRDefault="00F74943">
            <w:pPr>
              <w:jc w:val="right"/>
            </w:pPr>
            <w:r>
              <w:rPr>
                <w:color w:val="000000"/>
                <w:sz w:val="24"/>
                <w:szCs w:val="24"/>
              </w:rPr>
              <w:t>73,408,903.12</w:t>
            </w:r>
          </w:p>
        </w:tc>
        <w:tc>
          <w:tcPr>
            <w:tcW w:w="1644" w:type="dxa"/>
            <w:vAlign w:val="center"/>
          </w:tcPr>
          <w:p w:rsidR="002D1DEA" w:rsidRDefault="00F74943">
            <w:pPr>
              <w:jc w:val="right"/>
            </w:pPr>
            <w:r>
              <w:rPr>
                <w:color w:val="000000"/>
                <w:sz w:val="24"/>
                <w:szCs w:val="24"/>
              </w:rPr>
              <w:t>2.66</w:t>
            </w:r>
          </w:p>
        </w:tc>
      </w:tr>
      <w:tr w:rsidR="002D1DEA">
        <w:trPr>
          <w:jc w:val="center"/>
        </w:trPr>
        <w:tc>
          <w:tcPr>
            <w:tcW w:w="855" w:type="dxa"/>
            <w:vAlign w:val="center"/>
          </w:tcPr>
          <w:p w:rsidR="002D1DEA" w:rsidRDefault="00F74943">
            <w:pPr>
              <w:jc w:val="center"/>
            </w:pPr>
            <w:r>
              <w:rPr>
                <w:color w:val="000000"/>
                <w:sz w:val="24"/>
                <w:szCs w:val="24"/>
              </w:rPr>
              <w:t>9</w:t>
            </w:r>
          </w:p>
        </w:tc>
        <w:tc>
          <w:tcPr>
            <w:tcW w:w="1334" w:type="dxa"/>
            <w:vAlign w:val="center"/>
          </w:tcPr>
          <w:p w:rsidR="002D1DEA" w:rsidRDefault="00F74943">
            <w:pPr>
              <w:jc w:val="center"/>
            </w:pPr>
            <w:r>
              <w:rPr>
                <w:color w:val="000000"/>
                <w:sz w:val="24"/>
                <w:szCs w:val="24"/>
              </w:rPr>
              <w:t>600383</w:t>
            </w:r>
          </w:p>
        </w:tc>
        <w:tc>
          <w:tcPr>
            <w:tcW w:w="1777" w:type="dxa"/>
            <w:vAlign w:val="center"/>
          </w:tcPr>
          <w:p w:rsidR="002D1DEA" w:rsidRDefault="00F74943">
            <w:pPr>
              <w:jc w:val="center"/>
            </w:pPr>
            <w:r>
              <w:rPr>
                <w:color w:val="000000"/>
                <w:sz w:val="24"/>
                <w:szCs w:val="24"/>
              </w:rPr>
              <w:t>金地集团</w:t>
            </w:r>
          </w:p>
        </w:tc>
        <w:tc>
          <w:tcPr>
            <w:tcW w:w="1334" w:type="dxa"/>
            <w:vAlign w:val="center"/>
          </w:tcPr>
          <w:p w:rsidR="002D1DEA" w:rsidRDefault="00F74943">
            <w:pPr>
              <w:jc w:val="right"/>
            </w:pPr>
            <w:r>
              <w:rPr>
                <w:color w:val="000000"/>
                <w:sz w:val="24"/>
                <w:szCs w:val="24"/>
              </w:rPr>
              <w:t>5,000,000</w:t>
            </w:r>
          </w:p>
        </w:tc>
        <w:tc>
          <w:tcPr>
            <w:tcW w:w="1924" w:type="dxa"/>
            <w:vAlign w:val="center"/>
          </w:tcPr>
          <w:p w:rsidR="002D1DEA" w:rsidRDefault="00F74943">
            <w:pPr>
              <w:jc w:val="right"/>
            </w:pPr>
            <w:r>
              <w:rPr>
                <w:color w:val="000000"/>
                <w:sz w:val="24"/>
                <w:szCs w:val="24"/>
              </w:rPr>
              <w:t>72,750,000.00</w:t>
            </w:r>
          </w:p>
        </w:tc>
        <w:tc>
          <w:tcPr>
            <w:tcW w:w="1644" w:type="dxa"/>
            <w:vAlign w:val="center"/>
          </w:tcPr>
          <w:p w:rsidR="002D1DEA" w:rsidRDefault="00F74943">
            <w:pPr>
              <w:jc w:val="right"/>
            </w:pPr>
            <w:r>
              <w:rPr>
                <w:color w:val="000000"/>
                <w:sz w:val="24"/>
                <w:szCs w:val="24"/>
              </w:rPr>
              <w:t>2.64</w:t>
            </w:r>
          </w:p>
        </w:tc>
      </w:tr>
      <w:tr w:rsidR="002D1DEA">
        <w:trPr>
          <w:jc w:val="center"/>
        </w:trPr>
        <w:tc>
          <w:tcPr>
            <w:tcW w:w="855" w:type="dxa"/>
            <w:vAlign w:val="center"/>
          </w:tcPr>
          <w:p w:rsidR="002D1DEA" w:rsidRDefault="00F74943">
            <w:pPr>
              <w:jc w:val="center"/>
            </w:pPr>
            <w:r>
              <w:rPr>
                <w:color w:val="000000"/>
                <w:sz w:val="24"/>
                <w:szCs w:val="24"/>
              </w:rPr>
              <w:t>10</w:t>
            </w:r>
          </w:p>
        </w:tc>
        <w:tc>
          <w:tcPr>
            <w:tcW w:w="1334" w:type="dxa"/>
            <w:vAlign w:val="center"/>
          </w:tcPr>
          <w:p w:rsidR="002D1DEA" w:rsidRDefault="00F74943">
            <w:pPr>
              <w:jc w:val="center"/>
            </w:pPr>
            <w:r>
              <w:rPr>
                <w:color w:val="000000"/>
                <w:sz w:val="24"/>
                <w:szCs w:val="24"/>
              </w:rPr>
              <w:t>300724</w:t>
            </w:r>
          </w:p>
        </w:tc>
        <w:tc>
          <w:tcPr>
            <w:tcW w:w="1777" w:type="dxa"/>
            <w:vAlign w:val="center"/>
          </w:tcPr>
          <w:p w:rsidR="002D1DEA" w:rsidRDefault="00F74943">
            <w:pPr>
              <w:jc w:val="center"/>
            </w:pPr>
            <w:r>
              <w:rPr>
                <w:color w:val="000000"/>
                <w:sz w:val="24"/>
                <w:szCs w:val="24"/>
              </w:rPr>
              <w:t>捷佳伟创</w:t>
            </w:r>
          </w:p>
        </w:tc>
        <w:tc>
          <w:tcPr>
            <w:tcW w:w="1334" w:type="dxa"/>
            <w:vAlign w:val="center"/>
          </w:tcPr>
          <w:p w:rsidR="002D1DEA" w:rsidRDefault="00F74943">
            <w:pPr>
              <w:jc w:val="right"/>
            </w:pPr>
            <w:r>
              <w:rPr>
                <w:color w:val="000000"/>
                <w:sz w:val="24"/>
                <w:szCs w:val="24"/>
              </w:rPr>
              <w:t>660,000</w:t>
            </w:r>
          </w:p>
        </w:tc>
        <w:tc>
          <w:tcPr>
            <w:tcW w:w="1924" w:type="dxa"/>
            <w:vAlign w:val="center"/>
          </w:tcPr>
          <w:p w:rsidR="002D1DEA" w:rsidRDefault="00F74943">
            <w:pPr>
              <w:jc w:val="right"/>
            </w:pPr>
            <w:r>
              <w:rPr>
                <w:color w:val="000000"/>
                <w:sz w:val="24"/>
                <w:szCs w:val="24"/>
              </w:rPr>
              <w:t>69,352,800.00</w:t>
            </w:r>
          </w:p>
        </w:tc>
        <w:tc>
          <w:tcPr>
            <w:tcW w:w="1644" w:type="dxa"/>
            <w:vAlign w:val="center"/>
          </w:tcPr>
          <w:p w:rsidR="002D1DEA" w:rsidRDefault="00F74943">
            <w:pPr>
              <w:jc w:val="right"/>
            </w:pPr>
            <w:r>
              <w:rPr>
                <w:color w:val="000000"/>
                <w:sz w:val="24"/>
                <w:szCs w:val="24"/>
              </w:rPr>
              <w:t>2.51</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CE7169" w:rsidRPr="00CE7169"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lastRenderedPageBreak/>
        <w:t>金额单位：人民币元</w:t>
      </w:r>
    </w:p>
    <w:tbl>
      <w:tblPr>
        <w:tblStyle w:val="aff2"/>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3F0956">
              <w:rPr>
                <w:rFonts w:hint="eastAsia"/>
                <w:color w:val="000000"/>
                <w:sz w:val="24"/>
              </w:rPr>
              <w:t>(</w:t>
            </w:r>
            <w:r w:rsidR="003F0956">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149,193,000.00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5.41</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149,193,000.00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5.41</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3,380,461.90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0.12</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152,573,461.90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5.53</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5B4C8F" w:rsidRPr="005B4C8F"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f2"/>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2D1DEA">
        <w:trPr>
          <w:jc w:val="center"/>
        </w:trPr>
        <w:tc>
          <w:tcPr>
            <w:tcW w:w="850" w:type="dxa"/>
            <w:vAlign w:val="center"/>
          </w:tcPr>
          <w:p w:rsidR="002D1DEA" w:rsidRDefault="00F74943">
            <w:pPr>
              <w:jc w:val="center"/>
            </w:pPr>
            <w:r>
              <w:rPr>
                <w:color w:val="000000"/>
                <w:sz w:val="24"/>
                <w:szCs w:val="24"/>
              </w:rPr>
              <w:t>1</w:t>
            </w:r>
          </w:p>
        </w:tc>
        <w:tc>
          <w:tcPr>
            <w:tcW w:w="1475" w:type="dxa"/>
            <w:vAlign w:val="center"/>
          </w:tcPr>
          <w:p w:rsidR="002D1DEA" w:rsidRDefault="00F74943">
            <w:pPr>
              <w:jc w:val="center"/>
            </w:pPr>
            <w:r>
              <w:rPr>
                <w:color w:val="000000"/>
                <w:sz w:val="24"/>
                <w:szCs w:val="24"/>
              </w:rPr>
              <w:t>200406</w:t>
            </w:r>
          </w:p>
        </w:tc>
        <w:tc>
          <w:tcPr>
            <w:tcW w:w="1769" w:type="dxa"/>
            <w:vAlign w:val="center"/>
          </w:tcPr>
          <w:p w:rsidR="002D1DEA" w:rsidRDefault="00F74943">
            <w:pPr>
              <w:jc w:val="center"/>
            </w:pPr>
            <w:r>
              <w:rPr>
                <w:color w:val="000000"/>
                <w:sz w:val="24"/>
                <w:szCs w:val="24"/>
              </w:rPr>
              <w:t>20</w:t>
            </w:r>
            <w:r>
              <w:rPr>
                <w:color w:val="000000"/>
                <w:sz w:val="24"/>
                <w:szCs w:val="24"/>
              </w:rPr>
              <w:t>农发</w:t>
            </w:r>
            <w:r>
              <w:rPr>
                <w:color w:val="000000"/>
                <w:sz w:val="24"/>
                <w:szCs w:val="24"/>
              </w:rPr>
              <w:t>06</w:t>
            </w:r>
          </w:p>
        </w:tc>
        <w:tc>
          <w:tcPr>
            <w:tcW w:w="1387" w:type="dxa"/>
            <w:vAlign w:val="center"/>
          </w:tcPr>
          <w:p w:rsidR="002D1DEA" w:rsidRDefault="00F74943">
            <w:pPr>
              <w:jc w:val="right"/>
            </w:pPr>
            <w:r>
              <w:rPr>
                <w:color w:val="000000"/>
                <w:sz w:val="24"/>
                <w:szCs w:val="24"/>
              </w:rPr>
              <w:t>900,000</w:t>
            </w:r>
          </w:p>
        </w:tc>
        <w:tc>
          <w:tcPr>
            <w:tcW w:w="2150" w:type="dxa"/>
            <w:vAlign w:val="center"/>
          </w:tcPr>
          <w:p w:rsidR="002D1DEA" w:rsidRDefault="00F74943">
            <w:pPr>
              <w:jc w:val="right"/>
            </w:pPr>
            <w:r>
              <w:rPr>
                <w:color w:val="000000"/>
                <w:sz w:val="24"/>
                <w:szCs w:val="24"/>
              </w:rPr>
              <w:t>89,523,000.00</w:t>
            </w:r>
          </w:p>
        </w:tc>
        <w:tc>
          <w:tcPr>
            <w:tcW w:w="1237" w:type="dxa"/>
            <w:vAlign w:val="center"/>
          </w:tcPr>
          <w:p w:rsidR="002D1DEA" w:rsidRDefault="00F74943">
            <w:pPr>
              <w:jc w:val="right"/>
            </w:pPr>
            <w:r>
              <w:rPr>
                <w:color w:val="000000"/>
                <w:sz w:val="24"/>
                <w:szCs w:val="24"/>
              </w:rPr>
              <w:t>3.25</w:t>
            </w:r>
          </w:p>
        </w:tc>
      </w:tr>
      <w:tr w:rsidR="002D1DEA">
        <w:trPr>
          <w:jc w:val="center"/>
        </w:trPr>
        <w:tc>
          <w:tcPr>
            <w:tcW w:w="850" w:type="dxa"/>
            <w:vAlign w:val="center"/>
          </w:tcPr>
          <w:p w:rsidR="002D1DEA" w:rsidRDefault="00F74943">
            <w:pPr>
              <w:jc w:val="center"/>
            </w:pPr>
            <w:r>
              <w:rPr>
                <w:color w:val="000000"/>
                <w:sz w:val="24"/>
                <w:szCs w:val="24"/>
              </w:rPr>
              <w:t>2</w:t>
            </w:r>
          </w:p>
        </w:tc>
        <w:tc>
          <w:tcPr>
            <w:tcW w:w="1475" w:type="dxa"/>
            <w:vAlign w:val="center"/>
          </w:tcPr>
          <w:p w:rsidR="002D1DEA" w:rsidRDefault="00F74943">
            <w:pPr>
              <w:jc w:val="center"/>
            </w:pPr>
            <w:r>
              <w:rPr>
                <w:color w:val="000000"/>
                <w:sz w:val="24"/>
                <w:szCs w:val="24"/>
              </w:rPr>
              <w:t>207703</w:t>
            </w:r>
          </w:p>
        </w:tc>
        <w:tc>
          <w:tcPr>
            <w:tcW w:w="1769" w:type="dxa"/>
            <w:vAlign w:val="center"/>
          </w:tcPr>
          <w:p w:rsidR="002D1DEA" w:rsidRDefault="00F74943">
            <w:pPr>
              <w:jc w:val="center"/>
            </w:pPr>
            <w:r>
              <w:rPr>
                <w:color w:val="000000"/>
                <w:sz w:val="24"/>
                <w:szCs w:val="24"/>
              </w:rPr>
              <w:t>20</w:t>
            </w:r>
            <w:r>
              <w:rPr>
                <w:color w:val="000000"/>
                <w:sz w:val="24"/>
                <w:szCs w:val="24"/>
              </w:rPr>
              <w:t>贴现国开</w:t>
            </w:r>
            <w:r>
              <w:rPr>
                <w:color w:val="000000"/>
                <w:sz w:val="24"/>
                <w:szCs w:val="24"/>
              </w:rPr>
              <w:t>03</w:t>
            </w:r>
          </w:p>
        </w:tc>
        <w:tc>
          <w:tcPr>
            <w:tcW w:w="1387" w:type="dxa"/>
            <w:vAlign w:val="center"/>
          </w:tcPr>
          <w:p w:rsidR="002D1DEA" w:rsidRDefault="00F74943">
            <w:pPr>
              <w:jc w:val="right"/>
            </w:pPr>
            <w:r>
              <w:rPr>
                <w:color w:val="000000"/>
                <w:sz w:val="24"/>
                <w:szCs w:val="24"/>
              </w:rPr>
              <w:t>600,000</w:t>
            </w:r>
          </w:p>
        </w:tc>
        <w:tc>
          <w:tcPr>
            <w:tcW w:w="2150" w:type="dxa"/>
            <w:vAlign w:val="center"/>
          </w:tcPr>
          <w:p w:rsidR="002D1DEA" w:rsidRDefault="00F74943">
            <w:pPr>
              <w:jc w:val="right"/>
            </w:pPr>
            <w:r>
              <w:rPr>
                <w:color w:val="000000"/>
                <w:sz w:val="24"/>
                <w:szCs w:val="24"/>
              </w:rPr>
              <w:t>59,670,000.00</w:t>
            </w:r>
          </w:p>
        </w:tc>
        <w:tc>
          <w:tcPr>
            <w:tcW w:w="1237" w:type="dxa"/>
            <w:vAlign w:val="center"/>
          </w:tcPr>
          <w:p w:rsidR="002D1DEA" w:rsidRDefault="00F74943">
            <w:pPr>
              <w:jc w:val="right"/>
            </w:pPr>
            <w:r>
              <w:rPr>
                <w:color w:val="000000"/>
                <w:sz w:val="24"/>
                <w:szCs w:val="24"/>
              </w:rPr>
              <w:t>2.16</w:t>
            </w:r>
          </w:p>
        </w:tc>
      </w:tr>
      <w:tr w:rsidR="002D1DEA">
        <w:trPr>
          <w:jc w:val="center"/>
        </w:trPr>
        <w:tc>
          <w:tcPr>
            <w:tcW w:w="850" w:type="dxa"/>
            <w:vAlign w:val="center"/>
          </w:tcPr>
          <w:p w:rsidR="002D1DEA" w:rsidRDefault="00F74943">
            <w:pPr>
              <w:jc w:val="center"/>
            </w:pPr>
            <w:r>
              <w:rPr>
                <w:color w:val="000000"/>
                <w:sz w:val="24"/>
                <w:szCs w:val="24"/>
              </w:rPr>
              <w:t>3</w:t>
            </w:r>
          </w:p>
        </w:tc>
        <w:tc>
          <w:tcPr>
            <w:tcW w:w="1475" w:type="dxa"/>
            <w:vAlign w:val="center"/>
          </w:tcPr>
          <w:p w:rsidR="002D1DEA" w:rsidRDefault="00F74943">
            <w:pPr>
              <w:jc w:val="center"/>
            </w:pPr>
            <w:r>
              <w:rPr>
                <w:color w:val="000000"/>
                <w:sz w:val="24"/>
                <w:szCs w:val="24"/>
              </w:rPr>
              <w:t>128035</w:t>
            </w:r>
          </w:p>
        </w:tc>
        <w:tc>
          <w:tcPr>
            <w:tcW w:w="1769" w:type="dxa"/>
            <w:vAlign w:val="center"/>
          </w:tcPr>
          <w:p w:rsidR="002D1DEA" w:rsidRDefault="00F74943">
            <w:pPr>
              <w:jc w:val="center"/>
            </w:pPr>
            <w:r>
              <w:rPr>
                <w:color w:val="000000"/>
                <w:sz w:val="24"/>
                <w:szCs w:val="24"/>
              </w:rPr>
              <w:t>大族转债</w:t>
            </w:r>
          </w:p>
        </w:tc>
        <w:tc>
          <w:tcPr>
            <w:tcW w:w="1387" w:type="dxa"/>
            <w:vAlign w:val="center"/>
          </w:tcPr>
          <w:p w:rsidR="002D1DEA" w:rsidRDefault="00F74943">
            <w:pPr>
              <w:jc w:val="right"/>
            </w:pPr>
            <w:r>
              <w:rPr>
                <w:color w:val="000000"/>
                <w:sz w:val="24"/>
                <w:szCs w:val="24"/>
              </w:rPr>
              <w:t>31,514</w:t>
            </w:r>
          </w:p>
        </w:tc>
        <w:tc>
          <w:tcPr>
            <w:tcW w:w="2150" w:type="dxa"/>
            <w:vAlign w:val="center"/>
          </w:tcPr>
          <w:p w:rsidR="002D1DEA" w:rsidRDefault="00F74943">
            <w:pPr>
              <w:jc w:val="right"/>
            </w:pPr>
            <w:r>
              <w:rPr>
                <w:color w:val="000000"/>
                <w:sz w:val="24"/>
                <w:szCs w:val="24"/>
              </w:rPr>
              <w:t>3,377,985.66</w:t>
            </w:r>
          </w:p>
        </w:tc>
        <w:tc>
          <w:tcPr>
            <w:tcW w:w="1237" w:type="dxa"/>
            <w:vAlign w:val="center"/>
          </w:tcPr>
          <w:p w:rsidR="002D1DEA" w:rsidRDefault="00F74943">
            <w:pPr>
              <w:jc w:val="right"/>
            </w:pPr>
            <w:r>
              <w:rPr>
                <w:color w:val="000000"/>
                <w:sz w:val="24"/>
                <w:szCs w:val="24"/>
              </w:rPr>
              <w:t>0.12</w:t>
            </w:r>
          </w:p>
        </w:tc>
      </w:tr>
      <w:tr w:rsidR="002D1DEA">
        <w:trPr>
          <w:jc w:val="center"/>
        </w:trPr>
        <w:tc>
          <w:tcPr>
            <w:tcW w:w="850" w:type="dxa"/>
            <w:vAlign w:val="center"/>
          </w:tcPr>
          <w:p w:rsidR="002D1DEA" w:rsidRDefault="00F74943">
            <w:pPr>
              <w:jc w:val="center"/>
            </w:pPr>
            <w:r>
              <w:rPr>
                <w:color w:val="000000"/>
                <w:sz w:val="24"/>
                <w:szCs w:val="24"/>
              </w:rPr>
              <w:t>4</w:t>
            </w:r>
          </w:p>
        </w:tc>
        <w:tc>
          <w:tcPr>
            <w:tcW w:w="1475" w:type="dxa"/>
            <w:vAlign w:val="center"/>
          </w:tcPr>
          <w:p w:rsidR="002D1DEA" w:rsidRDefault="00F74943">
            <w:pPr>
              <w:jc w:val="center"/>
            </w:pPr>
            <w:r>
              <w:rPr>
                <w:color w:val="000000"/>
                <w:sz w:val="24"/>
                <w:szCs w:val="24"/>
              </w:rPr>
              <w:t>128023</w:t>
            </w:r>
          </w:p>
        </w:tc>
        <w:tc>
          <w:tcPr>
            <w:tcW w:w="1769" w:type="dxa"/>
            <w:vAlign w:val="center"/>
          </w:tcPr>
          <w:p w:rsidR="002D1DEA" w:rsidRDefault="00F74943">
            <w:pPr>
              <w:jc w:val="center"/>
            </w:pPr>
            <w:r>
              <w:rPr>
                <w:color w:val="000000"/>
                <w:sz w:val="24"/>
                <w:szCs w:val="24"/>
              </w:rPr>
              <w:t>亚太转债</w:t>
            </w:r>
          </w:p>
        </w:tc>
        <w:tc>
          <w:tcPr>
            <w:tcW w:w="1387" w:type="dxa"/>
            <w:vAlign w:val="center"/>
          </w:tcPr>
          <w:p w:rsidR="002D1DEA" w:rsidRDefault="00F74943">
            <w:pPr>
              <w:jc w:val="right"/>
            </w:pPr>
            <w:r>
              <w:rPr>
                <w:color w:val="000000"/>
                <w:sz w:val="24"/>
                <w:szCs w:val="24"/>
              </w:rPr>
              <w:t>26</w:t>
            </w:r>
          </w:p>
        </w:tc>
        <w:tc>
          <w:tcPr>
            <w:tcW w:w="2150" w:type="dxa"/>
            <w:vAlign w:val="center"/>
          </w:tcPr>
          <w:p w:rsidR="002D1DEA" w:rsidRDefault="00F74943">
            <w:pPr>
              <w:jc w:val="right"/>
            </w:pPr>
            <w:r>
              <w:rPr>
                <w:color w:val="000000"/>
                <w:sz w:val="24"/>
                <w:szCs w:val="24"/>
              </w:rPr>
              <w:t>2,476.24</w:t>
            </w:r>
          </w:p>
        </w:tc>
        <w:tc>
          <w:tcPr>
            <w:tcW w:w="1237" w:type="dxa"/>
            <w:vAlign w:val="center"/>
          </w:tcPr>
          <w:p w:rsidR="002D1DEA" w:rsidRDefault="00F74943">
            <w:pPr>
              <w:jc w:val="right"/>
            </w:pPr>
            <w:r>
              <w:rPr>
                <w:color w:val="000000"/>
                <w:sz w:val="24"/>
                <w:szCs w:val="24"/>
              </w:rPr>
              <w:t>0.00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196F38" w:rsidRPr="00414345" w:rsidRDefault="00196F38" w:rsidP="00C15CAC">
      <w:pPr>
        <w:autoSpaceDE w:val="0"/>
        <w:autoSpaceDN w:val="0"/>
        <w:adjustRightInd w:val="0"/>
        <w:spacing w:before="29" w:line="288" w:lineRule="auto"/>
        <w:jc w:val="left"/>
        <w:rPr>
          <w:rFonts w:hint="eastAsia"/>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34FB5" w:rsidRDefault="00BE5388" w:rsidP="00E40D31">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AA3969" w:rsidRDefault="00BE5388" w:rsidP="00E40D31">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r w:rsidRPr="00AA3969">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f2"/>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1,273,864.05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40,907,329.35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748,399.69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396,068.43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43,325,661.52</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173B44" w:rsidRPr="00414345" w:rsidRDefault="00173B44" w:rsidP="00173B44">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金额单位：人民币元</w:t>
      </w:r>
    </w:p>
    <w:tbl>
      <w:tblPr>
        <w:tblStyle w:val="aff2"/>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62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9D1BD9">
              <w:rPr>
                <w:rFonts w:hint="eastAsia"/>
                <w:color w:val="000000"/>
                <w:sz w:val="24"/>
                <w:szCs w:val="24"/>
              </w:rPr>
              <w:t>(</w:t>
            </w:r>
            <w:r w:rsidR="009D1BD9">
              <w:rPr>
                <w:color w:val="000000"/>
                <w:sz w:val="24"/>
                <w:szCs w:val="24"/>
              </w:rPr>
              <w:t>%</w:t>
            </w:r>
            <w:r w:rsidR="009D1BD9">
              <w:rPr>
                <w:rFonts w:hint="eastAsia"/>
                <w:color w:val="000000"/>
                <w:sz w:val="24"/>
                <w:szCs w:val="24"/>
              </w:rPr>
              <w:t>)</w:t>
            </w:r>
          </w:p>
        </w:tc>
      </w:tr>
      <w:tr w:rsidR="002D1DEA">
        <w:trPr>
          <w:jc w:val="center"/>
        </w:trPr>
        <w:tc>
          <w:tcPr>
            <w:tcW w:w="1883" w:type="dxa"/>
            <w:vAlign w:val="center"/>
          </w:tcPr>
          <w:p w:rsidR="002D1DEA" w:rsidRDefault="00F74943">
            <w:pPr>
              <w:jc w:val="center"/>
            </w:pPr>
            <w:r>
              <w:rPr>
                <w:color w:val="000000"/>
                <w:sz w:val="24"/>
                <w:szCs w:val="24"/>
              </w:rPr>
              <w:t>1</w:t>
            </w:r>
          </w:p>
        </w:tc>
        <w:tc>
          <w:tcPr>
            <w:tcW w:w="1801" w:type="dxa"/>
            <w:vAlign w:val="center"/>
          </w:tcPr>
          <w:p w:rsidR="002D1DEA" w:rsidRDefault="00F74943">
            <w:pPr>
              <w:jc w:val="center"/>
            </w:pPr>
            <w:r>
              <w:rPr>
                <w:color w:val="000000"/>
                <w:sz w:val="24"/>
                <w:szCs w:val="24"/>
              </w:rPr>
              <w:t>128035</w:t>
            </w:r>
          </w:p>
        </w:tc>
        <w:tc>
          <w:tcPr>
            <w:tcW w:w="1727" w:type="dxa"/>
            <w:vAlign w:val="center"/>
          </w:tcPr>
          <w:p w:rsidR="002D1DEA" w:rsidRDefault="00F74943">
            <w:pPr>
              <w:jc w:val="center"/>
            </w:pPr>
            <w:r>
              <w:rPr>
                <w:color w:val="000000"/>
                <w:sz w:val="24"/>
                <w:szCs w:val="24"/>
              </w:rPr>
              <w:t>大族转债</w:t>
            </w:r>
          </w:p>
        </w:tc>
        <w:tc>
          <w:tcPr>
            <w:tcW w:w="1768" w:type="dxa"/>
            <w:vAlign w:val="center"/>
          </w:tcPr>
          <w:p w:rsidR="002D1DEA" w:rsidRDefault="00F74943">
            <w:pPr>
              <w:jc w:val="right"/>
            </w:pPr>
            <w:r>
              <w:rPr>
                <w:color w:val="000000"/>
                <w:sz w:val="24"/>
                <w:szCs w:val="24"/>
              </w:rPr>
              <w:t>3,377,985.66</w:t>
            </w:r>
          </w:p>
        </w:tc>
        <w:tc>
          <w:tcPr>
            <w:tcW w:w="1689" w:type="dxa"/>
            <w:vAlign w:val="center"/>
          </w:tcPr>
          <w:p w:rsidR="002D1DEA" w:rsidRDefault="00F74943">
            <w:pPr>
              <w:jc w:val="right"/>
            </w:pPr>
            <w:r>
              <w:rPr>
                <w:color w:val="000000"/>
                <w:sz w:val="24"/>
                <w:szCs w:val="24"/>
              </w:rPr>
              <w:t>0.12</w:t>
            </w:r>
          </w:p>
        </w:tc>
      </w:tr>
      <w:tr w:rsidR="002D1DEA">
        <w:trPr>
          <w:jc w:val="center"/>
        </w:trPr>
        <w:tc>
          <w:tcPr>
            <w:tcW w:w="1883" w:type="dxa"/>
            <w:vAlign w:val="center"/>
          </w:tcPr>
          <w:p w:rsidR="002D1DEA" w:rsidRDefault="00F74943">
            <w:pPr>
              <w:jc w:val="center"/>
            </w:pPr>
            <w:r>
              <w:rPr>
                <w:color w:val="000000"/>
                <w:sz w:val="24"/>
                <w:szCs w:val="24"/>
              </w:rPr>
              <w:t>2</w:t>
            </w:r>
          </w:p>
        </w:tc>
        <w:tc>
          <w:tcPr>
            <w:tcW w:w="1801" w:type="dxa"/>
            <w:vAlign w:val="center"/>
          </w:tcPr>
          <w:p w:rsidR="002D1DEA" w:rsidRDefault="00F74943">
            <w:pPr>
              <w:jc w:val="center"/>
            </w:pPr>
            <w:r>
              <w:rPr>
                <w:color w:val="000000"/>
                <w:sz w:val="24"/>
                <w:szCs w:val="24"/>
              </w:rPr>
              <w:t>128023</w:t>
            </w:r>
          </w:p>
        </w:tc>
        <w:tc>
          <w:tcPr>
            <w:tcW w:w="1727" w:type="dxa"/>
            <w:vAlign w:val="center"/>
          </w:tcPr>
          <w:p w:rsidR="002D1DEA" w:rsidRDefault="00F74943">
            <w:pPr>
              <w:jc w:val="center"/>
            </w:pPr>
            <w:r>
              <w:rPr>
                <w:color w:val="000000"/>
                <w:sz w:val="24"/>
                <w:szCs w:val="24"/>
              </w:rPr>
              <w:t>亚太转债</w:t>
            </w:r>
          </w:p>
        </w:tc>
        <w:tc>
          <w:tcPr>
            <w:tcW w:w="1768" w:type="dxa"/>
            <w:vAlign w:val="center"/>
          </w:tcPr>
          <w:p w:rsidR="002D1DEA" w:rsidRDefault="00F74943">
            <w:pPr>
              <w:jc w:val="right"/>
            </w:pPr>
            <w:r>
              <w:rPr>
                <w:color w:val="000000"/>
                <w:sz w:val="24"/>
                <w:szCs w:val="24"/>
              </w:rPr>
              <w:t>2,476.24</w:t>
            </w:r>
          </w:p>
        </w:tc>
        <w:tc>
          <w:tcPr>
            <w:tcW w:w="1689" w:type="dxa"/>
            <w:vAlign w:val="center"/>
          </w:tcPr>
          <w:p w:rsidR="002D1DEA" w:rsidRDefault="00F74943">
            <w:pPr>
              <w:jc w:val="right"/>
            </w:pPr>
            <w:r>
              <w:rPr>
                <w:color w:val="000000"/>
                <w:sz w:val="24"/>
                <w:szCs w:val="24"/>
              </w:rPr>
              <w:t>0.00</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lastRenderedPageBreak/>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1F3E2A" w:rsidRPr="00196F38"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1,828,423,542.39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197,385,838.33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261,649,175.41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1,764,160,205.31</w:t>
            </w:r>
          </w:p>
        </w:tc>
      </w:tr>
    </w:tbl>
    <w:p w:rsidR="002D1DEA" w:rsidRDefault="00F74943">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196F38">
      <w:pPr>
        <w:autoSpaceDE w:val="0"/>
        <w:autoSpaceDN w:val="0"/>
        <w:adjustRightInd w:val="0"/>
        <w:spacing w:before="29" w:line="288" w:lineRule="auto"/>
        <w:ind w:firstLineChars="200" w:firstLine="480"/>
        <w:jc w:val="left"/>
        <w:rPr>
          <w:color w:val="000000"/>
          <w:sz w:val="24"/>
          <w:szCs w:val="24"/>
        </w:rPr>
      </w:pPr>
      <w:bookmarkStart w:id="0" w:name="_GoBack"/>
      <w:bookmarkEnd w:id="0"/>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2D1DEA" w:rsidRDefault="00F74943">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、中国证监会批准交银施罗德稳健配置混合型证券投资基金募集的文件；</w:t>
      </w:r>
      <w:r>
        <w:rPr>
          <w:color w:val="000000"/>
          <w:sz w:val="24"/>
          <w:szCs w:val="24"/>
        </w:rPr>
        <w:t xml:space="preserve"> </w:t>
      </w:r>
    </w:p>
    <w:p w:rsidR="002D1DEA" w:rsidRDefault="00F74943">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、《交银施罗德稳健配置混合型证券投资基金基金合同》；</w:t>
      </w:r>
      <w:r>
        <w:rPr>
          <w:color w:val="000000"/>
          <w:sz w:val="24"/>
          <w:szCs w:val="24"/>
        </w:rPr>
        <w:t xml:space="preserve"> </w:t>
      </w:r>
    </w:p>
    <w:p w:rsidR="002D1DEA" w:rsidRDefault="00F74943">
      <w:pPr>
        <w:spacing w:before="29" w:line="288" w:lineRule="auto"/>
        <w:ind w:firstLineChars="200" w:firstLine="480"/>
        <w:rPr>
          <w:color w:val="000000"/>
          <w:sz w:val="24"/>
          <w:szCs w:val="24"/>
        </w:rPr>
      </w:pPr>
      <w:r>
        <w:rPr>
          <w:color w:val="000000"/>
          <w:sz w:val="24"/>
          <w:szCs w:val="24"/>
        </w:rPr>
        <w:t>3</w:t>
      </w:r>
      <w:r>
        <w:rPr>
          <w:color w:val="000000"/>
          <w:sz w:val="24"/>
          <w:szCs w:val="24"/>
        </w:rPr>
        <w:t>、《交银施罗德稳健配置混合型证券投资基金招募说明书》；</w:t>
      </w:r>
    </w:p>
    <w:p w:rsidR="002D1DEA" w:rsidRDefault="00F74943">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、《交银施罗德稳健配置混合型证券投资基金托管协议》；</w:t>
      </w:r>
      <w:r>
        <w:rPr>
          <w:color w:val="000000"/>
          <w:sz w:val="24"/>
          <w:szCs w:val="24"/>
        </w:rPr>
        <w:t xml:space="preserve"> </w:t>
      </w:r>
    </w:p>
    <w:p w:rsidR="002D1DEA" w:rsidRDefault="00F74943">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、关于募集交银施罗德稳健配置混合型证券投资基金之法律意见书；</w:t>
      </w:r>
      <w:r>
        <w:rPr>
          <w:color w:val="000000"/>
          <w:sz w:val="24"/>
          <w:szCs w:val="24"/>
        </w:rPr>
        <w:t xml:space="preserve"> </w:t>
      </w:r>
    </w:p>
    <w:p w:rsidR="002D1DEA" w:rsidRDefault="00F74943">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2D1DEA" w:rsidRDefault="00F74943">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lastRenderedPageBreak/>
        <w:t>8</w:t>
      </w:r>
      <w:r w:rsidRPr="00414345">
        <w:rPr>
          <w:color w:val="000000"/>
          <w:sz w:val="24"/>
          <w:szCs w:val="24"/>
        </w:rPr>
        <w:t>、报告期内交银施罗德稳健配置混合型证券投资基金在指定报刊上各项公告的原稿。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2D1DEA" w:rsidRDefault="00F74943">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4943" w:rsidRDefault="00F74943" w:rsidP="00876D65">
      <w:r>
        <w:separator/>
      </w:r>
    </w:p>
  </w:endnote>
  <w:endnote w:type="continuationSeparator" w:id="0">
    <w:p w:rsidR="00F74943" w:rsidRDefault="00F74943"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FangSong">
    <w:altName w:val="黑体"/>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93A" w:rsidRDefault="00D9393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40C" w:rsidRPr="001D0DB0" w:rsidRDefault="004D340C" w:rsidP="004D340C">
    <w:pPr>
      <w:pStyle w:val="a8"/>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AA3969">
      <w:rPr>
        <w:noProof/>
        <w:kern w:val="0"/>
        <w:szCs w:val="21"/>
      </w:rPr>
      <w:t>17</w:t>
    </w:r>
    <w:r w:rsidR="00381EE8">
      <w:rPr>
        <w:kern w:val="0"/>
        <w:szCs w:val="21"/>
      </w:rPr>
      <w:fldChar w:fldCharType="end"/>
    </w:r>
    <w:proofErr w:type="gramStart"/>
    <w:r>
      <w:rPr>
        <w:rFonts w:hint="eastAsia"/>
        <w:kern w:val="0"/>
        <w:szCs w:val="21"/>
      </w:rPr>
      <w:t>页共</w:t>
    </w:r>
    <w:proofErr w:type="gramEnd"/>
    <w:r w:rsidR="00381EE8">
      <w:rPr>
        <w:kern w:val="0"/>
        <w:szCs w:val="21"/>
      </w:rPr>
      <w:fldChar w:fldCharType="begin"/>
    </w:r>
    <w:r>
      <w:rPr>
        <w:kern w:val="0"/>
        <w:szCs w:val="21"/>
      </w:rPr>
      <w:instrText xml:space="preserve"> NUMPAGES </w:instrText>
    </w:r>
    <w:r w:rsidR="00381EE8">
      <w:rPr>
        <w:kern w:val="0"/>
        <w:szCs w:val="21"/>
      </w:rPr>
      <w:fldChar w:fldCharType="separate"/>
    </w:r>
    <w:r w:rsidR="00AA3969">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93A" w:rsidRDefault="00D9393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4943" w:rsidRDefault="00F74943" w:rsidP="00876D65">
      <w:r>
        <w:separator/>
      </w:r>
    </w:p>
  </w:footnote>
  <w:footnote w:type="continuationSeparator" w:id="0">
    <w:p w:rsidR="00F74943" w:rsidRDefault="00F74943" w:rsidP="00876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93A" w:rsidRDefault="00D9393A">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EF0" w:rsidRPr="00DC456F" w:rsidRDefault="00DC456F" w:rsidP="00090A26">
    <w:pPr>
      <w:pStyle w:val="ac"/>
      <w:pBdr>
        <w:bottom w:val="single" w:sz="6" w:space="0" w:color="auto"/>
      </w:pBdr>
      <w:jc w:val="right"/>
      <w:rPr>
        <w:sz w:val="24"/>
        <w:szCs w:val="24"/>
      </w:rPr>
    </w:pPr>
    <w:r w:rsidRPr="003E676C">
      <w:rPr>
        <w:sz w:val="24"/>
        <w:szCs w:val="24"/>
      </w:rPr>
      <w:t>交银施罗德稳健配置混合型证券投资基金</w:t>
    </w:r>
    <w:r w:rsidRPr="003E676C">
      <w:rPr>
        <w:sz w:val="24"/>
        <w:szCs w:val="24"/>
      </w:rPr>
      <w:t>2020</w:t>
    </w:r>
    <w:r w:rsidRPr="003E676C">
      <w:rPr>
        <w:sz w:val="24"/>
        <w:szCs w:val="24"/>
      </w:rPr>
      <w:t>年第</w:t>
    </w:r>
    <w:r w:rsidRPr="003E676C">
      <w:rPr>
        <w:sz w:val="24"/>
        <w:szCs w:val="24"/>
      </w:rPr>
      <w:t>3</w:t>
    </w:r>
    <w:r w:rsidRPr="003E676C">
      <w:rPr>
        <w:sz w:val="24"/>
        <w:szCs w:val="24"/>
      </w:rPr>
      <w:t>季度报告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93A" w:rsidRDefault="00D9393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96F38"/>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1DE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74943"/>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72F39A"/>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0"/>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9"/>
    <w:rsid w:val="004061AC"/>
    <w:rPr>
      <w:rFonts w:ascii="Times New Roman" w:eastAsia="宋体" w:hAnsi="Times New Roman" w:cs="Times New Roman"/>
      <w:b/>
      <w:bCs/>
      <w:kern w:val="44"/>
      <w:sz w:val="44"/>
      <w:szCs w:val="44"/>
    </w:rPr>
  </w:style>
  <w:style w:type="character" w:customStyle="1" w:styleId="20">
    <w:name w:val="标题 2 字符"/>
    <w:basedOn w:val="a1"/>
    <w:link w:val="2"/>
    <w:uiPriority w:val="99"/>
    <w:rsid w:val="004061AC"/>
    <w:rPr>
      <w:rFonts w:ascii="Arial" w:eastAsia="宋体" w:hAnsi="Arial" w:cs="Arial"/>
      <w:b/>
      <w:bCs/>
      <w:sz w:val="24"/>
      <w:szCs w:val="24"/>
    </w:rPr>
  </w:style>
  <w:style w:type="character" w:customStyle="1" w:styleId="30">
    <w:name w:val="标题 3 字符"/>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a5"/>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a5">
    <w:name w:val="正文文本缩进 字符"/>
    <w:basedOn w:val="a1"/>
    <w:link w:val="a4"/>
    <w:uiPriority w:val="99"/>
    <w:rsid w:val="004061AC"/>
    <w:rPr>
      <w:rFonts w:ascii="Arial Unicode MS" w:eastAsia="Arial Unicode MS" w:hAnsi="Arial Unicode MS" w:cs="Arial Unicode MS"/>
      <w:kern w:val="0"/>
      <w:sz w:val="24"/>
      <w:szCs w:val="24"/>
    </w:rPr>
  </w:style>
  <w:style w:type="paragraph" w:styleId="a6">
    <w:name w:val="Plain Text"/>
    <w:basedOn w:val="a"/>
    <w:link w:val="a7"/>
    <w:uiPriority w:val="99"/>
    <w:rsid w:val="004061AC"/>
    <w:rPr>
      <w:rFonts w:ascii="宋体" w:hAnsi="Courier New" w:cs="宋体"/>
    </w:rPr>
  </w:style>
  <w:style w:type="character" w:customStyle="1" w:styleId="a7">
    <w:name w:val="纯文本 字符"/>
    <w:basedOn w:val="a1"/>
    <w:link w:val="a6"/>
    <w:uiPriority w:val="99"/>
    <w:rsid w:val="004061AC"/>
    <w:rPr>
      <w:rFonts w:ascii="宋体" w:eastAsia="宋体" w:hAnsi="Courier New" w:cs="宋体"/>
      <w:szCs w:val="21"/>
    </w:rPr>
  </w:style>
  <w:style w:type="paragraph" w:styleId="21">
    <w:name w:val="Body Text Indent 2"/>
    <w:basedOn w:val="a"/>
    <w:link w:val="22"/>
    <w:uiPriority w:val="99"/>
    <w:rsid w:val="004061AC"/>
    <w:pPr>
      <w:spacing w:line="560" w:lineRule="exact"/>
      <w:ind w:firstLineChars="200" w:firstLine="480"/>
    </w:pPr>
    <w:rPr>
      <w:rFonts w:ascii="宋体" w:hAnsi="宋体" w:cs="宋体"/>
      <w:color w:val="FF0000"/>
      <w:sz w:val="24"/>
      <w:szCs w:val="24"/>
    </w:rPr>
  </w:style>
  <w:style w:type="character" w:customStyle="1" w:styleId="22">
    <w:name w:val="正文文本缩进 2 字符"/>
    <w:basedOn w:val="a1"/>
    <w:link w:val="21"/>
    <w:uiPriority w:val="99"/>
    <w:rsid w:val="004061AC"/>
    <w:rPr>
      <w:rFonts w:ascii="宋体" w:eastAsia="宋体" w:hAnsi="宋体" w:cs="宋体"/>
      <w:color w:val="FF0000"/>
      <w:sz w:val="24"/>
      <w:szCs w:val="24"/>
    </w:rPr>
  </w:style>
  <w:style w:type="paragraph" w:styleId="a8">
    <w:name w:val="footer"/>
    <w:basedOn w:val="a"/>
    <w:link w:val="a9"/>
    <w:rsid w:val="004061AC"/>
    <w:pPr>
      <w:tabs>
        <w:tab w:val="center" w:pos="4153"/>
        <w:tab w:val="right" w:pos="8306"/>
      </w:tabs>
      <w:snapToGrid w:val="0"/>
      <w:jc w:val="left"/>
    </w:pPr>
    <w:rPr>
      <w:sz w:val="18"/>
      <w:szCs w:val="18"/>
    </w:rPr>
  </w:style>
  <w:style w:type="character" w:customStyle="1" w:styleId="a9">
    <w:name w:val="页脚 字符"/>
    <w:basedOn w:val="a1"/>
    <w:link w:val="a8"/>
    <w:uiPriority w:val="99"/>
    <w:rsid w:val="004061AC"/>
    <w:rPr>
      <w:rFonts w:ascii="Times New Roman" w:eastAsia="宋体" w:hAnsi="Times New Roman" w:cs="Times New Roman"/>
      <w:sz w:val="18"/>
      <w:szCs w:val="18"/>
    </w:rPr>
  </w:style>
  <w:style w:type="character" w:styleId="aa">
    <w:name w:val="page number"/>
    <w:basedOn w:val="a1"/>
    <w:uiPriority w:val="99"/>
    <w:rsid w:val="004061AC"/>
  </w:style>
  <w:style w:type="character" w:styleId="ab">
    <w:name w:val="Hyperlink"/>
    <w:basedOn w:val="a1"/>
    <w:uiPriority w:val="99"/>
    <w:rsid w:val="004061AC"/>
    <w:rPr>
      <w:color w:val="0000FF"/>
      <w:u w:val="single"/>
    </w:rPr>
  </w:style>
  <w:style w:type="paragraph" w:styleId="31">
    <w:name w:val="Body Text Indent 3"/>
    <w:basedOn w:val="a"/>
    <w:link w:val="32"/>
    <w:uiPriority w:val="99"/>
    <w:rsid w:val="004061AC"/>
    <w:pPr>
      <w:spacing w:line="560" w:lineRule="exact"/>
      <w:ind w:firstLineChars="200" w:firstLine="420"/>
    </w:pPr>
    <w:rPr>
      <w:rFonts w:ascii="Arial" w:hAnsi="Arial" w:cs="Arial"/>
      <w:color w:val="FF0000"/>
    </w:rPr>
  </w:style>
  <w:style w:type="character" w:customStyle="1" w:styleId="32">
    <w:name w:val="正文文本缩进 3 字符"/>
    <w:basedOn w:val="a1"/>
    <w:link w:val="31"/>
    <w:uiPriority w:val="99"/>
    <w:rsid w:val="004061AC"/>
    <w:rPr>
      <w:rFonts w:ascii="Arial" w:eastAsia="宋体" w:hAnsi="Arial" w:cs="Arial"/>
      <w:color w:val="FF0000"/>
      <w:szCs w:val="21"/>
    </w:rPr>
  </w:style>
  <w:style w:type="paragraph" w:styleId="ac">
    <w:name w:val="header"/>
    <w:basedOn w:val="a"/>
    <w:link w:val="ad"/>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1"/>
    <w:link w:val="ac"/>
    <w:uiPriority w:val="99"/>
    <w:rsid w:val="004061AC"/>
    <w:rPr>
      <w:rFonts w:ascii="Times New Roman" w:eastAsia="宋体" w:hAnsi="Times New Roman" w:cs="Times New Roman"/>
      <w:sz w:val="18"/>
      <w:szCs w:val="18"/>
    </w:rPr>
  </w:style>
  <w:style w:type="character" w:styleId="ae">
    <w:name w:val="FollowedHyperlink"/>
    <w:basedOn w:val="a1"/>
    <w:uiPriority w:val="99"/>
    <w:rsid w:val="004061AC"/>
    <w:rPr>
      <w:color w:val="800080"/>
      <w:u w:val="single"/>
    </w:rPr>
  </w:style>
  <w:style w:type="paragraph" w:styleId="af">
    <w:name w:val="List"/>
    <w:basedOn w:val="af0"/>
    <w:uiPriority w:val="99"/>
    <w:rsid w:val="004061AC"/>
    <w:pPr>
      <w:spacing w:after="220" w:line="220" w:lineRule="atLeast"/>
      <w:ind w:left="1440" w:hanging="360"/>
    </w:pPr>
  </w:style>
  <w:style w:type="paragraph" w:styleId="af0">
    <w:name w:val="Body Text"/>
    <w:basedOn w:val="a"/>
    <w:link w:val="af1"/>
    <w:uiPriority w:val="99"/>
    <w:rsid w:val="004061AC"/>
    <w:pPr>
      <w:spacing w:after="120"/>
    </w:pPr>
  </w:style>
  <w:style w:type="character" w:customStyle="1" w:styleId="af1">
    <w:name w:val="正文文本 字符"/>
    <w:basedOn w:val="a1"/>
    <w:link w:val="af0"/>
    <w:uiPriority w:val="99"/>
    <w:rsid w:val="004061AC"/>
    <w:rPr>
      <w:rFonts w:ascii="Times New Roman" w:eastAsia="宋体" w:hAnsi="Times New Roman" w:cs="Times New Roman"/>
      <w:szCs w:val="21"/>
    </w:rPr>
  </w:style>
  <w:style w:type="paragraph" w:styleId="af2">
    <w:name w:val="Date"/>
    <w:basedOn w:val="a"/>
    <w:next w:val="a"/>
    <w:link w:val="af3"/>
    <w:rsid w:val="004061AC"/>
    <w:rPr>
      <w:sz w:val="24"/>
      <w:szCs w:val="24"/>
    </w:rPr>
  </w:style>
  <w:style w:type="character" w:customStyle="1" w:styleId="af3">
    <w:name w:val="日期 字符"/>
    <w:basedOn w:val="a1"/>
    <w:link w:val="af2"/>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1">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4">
    <w:name w:val="Balloon Text"/>
    <w:basedOn w:val="a"/>
    <w:link w:val="af5"/>
    <w:uiPriority w:val="99"/>
    <w:semiHidden/>
    <w:rsid w:val="004061AC"/>
    <w:rPr>
      <w:sz w:val="18"/>
      <w:szCs w:val="18"/>
    </w:rPr>
  </w:style>
  <w:style w:type="character" w:customStyle="1" w:styleId="af5">
    <w:name w:val="批注框文本 字符"/>
    <w:basedOn w:val="a1"/>
    <w:link w:val="af4"/>
    <w:uiPriority w:val="99"/>
    <w:semiHidden/>
    <w:rsid w:val="004061AC"/>
    <w:rPr>
      <w:rFonts w:ascii="Times New Roman" w:eastAsia="宋体" w:hAnsi="Times New Roman" w:cs="Times New Roman"/>
      <w:sz w:val="18"/>
      <w:szCs w:val="18"/>
    </w:rPr>
  </w:style>
  <w:style w:type="character" w:styleId="af6">
    <w:name w:val="annotation reference"/>
    <w:basedOn w:val="a1"/>
    <w:uiPriority w:val="99"/>
    <w:semiHidden/>
    <w:rsid w:val="004061AC"/>
    <w:rPr>
      <w:sz w:val="21"/>
      <w:szCs w:val="21"/>
    </w:rPr>
  </w:style>
  <w:style w:type="paragraph" w:styleId="af7">
    <w:name w:val="annotation text"/>
    <w:basedOn w:val="a"/>
    <w:link w:val="af8"/>
    <w:uiPriority w:val="99"/>
    <w:semiHidden/>
    <w:rsid w:val="004061AC"/>
    <w:pPr>
      <w:jc w:val="left"/>
    </w:pPr>
  </w:style>
  <w:style w:type="character" w:customStyle="1" w:styleId="af8">
    <w:name w:val="批注文字 字符"/>
    <w:basedOn w:val="a1"/>
    <w:link w:val="af7"/>
    <w:uiPriority w:val="99"/>
    <w:semiHidden/>
    <w:rsid w:val="004061AC"/>
    <w:rPr>
      <w:rFonts w:ascii="Times New Roman" w:eastAsia="宋体" w:hAnsi="Times New Roman" w:cs="Times New Roman"/>
      <w:szCs w:val="21"/>
    </w:rPr>
  </w:style>
  <w:style w:type="paragraph" w:styleId="af9">
    <w:name w:val="annotation subject"/>
    <w:basedOn w:val="af7"/>
    <w:next w:val="af7"/>
    <w:link w:val="afa"/>
    <w:uiPriority w:val="99"/>
    <w:semiHidden/>
    <w:rsid w:val="004061AC"/>
    <w:rPr>
      <w:b/>
      <w:bCs/>
    </w:rPr>
  </w:style>
  <w:style w:type="character" w:customStyle="1" w:styleId="afa">
    <w:name w:val="批注主题 字符"/>
    <w:basedOn w:val="af8"/>
    <w:link w:val="af9"/>
    <w:uiPriority w:val="99"/>
    <w:semiHidden/>
    <w:rsid w:val="004061AC"/>
    <w:rPr>
      <w:rFonts w:ascii="Times New Roman" w:eastAsia="宋体" w:hAnsi="Times New Roman" w:cs="Times New Roman"/>
      <w:b/>
      <w:bCs/>
      <w:szCs w:val="21"/>
    </w:rPr>
  </w:style>
  <w:style w:type="paragraph" w:customStyle="1" w:styleId="Char">
    <w:name w:val="Char"/>
    <w:basedOn w:val="a"/>
    <w:uiPriority w:val="99"/>
    <w:rsid w:val="004061AC"/>
  </w:style>
  <w:style w:type="paragraph" w:styleId="afb">
    <w:name w:val="Document Map"/>
    <w:basedOn w:val="a"/>
    <w:link w:val="afc"/>
    <w:uiPriority w:val="99"/>
    <w:semiHidden/>
    <w:rsid w:val="004061AC"/>
    <w:pPr>
      <w:shd w:val="clear" w:color="auto" w:fill="000080"/>
    </w:pPr>
  </w:style>
  <w:style w:type="character" w:customStyle="1" w:styleId="afc">
    <w:name w:val="文档结构图 字符"/>
    <w:basedOn w:val="a1"/>
    <w:link w:val="afb"/>
    <w:uiPriority w:val="99"/>
    <w:semiHidden/>
    <w:rsid w:val="004061AC"/>
    <w:rPr>
      <w:rFonts w:ascii="Times New Roman" w:eastAsia="宋体" w:hAnsi="Times New Roman" w:cs="Times New Roman"/>
      <w:szCs w:val="21"/>
      <w:shd w:val="clear" w:color="auto" w:fill="000080"/>
    </w:rPr>
  </w:style>
  <w:style w:type="paragraph" w:customStyle="1" w:styleId="afd">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e">
    <w:name w:val="footnote text"/>
    <w:basedOn w:val="a"/>
    <w:link w:val="aff"/>
    <w:rsid w:val="004061AC"/>
    <w:pPr>
      <w:snapToGrid w:val="0"/>
      <w:jc w:val="left"/>
    </w:pPr>
    <w:rPr>
      <w:sz w:val="18"/>
      <w:szCs w:val="18"/>
    </w:rPr>
  </w:style>
  <w:style w:type="character" w:customStyle="1" w:styleId="aff">
    <w:name w:val="脚注文本 字符"/>
    <w:basedOn w:val="a1"/>
    <w:link w:val="afe"/>
    <w:rsid w:val="004061AC"/>
    <w:rPr>
      <w:rFonts w:ascii="Times New Roman" w:eastAsia="宋体" w:hAnsi="Times New Roman" w:cs="Times New Roman"/>
      <w:sz w:val="18"/>
      <w:szCs w:val="18"/>
    </w:rPr>
  </w:style>
  <w:style w:type="character" w:styleId="aff0">
    <w:name w:val="footnote reference"/>
    <w:basedOn w:val="a1"/>
    <w:rsid w:val="004061AC"/>
    <w:rPr>
      <w:vertAlign w:val="superscript"/>
    </w:rPr>
  </w:style>
  <w:style w:type="paragraph" w:styleId="aff1">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f2">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f3">
    <w:name w:val="Title"/>
    <w:basedOn w:val="a"/>
    <w:next w:val="a"/>
    <w:link w:val="aff4"/>
    <w:uiPriority w:val="99"/>
    <w:qFormat/>
    <w:rsid w:val="004061AC"/>
    <w:pPr>
      <w:spacing w:before="240" w:after="60"/>
      <w:jc w:val="center"/>
      <w:outlineLvl w:val="0"/>
    </w:pPr>
    <w:rPr>
      <w:rFonts w:ascii="Cambria" w:hAnsi="Cambria" w:cs="Cambria"/>
      <w:b/>
      <w:bCs/>
      <w:sz w:val="32"/>
      <w:szCs w:val="32"/>
    </w:rPr>
  </w:style>
  <w:style w:type="character" w:customStyle="1" w:styleId="aff4">
    <w:name w:val="标题 字符"/>
    <w:basedOn w:val="a1"/>
    <w:link w:val="aff3"/>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f5">
    <w:name w:val="No Spacing"/>
    <w:link w:val="aff6"/>
    <w:uiPriority w:val="1"/>
    <w:qFormat/>
    <w:rsid w:val="004061AC"/>
    <w:rPr>
      <w:rFonts w:ascii="Calibri" w:eastAsia="宋体" w:hAnsi="Calibri" w:cs="Calibri"/>
      <w:kern w:val="0"/>
      <w:sz w:val="22"/>
    </w:rPr>
  </w:style>
  <w:style w:type="character" w:customStyle="1" w:styleId="aff6">
    <w:name w:val="无间隔 字符"/>
    <w:basedOn w:val="a1"/>
    <w:link w:val="aff5"/>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f7">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f8">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12015-D293-40D4-A91D-EC519F8FC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1832</TotalTime>
  <Pages>12</Pages>
  <Words>1131</Words>
  <Characters>6451</Characters>
  <Application>Microsoft Office Word</Application>
  <DocSecurity>0</DocSecurity>
  <Lines>53</Lines>
  <Paragraphs>15</Paragraphs>
  <ScaleCrop>false</ScaleCrop>
  <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601</cp:revision>
  <dcterms:created xsi:type="dcterms:W3CDTF">2012-10-16T06:07:00Z</dcterms:created>
  <dcterms:modified xsi:type="dcterms:W3CDTF">2020-10-22T10:42:00Z</dcterms:modified>
</cp:coreProperties>
</file>