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w:t>
      </w:r>
      <w:proofErr w:type="gramStart"/>
      <w:r w:rsidRPr="0081286B">
        <w:rPr>
          <w:b/>
          <w:sz w:val="36"/>
          <w:szCs w:val="36"/>
        </w:rPr>
        <w:t>启汇混合型</w:t>
      </w:r>
      <w:proofErr w:type="gramEnd"/>
      <w:r w:rsidRPr="0081286B">
        <w:rPr>
          <w:b/>
          <w:sz w:val="36"/>
          <w:szCs w:val="36"/>
        </w:rPr>
        <w:t>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81FDF" w:rsidRDefault="00D609E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81FDF" w:rsidRDefault="00D609E9">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81FDF" w:rsidRDefault="00D609E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81FDF" w:rsidRDefault="00D609E9">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B81FDF" w:rsidRDefault="00D609E9">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7</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银启汇</w:t>
            </w:r>
            <w:proofErr w:type="gramEnd"/>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009618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009618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9,718,364,560.02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本基金在严格控制风险的前提下，充分发挥专业研究与管理能力，追求超越业绩比较基准的投资收益，力争为投资者提供长期稳健的投资回报。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414345">
              <w:rPr>
                <w:color w:val="000000"/>
                <w:kern w:val="0"/>
                <w:sz w:val="24"/>
                <w:szCs w:val="24"/>
              </w:rPr>
              <w:t>组合久期和</w:t>
            </w:r>
            <w:proofErr w:type="gramEnd"/>
            <w:r w:rsidRPr="00414345">
              <w:rPr>
                <w:color w:val="000000"/>
                <w:kern w:val="0"/>
                <w:sz w:val="24"/>
                <w:szCs w:val="24"/>
              </w:rPr>
              <w:t>债券类别配置；在严谨深入的股票和债券研究分析基础上，自下而上精选个</w:t>
            </w:r>
            <w:proofErr w:type="gramStart"/>
            <w:r w:rsidRPr="00414345">
              <w:rPr>
                <w:color w:val="000000"/>
                <w:kern w:val="0"/>
                <w:sz w:val="24"/>
                <w:szCs w:val="24"/>
              </w:rPr>
              <w:t>券</w:t>
            </w:r>
            <w:proofErr w:type="gramEnd"/>
            <w:r w:rsidRPr="00414345">
              <w:rPr>
                <w:color w:val="000000"/>
                <w:kern w:val="0"/>
                <w:sz w:val="24"/>
                <w:szCs w:val="24"/>
              </w:rPr>
              <w:t>；在保持总体风险水平相对稳定的基础上，力争获取投资组合的较高回报。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×65%+</w:t>
            </w:r>
            <w:r w:rsidRPr="00414345">
              <w:rPr>
                <w:color w:val="000000"/>
                <w:kern w:val="0"/>
                <w:sz w:val="24"/>
                <w:szCs w:val="24"/>
              </w:rPr>
              <w:t>恒生指数收益率</w:t>
            </w:r>
            <w:r w:rsidRPr="00414345">
              <w:rPr>
                <w:color w:val="000000"/>
                <w:kern w:val="0"/>
                <w:sz w:val="24"/>
                <w:szCs w:val="24"/>
              </w:rPr>
              <w:t>×5%+</w:t>
            </w:r>
            <w:r w:rsidRPr="00414345">
              <w:rPr>
                <w:color w:val="000000"/>
                <w:kern w:val="0"/>
                <w:sz w:val="24"/>
                <w:szCs w:val="24"/>
              </w:rPr>
              <w:t>中证综合债券指数收益率</w:t>
            </w:r>
            <w:r w:rsidRPr="00414345">
              <w:rPr>
                <w:color w:val="000000"/>
                <w:kern w:val="0"/>
                <w:sz w:val="24"/>
                <w:szCs w:val="24"/>
              </w:rPr>
              <w:t>×30%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B81FDF" w:rsidRDefault="00D609E9">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w:t>
            </w:r>
            <w:proofErr w:type="gramStart"/>
            <w:r w:rsidRPr="00414345">
              <w:rPr>
                <w:color w:val="000000"/>
                <w:kern w:val="0"/>
                <w:sz w:val="24"/>
                <w:szCs w:val="24"/>
              </w:rPr>
              <w:t>通机制</w:t>
            </w:r>
            <w:proofErr w:type="gramEnd"/>
            <w:r w:rsidRPr="00414345">
              <w:rPr>
                <w:color w:val="000000"/>
                <w:kern w:val="0"/>
                <w:sz w:val="24"/>
                <w:szCs w:val="24"/>
              </w:rPr>
              <w:t>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bookmarkStart w:id="0" w:name="_Hlk54277172"/>
      <w:r w:rsidRPr="00414345">
        <w:rPr>
          <w:b/>
          <w:bCs/>
          <w:color w:val="000000"/>
          <w:kern w:val="0"/>
          <w:sz w:val="24"/>
          <w:szCs w:val="24"/>
        </w:rPr>
        <w:t xml:space="preserve">3.1 </w:t>
      </w:r>
      <w:r w:rsidRPr="00414345">
        <w:rPr>
          <w:b/>
          <w:bCs/>
          <w:color w:val="000000"/>
          <w:kern w:val="0"/>
          <w:sz w:val="24"/>
          <w:szCs w:val="24"/>
        </w:rPr>
        <w:t>主要财务指标</w:t>
      </w:r>
    </w:p>
    <w:bookmarkEnd w:id="0"/>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609E9" w:rsidRPr="00414345" w:rsidTr="00D609E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7</w:t>
            </w:r>
            <w:r w:rsidRPr="00414345">
              <w:rPr>
                <w:color w:val="000000"/>
                <w:sz w:val="24"/>
                <w:szCs w:val="24"/>
              </w:rPr>
              <w:t>日（基金合同生效日）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D609E9" w:rsidRPr="00414345" w:rsidTr="00D609E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116,824,334.09</w:t>
            </w:r>
          </w:p>
        </w:tc>
      </w:tr>
      <w:tr w:rsidR="00D609E9" w:rsidRPr="00414345" w:rsidTr="00D609E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161,418,617.29</w:t>
            </w:r>
          </w:p>
        </w:tc>
      </w:tr>
      <w:tr w:rsidR="00D609E9" w:rsidRPr="00414345" w:rsidTr="00D609E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0.0162</w:t>
            </w:r>
          </w:p>
        </w:tc>
      </w:tr>
      <w:tr w:rsidR="00D609E9" w:rsidRPr="00414345" w:rsidTr="00D609E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9,871,849,933.86</w:t>
            </w:r>
          </w:p>
        </w:tc>
      </w:tr>
      <w:tr w:rsidR="00D609E9" w:rsidRPr="00414345" w:rsidTr="00D609E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1.0158</w:t>
            </w:r>
          </w:p>
        </w:tc>
      </w:tr>
    </w:tbl>
    <w:p w:rsidR="00B81FDF" w:rsidRDefault="00D609E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B81FDF" w:rsidRDefault="00D609E9">
      <w:pPr>
        <w:autoSpaceDE w:val="0"/>
        <w:autoSpaceDN w:val="0"/>
        <w:adjustRightInd w:val="0"/>
        <w:spacing w:before="29" w:line="288" w:lineRule="auto"/>
        <w:jc w:val="left"/>
        <w:rPr>
          <w:color w:val="000000"/>
          <w:sz w:val="24"/>
          <w:szCs w:val="24"/>
        </w:rPr>
      </w:pPr>
      <w:bookmarkStart w:id="1" w:name="_Hlk54277183"/>
      <w:r>
        <w:rPr>
          <w:color w:val="000000"/>
          <w:sz w:val="24"/>
          <w:szCs w:val="24"/>
        </w:rPr>
        <w:t>2</w:t>
      </w:r>
      <w:r>
        <w:rPr>
          <w:color w:val="000000"/>
          <w:sz w:val="24"/>
          <w:szCs w:val="24"/>
        </w:rPr>
        <w:t>、本期已实现收益指基金本期利息收入、投资收益、其他收入（不含公允价值变动收益）扣除相关费用后的余额，本期利润为本期已实现收益加上本期公</w:t>
      </w:r>
      <w:bookmarkStart w:id="2" w:name="_GoBack"/>
      <w:bookmarkEnd w:id="2"/>
      <w:r>
        <w:rPr>
          <w:color w:val="000000"/>
          <w:sz w:val="24"/>
          <w:szCs w:val="24"/>
        </w:rPr>
        <w:t>允价值变动收益</w:t>
      </w:r>
      <w:r w:rsidR="001631D2">
        <w:rPr>
          <w:rFonts w:hint="eastAsia"/>
          <w:color w:val="000000"/>
          <w:sz w:val="24"/>
          <w:szCs w:val="24"/>
        </w:rPr>
        <w:t>。</w:t>
      </w:r>
    </w:p>
    <w:bookmarkEnd w:id="1"/>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3</w:t>
      </w:r>
      <w:r w:rsidRPr="00414345">
        <w:rPr>
          <w:color w:val="000000"/>
          <w:sz w:val="24"/>
          <w:szCs w:val="24"/>
        </w:rPr>
        <w:t>、本基金合同生效日为</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7</w:t>
      </w:r>
      <w:r w:rsidRPr="00414345">
        <w:rPr>
          <w:color w:val="000000"/>
          <w:sz w:val="24"/>
          <w:szCs w:val="24"/>
        </w:rPr>
        <w:t>日，基金合同生效日至本报告期期末，本基金运作时间未满三个月。</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81FDF">
        <w:trPr>
          <w:jc w:val="center"/>
        </w:trPr>
        <w:tc>
          <w:tcPr>
            <w:tcW w:w="1701" w:type="dxa"/>
            <w:vAlign w:val="center"/>
          </w:tcPr>
          <w:p w:rsidR="00B81FDF" w:rsidRDefault="00D609E9">
            <w:pPr>
              <w:jc w:val="left"/>
            </w:pPr>
            <w:r>
              <w:rPr>
                <w:color w:val="000000"/>
                <w:sz w:val="24"/>
                <w:szCs w:val="24"/>
              </w:rPr>
              <w:t>自基金合同生效起至今</w:t>
            </w:r>
          </w:p>
        </w:tc>
        <w:tc>
          <w:tcPr>
            <w:tcW w:w="1045" w:type="dxa"/>
            <w:vAlign w:val="center"/>
          </w:tcPr>
          <w:p w:rsidR="00B81FDF" w:rsidRDefault="00D609E9">
            <w:pPr>
              <w:jc w:val="center"/>
            </w:pPr>
            <w:r>
              <w:rPr>
                <w:color w:val="000000"/>
                <w:sz w:val="24"/>
                <w:szCs w:val="24"/>
              </w:rPr>
              <w:t>1.58%</w:t>
            </w:r>
          </w:p>
        </w:tc>
        <w:tc>
          <w:tcPr>
            <w:tcW w:w="1344" w:type="dxa"/>
            <w:vAlign w:val="center"/>
          </w:tcPr>
          <w:p w:rsidR="00B81FDF" w:rsidRDefault="00D609E9">
            <w:pPr>
              <w:jc w:val="center"/>
            </w:pPr>
            <w:r>
              <w:rPr>
                <w:color w:val="000000"/>
                <w:sz w:val="24"/>
                <w:szCs w:val="24"/>
              </w:rPr>
              <w:t>0.54%</w:t>
            </w:r>
          </w:p>
        </w:tc>
        <w:tc>
          <w:tcPr>
            <w:tcW w:w="1194" w:type="dxa"/>
            <w:vAlign w:val="center"/>
          </w:tcPr>
          <w:p w:rsidR="00B81FDF" w:rsidRDefault="00D609E9">
            <w:pPr>
              <w:jc w:val="center"/>
            </w:pPr>
            <w:r>
              <w:rPr>
                <w:color w:val="000000"/>
                <w:sz w:val="24"/>
                <w:szCs w:val="24"/>
              </w:rPr>
              <w:t>-1.70%</w:t>
            </w:r>
          </w:p>
        </w:tc>
        <w:tc>
          <w:tcPr>
            <w:tcW w:w="1492" w:type="dxa"/>
            <w:vAlign w:val="center"/>
          </w:tcPr>
          <w:p w:rsidR="00B81FDF" w:rsidRDefault="00D609E9">
            <w:pPr>
              <w:jc w:val="center"/>
            </w:pPr>
            <w:r>
              <w:rPr>
                <w:color w:val="000000"/>
                <w:sz w:val="24"/>
                <w:szCs w:val="24"/>
              </w:rPr>
              <w:t>0.96%</w:t>
            </w:r>
          </w:p>
        </w:tc>
        <w:tc>
          <w:tcPr>
            <w:tcW w:w="1194" w:type="dxa"/>
            <w:vAlign w:val="center"/>
          </w:tcPr>
          <w:p w:rsidR="00B81FDF" w:rsidRDefault="00D609E9">
            <w:pPr>
              <w:jc w:val="center"/>
            </w:pPr>
            <w:r>
              <w:rPr>
                <w:color w:val="000000"/>
                <w:sz w:val="24"/>
                <w:szCs w:val="24"/>
              </w:rPr>
              <w:t>3.28%</w:t>
            </w:r>
          </w:p>
        </w:tc>
        <w:tc>
          <w:tcPr>
            <w:tcW w:w="898" w:type="dxa"/>
            <w:vAlign w:val="center"/>
          </w:tcPr>
          <w:p w:rsidR="00B81FDF" w:rsidRDefault="00D609E9">
            <w:pPr>
              <w:jc w:val="center"/>
            </w:pPr>
            <w:r>
              <w:rPr>
                <w:color w:val="000000"/>
                <w:sz w:val="24"/>
                <w:szCs w:val="24"/>
              </w:rPr>
              <w:t>-0.42%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w:t>
      </w:r>
      <w:proofErr w:type="gramStart"/>
      <w:r w:rsidRPr="00414345">
        <w:rPr>
          <w:color w:val="000000"/>
          <w:sz w:val="24"/>
          <w:szCs w:val="24"/>
        </w:rPr>
        <w:t>启汇混合型</w:t>
      </w:r>
      <w:proofErr w:type="gramEnd"/>
      <w:r w:rsidRPr="00414345">
        <w:rPr>
          <w:color w:val="000000"/>
          <w:sz w:val="24"/>
          <w:szCs w:val="24"/>
        </w:rPr>
        <w:t>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7</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81FDF">
        <w:trPr>
          <w:jc w:val="center"/>
        </w:trPr>
        <w:tc>
          <w:tcPr>
            <w:tcW w:w="846" w:type="dxa"/>
            <w:vAlign w:val="center"/>
          </w:tcPr>
          <w:p w:rsidR="00B81FDF" w:rsidRDefault="00D609E9">
            <w:pPr>
              <w:jc w:val="center"/>
            </w:pPr>
            <w:proofErr w:type="gramStart"/>
            <w:r>
              <w:rPr>
                <w:color w:val="000000"/>
                <w:sz w:val="24"/>
                <w:szCs w:val="24"/>
              </w:rPr>
              <w:t>楼慧源</w:t>
            </w:r>
            <w:proofErr w:type="gramEnd"/>
          </w:p>
        </w:tc>
        <w:tc>
          <w:tcPr>
            <w:tcW w:w="845" w:type="dxa"/>
            <w:vAlign w:val="center"/>
          </w:tcPr>
          <w:p w:rsidR="00B81FDF" w:rsidRDefault="00D609E9">
            <w:pPr>
              <w:jc w:val="center"/>
            </w:pPr>
            <w:r>
              <w:rPr>
                <w:color w:val="000000"/>
                <w:sz w:val="24"/>
                <w:szCs w:val="24"/>
              </w:rPr>
              <w:t>交银医药创新股票、交</w:t>
            </w:r>
            <w:proofErr w:type="gramStart"/>
            <w:r>
              <w:rPr>
                <w:color w:val="000000"/>
                <w:sz w:val="24"/>
                <w:szCs w:val="24"/>
              </w:rPr>
              <w:t>银启汇</w:t>
            </w:r>
            <w:proofErr w:type="gramEnd"/>
            <w:r>
              <w:rPr>
                <w:color w:val="000000"/>
                <w:sz w:val="24"/>
                <w:szCs w:val="24"/>
              </w:rPr>
              <w:t>混合</w:t>
            </w:r>
            <w:r>
              <w:rPr>
                <w:color w:val="000000"/>
                <w:sz w:val="24"/>
                <w:szCs w:val="24"/>
              </w:rPr>
              <w:lastRenderedPageBreak/>
              <w:t>的基金经理</w:t>
            </w:r>
          </w:p>
        </w:tc>
        <w:tc>
          <w:tcPr>
            <w:tcW w:w="1549" w:type="dxa"/>
            <w:vAlign w:val="center"/>
          </w:tcPr>
          <w:p w:rsidR="00B81FDF" w:rsidRDefault="00D609E9">
            <w:pPr>
              <w:jc w:val="center"/>
            </w:pPr>
            <w:r>
              <w:rPr>
                <w:color w:val="000000"/>
                <w:sz w:val="24"/>
                <w:szCs w:val="24"/>
              </w:rPr>
              <w:lastRenderedPageBreak/>
              <w:t>2020-07-07</w:t>
            </w:r>
          </w:p>
        </w:tc>
        <w:tc>
          <w:tcPr>
            <w:tcW w:w="1548" w:type="dxa"/>
            <w:vAlign w:val="center"/>
          </w:tcPr>
          <w:p w:rsidR="00B81FDF" w:rsidRDefault="00D609E9">
            <w:pPr>
              <w:jc w:val="center"/>
            </w:pPr>
            <w:r>
              <w:rPr>
                <w:color w:val="000000"/>
                <w:sz w:val="24"/>
                <w:szCs w:val="24"/>
              </w:rPr>
              <w:t>-</w:t>
            </w:r>
          </w:p>
        </w:tc>
        <w:tc>
          <w:tcPr>
            <w:tcW w:w="1407" w:type="dxa"/>
            <w:vAlign w:val="center"/>
          </w:tcPr>
          <w:p w:rsidR="00B81FDF" w:rsidRDefault="00D609E9">
            <w:pPr>
              <w:jc w:val="center"/>
            </w:pPr>
            <w:r>
              <w:rPr>
                <w:color w:val="000000"/>
                <w:sz w:val="24"/>
                <w:szCs w:val="24"/>
              </w:rPr>
              <w:t>6</w:t>
            </w:r>
            <w:r>
              <w:rPr>
                <w:color w:val="000000"/>
                <w:sz w:val="24"/>
                <w:szCs w:val="24"/>
              </w:rPr>
              <w:t>年</w:t>
            </w:r>
          </w:p>
        </w:tc>
        <w:tc>
          <w:tcPr>
            <w:tcW w:w="2673" w:type="dxa"/>
            <w:vAlign w:val="center"/>
          </w:tcPr>
          <w:p w:rsidR="00B81FDF" w:rsidRDefault="00D609E9">
            <w:r>
              <w:rPr>
                <w:color w:val="000000"/>
                <w:sz w:val="24"/>
                <w:szCs w:val="24"/>
              </w:rPr>
              <w:t>楼慧源女士，复旦大学金融学硕士、浙江大学应用生物科学学士。</w:t>
            </w:r>
            <w:r>
              <w:rPr>
                <w:color w:val="000000"/>
                <w:sz w:val="24"/>
                <w:szCs w:val="24"/>
              </w:rPr>
              <w:t>2014</w:t>
            </w:r>
            <w:r>
              <w:rPr>
                <w:color w:val="000000"/>
                <w:sz w:val="24"/>
                <w:szCs w:val="24"/>
              </w:rPr>
              <w:t>年至</w:t>
            </w:r>
            <w:r>
              <w:rPr>
                <w:color w:val="000000"/>
                <w:sz w:val="24"/>
                <w:szCs w:val="24"/>
              </w:rPr>
              <w:t>2015</w:t>
            </w:r>
            <w:r>
              <w:rPr>
                <w:color w:val="000000"/>
                <w:sz w:val="24"/>
                <w:szCs w:val="24"/>
              </w:rPr>
              <w:t>年任中国国际金融有限公司研究员。</w:t>
            </w:r>
            <w:r>
              <w:rPr>
                <w:color w:val="000000"/>
                <w:sz w:val="24"/>
                <w:szCs w:val="24"/>
              </w:rPr>
              <w:t>2015</w:t>
            </w:r>
            <w:r>
              <w:rPr>
                <w:color w:val="000000"/>
                <w:sz w:val="24"/>
                <w:szCs w:val="24"/>
              </w:rPr>
              <w:t>年加入交银施罗德基金管理有限公</w:t>
            </w:r>
            <w:r>
              <w:rPr>
                <w:color w:val="000000"/>
                <w:sz w:val="24"/>
                <w:szCs w:val="24"/>
              </w:rPr>
              <w:lastRenderedPageBreak/>
              <w:t>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81FDF" w:rsidRDefault="00D609E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81FDF" w:rsidRDefault="00D609E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81FDF" w:rsidRDefault="00D609E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81FDF" w:rsidRDefault="00D609E9">
      <w:pPr>
        <w:spacing w:before="29" w:line="288" w:lineRule="auto"/>
        <w:ind w:firstLineChars="200" w:firstLine="480"/>
        <w:rPr>
          <w:color w:val="000000"/>
          <w:sz w:val="24"/>
          <w:szCs w:val="24"/>
        </w:rPr>
      </w:pPr>
      <w:r>
        <w:rPr>
          <w:color w:val="000000"/>
          <w:sz w:val="24"/>
          <w:szCs w:val="24"/>
        </w:rPr>
        <w:t>本基金是新发基金，成立于</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7</w:t>
      </w:r>
      <w:r>
        <w:rPr>
          <w:color w:val="000000"/>
          <w:sz w:val="24"/>
          <w:szCs w:val="24"/>
        </w:rPr>
        <w:t>日。考虑到新基金建仓期对回撤的控制</w:t>
      </w:r>
      <w:r>
        <w:rPr>
          <w:color w:val="000000"/>
          <w:sz w:val="24"/>
          <w:szCs w:val="24"/>
        </w:rPr>
        <w:lastRenderedPageBreak/>
        <w:t>要求，本产品坚持了稳健的运行策略，精选了一批收益确定性高、回撤风险较小的标的进行配置，逐步建仓，没有追逐市场热点。</w:t>
      </w:r>
    </w:p>
    <w:p w:rsidR="00B81FDF" w:rsidRDefault="00D609E9">
      <w:pPr>
        <w:spacing w:before="29" w:line="288" w:lineRule="auto"/>
        <w:ind w:firstLineChars="200" w:firstLine="480"/>
        <w:rPr>
          <w:color w:val="000000"/>
          <w:sz w:val="24"/>
          <w:szCs w:val="24"/>
        </w:rPr>
      </w:pPr>
      <w:r>
        <w:rPr>
          <w:color w:val="000000"/>
          <w:sz w:val="24"/>
          <w:szCs w:val="24"/>
        </w:rPr>
        <w:t>本基金以自下而上的成长股选股思路为主，重点配置于消费、医药、制造以及科技等，同时关注具备估值吸引力的港股稀缺标的投资机会。市场的长期趋势没有发生变化，居民储蓄流向权益市场，国家政策鼓励直接融资，</w:t>
      </w:r>
      <w:proofErr w:type="gramStart"/>
      <w:r>
        <w:rPr>
          <w:color w:val="000000"/>
          <w:sz w:val="24"/>
          <w:szCs w:val="24"/>
        </w:rPr>
        <w:t>科创板</w:t>
      </w:r>
      <w:proofErr w:type="gramEnd"/>
      <w:r>
        <w:rPr>
          <w:color w:val="000000"/>
          <w:sz w:val="24"/>
          <w:szCs w:val="24"/>
        </w:rPr>
        <w:t>、创业</w:t>
      </w:r>
      <w:proofErr w:type="gramStart"/>
      <w:r>
        <w:rPr>
          <w:color w:val="000000"/>
          <w:sz w:val="24"/>
          <w:szCs w:val="24"/>
        </w:rPr>
        <w:t>板注册</w:t>
      </w:r>
      <w:proofErr w:type="gramEnd"/>
      <w:r>
        <w:rPr>
          <w:color w:val="000000"/>
          <w:sz w:val="24"/>
          <w:szCs w:val="24"/>
        </w:rPr>
        <w:t>制等一系列的制度，预计仍会催生优秀公司的投资机会。当下的成长股估值水平仍然不算低，这一轮成长股的结构性牛市自</w:t>
      </w:r>
      <w:r>
        <w:rPr>
          <w:color w:val="000000"/>
          <w:sz w:val="24"/>
          <w:szCs w:val="24"/>
        </w:rPr>
        <w:t>2019</w:t>
      </w:r>
      <w:r>
        <w:rPr>
          <w:color w:val="000000"/>
          <w:sz w:val="24"/>
          <w:szCs w:val="24"/>
        </w:rPr>
        <w:t>年开始，无论是消费、医药还是科技、制造，一批优秀的龙头享受到了较为充分的溢价。本季度内，成长股经历了一轮调整，具备了时间换空间的可能。随着未来新股上市数量的不断增加，我们认为新股的估值水平有望更为合理，从而带来更多投资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因此，我们会继续保持稳健的投资策略，耐心等待各类成长股的投资机会。同时随着疫情的控制，流动性自六月以来不再边际放松，未来经济复苏可能带来流动性进一步收紧的可能，因此组合也会考虑适当配置估值较低的顺周期品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1631D2" w:rsidRDefault="009C1009" w:rsidP="001631D2">
      <w:pPr>
        <w:autoSpaceDE w:val="0"/>
        <w:autoSpaceDN w:val="0"/>
        <w:adjustRightInd w:val="0"/>
        <w:spacing w:line="360" w:lineRule="auto"/>
        <w:ind w:right="240"/>
        <w:jc w:val="right"/>
        <w:rPr>
          <w:rFonts w:eastAsiaTheme="minorEastAsia"/>
          <w:b/>
          <w:color w:val="000000" w:themeColor="text1"/>
          <w:kern w:val="0"/>
          <w:sz w:val="32"/>
          <w:szCs w:val="32"/>
        </w:rPr>
      </w:pPr>
      <w:r w:rsidRPr="001631D2">
        <w:rPr>
          <w:rFonts w:hint="eastAsia"/>
          <w:color w:val="000000"/>
          <w:kern w:val="0"/>
          <w:sz w:val="24"/>
          <w:szCs w:val="24"/>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7E124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7E124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7E124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7E124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7E124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7E124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4,432,945,889.59</w:t>
            </w:r>
          </w:p>
        </w:tc>
        <w:tc>
          <w:tcPr>
            <w:tcW w:w="2943"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44.62</w:t>
            </w:r>
          </w:p>
        </w:tc>
      </w:tr>
      <w:tr w:rsidR="00BF0019" w:rsidRPr="007B5F21" w:rsidTr="00487A40">
        <w:tc>
          <w:tcPr>
            <w:tcW w:w="720" w:type="dxa"/>
            <w:vAlign w:val="center"/>
          </w:tcPr>
          <w:p w:rsidR="00BF0019" w:rsidRPr="007B5F21" w:rsidRDefault="00BF0019" w:rsidP="007E1246">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E124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4,432,945,889.59</w:t>
            </w:r>
          </w:p>
        </w:tc>
        <w:tc>
          <w:tcPr>
            <w:tcW w:w="2943"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44.62</w:t>
            </w:r>
          </w:p>
        </w:tc>
      </w:tr>
      <w:tr w:rsidR="00BF0019" w:rsidRPr="007B5F21" w:rsidTr="00487A40">
        <w:tc>
          <w:tcPr>
            <w:tcW w:w="720" w:type="dxa"/>
            <w:vAlign w:val="center"/>
          </w:tcPr>
          <w:p w:rsidR="00BF0019" w:rsidRPr="007B5F21" w:rsidRDefault="00BF0019" w:rsidP="007E124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7E1246">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7E124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7E124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7E1246">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E124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7E1246">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7E124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7E1246">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7E124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5</w:t>
            </w:r>
          </w:p>
        </w:tc>
        <w:tc>
          <w:tcPr>
            <w:tcW w:w="2682" w:type="dxa"/>
            <w:vAlign w:val="center"/>
          </w:tcPr>
          <w:p w:rsidR="00BF0019" w:rsidRPr="007B5F21" w:rsidRDefault="00BF0019" w:rsidP="007E124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7E124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7E124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3,658,600,000.00</w:t>
            </w:r>
          </w:p>
        </w:tc>
        <w:tc>
          <w:tcPr>
            <w:tcW w:w="2943"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36.83</w:t>
            </w:r>
          </w:p>
        </w:tc>
      </w:tr>
      <w:tr w:rsidR="00BF0019" w:rsidRPr="007B5F21" w:rsidTr="00487A40">
        <w:tc>
          <w:tcPr>
            <w:tcW w:w="720" w:type="dxa"/>
            <w:vAlign w:val="center"/>
          </w:tcPr>
          <w:p w:rsidR="00BF0019" w:rsidRPr="007B5F21" w:rsidRDefault="00BF0019" w:rsidP="007E1246">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E124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7E124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7E124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1,377,060,341.75</w:t>
            </w:r>
          </w:p>
        </w:tc>
        <w:tc>
          <w:tcPr>
            <w:tcW w:w="2943" w:type="dxa"/>
            <w:vAlign w:val="center"/>
          </w:tcPr>
          <w:p w:rsidR="00BF0019" w:rsidRPr="007B5F21" w:rsidRDefault="00BF0019" w:rsidP="007E124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13.86</w:t>
            </w:r>
          </w:p>
        </w:tc>
      </w:tr>
      <w:tr w:rsidR="00BF0019" w:rsidRPr="007B5F21" w:rsidTr="00487A40">
        <w:tc>
          <w:tcPr>
            <w:tcW w:w="720" w:type="dxa"/>
            <w:vAlign w:val="center"/>
          </w:tcPr>
          <w:p w:rsidR="00BF0019" w:rsidRPr="007B5F21" w:rsidRDefault="00BF0019" w:rsidP="007E124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7E1246">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7E1246">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465,294,072.42</w:t>
            </w:r>
          </w:p>
        </w:tc>
        <w:tc>
          <w:tcPr>
            <w:tcW w:w="2943" w:type="dxa"/>
            <w:vAlign w:val="center"/>
          </w:tcPr>
          <w:p w:rsidR="00BF0019" w:rsidRPr="007B5F21" w:rsidRDefault="00BF0019" w:rsidP="007E1246">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4.68</w:t>
            </w:r>
          </w:p>
        </w:tc>
      </w:tr>
      <w:tr w:rsidR="00BF0019" w:rsidRPr="007B5F21" w:rsidTr="00487A40">
        <w:tc>
          <w:tcPr>
            <w:tcW w:w="720" w:type="dxa"/>
            <w:vAlign w:val="center"/>
          </w:tcPr>
          <w:p w:rsidR="00BF0019" w:rsidRPr="007B5F21" w:rsidRDefault="00BF0019" w:rsidP="007E124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7E1246">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7E1246">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9,933,900,303.76</w:t>
            </w:r>
          </w:p>
        </w:tc>
        <w:tc>
          <w:tcPr>
            <w:tcW w:w="2943" w:type="dxa"/>
            <w:vAlign w:val="center"/>
          </w:tcPr>
          <w:p w:rsidR="00BF0019" w:rsidRPr="007B5F21" w:rsidRDefault="00BF0019" w:rsidP="007E1246">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2,581,362,642.17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28,264.03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248,923,633.36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64,151,595.00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0.65</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78,145,791.84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126,845,948.04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143,699,522.63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37,665,935.94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264,455,808.40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15,348.36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114,075,475.68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205,917,060.88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3,865,300,055.45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39.15</w:t>
            </w:r>
          </w:p>
        </w:tc>
      </w:tr>
    </w:tbl>
    <w:p w:rsidR="001631D2" w:rsidRDefault="001631D2"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3"/>
        <w:gridCol w:w="3119"/>
        <w:gridCol w:w="3118"/>
      </w:tblGrid>
      <w:tr w:rsidR="00F51C4E" w:rsidRPr="00FF0BBF" w:rsidTr="001631D2">
        <w:trPr>
          <w:jc w:val="center"/>
        </w:trPr>
        <w:tc>
          <w:tcPr>
            <w:tcW w:w="2593" w:type="dxa"/>
            <w:vAlign w:val="center"/>
          </w:tcPr>
          <w:p w:rsidR="00F51C4E" w:rsidRPr="00FF0BBF" w:rsidRDefault="00F51C4E" w:rsidP="007E1246">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7E1246">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7E1246">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B81FDF" w:rsidRPr="001631D2" w:rsidTr="001631D2">
        <w:trPr>
          <w:jc w:val="center"/>
        </w:trPr>
        <w:tc>
          <w:tcPr>
            <w:tcW w:w="2593" w:type="dxa"/>
            <w:vAlign w:val="center"/>
          </w:tcPr>
          <w:p w:rsidR="00B81FDF" w:rsidRPr="001631D2" w:rsidRDefault="00D609E9" w:rsidP="001631D2">
            <w:pPr>
              <w:adjustRightInd w:val="0"/>
              <w:snapToGrid w:val="0"/>
              <w:spacing w:before="29" w:line="288" w:lineRule="auto"/>
              <w:jc w:val="left"/>
              <w:rPr>
                <w:color w:val="000000"/>
                <w:sz w:val="24"/>
                <w:szCs w:val="24"/>
              </w:rPr>
            </w:pPr>
            <w:r w:rsidRPr="001631D2">
              <w:rPr>
                <w:color w:val="000000"/>
                <w:sz w:val="24"/>
                <w:szCs w:val="24"/>
              </w:rPr>
              <w:t>非日常生活消费品</w:t>
            </w:r>
          </w:p>
        </w:tc>
        <w:tc>
          <w:tcPr>
            <w:tcW w:w="3119" w:type="dxa"/>
            <w:vAlign w:val="center"/>
          </w:tcPr>
          <w:p w:rsidR="00B81FDF" w:rsidRPr="001631D2" w:rsidRDefault="00D609E9" w:rsidP="001631D2">
            <w:pPr>
              <w:adjustRightInd w:val="0"/>
              <w:snapToGrid w:val="0"/>
              <w:spacing w:before="29" w:line="288" w:lineRule="auto"/>
              <w:jc w:val="right"/>
              <w:rPr>
                <w:color w:val="000000"/>
                <w:sz w:val="24"/>
                <w:szCs w:val="24"/>
              </w:rPr>
            </w:pPr>
            <w:r w:rsidRPr="001631D2">
              <w:rPr>
                <w:color w:val="000000"/>
                <w:sz w:val="24"/>
                <w:szCs w:val="24"/>
              </w:rPr>
              <w:t>110,611,955.52</w:t>
            </w:r>
          </w:p>
        </w:tc>
        <w:tc>
          <w:tcPr>
            <w:tcW w:w="3118" w:type="dxa"/>
            <w:vAlign w:val="center"/>
          </w:tcPr>
          <w:p w:rsidR="00B81FDF" w:rsidRPr="001631D2" w:rsidRDefault="00D609E9" w:rsidP="001631D2">
            <w:pPr>
              <w:adjustRightInd w:val="0"/>
              <w:snapToGrid w:val="0"/>
              <w:spacing w:before="29" w:line="288" w:lineRule="auto"/>
              <w:jc w:val="right"/>
              <w:rPr>
                <w:color w:val="000000"/>
                <w:sz w:val="24"/>
                <w:szCs w:val="24"/>
              </w:rPr>
            </w:pPr>
            <w:r w:rsidRPr="001631D2">
              <w:rPr>
                <w:color w:val="000000"/>
                <w:sz w:val="24"/>
                <w:szCs w:val="24"/>
              </w:rPr>
              <w:t>1.12</w:t>
            </w:r>
          </w:p>
        </w:tc>
      </w:tr>
      <w:tr w:rsidR="00B81FDF" w:rsidRPr="001631D2" w:rsidTr="001631D2">
        <w:trPr>
          <w:jc w:val="center"/>
        </w:trPr>
        <w:tc>
          <w:tcPr>
            <w:tcW w:w="2593" w:type="dxa"/>
            <w:vAlign w:val="center"/>
          </w:tcPr>
          <w:p w:rsidR="00B81FDF" w:rsidRPr="001631D2" w:rsidRDefault="00D609E9" w:rsidP="001631D2">
            <w:pPr>
              <w:adjustRightInd w:val="0"/>
              <w:snapToGrid w:val="0"/>
              <w:spacing w:before="29" w:line="288" w:lineRule="auto"/>
              <w:jc w:val="left"/>
              <w:rPr>
                <w:color w:val="000000"/>
                <w:sz w:val="24"/>
                <w:szCs w:val="24"/>
              </w:rPr>
            </w:pPr>
            <w:r w:rsidRPr="001631D2">
              <w:rPr>
                <w:color w:val="000000"/>
                <w:sz w:val="24"/>
                <w:szCs w:val="24"/>
              </w:rPr>
              <w:t>金融</w:t>
            </w:r>
          </w:p>
        </w:tc>
        <w:tc>
          <w:tcPr>
            <w:tcW w:w="3119" w:type="dxa"/>
            <w:vAlign w:val="center"/>
          </w:tcPr>
          <w:p w:rsidR="00B81FDF" w:rsidRPr="001631D2" w:rsidRDefault="00D609E9" w:rsidP="001631D2">
            <w:pPr>
              <w:adjustRightInd w:val="0"/>
              <w:snapToGrid w:val="0"/>
              <w:spacing w:before="29" w:line="288" w:lineRule="auto"/>
              <w:jc w:val="right"/>
              <w:rPr>
                <w:color w:val="000000"/>
                <w:sz w:val="24"/>
                <w:szCs w:val="24"/>
              </w:rPr>
            </w:pPr>
            <w:r w:rsidRPr="001631D2">
              <w:rPr>
                <w:color w:val="000000"/>
                <w:sz w:val="24"/>
                <w:szCs w:val="24"/>
              </w:rPr>
              <w:t>59,165,078.75</w:t>
            </w:r>
          </w:p>
        </w:tc>
        <w:tc>
          <w:tcPr>
            <w:tcW w:w="3118" w:type="dxa"/>
            <w:vAlign w:val="center"/>
          </w:tcPr>
          <w:p w:rsidR="00B81FDF" w:rsidRPr="001631D2" w:rsidRDefault="00D609E9" w:rsidP="001631D2">
            <w:pPr>
              <w:adjustRightInd w:val="0"/>
              <w:snapToGrid w:val="0"/>
              <w:spacing w:before="29" w:line="288" w:lineRule="auto"/>
              <w:jc w:val="right"/>
              <w:rPr>
                <w:color w:val="000000"/>
                <w:sz w:val="24"/>
                <w:szCs w:val="24"/>
              </w:rPr>
            </w:pPr>
            <w:r w:rsidRPr="001631D2">
              <w:rPr>
                <w:color w:val="000000"/>
                <w:sz w:val="24"/>
                <w:szCs w:val="24"/>
              </w:rPr>
              <w:t>0.60</w:t>
            </w:r>
          </w:p>
        </w:tc>
      </w:tr>
      <w:tr w:rsidR="00B81FDF" w:rsidRPr="001631D2" w:rsidTr="001631D2">
        <w:trPr>
          <w:jc w:val="center"/>
        </w:trPr>
        <w:tc>
          <w:tcPr>
            <w:tcW w:w="2593" w:type="dxa"/>
            <w:vAlign w:val="center"/>
          </w:tcPr>
          <w:p w:rsidR="00B81FDF" w:rsidRPr="001631D2" w:rsidRDefault="00D609E9" w:rsidP="001631D2">
            <w:pPr>
              <w:adjustRightInd w:val="0"/>
              <w:snapToGrid w:val="0"/>
              <w:spacing w:before="29" w:line="288" w:lineRule="auto"/>
              <w:jc w:val="left"/>
              <w:rPr>
                <w:color w:val="000000"/>
                <w:sz w:val="24"/>
                <w:szCs w:val="24"/>
              </w:rPr>
            </w:pPr>
            <w:r w:rsidRPr="001631D2">
              <w:rPr>
                <w:color w:val="000000"/>
                <w:sz w:val="24"/>
                <w:szCs w:val="24"/>
              </w:rPr>
              <w:t>日常消费品</w:t>
            </w:r>
          </w:p>
        </w:tc>
        <w:tc>
          <w:tcPr>
            <w:tcW w:w="3119" w:type="dxa"/>
            <w:vAlign w:val="center"/>
          </w:tcPr>
          <w:p w:rsidR="00B81FDF" w:rsidRPr="001631D2" w:rsidRDefault="00D609E9" w:rsidP="001631D2">
            <w:pPr>
              <w:adjustRightInd w:val="0"/>
              <w:snapToGrid w:val="0"/>
              <w:spacing w:before="29" w:line="288" w:lineRule="auto"/>
              <w:jc w:val="right"/>
              <w:rPr>
                <w:color w:val="000000"/>
                <w:sz w:val="24"/>
                <w:szCs w:val="24"/>
              </w:rPr>
            </w:pPr>
            <w:r w:rsidRPr="001631D2">
              <w:rPr>
                <w:color w:val="000000"/>
                <w:sz w:val="24"/>
                <w:szCs w:val="24"/>
              </w:rPr>
              <w:t>4,875,490.05</w:t>
            </w:r>
          </w:p>
        </w:tc>
        <w:tc>
          <w:tcPr>
            <w:tcW w:w="3118" w:type="dxa"/>
            <w:vAlign w:val="center"/>
          </w:tcPr>
          <w:p w:rsidR="00B81FDF" w:rsidRPr="001631D2" w:rsidRDefault="00D609E9" w:rsidP="001631D2">
            <w:pPr>
              <w:adjustRightInd w:val="0"/>
              <w:snapToGrid w:val="0"/>
              <w:spacing w:before="29" w:line="288" w:lineRule="auto"/>
              <w:jc w:val="right"/>
              <w:rPr>
                <w:color w:val="000000"/>
                <w:sz w:val="24"/>
                <w:szCs w:val="24"/>
              </w:rPr>
            </w:pPr>
            <w:r w:rsidRPr="001631D2">
              <w:rPr>
                <w:color w:val="000000"/>
                <w:sz w:val="24"/>
                <w:szCs w:val="24"/>
              </w:rPr>
              <w:t>0.05</w:t>
            </w:r>
          </w:p>
        </w:tc>
      </w:tr>
      <w:tr w:rsidR="00B81FDF" w:rsidRPr="001631D2" w:rsidTr="001631D2">
        <w:trPr>
          <w:jc w:val="center"/>
        </w:trPr>
        <w:tc>
          <w:tcPr>
            <w:tcW w:w="2593" w:type="dxa"/>
            <w:vAlign w:val="center"/>
          </w:tcPr>
          <w:p w:rsidR="00B81FDF" w:rsidRPr="001631D2" w:rsidRDefault="00D609E9" w:rsidP="001631D2">
            <w:pPr>
              <w:adjustRightInd w:val="0"/>
              <w:snapToGrid w:val="0"/>
              <w:spacing w:before="29" w:line="288" w:lineRule="auto"/>
              <w:jc w:val="left"/>
              <w:rPr>
                <w:color w:val="000000"/>
                <w:sz w:val="24"/>
                <w:szCs w:val="24"/>
              </w:rPr>
            </w:pPr>
            <w:r w:rsidRPr="001631D2">
              <w:rPr>
                <w:color w:val="000000"/>
                <w:sz w:val="24"/>
                <w:szCs w:val="24"/>
              </w:rPr>
              <w:t>通讯服务</w:t>
            </w:r>
          </w:p>
        </w:tc>
        <w:tc>
          <w:tcPr>
            <w:tcW w:w="3119" w:type="dxa"/>
            <w:vAlign w:val="center"/>
          </w:tcPr>
          <w:p w:rsidR="00B81FDF" w:rsidRPr="001631D2" w:rsidRDefault="00D609E9" w:rsidP="001631D2">
            <w:pPr>
              <w:adjustRightInd w:val="0"/>
              <w:snapToGrid w:val="0"/>
              <w:spacing w:before="29" w:line="288" w:lineRule="auto"/>
              <w:jc w:val="right"/>
              <w:rPr>
                <w:color w:val="000000"/>
                <w:sz w:val="24"/>
                <w:szCs w:val="24"/>
              </w:rPr>
            </w:pPr>
            <w:r w:rsidRPr="001631D2">
              <w:rPr>
                <w:color w:val="000000"/>
                <w:sz w:val="24"/>
                <w:szCs w:val="24"/>
              </w:rPr>
              <w:t>213,136,435.78</w:t>
            </w:r>
          </w:p>
        </w:tc>
        <w:tc>
          <w:tcPr>
            <w:tcW w:w="3118" w:type="dxa"/>
            <w:vAlign w:val="center"/>
          </w:tcPr>
          <w:p w:rsidR="00B81FDF" w:rsidRPr="001631D2" w:rsidRDefault="00D609E9" w:rsidP="001631D2">
            <w:pPr>
              <w:adjustRightInd w:val="0"/>
              <w:snapToGrid w:val="0"/>
              <w:spacing w:before="29" w:line="288" w:lineRule="auto"/>
              <w:jc w:val="right"/>
              <w:rPr>
                <w:color w:val="000000"/>
                <w:sz w:val="24"/>
                <w:szCs w:val="24"/>
              </w:rPr>
            </w:pPr>
            <w:r w:rsidRPr="001631D2">
              <w:rPr>
                <w:color w:val="000000"/>
                <w:sz w:val="24"/>
                <w:szCs w:val="24"/>
              </w:rPr>
              <w:t>2.16</w:t>
            </w:r>
          </w:p>
        </w:tc>
      </w:tr>
      <w:tr w:rsidR="00B81FDF" w:rsidRPr="001631D2" w:rsidTr="001631D2">
        <w:trPr>
          <w:jc w:val="center"/>
        </w:trPr>
        <w:tc>
          <w:tcPr>
            <w:tcW w:w="2593" w:type="dxa"/>
            <w:vAlign w:val="center"/>
          </w:tcPr>
          <w:p w:rsidR="00B81FDF" w:rsidRPr="001631D2" w:rsidRDefault="00D609E9" w:rsidP="001631D2">
            <w:pPr>
              <w:adjustRightInd w:val="0"/>
              <w:snapToGrid w:val="0"/>
              <w:spacing w:before="29" w:line="288" w:lineRule="auto"/>
              <w:jc w:val="left"/>
              <w:rPr>
                <w:color w:val="000000"/>
                <w:sz w:val="24"/>
                <w:szCs w:val="24"/>
              </w:rPr>
            </w:pPr>
            <w:r w:rsidRPr="001631D2">
              <w:rPr>
                <w:color w:val="000000"/>
                <w:sz w:val="24"/>
                <w:szCs w:val="24"/>
              </w:rPr>
              <w:t>信息技术</w:t>
            </w:r>
          </w:p>
        </w:tc>
        <w:tc>
          <w:tcPr>
            <w:tcW w:w="3119" w:type="dxa"/>
            <w:vAlign w:val="center"/>
          </w:tcPr>
          <w:p w:rsidR="00B81FDF" w:rsidRPr="001631D2" w:rsidRDefault="00D609E9" w:rsidP="001631D2">
            <w:pPr>
              <w:adjustRightInd w:val="0"/>
              <w:snapToGrid w:val="0"/>
              <w:spacing w:before="29" w:line="288" w:lineRule="auto"/>
              <w:jc w:val="right"/>
              <w:rPr>
                <w:color w:val="000000"/>
                <w:sz w:val="24"/>
                <w:szCs w:val="24"/>
              </w:rPr>
            </w:pPr>
            <w:r w:rsidRPr="001631D2">
              <w:rPr>
                <w:color w:val="000000"/>
                <w:sz w:val="24"/>
                <w:szCs w:val="24"/>
              </w:rPr>
              <w:t>51,020,002.11</w:t>
            </w:r>
          </w:p>
        </w:tc>
        <w:tc>
          <w:tcPr>
            <w:tcW w:w="3118" w:type="dxa"/>
            <w:vAlign w:val="center"/>
          </w:tcPr>
          <w:p w:rsidR="00B81FDF" w:rsidRPr="001631D2" w:rsidRDefault="00D609E9" w:rsidP="001631D2">
            <w:pPr>
              <w:adjustRightInd w:val="0"/>
              <w:snapToGrid w:val="0"/>
              <w:spacing w:before="29" w:line="288" w:lineRule="auto"/>
              <w:jc w:val="right"/>
              <w:rPr>
                <w:color w:val="000000"/>
                <w:sz w:val="24"/>
                <w:szCs w:val="24"/>
              </w:rPr>
            </w:pPr>
            <w:r w:rsidRPr="001631D2">
              <w:rPr>
                <w:color w:val="000000"/>
                <w:sz w:val="24"/>
                <w:szCs w:val="24"/>
              </w:rPr>
              <w:t>0.52</w:t>
            </w:r>
          </w:p>
        </w:tc>
      </w:tr>
      <w:tr w:rsidR="00B81FDF" w:rsidRPr="001631D2" w:rsidTr="001631D2">
        <w:trPr>
          <w:jc w:val="center"/>
        </w:trPr>
        <w:tc>
          <w:tcPr>
            <w:tcW w:w="2593" w:type="dxa"/>
            <w:vAlign w:val="center"/>
          </w:tcPr>
          <w:p w:rsidR="00B81FDF" w:rsidRPr="001631D2" w:rsidRDefault="00D609E9" w:rsidP="001631D2">
            <w:pPr>
              <w:adjustRightInd w:val="0"/>
              <w:snapToGrid w:val="0"/>
              <w:spacing w:before="29" w:line="288" w:lineRule="auto"/>
              <w:jc w:val="left"/>
              <w:rPr>
                <w:color w:val="000000"/>
                <w:sz w:val="24"/>
                <w:szCs w:val="24"/>
              </w:rPr>
            </w:pPr>
            <w:r w:rsidRPr="001631D2">
              <w:rPr>
                <w:color w:val="000000"/>
                <w:sz w:val="24"/>
                <w:szCs w:val="24"/>
              </w:rPr>
              <w:t>医疗保健</w:t>
            </w:r>
          </w:p>
        </w:tc>
        <w:tc>
          <w:tcPr>
            <w:tcW w:w="3119" w:type="dxa"/>
            <w:vAlign w:val="center"/>
          </w:tcPr>
          <w:p w:rsidR="00B81FDF" w:rsidRPr="001631D2" w:rsidRDefault="00D609E9" w:rsidP="001631D2">
            <w:pPr>
              <w:adjustRightInd w:val="0"/>
              <w:snapToGrid w:val="0"/>
              <w:spacing w:before="29" w:line="288" w:lineRule="auto"/>
              <w:jc w:val="right"/>
              <w:rPr>
                <w:color w:val="000000"/>
                <w:sz w:val="24"/>
                <w:szCs w:val="24"/>
              </w:rPr>
            </w:pPr>
            <w:r w:rsidRPr="001631D2">
              <w:rPr>
                <w:color w:val="000000"/>
                <w:sz w:val="24"/>
                <w:szCs w:val="24"/>
              </w:rPr>
              <w:t>128,836,871.93</w:t>
            </w:r>
          </w:p>
        </w:tc>
        <w:tc>
          <w:tcPr>
            <w:tcW w:w="3118" w:type="dxa"/>
            <w:vAlign w:val="center"/>
          </w:tcPr>
          <w:p w:rsidR="00B81FDF" w:rsidRPr="001631D2" w:rsidRDefault="00D609E9" w:rsidP="001631D2">
            <w:pPr>
              <w:adjustRightInd w:val="0"/>
              <w:snapToGrid w:val="0"/>
              <w:spacing w:before="29" w:line="288" w:lineRule="auto"/>
              <w:jc w:val="right"/>
              <w:rPr>
                <w:color w:val="000000"/>
                <w:sz w:val="24"/>
                <w:szCs w:val="24"/>
              </w:rPr>
            </w:pPr>
            <w:r w:rsidRPr="001631D2">
              <w:rPr>
                <w:color w:val="000000"/>
                <w:sz w:val="24"/>
                <w:szCs w:val="24"/>
              </w:rPr>
              <w:t>1.31</w:t>
            </w:r>
          </w:p>
        </w:tc>
      </w:tr>
      <w:tr w:rsidR="00F51C4E" w:rsidRPr="00FF0BBF" w:rsidTr="001631D2">
        <w:trPr>
          <w:jc w:val="center"/>
        </w:trPr>
        <w:tc>
          <w:tcPr>
            <w:tcW w:w="2593" w:type="dxa"/>
            <w:vAlign w:val="center"/>
          </w:tcPr>
          <w:p w:rsidR="00F51C4E" w:rsidRPr="00FF0BBF" w:rsidRDefault="00F51C4E" w:rsidP="001631D2">
            <w:pPr>
              <w:spacing w:before="29" w:line="360" w:lineRule="auto"/>
              <w:ind w:left="17"/>
              <w:jc w:val="left"/>
              <w:rPr>
                <w:color w:val="000000"/>
                <w:sz w:val="24"/>
              </w:rPr>
            </w:pPr>
            <w:r w:rsidRPr="00FF0BBF">
              <w:rPr>
                <w:rFonts w:hint="eastAsia"/>
                <w:color w:val="000000"/>
                <w:sz w:val="24"/>
              </w:rPr>
              <w:t>合计</w:t>
            </w:r>
          </w:p>
        </w:tc>
        <w:tc>
          <w:tcPr>
            <w:tcW w:w="3119" w:type="dxa"/>
            <w:vAlign w:val="center"/>
          </w:tcPr>
          <w:p w:rsidR="00F51C4E" w:rsidRPr="00FF0BBF" w:rsidRDefault="00F51C4E" w:rsidP="001631D2">
            <w:pPr>
              <w:spacing w:before="29" w:line="360" w:lineRule="auto"/>
              <w:ind w:left="17"/>
              <w:jc w:val="right"/>
              <w:rPr>
                <w:color w:val="000000"/>
                <w:sz w:val="24"/>
              </w:rPr>
            </w:pPr>
            <w:r w:rsidRPr="00FF0BBF">
              <w:rPr>
                <w:rFonts w:hint="eastAsia"/>
                <w:color w:val="000000"/>
                <w:sz w:val="24"/>
              </w:rPr>
              <w:t>567,645,834.14</w:t>
            </w:r>
          </w:p>
        </w:tc>
        <w:tc>
          <w:tcPr>
            <w:tcW w:w="3118" w:type="dxa"/>
            <w:vAlign w:val="center"/>
          </w:tcPr>
          <w:p w:rsidR="00F51C4E" w:rsidRPr="00FF0BBF" w:rsidRDefault="00F51C4E" w:rsidP="001631D2">
            <w:pPr>
              <w:spacing w:before="29" w:line="360" w:lineRule="auto"/>
              <w:ind w:left="17"/>
              <w:jc w:val="right"/>
              <w:rPr>
                <w:color w:val="000000"/>
                <w:sz w:val="24"/>
              </w:rPr>
            </w:pPr>
            <w:r w:rsidRPr="00FF0BBF">
              <w:rPr>
                <w:rFonts w:hint="eastAsia"/>
                <w:color w:val="000000"/>
                <w:sz w:val="24"/>
              </w:rPr>
              <w:t>5.75</w:t>
            </w:r>
          </w:p>
        </w:tc>
      </w:tr>
    </w:tbl>
    <w:p w:rsidR="001216D9" w:rsidRDefault="001216D9" w:rsidP="001216D9">
      <w:pPr>
        <w:spacing w:before="29" w:line="360" w:lineRule="auto"/>
        <w:ind w:left="17"/>
        <w:rPr>
          <w:color w:val="000000"/>
          <w:sz w:val="24"/>
        </w:rPr>
      </w:pPr>
      <w:r>
        <w:rPr>
          <w:rFonts w:hint="eastAsia"/>
          <w:color w:val="000000"/>
          <w:sz w:val="24"/>
        </w:rPr>
        <w:t>注：以上分类采用全球行业分类标准（</w:t>
      </w:r>
      <w:r>
        <w:rPr>
          <w:color w:val="000000"/>
          <w:sz w:val="24"/>
        </w:rPr>
        <w:t>GICS</w:t>
      </w:r>
      <w:r>
        <w:rPr>
          <w:rFonts w:hint="eastAsia"/>
          <w:color w:val="000000"/>
          <w:sz w:val="24"/>
        </w:rPr>
        <w:t>）。</w:t>
      </w:r>
    </w:p>
    <w:p w:rsidR="004061AC" w:rsidRPr="001216D9"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81FDF">
        <w:trPr>
          <w:jc w:val="center"/>
        </w:trPr>
        <w:tc>
          <w:tcPr>
            <w:tcW w:w="855" w:type="dxa"/>
            <w:vAlign w:val="center"/>
          </w:tcPr>
          <w:p w:rsidR="00B81FDF" w:rsidRDefault="00D609E9">
            <w:pPr>
              <w:jc w:val="center"/>
            </w:pPr>
            <w:r>
              <w:rPr>
                <w:color w:val="000000"/>
                <w:sz w:val="24"/>
                <w:szCs w:val="24"/>
              </w:rPr>
              <w:t>1</w:t>
            </w:r>
          </w:p>
        </w:tc>
        <w:tc>
          <w:tcPr>
            <w:tcW w:w="1334" w:type="dxa"/>
            <w:vAlign w:val="center"/>
          </w:tcPr>
          <w:p w:rsidR="00B81FDF" w:rsidRDefault="00D609E9">
            <w:pPr>
              <w:jc w:val="center"/>
            </w:pPr>
            <w:r>
              <w:rPr>
                <w:color w:val="000000"/>
                <w:sz w:val="24"/>
                <w:szCs w:val="24"/>
              </w:rPr>
              <w:t>600519</w:t>
            </w:r>
          </w:p>
        </w:tc>
        <w:tc>
          <w:tcPr>
            <w:tcW w:w="1777" w:type="dxa"/>
            <w:vAlign w:val="center"/>
          </w:tcPr>
          <w:p w:rsidR="00B81FDF" w:rsidRDefault="00D609E9">
            <w:pPr>
              <w:jc w:val="center"/>
            </w:pPr>
            <w:r>
              <w:rPr>
                <w:color w:val="000000"/>
                <w:sz w:val="24"/>
                <w:szCs w:val="24"/>
              </w:rPr>
              <w:t>贵州茅台</w:t>
            </w:r>
          </w:p>
        </w:tc>
        <w:tc>
          <w:tcPr>
            <w:tcW w:w="1334" w:type="dxa"/>
            <w:vAlign w:val="center"/>
          </w:tcPr>
          <w:p w:rsidR="00B81FDF" w:rsidRDefault="00D609E9">
            <w:pPr>
              <w:jc w:val="right"/>
            </w:pPr>
            <w:r>
              <w:rPr>
                <w:color w:val="000000"/>
                <w:sz w:val="24"/>
                <w:szCs w:val="24"/>
              </w:rPr>
              <w:t>199,400</w:t>
            </w:r>
          </w:p>
        </w:tc>
        <w:tc>
          <w:tcPr>
            <w:tcW w:w="1924" w:type="dxa"/>
            <w:vAlign w:val="center"/>
          </w:tcPr>
          <w:p w:rsidR="00B81FDF" w:rsidRDefault="00D609E9">
            <w:pPr>
              <w:jc w:val="right"/>
            </w:pPr>
            <w:r>
              <w:rPr>
                <w:color w:val="000000"/>
                <w:sz w:val="24"/>
                <w:szCs w:val="24"/>
              </w:rPr>
              <w:t>332,698,900.00</w:t>
            </w:r>
          </w:p>
        </w:tc>
        <w:tc>
          <w:tcPr>
            <w:tcW w:w="1644" w:type="dxa"/>
            <w:vAlign w:val="center"/>
          </w:tcPr>
          <w:p w:rsidR="00B81FDF" w:rsidRDefault="00D609E9">
            <w:pPr>
              <w:jc w:val="right"/>
            </w:pPr>
            <w:r>
              <w:rPr>
                <w:color w:val="000000"/>
                <w:sz w:val="24"/>
                <w:szCs w:val="24"/>
              </w:rPr>
              <w:t>3.37</w:t>
            </w:r>
          </w:p>
        </w:tc>
      </w:tr>
      <w:tr w:rsidR="00B81FDF">
        <w:trPr>
          <w:jc w:val="center"/>
        </w:trPr>
        <w:tc>
          <w:tcPr>
            <w:tcW w:w="855" w:type="dxa"/>
            <w:vAlign w:val="center"/>
          </w:tcPr>
          <w:p w:rsidR="00B81FDF" w:rsidRDefault="00D609E9">
            <w:pPr>
              <w:jc w:val="center"/>
            </w:pPr>
            <w:r>
              <w:rPr>
                <w:color w:val="000000"/>
                <w:sz w:val="24"/>
                <w:szCs w:val="24"/>
              </w:rPr>
              <w:t>2</w:t>
            </w:r>
          </w:p>
        </w:tc>
        <w:tc>
          <w:tcPr>
            <w:tcW w:w="1334" w:type="dxa"/>
            <w:vAlign w:val="center"/>
          </w:tcPr>
          <w:p w:rsidR="00B81FDF" w:rsidRDefault="00D609E9">
            <w:pPr>
              <w:jc w:val="center"/>
            </w:pPr>
            <w:r>
              <w:rPr>
                <w:color w:val="000000"/>
                <w:sz w:val="24"/>
                <w:szCs w:val="24"/>
              </w:rPr>
              <w:t>603259</w:t>
            </w:r>
          </w:p>
        </w:tc>
        <w:tc>
          <w:tcPr>
            <w:tcW w:w="1777" w:type="dxa"/>
            <w:vAlign w:val="center"/>
          </w:tcPr>
          <w:p w:rsidR="00B81FDF" w:rsidRDefault="00D609E9">
            <w:pPr>
              <w:jc w:val="center"/>
            </w:pPr>
            <w:proofErr w:type="gramStart"/>
            <w:r>
              <w:rPr>
                <w:color w:val="000000"/>
                <w:sz w:val="24"/>
                <w:szCs w:val="24"/>
              </w:rPr>
              <w:t>药明康德</w:t>
            </w:r>
            <w:proofErr w:type="gramEnd"/>
          </w:p>
        </w:tc>
        <w:tc>
          <w:tcPr>
            <w:tcW w:w="1334" w:type="dxa"/>
            <w:vAlign w:val="center"/>
          </w:tcPr>
          <w:p w:rsidR="00B81FDF" w:rsidRDefault="00D609E9">
            <w:pPr>
              <w:jc w:val="right"/>
            </w:pPr>
            <w:r>
              <w:rPr>
                <w:color w:val="000000"/>
                <w:sz w:val="24"/>
                <w:szCs w:val="24"/>
              </w:rPr>
              <w:t>2,605,330</w:t>
            </w:r>
          </w:p>
        </w:tc>
        <w:tc>
          <w:tcPr>
            <w:tcW w:w="1924" w:type="dxa"/>
            <w:vAlign w:val="center"/>
          </w:tcPr>
          <w:p w:rsidR="00B81FDF" w:rsidRDefault="00D609E9">
            <w:pPr>
              <w:jc w:val="right"/>
            </w:pPr>
            <w:r>
              <w:rPr>
                <w:color w:val="000000"/>
                <w:sz w:val="24"/>
                <w:szCs w:val="24"/>
              </w:rPr>
              <w:t>264,440,995.00</w:t>
            </w:r>
          </w:p>
        </w:tc>
        <w:tc>
          <w:tcPr>
            <w:tcW w:w="1644" w:type="dxa"/>
            <w:vAlign w:val="center"/>
          </w:tcPr>
          <w:p w:rsidR="00B81FDF" w:rsidRDefault="00D609E9">
            <w:pPr>
              <w:jc w:val="right"/>
            </w:pPr>
            <w:r>
              <w:rPr>
                <w:color w:val="000000"/>
                <w:sz w:val="24"/>
                <w:szCs w:val="24"/>
              </w:rPr>
              <w:t>2.68</w:t>
            </w:r>
          </w:p>
        </w:tc>
      </w:tr>
      <w:tr w:rsidR="00B81FDF">
        <w:trPr>
          <w:jc w:val="center"/>
        </w:trPr>
        <w:tc>
          <w:tcPr>
            <w:tcW w:w="855" w:type="dxa"/>
            <w:vAlign w:val="center"/>
          </w:tcPr>
          <w:p w:rsidR="00B81FDF" w:rsidRDefault="00D609E9">
            <w:pPr>
              <w:jc w:val="center"/>
            </w:pPr>
            <w:r>
              <w:rPr>
                <w:color w:val="000000"/>
                <w:sz w:val="24"/>
                <w:szCs w:val="24"/>
              </w:rPr>
              <w:t>3</w:t>
            </w:r>
          </w:p>
        </w:tc>
        <w:tc>
          <w:tcPr>
            <w:tcW w:w="1334" w:type="dxa"/>
            <w:vAlign w:val="center"/>
          </w:tcPr>
          <w:p w:rsidR="00B81FDF" w:rsidRDefault="00D609E9">
            <w:pPr>
              <w:jc w:val="center"/>
            </w:pPr>
            <w:r>
              <w:rPr>
                <w:color w:val="000000"/>
                <w:sz w:val="24"/>
                <w:szCs w:val="24"/>
              </w:rPr>
              <w:t>002352</w:t>
            </w:r>
          </w:p>
        </w:tc>
        <w:tc>
          <w:tcPr>
            <w:tcW w:w="1777" w:type="dxa"/>
            <w:vAlign w:val="center"/>
          </w:tcPr>
          <w:p w:rsidR="00B81FDF" w:rsidRDefault="00D609E9">
            <w:pPr>
              <w:jc w:val="center"/>
            </w:pPr>
            <w:r>
              <w:rPr>
                <w:color w:val="000000"/>
                <w:sz w:val="24"/>
                <w:szCs w:val="24"/>
              </w:rPr>
              <w:t>顺丰控股</w:t>
            </w:r>
          </w:p>
        </w:tc>
        <w:tc>
          <w:tcPr>
            <w:tcW w:w="1334" w:type="dxa"/>
            <w:vAlign w:val="center"/>
          </w:tcPr>
          <w:p w:rsidR="00B81FDF" w:rsidRDefault="00D609E9">
            <w:pPr>
              <w:jc w:val="right"/>
            </w:pPr>
            <w:r>
              <w:rPr>
                <w:color w:val="000000"/>
                <w:sz w:val="24"/>
                <w:szCs w:val="24"/>
              </w:rPr>
              <w:t>3,146,650</w:t>
            </w:r>
          </w:p>
        </w:tc>
        <w:tc>
          <w:tcPr>
            <w:tcW w:w="1924" w:type="dxa"/>
            <w:vAlign w:val="center"/>
          </w:tcPr>
          <w:p w:rsidR="00B81FDF" w:rsidRDefault="00D609E9">
            <w:pPr>
              <w:jc w:val="right"/>
            </w:pPr>
            <w:r>
              <w:rPr>
                <w:color w:val="000000"/>
                <w:sz w:val="24"/>
                <w:szCs w:val="24"/>
              </w:rPr>
              <w:t>248,904,980.00</w:t>
            </w:r>
          </w:p>
        </w:tc>
        <w:tc>
          <w:tcPr>
            <w:tcW w:w="1644" w:type="dxa"/>
            <w:vAlign w:val="center"/>
          </w:tcPr>
          <w:p w:rsidR="00B81FDF" w:rsidRDefault="00D609E9">
            <w:pPr>
              <w:jc w:val="right"/>
            </w:pPr>
            <w:r>
              <w:rPr>
                <w:color w:val="000000"/>
                <w:sz w:val="24"/>
                <w:szCs w:val="24"/>
              </w:rPr>
              <w:t>2.52</w:t>
            </w:r>
          </w:p>
        </w:tc>
      </w:tr>
      <w:tr w:rsidR="00B81FDF">
        <w:trPr>
          <w:jc w:val="center"/>
        </w:trPr>
        <w:tc>
          <w:tcPr>
            <w:tcW w:w="855" w:type="dxa"/>
            <w:vAlign w:val="center"/>
          </w:tcPr>
          <w:p w:rsidR="00B81FDF" w:rsidRDefault="00D609E9">
            <w:pPr>
              <w:jc w:val="center"/>
            </w:pPr>
            <w:r>
              <w:rPr>
                <w:color w:val="000000"/>
                <w:sz w:val="24"/>
                <w:szCs w:val="24"/>
              </w:rPr>
              <w:t>4</w:t>
            </w:r>
          </w:p>
        </w:tc>
        <w:tc>
          <w:tcPr>
            <w:tcW w:w="1334" w:type="dxa"/>
            <w:vAlign w:val="center"/>
          </w:tcPr>
          <w:p w:rsidR="00B81FDF" w:rsidRDefault="00D609E9">
            <w:pPr>
              <w:jc w:val="center"/>
            </w:pPr>
            <w:r>
              <w:rPr>
                <w:color w:val="000000"/>
                <w:sz w:val="24"/>
                <w:szCs w:val="24"/>
              </w:rPr>
              <w:t>000568</w:t>
            </w:r>
          </w:p>
        </w:tc>
        <w:tc>
          <w:tcPr>
            <w:tcW w:w="1777" w:type="dxa"/>
            <w:vAlign w:val="center"/>
          </w:tcPr>
          <w:p w:rsidR="00B81FDF" w:rsidRDefault="00D609E9">
            <w:pPr>
              <w:jc w:val="center"/>
            </w:pPr>
            <w:r>
              <w:rPr>
                <w:color w:val="000000"/>
                <w:sz w:val="24"/>
                <w:szCs w:val="24"/>
              </w:rPr>
              <w:t>泸州老窖</w:t>
            </w:r>
          </w:p>
        </w:tc>
        <w:tc>
          <w:tcPr>
            <w:tcW w:w="1334" w:type="dxa"/>
            <w:vAlign w:val="center"/>
          </w:tcPr>
          <w:p w:rsidR="00B81FDF" w:rsidRDefault="00D609E9">
            <w:pPr>
              <w:jc w:val="right"/>
            </w:pPr>
            <w:r>
              <w:rPr>
                <w:color w:val="000000"/>
                <w:sz w:val="24"/>
                <w:szCs w:val="24"/>
              </w:rPr>
              <w:t>1,493,264</w:t>
            </w:r>
          </w:p>
        </w:tc>
        <w:tc>
          <w:tcPr>
            <w:tcW w:w="1924" w:type="dxa"/>
            <w:vAlign w:val="center"/>
          </w:tcPr>
          <w:p w:rsidR="00B81FDF" w:rsidRDefault="00D609E9">
            <w:pPr>
              <w:jc w:val="right"/>
            </w:pPr>
            <w:r>
              <w:rPr>
                <w:color w:val="000000"/>
                <w:sz w:val="24"/>
                <w:szCs w:val="24"/>
              </w:rPr>
              <w:t>214,358,047.20</w:t>
            </w:r>
          </w:p>
        </w:tc>
        <w:tc>
          <w:tcPr>
            <w:tcW w:w="1644" w:type="dxa"/>
            <w:vAlign w:val="center"/>
          </w:tcPr>
          <w:p w:rsidR="00B81FDF" w:rsidRDefault="00D609E9">
            <w:pPr>
              <w:jc w:val="right"/>
            </w:pPr>
            <w:r>
              <w:rPr>
                <w:color w:val="000000"/>
                <w:sz w:val="24"/>
                <w:szCs w:val="24"/>
              </w:rPr>
              <w:t>2.17</w:t>
            </w:r>
          </w:p>
        </w:tc>
      </w:tr>
      <w:tr w:rsidR="00B81FDF">
        <w:trPr>
          <w:jc w:val="center"/>
        </w:trPr>
        <w:tc>
          <w:tcPr>
            <w:tcW w:w="855" w:type="dxa"/>
            <w:vAlign w:val="center"/>
          </w:tcPr>
          <w:p w:rsidR="00B81FDF" w:rsidRDefault="00D609E9">
            <w:pPr>
              <w:jc w:val="center"/>
            </w:pPr>
            <w:r>
              <w:rPr>
                <w:color w:val="000000"/>
                <w:sz w:val="24"/>
                <w:szCs w:val="24"/>
              </w:rPr>
              <w:t>5</w:t>
            </w:r>
          </w:p>
        </w:tc>
        <w:tc>
          <w:tcPr>
            <w:tcW w:w="1334" w:type="dxa"/>
            <w:vAlign w:val="center"/>
          </w:tcPr>
          <w:p w:rsidR="00B81FDF" w:rsidRDefault="00D609E9">
            <w:pPr>
              <w:jc w:val="center"/>
            </w:pPr>
            <w:r>
              <w:rPr>
                <w:color w:val="000000"/>
                <w:sz w:val="24"/>
                <w:szCs w:val="24"/>
              </w:rPr>
              <w:t>00700.HK</w:t>
            </w:r>
          </w:p>
        </w:tc>
        <w:tc>
          <w:tcPr>
            <w:tcW w:w="1777" w:type="dxa"/>
            <w:vAlign w:val="center"/>
          </w:tcPr>
          <w:p w:rsidR="00B81FDF" w:rsidRDefault="00D609E9">
            <w:pPr>
              <w:jc w:val="center"/>
            </w:pPr>
            <w:proofErr w:type="gramStart"/>
            <w:r>
              <w:rPr>
                <w:color w:val="000000"/>
                <w:sz w:val="24"/>
                <w:szCs w:val="24"/>
              </w:rPr>
              <w:t>腾讯控股</w:t>
            </w:r>
            <w:proofErr w:type="gramEnd"/>
          </w:p>
        </w:tc>
        <w:tc>
          <w:tcPr>
            <w:tcW w:w="1334" w:type="dxa"/>
            <w:vAlign w:val="center"/>
          </w:tcPr>
          <w:p w:rsidR="00B81FDF" w:rsidRDefault="00D609E9" w:rsidP="00D609E9">
            <w:pPr>
              <w:jc w:val="right"/>
            </w:pPr>
            <w:r>
              <w:rPr>
                <w:color w:val="000000"/>
                <w:sz w:val="24"/>
                <w:szCs w:val="24"/>
              </w:rPr>
              <w:t>474,200</w:t>
            </w:r>
          </w:p>
        </w:tc>
        <w:tc>
          <w:tcPr>
            <w:tcW w:w="1924" w:type="dxa"/>
            <w:vAlign w:val="center"/>
          </w:tcPr>
          <w:p w:rsidR="00B81FDF" w:rsidRDefault="00D609E9" w:rsidP="00D609E9">
            <w:pPr>
              <w:jc w:val="right"/>
            </w:pPr>
            <w:r>
              <w:rPr>
                <w:color w:val="000000"/>
                <w:sz w:val="24"/>
                <w:szCs w:val="24"/>
              </w:rPr>
              <w:t>213,136,435.78</w:t>
            </w:r>
          </w:p>
        </w:tc>
        <w:tc>
          <w:tcPr>
            <w:tcW w:w="1644" w:type="dxa"/>
            <w:vAlign w:val="center"/>
          </w:tcPr>
          <w:p w:rsidR="00B81FDF" w:rsidRDefault="00D609E9" w:rsidP="00D609E9">
            <w:pPr>
              <w:jc w:val="right"/>
            </w:pPr>
            <w:r>
              <w:rPr>
                <w:color w:val="000000"/>
                <w:sz w:val="24"/>
                <w:szCs w:val="24"/>
              </w:rPr>
              <w:t>2.16</w:t>
            </w:r>
          </w:p>
        </w:tc>
      </w:tr>
      <w:tr w:rsidR="00B81FDF">
        <w:trPr>
          <w:jc w:val="center"/>
        </w:trPr>
        <w:tc>
          <w:tcPr>
            <w:tcW w:w="855" w:type="dxa"/>
            <w:vAlign w:val="center"/>
          </w:tcPr>
          <w:p w:rsidR="00B81FDF" w:rsidRDefault="00D609E9">
            <w:pPr>
              <w:jc w:val="center"/>
            </w:pPr>
            <w:r>
              <w:rPr>
                <w:color w:val="000000"/>
                <w:sz w:val="24"/>
                <w:szCs w:val="24"/>
              </w:rPr>
              <w:t>6</w:t>
            </w:r>
          </w:p>
        </w:tc>
        <w:tc>
          <w:tcPr>
            <w:tcW w:w="1334" w:type="dxa"/>
            <w:vAlign w:val="center"/>
          </w:tcPr>
          <w:p w:rsidR="00B81FDF" w:rsidRDefault="00D609E9">
            <w:pPr>
              <w:jc w:val="center"/>
            </w:pPr>
            <w:r>
              <w:rPr>
                <w:color w:val="000000"/>
                <w:sz w:val="24"/>
                <w:szCs w:val="24"/>
              </w:rPr>
              <w:t>002493</w:t>
            </w:r>
          </w:p>
        </w:tc>
        <w:tc>
          <w:tcPr>
            <w:tcW w:w="1777" w:type="dxa"/>
            <w:vAlign w:val="center"/>
          </w:tcPr>
          <w:p w:rsidR="00B81FDF" w:rsidRDefault="00D609E9">
            <w:pPr>
              <w:jc w:val="center"/>
            </w:pPr>
            <w:r>
              <w:rPr>
                <w:color w:val="000000"/>
                <w:sz w:val="24"/>
                <w:szCs w:val="24"/>
              </w:rPr>
              <w:t>荣盛石化</w:t>
            </w:r>
          </w:p>
        </w:tc>
        <w:tc>
          <w:tcPr>
            <w:tcW w:w="1334" w:type="dxa"/>
            <w:vAlign w:val="center"/>
          </w:tcPr>
          <w:p w:rsidR="00B81FDF" w:rsidRDefault="00D609E9">
            <w:pPr>
              <w:jc w:val="right"/>
            </w:pPr>
            <w:r>
              <w:rPr>
                <w:color w:val="000000"/>
                <w:sz w:val="24"/>
                <w:szCs w:val="24"/>
              </w:rPr>
              <w:t>8,437,014</w:t>
            </w:r>
          </w:p>
        </w:tc>
        <w:tc>
          <w:tcPr>
            <w:tcW w:w="1924" w:type="dxa"/>
            <w:vAlign w:val="center"/>
          </w:tcPr>
          <w:p w:rsidR="00B81FDF" w:rsidRDefault="00D609E9">
            <w:pPr>
              <w:jc w:val="right"/>
            </w:pPr>
            <w:r>
              <w:rPr>
                <w:color w:val="000000"/>
                <w:sz w:val="24"/>
                <w:szCs w:val="24"/>
              </w:rPr>
              <w:t>158,278,382.64</w:t>
            </w:r>
          </w:p>
        </w:tc>
        <w:tc>
          <w:tcPr>
            <w:tcW w:w="1644" w:type="dxa"/>
            <w:vAlign w:val="center"/>
          </w:tcPr>
          <w:p w:rsidR="00B81FDF" w:rsidRDefault="00D609E9">
            <w:pPr>
              <w:jc w:val="right"/>
            </w:pPr>
            <w:r>
              <w:rPr>
                <w:color w:val="000000"/>
                <w:sz w:val="24"/>
                <w:szCs w:val="24"/>
              </w:rPr>
              <w:t>1.60</w:t>
            </w:r>
          </w:p>
        </w:tc>
      </w:tr>
      <w:tr w:rsidR="00B81FDF">
        <w:trPr>
          <w:jc w:val="center"/>
        </w:trPr>
        <w:tc>
          <w:tcPr>
            <w:tcW w:w="855" w:type="dxa"/>
            <w:vAlign w:val="center"/>
          </w:tcPr>
          <w:p w:rsidR="00B81FDF" w:rsidRDefault="00D609E9">
            <w:pPr>
              <w:jc w:val="center"/>
            </w:pPr>
            <w:r>
              <w:rPr>
                <w:color w:val="000000"/>
                <w:sz w:val="24"/>
                <w:szCs w:val="24"/>
              </w:rPr>
              <w:t>7</w:t>
            </w:r>
          </w:p>
        </w:tc>
        <w:tc>
          <w:tcPr>
            <w:tcW w:w="1334" w:type="dxa"/>
            <w:vAlign w:val="center"/>
          </w:tcPr>
          <w:p w:rsidR="00B81FDF" w:rsidRDefault="00D609E9">
            <w:pPr>
              <w:jc w:val="center"/>
            </w:pPr>
            <w:r>
              <w:rPr>
                <w:color w:val="000000"/>
                <w:sz w:val="24"/>
                <w:szCs w:val="24"/>
              </w:rPr>
              <w:t>002271</w:t>
            </w:r>
          </w:p>
        </w:tc>
        <w:tc>
          <w:tcPr>
            <w:tcW w:w="1777" w:type="dxa"/>
            <w:vAlign w:val="center"/>
          </w:tcPr>
          <w:p w:rsidR="00B81FDF" w:rsidRDefault="00D609E9">
            <w:pPr>
              <w:jc w:val="center"/>
            </w:pPr>
            <w:r>
              <w:rPr>
                <w:color w:val="000000"/>
                <w:sz w:val="24"/>
                <w:szCs w:val="24"/>
              </w:rPr>
              <w:t>东方雨虹</w:t>
            </w:r>
          </w:p>
        </w:tc>
        <w:tc>
          <w:tcPr>
            <w:tcW w:w="1334" w:type="dxa"/>
            <w:vAlign w:val="center"/>
          </w:tcPr>
          <w:p w:rsidR="00B81FDF" w:rsidRDefault="00D609E9">
            <w:pPr>
              <w:jc w:val="right"/>
            </w:pPr>
            <w:r>
              <w:rPr>
                <w:color w:val="000000"/>
                <w:sz w:val="24"/>
                <w:szCs w:val="24"/>
              </w:rPr>
              <w:t>2,564,927</w:t>
            </w:r>
          </w:p>
        </w:tc>
        <w:tc>
          <w:tcPr>
            <w:tcW w:w="1924" w:type="dxa"/>
            <w:vAlign w:val="center"/>
          </w:tcPr>
          <w:p w:rsidR="00B81FDF" w:rsidRDefault="00D609E9">
            <w:pPr>
              <w:jc w:val="right"/>
            </w:pPr>
            <w:r>
              <w:rPr>
                <w:color w:val="000000"/>
                <w:sz w:val="24"/>
                <w:szCs w:val="24"/>
              </w:rPr>
              <w:t>138,249,565.30</w:t>
            </w:r>
          </w:p>
        </w:tc>
        <w:tc>
          <w:tcPr>
            <w:tcW w:w="1644" w:type="dxa"/>
            <w:vAlign w:val="center"/>
          </w:tcPr>
          <w:p w:rsidR="00B81FDF" w:rsidRDefault="00D609E9">
            <w:pPr>
              <w:jc w:val="right"/>
            </w:pPr>
            <w:r>
              <w:rPr>
                <w:color w:val="000000"/>
                <w:sz w:val="24"/>
                <w:szCs w:val="24"/>
              </w:rPr>
              <w:t>1.40</w:t>
            </w:r>
          </w:p>
        </w:tc>
      </w:tr>
      <w:tr w:rsidR="00B81FDF">
        <w:trPr>
          <w:jc w:val="center"/>
        </w:trPr>
        <w:tc>
          <w:tcPr>
            <w:tcW w:w="855" w:type="dxa"/>
            <w:vAlign w:val="center"/>
          </w:tcPr>
          <w:p w:rsidR="00B81FDF" w:rsidRDefault="00D609E9">
            <w:pPr>
              <w:jc w:val="center"/>
            </w:pPr>
            <w:r>
              <w:rPr>
                <w:color w:val="000000"/>
                <w:sz w:val="24"/>
                <w:szCs w:val="24"/>
              </w:rPr>
              <w:t>8</w:t>
            </w:r>
          </w:p>
        </w:tc>
        <w:tc>
          <w:tcPr>
            <w:tcW w:w="1334" w:type="dxa"/>
            <w:vAlign w:val="center"/>
          </w:tcPr>
          <w:p w:rsidR="00B81FDF" w:rsidRDefault="00D609E9">
            <w:pPr>
              <w:jc w:val="center"/>
            </w:pPr>
            <w:r>
              <w:rPr>
                <w:color w:val="000000"/>
                <w:sz w:val="24"/>
                <w:szCs w:val="24"/>
              </w:rPr>
              <w:t>002304</w:t>
            </w:r>
          </w:p>
        </w:tc>
        <w:tc>
          <w:tcPr>
            <w:tcW w:w="1777" w:type="dxa"/>
            <w:vAlign w:val="center"/>
          </w:tcPr>
          <w:p w:rsidR="00B81FDF" w:rsidRDefault="00D609E9">
            <w:pPr>
              <w:jc w:val="center"/>
            </w:pPr>
            <w:r>
              <w:rPr>
                <w:color w:val="000000"/>
                <w:sz w:val="24"/>
                <w:szCs w:val="24"/>
              </w:rPr>
              <w:t>洋河股份</w:t>
            </w:r>
          </w:p>
        </w:tc>
        <w:tc>
          <w:tcPr>
            <w:tcW w:w="1334" w:type="dxa"/>
            <w:vAlign w:val="center"/>
          </w:tcPr>
          <w:p w:rsidR="00B81FDF" w:rsidRDefault="00D609E9">
            <w:pPr>
              <w:jc w:val="right"/>
            </w:pPr>
            <w:r>
              <w:rPr>
                <w:color w:val="000000"/>
                <w:sz w:val="24"/>
                <w:szCs w:val="24"/>
              </w:rPr>
              <w:t>1,015,136</w:t>
            </w:r>
          </w:p>
        </w:tc>
        <w:tc>
          <w:tcPr>
            <w:tcW w:w="1924" w:type="dxa"/>
            <w:vAlign w:val="center"/>
          </w:tcPr>
          <w:p w:rsidR="00B81FDF" w:rsidRDefault="00D609E9">
            <w:pPr>
              <w:jc w:val="right"/>
            </w:pPr>
            <w:r>
              <w:rPr>
                <w:color w:val="000000"/>
                <w:sz w:val="24"/>
                <w:szCs w:val="24"/>
              </w:rPr>
              <w:t>126,881,848.64</w:t>
            </w:r>
          </w:p>
        </w:tc>
        <w:tc>
          <w:tcPr>
            <w:tcW w:w="1644" w:type="dxa"/>
            <w:vAlign w:val="center"/>
          </w:tcPr>
          <w:p w:rsidR="00B81FDF" w:rsidRDefault="00D609E9">
            <w:pPr>
              <w:jc w:val="right"/>
            </w:pPr>
            <w:r>
              <w:rPr>
                <w:color w:val="000000"/>
                <w:sz w:val="24"/>
                <w:szCs w:val="24"/>
              </w:rPr>
              <w:t>1.29</w:t>
            </w:r>
          </w:p>
        </w:tc>
      </w:tr>
      <w:tr w:rsidR="00B81FDF">
        <w:trPr>
          <w:jc w:val="center"/>
        </w:trPr>
        <w:tc>
          <w:tcPr>
            <w:tcW w:w="855" w:type="dxa"/>
            <w:vAlign w:val="center"/>
          </w:tcPr>
          <w:p w:rsidR="00B81FDF" w:rsidRDefault="00D609E9">
            <w:pPr>
              <w:jc w:val="center"/>
            </w:pPr>
            <w:r>
              <w:rPr>
                <w:color w:val="000000"/>
                <w:sz w:val="24"/>
                <w:szCs w:val="24"/>
              </w:rPr>
              <w:t>9</w:t>
            </w:r>
          </w:p>
        </w:tc>
        <w:tc>
          <w:tcPr>
            <w:tcW w:w="1334" w:type="dxa"/>
            <w:vAlign w:val="center"/>
          </w:tcPr>
          <w:p w:rsidR="00B81FDF" w:rsidRDefault="00D609E9">
            <w:pPr>
              <w:jc w:val="center"/>
            </w:pPr>
            <w:r>
              <w:rPr>
                <w:color w:val="000000"/>
                <w:sz w:val="24"/>
                <w:szCs w:val="24"/>
              </w:rPr>
              <w:t>300015</w:t>
            </w:r>
          </w:p>
        </w:tc>
        <w:tc>
          <w:tcPr>
            <w:tcW w:w="1777" w:type="dxa"/>
            <w:vAlign w:val="center"/>
          </w:tcPr>
          <w:p w:rsidR="00B81FDF" w:rsidRDefault="00D609E9">
            <w:pPr>
              <w:jc w:val="center"/>
            </w:pPr>
            <w:r>
              <w:rPr>
                <w:color w:val="000000"/>
                <w:sz w:val="24"/>
                <w:szCs w:val="24"/>
              </w:rPr>
              <w:t>爱尔眼科</w:t>
            </w:r>
          </w:p>
        </w:tc>
        <w:tc>
          <w:tcPr>
            <w:tcW w:w="1334" w:type="dxa"/>
            <w:vAlign w:val="center"/>
          </w:tcPr>
          <w:p w:rsidR="00B81FDF" w:rsidRDefault="00D609E9">
            <w:pPr>
              <w:jc w:val="right"/>
            </w:pPr>
            <w:r>
              <w:rPr>
                <w:color w:val="000000"/>
                <w:sz w:val="24"/>
                <w:szCs w:val="24"/>
              </w:rPr>
              <w:t>2,218,504</w:t>
            </w:r>
          </w:p>
        </w:tc>
        <w:tc>
          <w:tcPr>
            <w:tcW w:w="1924" w:type="dxa"/>
            <w:vAlign w:val="center"/>
          </w:tcPr>
          <w:p w:rsidR="00B81FDF" w:rsidRDefault="00D609E9">
            <w:pPr>
              <w:jc w:val="right"/>
            </w:pPr>
            <w:r>
              <w:rPr>
                <w:color w:val="000000"/>
                <w:sz w:val="24"/>
                <w:szCs w:val="24"/>
              </w:rPr>
              <w:t>114,075,475.68</w:t>
            </w:r>
          </w:p>
        </w:tc>
        <w:tc>
          <w:tcPr>
            <w:tcW w:w="1644" w:type="dxa"/>
            <w:vAlign w:val="center"/>
          </w:tcPr>
          <w:p w:rsidR="00B81FDF" w:rsidRDefault="00D609E9">
            <w:pPr>
              <w:jc w:val="right"/>
            </w:pPr>
            <w:r>
              <w:rPr>
                <w:color w:val="000000"/>
                <w:sz w:val="24"/>
                <w:szCs w:val="24"/>
              </w:rPr>
              <w:t>1.16</w:t>
            </w:r>
          </w:p>
        </w:tc>
      </w:tr>
      <w:tr w:rsidR="00B81FDF">
        <w:trPr>
          <w:jc w:val="center"/>
        </w:trPr>
        <w:tc>
          <w:tcPr>
            <w:tcW w:w="855" w:type="dxa"/>
            <w:vAlign w:val="center"/>
          </w:tcPr>
          <w:p w:rsidR="00B81FDF" w:rsidRDefault="00D609E9">
            <w:pPr>
              <w:jc w:val="center"/>
            </w:pPr>
            <w:r>
              <w:rPr>
                <w:color w:val="000000"/>
                <w:sz w:val="24"/>
                <w:szCs w:val="24"/>
              </w:rPr>
              <w:t>10</w:t>
            </w:r>
          </w:p>
        </w:tc>
        <w:tc>
          <w:tcPr>
            <w:tcW w:w="1334" w:type="dxa"/>
            <w:vAlign w:val="center"/>
          </w:tcPr>
          <w:p w:rsidR="00B81FDF" w:rsidRDefault="00D609E9">
            <w:pPr>
              <w:jc w:val="center"/>
            </w:pPr>
            <w:r>
              <w:rPr>
                <w:color w:val="000000"/>
                <w:sz w:val="24"/>
                <w:szCs w:val="24"/>
              </w:rPr>
              <w:t>300413</w:t>
            </w:r>
          </w:p>
        </w:tc>
        <w:tc>
          <w:tcPr>
            <w:tcW w:w="1777" w:type="dxa"/>
            <w:vAlign w:val="center"/>
          </w:tcPr>
          <w:p w:rsidR="00B81FDF" w:rsidRDefault="00D609E9">
            <w:pPr>
              <w:jc w:val="center"/>
            </w:pPr>
            <w:proofErr w:type="gramStart"/>
            <w:r>
              <w:rPr>
                <w:color w:val="000000"/>
                <w:sz w:val="24"/>
                <w:szCs w:val="24"/>
              </w:rPr>
              <w:t>芒果超媒</w:t>
            </w:r>
            <w:proofErr w:type="gramEnd"/>
          </w:p>
        </w:tc>
        <w:tc>
          <w:tcPr>
            <w:tcW w:w="1334" w:type="dxa"/>
            <w:vAlign w:val="center"/>
          </w:tcPr>
          <w:p w:rsidR="00B81FDF" w:rsidRDefault="00D609E9">
            <w:pPr>
              <w:jc w:val="right"/>
            </w:pPr>
            <w:r>
              <w:rPr>
                <w:color w:val="000000"/>
                <w:sz w:val="24"/>
                <w:szCs w:val="24"/>
              </w:rPr>
              <w:t>1,691,066</w:t>
            </w:r>
          </w:p>
        </w:tc>
        <w:tc>
          <w:tcPr>
            <w:tcW w:w="1924" w:type="dxa"/>
            <w:vAlign w:val="center"/>
          </w:tcPr>
          <w:p w:rsidR="00B81FDF" w:rsidRDefault="00D609E9">
            <w:pPr>
              <w:jc w:val="right"/>
            </w:pPr>
            <w:r>
              <w:rPr>
                <w:color w:val="000000"/>
                <w:sz w:val="24"/>
                <w:szCs w:val="24"/>
              </w:rPr>
              <w:t>113,977,848.40</w:t>
            </w:r>
          </w:p>
        </w:tc>
        <w:tc>
          <w:tcPr>
            <w:tcW w:w="1644" w:type="dxa"/>
            <w:vAlign w:val="center"/>
          </w:tcPr>
          <w:p w:rsidR="00B81FDF" w:rsidRDefault="00D609E9">
            <w:pPr>
              <w:jc w:val="right"/>
            </w:pPr>
            <w:r>
              <w:rPr>
                <w:color w:val="000000"/>
                <w:sz w:val="24"/>
                <w:szCs w:val="24"/>
              </w:rPr>
              <w:t>1.15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5.4 </w:t>
      </w:r>
      <w:r w:rsidRPr="00414345">
        <w:rPr>
          <w:b/>
          <w:bCs/>
          <w:color w:val="000000"/>
          <w:kern w:val="0"/>
          <w:sz w:val="24"/>
          <w:szCs w:val="24"/>
        </w:rPr>
        <w:t>报告期末按债券品种分类的债券投资组合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1631D2" w:rsidRPr="00414345" w:rsidRDefault="001631D2"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1631D2" w:rsidRPr="00414345" w:rsidRDefault="001631D2"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1631D2" w:rsidRPr="00414345" w:rsidRDefault="001631D2"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1,154,918.58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464,623,855.92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-2,668,388.73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2,183,686.65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465,294,072.42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1631D2" w:rsidRPr="00414345" w:rsidRDefault="001631D2" w:rsidP="00C15CAC">
      <w:pPr>
        <w:autoSpaceDE w:val="0"/>
        <w:autoSpaceDN w:val="0"/>
        <w:adjustRightInd w:val="0"/>
        <w:spacing w:before="29" w:line="288" w:lineRule="auto"/>
        <w:jc w:val="left"/>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B81FDF">
        <w:trPr>
          <w:jc w:val="center"/>
        </w:trPr>
        <w:tc>
          <w:tcPr>
            <w:tcW w:w="1129" w:type="dxa"/>
            <w:vAlign w:val="center"/>
          </w:tcPr>
          <w:p w:rsidR="00B81FDF" w:rsidRDefault="00D609E9">
            <w:pPr>
              <w:jc w:val="center"/>
            </w:pPr>
            <w:r>
              <w:rPr>
                <w:color w:val="000000"/>
                <w:sz w:val="24"/>
                <w:szCs w:val="24"/>
              </w:rPr>
              <w:t>1</w:t>
            </w:r>
          </w:p>
        </w:tc>
        <w:tc>
          <w:tcPr>
            <w:tcW w:w="1356" w:type="dxa"/>
            <w:vAlign w:val="center"/>
          </w:tcPr>
          <w:p w:rsidR="00B81FDF" w:rsidRDefault="00D609E9">
            <w:pPr>
              <w:jc w:val="center"/>
            </w:pPr>
            <w:r>
              <w:rPr>
                <w:color w:val="000000"/>
                <w:sz w:val="24"/>
                <w:szCs w:val="24"/>
              </w:rPr>
              <w:t>002352</w:t>
            </w:r>
          </w:p>
        </w:tc>
        <w:tc>
          <w:tcPr>
            <w:tcW w:w="1355" w:type="dxa"/>
            <w:vAlign w:val="center"/>
          </w:tcPr>
          <w:p w:rsidR="00B81FDF" w:rsidRDefault="00D609E9">
            <w:pPr>
              <w:jc w:val="center"/>
            </w:pPr>
            <w:r>
              <w:rPr>
                <w:color w:val="000000"/>
                <w:sz w:val="24"/>
                <w:szCs w:val="24"/>
              </w:rPr>
              <w:t>顺丰控股</w:t>
            </w:r>
          </w:p>
        </w:tc>
        <w:tc>
          <w:tcPr>
            <w:tcW w:w="1880" w:type="dxa"/>
            <w:vAlign w:val="center"/>
          </w:tcPr>
          <w:p w:rsidR="00B81FDF" w:rsidRDefault="00D609E9">
            <w:pPr>
              <w:jc w:val="right"/>
            </w:pPr>
            <w:r>
              <w:rPr>
                <w:color w:val="000000"/>
                <w:sz w:val="24"/>
                <w:szCs w:val="24"/>
              </w:rPr>
              <w:t>119,257,000.00</w:t>
            </w:r>
          </w:p>
        </w:tc>
        <w:tc>
          <w:tcPr>
            <w:tcW w:w="1724" w:type="dxa"/>
            <w:vAlign w:val="center"/>
          </w:tcPr>
          <w:p w:rsidR="00B81FDF" w:rsidRDefault="00D609E9">
            <w:pPr>
              <w:jc w:val="right"/>
            </w:pPr>
            <w:r>
              <w:rPr>
                <w:color w:val="000000"/>
                <w:sz w:val="24"/>
                <w:szCs w:val="24"/>
              </w:rPr>
              <w:t>1.21</w:t>
            </w:r>
          </w:p>
        </w:tc>
        <w:tc>
          <w:tcPr>
            <w:tcW w:w="1424" w:type="dxa"/>
            <w:vAlign w:val="center"/>
          </w:tcPr>
          <w:p w:rsidR="00B81FDF" w:rsidRDefault="00D609E9">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w:t>
            </w:r>
            <w:r w:rsidR="004061AC" w:rsidRPr="00414345">
              <w:rPr>
                <w:color w:val="000000"/>
                <w:kern w:val="0"/>
                <w:sz w:val="24"/>
                <w:szCs w:val="24"/>
              </w:rPr>
              <w:t>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10,097,321,193.89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基金合同生效日起</w:t>
            </w:r>
            <w:proofErr w:type="gramStart"/>
            <w:r w:rsidRPr="00414345">
              <w:rPr>
                <w:color w:val="000000"/>
                <w:kern w:val="0"/>
                <w:sz w:val="24"/>
                <w:szCs w:val="24"/>
              </w:rPr>
              <w:t>至报告</w:t>
            </w:r>
            <w:proofErr w:type="gramEnd"/>
            <w:r w:rsidRPr="00414345">
              <w:rPr>
                <w:color w:val="000000"/>
                <w:kern w:val="0"/>
                <w:sz w:val="24"/>
                <w:szCs w:val="24"/>
              </w:rPr>
              <w:t>期期末</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287,380,564.99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基金合同生效日起</w:t>
            </w:r>
            <w:proofErr w:type="gramStart"/>
            <w:r w:rsidR="00FE179F" w:rsidRPr="00414345">
              <w:rPr>
                <w:color w:val="000000"/>
                <w:kern w:val="0"/>
                <w:sz w:val="24"/>
                <w:szCs w:val="24"/>
              </w:rPr>
              <w:t>至报告</w:t>
            </w:r>
            <w:proofErr w:type="gramEnd"/>
            <w:r w:rsidR="00FE179F" w:rsidRPr="00414345">
              <w:rPr>
                <w:color w:val="000000"/>
                <w:kern w:val="0"/>
                <w:sz w:val="24"/>
                <w:szCs w:val="24"/>
              </w:rPr>
              <w:t>期期末</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666,337,198.86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基金合同生效日起</w:t>
            </w:r>
            <w:proofErr w:type="gramStart"/>
            <w:r w:rsidRPr="00414345">
              <w:rPr>
                <w:color w:val="000000"/>
                <w:kern w:val="0"/>
                <w:sz w:val="24"/>
                <w:szCs w:val="24"/>
              </w:rPr>
              <w:t>至报告</w:t>
            </w:r>
            <w:proofErr w:type="gramEnd"/>
            <w:r w:rsidRPr="00414345">
              <w:rPr>
                <w:color w:val="000000"/>
                <w:kern w:val="0"/>
                <w:sz w:val="24"/>
                <w:szCs w:val="24"/>
              </w:rPr>
              <w:t>期期末</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9,718,364,560.02</w:t>
            </w:r>
          </w:p>
        </w:tc>
      </w:tr>
    </w:tbl>
    <w:p w:rsidR="00B81FDF" w:rsidRDefault="00D609E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1631D2">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1631D2" w:rsidRDefault="003C50AD" w:rsidP="003C50AD">
      <w:pPr>
        <w:spacing w:line="360" w:lineRule="auto"/>
        <w:ind w:firstLineChars="200" w:firstLine="480"/>
        <w:rPr>
          <w:rFonts w:ascii="宋体" w:hAnsi="宋体"/>
          <w:color w:val="000000"/>
          <w:sz w:val="24"/>
          <w:szCs w:val="24"/>
        </w:rPr>
      </w:pPr>
      <w:r w:rsidRPr="001631D2">
        <w:rPr>
          <w:rFonts w:ascii="宋体" w:hAnsi="宋体"/>
          <w:color w:val="000000"/>
          <w:sz w:val="24"/>
          <w:szCs w:val="24"/>
        </w:rPr>
        <w:t>根据有关法律法规规定和基金合同的约定，本基金可投资</w:t>
      </w:r>
      <w:proofErr w:type="gramStart"/>
      <w:r w:rsidRPr="001631D2">
        <w:rPr>
          <w:rFonts w:ascii="宋体" w:hAnsi="宋体"/>
          <w:color w:val="000000"/>
          <w:sz w:val="24"/>
          <w:szCs w:val="24"/>
        </w:rPr>
        <w:t>科创板</w:t>
      </w:r>
      <w:proofErr w:type="gramEnd"/>
      <w:r w:rsidRPr="001631D2">
        <w:rPr>
          <w:rFonts w:ascii="宋体" w:hAnsi="宋体"/>
          <w:color w:val="000000"/>
          <w:sz w:val="24"/>
          <w:szCs w:val="24"/>
        </w:rPr>
        <w:t>股票。基金资产投资于</w:t>
      </w:r>
      <w:proofErr w:type="gramStart"/>
      <w:r w:rsidRPr="001631D2">
        <w:rPr>
          <w:rFonts w:ascii="宋体" w:hAnsi="宋体"/>
          <w:color w:val="000000"/>
          <w:sz w:val="24"/>
          <w:szCs w:val="24"/>
        </w:rPr>
        <w:t>科创板</w:t>
      </w:r>
      <w:proofErr w:type="gramEnd"/>
      <w:r w:rsidRPr="001631D2">
        <w:rPr>
          <w:rFonts w:ascii="宋体" w:hAnsi="宋体"/>
          <w:color w:val="000000"/>
          <w:sz w:val="24"/>
          <w:szCs w:val="24"/>
        </w:rPr>
        <w:t>股票，会</w:t>
      </w:r>
      <w:proofErr w:type="gramStart"/>
      <w:r w:rsidRPr="001631D2">
        <w:rPr>
          <w:rFonts w:ascii="宋体" w:hAnsi="宋体"/>
          <w:color w:val="000000"/>
          <w:sz w:val="24"/>
          <w:szCs w:val="24"/>
        </w:rPr>
        <w:t>面临科创板机制</w:t>
      </w:r>
      <w:proofErr w:type="gramEnd"/>
      <w:r w:rsidRPr="001631D2">
        <w:rPr>
          <w:rFonts w:ascii="宋体" w:hAnsi="宋体"/>
          <w:color w:val="000000"/>
          <w:sz w:val="24"/>
          <w:szCs w:val="24"/>
        </w:rPr>
        <w:t>下因投资标的、市场制度以及交易规则等差异带来的特有风险，包括但不限于市场风险、流动性风险、退市风险、集中度风险、系统性风险、政策风险等。有关详情请查阅本基金管理人于2020年7月8日发布的《交银施罗德基金管理有限公司关于交银施罗德启汇混合型证券投资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B81FDF" w:rsidRDefault="00D609E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w:t>
      </w:r>
      <w:proofErr w:type="gramStart"/>
      <w:r>
        <w:rPr>
          <w:color w:val="000000"/>
          <w:sz w:val="24"/>
          <w:szCs w:val="24"/>
        </w:rPr>
        <w:t>启汇混合型</w:t>
      </w:r>
      <w:proofErr w:type="gramEnd"/>
      <w:r>
        <w:rPr>
          <w:color w:val="000000"/>
          <w:sz w:val="24"/>
          <w:szCs w:val="24"/>
        </w:rPr>
        <w:t>证券投资基金募集注册的文件；</w:t>
      </w:r>
      <w:r>
        <w:rPr>
          <w:color w:val="000000"/>
          <w:sz w:val="24"/>
          <w:szCs w:val="24"/>
        </w:rPr>
        <w:t xml:space="preserve"> </w:t>
      </w:r>
    </w:p>
    <w:p w:rsidR="00B81FDF" w:rsidRDefault="00D609E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、《交银施罗德启汇混合型证券投资基金基金合同》；</w:t>
      </w:r>
      <w:r>
        <w:rPr>
          <w:color w:val="000000"/>
          <w:sz w:val="24"/>
          <w:szCs w:val="24"/>
        </w:rPr>
        <w:t xml:space="preserve"> </w:t>
      </w:r>
    </w:p>
    <w:p w:rsidR="00B81FDF" w:rsidRDefault="00D609E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、《交银施罗德启汇混合型证券投资基金招募说明书》；</w:t>
      </w:r>
      <w:r>
        <w:rPr>
          <w:color w:val="000000"/>
          <w:sz w:val="24"/>
          <w:szCs w:val="24"/>
        </w:rPr>
        <w:t xml:space="preserve"> </w:t>
      </w:r>
    </w:p>
    <w:p w:rsidR="00B81FDF" w:rsidRDefault="00D609E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、《交银施罗德启汇混合型证券投资基金托管协议》；</w:t>
      </w:r>
      <w:r>
        <w:rPr>
          <w:color w:val="000000"/>
          <w:sz w:val="24"/>
          <w:szCs w:val="24"/>
        </w:rPr>
        <w:t xml:space="preserve"> </w:t>
      </w:r>
    </w:p>
    <w:p w:rsidR="00B81FDF" w:rsidRDefault="00D609E9">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w:t>
      </w:r>
      <w:proofErr w:type="gramStart"/>
      <w:r>
        <w:rPr>
          <w:color w:val="000000"/>
          <w:sz w:val="24"/>
          <w:szCs w:val="24"/>
        </w:rPr>
        <w:t>启汇混合型</w:t>
      </w:r>
      <w:proofErr w:type="gramEnd"/>
      <w:r>
        <w:rPr>
          <w:color w:val="000000"/>
          <w:sz w:val="24"/>
          <w:szCs w:val="24"/>
        </w:rPr>
        <w:t>证券投资基金的法律意见书；</w:t>
      </w:r>
      <w:r>
        <w:rPr>
          <w:color w:val="000000"/>
          <w:sz w:val="24"/>
          <w:szCs w:val="24"/>
        </w:rPr>
        <w:t xml:space="preserve"> </w:t>
      </w:r>
    </w:p>
    <w:p w:rsidR="00B81FDF" w:rsidRDefault="00D609E9">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81FDF" w:rsidRDefault="00D609E9">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w:t>
      </w:r>
      <w:proofErr w:type="gramStart"/>
      <w:r w:rsidRPr="00414345">
        <w:rPr>
          <w:color w:val="000000"/>
          <w:sz w:val="24"/>
          <w:szCs w:val="24"/>
        </w:rPr>
        <w:t>启汇混合型</w:t>
      </w:r>
      <w:proofErr w:type="gramEnd"/>
      <w:r w:rsidRPr="00414345">
        <w:rPr>
          <w:color w:val="000000"/>
          <w:sz w:val="24"/>
          <w:szCs w:val="24"/>
        </w:rPr>
        <w:t>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B81FDF" w:rsidRDefault="00D609E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449" w:rsidRDefault="00D70449" w:rsidP="00876D65">
      <w:r>
        <w:separator/>
      </w:r>
    </w:p>
  </w:endnote>
  <w:endnote w:type="continuationSeparator" w:id="0">
    <w:p w:rsidR="00D70449" w:rsidRDefault="00D7044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246" w:rsidRDefault="007E124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246" w:rsidRPr="001D0DB0" w:rsidRDefault="007E1246" w:rsidP="004D340C">
    <w:pPr>
      <w:pStyle w:val="a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7</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noProof/>
        <w:kern w:val="0"/>
        <w:szCs w:val="21"/>
      </w:rPr>
      <w:t>12</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246" w:rsidRDefault="007E12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449" w:rsidRDefault="00D70449" w:rsidP="00876D65">
      <w:r>
        <w:separator/>
      </w:r>
    </w:p>
  </w:footnote>
  <w:footnote w:type="continuationSeparator" w:id="0">
    <w:p w:rsidR="00D70449" w:rsidRDefault="00D70449"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246" w:rsidRDefault="007E124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246" w:rsidRPr="00DC456F" w:rsidRDefault="007E1246" w:rsidP="00090A26">
    <w:pPr>
      <w:pStyle w:val="ac"/>
      <w:pBdr>
        <w:bottom w:val="single" w:sz="6" w:space="0" w:color="auto"/>
      </w:pBdr>
      <w:jc w:val="right"/>
      <w:rPr>
        <w:sz w:val="24"/>
        <w:szCs w:val="24"/>
      </w:rPr>
    </w:pPr>
    <w:r w:rsidRPr="003E676C">
      <w:rPr>
        <w:sz w:val="24"/>
        <w:szCs w:val="24"/>
      </w:rPr>
      <w:t>交银施罗德</w:t>
    </w:r>
    <w:proofErr w:type="gramStart"/>
    <w:r w:rsidRPr="003E676C">
      <w:rPr>
        <w:sz w:val="24"/>
        <w:szCs w:val="24"/>
      </w:rPr>
      <w:t>启汇混合型</w:t>
    </w:r>
    <w:proofErr w:type="gramEnd"/>
    <w:r w:rsidRPr="003E676C">
      <w:rPr>
        <w:sz w:val="24"/>
        <w:szCs w:val="24"/>
      </w:rPr>
      <w:t>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246" w:rsidRDefault="007E124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216D9"/>
    <w:rsid w:val="00133015"/>
    <w:rsid w:val="00137452"/>
    <w:rsid w:val="00137B31"/>
    <w:rsid w:val="00144F93"/>
    <w:rsid w:val="00147376"/>
    <w:rsid w:val="0015450B"/>
    <w:rsid w:val="00154BE1"/>
    <w:rsid w:val="0015710B"/>
    <w:rsid w:val="00160EDC"/>
    <w:rsid w:val="00162D61"/>
    <w:rsid w:val="001631D2"/>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306B6"/>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94AF0"/>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D7467"/>
    <w:rsid w:val="007E1246"/>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1FDF"/>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09E9"/>
    <w:rsid w:val="00D65B44"/>
    <w:rsid w:val="00D70449"/>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03990579">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7212A-30C7-4C0B-ADC9-B11D55CE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12</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604</cp:revision>
  <dcterms:created xsi:type="dcterms:W3CDTF">2012-10-16T06:07:00Z</dcterms:created>
  <dcterms:modified xsi:type="dcterms:W3CDTF">2020-10-23T10:01:00Z</dcterms:modified>
</cp:coreProperties>
</file>