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2673" w:rsidRPr="00EC5CE0" w:rsidRDefault="00A62673" w:rsidP="00074E9F">
      <w:pPr>
        <w:autoSpaceDE w:val="0"/>
        <w:autoSpaceDN w:val="0"/>
        <w:adjustRightInd w:val="0"/>
        <w:spacing w:line="360" w:lineRule="auto"/>
        <w:jc w:val="left"/>
        <w:rPr>
          <w:rFonts w:ascii="宋体" w:cs="Arial"/>
          <w:color w:val="000000"/>
          <w:kern w:val="0"/>
          <w:sz w:val="24"/>
        </w:rPr>
      </w:pPr>
    </w:p>
    <w:p w:rsidR="00A62673" w:rsidRPr="00EC5CE0" w:rsidRDefault="00A62673" w:rsidP="00074E9F">
      <w:pPr>
        <w:autoSpaceDE w:val="0"/>
        <w:autoSpaceDN w:val="0"/>
        <w:adjustRightInd w:val="0"/>
        <w:spacing w:line="360" w:lineRule="auto"/>
        <w:jc w:val="left"/>
        <w:rPr>
          <w:rFonts w:ascii="宋体" w:cs="Arial"/>
          <w:color w:val="000000"/>
          <w:kern w:val="0"/>
          <w:sz w:val="24"/>
        </w:rPr>
      </w:pPr>
    </w:p>
    <w:p w:rsidR="00A62673" w:rsidRPr="00EC5CE0" w:rsidRDefault="00A62673" w:rsidP="00074E9F">
      <w:pPr>
        <w:autoSpaceDE w:val="0"/>
        <w:autoSpaceDN w:val="0"/>
        <w:adjustRightInd w:val="0"/>
        <w:spacing w:line="360" w:lineRule="auto"/>
        <w:jc w:val="left"/>
        <w:rPr>
          <w:rFonts w:ascii="宋体" w:cs="Arial"/>
          <w:color w:val="000000"/>
          <w:kern w:val="0"/>
          <w:sz w:val="24"/>
        </w:rPr>
      </w:pPr>
    </w:p>
    <w:p w:rsidR="00A62673" w:rsidRPr="00EC5CE0" w:rsidRDefault="00A62673" w:rsidP="00074E9F">
      <w:pPr>
        <w:autoSpaceDE w:val="0"/>
        <w:autoSpaceDN w:val="0"/>
        <w:adjustRightInd w:val="0"/>
        <w:spacing w:line="360" w:lineRule="auto"/>
        <w:jc w:val="left"/>
        <w:rPr>
          <w:rFonts w:ascii="宋体" w:cs="Arial"/>
          <w:color w:val="000000"/>
          <w:kern w:val="0"/>
          <w:sz w:val="36"/>
          <w:szCs w:val="36"/>
        </w:rPr>
      </w:pPr>
    </w:p>
    <w:p w:rsidR="00A62673" w:rsidRPr="00EC5CE0" w:rsidRDefault="00A62673" w:rsidP="000020BB">
      <w:pPr>
        <w:spacing w:line="360" w:lineRule="auto"/>
        <w:jc w:val="center"/>
        <w:rPr>
          <w:rFonts w:ascii="宋体" w:hAnsi="宋体"/>
          <w:b/>
          <w:sz w:val="36"/>
          <w:szCs w:val="36"/>
        </w:rPr>
      </w:pPr>
      <w:r w:rsidRPr="00EC5CE0">
        <w:rPr>
          <w:rFonts w:ascii="宋体" w:hAnsi="宋体"/>
          <w:b/>
          <w:sz w:val="36"/>
          <w:szCs w:val="36"/>
        </w:rPr>
        <w:t>交银施罗德创业板50指数型证券投资基金</w:t>
      </w:r>
    </w:p>
    <w:p w:rsidR="00A62673" w:rsidRPr="00EC5CE0" w:rsidRDefault="00A62673" w:rsidP="000020BB">
      <w:pPr>
        <w:spacing w:line="360" w:lineRule="auto"/>
        <w:jc w:val="center"/>
        <w:rPr>
          <w:rFonts w:ascii="宋体" w:hAnsi="宋体"/>
          <w:b/>
          <w:sz w:val="36"/>
          <w:szCs w:val="36"/>
        </w:rPr>
      </w:pPr>
      <w:r w:rsidRPr="00EC5CE0">
        <w:rPr>
          <w:rFonts w:ascii="宋体" w:hAnsi="宋体"/>
          <w:b/>
          <w:sz w:val="36"/>
          <w:szCs w:val="36"/>
        </w:rPr>
        <w:t>2020年第3季度报告</w:t>
      </w:r>
    </w:p>
    <w:p w:rsidR="00A62673" w:rsidRPr="00977154" w:rsidRDefault="00A62673" w:rsidP="000020BB">
      <w:pPr>
        <w:spacing w:line="360" w:lineRule="auto"/>
        <w:jc w:val="center"/>
        <w:rPr>
          <w:rFonts w:ascii="宋体" w:hAnsi="宋体"/>
          <w:b/>
          <w:sz w:val="24"/>
        </w:rPr>
      </w:pPr>
      <w:r w:rsidRPr="00977154">
        <w:rPr>
          <w:rFonts w:ascii="宋体" w:hAnsi="宋体"/>
          <w:b/>
          <w:sz w:val="24"/>
        </w:rPr>
        <w:t>2020年9月30日</w:t>
      </w:r>
    </w:p>
    <w:p w:rsidR="00A62673" w:rsidRPr="00EC5CE0" w:rsidRDefault="00A62673" w:rsidP="00074E9F">
      <w:pPr>
        <w:spacing w:line="360" w:lineRule="auto"/>
        <w:jc w:val="center"/>
        <w:rPr>
          <w:rFonts w:ascii="宋体"/>
          <w:b/>
          <w:color w:val="000000"/>
          <w:sz w:val="24"/>
        </w:rPr>
      </w:pPr>
    </w:p>
    <w:p w:rsidR="00A62673" w:rsidRPr="00EC5CE0" w:rsidRDefault="00A62673" w:rsidP="00074E9F">
      <w:pPr>
        <w:spacing w:line="360" w:lineRule="auto"/>
        <w:jc w:val="center"/>
        <w:rPr>
          <w:rFonts w:ascii="宋体"/>
          <w:b/>
          <w:color w:val="000000"/>
          <w:sz w:val="24"/>
        </w:rPr>
      </w:pPr>
    </w:p>
    <w:p w:rsidR="00A62673" w:rsidRPr="00EC5CE0" w:rsidRDefault="00A62673" w:rsidP="00074E9F">
      <w:pPr>
        <w:spacing w:line="360" w:lineRule="auto"/>
        <w:jc w:val="center"/>
        <w:rPr>
          <w:rFonts w:ascii="宋体"/>
          <w:b/>
          <w:color w:val="000000"/>
          <w:sz w:val="24"/>
        </w:rPr>
      </w:pPr>
    </w:p>
    <w:p w:rsidR="00A62673" w:rsidRPr="00EC5CE0" w:rsidRDefault="00A62673" w:rsidP="00074E9F">
      <w:pPr>
        <w:spacing w:line="360" w:lineRule="auto"/>
        <w:jc w:val="center"/>
        <w:rPr>
          <w:rFonts w:ascii="宋体"/>
          <w:b/>
          <w:color w:val="000000"/>
          <w:sz w:val="24"/>
        </w:rPr>
      </w:pPr>
    </w:p>
    <w:p w:rsidR="00A62673" w:rsidRPr="00EC5CE0" w:rsidRDefault="00A62673" w:rsidP="00074E9F">
      <w:pPr>
        <w:spacing w:line="360" w:lineRule="auto"/>
        <w:jc w:val="center"/>
        <w:rPr>
          <w:rFonts w:ascii="宋体"/>
          <w:b/>
          <w:color w:val="000000"/>
          <w:sz w:val="24"/>
        </w:rPr>
      </w:pPr>
    </w:p>
    <w:p w:rsidR="00A62673" w:rsidRPr="00EC5CE0" w:rsidRDefault="00A62673" w:rsidP="00074E9F">
      <w:pPr>
        <w:spacing w:line="360" w:lineRule="auto"/>
        <w:jc w:val="center"/>
        <w:rPr>
          <w:rFonts w:ascii="宋体"/>
          <w:b/>
          <w:color w:val="000000"/>
          <w:sz w:val="24"/>
        </w:rPr>
      </w:pPr>
    </w:p>
    <w:p w:rsidR="00A62673" w:rsidRPr="00EC5CE0" w:rsidRDefault="00A62673" w:rsidP="00074E9F">
      <w:pPr>
        <w:spacing w:line="360" w:lineRule="auto"/>
        <w:jc w:val="center"/>
        <w:rPr>
          <w:rFonts w:ascii="宋体"/>
          <w:b/>
          <w:color w:val="000000"/>
          <w:sz w:val="24"/>
        </w:rPr>
      </w:pPr>
    </w:p>
    <w:p w:rsidR="00A62673" w:rsidRPr="00EC5CE0" w:rsidRDefault="00A62673" w:rsidP="00074E9F">
      <w:pPr>
        <w:spacing w:line="360" w:lineRule="auto"/>
        <w:jc w:val="center"/>
        <w:rPr>
          <w:rFonts w:ascii="宋体"/>
          <w:b/>
          <w:color w:val="000000"/>
          <w:sz w:val="24"/>
        </w:rPr>
      </w:pPr>
    </w:p>
    <w:p w:rsidR="00A62673" w:rsidRPr="00EC5CE0" w:rsidRDefault="00A62673" w:rsidP="00074E9F">
      <w:pPr>
        <w:spacing w:line="360" w:lineRule="auto"/>
        <w:jc w:val="center"/>
        <w:rPr>
          <w:rFonts w:ascii="宋体"/>
          <w:b/>
          <w:color w:val="000000"/>
          <w:sz w:val="24"/>
        </w:rPr>
      </w:pPr>
    </w:p>
    <w:p w:rsidR="00A62673" w:rsidRPr="00EC5CE0" w:rsidRDefault="00A62673" w:rsidP="00074E9F">
      <w:pPr>
        <w:spacing w:line="360" w:lineRule="auto"/>
        <w:jc w:val="center"/>
        <w:rPr>
          <w:rFonts w:ascii="宋体"/>
          <w:b/>
          <w:color w:val="000000"/>
          <w:sz w:val="24"/>
        </w:rPr>
      </w:pPr>
    </w:p>
    <w:p w:rsidR="00A62673" w:rsidRPr="00EC5CE0" w:rsidRDefault="00A62673" w:rsidP="00074E9F">
      <w:pPr>
        <w:spacing w:line="360" w:lineRule="auto"/>
        <w:jc w:val="center"/>
        <w:rPr>
          <w:rFonts w:ascii="宋体"/>
          <w:b/>
          <w:color w:val="000000"/>
          <w:sz w:val="24"/>
        </w:rPr>
      </w:pPr>
    </w:p>
    <w:p w:rsidR="00A62673" w:rsidRPr="00EC5CE0" w:rsidRDefault="00A62673" w:rsidP="00074E9F">
      <w:pPr>
        <w:spacing w:line="360" w:lineRule="auto"/>
        <w:jc w:val="center"/>
        <w:rPr>
          <w:rFonts w:ascii="宋体"/>
          <w:b/>
          <w:color w:val="000000"/>
          <w:sz w:val="24"/>
        </w:rPr>
      </w:pPr>
    </w:p>
    <w:p w:rsidR="00A62673" w:rsidRPr="00EC5CE0" w:rsidRDefault="00A62673" w:rsidP="00074E9F">
      <w:pPr>
        <w:spacing w:line="360" w:lineRule="auto"/>
        <w:jc w:val="center"/>
        <w:rPr>
          <w:rFonts w:ascii="宋体"/>
          <w:b/>
          <w:color w:val="000000"/>
          <w:sz w:val="24"/>
        </w:rPr>
      </w:pPr>
    </w:p>
    <w:p w:rsidR="00A62673" w:rsidRPr="00EC5CE0" w:rsidRDefault="00A62673" w:rsidP="00074E9F">
      <w:pPr>
        <w:spacing w:line="360" w:lineRule="auto"/>
        <w:jc w:val="center"/>
        <w:rPr>
          <w:rFonts w:ascii="宋体"/>
          <w:b/>
          <w:color w:val="000000"/>
          <w:sz w:val="24"/>
        </w:rPr>
      </w:pPr>
    </w:p>
    <w:p w:rsidR="00A62673" w:rsidRPr="00EC5CE0" w:rsidRDefault="00A62673" w:rsidP="00074E9F">
      <w:pPr>
        <w:spacing w:line="360" w:lineRule="auto"/>
        <w:rPr>
          <w:rFonts w:ascii="宋体"/>
          <w:b/>
          <w:color w:val="000000"/>
          <w:sz w:val="24"/>
        </w:rPr>
      </w:pPr>
    </w:p>
    <w:p w:rsidR="00A62673" w:rsidRPr="00EC5CE0" w:rsidRDefault="00A62673" w:rsidP="005A2769">
      <w:pPr>
        <w:spacing w:line="360" w:lineRule="auto"/>
        <w:ind w:firstLineChars="900" w:firstLine="2168"/>
        <w:rPr>
          <w:rFonts w:ascii="宋体" w:hAnsi="宋体"/>
          <w:b/>
          <w:color w:val="000000"/>
          <w:sz w:val="24"/>
        </w:rPr>
      </w:pPr>
      <w:r w:rsidRPr="00EC5CE0">
        <w:rPr>
          <w:rFonts w:ascii="宋体" w:hAnsi="宋体" w:hint="eastAsia"/>
          <w:b/>
          <w:color w:val="000000"/>
          <w:sz w:val="24"/>
        </w:rPr>
        <w:t>基金管理人：</w:t>
      </w:r>
      <w:r w:rsidRPr="00EC5CE0">
        <w:rPr>
          <w:rFonts w:ascii="宋体" w:hAnsi="宋体"/>
          <w:b/>
          <w:color w:val="000000"/>
          <w:sz w:val="24"/>
        </w:rPr>
        <w:t>交银施罗德基金管理有限公司</w:t>
      </w:r>
    </w:p>
    <w:p w:rsidR="00A62673" w:rsidRPr="00EC5CE0" w:rsidRDefault="00A62673" w:rsidP="005A2769">
      <w:pPr>
        <w:spacing w:line="360" w:lineRule="auto"/>
        <w:ind w:firstLineChars="900" w:firstLine="2168"/>
        <w:rPr>
          <w:rFonts w:ascii="宋体" w:hAnsi="宋体"/>
          <w:b/>
          <w:color w:val="000000"/>
          <w:sz w:val="24"/>
        </w:rPr>
      </w:pPr>
      <w:r w:rsidRPr="00EC5CE0">
        <w:rPr>
          <w:rFonts w:ascii="宋体" w:hAnsi="宋体" w:hint="eastAsia"/>
          <w:b/>
          <w:color w:val="000000"/>
          <w:sz w:val="24"/>
        </w:rPr>
        <w:t>基金托管人：</w:t>
      </w:r>
      <w:r w:rsidRPr="00EC5CE0">
        <w:rPr>
          <w:rFonts w:ascii="宋体" w:hAnsi="宋体"/>
          <w:b/>
          <w:color w:val="000000"/>
          <w:sz w:val="24"/>
        </w:rPr>
        <w:t>招商银行股份有限公司</w:t>
      </w:r>
    </w:p>
    <w:p w:rsidR="00A62673" w:rsidRPr="00EC5CE0" w:rsidRDefault="00A62673" w:rsidP="005A2769">
      <w:pPr>
        <w:spacing w:line="360" w:lineRule="auto"/>
        <w:ind w:firstLineChars="900" w:firstLine="2168"/>
        <w:rPr>
          <w:rFonts w:ascii="宋体" w:hAnsi="宋体"/>
          <w:b/>
          <w:color w:val="000000"/>
          <w:sz w:val="24"/>
        </w:rPr>
        <w:sectPr w:rsidR="00A62673" w:rsidRPr="00EC5CE0" w:rsidSect="00230A66">
          <w:headerReference w:type="default" r:id="rId7"/>
          <w:footerReference w:type="default" r:id="rId8"/>
          <w:pgSz w:w="11926" w:h="15840"/>
          <w:pgMar w:top="1418" w:right="1418" w:bottom="851" w:left="1418" w:header="851" w:footer="992" w:gutter="0"/>
          <w:cols w:space="720"/>
          <w:noEndnote/>
        </w:sectPr>
      </w:pPr>
      <w:r w:rsidRPr="00EC5CE0">
        <w:rPr>
          <w:rFonts w:ascii="宋体" w:hAnsi="宋体" w:hint="eastAsia"/>
          <w:b/>
          <w:color w:val="000000"/>
          <w:sz w:val="24"/>
        </w:rPr>
        <w:t>报告送出日期：</w:t>
      </w:r>
      <w:r w:rsidRPr="00EC5CE0">
        <w:rPr>
          <w:rFonts w:ascii="宋体" w:hAnsi="宋体"/>
          <w:b/>
          <w:color w:val="000000"/>
          <w:sz w:val="24"/>
        </w:rPr>
        <w:t>二〇二〇年十月二十八日</w:t>
      </w:r>
    </w:p>
    <w:p w:rsidR="00A62673" w:rsidRPr="00EC5CE0" w:rsidRDefault="00A62673" w:rsidP="00F729DC">
      <w:pPr>
        <w:pStyle w:val="1"/>
        <w:spacing w:beforeLines="100" w:before="312" w:afterLines="100" w:after="312" w:line="360" w:lineRule="auto"/>
        <w:jc w:val="center"/>
        <w:rPr>
          <w:rFonts w:ascii="宋体" w:cs="Arial"/>
          <w:b w:val="0"/>
          <w:color w:val="000000"/>
          <w:kern w:val="0"/>
          <w:sz w:val="24"/>
          <w:szCs w:val="24"/>
        </w:rPr>
      </w:pPr>
      <w:r w:rsidRPr="00EC5CE0">
        <w:rPr>
          <w:rFonts w:ascii="宋体" w:hAnsi="宋体" w:cs="Arial" w:hint="eastAsia"/>
          <w:color w:val="000000"/>
          <w:kern w:val="0"/>
          <w:sz w:val="24"/>
          <w:szCs w:val="24"/>
        </w:rPr>
        <w:lastRenderedPageBreak/>
        <w:t>§</w:t>
      </w:r>
      <w:r w:rsidRPr="00EC5CE0">
        <w:rPr>
          <w:rFonts w:ascii="宋体" w:hAnsi="宋体" w:cs="Arial"/>
          <w:color w:val="000000"/>
          <w:kern w:val="0"/>
          <w:sz w:val="24"/>
          <w:szCs w:val="24"/>
        </w:rPr>
        <w:t xml:space="preserve">1  </w:t>
      </w:r>
      <w:r w:rsidRPr="00EC5CE0">
        <w:rPr>
          <w:rFonts w:ascii="宋体" w:hAnsi="宋体" w:cs="Arial" w:hint="eastAsia"/>
          <w:color w:val="000000"/>
          <w:kern w:val="0"/>
          <w:sz w:val="24"/>
          <w:szCs w:val="24"/>
        </w:rPr>
        <w:t>重要提示</w:t>
      </w:r>
    </w:p>
    <w:p w:rsidR="00A9050D" w:rsidRDefault="00896817">
      <w:pPr>
        <w:spacing w:line="360" w:lineRule="auto"/>
        <w:ind w:firstLineChars="200" w:firstLine="480"/>
        <w:rPr>
          <w:color w:val="000000"/>
          <w:sz w:val="24"/>
        </w:rPr>
      </w:pPr>
      <w:r>
        <w:rPr>
          <w:color w:val="000000"/>
          <w:sz w:val="24"/>
        </w:rPr>
        <w:t>基金管理人的董事会及董事保证本报告所载资料不存在虚假记载、误导性陈述或重大遗漏，并对其内容的真实性、准确性和完整性承担个别及连带责任。</w:t>
      </w:r>
      <w:r>
        <w:rPr>
          <w:color w:val="000000"/>
          <w:sz w:val="24"/>
        </w:rPr>
        <w:t xml:space="preserve"> </w:t>
      </w:r>
    </w:p>
    <w:p w:rsidR="00A9050D" w:rsidRDefault="00896817">
      <w:pPr>
        <w:spacing w:line="360" w:lineRule="auto"/>
        <w:ind w:firstLineChars="200" w:firstLine="480"/>
        <w:rPr>
          <w:color w:val="000000"/>
          <w:sz w:val="24"/>
        </w:rPr>
      </w:pPr>
      <w:r>
        <w:rPr>
          <w:color w:val="000000"/>
          <w:sz w:val="24"/>
        </w:rPr>
        <w:t>基金托管人招商银行股份有限公司根据本基金合同规定，于</w:t>
      </w:r>
      <w:r>
        <w:rPr>
          <w:color w:val="000000"/>
          <w:sz w:val="24"/>
        </w:rPr>
        <w:t>2020</w:t>
      </w:r>
      <w:r>
        <w:rPr>
          <w:color w:val="000000"/>
          <w:sz w:val="24"/>
        </w:rPr>
        <w:t>年</w:t>
      </w:r>
      <w:r>
        <w:rPr>
          <w:color w:val="000000"/>
          <w:sz w:val="24"/>
        </w:rPr>
        <w:t>10</w:t>
      </w:r>
      <w:r>
        <w:rPr>
          <w:color w:val="000000"/>
          <w:sz w:val="24"/>
        </w:rPr>
        <w:t>月</w:t>
      </w:r>
      <w:r>
        <w:rPr>
          <w:color w:val="000000"/>
          <w:sz w:val="24"/>
        </w:rPr>
        <w:t>27</w:t>
      </w:r>
      <w:r>
        <w:rPr>
          <w:color w:val="000000"/>
          <w:sz w:val="24"/>
        </w:rPr>
        <w:t>日复核了本报告中的财务指标、净值表现和投资组合报告等内容，保证复核内容不存在虚假记载、误导性陈述或者重大遗漏。</w:t>
      </w:r>
      <w:r>
        <w:rPr>
          <w:color w:val="000000"/>
          <w:sz w:val="24"/>
        </w:rPr>
        <w:t xml:space="preserve"> </w:t>
      </w:r>
    </w:p>
    <w:p w:rsidR="00A9050D" w:rsidRDefault="00896817">
      <w:pPr>
        <w:spacing w:line="360"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A9050D" w:rsidRDefault="00896817">
      <w:pPr>
        <w:spacing w:line="360" w:lineRule="auto"/>
        <w:ind w:firstLineChars="200" w:firstLine="480"/>
        <w:rPr>
          <w:color w:val="000000"/>
          <w:sz w:val="24"/>
        </w:rPr>
      </w:pPr>
      <w:r>
        <w:rPr>
          <w:color w:val="000000"/>
          <w:sz w:val="24"/>
        </w:rPr>
        <w:t>基金的过往业绩并不代表其未来表现。投资有风险，投资者在作出投资决策前应仔细阅读本基金的招募说明书。</w:t>
      </w:r>
      <w:r>
        <w:rPr>
          <w:color w:val="000000"/>
          <w:sz w:val="24"/>
        </w:rPr>
        <w:t xml:space="preserve"> </w:t>
      </w:r>
    </w:p>
    <w:p w:rsidR="00A9050D" w:rsidRDefault="00896817">
      <w:pPr>
        <w:spacing w:line="360" w:lineRule="auto"/>
        <w:ind w:firstLineChars="200" w:firstLine="480"/>
        <w:rPr>
          <w:color w:val="000000"/>
          <w:sz w:val="24"/>
        </w:rPr>
      </w:pPr>
      <w:r>
        <w:rPr>
          <w:color w:val="000000"/>
          <w:sz w:val="24"/>
        </w:rPr>
        <w:t>本报告中财务资料未经审计。</w:t>
      </w:r>
    </w:p>
    <w:p w:rsidR="00A62673" w:rsidRPr="00DC315B" w:rsidRDefault="00A62673" w:rsidP="00DC315B">
      <w:pPr>
        <w:spacing w:line="360" w:lineRule="auto"/>
        <w:ind w:firstLineChars="200" w:firstLine="480"/>
        <w:rPr>
          <w:color w:val="000000"/>
          <w:sz w:val="24"/>
        </w:rPr>
      </w:pPr>
      <w:r w:rsidRPr="00DC315B">
        <w:rPr>
          <w:color w:val="000000"/>
          <w:sz w:val="24"/>
        </w:rPr>
        <w:t>本报告期自</w:t>
      </w:r>
      <w:r w:rsidRPr="00DC315B">
        <w:rPr>
          <w:color w:val="000000"/>
          <w:sz w:val="24"/>
        </w:rPr>
        <w:t>2020</w:t>
      </w:r>
      <w:r w:rsidRPr="00DC315B">
        <w:rPr>
          <w:color w:val="000000"/>
          <w:sz w:val="24"/>
        </w:rPr>
        <w:t>年</w:t>
      </w:r>
      <w:r w:rsidRPr="00DC315B">
        <w:rPr>
          <w:color w:val="000000"/>
          <w:sz w:val="24"/>
        </w:rPr>
        <w:t>7</w:t>
      </w:r>
      <w:r w:rsidRPr="00DC315B">
        <w:rPr>
          <w:color w:val="000000"/>
          <w:sz w:val="24"/>
        </w:rPr>
        <w:t>月</w:t>
      </w:r>
      <w:r w:rsidRPr="00DC315B">
        <w:rPr>
          <w:color w:val="000000"/>
          <w:sz w:val="24"/>
        </w:rPr>
        <w:t>1</w:t>
      </w:r>
      <w:r w:rsidRPr="00DC315B">
        <w:rPr>
          <w:color w:val="000000"/>
          <w:sz w:val="24"/>
        </w:rPr>
        <w:t>日起至</w:t>
      </w:r>
      <w:r w:rsidRPr="00DC315B">
        <w:rPr>
          <w:color w:val="000000"/>
          <w:sz w:val="24"/>
        </w:rPr>
        <w:t>9</w:t>
      </w:r>
      <w:r w:rsidRPr="00DC315B">
        <w:rPr>
          <w:color w:val="000000"/>
          <w:sz w:val="24"/>
        </w:rPr>
        <w:t>月</w:t>
      </w:r>
      <w:r w:rsidRPr="00DC315B">
        <w:rPr>
          <w:color w:val="000000"/>
          <w:sz w:val="24"/>
        </w:rPr>
        <w:t>30</w:t>
      </w:r>
      <w:r w:rsidRPr="00DC315B">
        <w:rPr>
          <w:color w:val="000000"/>
          <w:sz w:val="24"/>
        </w:rPr>
        <w:t>日止。</w:t>
      </w:r>
    </w:p>
    <w:p w:rsidR="00A62673" w:rsidRPr="00EC5CE0" w:rsidRDefault="00A62673" w:rsidP="00F729DC">
      <w:pPr>
        <w:pStyle w:val="1"/>
        <w:spacing w:beforeLines="100" w:before="312" w:afterLines="100" w:after="312" w:line="360" w:lineRule="auto"/>
        <w:jc w:val="center"/>
        <w:rPr>
          <w:rFonts w:ascii="宋体" w:cs="Arial"/>
          <w:color w:val="000000"/>
          <w:kern w:val="0"/>
          <w:sz w:val="24"/>
          <w:szCs w:val="24"/>
        </w:rPr>
      </w:pPr>
      <w:r w:rsidRPr="00EC5CE0">
        <w:rPr>
          <w:rFonts w:ascii="宋体" w:hAnsi="宋体" w:cs="Arial" w:hint="eastAsia"/>
          <w:color w:val="000000"/>
          <w:kern w:val="0"/>
          <w:sz w:val="24"/>
          <w:szCs w:val="24"/>
        </w:rPr>
        <w:t>§</w:t>
      </w:r>
      <w:r w:rsidRPr="00EC5CE0">
        <w:rPr>
          <w:rFonts w:ascii="宋体" w:hAnsi="宋体" w:cs="Arial"/>
          <w:color w:val="000000"/>
          <w:kern w:val="0"/>
          <w:sz w:val="24"/>
          <w:szCs w:val="24"/>
        </w:rPr>
        <w:t xml:space="preserve">2  </w:t>
      </w:r>
      <w:r w:rsidRPr="00EC5CE0">
        <w:rPr>
          <w:rFonts w:ascii="宋体" w:hAnsi="宋体" w:cs="Arial" w:hint="eastAsia"/>
          <w:color w:val="000000"/>
          <w:kern w:val="0"/>
          <w:sz w:val="24"/>
          <w:szCs w:val="24"/>
        </w:rPr>
        <w:t>基金产品概况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2694"/>
        <w:gridCol w:w="2693"/>
      </w:tblGrid>
      <w:tr w:rsidR="00A62673" w:rsidRPr="00EC5CE0" w:rsidTr="005F23CA">
        <w:tc>
          <w:tcPr>
            <w:tcW w:w="2835" w:type="dxa"/>
          </w:tcPr>
          <w:p w:rsidR="00A62673" w:rsidRPr="00DC315B" w:rsidRDefault="00A62673" w:rsidP="00C21C43">
            <w:pPr>
              <w:adjustRightInd w:val="0"/>
              <w:spacing w:before="29" w:line="360" w:lineRule="auto"/>
              <w:ind w:left="17"/>
              <w:jc w:val="left"/>
              <w:rPr>
                <w:kern w:val="0"/>
                <w:sz w:val="24"/>
              </w:rPr>
            </w:pPr>
            <w:r w:rsidRPr="00DC315B">
              <w:rPr>
                <w:kern w:val="0"/>
                <w:sz w:val="24"/>
              </w:rPr>
              <w:t>基金简称</w:t>
            </w:r>
          </w:p>
        </w:tc>
        <w:tc>
          <w:tcPr>
            <w:tcW w:w="5387" w:type="dxa"/>
            <w:gridSpan w:val="2"/>
          </w:tcPr>
          <w:p w:rsidR="00A62673" w:rsidRPr="00DC315B" w:rsidRDefault="00A62673" w:rsidP="00C21C43">
            <w:pPr>
              <w:adjustRightInd w:val="0"/>
              <w:spacing w:before="29" w:line="360" w:lineRule="auto"/>
              <w:ind w:left="17"/>
              <w:jc w:val="left"/>
              <w:rPr>
                <w:color w:val="000000"/>
                <w:kern w:val="0"/>
                <w:sz w:val="24"/>
              </w:rPr>
            </w:pPr>
            <w:r w:rsidRPr="00DC315B">
              <w:rPr>
                <w:color w:val="000000"/>
                <w:kern w:val="0"/>
                <w:sz w:val="24"/>
              </w:rPr>
              <w:t>交银创业板</w:t>
            </w:r>
            <w:r w:rsidRPr="00DC315B">
              <w:rPr>
                <w:color w:val="000000"/>
                <w:kern w:val="0"/>
                <w:sz w:val="24"/>
              </w:rPr>
              <w:t>50</w:t>
            </w:r>
            <w:r w:rsidRPr="00DC315B">
              <w:rPr>
                <w:color w:val="000000"/>
                <w:kern w:val="0"/>
                <w:sz w:val="24"/>
              </w:rPr>
              <w:t>指数</w:t>
            </w:r>
          </w:p>
        </w:tc>
      </w:tr>
      <w:tr w:rsidR="00A62673" w:rsidRPr="00EC5CE0" w:rsidTr="005F23CA">
        <w:tc>
          <w:tcPr>
            <w:tcW w:w="2835" w:type="dxa"/>
          </w:tcPr>
          <w:p w:rsidR="00A62673" w:rsidRPr="00DC315B" w:rsidRDefault="00A62673">
            <w:pPr>
              <w:adjustRightInd w:val="0"/>
              <w:spacing w:before="29" w:line="360" w:lineRule="auto"/>
              <w:ind w:left="17"/>
              <w:jc w:val="left"/>
              <w:rPr>
                <w:kern w:val="0"/>
                <w:sz w:val="24"/>
              </w:rPr>
            </w:pPr>
            <w:r w:rsidRPr="00DC315B">
              <w:rPr>
                <w:kern w:val="0"/>
                <w:sz w:val="24"/>
              </w:rPr>
              <w:t>基金主代码</w:t>
            </w:r>
          </w:p>
        </w:tc>
        <w:tc>
          <w:tcPr>
            <w:tcW w:w="5387" w:type="dxa"/>
            <w:gridSpan w:val="2"/>
          </w:tcPr>
          <w:p w:rsidR="00A62673" w:rsidRPr="00DC315B" w:rsidRDefault="00A62673">
            <w:pPr>
              <w:adjustRightInd w:val="0"/>
              <w:spacing w:before="29" w:line="360" w:lineRule="auto"/>
              <w:ind w:left="17"/>
              <w:jc w:val="left"/>
              <w:rPr>
                <w:color w:val="000000"/>
                <w:kern w:val="0"/>
                <w:sz w:val="24"/>
              </w:rPr>
            </w:pPr>
            <w:r w:rsidRPr="00DC315B">
              <w:rPr>
                <w:color w:val="000000"/>
                <w:kern w:val="0"/>
                <w:sz w:val="24"/>
              </w:rPr>
              <w:t>007464</w:t>
            </w:r>
          </w:p>
        </w:tc>
      </w:tr>
      <w:tr w:rsidR="00A62673" w:rsidRPr="00EC5CE0" w:rsidTr="005F23CA">
        <w:tc>
          <w:tcPr>
            <w:tcW w:w="2835" w:type="dxa"/>
          </w:tcPr>
          <w:p w:rsidR="00A62673" w:rsidRPr="00DC315B" w:rsidRDefault="00A62673" w:rsidP="00C21C43">
            <w:pPr>
              <w:adjustRightInd w:val="0"/>
              <w:spacing w:before="29" w:line="360" w:lineRule="auto"/>
              <w:ind w:left="17"/>
              <w:jc w:val="left"/>
              <w:rPr>
                <w:sz w:val="24"/>
              </w:rPr>
            </w:pPr>
            <w:r w:rsidRPr="00DC315B">
              <w:rPr>
                <w:kern w:val="0"/>
                <w:sz w:val="24"/>
              </w:rPr>
              <w:t>基金运作方式</w:t>
            </w:r>
          </w:p>
        </w:tc>
        <w:tc>
          <w:tcPr>
            <w:tcW w:w="5387" w:type="dxa"/>
            <w:gridSpan w:val="2"/>
          </w:tcPr>
          <w:p w:rsidR="00A62673" w:rsidRPr="00DC315B" w:rsidRDefault="00A62673" w:rsidP="00C21C43">
            <w:pPr>
              <w:adjustRightInd w:val="0"/>
              <w:spacing w:before="29" w:line="360" w:lineRule="auto"/>
              <w:ind w:left="17"/>
              <w:jc w:val="left"/>
              <w:rPr>
                <w:color w:val="000000"/>
                <w:sz w:val="24"/>
              </w:rPr>
            </w:pPr>
            <w:r w:rsidRPr="00DC315B">
              <w:rPr>
                <w:color w:val="000000"/>
                <w:kern w:val="0"/>
                <w:sz w:val="24"/>
              </w:rPr>
              <w:t>契约型开放式</w:t>
            </w:r>
          </w:p>
        </w:tc>
      </w:tr>
      <w:tr w:rsidR="00A62673" w:rsidRPr="00EC5CE0" w:rsidTr="005F23CA">
        <w:tc>
          <w:tcPr>
            <w:tcW w:w="2835" w:type="dxa"/>
          </w:tcPr>
          <w:p w:rsidR="00A62673" w:rsidRPr="00DC315B" w:rsidRDefault="00A62673" w:rsidP="00C21C43">
            <w:pPr>
              <w:adjustRightInd w:val="0"/>
              <w:spacing w:before="29" w:line="360" w:lineRule="auto"/>
              <w:ind w:left="17"/>
              <w:jc w:val="left"/>
              <w:rPr>
                <w:sz w:val="24"/>
              </w:rPr>
            </w:pPr>
            <w:r w:rsidRPr="00DC315B">
              <w:rPr>
                <w:kern w:val="0"/>
                <w:sz w:val="24"/>
              </w:rPr>
              <w:t>基金合同生效日</w:t>
            </w:r>
          </w:p>
        </w:tc>
        <w:tc>
          <w:tcPr>
            <w:tcW w:w="5387" w:type="dxa"/>
            <w:gridSpan w:val="2"/>
          </w:tcPr>
          <w:p w:rsidR="00A62673" w:rsidRPr="00DC315B" w:rsidRDefault="00A62673" w:rsidP="00C21C43">
            <w:pPr>
              <w:adjustRightInd w:val="0"/>
              <w:spacing w:before="29" w:line="360" w:lineRule="auto"/>
              <w:ind w:left="17"/>
              <w:jc w:val="left"/>
              <w:rPr>
                <w:color w:val="000000"/>
                <w:sz w:val="24"/>
              </w:rPr>
            </w:pPr>
            <w:r w:rsidRPr="00DC315B">
              <w:rPr>
                <w:color w:val="000000"/>
                <w:kern w:val="0"/>
                <w:sz w:val="24"/>
              </w:rPr>
              <w:t>2019</w:t>
            </w:r>
            <w:r w:rsidRPr="00DC315B">
              <w:rPr>
                <w:color w:val="000000"/>
                <w:kern w:val="0"/>
                <w:sz w:val="24"/>
              </w:rPr>
              <w:t>年</w:t>
            </w:r>
            <w:r w:rsidRPr="00DC315B">
              <w:rPr>
                <w:color w:val="000000"/>
                <w:kern w:val="0"/>
                <w:sz w:val="24"/>
              </w:rPr>
              <w:t>11</w:t>
            </w:r>
            <w:r w:rsidRPr="00DC315B">
              <w:rPr>
                <w:color w:val="000000"/>
                <w:kern w:val="0"/>
                <w:sz w:val="24"/>
              </w:rPr>
              <w:t>月</w:t>
            </w:r>
            <w:r w:rsidRPr="00DC315B">
              <w:rPr>
                <w:color w:val="000000"/>
                <w:kern w:val="0"/>
                <w:sz w:val="24"/>
              </w:rPr>
              <w:t>20</w:t>
            </w:r>
            <w:r w:rsidRPr="00DC315B">
              <w:rPr>
                <w:color w:val="000000"/>
                <w:kern w:val="0"/>
                <w:sz w:val="24"/>
              </w:rPr>
              <w:t>日</w:t>
            </w:r>
          </w:p>
        </w:tc>
      </w:tr>
      <w:tr w:rsidR="00A62673" w:rsidRPr="00EC5CE0" w:rsidTr="005F23CA">
        <w:tc>
          <w:tcPr>
            <w:tcW w:w="2835" w:type="dxa"/>
          </w:tcPr>
          <w:p w:rsidR="00A62673" w:rsidRPr="00DC315B" w:rsidRDefault="00A62673" w:rsidP="00C21C43">
            <w:pPr>
              <w:adjustRightInd w:val="0"/>
              <w:spacing w:before="29" w:line="360" w:lineRule="auto"/>
              <w:ind w:left="17"/>
              <w:jc w:val="left"/>
              <w:rPr>
                <w:sz w:val="24"/>
              </w:rPr>
            </w:pPr>
            <w:r w:rsidRPr="00DC315B">
              <w:rPr>
                <w:kern w:val="0"/>
                <w:sz w:val="24"/>
              </w:rPr>
              <w:t>报告期末基金份额总额</w:t>
            </w:r>
          </w:p>
        </w:tc>
        <w:tc>
          <w:tcPr>
            <w:tcW w:w="5387" w:type="dxa"/>
            <w:gridSpan w:val="2"/>
          </w:tcPr>
          <w:p w:rsidR="00A62673" w:rsidRPr="00DC315B" w:rsidRDefault="00A62673" w:rsidP="00C21C43">
            <w:pPr>
              <w:adjustRightInd w:val="0"/>
              <w:spacing w:before="29" w:line="360" w:lineRule="auto"/>
              <w:ind w:left="17"/>
              <w:jc w:val="left"/>
              <w:rPr>
                <w:color w:val="000000"/>
                <w:sz w:val="24"/>
              </w:rPr>
            </w:pPr>
            <w:r w:rsidRPr="00DC315B">
              <w:rPr>
                <w:color w:val="000000"/>
                <w:kern w:val="0"/>
                <w:sz w:val="24"/>
              </w:rPr>
              <w:t>724,081,352.46</w:t>
            </w:r>
            <w:r w:rsidRPr="00DC315B">
              <w:rPr>
                <w:color w:val="000000"/>
                <w:kern w:val="0"/>
                <w:sz w:val="24"/>
              </w:rPr>
              <w:t>份</w:t>
            </w:r>
          </w:p>
        </w:tc>
      </w:tr>
      <w:tr w:rsidR="00A62673" w:rsidRPr="00EC5CE0" w:rsidTr="005F23CA">
        <w:tc>
          <w:tcPr>
            <w:tcW w:w="2835" w:type="dxa"/>
          </w:tcPr>
          <w:p w:rsidR="00A62673" w:rsidRPr="00DC315B" w:rsidRDefault="00A62673" w:rsidP="00C21C43">
            <w:pPr>
              <w:adjustRightInd w:val="0"/>
              <w:spacing w:before="29" w:line="360" w:lineRule="auto"/>
              <w:ind w:left="17"/>
              <w:jc w:val="left"/>
              <w:rPr>
                <w:sz w:val="24"/>
              </w:rPr>
            </w:pPr>
            <w:r w:rsidRPr="00DC315B">
              <w:rPr>
                <w:kern w:val="0"/>
                <w:sz w:val="24"/>
              </w:rPr>
              <w:t>投资目标</w:t>
            </w:r>
          </w:p>
        </w:tc>
        <w:tc>
          <w:tcPr>
            <w:tcW w:w="5387" w:type="dxa"/>
            <w:gridSpan w:val="2"/>
          </w:tcPr>
          <w:p w:rsidR="00A62673" w:rsidRPr="00DC315B" w:rsidRDefault="00A62673" w:rsidP="00C21C43">
            <w:pPr>
              <w:adjustRightInd w:val="0"/>
              <w:spacing w:before="29" w:line="360" w:lineRule="auto"/>
              <w:ind w:left="17"/>
              <w:jc w:val="left"/>
              <w:rPr>
                <w:color w:val="000000"/>
                <w:sz w:val="24"/>
              </w:rPr>
            </w:pPr>
            <w:r w:rsidRPr="00DC315B">
              <w:rPr>
                <w:color w:val="000000"/>
                <w:kern w:val="0"/>
                <w:sz w:val="24"/>
              </w:rPr>
              <w:t>本基金采用指数化投资策略，紧密跟踪创业板</w:t>
            </w:r>
            <w:r w:rsidRPr="00DC315B">
              <w:rPr>
                <w:color w:val="000000"/>
                <w:kern w:val="0"/>
                <w:sz w:val="24"/>
              </w:rPr>
              <w:t>50</w:t>
            </w:r>
            <w:r w:rsidRPr="00DC315B">
              <w:rPr>
                <w:color w:val="000000"/>
                <w:kern w:val="0"/>
                <w:sz w:val="24"/>
              </w:rPr>
              <w:t>指数，追求跟踪偏离度与跟踪误差最小化。</w:t>
            </w:r>
          </w:p>
        </w:tc>
      </w:tr>
      <w:tr w:rsidR="00A62673" w:rsidRPr="00EC5CE0" w:rsidTr="005F23CA">
        <w:tc>
          <w:tcPr>
            <w:tcW w:w="2835" w:type="dxa"/>
          </w:tcPr>
          <w:p w:rsidR="00A62673" w:rsidRPr="00DC315B" w:rsidRDefault="00A62673" w:rsidP="00C21C43">
            <w:pPr>
              <w:adjustRightInd w:val="0"/>
              <w:spacing w:before="29" w:line="360" w:lineRule="auto"/>
              <w:ind w:left="17"/>
              <w:jc w:val="left"/>
              <w:rPr>
                <w:sz w:val="24"/>
              </w:rPr>
            </w:pPr>
            <w:r w:rsidRPr="00DC315B">
              <w:rPr>
                <w:kern w:val="0"/>
                <w:sz w:val="24"/>
              </w:rPr>
              <w:t>投资策略</w:t>
            </w:r>
          </w:p>
        </w:tc>
        <w:tc>
          <w:tcPr>
            <w:tcW w:w="5387" w:type="dxa"/>
            <w:gridSpan w:val="2"/>
          </w:tcPr>
          <w:p w:rsidR="00A62673" w:rsidRPr="00DC315B" w:rsidRDefault="00A62673" w:rsidP="00C21C43">
            <w:pPr>
              <w:adjustRightInd w:val="0"/>
              <w:spacing w:before="29" w:line="360" w:lineRule="auto"/>
              <w:ind w:left="17"/>
              <w:jc w:val="left"/>
              <w:rPr>
                <w:color w:val="000000"/>
                <w:sz w:val="24"/>
              </w:rPr>
            </w:pPr>
            <w:r w:rsidRPr="00DC315B">
              <w:rPr>
                <w:color w:val="000000"/>
                <w:kern w:val="0"/>
                <w:sz w:val="24"/>
              </w:rPr>
              <w:t>本基金主要采用组合复制策略及适当的替代性策略以更好的跟踪标的指数，实现基金投资目标。当指数编制方法变更、成份股发生变更、成份股权重由于自由流通量调整而发生变化、成份股派发现金股息、配股及增发、股票长期停牌、市场流动性不足等情况发生时，基金管理人将对投资</w:t>
            </w:r>
            <w:r w:rsidRPr="00DC315B">
              <w:rPr>
                <w:color w:val="000000"/>
                <w:kern w:val="0"/>
                <w:sz w:val="24"/>
              </w:rPr>
              <w:lastRenderedPageBreak/>
              <w:t>组合进行优化，尽量降低跟踪误差。</w:t>
            </w:r>
          </w:p>
        </w:tc>
      </w:tr>
      <w:tr w:rsidR="00A62673" w:rsidRPr="00EC5CE0" w:rsidTr="005F23CA">
        <w:tc>
          <w:tcPr>
            <w:tcW w:w="2835" w:type="dxa"/>
          </w:tcPr>
          <w:p w:rsidR="00A62673" w:rsidRPr="00DC315B" w:rsidRDefault="00A62673" w:rsidP="00C21C43">
            <w:pPr>
              <w:adjustRightInd w:val="0"/>
              <w:spacing w:before="29" w:line="360" w:lineRule="auto"/>
              <w:ind w:left="17"/>
              <w:jc w:val="left"/>
              <w:rPr>
                <w:sz w:val="24"/>
              </w:rPr>
            </w:pPr>
            <w:r w:rsidRPr="00DC315B">
              <w:rPr>
                <w:kern w:val="0"/>
                <w:sz w:val="24"/>
              </w:rPr>
              <w:lastRenderedPageBreak/>
              <w:t>业绩比较基准</w:t>
            </w:r>
          </w:p>
        </w:tc>
        <w:tc>
          <w:tcPr>
            <w:tcW w:w="5387" w:type="dxa"/>
            <w:gridSpan w:val="2"/>
          </w:tcPr>
          <w:p w:rsidR="00A62673" w:rsidRPr="00DC315B" w:rsidRDefault="00A62673" w:rsidP="00C21C43">
            <w:pPr>
              <w:adjustRightInd w:val="0"/>
              <w:spacing w:before="29" w:line="360" w:lineRule="auto"/>
              <w:ind w:left="17"/>
              <w:jc w:val="left"/>
              <w:rPr>
                <w:color w:val="000000"/>
                <w:sz w:val="24"/>
              </w:rPr>
            </w:pPr>
            <w:r w:rsidRPr="00DC315B">
              <w:rPr>
                <w:color w:val="000000"/>
                <w:kern w:val="0"/>
                <w:sz w:val="24"/>
              </w:rPr>
              <w:t>创业板</w:t>
            </w:r>
            <w:r w:rsidRPr="00DC315B">
              <w:rPr>
                <w:color w:val="000000"/>
                <w:kern w:val="0"/>
                <w:sz w:val="24"/>
              </w:rPr>
              <w:t>50</w:t>
            </w:r>
            <w:r w:rsidRPr="00DC315B">
              <w:rPr>
                <w:color w:val="000000"/>
                <w:kern w:val="0"/>
                <w:sz w:val="24"/>
              </w:rPr>
              <w:t>指数收益率</w:t>
            </w:r>
            <w:r w:rsidRPr="00DC315B">
              <w:rPr>
                <w:color w:val="000000"/>
                <w:kern w:val="0"/>
                <w:sz w:val="24"/>
              </w:rPr>
              <w:t>×95%</w:t>
            </w:r>
            <w:r w:rsidRPr="00DC315B">
              <w:rPr>
                <w:color w:val="000000"/>
                <w:kern w:val="0"/>
                <w:sz w:val="24"/>
              </w:rPr>
              <w:t>＋人民币银行活期存款利率（税后）</w:t>
            </w:r>
            <w:r w:rsidRPr="00DC315B">
              <w:rPr>
                <w:color w:val="000000"/>
                <w:kern w:val="0"/>
                <w:sz w:val="24"/>
              </w:rPr>
              <w:t>×5%</w:t>
            </w:r>
          </w:p>
        </w:tc>
      </w:tr>
      <w:tr w:rsidR="00A62673" w:rsidRPr="00EC5CE0" w:rsidTr="005F23CA">
        <w:tc>
          <w:tcPr>
            <w:tcW w:w="2835" w:type="dxa"/>
          </w:tcPr>
          <w:p w:rsidR="00A62673" w:rsidRPr="00DC315B" w:rsidRDefault="00A62673" w:rsidP="00C21C43">
            <w:pPr>
              <w:adjustRightInd w:val="0"/>
              <w:spacing w:before="29" w:line="360" w:lineRule="auto"/>
              <w:ind w:left="17"/>
              <w:jc w:val="left"/>
              <w:rPr>
                <w:sz w:val="24"/>
              </w:rPr>
            </w:pPr>
            <w:r w:rsidRPr="00DC315B">
              <w:rPr>
                <w:kern w:val="0"/>
                <w:sz w:val="24"/>
              </w:rPr>
              <w:t>风险收益特征</w:t>
            </w:r>
          </w:p>
        </w:tc>
        <w:tc>
          <w:tcPr>
            <w:tcW w:w="5387" w:type="dxa"/>
            <w:gridSpan w:val="2"/>
          </w:tcPr>
          <w:p w:rsidR="00A9050D" w:rsidRDefault="00896817">
            <w:pPr>
              <w:adjustRightInd w:val="0"/>
              <w:spacing w:before="29" w:line="360" w:lineRule="auto"/>
              <w:ind w:left="17"/>
              <w:jc w:val="left"/>
              <w:rPr>
                <w:color w:val="000000"/>
                <w:sz w:val="24"/>
              </w:rPr>
            </w:pPr>
            <w:r>
              <w:rPr>
                <w:color w:val="000000"/>
                <w:kern w:val="0"/>
                <w:sz w:val="24"/>
              </w:rPr>
              <w:t>本基金是一只股票型基金，其预期风险和预期收益高于混合型基金、债券型基金和货币市场基金。</w:t>
            </w:r>
          </w:p>
          <w:p w:rsidR="00A62673" w:rsidRPr="00DC315B" w:rsidRDefault="00A62673" w:rsidP="00C21C43">
            <w:pPr>
              <w:adjustRightInd w:val="0"/>
              <w:spacing w:before="29" w:line="360" w:lineRule="auto"/>
              <w:ind w:left="17"/>
              <w:jc w:val="left"/>
              <w:rPr>
                <w:color w:val="000000"/>
                <w:sz w:val="24"/>
              </w:rPr>
            </w:pPr>
            <w:r w:rsidRPr="00DC315B">
              <w:rPr>
                <w:color w:val="000000"/>
                <w:kern w:val="0"/>
                <w:sz w:val="24"/>
              </w:rPr>
              <w:t>本基金为指数型基金，主要采用组合复制策略及适当的替代性策略跟踪创业板</w:t>
            </w:r>
            <w:r w:rsidRPr="00DC315B">
              <w:rPr>
                <w:color w:val="000000"/>
                <w:kern w:val="0"/>
                <w:sz w:val="24"/>
              </w:rPr>
              <w:t>50</w:t>
            </w:r>
            <w:r w:rsidRPr="00DC315B">
              <w:rPr>
                <w:color w:val="000000"/>
                <w:kern w:val="0"/>
                <w:sz w:val="24"/>
              </w:rPr>
              <w:t>指数，具有与标的指数以及标的指数所代表的股票市场相似的风险收益特征。</w:t>
            </w:r>
          </w:p>
        </w:tc>
      </w:tr>
      <w:tr w:rsidR="00A62673" w:rsidRPr="00EC5CE0" w:rsidTr="005F23CA">
        <w:tc>
          <w:tcPr>
            <w:tcW w:w="2835" w:type="dxa"/>
          </w:tcPr>
          <w:p w:rsidR="00A62673" w:rsidRPr="00DC315B" w:rsidRDefault="00A62673" w:rsidP="00C21C43">
            <w:pPr>
              <w:adjustRightInd w:val="0"/>
              <w:spacing w:before="29" w:line="360" w:lineRule="auto"/>
              <w:ind w:left="17"/>
              <w:jc w:val="left"/>
              <w:rPr>
                <w:sz w:val="24"/>
              </w:rPr>
            </w:pPr>
            <w:r w:rsidRPr="00DC315B">
              <w:rPr>
                <w:kern w:val="0"/>
                <w:sz w:val="24"/>
              </w:rPr>
              <w:t>基金管理人</w:t>
            </w:r>
          </w:p>
        </w:tc>
        <w:tc>
          <w:tcPr>
            <w:tcW w:w="5387" w:type="dxa"/>
            <w:gridSpan w:val="2"/>
          </w:tcPr>
          <w:p w:rsidR="00A62673" w:rsidRPr="00DC315B" w:rsidRDefault="00A62673" w:rsidP="00C21C43">
            <w:pPr>
              <w:adjustRightInd w:val="0"/>
              <w:spacing w:before="29" w:line="360" w:lineRule="auto"/>
              <w:ind w:left="17"/>
              <w:jc w:val="left"/>
              <w:rPr>
                <w:color w:val="000000"/>
                <w:sz w:val="24"/>
              </w:rPr>
            </w:pPr>
            <w:r w:rsidRPr="00DC315B">
              <w:rPr>
                <w:color w:val="000000"/>
                <w:kern w:val="0"/>
                <w:sz w:val="24"/>
              </w:rPr>
              <w:t>交银施罗德基金管理有限公司</w:t>
            </w:r>
          </w:p>
        </w:tc>
      </w:tr>
      <w:tr w:rsidR="00A62673" w:rsidRPr="00EC5CE0" w:rsidTr="005F23CA">
        <w:tc>
          <w:tcPr>
            <w:tcW w:w="2835" w:type="dxa"/>
          </w:tcPr>
          <w:p w:rsidR="00A62673" w:rsidRPr="00DC315B" w:rsidRDefault="00A62673" w:rsidP="00C21C43">
            <w:pPr>
              <w:adjustRightInd w:val="0"/>
              <w:spacing w:before="29" w:line="360" w:lineRule="auto"/>
              <w:ind w:left="17"/>
              <w:jc w:val="left"/>
              <w:rPr>
                <w:sz w:val="24"/>
              </w:rPr>
            </w:pPr>
            <w:r w:rsidRPr="00DC315B">
              <w:rPr>
                <w:kern w:val="0"/>
                <w:sz w:val="24"/>
              </w:rPr>
              <w:t>基金托管人</w:t>
            </w:r>
          </w:p>
        </w:tc>
        <w:tc>
          <w:tcPr>
            <w:tcW w:w="5387" w:type="dxa"/>
            <w:gridSpan w:val="2"/>
          </w:tcPr>
          <w:p w:rsidR="00A62673" w:rsidRPr="00DC315B" w:rsidRDefault="00A62673" w:rsidP="00C21C43">
            <w:pPr>
              <w:adjustRightInd w:val="0"/>
              <w:spacing w:before="29" w:line="360" w:lineRule="auto"/>
              <w:ind w:left="17"/>
              <w:jc w:val="left"/>
              <w:rPr>
                <w:color w:val="000000"/>
                <w:sz w:val="24"/>
              </w:rPr>
            </w:pPr>
            <w:r w:rsidRPr="00DC315B">
              <w:rPr>
                <w:color w:val="000000"/>
                <w:kern w:val="0"/>
                <w:sz w:val="24"/>
              </w:rPr>
              <w:t>招商银行股份有限公司</w:t>
            </w:r>
          </w:p>
        </w:tc>
      </w:tr>
      <w:tr w:rsidR="002C4578" w:rsidRPr="00C30CFF" w:rsidTr="005F23CA">
        <w:tc>
          <w:tcPr>
            <w:tcW w:w="2835" w:type="dxa"/>
          </w:tcPr>
          <w:p w:rsidR="002C4578" w:rsidRPr="00C30CFF" w:rsidRDefault="002C4578" w:rsidP="00320C1E">
            <w:pPr>
              <w:adjustRightInd w:val="0"/>
              <w:spacing w:before="29" w:line="360" w:lineRule="auto"/>
              <w:ind w:left="17"/>
              <w:jc w:val="left"/>
              <w:rPr>
                <w:kern w:val="0"/>
                <w:sz w:val="24"/>
              </w:rPr>
            </w:pPr>
            <w:r w:rsidRPr="00C30CFF">
              <w:rPr>
                <w:color w:val="000000"/>
                <w:sz w:val="24"/>
              </w:rPr>
              <w:t>下属</w:t>
            </w:r>
            <w:r w:rsidR="00D70274">
              <w:rPr>
                <w:rFonts w:hint="eastAsia"/>
                <w:color w:val="000000"/>
                <w:sz w:val="24"/>
              </w:rPr>
              <w:t>两</w:t>
            </w:r>
            <w:r w:rsidRPr="00C30CFF">
              <w:rPr>
                <w:color w:val="000000"/>
                <w:sz w:val="24"/>
              </w:rPr>
              <w:t>级基金的基金简称</w:t>
            </w:r>
          </w:p>
        </w:tc>
        <w:tc>
          <w:tcPr>
            <w:tcW w:w="2694" w:type="dxa"/>
            <w:vAlign w:val="center"/>
          </w:tcPr>
          <w:p w:rsidR="002C4578" w:rsidRPr="00C30CFF" w:rsidRDefault="002C4578" w:rsidP="00320C1E">
            <w:pPr>
              <w:jc w:val="left"/>
              <w:rPr>
                <w:sz w:val="24"/>
              </w:rPr>
            </w:pPr>
            <w:r w:rsidRPr="00C30CFF">
              <w:rPr>
                <w:sz w:val="24"/>
              </w:rPr>
              <w:t>交银创业板</w:t>
            </w:r>
            <w:r w:rsidRPr="00C30CFF">
              <w:rPr>
                <w:sz w:val="24"/>
              </w:rPr>
              <w:t>50</w:t>
            </w:r>
            <w:r w:rsidRPr="00C30CFF">
              <w:rPr>
                <w:sz w:val="24"/>
              </w:rPr>
              <w:t>指数</w:t>
            </w:r>
            <w:r w:rsidRPr="00C30CFF">
              <w:rPr>
                <w:sz w:val="24"/>
              </w:rPr>
              <w:t>A</w:t>
            </w:r>
          </w:p>
        </w:tc>
        <w:tc>
          <w:tcPr>
            <w:tcW w:w="2693" w:type="dxa"/>
            <w:vAlign w:val="center"/>
          </w:tcPr>
          <w:p w:rsidR="002C4578" w:rsidRPr="00C30CFF" w:rsidRDefault="002C4578" w:rsidP="00320C1E">
            <w:pPr>
              <w:jc w:val="left"/>
              <w:rPr>
                <w:sz w:val="24"/>
              </w:rPr>
            </w:pPr>
            <w:r w:rsidRPr="00C30CFF">
              <w:rPr>
                <w:sz w:val="24"/>
              </w:rPr>
              <w:t>交银创业板</w:t>
            </w:r>
            <w:r w:rsidRPr="00C30CFF">
              <w:rPr>
                <w:sz w:val="24"/>
              </w:rPr>
              <w:t>50</w:t>
            </w:r>
            <w:r w:rsidRPr="00C30CFF">
              <w:rPr>
                <w:sz w:val="24"/>
              </w:rPr>
              <w:t>指数</w:t>
            </w:r>
            <w:r w:rsidRPr="00C30CFF">
              <w:rPr>
                <w:sz w:val="24"/>
              </w:rPr>
              <w:t>C</w:t>
            </w:r>
          </w:p>
        </w:tc>
      </w:tr>
      <w:tr w:rsidR="002C4578" w:rsidRPr="00C30CFF" w:rsidTr="005F23CA">
        <w:tc>
          <w:tcPr>
            <w:tcW w:w="2835" w:type="dxa"/>
          </w:tcPr>
          <w:p w:rsidR="002C4578" w:rsidRPr="00C30CFF" w:rsidRDefault="002C4578" w:rsidP="00320C1E">
            <w:pPr>
              <w:adjustRightInd w:val="0"/>
              <w:spacing w:before="29" w:line="360" w:lineRule="auto"/>
              <w:ind w:left="17"/>
              <w:jc w:val="left"/>
              <w:rPr>
                <w:color w:val="000000"/>
                <w:sz w:val="24"/>
              </w:rPr>
            </w:pPr>
            <w:r w:rsidRPr="00C30CFF">
              <w:rPr>
                <w:color w:val="000000"/>
                <w:sz w:val="24"/>
              </w:rPr>
              <w:t>下属</w:t>
            </w:r>
            <w:r w:rsidR="00D70274">
              <w:rPr>
                <w:rFonts w:hint="eastAsia"/>
                <w:color w:val="000000"/>
                <w:sz w:val="24"/>
              </w:rPr>
              <w:t>两</w:t>
            </w:r>
            <w:r w:rsidRPr="00C30CFF">
              <w:rPr>
                <w:color w:val="000000"/>
                <w:sz w:val="24"/>
              </w:rPr>
              <w:t>级基金的交易代码</w:t>
            </w:r>
          </w:p>
        </w:tc>
        <w:tc>
          <w:tcPr>
            <w:tcW w:w="2694" w:type="dxa"/>
            <w:vAlign w:val="center"/>
          </w:tcPr>
          <w:p w:rsidR="002C4578" w:rsidRPr="00C30CFF" w:rsidRDefault="002C4578" w:rsidP="00320C1E">
            <w:pPr>
              <w:jc w:val="left"/>
              <w:rPr>
                <w:color w:val="000000"/>
                <w:sz w:val="24"/>
              </w:rPr>
            </w:pPr>
            <w:r w:rsidRPr="00C30CFF">
              <w:rPr>
                <w:color w:val="000000"/>
                <w:sz w:val="24"/>
              </w:rPr>
              <w:t>007464</w:t>
            </w:r>
          </w:p>
        </w:tc>
        <w:tc>
          <w:tcPr>
            <w:tcW w:w="2693" w:type="dxa"/>
            <w:vAlign w:val="center"/>
          </w:tcPr>
          <w:p w:rsidR="002C4578" w:rsidRPr="00C30CFF" w:rsidRDefault="002C4578" w:rsidP="00320C1E">
            <w:pPr>
              <w:jc w:val="left"/>
              <w:rPr>
                <w:color w:val="000000"/>
                <w:sz w:val="24"/>
              </w:rPr>
            </w:pPr>
            <w:r w:rsidRPr="00C30CFF">
              <w:rPr>
                <w:color w:val="000000"/>
                <w:sz w:val="24"/>
              </w:rPr>
              <w:t>007465</w:t>
            </w:r>
          </w:p>
        </w:tc>
      </w:tr>
      <w:tr w:rsidR="002C4578" w:rsidRPr="00C30CFF" w:rsidTr="005F23CA">
        <w:tc>
          <w:tcPr>
            <w:tcW w:w="2835" w:type="dxa"/>
          </w:tcPr>
          <w:p w:rsidR="002C4578" w:rsidRPr="00C30CFF" w:rsidRDefault="002C4578" w:rsidP="00A869F6">
            <w:pPr>
              <w:adjustRightInd w:val="0"/>
              <w:spacing w:before="29" w:line="360" w:lineRule="auto"/>
              <w:ind w:left="17"/>
              <w:jc w:val="left"/>
              <w:rPr>
                <w:color w:val="000000"/>
                <w:sz w:val="24"/>
              </w:rPr>
            </w:pPr>
            <w:r w:rsidRPr="00C30CFF">
              <w:rPr>
                <w:color w:val="000000"/>
                <w:sz w:val="24"/>
              </w:rPr>
              <w:t>报告期末下属</w:t>
            </w:r>
            <w:r w:rsidR="00A869F6">
              <w:rPr>
                <w:rFonts w:hint="eastAsia"/>
                <w:color w:val="000000"/>
                <w:sz w:val="24"/>
              </w:rPr>
              <w:t>两级</w:t>
            </w:r>
            <w:r w:rsidRPr="00C30CFF">
              <w:rPr>
                <w:color w:val="000000"/>
                <w:sz w:val="24"/>
              </w:rPr>
              <w:t>基金的份额总额</w:t>
            </w:r>
          </w:p>
        </w:tc>
        <w:tc>
          <w:tcPr>
            <w:tcW w:w="2694" w:type="dxa"/>
            <w:vAlign w:val="center"/>
          </w:tcPr>
          <w:p w:rsidR="002C4578" w:rsidRPr="00C30CFF" w:rsidRDefault="002C4578" w:rsidP="00320C1E">
            <w:pPr>
              <w:jc w:val="left"/>
              <w:rPr>
                <w:sz w:val="24"/>
              </w:rPr>
            </w:pPr>
            <w:r w:rsidRPr="00C30CFF">
              <w:rPr>
                <w:sz w:val="24"/>
              </w:rPr>
              <w:t>471,004,227.64</w:t>
            </w:r>
            <w:r w:rsidRPr="00C30CFF">
              <w:rPr>
                <w:color w:val="000000"/>
                <w:kern w:val="0"/>
                <w:sz w:val="24"/>
              </w:rPr>
              <w:t>份</w:t>
            </w:r>
          </w:p>
        </w:tc>
        <w:tc>
          <w:tcPr>
            <w:tcW w:w="2693" w:type="dxa"/>
            <w:vAlign w:val="center"/>
          </w:tcPr>
          <w:p w:rsidR="002C4578" w:rsidRPr="00C30CFF" w:rsidRDefault="002C4578" w:rsidP="00320C1E">
            <w:pPr>
              <w:jc w:val="left"/>
              <w:rPr>
                <w:sz w:val="24"/>
              </w:rPr>
            </w:pPr>
            <w:r w:rsidRPr="00C30CFF">
              <w:rPr>
                <w:sz w:val="24"/>
              </w:rPr>
              <w:t>253,077,124.82</w:t>
            </w:r>
            <w:r w:rsidRPr="00C30CFF">
              <w:rPr>
                <w:color w:val="000000"/>
                <w:kern w:val="0"/>
                <w:sz w:val="24"/>
              </w:rPr>
              <w:t>份</w:t>
            </w:r>
          </w:p>
        </w:tc>
      </w:tr>
    </w:tbl>
    <w:p w:rsidR="00A62673" w:rsidRPr="00EC5CE0" w:rsidRDefault="00A62673" w:rsidP="00F729DC">
      <w:pPr>
        <w:pStyle w:val="1"/>
        <w:spacing w:beforeLines="100" w:before="312" w:afterLines="100" w:after="312" w:line="360" w:lineRule="auto"/>
        <w:jc w:val="center"/>
        <w:rPr>
          <w:rFonts w:ascii="宋体" w:cs="Arial"/>
          <w:color w:val="000000"/>
          <w:kern w:val="0"/>
          <w:sz w:val="24"/>
          <w:szCs w:val="24"/>
        </w:rPr>
      </w:pPr>
      <w:r w:rsidRPr="00EC5CE0">
        <w:rPr>
          <w:rFonts w:ascii="宋体" w:hAnsi="宋体" w:cs="Arial" w:hint="eastAsia"/>
          <w:color w:val="000000"/>
          <w:kern w:val="0"/>
          <w:sz w:val="24"/>
          <w:szCs w:val="24"/>
        </w:rPr>
        <w:t>§</w:t>
      </w:r>
      <w:r w:rsidRPr="00EC5CE0">
        <w:rPr>
          <w:rFonts w:ascii="宋体" w:hAnsi="宋体" w:cs="Arial"/>
          <w:color w:val="000000"/>
          <w:kern w:val="0"/>
          <w:sz w:val="24"/>
          <w:szCs w:val="24"/>
        </w:rPr>
        <w:t xml:space="preserve">3  </w:t>
      </w:r>
      <w:r w:rsidRPr="00EC5CE0">
        <w:rPr>
          <w:rFonts w:ascii="宋体" w:hAnsi="宋体" w:cs="Arial" w:hint="eastAsia"/>
          <w:color w:val="000000"/>
          <w:kern w:val="0"/>
          <w:sz w:val="24"/>
          <w:szCs w:val="24"/>
        </w:rPr>
        <w:t>主要财务指标和基金净值表现</w:t>
      </w:r>
    </w:p>
    <w:p w:rsidR="00A62673" w:rsidRPr="00EC5CE0" w:rsidRDefault="00A62673" w:rsidP="005A2DCB">
      <w:pPr>
        <w:autoSpaceDE w:val="0"/>
        <w:autoSpaceDN w:val="0"/>
        <w:adjustRightInd w:val="0"/>
        <w:spacing w:line="360" w:lineRule="auto"/>
        <w:jc w:val="left"/>
        <w:rPr>
          <w:rFonts w:ascii="宋体" w:cs="Arial"/>
          <w:b/>
          <w:color w:val="000000"/>
          <w:kern w:val="0"/>
          <w:sz w:val="24"/>
        </w:rPr>
      </w:pPr>
      <w:r w:rsidRPr="00EC5CE0">
        <w:rPr>
          <w:rFonts w:ascii="宋体" w:hAnsi="宋体" w:cs="Arial"/>
          <w:b/>
          <w:color w:val="000000"/>
          <w:kern w:val="0"/>
          <w:sz w:val="24"/>
        </w:rPr>
        <w:t xml:space="preserve">3.1 </w:t>
      </w:r>
      <w:r w:rsidRPr="00EC5CE0">
        <w:rPr>
          <w:rFonts w:ascii="宋体" w:hAnsi="宋体" w:cs="Arial" w:hint="eastAsia"/>
          <w:b/>
          <w:color w:val="000000"/>
          <w:kern w:val="0"/>
          <w:sz w:val="24"/>
        </w:rPr>
        <w:t>主要财务指标</w:t>
      </w:r>
    </w:p>
    <w:p w:rsidR="005F23CA" w:rsidRPr="00FA472B" w:rsidRDefault="005F23CA" w:rsidP="005F23CA">
      <w:pPr>
        <w:autoSpaceDE w:val="0"/>
        <w:autoSpaceDN w:val="0"/>
        <w:adjustRightInd w:val="0"/>
        <w:spacing w:before="29" w:line="288" w:lineRule="auto"/>
        <w:ind w:left="15" w:right="480"/>
        <w:jc w:val="right"/>
        <w:rPr>
          <w:rFonts w:ascii="宋体" w:hAnsi="宋体" w:cs="Arial"/>
          <w:color w:val="000000"/>
          <w:kern w:val="0"/>
          <w:sz w:val="24"/>
        </w:rPr>
      </w:pPr>
      <w:r w:rsidRPr="00FA472B">
        <w:rPr>
          <w:rFonts w:ascii="宋体" w:hAnsi="宋体" w:cs="Arial" w:hint="eastAsia"/>
          <w:color w:val="000000"/>
          <w:kern w:val="0"/>
          <w:sz w:val="24"/>
        </w:rPr>
        <w:t>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2481"/>
        <w:gridCol w:w="2481"/>
      </w:tblGrid>
      <w:tr w:rsidR="005F23CA" w:rsidRPr="00FA472B" w:rsidTr="00320C1E">
        <w:tc>
          <w:tcPr>
            <w:tcW w:w="3402" w:type="dxa"/>
            <w:vMerge w:val="restart"/>
            <w:vAlign w:val="center"/>
          </w:tcPr>
          <w:p w:rsidR="005F23CA" w:rsidRPr="00FA472B" w:rsidRDefault="005F23CA" w:rsidP="00320C1E">
            <w:pPr>
              <w:adjustRightInd w:val="0"/>
              <w:spacing w:before="29" w:line="360" w:lineRule="auto"/>
              <w:ind w:left="17"/>
              <w:jc w:val="center"/>
              <w:rPr>
                <w:kern w:val="0"/>
                <w:sz w:val="24"/>
              </w:rPr>
            </w:pPr>
            <w:r w:rsidRPr="00FA472B">
              <w:rPr>
                <w:kern w:val="0"/>
                <w:sz w:val="24"/>
              </w:rPr>
              <w:t>主要财务指标</w:t>
            </w:r>
          </w:p>
        </w:tc>
        <w:tc>
          <w:tcPr>
            <w:tcW w:w="4962" w:type="dxa"/>
            <w:gridSpan w:val="2"/>
            <w:vAlign w:val="center"/>
          </w:tcPr>
          <w:p w:rsidR="005F23CA" w:rsidRPr="00FA472B" w:rsidRDefault="005F23CA" w:rsidP="00320C1E">
            <w:pPr>
              <w:adjustRightInd w:val="0"/>
              <w:spacing w:before="29" w:line="360" w:lineRule="auto"/>
              <w:ind w:left="17"/>
              <w:jc w:val="center"/>
              <w:rPr>
                <w:color w:val="000000"/>
                <w:sz w:val="24"/>
              </w:rPr>
            </w:pPr>
            <w:r w:rsidRPr="00FA472B">
              <w:rPr>
                <w:color w:val="000000"/>
                <w:sz w:val="24"/>
              </w:rPr>
              <w:t>报告期</w:t>
            </w:r>
          </w:p>
          <w:p w:rsidR="005F23CA" w:rsidRPr="00FA472B" w:rsidRDefault="005F23CA" w:rsidP="00320C1E">
            <w:pPr>
              <w:adjustRightInd w:val="0"/>
              <w:spacing w:before="29" w:line="360" w:lineRule="auto"/>
              <w:ind w:left="17"/>
              <w:jc w:val="center"/>
              <w:rPr>
                <w:color w:val="000000"/>
                <w:sz w:val="24"/>
              </w:rPr>
            </w:pPr>
            <w:r w:rsidRPr="00FA472B">
              <w:rPr>
                <w:color w:val="000000"/>
                <w:sz w:val="24"/>
              </w:rPr>
              <w:t>(2020</w:t>
            </w:r>
            <w:r w:rsidRPr="00FA472B">
              <w:rPr>
                <w:color w:val="000000"/>
                <w:sz w:val="24"/>
              </w:rPr>
              <w:t>年</w:t>
            </w:r>
            <w:r w:rsidRPr="00FA472B">
              <w:rPr>
                <w:color w:val="000000"/>
                <w:sz w:val="24"/>
              </w:rPr>
              <w:t>7</w:t>
            </w:r>
            <w:r w:rsidRPr="00FA472B">
              <w:rPr>
                <w:color w:val="000000"/>
                <w:sz w:val="24"/>
              </w:rPr>
              <w:t>月</w:t>
            </w:r>
            <w:r w:rsidRPr="00FA472B">
              <w:rPr>
                <w:color w:val="000000"/>
                <w:sz w:val="24"/>
              </w:rPr>
              <w:t>1</w:t>
            </w:r>
            <w:r w:rsidRPr="00FA472B">
              <w:rPr>
                <w:color w:val="000000"/>
                <w:sz w:val="24"/>
              </w:rPr>
              <w:t>日</w:t>
            </w:r>
            <w:r w:rsidRPr="00FA472B">
              <w:rPr>
                <w:color w:val="000000"/>
                <w:sz w:val="24"/>
              </w:rPr>
              <w:t>-2020</w:t>
            </w:r>
            <w:r w:rsidRPr="00FA472B">
              <w:rPr>
                <w:color w:val="000000"/>
                <w:sz w:val="24"/>
              </w:rPr>
              <w:t>年</w:t>
            </w:r>
            <w:r w:rsidRPr="00FA472B">
              <w:rPr>
                <w:color w:val="000000"/>
                <w:sz w:val="24"/>
              </w:rPr>
              <w:t>9</w:t>
            </w:r>
            <w:r w:rsidRPr="00FA472B">
              <w:rPr>
                <w:color w:val="000000"/>
                <w:sz w:val="24"/>
              </w:rPr>
              <w:t>月</w:t>
            </w:r>
            <w:r w:rsidRPr="00FA472B">
              <w:rPr>
                <w:color w:val="000000"/>
                <w:sz w:val="24"/>
              </w:rPr>
              <w:t>30</w:t>
            </w:r>
            <w:r w:rsidRPr="00FA472B">
              <w:rPr>
                <w:color w:val="000000"/>
                <w:sz w:val="24"/>
              </w:rPr>
              <w:t>日</w:t>
            </w:r>
            <w:r w:rsidRPr="00FA472B">
              <w:rPr>
                <w:color w:val="000000"/>
                <w:sz w:val="24"/>
              </w:rPr>
              <w:t>)</w:t>
            </w:r>
          </w:p>
        </w:tc>
      </w:tr>
      <w:tr w:rsidR="005F23CA" w:rsidRPr="00FA472B" w:rsidTr="00320C1E">
        <w:tc>
          <w:tcPr>
            <w:tcW w:w="3402" w:type="dxa"/>
            <w:vMerge/>
            <w:vAlign w:val="center"/>
          </w:tcPr>
          <w:p w:rsidR="005F23CA" w:rsidRPr="00FA472B" w:rsidRDefault="005F23CA" w:rsidP="00320C1E">
            <w:pPr>
              <w:adjustRightInd w:val="0"/>
              <w:spacing w:before="29" w:line="360" w:lineRule="auto"/>
              <w:ind w:left="17"/>
              <w:jc w:val="center"/>
              <w:rPr>
                <w:kern w:val="0"/>
                <w:sz w:val="24"/>
              </w:rPr>
            </w:pPr>
          </w:p>
        </w:tc>
        <w:tc>
          <w:tcPr>
            <w:tcW w:w="2481" w:type="dxa"/>
            <w:vAlign w:val="center"/>
          </w:tcPr>
          <w:p w:rsidR="005F23CA" w:rsidRPr="00FA472B" w:rsidRDefault="005F23CA" w:rsidP="00320C1E">
            <w:pPr>
              <w:adjustRightInd w:val="0"/>
              <w:spacing w:before="29" w:line="360" w:lineRule="auto"/>
              <w:ind w:left="17"/>
              <w:jc w:val="center"/>
              <w:rPr>
                <w:color w:val="000000"/>
                <w:sz w:val="24"/>
              </w:rPr>
            </w:pPr>
            <w:r w:rsidRPr="00FA472B">
              <w:rPr>
                <w:sz w:val="24"/>
              </w:rPr>
              <w:t>交银创业板</w:t>
            </w:r>
            <w:r w:rsidRPr="00FA472B">
              <w:rPr>
                <w:sz w:val="24"/>
              </w:rPr>
              <w:t>50</w:t>
            </w:r>
            <w:r w:rsidRPr="00FA472B">
              <w:rPr>
                <w:sz w:val="24"/>
              </w:rPr>
              <w:t>指数</w:t>
            </w:r>
            <w:r w:rsidRPr="00FA472B">
              <w:rPr>
                <w:sz w:val="24"/>
              </w:rPr>
              <w:t>A</w:t>
            </w:r>
          </w:p>
        </w:tc>
        <w:tc>
          <w:tcPr>
            <w:tcW w:w="2481" w:type="dxa"/>
            <w:vAlign w:val="center"/>
          </w:tcPr>
          <w:p w:rsidR="005F23CA" w:rsidRPr="00FA472B" w:rsidRDefault="005F23CA" w:rsidP="00320C1E">
            <w:pPr>
              <w:adjustRightInd w:val="0"/>
              <w:spacing w:before="29" w:line="360" w:lineRule="auto"/>
              <w:ind w:left="17"/>
              <w:jc w:val="center"/>
              <w:rPr>
                <w:color w:val="000000"/>
                <w:sz w:val="24"/>
              </w:rPr>
            </w:pPr>
            <w:r w:rsidRPr="00FA472B">
              <w:rPr>
                <w:sz w:val="24"/>
              </w:rPr>
              <w:t>交银创业板</w:t>
            </w:r>
            <w:r w:rsidRPr="00FA472B">
              <w:rPr>
                <w:sz w:val="24"/>
              </w:rPr>
              <w:t>50</w:t>
            </w:r>
            <w:r w:rsidRPr="00FA472B">
              <w:rPr>
                <w:sz w:val="24"/>
              </w:rPr>
              <w:t>指数</w:t>
            </w:r>
            <w:r w:rsidRPr="00FA472B">
              <w:rPr>
                <w:sz w:val="24"/>
              </w:rPr>
              <w:t>C</w:t>
            </w:r>
          </w:p>
        </w:tc>
      </w:tr>
      <w:tr w:rsidR="005F23CA" w:rsidRPr="00FA472B" w:rsidTr="00320C1E">
        <w:tc>
          <w:tcPr>
            <w:tcW w:w="3402" w:type="dxa"/>
          </w:tcPr>
          <w:p w:rsidR="005F23CA" w:rsidRPr="00FA472B" w:rsidRDefault="005F23CA" w:rsidP="00320C1E">
            <w:pPr>
              <w:adjustRightInd w:val="0"/>
              <w:spacing w:before="29" w:line="360" w:lineRule="auto"/>
              <w:ind w:left="17"/>
              <w:rPr>
                <w:kern w:val="0"/>
                <w:sz w:val="24"/>
              </w:rPr>
            </w:pPr>
            <w:r w:rsidRPr="00FA472B">
              <w:rPr>
                <w:kern w:val="0"/>
                <w:sz w:val="24"/>
              </w:rPr>
              <w:t>1.</w:t>
            </w:r>
            <w:r w:rsidRPr="00FA472B">
              <w:rPr>
                <w:kern w:val="0"/>
                <w:sz w:val="24"/>
              </w:rPr>
              <w:t>本期已实现收益</w:t>
            </w:r>
          </w:p>
        </w:tc>
        <w:tc>
          <w:tcPr>
            <w:tcW w:w="2481" w:type="dxa"/>
            <w:vAlign w:val="bottom"/>
          </w:tcPr>
          <w:p w:rsidR="005F23CA" w:rsidRPr="00FA472B" w:rsidRDefault="005F23CA" w:rsidP="00320C1E">
            <w:pPr>
              <w:adjustRightInd w:val="0"/>
              <w:spacing w:before="29" w:line="360" w:lineRule="auto"/>
              <w:ind w:left="17"/>
              <w:jc w:val="right"/>
              <w:rPr>
                <w:color w:val="000000"/>
                <w:sz w:val="24"/>
              </w:rPr>
            </w:pPr>
            <w:r w:rsidRPr="00FA472B">
              <w:rPr>
                <w:color w:val="000000"/>
                <w:sz w:val="24"/>
              </w:rPr>
              <w:t>10,901,931.85</w:t>
            </w:r>
          </w:p>
        </w:tc>
        <w:tc>
          <w:tcPr>
            <w:tcW w:w="2481" w:type="dxa"/>
            <w:vAlign w:val="bottom"/>
          </w:tcPr>
          <w:p w:rsidR="005F23CA" w:rsidRPr="00FA472B" w:rsidRDefault="005F23CA" w:rsidP="00320C1E">
            <w:pPr>
              <w:adjustRightInd w:val="0"/>
              <w:spacing w:before="29" w:line="360" w:lineRule="auto"/>
              <w:ind w:left="17"/>
              <w:jc w:val="right"/>
              <w:rPr>
                <w:color w:val="000000"/>
                <w:sz w:val="24"/>
              </w:rPr>
            </w:pPr>
            <w:r w:rsidRPr="00FA472B">
              <w:rPr>
                <w:color w:val="000000"/>
                <w:sz w:val="24"/>
              </w:rPr>
              <w:t>4,824,962.89</w:t>
            </w:r>
          </w:p>
        </w:tc>
      </w:tr>
      <w:tr w:rsidR="005F23CA" w:rsidRPr="00FA472B" w:rsidTr="00320C1E">
        <w:tc>
          <w:tcPr>
            <w:tcW w:w="3402" w:type="dxa"/>
          </w:tcPr>
          <w:p w:rsidR="005F23CA" w:rsidRPr="00FA472B" w:rsidRDefault="005F23CA" w:rsidP="00320C1E">
            <w:pPr>
              <w:adjustRightInd w:val="0"/>
              <w:spacing w:before="29" w:line="360" w:lineRule="auto"/>
              <w:ind w:left="17"/>
              <w:rPr>
                <w:kern w:val="0"/>
                <w:sz w:val="24"/>
              </w:rPr>
            </w:pPr>
            <w:r w:rsidRPr="00FA472B">
              <w:rPr>
                <w:kern w:val="0"/>
                <w:sz w:val="24"/>
              </w:rPr>
              <w:t>2.</w:t>
            </w:r>
            <w:r w:rsidRPr="00FA472B">
              <w:rPr>
                <w:kern w:val="0"/>
                <w:sz w:val="24"/>
              </w:rPr>
              <w:t>本期利润</w:t>
            </w:r>
          </w:p>
        </w:tc>
        <w:tc>
          <w:tcPr>
            <w:tcW w:w="2481" w:type="dxa"/>
            <w:vAlign w:val="bottom"/>
          </w:tcPr>
          <w:p w:rsidR="005F23CA" w:rsidRPr="00FA472B" w:rsidRDefault="005F23CA" w:rsidP="00320C1E">
            <w:pPr>
              <w:adjustRightInd w:val="0"/>
              <w:spacing w:before="29" w:line="360" w:lineRule="auto"/>
              <w:ind w:left="17"/>
              <w:jc w:val="right"/>
              <w:rPr>
                <w:color w:val="000000"/>
                <w:sz w:val="24"/>
              </w:rPr>
            </w:pPr>
            <w:r w:rsidRPr="00FA472B">
              <w:rPr>
                <w:color w:val="000000"/>
                <w:sz w:val="24"/>
              </w:rPr>
              <w:t>31,584,409.74</w:t>
            </w:r>
          </w:p>
        </w:tc>
        <w:tc>
          <w:tcPr>
            <w:tcW w:w="2481" w:type="dxa"/>
            <w:vAlign w:val="bottom"/>
          </w:tcPr>
          <w:p w:rsidR="005F23CA" w:rsidRPr="00FA472B" w:rsidRDefault="005F23CA" w:rsidP="00320C1E">
            <w:pPr>
              <w:adjustRightInd w:val="0"/>
              <w:spacing w:before="29" w:line="360" w:lineRule="auto"/>
              <w:ind w:left="17"/>
              <w:jc w:val="right"/>
              <w:rPr>
                <w:color w:val="000000"/>
                <w:sz w:val="24"/>
              </w:rPr>
            </w:pPr>
            <w:r w:rsidRPr="00FA472B">
              <w:rPr>
                <w:color w:val="000000"/>
                <w:sz w:val="24"/>
              </w:rPr>
              <w:t>5,092,194.76</w:t>
            </w:r>
          </w:p>
        </w:tc>
      </w:tr>
      <w:tr w:rsidR="005F23CA" w:rsidRPr="00FA472B" w:rsidTr="00320C1E">
        <w:tc>
          <w:tcPr>
            <w:tcW w:w="3402" w:type="dxa"/>
          </w:tcPr>
          <w:p w:rsidR="005F23CA" w:rsidRPr="00FA472B" w:rsidRDefault="005F23CA" w:rsidP="00320C1E">
            <w:pPr>
              <w:adjustRightInd w:val="0"/>
              <w:spacing w:before="29" w:line="360" w:lineRule="auto"/>
              <w:ind w:left="17"/>
              <w:rPr>
                <w:kern w:val="0"/>
                <w:sz w:val="24"/>
              </w:rPr>
            </w:pPr>
            <w:r w:rsidRPr="00FA472B">
              <w:rPr>
                <w:kern w:val="0"/>
                <w:sz w:val="24"/>
              </w:rPr>
              <w:t>3.</w:t>
            </w:r>
            <w:r w:rsidRPr="00FA472B">
              <w:rPr>
                <w:kern w:val="0"/>
                <w:sz w:val="24"/>
              </w:rPr>
              <w:t>加权平均基金份额本期利润</w:t>
            </w:r>
          </w:p>
        </w:tc>
        <w:tc>
          <w:tcPr>
            <w:tcW w:w="2481" w:type="dxa"/>
            <w:vAlign w:val="bottom"/>
          </w:tcPr>
          <w:p w:rsidR="005F23CA" w:rsidRPr="00FA472B" w:rsidRDefault="005F23CA" w:rsidP="00320C1E">
            <w:pPr>
              <w:adjustRightInd w:val="0"/>
              <w:spacing w:before="29" w:line="360" w:lineRule="auto"/>
              <w:ind w:left="17"/>
              <w:jc w:val="right"/>
              <w:rPr>
                <w:color w:val="000000"/>
                <w:sz w:val="24"/>
              </w:rPr>
            </w:pPr>
            <w:r w:rsidRPr="00FA472B">
              <w:rPr>
                <w:color w:val="000000"/>
                <w:sz w:val="24"/>
              </w:rPr>
              <w:t>0.0720</w:t>
            </w:r>
          </w:p>
        </w:tc>
        <w:tc>
          <w:tcPr>
            <w:tcW w:w="2481" w:type="dxa"/>
            <w:vAlign w:val="bottom"/>
          </w:tcPr>
          <w:p w:rsidR="005F23CA" w:rsidRPr="00FA472B" w:rsidRDefault="005F23CA" w:rsidP="00320C1E">
            <w:pPr>
              <w:adjustRightInd w:val="0"/>
              <w:spacing w:before="29" w:line="360" w:lineRule="auto"/>
              <w:ind w:left="17"/>
              <w:jc w:val="right"/>
              <w:rPr>
                <w:color w:val="000000"/>
                <w:sz w:val="24"/>
              </w:rPr>
            </w:pPr>
            <w:r w:rsidRPr="00FA472B">
              <w:rPr>
                <w:color w:val="000000"/>
                <w:sz w:val="24"/>
              </w:rPr>
              <w:t>0.0235</w:t>
            </w:r>
          </w:p>
        </w:tc>
      </w:tr>
      <w:tr w:rsidR="005F23CA" w:rsidRPr="00FA472B" w:rsidTr="00320C1E">
        <w:tc>
          <w:tcPr>
            <w:tcW w:w="3402" w:type="dxa"/>
          </w:tcPr>
          <w:p w:rsidR="005F23CA" w:rsidRPr="00FA472B" w:rsidRDefault="005F23CA" w:rsidP="00320C1E">
            <w:pPr>
              <w:adjustRightInd w:val="0"/>
              <w:spacing w:before="29" w:line="360" w:lineRule="auto"/>
              <w:ind w:left="17"/>
              <w:rPr>
                <w:kern w:val="0"/>
                <w:sz w:val="24"/>
              </w:rPr>
            </w:pPr>
            <w:r w:rsidRPr="00FA472B">
              <w:rPr>
                <w:kern w:val="0"/>
                <w:sz w:val="24"/>
              </w:rPr>
              <w:t>4.</w:t>
            </w:r>
            <w:r w:rsidRPr="00FA472B">
              <w:rPr>
                <w:kern w:val="0"/>
                <w:sz w:val="24"/>
              </w:rPr>
              <w:t>期末基金资产净值</w:t>
            </w:r>
          </w:p>
        </w:tc>
        <w:tc>
          <w:tcPr>
            <w:tcW w:w="2481" w:type="dxa"/>
          </w:tcPr>
          <w:p w:rsidR="005F23CA" w:rsidRPr="00FA472B" w:rsidRDefault="005F23CA" w:rsidP="00320C1E">
            <w:pPr>
              <w:adjustRightInd w:val="0"/>
              <w:spacing w:before="29" w:line="360" w:lineRule="auto"/>
              <w:ind w:left="17"/>
              <w:jc w:val="right"/>
              <w:rPr>
                <w:color w:val="000000"/>
                <w:sz w:val="24"/>
              </w:rPr>
            </w:pPr>
            <w:r w:rsidRPr="00FA472B">
              <w:rPr>
                <w:color w:val="000000"/>
                <w:sz w:val="24"/>
              </w:rPr>
              <w:t>750,057,596.63</w:t>
            </w:r>
          </w:p>
        </w:tc>
        <w:tc>
          <w:tcPr>
            <w:tcW w:w="2481" w:type="dxa"/>
          </w:tcPr>
          <w:p w:rsidR="005F23CA" w:rsidRPr="00FA472B" w:rsidRDefault="005F23CA" w:rsidP="00320C1E">
            <w:pPr>
              <w:adjustRightInd w:val="0"/>
              <w:spacing w:before="29" w:line="360" w:lineRule="auto"/>
              <w:ind w:left="17"/>
              <w:jc w:val="right"/>
              <w:rPr>
                <w:color w:val="000000"/>
                <w:sz w:val="24"/>
              </w:rPr>
            </w:pPr>
            <w:r w:rsidRPr="00FA472B">
              <w:rPr>
                <w:color w:val="000000"/>
                <w:sz w:val="24"/>
              </w:rPr>
              <w:t>401,672,730.84</w:t>
            </w:r>
          </w:p>
        </w:tc>
      </w:tr>
      <w:tr w:rsidR="005F23CA" w:rsidRPr="00FA472B" w:rsidTr="00320C1E">
        <w:trPr>
          <w:trHeight w:val="158"/>
        </w:trPr>
        <w:tc>
          <w:tcPr>
            <w:tcW w:w="3402" w:type="dxa"/>
          </w:tcPr>
          <w:p w:rsidR="005F23CA" w:rsidRPr="00FA472B" w:rsidRDefault="005F23CA" w:rsidP="00320C1E">
            <w:pPr>
              <w:adjustRightInd w:val="0"/>
              <w:spacing w:before="29" w:line="360" w:lineRule="auto"/>
              <w:ind w:left="17"/>
              <w:rPr>
                <w:kern w:val="0"/>
                <w:sz w:val="24"/>
              </w:rPr>
            </w:pPr>
            <w:r w:rsidRPr="00FA472B">
              <w:rPr>
                <w:kern w:val="0"/>
                <w:sz w:val="24"/>
              </w:rPr>
              <w:lastRenderedPageBreak/>
              <w:t>5.</w:t>
            </w:r>
            <w:r w:rsidRPr="00FA472B">
              <w:rPr>
                <w:kern w:val="0"/>
                <w:sz w:val="24"/>
              </w:rPr>
              <w:t>期末基金份额净值</w:t>
            </w:r>
          </w:p>
        </w:tc>
        <w:tc>
          <w:tcPr>
            <w:tcW w:w="2481" w:type="dxa"/>
          </w:tcPr>
          <w:p w:rsidR="005F23CA" w:rsidRPr="00FA472B" w:rsidRDefault="005F23CA" w:rsidP="00320C1E">
            <w:pPr>
              <w:adjustRightInd w:val="0"/>
              <w:spacing w:before="29" w:line="360" w:lineRule="auto"/>
              <w:ind w:left="17"/>
              <w:jc w:val="right"/>
              <w:rPr>
                <w:color w:val="000000"/>
                <w:sz w:val="24"/>
              </w:rPr>
            </w:pPr>
            <w:r w:rsidRPr="00FA472B">
              <w:rPr>
                <w:color w:val="000000"/>
                <w:sz w:val="24"/>
              </w:rPr>
              <w:t>1.5925</w:t>
            </w:r>
          </w:p>
        </w:tc>
        <w:tc>
          <w:tcPr>
            <w:tcW w:w="2481" w:type="dxa"/>
          </w:tcPr>
          <w:p w:rsidR="005F23CA" w:rsidRPr="00FA472B" w:rsidRDefault="005F23CA" w:rsidP="00320C1E">
            <w:pPr>
              <w:adjustRightInd w:val="0"/>
              <w:spacing w:before="29" w:line="360" w:lineRule="auto"/>
              <w:ind w:left="17"/>
              <w:jc w:val="right"/>
              <w:rPr>
                <w:color w:val="000000"/>
                <w:sz w:val="24"/>
              </w:rPr>
            </w:pPr>
            <w:r w:rsidRPr="00FA472B">
              <w:rPr>
                <w:color w:val="000000"/>
                <w:sz w:val="24"/>
              </w:rPr>
              <w:t>1.5872</w:t>
            </w:r>
          </w:p>
        </w:tc>
      </w:tr>
    </w:tbl>
    <w:p w:rsidR="00A9050D" w:rsidRDefault="00896817">
      <w:pPr>
        <w:spacing w:line="360" w:lineRule="auto"/>
        <w:ind w:firstLineChars="200" w:firstLine="480"/>
        <w:rPr>
          <w:color w:val="000000"/>
          <w:sz w:val="24"/>
        </w:rPr>
      </w:pPr>
      <w:r>
        <w:rPr>
          <w:color w:val="000000"/>
          <w:sz w:val="24"/>
        </w:rPr>
        <w:t>注：</w:t>
      </w:r>
      <w:r>
        <w:rPr>
          <w:color w:val="000000"/>
          <w:sz w:val="24"/>
        </w:rPr>
        <w:t>1</w:t>
      </w:r>
      <w:r>
        <w:rPr>
          <w:color w:val="000000"/>
          <w:sz w:val="24"/>
        </w:rPr>
        <w:t>、上述基金业绩指标不包括持有人认购或交易基金的各项费用，计入费用后的实际收益水平要低于所列数字。</w:t>
      </w:r>
      <w:r>
        <w:rPr>
          <w:color w:val="000000"/>
          <w:sz w:val="24"/>
        </w:rPr>
        <w:t xml:space="preserve">  </w:t>
      </w:r>
    </w:p>
    <w:p w:rsidR="00A62673" w:rsidRPr="00C1648E" w:rsidRDefault="005F23CA" w:rsidP="00C1648E">
      <w:pPr>
        <w:spacing w:line="360" w:lineRule="auto"/>
        <w:ind w:firstLineChars="200" w:firstLine="480"/>
        <w:rPr>
          <w:color w:val="000000"/>
          <w:sz w:val="24"/>
        </w:rPr>
      </w:pPr>
      <w:r w:rsidRPr="00C30CFF">
        <w:rPr>
          <w:color w:val="000000"/>
          <w:sz w:val="24"/>
        </w:rPr>
        <w:t>2</w:t>
      </w:r>
      <w:r w:rsidRPr="00C30CFF">
        <w:rPr>
          <w:color w:val="000000"/>
          <w:sz w:val="24"/>
        </w:rPr>
        <w:t>、本期已实现收益指基金本期利息收入、投资收益、其他收入（不含公允价值变动收益）扣除相关费用后的余额，本期利润为本期已实现收益加上本期公允价值变动收益</w:t>
      </w:r>
    </w:p>
    <w:p w:rsidR="00A62673" w:rsidRPr="00EC5CE0" w:rsidRDefault="00A62673" w:rsidP="005A2DCB">
      <w:pPr>
        <w:autoSpaceDE w:val="0"/>
        <w:autoSpaceDN w:val="0"/>
        <w:adjustRightInd w:val="0"/>
        <w:spacing w:line="360" w:lineRule="auto"/>
        <w:jc w:val="left"/>
        <w:rPr>
          <w:rFonts w:ascii="宋体" w:cs="Arial"/>
          <w:b/>
          <w:color w:val="000000"/>
          <w:kern w:val="0"/>
          <w:sz w:val="24"/>
        </w:rPr>
      </w:pPr>
      <w:r w:rsidRPr="00EC5CE0">
        <w:rPr>
          <w:rFonts w:ascii="宋体" w:hAnsi="宋体" w:cs="Arial"/>
          <w:b/>
          <w:color w:val="000000"/>
          <w:kern w:val="0"/>
          <w:sz w:val="24"/>
        </w:rPr>
        <w:t xml:space="preserve">3.2 </w:t>
      </w:r>
      <w:r w:rsidRPr="00EC5CE0">
        <w:rPr>
          <w:rFonts w:ascii="宋体" w:hAnsi="宋体" w:cs="Arial" w:hint="eastAsia"/>
          <w:b/>
          <w:color w:val="000000"/>
          <w:kern w:val="0"/>
          <w:sz w:val="24"/>
        </w:rPr>
        <w:t>基金净值表现</w:t>
      </w:r>
    </w:p>
    <w:p w:rsidR="009B2EE9" w:rsidRPr="0078105B" w:rsidRDefault="009B2EE9" w:rsidP="009B2EE9">
      <w:pPr>
        <w:autoSpaceDE w:val="0"/>
        <w:autoSpaceDN w:val="0"/>
        <w:adjustRightInd w:val="0"/>
        <w:spacing w:line="360" w:lineRule="auto"/>
        <w:jc w:val="left"/>
        <w:rPr>
          <w:rFonts w:ascii="宋体" w:cs="Arial"/>
          <w:b/>
          <w:color w:val="000000"/>
          <w:kern w:val="0"/>
          <w:sz w:val="24"/>
        </w:rPr>
      </w:pPr>
      <w:r w:rsidRPr="0078105B">
        <w:rPr>
          <w:rFonts w:ascii="宋体" w:hAnsi="宋体" w:cs="Arial"/>
          <w:b/>
          <w:color w:val="000000"/>
          <w:kern w:val="0"/>
          <w:sz w:val="24"/>
        </w:rPr>
        <w:t>3.2.1</w:t>
      </w:r>
      <w:r w:rsidRPr="0078105B">
        <w:rPr>
          <w:rFonts w:ascii="宋体" w:hAnsi="宋体" w:cs="Arial" w:hint="eastAsia"/>
          <w:b/>
          <w:color w:val="000000"/>
          <w:kern w:val="0"/>
          <w:sz w:val="24"/>
        </w:rPr>
        <w:t>本报告期基金份额净值增长率及其与同期业绩比较基准收益率的比较</w:t>
      </w:r>
    </w:p>
    <w:p w:rsidR="009B2EE9" w:rsidRPr="0078105B" w:rsidRDefault="009B2EE9" w:rsidP="009B2EE9">
      <w:pPr>
        <w:spacing w:line="360" w:lineRule="auto"/>
        <w:ind w:firstLineChars="150" w:firstLine="361"/>
        <w:rPr>
          <w:rFonts w:ascii="宋体"/>
          <w:b/>
          <w:sz w:val="24"/>
        </w:rPr>
      </w:pPr>
      <w:r w:rsidRPr="0078105B">
        <w:rPr>
          <w:rFonts w:ascii="宋体" w:hAnsi="宋体" w:cs="Arial"/>
          <w:b/>
          <w:color w:val="000000"/>
          <w:kern w:val="0"/>
          <w:sz w:val="24"/>
        </w:rPr>
        <w:t>交银创业板50指数A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90"/>
        <w:gridCol w:w="1291"/>
        <w:gridCol w:w="1291"/>
        <w:gridCol w:w="1291"/>
        <w:gridCol w:w="1291"/>
        <w:gridCol w:w="1291"/>
        <w:gridCol w:w="1291"/>
      </w:tblGrid>
      <w:tr w:rsidR="009B2EE9" w:rsidRPr="0078105B" w:rsidTr="00AE7FCD">
        <w:trPr>
          <w:jc w:val="center"/>
        </w:trPr>
        <w:tc>
          <w:tcPr>
            <w:tcW w:w="1290" w:type="dxa"/>
            <w:vAlign w:val="center"/>
          </w:tcPr>
          <w:p w:rsidR="009B2EE9" w:rsidRPr="00FA472B" w:rsidRDefault="009B2EE9" w:rsidP="00320C1E">
            <w:pPr>
              <w:snapToGrid w:val="0"/>
              <w:spacing w:line="288" w:lineRule="auto"/>
              <w:jc w:val="center"/>
              <w:rPr>
                <w:color w:val="000000"/>
                <w:sz w:val="24"/>
              </w:rPr>
            </w:pPr>
            <w:r w:rsidRPr="00FA472B">
              <w:rPr>
                <w:color w:val="000000"/>
                <w:sz w:val="24"/>
              </w:rPr>
              <w:t>阶段</w:t>
            </w:r>
          </w:p>
        </w:tc>
        <w:tc>
          <w:tcPr>
            <w:tcW w:w="1291" w:type="dxa"/>
            <w:vAlign w:val="center"/>
          </w:tcPr>
          <w:p w:rsidR="009B2EE9" w:rsidRPr="00FA472B" w:rsidRDefault="009B2EE9" w:rsidP="00320C1E">
            <w:pPr>
              <w:snapToGrid w:val="0"/>
              <w:spacing w:line="288" w:lineRule="auto"/>
              <w:jc w:val="center"/>
              <w:rPr>
                <w:color w:val="000000"/>
                <w:sz w:val="24"/>
              </w:rPr>
            </w:pPr>
            <w:r w:rsidRPr="00FA472B">
              <w:rPr>
                <w:color w:val="000000"/>
                <w:sz w:val="24"/>
              </w:rPr>
              <w:t>净值增长率</w:t>
            </w:r>
            <w:r w:rsidRPr="00414367">
              <w:rPr>
                <w:rFonts w:ascii="宋体" w:hAnsi="宋体" w:cs="宋体" w:hint="eastAsia"/>
                <w:color w:val="000000"/>
                <w:sz w:val="24"/>
              </w:rPr>
              <w:t>①</w:t>
            </w:r>
          </w:p>
        </w:tc>
        <w:tc>
          <w:tcPr>
            <w:tcW w:w="1291" w:type="dxa"/>
            <w:vAlign w:val="center"/>
          </w:tcPr>
          <w:p w:rsidR="009B2EE9" w:rsidRPr="00FA472B" w:rsidRDefault="009B2EE9" w:rsidP="00320C1E">
            <w:pPr>
              <w:snapToGrid w:val="0"/>
              <w:spacing w:line="288" w:lineRule="auto"/>
              <w:jc w:val="center"/>
              <w:rPr>
                <w:color w:val="000000"/>
                <w:sz w:val="24"/>
              </w:rPr>
            </w:pPr>
            <w:r w:rsidRPr="00FA472B">
              <w:rPr>
                <w:color w:val="000000"/>
                <w:sz w:val="24"/>
              </w:rPr>
              <w:t>净值增长率标准差</w:t>
            </w:r>
            <w:r w:rsidRPr="00414367">
              <w:rPr>
                <w:rFonts w:ascii="宋体" w:hAnsi="宋体" w:cs="宋体" w:hint="eastAsia"/>
                <w:color w:val="000000"/>
                <w:sz w:val="24"/>
              </w:rPr>
              <w:t>②</w:t>
            </w:r>
          </w:p>
        </w:tc>
        <w:tc>
          <w:tcPr>
            <w:tcW w:w="1291" w:type="dxa"/>
            <w:vAlign w:val="center"/>
          </w:tcPr>
          <w:p w:rsidR="009B2EE9" w:rsidRPr="00FA472B" w:rsidRDefault="009B2EE9" w:rsidP="00320C1E">
            <w:pPr>
              <w:snapToGrid w:val="0"/>
              <w:spacing w:line="288" w:lineRule="auto"/>
              <w:jc w:val="center"/>
              <w:rPr>
                <w:color w:val="000000"/>
                <w:sz w:val="24"/>
              </w:rPr>
            </w:pPr>
            <w:r w:rsidRPr="00FA472B">
              <w:rPr>
                <w:color w:val="000000"/>
                <w:sz w:val="24"/>
              </w:rPr>
              <w:t>业绩比较基准收益率</w:t>
            </w:r>
            <w:r w:rsidRPr="00414367">
              <w:rPr>
                <w:rFonts w:ascii="宋体" w:hAnsi="宋体" w:cs="宋体" w:hint="eastAsia"/>
                <w:color w:val="000000"/>
                <w:sz w:val="24"/>
              </w:rPr>
              <w:t>③</w:t>
            </w:r>
          </w:p>
        </w:tc>
        <w:tc>
          <w:tcPr>
            <w:tcW w:w="1291" w:type="dxa"/>
            <w:vAlign w:val="center"/>
          </w:tcPr>
          <w:p w:rsidR="009B2EE9" w:rsidRPr="00FA472B" w:rsidRDefault="009B2EE9" w:rsidP="00320C1E">
            <w:pPr>
              <w:snapToGrid w:val="0"/>
              <w:spacing w:line="288" w:lineRule="auto"/>
              <w:jc w:val="center"/>
              <w:rPr>
                <w:color w:val="000000"/>
                <w:sz w:val="24"/>
              </w:rPr>
            </w:pPr>
            <w:r w:rsidRPr="00FA472B">
              <w:rPr>
                <w:color w:val="000000"/>
                <w:sz w:val="24"/>
              </w:rPr>
              <w:t>业绩比较基准收益率标准差</w:t>
            </w:r>
            <w:r w:rsidRPr="00414367">
              <w:rPr>
                <w:rFonts w:ascii="宋体" w:hAnsi="宋体" w:cs="宋体" w:hint="eastAsia"/>
                <w:color w:val="000000"/>
                <w:sz w:val="24"/>
              </w:rPr>
              <w:t>④</w:t>
            </w:r>
          </w:p>
        </w:tc>
        <w:tc>
          <w:tcPr>
            <w:tcW w:w="1291" w:type="dxa"/>
            <w:vAlign w:val="center"/>
          </w:tcPr>
          <w:p w:rsidR="009B2EE9" w:rsidRPr="00FA472B" w:rsidRDefault="009B2EE9" w:rsidP="00320C1E">
            <w:pPr>
              <w:snapToGrid w:val="0"/>
              <w:spacing w:line="288" w:lineRule="auto"/>
              <w:jc w:val="center"/>
              <w:rPr>
                <w:color w:val="000000"/>
                <w:sz w:val="24"/>
              </w:rPr>
            </w:pPr>
            <w:r w:rsidRPr="00414367">
              <w:rPr>
                <w:rFonts w:ascii="宋体" w:hAnsi="宋体" w:cs="宋体" w:hint="eastAsia"/>
                <w:color w:val="000000"/>
                <w:sz w:val="24"/>
              </w:rPr>
              <w:t>①</w:t>
            </w:r>
            <w:r w:rsidRPr="00FA472B">
              <w:rPr>
                <w:color w:val="000000"/>
                <w:sz w:val="24"/>
              </w:rPr>
              <w:t>－</w:t>
            </w:r>
            <w:r w:rsidRPr="00414367">
              <w:rPr>
                <w:rFonts w:ascii="宋体" w:hAnsi="宋体" w:cs="宋体" w:hint="eastAsia"/>
                <w:color w:val="000000"/>
                <w:sz w:val="24"/>
              </w:rPr>
              <w:t>③</w:t>
            </w:r>
          </w:p>
        </w:tc>
        <w:tc>
          <w:tcPr>
            <w:tcW w:w="1291" w:type="dxa"/>
            <w:vAlign w:val="center"/>
          </w:tcPr>
          <w:p w:rsidR="009B2EE9" w:rsidRPr="00FA472B" w:rsidRDefault="009B2EE9" w:rsidP="00320C1E">
            <w:pPr>
              <w:snapToGrid w:val="0"/>
              <w:spacing w:line="288" w:lineRule="auto"/>
              <w:jc w:val="center"/>
              <w:rPr>
                <w:color w:val="000000"/>
                <w:sz w:val="24"/>
              </w:rPr>
            </w:pPr>
            <w:r w:rsidRPr="00414367">
              <w:rPr>
                <w:rFonts w:ascii="宋体" w:hAnsi="宋体" w:cs="宋体" w:hint="eastAsia"/>
                <w:color w:val="000000"/>
                <w:sz w:val="24"/>
              </w:rPr>
              <w:t>②</w:t>
            </w:r>
            <w:r w:rsidRPr="00FA472B">
              <w:rPr>
                <w:color w:val="000000"/>
                <w:sz w:val="24"/>
              </w:rPr>
              <w:t>－</w:t>
            </w:r>
            <w:r w:rsidRPr="00414367">
              <w:rPr>
                <w:rFonts w:ascii="宋体" w:hAnsi="宋体" w:cs="宋体" w:hint="eastAsia"/>
                <w:color w:val="000000"/>
                <w:sz w:val="24"/>
              </w:rPr>
              <w:t>④</w:t>
            </w:r>
          </w:p>
        </w:tc>
      </w:tr>
      <w:tr w:rsidR="00A9050D">
        <w:trPr>
          <w:jc w:val="center"/>
        </w:trPr>
        <w:tc>
          <w:tcPr>
            <w:tcW w:w="1290" w:type="dxa"/>
            <w:vAlign w:val="center"/>
          </w:tcPr>
          <w:p w:rsidR="00A9050D" w:rsidRDefault="00896817">
            <w:pPr>
              <w:jc w:val="left"/>
            </w:pPr>
            <w:r>
              <w:rPr>
                <w:color w:val="000000"/>
                <w:sz w:val="24"/>
              </w:rPr>
              <w:t>过去三个月</w:t>
            </w:r>
          </w:p>
        </w:tc>
        <w:tc>
          <w:tcPr>
            <w:tcW w:w="1291" w:type="dxa"/>
            <w:vAlign w:val="center"/>
          </w:tcPr>
          <w:p w:rsidR="00A9050D" w:rsidRDefault="00896817">
            <w:pPr>
              <w:jc w:val="center"/>
            </w:pPr>
            <w:r>
              <w:rPr>
                <w:color w:val="000000"/>
                <w:sz w:val="24"/>
              </w:rPr>
              <w:t>9.50%</w:t>
            </w:r>
          </w:p>
        </w:tc>
        <w:tc>
          <w:tcPr>
            <w:tcW w:w="1291" w:type="dxa"/>
            <w:vAlign w:val="center"/>
          </w:tcPr>
          <w:p w:rsidR="00A9050D" w:rsidRDefault="00896817">
            <w:pPr>
              <w:jc w:val="center"/>
            </w:pPr>
            <w:r>
              <w:rPr>
                <w:color w:val="000000"/>
                <w:sz w:val="24"/>
              </w:rPr>
              <w:t>2.09%</w:t>
            </w:r>
          </w:p>
        </w:tc>
        <w:tc>
          <w:tcPr>
            <w:tcW w:w="1291" w:type="dxa"/>
            <w:vAlign w:val="center"/>
          </w:tcPr>
          <w:p w:rsidR="00A9050D" w:rsidRDefault="00896817">
            <w:pPr>
              <w:jc w:val="center"/>
            </w:pPr>
            <w:r>
              <w:rPr>
                <w:color w:val="000000"/>
                <w:sz w:val="24"/>
              </w:rPr>
              <w:t>9.40%</w:t>
            </w:r>
          </w:p>
        </w:tc>
        <w:tc>
          <w:tcPr>
            <w:tcW w:w="1291" w:type="dxa"/>
            <w:vAlign w:val="center"/>
          </w:tcPr>
          <w:p w:rsidR="00A9050D" w:rsidRDefault="00896817">
            <w:pPr>
              <w:jc w:val="center"/>
            </w:pPr>
            <w:r>
              <w:rPr>
                <w:color w:val="000000"/>
                <w:sz w:val="24"/>
              </w:rPr>
              <w:t>2.13%</w:t>
            </w:r>
          </w:p>
        </w:tc>
        <w:tc>
          <w:tcPr>
            <w:tcW w:w="1291" w:type="dxa"/>
            <w:vAlign w:val="center"/>
          </w:tcPr>
          <w:p w:rsidR="00A9050D" w:rsidRDefault="00896817">
            <w:pPr>
              <w:jc w:val="center"/>
            </w:pPr>
            <w:r>
              <w:rPr>
                <w:color w:val="000000"/>
                <w:sz w:val="24"/>
              </w:rPr>
              <w:t>0.10%</w:t>
            </w:r>
          </w:p>
        </w:tc>
        <w:tc>
          <w:tcPr>
            <w:tcW w:w="1291" w:type="dxa"/>
            <w:vAlign w:val="center"/>
          </w:tcPr>
          <w:p w:rsidR="00A9050D" w:rsidRDefault="00896817">
            <w:pPr>
              <w:jc w:val="center"/>
            </w:pPr>
            <w:r>
              <w:rPr>
                <w:color w:val="000000"/>
                <w:sz w:val="24"/>
              </w:rPr>
              <w:t>-0.04%</w:t>
            </w:r>
          </w:p>
        </w:tc>
      </w:tr>
      <w:tr w:rsidR="00A9050D">
        <w:trPr>
          <w:jc w:val="center"/>
        </w:trPr>
        <w:tc>
          <w:tcPr>
            <w:tcW w:w="1290" w:type="dxa"/>
            <w:vAlign w:val="center"/>
          </w:tcPr>
          <w:p w:rsidR="00A9050D" w:rsidRDefault="00896817">
            <w:pPr>
              <w:jc w:val="left"/>
            </w:pPr>
            <w:r>
              <w:rPr>
                <w:color w:val="000000"/>
                <w:sz w:val="24"/>
              </w:rPr>
              <w:t>过去六个月</w:t>
            </w:r>
          </w:p>
        </w:tc>
        <w:tc>
          <w:tcPr>
            <w:tcW w:w="1291" w:type="dxa"/>
            <w:vAlign w:val="center"/>
          </w:tcPr>
          <w:p w:rsidR="00A9050D" w:rsidRDefault="00896817">
            <w:pPr>
              <w:jc w:val="center"/>
            </w:pPr>
            <w:r>
              <w:rPr>
                <w:color w:val="000000"/>
                <w:sz w:val="24"/>
              </w:rPr>
              <w:t>46.57%</w:t>
            </w:r>
          </w:p>
        </w:tc>
        <w:tc>
          <w:tcPr>
            <w:tcW w:w="1291" w:type="dxa"/>
            <w:vAlign w:val="center"/>
          </w:tcPr>
          <w:p w:rsidR="00A9050D" w:rsidRDefault="00896817">
            <w:pPr>
              <w:jc w:val="center"/>
            </w:pPr>
            <w:r>
              <w:rPr>
                <w:color w:val="000000"/>
                <w:sz w:val="24"/>
              </w:rPr>
              <w:t>1.80%</w:t>
            </w:r>
          </w:p>
        </w:tc>
        <w:tc>
          <w:tcPr>
            <w:tcW w:w="1291" w:type="dxa"/>
            <w:vAlign w:val="center"/>
          </w:tcPr>
          <w:p w:rsidR="00A9050D" w:rsidRDefault="00896817">
            <w:pPr>
              <w:jc w:val="center"/>
            </w:pPr>
            <w:r>
              <w:rPr>
                <w:color w:val="000000"/>
                <w:sz w:val="24"/>
              </w:rPr>
              <w:t>46.36%</w:t>
            </w:r>
          </w:p>
        </w:tc>
        <w:tc>
          <w:tcPr>
            <w:tcW w:w="1291" w:type="dxa"/>
            <w:vAlign w:val="center"/>
          </w:tcPr>
          <w:p w:rsidR="00A9050D" w:rsidRDefault="00896817">
            <w:pPr>
              <w:jc w:val="center"/>
            </w:pPr>
            <w:r>
              <w:rPr>
                <w:color w:val="000000"/>
                <w:sz w:val="24"/>
              </w:rPr>
              <w:t>1.83%</w:t>
            </w:r>
          </w:p>
        </w:tc>
        <w:tc>
          <w:tcPr>
            <w:tcW w:w="1291" w:type="dxa"/>
            <w:vAlign w:val="center"/>
          </w:tcPr>
          <w:p w:rsidR="00A9050D" w:rsidRDefault="00896817">
            <w:pPr>
              <w:jc w:val="center"/>
            </w:pPr>
            <w:r>
              <w:rPr>
                <w:color w:val="000000"/>
                <w:sz w:val="24"/>
              </w:rPr>
              <w:t>0.21%</w:t>
            </w:r>
          </w:p>
        </w:tc>
        <w:tc>
          <w:tcPr>
            <w:tcW w:w="1291" w:type="dxa"/>
            <w:vAlign w:val="center"/>
          </w:tcPr>
          <w:p w:rsidR="00A9050D" w:rsidRDefault="00896817">
            <w:pPr>
              <w:jc w:val="center"/>
            </w:pPr>
            <w:r>
              <w:rPr>
                <w:color w:val="000000"/>
                <w:sz w:val="24"/>
              </w:rPr>
              <w:t>-0.03%</w:t>
            </w:r>
          </w:p>
        </w:tc>
      </w:tr>
      <w:tr w:rsidR="00A9050D">
        <w:trPr>
          <w:jc w:val="center"/>
        </w:trPr>
        <w:tc>
          <w:tcPr>
            <w:tcW w:w="1290" w:type="dxa"/>
            <w:vAlign w:val="center"/>
          </w:tcPr>
          <w:p w:rsidR="00A9050D" w:rsidRDefault="00896817">
            <w:pPr>
              <w:jc w:val="left"/>
            </w:pPr>
            <w:r>
              <w:rPr>
                <w:color w:val="000000"/>
                <w:sz w:val="24"/>
              </w:rPr>
              <w:t>自基金合同生效至今</w:t>
            </w:r>
          </w:p>
        </w:tc>
        <w:tc>
          <w:tcPr>
            <w:tcW w:w="1291" w:type="dxa"/>
            <w:vAlign w:val="center"/>
          </w:tcPr>
          <w:p w:rsidR="00A9050D" w:rsidRDefault="00896817">
            <w:pPr>
              <w:jc w:val="center"/>
            </w:pPr>
            <w:r>
              <w:rPr>
                <w:color w:val="000000"/>
                <w:sz w:val="24"/>
              </w:rPr>
              <w:t>59.25%</w:t>
            </w:r>
          </w:p>
        </w:tc>
        <w:tc>
          <w:tcPr>
            <w:tcW w:w="1291" w:type="dxa"/>
            <w:vAlign w:val="center"/>
          </w:tcPr>
          <w:p w:rsidR="00A9050D" w:rsidRDefault="00896817">
            <w:pPr>
              <w:jc w:val="center"/>
            </w:pPr>
            <w:r>
              <w:rPr>
                <w:color w:val="000000"/>
                <w:sz w:val="24"/>
              </w:rPr>
              <w:t>1.92%</w:t>
            </w:r>
          </w:p>
        </w:tc>
        <w:tc>
          <w:tcPr>
            <w:tcW w:w="1291" w:type="dxa"/>
            <w:vAlign w:val="center"/>
          </w:tcPr>
          <w:p w:rsidR="00A9050D" w:rsidRDefault="00896817">
            <w:pPr>
              <w:jc w:val="center"/>
            </w:pPr>
            <w:r>
              <w:rPr>
                <w:color w:val="000000"/>
                <w:sz w:val="24"/>
              </w:rPr>
              <w:t>62.91%</w:t>
            </w:r>
          </w:p>
        </w:tc>
        <w:tc>
          <w:tcPr>
            <w:tcW w:w="1291" w:type="dxa"/>
            <w:vAlign w:val="center"/>
          </w:tcPr>
          <w:p w:rsidR="00A9050D" w:rsidRDefault="00896817">
            <w:pPr>
              <w:jc w:val="center"/>
            </w:pPr>
            <w:r>
              <w:rPr>
                <w:color w:val="000000"/>
                <w:sz w:val="24"/>
              </w:rPr>
              <w:t>1.97%</w:t>
            </w:r>
          </w:p>
        </w:tc>
        <w:tc>
          <w:tcPr>
            <w:tcW w:w="1291" w:type="dxa"/>
            <w:vAlign w:val="center"/>
          </w:tcPr>
          <w:p w:rsidR="00A9050D" w:rsidRDefault="00896817">
            <w:pPr>
              <w:jc w:val="center"/>
            </w:pPr>
            <w:r>
              <w:rPr>
                <w:color w:val="000000"/>
                <w:sz w:val="24"/>
              </w:rPr>
              <w:t>-3.66%</w:t>
            </w:r>
          </w:p>
        </w:tc>
        <w:tc>
          <w:tcPr>
            <w:tcW w:w="1291" w:type="dxa"/>
            <w:vAlign w:val="center"/>
          </w:tcPr>
          <w:p w:rsidR="00A9050D" w:rsidRDefault="00896817">
            <w:pPr>
              <w:jc w:val="center"/>
            </w:pPr>
            <w:r>
              <w:rPr>
                <w:color w:val="000000"/>
                <w:sz w:val="24"/>
              </w:rPr>
              <w:t>-0.05%</w:t>
            </w:r>
          </w:p>
        </w:tc>
      </w:tr>
    </w:tbl>
    <w:p w:rsidR="009B2EE9" w:rsidRPr="0078105B" w:rsidRDefault="009B2EE9" w:rsidP="009B2EE9">
      <w:pPr>
        <w:adjustRightInd w:val="0"/>
        <w:spacing w:line="360" w:lineRule="auto"/>
        <w:ind w:firstLineChars="150" w:firstLine="361"/>
        <w:rPr>
          <w:rFonts w:ascii="宋体" w:cs="Arial"/>
          <w:b/>
          <w:color w:val="000000"/>
          <w:kern w:val="0"/>
          <w:sz w:val="24"/>
        </w:rPr>
      </w:pPr>
      <w:r w:rsidRPr="0078105B">
        <w:rPr>
          <w:rFonts w:ascii="宋体" w:hAnsi="宋体" w:cs="Arial"/>
          <w:b/>
          <w:color w:val="000000"/>
          <w:kern w:val="0"/>
          <w:sz w:val="24"/>
        </w:rPr>
        <w:t>交银创业板50指数C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90"/>
        <w:gridCol w:w="1291"/>
        <w:gridCol w:w="1291"/>
        <w:gridCol w:w="1291"/>
        <w:gridCol w:w="1291"/>
        <w:gridCol w:w="1291"/>
        <w:gridCol w:w="1291"/>
      </w:tblGrid>
      <w:tr w:rsidR="009B2EE9" w:rsidRPr="0078105B" w:rsidTr="00AE7FCD">
        <w:trPr>
          <w:jc w:val="center"/>
        </w:trPr>
        <w:tc>
          <w:tcPr>
            <w:tcW w:w="1290" w:type="dxa"/>
            <w:vAlign w:val="center"/>
          </w:tcPr>
          <w:p w:rsidR="009B2EE9" w:rsidRPr="00FA472B" w:rsidRDefault="009B2EE9" w:rsidP="00320C1E">
            <w:pPr>
              <w:snapToGrid w:val="0"/>
              <w:spacing w:line="288" w:lineRule="auto"/>
              <w:jc w:val="center"/>
              <w:rPr>
                <w:color w:val="000000"/>
                <w:sz w:val="24"/>
              </w:rPr>
            </w:pPr>
            <w:r w:rsidRPr="00FA472B">
              <w:rPr>
                <w:color w:val="000000"/>
                <w:sz w:val="24"/>
              </w:rPr>
              <w:t>阶段</w:t>
            </w:r>
          </w:p>
        </w:tc>
        <w:tc>
          <w:tcPr>
            <w:tcW w:w="1291" w:type="dxa"/>
            <w:vAlign w:val="center"/>
          </w:tcPr>
          <w:p w:rsidR="009B2EE9" w:rsidRPr="00FA472B" w:rsidRDefault="009B2EE9" w:rsidP="00320C1E">
            <w:pPr>
              <w:snapToGrid w:val="0"/>
              <w:spacing w:line="288" w:lineRule="auto"/>
              <w:jc w:val="center"/>
              <w:rPr>
                <w:color w:val="000000"/>
                <w:sz w:val="24"/>
                <w:highlight w:val="green"/>
              </w:rPr>
            </w:pPr>
            <w:r w:rsidRPr="00FA472B">
              <w:rPr>
                <w:color w:val="000000"/>
                <w:sz w:val="24"/>
              </w:rPr>
              <w:t>净值增长率</w:t>
            </w:r>
            <w:r w:rsidRPr="00414367">
              <w:rPr>
                <w:rFonts w:ascii="宋体" w:hAnsi="宋体" w:cs="宋体" w:hint="eastAsia"/>
                <w:color w:val="000000"/>
                <w:sz w:val="24"/>
              </w:rPr>
              <w:t>①</w:t>
            </w:r>
          </w:p>
        </w:tc>
        <w:tc>
          <w:tcPr>
            <w:tcW w:w="1291" w:type="dxa"/>
            <w:vAlign w:val="center"/>
          </w:tcPr>
          <w:p w:rsidR="009B2EE9" w:rsidRPr="00FA472B" w:rsidRDefault="009B2EE9" w:rsidP="00320C1E">
            <w:pPr>
              <w:snapToGrid w:val="0"/>
              <w:spacing w:line="288" w:lineRule="auto"/>
              <w:jc w:val="center"/>
              <w:rPr>
                <w:color w:val="000000"/>
                <w:sz w:val="24"/>
                <w:highlight w:val="green"/>
              </w:rPr>
            </w:pPr>
            <w:r w:rsidRPr="00FA472B">
              <w:rPr>
                <w:color w:val="000000"/>
                <w:sz w:val="24"/>
              </w:rPr>
              <w:t>净值增长率标准差</w:t>
            </w:r>
            <w:r w:rsidRPr="00414367">
              <w:rPr>
                <w:rFonts w:ascii="宋体" w:hAnsi="宋体" w:cs="宋体" w:hint="eastAsia"/>
                <w:color w:val="000000"/>
                <w:sz w:val="24"/>
              </w:rPr>
              <w:t>②</w:t>
            </w:r>
          </w:p>
        </w:tc>
        <w:tc>
          <w:tcPr>
            <w:tcW w:w="1291" w:type="dxa"/>
            <w:vAlign w:val="center"/>
          </w:tcPr>
          <w:p w:rsidR="009B2EE9" w:rsidRPr="00FA472B" w:rsidRDefault="009B2EE9" w:rsidP="00320C1E">
            <w:pPr>
              <w:snapToGrid w:val="0"/>
              <w:spacing w:line="288" w:lineRule="auto"/>
              <w:jc w:val="center"/>
              <w:rPr>
                <w:color w:val="000000"/>
                <w:sz w:val="24"/>
              </w:rPr>
            </w:pPr>
            <w:r w:rsidRPr="00FA472B">
              <w:rPr>
                <w:color w:val="000000"/>
                <w:sz w:val="24"/>
              </w:rPr>
              <w:t>业绩比较基准收益率</w:t>
            </w:r>
            <w:r w:rsidRPr="00414367">
              <w:rPr>
                <w:rFonts w:ascii="宋体" w:hAnsi="宋体" w:cs="宋体" w:hint="eastAsia"/>
                <w:color w:val="000000"/>
                <w:sz w:val="24"/>
              </w:rPr>
              <w:t>③</w:t>
            </w:r>
          </w:p>
        </w:tc>
        <w:tc>
          <w:tcPr>
            <w:tcW w:w="1291" w:type="dxa"/>
            <w:vAlign w:val="center"/>
          </w:tcPr>
          <w:p w:rsidR="009B2EE9" w:rsidRPr="00FA472B" w:rsidRDefault="009B2EE9" w:rsidP="00320C1E">
            <w:pPr>
              <w:snapToGrid w:val="0"/>
              <w:spacing w:line="288" w:lineRule="auto"/>
              <w:jc w:val="center"/>
              <w:rPr>
                <w:color w:val="000000"/>
                <w:sz w:val="24"/>
              </w:rPr>
            </w:pPr>
            <w:r w:rsidRPr="00FA472B">
              <w:rPr>
                <w:color w:val="000000"/>
                <w:sz w:val="24"/>
              </w:rPr>
              <w:t>业绩比较基准收益率标准差</w:t>
            </w:r>
            <w:r w:rsidRPr="00414367">
              <w:rPr>
                <w:rFonts w:ascii="宋体" w:hAnsi="宋体" w:cs="宋体" w:hint="eastAsia"/>
                <w:color w:val="000000"/>
                <w:sz w:val="24"/>
              </w:rPr>
              <w:t>④</w:t>
            </w:r>
          </w:p>
        </w:tc>
        <w:tc>
          <w:tcPr>
            <w:tcW w:w="1291" w:type="dxa"/>
            <w:vAlign w:val="center"/>
          </w:tcPr>
          <w:p w:rsidR="009B2EE9" w:rsidRPr="00FA472B" w:rsidRDefault="009B2EE9" w:rsidP="00320C1E">
            <w:pPr>
              <w:snapToGrid w:val="0"/>
              <w:spacing w:line="288" w:lineRule="auto"/>
              <w:jc w:val="center"/>
              <w:rPr>
                <w:color w:val="000000"/>
                <w:sz w:val="24"/>
              </w:rPr>
            </w:pPr>
            <w:r w:rsidRPr="00414367">
              <w:rPr>
                <w:rFonts w:ascii="宋体" w:hAnsi="宋体" w:cs="宋体" w:hint="eastAsia"/>
                <w:color w:val="000000"/>
                <w:sz w:val="24"/>
              </w:rPr>
              <w:t>①</w:t>
            </w:r>
            <w:r w:rsidRPr="00FA472B">
              <w:rPr>
                <w:color w:val="000000"/>
                <w:sz w:val="24"/>
              </w:rPr>
              <w:t>－</w:t>
            </w:r>
            <w:r w:rsidRPr="00414367">
              <w:rPr>
                <w:rFonts w:ascii="宋体" w:hAnsi="宋体" w:cs="宋体" w:hint="eastAsia"/>
                <w:color w:val="000000"/>
                <w:sz w:val="24"/>
              </w:rPr>
              <w:t>③</w:t>
            </w:r>
          </w:p>
        </w:tc>
        <w:tc>
          <w:tcPr>
            <w:tcW w:w="1291" w:type="dxa"/>
            <w:vAlign w:val="center"/>
          </w:tcPr>
          <w:p w:rsidR="009B2EE9" w:rsidRPr="00FA472B" w:rsidRDefault="009B2EE9" w:rsidP="00320C1E">
            <w:pPr>
              <w:snapToGrid w:val="0"/>
              <w:spacing w:line="288" w:lineRule="auto"/>
              <w:jc w:val="center"/>
              <w:rPr>
                <w:color w:val="000000"/>
                <w:sz w:val="24"/>
              </w:rPr>
            </w:pPr>
            <w:r w:rsidRPr="00414367">
              <w:rPr>
                <w:rFonts w:ascii="宋体" w:hAnsi="宋体" w:cs="宋体" w:hint="eastAsia"/>
                <w:color w:val="000000"/>
                <w:sz w:val="24"/>
              </w:rPr>
              <w:t>②</w:t>
            </w:r>
            <w:r w:rsidRPr="00FA472B">
              <w:rPr>
                <w:color w:val="000000"/>
                <w:sz w:val="24"/>
              </w:rPr>
              <w:t>－</w:t>
            </w:r>
            <w:r w:rsidRPr="00414367">
              <w:rPr>
                <w:rFonts w:ascii="宋体" w:hAnsi="宋体" w:cs="宋体" w:hint="eastAsia"/>
                <w:color w:val="000000"/>
                <w:sz w:val="24"/>
              </w:rPr>
              <w:t>④</w:t>
            </w:r>
          </w:p>
        </w:tc>
      </w:tr>
      <w:tr w:rsidR="00A9050D">
        <w:trPr>
          <w:jc w:val="center"/>
        </w:trPr>
        <w:tc>
          <w:tcPr>
            <w:tcW w:w="1290" w:type="dxa"/>
            <w:vAlign w:val="center"/>
          </w:tcPr>
          <w:p w:rsidR="00A9050D" w:rsidRDefault="00896817">
            <w:pPr>
              <w:jc w:val="left"/>
            </w:pPr>
            <w:r>
              <w:rPr>
                <w:color w:val="000000"/>
                <w:sz w:val="24"/>
              </w:rPr>
              <w:t>过去三个月</w:t>
            </w:r>
          </w:p>
        </w:tc>
        <w:tc>
          <w:tcPr>
            <w:tcW w:w="1291" w:type="dxa"/>
            <w:vAlign w:val="center"/>
          </w:tcPr>
          <w:p w:rsidR="00A9050D" w:rsidRDefault="00896817">
            <w:pPr>
              <w:jc w:val="center"/>
            </w:pPr>
            <w:r>
              <w:rPr>
                <w:color w:val="000000"/>
                <w:sz w:val="24"/>
              </w:rPr>
              <w:t>9.39%</w:t>
            </w:r>
          </w:p>
        </w:tc>
        <w:tc>
          <w:tcPr>
            <w:tcW w:w="1291" w:type="dxa"/>
            <w:vAlign w:val="center"/>
          </w:tcPr>
          <w:p w:rsidR="00A9050D" w:rsidRDefault="00896817">
            <w:pPr>
              <w:jc w:val="center"/>
            </w:pPr>
            <w:r>
              <w:rPr>
                <w:color w:val="000000"/>
                <w:sz w:val="24"/>
              </w:rPr>
              <w:t>2.09%</w:t>
            </w:r>
          </w:p>
        </w:tc>
        <w:tc>
          <w:tcPr>
            <w:tcW w:w="1291" w:type="dxa"/>
            <w:vAlign w:val="center"/>
          </w:tcPr>
          <w:p w:rsidR="00A9050D" w:rsidRDefault="00896817">
            <w:pPr>
              <w:jc w:val="center"/>
            </w:pPr>
            <w:r>
              <w:rPr>
                <w:color w:val="000000"/>
                <w:sz w:val="24"/>
              </w:rPr>
              <w:t>9.40%</w:t>
            </w:r>
          </w:p>
        </w:tc>
        <w:tc>
          <w:tcPr>
            <w:tcW w:w="1291" w:type="dxa"/>
            <w:vAlign w:val="center"/>
          </w:tcPr>
          <w:p w:rsidR="00A9050D" w:rsidRDefault="00896817">
            <w:pPr>
              <w:jc w:val="center"/>
            </w:pPr>
            <w:r>
              <w:rPr>
                <w:color w:val="000000"/>
                <w:sz w:val="24"/>
              </w:rPr>
              <w:t>2.13%</w:t>
            </w:r>
          </w:p>
        </w:tc>
        <w:tc>
          <w:tcPr>
            <w:tcW w:w="1291" w:type="dxa"/>
            <w:vAlign w:val="center"/>
          </w:tcPr>
          <w:p w:rsidR="00A9050D" w:rsidRDefault="00896817">
            <w:pPr>
              <w:jc w:val="center"/>
            </w:pPr>
            <w:r>
              <w:rPr>
                <w:color w:val="000000"/>
                <w:sz w:val="24"/>
              </w:rPr>
              <w:t>-0.01%</w:t>
            </w:r>
          </w:p>
        </w:tc>
        <w:tc>
          <w:tcPr>
            <w:tcW w:w="1291" w:type="dxa"/>
            <w:vAlign w:val="center"/>
          </w:tcPr>
          <w:p w:rsidR="00A9050D" w:rsidRDefault="00896817">
            <w:pPr>
              <w:jc w:val="center"/>
            </w:pPr>
            <w:r>
              <w:rPr>
                <w:color w:val="000000"/>
                <w:sz w:val="24"/>
              </w:rPr>
              <w:t>-0.04%</w:t>
            </w:r>
          </w:p>
        </w:tc>
      </w:tr>
      <w:tr w:rsidR="00A9050D">
        <w:trPr>
          <w:jc w:val="center"/>
        </w:trPr>
        <w:tc>
          <w:tcPr>
            <w:tcW w:w="1290" w:type="dxa"/>
            <w:vAlign w:val="center"/>
          </w:tcPr>
          <w:p w:rsidR="00A9050D" w:rsidRDefault="00896817">
            <w:pPr>
              <w:jc w:val="left"/>
            </w:pPr>
            <w:r>
              <w:rPr>
                <w:color w:val="000000"/>
                <w:sz w:val="24"/>
              </w:rPr>
              <w:t>过去六个月</w:t>
            </w:r>
          </w:p>
        </w:tc>
        <w:tc>
          <w:tcPr>
            <w:tcW w:w="1291" w:type="dxa"/>
            <w:vAlign w:val="center"/>
          </w:tcPr>
          <w:p w:rsidR="00A9050D" w:rsidRDefault="00896817">
            <w:pPr>
              <w:jc w:val="center"/>
            </w:pPr>
            <w:r>
              <w:rPr>
                <w:color w:val="000000"/>
                <w:sz w:val="24"/>
              </w:rPr>
              <w:t>46.29%</w:t>
            </w:r>
          </w:p>
        </w:tc>
        <w:tc>
          <w:tcPr>
            <w:tcW w:w="1291" w:type="dxa"/>
            <w:vAlign w:val="center"/>
          </w:tcPr>
          <w:p w:rsidR="00A9050D" w:rsidRDefault="00896817">
            <w:pPr>
              <w:jc w:val="center"/>
            </w:pPr>
            <w:r>
              <w:rPr>
                <w:color w:val="000000"/>
                <w:sz w:val="24"/>
              </w:rPr>
              <w:t>1.80%</w:t>
            </w:r>
          </w:p>
        </w:tc>
        <w:tc>
          <w:tcPr>
            <w:tcW w:w="1291" w:type="dxa"/>
            <w:vAlign w:val="center"/>
          </w:tcPr>
          <w:p w:rsidR="00A9050D" w:rsidRDefault="00896817">
            <w:pPr>
              <w:jc w:val="center"/>
            </w:pPr>
            <w:r>
              <w:rPr>
                <w:color w:val="000000"/>
                <w:sz w:val="24"/>
              </w:rPr>
              <w:t>46.36%</w:t>
            </w:r>
          </w:p>
        </w:tc>
        <w:tc>
          <w:tcPr>
            <w:tcW w:w="1291" w:type="dxa"/>
            <w:vAlign w:val="center"/>
          </w:tcPr>
          <w:p w:rsidR="00A9050D" w:rsidRDefault="00896817">
            <w:pPr>
              <w:jc w:val="center"/>
            </w:pPr>
            <w:r>
              <w:rPr>
                <w:color w:val="000000"/>
                <w:sz w:val="24"/>
              </w:rPr>
              <w:t>1.83%</w:t>
            </w:r>
          </w:p>
        </w:tc>
        <w:tc>
          <w:tcPr>
            <w:tcW w:w="1291" w:type="dxa"/>
            <w:vAlign w:val="center"/>
          </w:tcPr>
          <w:p w:rsidR="00A9050D" w:rsidRDefault="00896817">
            <w:pPr>
              <w:jc w:val="center"/>
            </w:pPr>
            <w:r>
              <w:rPr>
                <w:color w:val="000000"/>
                <w:sz w:val="24"/>
              </w:rPr>
              <w:t>-0.07%</w:t>
            </w:r>
          </w:p>
        </w:tc>
        <w:tc>
          <w:tcPr>
            <w:tcW w:w="1291" w:type="dxa"/>
            <w:vAlign w:val="center"/>
          </w:tcPr>
          <w:p w:rsidR="00A9050D" w:rsidRDefault="00896817">
            <w:pPr>
              <w:jc w:val="center"/>
            </w:pPr>
            <w:r>
              <w:rPr>
                <w:color w:val="000000"/>
                <w:sz w:val="24"/>
              </w:rPr>
              <w:t>-0.03%</w:t>
            </w:r>
          </w:p>
        </w:tc>
      </w:tr>
      <w:tr w:rsidR="00A9050D">
        <w:trPr>
          <w:jc w:val="center"/>
        </w:trPr>
        <w:tc>
          <w:tcPr>
            <w:tcW w:w="1290" w:type="dxa"/>
            <w:vAlign w:val="center"/>
          </w:tcPr>
          <w:p w:rsidR="00A9050D" w:rsidRDefault="00896817">
            <w:pPr>
              <w:jc w:val="left"/>
            </w:pPr>
            <w:r>
              <w:rPr>
                <w:color w:val="000000"/>
                <w:sz w:val="24"/>
              </w:rPr>
              <w:t>自基金合同生效至今</w:t>
            </w:r>
          </w:p>
        </w:tc>
        <w:tc>
          <w:tcPr>
            <w:tcW w:w="1291" w:type="dxa"/>
            <w:vAlign w:val="center"/>
          </w:tcPr>
          <w:p w:rsidR="00A9050D" w:rsidRDefault="00896817">
            <w:pPr>
              <w:jc w:val="center"/>
            </w:pPr>
            <w:r>
              <w:rPr>
                <w:color w:val="000000"/>
                <w:sz w:val="24"/>
              </w:rPr>
              <w:t>58.72%</w:t>
            </w:r>
          </w:p>
        </w:tc>
        <w:tc>
          <w:tcPr>
            <w:tcW w:w="1291" w:type="dxa"/>
            <w:vAlign w:val="center"/>
          </w:tcPr>
          <w:p w:rsidR="00A9050D" w:rsidRDefault="00896817">
            <w:pPr>
              <w:jc w:val="center"/>
            </w:pPr>
            <w:r>
              <w:rPr>
                <w:color w:val="000000"/>
                <w:sz w:val="24"/>
              </w:rPr>
              <w:t>1.92%</w:t>
            </w:r>
          </w:p>
        </w:tc>
        <w:tc>
          <w:tcPr>
            <w:tcW w:w="1291" w:type="dxa"/>
            <w:vAlign w:val="center"/>
          </w:tcPr>
          <w:p w:rsidR="00A9050D" w:rsidRDefault="00896817">
            <w:pPr>
              <w:jc w:val="center"/>
            </w:pPr>
            <w:r>
              <w:rPr>
                <w:color w:val="000000"/>
                <w:sz w:val="24"/>
              </w:rPr>
              <w:t>62.91%</w:t>
            </w:r>
          </w:p>
        </w:tc>
        <w:tc>
          <w:tcPr>
            <w:tcW w:w="1291" w:type="dxa"/>
            <w:vAlign w:val="center"/>
          </w:tcPr>
          <w:p w:rsidR="00A9050D" w:rsidRDefault="00896817">
            <w:pPr>
              <w:jc w:val="center"/>
            </w:pPr>
            <w:r>
              <w:rPr>
                <w:color w:val="000000"/>
                <w:sz w:val="24"/>
              </w:rPr>
              <w:t>1.97%</w:t>
            </w:r>
          </w:p>
        </w:tc>
        <w:tc>
          <w:tcPr>
            <w:tcW w:w="1291" w:type="dxa"/>
            <w:vAlign w:val="center"/>
          </w:tcPr>
          <w:p w:rsidR="00A9050D" w:rsidRDefault="00896817">
            <w:pPr>
              <w:jc w:val="center"/>
            </w:pPr>
            <w:r>
              <w:rPr>
                <w:color w:val="000000"/>
                <w:sz w:val="24"/>
              </w:rPr>
              <w:t>-4.19%</w:t>
            </w:r>
          </w:p>
        </w:tc>
        <w:tc>
          <w:tcPr>
            <w:tcW w:w="1291" w:type="dxa"/>
            <w:vAlign w:val="center"/>
          </w:tcPr>
          <w:p w:rsidR="00A9050D" w:rsidRDefault="00896817">
            <w:pPr>
              <w:jc w:val="center"/>
            </w:pPr>
            <w:r>
              <w:rPr>
                <w:color w:val="000000"/>
                <w:sz w:val="24"/>
              </w:rPr>
              <w:t>-0.05%</w:t>
            </w:r>
          </w:p>
        </w:tc>
      </w:tr>
    </w:tbl>
    <w:p w:rsidR="009B2EE9" w:rsidRPr="0078105B" w:rsidRDefault="009B2EE9" w:rsidP="009B2EE9">
      <w:pPr>
        <w:spacing w:line="360" w:lineRule="auto"/>
        <w:rPr>
          <w:rFonts w:ascii="宋体" w:cs="Arial"/>
          <w:b/>
          <w:color w:val="000000"/>
          <w:kern w:val="0"/>
          <w:sz w:val="24"/>
        </w:rPr>
      </w:pPr>
      <w:r w:rsidRPr="0078105B">
        <w:rPr>
          <w:rFonts w:ascii="宋体" w:hAnsi="宋体" w:cs="Arial"/>
          <w:b/>
          <w:color w:val="000000"/>
          <w:kern w:val="0"/>
          <w:sz w:val="24"/>
        </w:rPr>
        <w:t>3.2.2</w:t>
      </w:r>
      <w:r w:rsidRPr="0078105B">
        <w:rPr>
          <w:rFonts w:ascii="宋体" w:hAnsi="宋体" w:cs="Arial" w:hint="eastAsia"/>
          <w:b/>
          <w:color w:val="000000"/>
          <w:kern w:val="0"/>
          <w:sz w:val="24"/>
        </w:rPr>
        <w:t xml:space="preserve">　</w:t>
      </w:r>
      <w:r w:rsidRPr="00370BEA">
        <w:rPr>
          <w:rStyle w:val="af8"/>
          <w:rFonts w:hint="eastAsia"/>
          <w:color w:val="000000"/>
          <w:sz w:val="24"/>
          <w:shd w:val="clear" w:color="auto" w:fill="FFFFFF"/>
        </w:rPr>
        <w:t>自基金合同生效以来</w:t>
      </w:r>
      <w:r w:rsidRPr="0078105B">
        <w:rPr>
          <w:rFonts w:ascii="宋体" w:hAnsi="宋体" w:hint="eastAsia"/>
          <w:b/>
          <w:color w:val="000000"/>
          <w:sz w:val="24"/>
        </w:rPr>
        <w:t>基金</w:t>
      </w:r>
      <w:r w:rsidR="00E72A13">
        <w:rPr>
          <w:rFonts w:ascii="宋体" w:hAnsi="宋体" w:hint="eastAsia"/>
          <w:b/>
          <w:color w:val="000000"/>
          <w:sz w:val="24"/>
        </w:rPr>
        <w:t>份额</w:t>
      </w:r>
      <w:r w:rsidRPr="0078105B">
        <w:rPr>
          <w:rFonts w:ascii="宋体" w:hAnsi="宋体" w:hint="eastAsia"/>
          <w:b/>
          <w:color w:val="000000"/>
          <w:sz w:val="24"/>
        </w:rPr>
        <w:t>累计净值增长率变动及其与同期业绩比较基准收益率变动的比较</w:t>
      </w:r>
    </w:p>
    <w:p w:rsidR="009B2EE9" w:rsidRPr="00FA472B" w:rsidRDefault="009B2EE9" w:rsidP="009B2EE9">
      <w:pPr>
        <w:spacing w:line="360" w:lineRule="auto"/>
        <w:jc w:val="center"/>
        <w:rPr>
          <w:color w:val="000000"/>
          <w:sz w:val="24"/>
        </w:rPr>
      </w:pPr>
      <w:r w:rsidRPr="00FA472B">
        <w:rPr>
          <w:color w:val="000000"/>
          <w:sz w:val="24"/>
        </w:rPr>
        <w:t>交银施罗德创业板</w:t>
      </w:r>
      <w:r w:rsidRPr="00FA472B">
        <w:rPr>
          <w:color w:val="000000"/>
          <w:sz w:val="24"/>
        </w:rPr>
        <w:t>50</w:t>
      </w:r>
      <w:r w:rsidRPr="00FA472B">
        <w:rPr>
          <w:color w:val="000000"/>
          <w:sz w:val="24"/>
        </w:rPr>
        <w:t>指数型证券投资基金</w:t>
      </w:r>
    </w:p>
    <w:p w:rsidR="009B2EE9" w:rsidRPr="00FA472B" w:rsidRDefault="009B2EE9" w:rsidP="009B2EE9">
      <w:pPr>
        <w:pStyle w:val="a5"/>
        <w:snapToGrid w:val="0"/>
        <w:spacing w:line="360" w:lineRule="auto"/>
        <w:jc w:val="center"/>
        <w:rPr>
          <w:rFonts w:ascii="Times New Roman" w:hAnsi="Times New Roman"/>
          <w:color w:val="000000"/>
          <w:sz w:val="24"/>
          <w:szCs w:val="24"/>
        </w:rPr>
      </w:pPr>
      <w:r w:rsidRPr="00FA472B">
        <w:rPr>
          <w:rFonts w:ascii="Times New Roman" w:hAnsi="Times New Roman"/>
          <w:color w:val="000000"/>
          <w:sz w:val="24"/>
          <w:szCs w:val="24"/>
        </w:rPr>
        <w:t>累计净值增长率与业绩比较基准收益率的历史走势对比图</w:t>
      </w:r>
    </w:p>
    <w:p w:rsidR="009B2EE9" w:rsidRPr="00FA472B" w:rsidRDefault="009B2EE9" w:rsidP="009B2EE9">
      <w:pPr>
        <w:pStyle w:val="a5"/>
        <w:snapToGrid w:val="0"/>
        <w:spacing w:line="360" w:lineRule="auto"/>
        <w:ind w:firstLine="480"/>
        <w:jc w:val="center"/>
        <w:rPr>
          <w:rFonts w:ascii="Times New Roman" w:hAnsi="Times New Roman"/>
          <w:sz w:val="24"/>
          <w:szCs w:val="24"/>
        </w:rPr>
      </w:pPr>
      <w:r w:rsidRPr="00FA472B">
        <w:rPr>
          <w:rFonts w:ascii="Times New Roman" w:hAnsi="Times New Roman"/>
          <w:sz w:val="24"/>
          <w:szCs w:val="24"/>
        </w:rPr>
        <w:t>(2019</w:t>
      </w:r>
      <w:r w:rsidRPr="00FA472B">
        <w:rPr>
          <w:rFonts w:ascii="Times New Roman" w:hAnsi="Times New Roman"/>
          <w:sz w:val="24"/>
          <w:szCs w:val="24"/>
        </w:rPr>
        <w:t>年</w:t>
      </w:r>
      <w:r w:rsidRPr="00FA472B">
        <w:rPr>
          <w:rFonts w:ascii="Times New Roman" w:hAnsi="Times New Roman"/>
          <w:sz w:val="24"/>
          <w:szCs w:val="24"/>
        </w:rPr>
        <w:t>11</w:t>
      </w:r>
      <w:r w:rsidRPr="00FA472B">
        <w:rPr>
          <w:rFonts w:ascii="Times New Roman" w:hAnsi="Times New Roman"/>
          <w:sz w:val="24"/>
          <w:szCs w:val="24"/>
        </w:rPr>
        <w:t>月</w:t>
      </w:r>
      <w:r w:rsidRPr="00FA472B">
        <w:rPr>
          <w:rFonts w:ascii="Times New Roman" w:hAnsi="Times New Roman"/>
          <w:sz w:val="24"/>
          <w:szCs w:val="24"/>
        </w:rPr>
        <w:t>20</w:t>
      </w:r>
      <w:r w:rsidRPr="00FA472B">
        <w:rPr>
          <w:rFonts w:ascii="Times New Roman" w:hAnsi="Times New Roman"/>
          <w:sz w:val="24"/>
          <w:szCs w:val="24"/>
        </w:rPr>
        <w:t>日至</w:t>
      </w:r>
      <w:r w:rsidRPr="00FA472B">
        <w:rPr>
          <w:rFonts w:ascii="Times New Roman" w:hAnsi="Times New Roman"/>
          <w:sz w:val="24"/>
          <w:szCs w:val="24"/>
        </w:rPr>
        <w:t>2020</w:t>
      </w:r>
      <w:r w:rsidRPr="00FA472B">
        <w:rPr>
          <w:rFonts w:ascii="Times New Roman" w:hAnsi="Times New Roman"/>
          <w:sz w:val="24"/>
          <w:szCs w:val="24"/>
        </w:rPr>
        <w:t>年</w:t>
      </w:r>
      <w:r w:rsidRPr="00FA472B">
        <w:rPr>
          <w:rFonts w:ascii="Times New Roman" w:hAnsi="Times New Roman"/>
          <w:sz w:val="24"/>
          <w:szCs w:val="24"/>
        </w:rPr>
        <w:t>9</w:t>
      </w:r>
      <w:r w:rsidRPr="00FA472B">
        <w:rPr>
          <w:rFonts w:ascii="Times New Roman" w:hAnsi="Times New Roman"/>
          <w:sz w:val="24"/>
          <w:szCs w:val="24"/>
        </w:rPr>
        <w:t>月</w:t>
      </w:r>
      <w:r w:rsidRPr="00FA472B">
        <w:rPr>
          <w:rFonts w:ascii="Times New Roman" w:hAnsi="Times New Roman"/>
          <w:sz w:val="24"/>
          <w:szCs w:val="24"/>
        </w:rPr>
        <w:t>30</w:t>
      </w:r>
      <w:r w:rsidRPr="00FA472B">
        <w:rPr>
          <w:rFonts w:ascii="Times New Roman" w:hAnsi="Times New Roman"/>
          <w:sz w:val="24"/>
          <w:szCs w:val="24"/>
        </w:rPr>
        <w:t>日</w:t>
      </w:r>
      <w:r w:rsidRPr="00FA472B">
        <w:rPr>
          <w:rFonts w:ascii="Times New Roman" w:hAnsi="Times New Roman"/>
          <w:sz w:val="24"/>
          <w:szCs w:val="24"/>
        </w:rPr>
        <w:t>)</w:t>
      </w:r>
    </w:p>
    <w:p w:rsidR="009B2EE9" w:rsidRPr="00611CB2" w:rsidRDefault="009B2EE9" w:rsidP="009B2EE9">
      <w:pPr>
        <w:snapToGrid w:val="0"/>
        <w:spacing w:line="360" w:lineRule="auto"/>
        <w:ind w:firstLineChars="50" w:firstLine="120"/>
        <w:rPr>
          <w:color w:val="000000"/>
          <w:sz w:val="24"/>
        </w:rPr>
      </w:pPr>
      <w:r w:rsidRPr="00611CB2">
        <w:rPr>
          <w:color w:val="000000"/>
          <w:sz w:val="24"/>
        </w:rPr>
        <w:t>交银创业板</w:t>
      </w:r>
      <w:r w:rsidRPr="00611CB2">
        <w:rPr>
          <w:color w:val="000000"/>
          <w:sz w:val="24"/>
        </w:rPr>
        <w:t>50</w:t>
      </w:r>
      <w:r w:rsidRPr="00611CB2">
        <w:rPr>
          <w:color w:val="000000"/>
          <w:sz w:val="24"/>
        </w:rPr>
        <w:t>指数</w:t>
      </w:r>
      <w:r w:rsidRPr="00611CB2">
        <w:rPr>
          <w:color w:val="000000"/>
          <w:sz w:val="24"/>
        </w:rPr>
        <w:t>A</w:t>
      </w:r>
    </w:p>
    <w:p w:rsidR="009B2EE9" w:rsidRPr="0078105B" w:rsidRDefault="009B2EE9" w:rsidP="009B2EE9">
      <w:pPr>
        <w:pStyle w:val="20"/>
        <w:spacing w:line="288" w:lineRule="auto"/>
        <w:ind w:firstLineChars="0" w:firstLine="0"/>
        <w:jc w:val="center"/>
        <w:rPr>
          <w:color w:val="000000"/>
        </w:rPr>
      </w:pPr>
      <w:r>
        <w:rPr>
          <w:noProof/>
          <w:color w:val="000000"/>
        </w:rPr>
        <w:drawing>
          <wp:inline distT="0" distB="0" distL="0" distR="0">
            <wp:extent cx="5538470" cy="327596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38470" cy="3275965"/>
                    </a:xfrm>
                    <a:prstGeom prst="rect">
                      <a:avLst/>
                    </a:prstGeom>
                    <a:noFill/>
                    <a:ln>
                      <a:noFill/>
                    </a:ln>
                  </pic:spPr>
                </pic:pic>
              </a:graphicData>
            </a:graphic>
          </wp:inline>
        </w:drawing>
      </w:r>
    </w:p>
    <w:p w:rsidR="009B2EE9" w:rsidRPr="00C30CFF" w:rsidRDefault="009B2EE9" w:rsidP="009B2EE9">
      <w:pPr>
        <w:spacing w:line="360" w:lineRule="auto"/>
        <w:ind w:firstLineChars="200" w:firstLine="480"/>
        <w:rPr>
          <w:color w:val="000000"/>
          <w:sz w:val="24"/>
        </w:rPr>
      </w:pPr>
      <w:r w:rsidRPr="00C30CFF">
        <w:rPr>
          <w:color w:val="000000"/>
          <w:sz w:val="24"/>
        </w:rPr>
        <w:t>注：本基金基金合同生效日为</w:t>
      </w:r>
      <w:r w:rsidRPr="00C30CFF">
        <w:rPr>
          <w:color w:val="000000"/>
          <w:sz w:val="24"/>
        </w:rPr>
        <w:t>2019</w:t>
      </w:r>
      <w:r w:rsidRPr="00C30CFF">
        <w:rPr>
          <w:color w:val="000000"/>
          <w:sz w:val="24"/>
        </w:rPr>
        <w:t>年</w:t>
      </w:r>
      <w:r w:rsidRPr="00C30CFF">
        <w:rPr>
          <w:color w:val="000000"/>
          <w:sz w:val="24"/>
        </w:rPr>
        <w:t>11</w:t>
      </w:r>
      <w:r w:rsidRPr="00C30CFF">
        <w:rPr>
          <w:color w:val="000000"/>
          <w:sz w:val="24"/>
        </w:rPr>
        <w:t>月</w:t>
      </w:r>
      <w:r w:rsidRPr="00C30CFF">
        <w:rPr>
          <w:color w:val="000000"/>
          <w:sz w:val="24"/>
        </w:rPr>
        <w:t>20</w:t>
      </w:r>
      <w:r w:rsidRPr="00C30CFF">
        <w:rPr>
          <w:color w:val="000000"/>
          <w:sz w:val="24"/>
        </w:rPr>
        <w:t>日，基金合同生效日至报告期期末，本基金运作时间未满一年。本基金建仓期为自基金合同生效日起的</w:t>
      </w:r>
      <w:r w:rsidRPr="00C30CFF">
        <w:rPr>
          <w:color w:val="000000"/>
          <w:sz w:val="24"/>
        </w:rPr>
        <w:t>6</w:t>
      </w:r>
      <w:r w:rsidRPr="00C30CFF">
        <w:rPr>
          <w:color w:val="000000"/>
          <w:sz w:val="24"/>
        </w:rPr>
        <w:t>个月。截至建仓期结束，本基金各项资产配置比例符合基金合同及招募说明书有关投资比例的约定。</w:t>
      </w:r>
    </w:p>
    <w:p w:rsidR="009B2EE9" w:rsidRPr="00611CB2" w:rsidRDefault="009B2EE9" w:rsidP="009B2EE9">
      <w:pPr>
        <w:snapToGrid w:val="0"/>
        <w:spacing w:line="360" w:lineRule="auto"/>
        <w:ind w:firstLineChars="50" w:firstLine="120"/>
        <w:rPr>
          <w:color w:val="000000"/>
          <w:sz w:val="24"/>
        </w:rPr>
      </w:pPr>
      <w:r w:rsidRPr="00611CB2">
        <w:rPr>
          <w:color w:val="000000"/>
          <w:sz w:val="24"/>
        </w:rPr>
        <w:t>交银创业板</w:t>
      </w:r>
      <w:r w:rsidRPr="00611CB2">
        <w:rPr>
          <w:color w:val="000000"/>
          <w:sz w:val="24"/>
        </w:rPr>
        <w:t>50</w:t>
      </w:r>
      <w:r w:rsidRPr="00611CB2">
        <w:rPr>
          <w:color w:val="000000"/>
          <w:sz w:val="24"/>
        </w:rPr>
        <w:t>指数</w:t>
      </w:r>
      <w:r w:rsidRPr="00611CB2">
        <w:rPr>
          <w:color w:val="000000"/>
          <w:sz w:val="24"/>
        </w:rPr>
        <w:t>C</w:t>
      </w:r>
    </w:p>
    <w:p w:rsidR="009B2EE9" w:rsidRPr="0078105B" w:rsidRDefault="009B2EE9" w:rsidP="009B2EE9">
      <w:pPr>
        <w:pStyle w:val="20"/>
        <w:spacing w:line="288" w:lineRule="auto"/>
        <w:ind w:firstLineChars="0" w:firstLine="0"/>
        <w:jc w:val="center"/>
        <w:rPr>
          <w:color w:val="000000"/>
        </w:rPr>
      </w:pPr>
      <w:r>
        <w:rPr>
          <w:noProof/>
          <w:color w:val="000000"/>
        </w:rPr>
        <w:drawing>
          <wp:inline distT="0" distB="0" distL="0" distR="0">
            <wp:extent cx="5538470" cy="327596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38470" cy="3275965"/>
                    </a:xfrm>
                    <a:prstGeom prst="rect">
                      <a:avLst/>
                    </a:prstGeom>
                    <a:noFill/>
                    <a:ln>
                      <a:noFill/>
                    </a:ln>
                  </pic:spPr>
                </pic:pic>
              </a:graphicData>
            </a:graphic>
          </wp:inline>
        </w:drawing>
      </w:r>
    </w:p>
    <w:p w:rsidR="009B2EE9" w:rsidRPr="00DF18FE" w:rsidRDefault="009B2EE9" w:rsidP="009B2EE9">
      <w:pPr>
        <w:spacing w:line="360" w:lineRule="auto"/>
        <w:ind w:firstLineChars="200" w:firstLine="480"/>
        <w:rPr>
          <w:color w:val="000000"/>
          <w:sz w:val="24"/>
        </w:rPr>
      </w:pPr>
      <w:r w:rsidRPr="00DF18FE">
        <w:rPr>
          <w:color w:val="000000"/>
          <w:sz w:val="24"/>
        </w:rPr>
        <w:t>注：本基金基金合同生效日为</w:t>
      </w:r>
      <w:r w:rsidRPr="00DF18FE">
        <w:rPr>
          <w:color w:val="000000"/>
          <w:sz w:val="24"/>
        </w:rPr>
        <w:t>2019</w:t>
      </w:r>
      <w:r w:rsidRPr="00DF18FE">
        <w:rPr>
          <w:color w:val="000000"/>
          <w:sz w:val="24"/>
        </w:rPr>
        <w:t>年</w:t>
      </w:r>
      <w:r w:rsidRPr="00DF18FE">
        <w:rPr>
          <w:color w:val="000000"/>
          <w:sz w:val="24"/>
        </w:rPr>
        <w:t>11</w:t>
      </w:r>
      <w:r w:rsidRPr="00DF18FE">
        <w:rPr>
          <w:color w:val="000000"/>
          <w:sz w:val="24"/>
        </w:rPr>
        <w:t>月</w:t>
      </w:r>
      <w:r w:rsidRPr="00DF18FE">
        <w:rPr>
          <w:color w:val="000000"/>
          <w:sz w:val="24"/>
        </w:rPr>
        <w:t>20</w:t>
      </w:r>
      <w:r w:rsidRPr="00DF18FE">
        <w:rPr>
          <w:color w:val="000000"/>
          <w:sz w:val="24"/>
        </w:rPr>
        <w:t>日，基金合同生效日至报告期期末，本基金运作时间未满一年。本基金建仓期为自基金合同生效日起的</w:t>
      </w:r>
      <w:r w:rsidRPr="00DF18FE">
        <w:rPr>
          <w:color w:val="000000"/>
          <w:sz w:val="24"/>
        </w:rPr>
        <w:t>6</w:t>
      </w:r>
      <w:r w:rsidRPr="00DF18FE">
        <w:rPr>
          <w:color w:val="000000"/>
          <w:sz w:val="24"/>
        </w:rPr>
        <w:t>个月。截至建仓期结束，本基金各项资产配置比例符合基金合同及招募说明书有关投资比例的约定。</w:t>
      </w:r>
    </w:p>
    <w:p w:rsidR="00A62673" w:rsidRPr="00EC5CE0" w:rsidRDefault="00A62673" w:rsidP="009B2EE9">
      <w:pPr>
        <w:spacing w:line="360" w:lineRule="auto"/>
        <w:ind w:firstLineChars="200" w:firstLine="480"/>
        <w:rPr>
          <w:rFonts w:hAnsi="宋体"/>
          <w:color w:val="000000"/>
          <w:sz w:val="24"/>
        </w:rPr>
      </w:pPr>
    </w:p>
    <w:p w:rsidR="00A62673" w:rsidRPr="00EC5CE0" w:rsidRDefault="00A62673" w:rsidP="00F729DC">
      <w:pPr>
        <w:pStyle w:val="1"/>
        <w:spacing w:beforeLines="100" w:before="312" w:afterLines="100" w:after="312" w:line="360" w:lineRule="auto"/>
        <w:jc w:val="center"/>
        <w:rPr>
          <w:rFonts w:ascii="宋体" w:cs="Arial"/>
          <w:color w:val="000000"/>
          <w:kern w:val="0"/>
          <w:sz w:val="24"/>
          <w:szCs w:val="24"/>
        </w:rPr>
      </w:pPr>
      <w:r w:rsidRPr="00EC5CE0">
        <w:rPr>
          <w:rFonts w:ascii="宋体" w:hAnsi="宋体" w:cs="Arial" w:hint="eastAsia"/>
          <w:color w:val="000000"/>
          <w:kern w:val="0"/>
          <w:sz w:val="24"/>
          <w:szCs w:val="24"/>
        </w:rPr>
        <w:t>§</w:t>
      </w:r>
      <w:r w:rsidRPr="00EC5CE0">
        <w:rPr>
          <w:rFonts w:ascii="宋体" w:hAnsi="宋体" w:cs="Arial"/>
          <w:color w:val="000000"/>
          <w:kern w:val="0"/>
          <w:sz w:val="24"/>
          <w:szCs w:val="24"/>
        </w:rPr>
        <w:t xml:space="preserve">4  </w:t>
      </w:r>
      <w:r w:rsidRPr="00EC5CE0">
        <w:rPr>
          <w:rFonts w:ascii="宋体" w:hAnsi="宋体" w:cs="Arial" w:hint="eastAsia"/>
          <w:color w:val="000000"/>
          <w:kern w:val="0"/>
          <w:sz w:val="24"/>
          <w:szCs w:val="24"/>
        </w:rPr>
        <w:t>管理人报告</w:t>
      </w:r>
    </w:p>
    <w:p w:rsidR="007467A8" w:rsidRPr="0078105B" w:rsidRDefault="00A62673" w:rsidP="007467A8">
      <w:pPr>
        <w:autoSpaceDE w:val="0"/>
        <w:autoSpaceDN w:val="0"/>
        <w:adjustRightInd w:val="0"/>
        <w:spacing w:line="360" w:lineRule="auto"/>
        <w:jc w:val="left"/>
        <w:rPr>
          <w:rFonts w:ascii="宋体" w:cs="Arial"/>
          <w:b/>
          <w:color w:val="000000"/>
          <w:kern w:val="0"/>
          <w:sz w:val="24"/>
        </w:rPr>
      </w:pPr>
      <w:r w:rsidRPr="00EC5CE0">
        <w:rPr>
          <w:rFonts w:ascii="宋体" w:hAnsi="宋体" w:cs="Arial"/>
          <w:b/>
          <w:color w:val="000000"/>
          <w:kern w:val="0"/>
          <w:sz w:val="24"/>
        </w:rPr>
        <w:t xml:space="preserve">4.1 </w:t>
      </w:r>
      <w:r w:rsidRPr="00EC5CE0">
        <w:rPr>
          <w:rFonts w:ascii="宋体" w:hAnsi="宋体" w:cs="Arial" w:hint="eastAsia"/>
          <w:b/>
          <w:color w:val="000000"/>
          <w:kern w:val="0"/>
          <w:sz w:val="24"/>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2835"/>
        <w:gridCol w:w="851"/>
        <w:gridCol w:w="850"/>
        <w:gridCol w:w="851"/>
        <w:gridCol w:w="2977"/>
      </w:tblGrid>
      <w:tr w:rsidR="007467A8" w:rsidRPr="0078105B" w:rsidTr="002C4578">
        <w:trPr>
          <w:cantSplit/>
        </w:trPr>
        <w:tc>
          <w:tcPr>
            <w:tcW w:w="567" w:type="dxa"/>
            <w:vMerge w:val="restart"/>
            <w:vAlign w:val="center"/>
          </w:tcPr>
          <w:p w:rsidR="007467A8" w:rsidRPr="00FA472B" w:rsidRDefault="007467A8" w:rsidP="002C4578">
            <w:pPr>
              <w:autoSpaceDE w:val="0"/>
              <w:autoSpaceDN w:val="0"/>
              <w:adjustRightInd w:val="0"/>
              <w:spacing w:before="29" w:line="288" w:lineRule="auto"/>
              <w:ind w:left="15"/>
              <w:jc w:val="center"/>
              <w:rPr>
                <w:color w:val="000000"/>
                <w:kern w:val="0"/>
                <w:sz w:val="24"/>
              </w:rPr>
            </w:pPr>
            <w:r w:rsidRPr="00FA472B">
              <w:rPr>
                <w:color w:val="000000"/>
                <w:kern w:val="0"/>
                <w:sz w:val="24"/>
              </w:rPr>
              <w:t>姓名</w:t>
            </w:r>
          </w:p>
        </w:tc>
        <w:tc>
          <w:tcPr>
            <w:tcW w:w="2835" w:type="dxa"/>
            <w:vMerge w:val="restart"/>
            <w:vAlign w:val="center"/>
          </w:tcPr>
          <w:p w:rsidR="007467A8" w:rsidRPr="00FA472B" w:rsidRDefault="007467A8" w:rsidP="002C4578">
            <w:pPr>
              <w:autoSpaceDE w:val="0"/>
              <w:autoSpaceDN w:val="0"/>
              <w:adjustRightInd w:val="0"/>
              <w:spacing w:before="29" w:line="288" w:lineRule="auto"/>
              <w:ind w:left="15"/>
              <w:jc w:val="center"/>
              <w:rPr>
                <w:color w:val="000000"/>
                <w:kern w:val="0"/>
                <w:sz w:val="24"/>
              </w:rPr>
            </w:pPr>
            <w:r w:rsidRPr="00FA472B">
              <w:rPr>
                <w:color w:val="000000"/>
                <w:kern w:val="0"/>
                <w:sz w:val="24"/>
              </w:rPr>
              <w:t>职务</w:t>
            </w:r>
          </w:p>
        </w:tc>
        <w:tc>
          <w:tcPr>
            <w:tcW w:w="1701" w:type="dxa"/>
            <w:gridSpan w:val="2"/>
          </w:tcPr>
          <w:p w:rsidR="007467A8" w:rsidRPr="00FA472B" w:rsidRDefault="007467A8" w:rsidP="002C4578">
            <w:pPr>
              <w:autoSpaceDE w:val="0"/>
              <w:autoSpaceDN w:val="0"/>
              <w:adjustRightInd w:val="0"/>
              <w:spacing w:before="29" w:line="288" w:lineRule="auto"/>
              <w:ind w:left="15"/>
              <w:jc w:val="center"/>
              <w:rPr>
                <w:color w:val="000000"/>
                <w:kern w:val="0"/>
                <w:sz w:val="24"/>
              </w:rPr>
            </w:pPr>
            <w:r w:rsidRPr="00FA472B">
              <w:rPr>
                <w:color w:val="000000"/>
                <w:kern w:val="0"/>
                <w:sz w:val="24"/>
              </w:rPr>
              <w:t>任本基金的基金经理期限</w:t>
            </w:r>
          </w:p>
        </w:tc>
        <w:tc>
          <w:tcPr>
            <w:tcW w:w="851" w:type="dxa"/>
            <w:vMerge w:val="restart"/>
            <w:vAlign w:val="center"/>
          </w:tcPr>
          <w:p w:rsidR="007467A8" w:rsidRPr="00FA472B" w:rsidRDefault="007467A8" w:rsidP="002C4578">
            <w:pPr>
              <w:autoSpaceDE w:val="0"/>
              <w:autoSpaceDN w:val="0"/>
              <w:adjustRightInd w:val="0"/>
              <w:spacing w:before="29" w:line="288" w:lineRule="auto"/>
              <w:ind w:left="15"/>
              <w:jc w:val="center"/>
              <w:rPr>
                <w:color w:val="000000"/>
                <w:kern w:val="0"/>
                <w:sz w:val="24"/>
              </w:rPr>
            </w:pPr>
            <w:r w:rsidRPr="00FA472B">
              <w:rPr>
                <w:color w:val="000000"/>
                <w:kern w:val="0"/>
                <w:sz w:val="24"/>
              </w:rPr>
              <w:t>证券从业年限</w:t>
            </w:r>
          </w:p>
        </w:tc>
        <w:tc>
          <w:tcPr>
            <w:tcW w:w="2977" w:type="dxa"/>
            <w:vMerge w:val="restart"/>
            <w:vAlign w:val="center"/>
          </w:tcPr>
          <w:p w:rsidR="007467A8" w:rsidRPr="00FA472B" w:rsidRDefault="007467A8" w:rsidP="002C4578">
            <w:pPr>
              <w:autoSpaceDE w:val="0"/>
              <w:autoSpaceDN w:val="0"/>
              <w:adjustRightInd w:val="0"/>
              <w:spacing w:before="29" w:line="288" w:lineRule="auto"/>
              <w:ind w:left="15"/>
              <w:jc w:val="center"/>
              <w:rPr>
                <w:color w:val="000000"/>
                <w:kern w:val="0"/>
                <w:sz w:val="24"/>
              </w:rPr>
            </w:pPr>
            <w:r w:rsidRPr="00FA472B">
              <w:rPr>
                <w:color w:val="000000"/>
                <w:kern w:val="0"/>
                <w:sz w:val="24"/>
              </w:rPr>
              <w:t>说明</w:t>
            </w:r>
          </w:p>
        </w:tc>
      </w:tr>
      <w:tr w:rsidR="007467A8" w:rsidRPr="0078105B" w:rsidTr="002C4578">
        <w:trPr>
          <w:cantSplit/>
        </w:trPr>
        <w:tc>
          <w:tcPr>
            <w:tcW w:w="567" w:type="dxa"/>
            <w:vMerge/>
            <w:vAlign w:val="center"/>
          </w:tcPr>
          <w:p w:rsidR="007467A8" w:rsidRPr="00FA472B" w:rsidRDefault="007467A8" w:rsidP="002C4578">
            <w:pPr>
              <w:autoSpaceDE w:val="0"/>
              <w:autoSpaceDN w:val="0"/>
              <w:adjustRightInd w:val="0"/>
              <w:spacing w:before="29" w:line="288" w:lineRule="auto"/>
              <w:ind w:left="15"/>
              <w:jc w:val="center"/>
              <w:rPr>
                <w:color w:val="000000"/>
                <w:kern w:val="0"/>
                <w:sz w:val="24"/>
              </w:rPr>
            </w:pPr>
          </w:p>
        </w:tc>
        <w:tc>
          <w:tcPr>
            <w:tcW w:w="2835" w:type="dxa"/>
            <w:vMerge/>
          </w:tcPr>
          <w:p w:rsidR="007467A8" w:rsidRPr="00FA472B" w:rsidRDefault="007467A8" w:rsidP="002C4578">
            <w:pPr>
              <w:autoSpaceDE w:val="0"/>
              <w:autoSpaceDN w:val="0"/>
              <w:adjustRightInd w:val="0"/>
              <w:spacing w:before="29" w:line="288" w:lineRule="auto"/>
              <w:ind w:left="15"/>
              <w:jc w:val="center"/>
              <w:rPr>
                <w:color w:val="000000"/>
                <w:kern w:val="0"/>
                <w:sz w:val="24"/>
              </w:rPr>
            </w:pPr>
          </w:p>
        </w:tc>
        <w:tc>
          <w:tcPr>
            <w:tcW w:w="851" w:type="dxa"/>
            <w:vAlign w:val="center"/>
          </w:tcPr>
          <w:p w:rsidR="007467A8" w:rsidRPr="00FA472B" w:rsidRDefault="007467A8" w:rsidP="002C4578">
            <w:pPr>
              <w:autoSpaceDE w:val="0"/>
              <w:autoSpaceDN w:val="0"/>
              <w:adjustRightInd w:val="0"/>
              <w:spacing w:before="29" w:line="288" w:lineRule="auto"/>
              <w:ind w:left="15"/>
              <w:jc w:val="center"/>
              <w:rPr>
                <w:color w:val="000000"/>
                <w:kern w:val="0"/>
                <w:sz w:val="24"/>
              </w:rPr>
            </w:pPr>
            <w:r w:rsidRPr="00FA472B">
              <w:rPr>
                <w:color w:val="000000"/>
                <w:kern w:val="0"/>
                <w:sz w:val="24"/>
              </w:rPr>
              <w:t>任职日期</w:t>
            </w:r>
          </w:p>
        </w:tc>
        <w:tc>
          <w:tcPr>
            <w:tcW w:w="850" w:type="dxa"/>
            <w:vAlign w:val="center"/>
          </w:tcPr>
          <w:p w:rsidR="007467A8" w:rsidRPr="00FA472B" w:rsidRDefault="007467A8" w:rsidP="002C4578">
            <w:pPr>
              <w:autoSpaceDE w:val="0"/>
              <w:autoSpaceDN w:val="0"/>
              <w:adjustRightInd w:val="0"/>
              <w:spacing w:before="29" w:line="288" w:lineRule="auto"/>
              <w:ind w:left="15"/>
              <w:jc w:val="center"/>
              <w:rPr>
                <w:color w:val="000000"/>
                <w:kern w:val="0"/>
                <w:sz w:val="24"/>
              </w:rPr>
            </w:pPr>
            <w:r w:rsidRPr="00FA472B">
              <w:rPr>
                <w:color w:val="000000"/>
                <w:kern w:val="0"/>
                <w:sz w:val="24"/>
              </w:rPr>
              <w:t>离任日期</w:t>
            </w:r>
          </w:p>
        </w:tc>
        <w:tc>
          <w:tcPr>
            <w:tcW w:w="851" w:type="dxa"/>
            <w:vMerge/>
            <w:vAlign w:val="center"/>
          </w:tcPr>
          <w:p w:rsidR="007467A8" w:rsidRPr="00FA472B" w:rsidRDefault="007467A8" w:rsidP="002C4578">
            <w:pPr>
              <w:autoSpaceDE w:val="0"/>
              <w:autoSpaceDN w:val="0"/>
              <w:adjustRightInd w:val="0"/>
              <w:spacing w:before="29" w:line="288" w:lineRule="auto"/>
              <w:ind w:left="15"/>
              <w:jc w:val="center"/>
              <w:rPr>
                <w:color w:val="000000"/>
                <w:kern w:val="0"/>
                <w:sz w:val="24"/>
              </w:rPr>
            </w:pPr>
          </w:p>
        </w:tc>
        <w:tc>
          <w:tcPr>
            <w:tcW w:w="2977" w:type="dxa"/>
            <w:vMerge/>
            <w:vAlign w:val="center"/>
          </w:tcPr>
          <w:p w:rsidR="007467A8" w:rsidRPr="00FA472B" w:rsidRDefault="007467A8" w:rsidP="002C4578">
            <w:pPr>
              <w:autoSpaceDE w:val="0"/>
              <w:autoSpaceDN w:val="0"/>
              <w:adjustRightInd w:val="0"/>
              <w:spacing w:before="29" w:line="288" w:lineRule="auto"/>
              <w:ind w:left="15"/>
              <w:jc w:val="center"/>
              <w:rPr>
                <w:color w:val="000000"/>
                <w:kern w:val="0"/>
                <w:sz w:val="24"/>
              </w:rPr>
            </w:pPr>
          </w:p>
        </w:tc>
      </w:tr>
      <w:tr w:rsidR="00A9050D">
        <w:tc>
          <w:tcPr>
            <w:tcW w:w="567" w:type="dxa"/>
            <w:vAlign w:val="center"/>
          </w:tcPr>
          <w:p w:rsidR="00A9050D" w:rsidRDefault="00896817">
            <w:pPr>
              <w:jc w:val="center"/>
            </w:pPr>
            <w:r>
              <w:rPr>
                <w:color w:val="000000"/>
                <w:sz w:val="24"/>
              </w:rPr>
              <w:t>蔡铮</w:t>
            </w:r>
          </w:p>
        </w:tc>
        <w:tc>
          <w:tcPr>
            <w:tcW w:w="2835" w:type="dxa"/>
            <w:vAlign w:val="center"/>
          </w:tcPr>
          <w:p w:rsidR="00A9050D" w:rsidRDefault="00896817">
            <w:pPr>
              <w:jc w:val="center"/>
            </w:pPr>
            <w:r>
              <w:rPr>
                <w:color w:val="000000"/>
                <w:sz w:val="24"/>
              </w:rPr>
              <w:t>交银上证</w:t>
            </w:r>
            <w:r>
              <w:rPr>
                <w:color w:val="000000"/>
                <w:sz w:val="24"/>
              </w:rPr>
              <w:t>180</w:t>
            </w:r>
            <w:r>
              <w:rPr>
                <w:color w:val="000000"/>
                <w:sz w:val="24"/>
              </w:rPr>
              <w:t>公司治理</w:t>
            </w:r>
            <w:r>
              <w:rPr>
                <w:color w:val="000000"/>
                <w:sz w:val="24"/>
              </w:rPr>
              <w:t>ETF</w:t>
            </w:r>
            <w:r>
              <w:rPr>
                <w:color w:val="000000"/>
                <w:sz w:val="24"/>
              </w:rPr>
              <w:t>及其联接、交银深证</w:t>
            </w:r>
            <w:r>
              <w:rPr>
                <w:color w:val="000000"/>
                <w:sz w:val="24"/>
              </w:rPr>
              <w:t>300</w:t>
            </w:r>
            <w:r>
              <w:rPr>
                <w:color w:val="000000"/>
                <w:sz w:val="24"/>
              </w:rPr>
              <w:t>价值</w:t>
            </w:r>
            <w:r>
              <w:rPr>
                <w:color w:val="000000"/>
                <w:sz w:val="24"/>
              </w:rPr>
              <w:t>ETF</w:t>
            </w:r>
            <w:r>
              <w:rPr>
                <w:color w:val="000000"/>
                <w:sz w:val="24"/>
              </w:rPr>
              <w:t>及其联接、交银国证新能源指数分级、交银中证海外中国互联网指数（</w:t>
            </w:r>
            <w:r>
              <w:rPr>
                <w:color w:val="000000"/>
                <w:sz w:val="24"/>
              </w:rPr>
              <w:t>QDII-LOF)</w:t>
            </w:r>
            <w:r>
              <w:rPr>
                <w:color w:val="000000"/>
                <w:sz w:val="24"/>
              </w:rPr>
              <w:t>、交银中证互联网金融指数分级、交银中证环境治理指数（</w:t>
            </w:r>
            <w:r>
              <w:rPr>
                <w:color w:val="000000"/>
                <w:sz w:val="24"/>
              </w:rPr>
              <w:t>LOF</w:t>
            </w:r>
            <w:r>
              <w:rPr>
                <w:color w:val="000000"/>
                <w:sz w:val="24"/>
              </w:rPr>
              <w:t>）、交银创业板</w:t>
            </w:r>
            <w:r>
              <w:rPr>
                <w:color w:val="000000"/>
                <w:sz w:val="24"/>
              </w:rPr>
              <w:t>50</w:t>
            </w:r>
            <w:r>
              <w:rPr>
                <w:color w:val="000000"/>
                <w:sz w:val="24"/>
              </w:rPr>
              <w:t>指数的基金经理，公司量化投资副总监兼多元资产管理副总监</w:t>
            </w:r>
          </w:p>
        </w:tc>
        <w:tc>
          <w:tcPr>
            <w:tcW w:w="851" w:type="dxa"/>
            <w:vAlign w:val="center"/>
          </w:tcPr>
          <w:p w:rsidR="00A9050D" w:rsidRDefault="00896817">
            <w:pPr>
              <w:jc w:val="center"/>
            </w:pPr>
            <w:r>
              <w:rPr>
                <w:color w:val="000000"/>
                <w:sz w:val="24"/>
              </w:rPr>
              <w:t>2019-11-20</w:t>
            </w:r>
          </w:p>
        </w:tc>
        <w:tc>
          <w:tcPr>
            <w:tcW w:w="850" w:type="dxa"/>
            <w:vAlign w:val="center"/>
          </w:tcPr>
          <w:p w:rsidR="00A9050D" w:rsidRDefault="00896817">
            <w:pPr>
              <w:jc w:val="center"/>
            </w:pPr>
            <w:r>
              <w:rPr>
                <w:color w:val="000000"/>
                <w:sz w:val="24"/>
              </w:rPr>
              <w:t>-</w:t>
            </w:r>
          </w:p>
        </w:tc>
        <w:tc>
          <w:tcPr>
            <w:tcW w:w="851" w:type="dxa"/>
            <w:vAlign w:val="center"/>
          </w:tcPr>
          <w:p w:rsidR="00A9050D" w:rsidRDefault="00896817">
            <w:pPr>
              <w:jc w:val="center"/>
            </w:pPr>
            <w:r>
              <w:rPr>
                <w:color w:val="000000"/>
                <w:sz w:val="24"/>
              </w:rPr>
              <w:t>11</w:t>
            </w:r>
            <w:r>
              <w:rPr>
                <w:color w:val="000000"/>
                <w:sz w:val="24"/>
              </w:rPr>
              <w:t>年</w:t>
            </w:r>
          </w:p>
        </w:tc>
        <w:tc>
          <w:tcPr>
            <w:tcW w:w="2977" w:type="dxa"/>
            <w:vAlign w:val="center"/>
          </w:tcPr>
          <w:p w:rsidR="00A9050D" w:rsidRDefault="00896817">
            <w:r>
              <w:rPr>
                <w:color w:val="000000"/>
                <w:sz w:val="24"/>
              </w:rPr>
              <w:t>蔡铮先生，中国国籍，复旦大学电子工程硕士。历任瑞士银行香港分行分析员。</w:t>
            </w:r>
            <w:r>
              <w:rPr>
                <w:color w:val="000000"/>
                <w:sz w:val="24"/>
              </w:rPr>
              <w:t>2009</w:t>
            </w:r>
            <w:r>
              <w:rPr>
                <w:color w:val="000000"/>
                <w:sz w:val="24"/>
              </w:rPr>
              <w:t>年加入交银施罗德基金管理有限公司，历任投资研究部数量分析师、基金经理助理、量化投资部助理总经理、量化投资部副总经理。</w:t>
            </w:r>
            <w:r>
              <w:rPr>
                <w:color w:val="000000"/>
                <w:sz w:val="24"/>
              </w:rPr>
              <w:t>2012</w:t>
            </w:r>
            <w:r>
              <w:rPr>
                <w:color w:val="000000"/>
                <w:sz w:val="24"/>
              </w:rPr>
              <w:t>年</w:t>
            </w:r>
            <w:r>
              <w:rPr>
                <w:color w:val="000000"/>
                <w:sz w:val="24"/>
              </w:rPr>
              <w:t>12</w:t>
            </w:r>
            <w:r>
              <w:rPr>
                <w:color w:val="000000"/>
                <w:sz w:val="24"/>
              </w:rPr>
              <w:t>月</w:t>
            </w:r>
            <w:r>
              <w:rPr>
                <w:color w:val="000000"/>
                <w:sz w:val="24"/>
              </w:rPr>
              <w:t>27</w:t>
            </w:r>
            <w:r>
              <w:rPr>
                <w:color w:val="000000"/>
                <w:sz w:val="24"/>
              </w:rPr>
              <w:t>日至</w:t>
            </w:r>
            <w:r>
              <w:rPr>
                <w:color w:val="000000"/>
                <w:sz w:val="24"/>
              </w:rPr>
              <w:t>2015</w:t>
            </w:r>
            <w:r>
              <w:rPr>
                <w:color w:val="000000"/>
                <w:sz w:val="24"/>
              </w:rPr>
              <w:t>年</w:t>
            </w:r>
            <w:r>
              <w:rPr>
                <w:color w:val="000000"/>
                <w:sz w:val="24"/>
              </w:rPr>
              <w:t>6</w:t>
            </w:r>
            <w:r>
              <w:rPr>
                <w:color w:val="000000"/>
                <w:sz w:val="24"/>
              </w:rPr>
              <w:t>月</w:t>
            </w:r>
            <w:r>
              <w:rPr>
                <w:color w:val="000000"/>
                <w:sz w:val="24"/>
              </w:rPr>
              <w:t>30</w:t>
            </w:r>
            <w:r>
              <w:rPr>
                <w:color w:val="000000"/>
                <w:sz w:val="24"/>
              </w:rPr>
              <w:t>日担任交银施罗德沪深</w:t>
            </w:r>
            <w:r>
              <w:rPr>
                <w:color w:val="000000"/>
                <w:sz w:val="24"/>
              </w:rPr>
              <w:t>300</w:t>
            </w:r>
            <w:r>
              <w:rPr>
                <w:color w:val="000000"/>
                <w:sz w:val="24"/>
              </w:rPr>
              <w:t>行业分层等权重指数证券投资基金基金经理，</w:t>
            </w:r>
            <w:r>
              <w:rPr>
                <w:color w:val="000000"/>
                <w:sz w:val="24"/>
              </w:rPr>
              <w:t>2015</w:t>
            </w:r>
            <w:r>
              <w:rPr>
                <w:color w:val="000000"/>
                <w:sz w:val="24"/>
              </w:rPr>
              <w:t>年</w:t>
            </w:r>
            <w:r>
              <w:rPr>
                <w:color w:val="000000"/>
                <w:sz w:val="24"/>
              </w:rPr>
              <w:t>4</w:t>
            </w:r>
            <w:r>
              <w:rPr>
                <w:color w:val="000000"/>
                <w:sz w:val="24"/>
              </w:rPr>
              <w:t>月</w:t>
            </w:r>
            <w:r>
              <w:rPr>
                <w:color w:val="000000"/>
                <w:sz w:val="24"/>
              </w:rPr>
              <w:t>22</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24</w:t>
            </w:r>
            <w:r>
              <w:rPr>
                <w:color w:val="000000"/>
                <w:sz w:val="24"/>
              </w:rPr>
              <w:t>日担任交银施罗德环球精选价值证券投资基金基金经理，</w:t>
            </w:r>
            <w:r>
              <w:rPr>
                <w:color w:val="000000"/>
                <w:sz w:val="24"/>
              </w:rPr>
              <w:t>2015</w:t>
            </w:r>
            <w:r>
              <w:rPr>
                <w:color w:val="000000"/>
                <w:sz w:val="24"/>
              </w:rPr>
              <w:t>年</w:t>
            </w:r>
            <w:r>
              <w:rPr>
                <w:color w:val="000000"/>
                <w:sz w:val="24"/>
              </w:rPr>
              <w:t>4</w:t>
            </w:r>
            <w:r>
              <w:rPr>
                <w:color w:val="000000"/>
                <w:sz w:val="24"/>
              </w:rPr>
              <w:t>月</w:t>
            </w:r>
            <w:r>
              <w:rPr>
                <w:color w:val="000000"/>
                <w:sz w:val="24"/>
              </w:rPr>
              <w:t>22</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24</w:t>
            </w:r>
            <w:r>
              <w:rPr>
                <w:color w:val="000000"/>
                <w:sz w:val="24"/>
              </w:rPr>
              <w:t>日担任交银施罗德全球自然资源证券投资基金基金经理，</w:t>
            </w:r>
            <w:r>
              <w:rPr>
                <w:color w:val="000000"/>
                <w:sz w:val="24"/>
              </w:rPr>
              <w:t>2015</w:t>
            </w:r>
            <w:r>
              <w:rPr>
                <w:color w:val="000000"/>
                <w:sz w:val="24"/>
              </w:rPr>
              <w:t>年</w:t>
            </w:r>
            <w:r>
              <w:rPr>
                <w:color w:val="000000"/>
                <w:sz w:val="24"/>
              </w:rPr>
              <w:t>8</w:t>
            </w:r>
            <w:r>
              <w:rPr>
                <w:color w:val="000000"/>
                <w:sz w:val="24"/>
              </w:rPr>
              <w:t>月</w:t>
            </w:r>
            <w:r>
              <w:rPr>
                <w:color w:val="000000"/>
                <w:sz w:val="24"/>
              </w:rPr>
              <w:t>13</w:t>
            </w:r>
            <w:r>
              <w:rPr>
                <w:color w:val="000000"/>
                <w:sz w:val="24"/>
              </w:rPr>
              <w:t>日至</w:t>
            </w:r>
            <w:r>
              <w:rPr>
                <w:color w:val="000000"/>
                <w:sz w:val="24"/>
              </w:rPr>
              <w:t>2016</w:t>
            </w:r>
            <w:r>
              <w:rPr>
                <w:color w:val="000000"/>
                <w:sz w:val="24"/>
              </w:rPr>
              <w:t>年</w:t>
            </w:r>
            <w:r>
              <w:rPr>
                <w:color w:val="000000"/>
                <w:sz w:val="24"/>
              </w:rPr>
              <w:t>7</w:t>
            </w:r>
            <w:r>
              <w:rPr>
                <w:color w:val="000000"/>
                <w:sz w:val="24"/>
              </w:rPr>
              <w:t>月</w:t>
            </w:r>
            <w:r>
              <w:rPr>
                <w:color w:val="000000"/>
                <w:sz w:val="24"/>
              </w:rPr>
              <w:t>18</w:t>
            </w:r>
            <w:r>
              <w:rPr>
                <w:color w:val="000000"/>
                <w:sz w:val="24"/>
              </w:rPr>
              <w:t>日担任交银施罗德中证环境治理指数分级证券投资基金基金经理。</w:t>
            </w:r>
            <w:r>
              <w:rPr>
                <w:color w:val="000000"/>
                <w:sz w:val="24"/>
              </w:rPr>
              <w:t>2018</w:t>
            </w:r>
            <w:r>
              <w:rPr>
                <w:color w:val="000000"/>
                <w:sz w:val="24"/>
              </w:rPr>
              <w:t>年</w:t>
            </w:r>
            <w:r>
              <w:rPr>
                <w:color w:val="000000"/>
                <w:sz w:val="24"/>
              </w:rPr>
              <w:t>5</w:t>
            </w:r>
            <w:r>
              <w:rPr>
                <w:color w:val="000000"/>
                <w:sz w:val="24"/>
              </w:rPr>
              <w:t>月</w:t>
            </w:r>
            <w:r>
              <w:rPr>
                <w:color w:val="000000"/>
                <w:sz w:val="24"/>
              </w:rPr>
              <w:t>18</w:t>
            </w:r>
            <w:r>
              <w:rPr>
                <w:color w:val="000000"/>
                <w:sz w:val="24"/>
              </w:rPr>
              <w:t>日至</w:t>
            </w:r>
            <w:r>
              <w:rPr>
                <w:color w:val="000000"/>
                <w:sz w:val="24"/>
              </w:rPr>
              <w:t>2020</w:t>
            </w:r>
            <w:r>
              <w:rPr>
                <w:color w:val="000000"/>
                <w:sz w:val="24"/>
              </w:rPr>
              <w:t>年</w:t>
            </w:r>
            <w:r>
              <w:rPr>
                <w:color w:val="000000"/>
                <w:sz w:val="24"/>
              </w:rPr>
              <w:t>7</w:t>
            </w:r>
            <w:r>
              <w:rPr>
                <w:color w:val="000000"/>
                <w:sz w:val="24"/>
              </w:rPr>
              <w:t>月</w:t>
            </w:r>
            <w:r>
              <w:rPr>
                <w:color w:val="000000"/>
                <w:sz w:val="24"/>
              </w:rPr>
              <w:t>17</w:t>
            </w:r>
            <w:r>
              <w:rPr>
                <w:color w:val="000000"/>
                <w:sz w:val="24"/>
              </w:rPr>
              <w:t>日担任交银施罗德致远量化智投策略定期开放混合型证券投资基金的基金经理。</w:t>
            </w:r>
          </w:p>
        </w:tc>
      </w:tr>
    </w:tbl>
    <w:p w:rsidR="00560F37" w:rsidRPr="00232B03" w:rsidRDefault="007467A8" w:rsidP="007467A8">
      <w:pPr>
        <w:autoSpaceDE w:val="0"/>
        <w:autoSpaceDN w:val="0"/>
        <w:adjustRightInd w:val="0"/>
        <w:spacing w:line="360" w:lineRule="auto"/>
        <w:ind w:firstLineChars="200" w:firstLine="480"/>
        <w:jc w:val="left"/>
        <w:rPr>
          <w:color w:val="000000"/>
          <w:sz w:val="24"/>
        </w:rPr>
      </w:pPr>
      <w:r w:rsidRPr="00DF18FE">
        <w:rPr>
          <w:color w:val="000000"/>
          <w:sz w:val="24"/>
        </w:rPr>
        <w:t>注：基金经理（或基金经理小组）期后变动（如有）敬请关注基金管理人发布的相关公告。</w:t>
      </w:r>
    </w:p>
    <w:p w:rsidR="00A62673" w:rsidRPr="00EC5CE0" w:rsidRDefault="00A62673" w:rsidP="00560F37">
      <w:pPr>
        <w:autoSpaceDE w:val="0"/>
        <w:autoSpaceDN w:val="0"/>
        <w:adjustRightInd w:val="0"/>
        <w:spacing w:line="360" w:lineRule="auto"/>
        <w:jc w:val="left"/>
        <w:rPr>
          <w:rFonts w:ascii="宋体" w:cs="Arial"/>
          <w:b/>
          <w:color w:val="000000"/>
          <w:kern w:val="0"/>
          <w:sz w:val="24"/>
        </w:rPr>
      </w:pPr>
      <w:r w:rsidRPr="00EC5CE0">
        <w:rPr>
          <w:rFonts w:ascii="宋体" w:hAnsi="宋体" w:cs="Arial"/>
          <w:b/>
          <w:color w:val="000000"/>
          <w:kern w:val="0"/>
          <w:sz w:val="24"/>
        </w:rPr>
        <w:t>4.2</w:t>
      </w:r>
      <w:r w:rsidRPr="00EC5CE0">
        <w:rPr>
          <w:rFonts w:ascii="宋体" w:hAnsi="宋体" w:hint="eastAsia"/>
          <w:b/>
          <w:bCs/>
          <w:color w:val="000000"/>
          <w:sz w:val="24"/>
        </w:rPr>
        <w:t>管理人对报告期内本基金运作遵规守信情况的说明</w:t>
      </w:r>
    </w:p>
    <w:p w:rsidR="00A62673" w:rsidRPr="00C1648E" w:rsidRDefault="00A62673" w:rsidP="00C1648E">
      <w:pPr>
        <w:spacing w:line="360" w:lineRule="auto"/>
        <w:ind w:firstLineChars="200" w:firstLine="480"/>
        <w:rPr>
          <w:color w:val="000000"/>
          <w:sz w:val="24"/>
        </w:rPr>
      </w:pPr>
      <w:r w:rsidRPr="00DC315B">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A62673" w:rsidRPr="00EC5CE0" w:rsidRDefault="00A62673" w:rsidP="005A2DCB">
      <w:pPr>
        <w:autoSpaceDE w:val="0"/>
        <w:autoSpaceDN w:val="0"/>
        <w:adjustRightInd w:val="0"/>
        <w:spacing w:line="360" w:lineRule="auto"/>
        <w:jc w:val="left"/>
        <w:rPr>
          <w:rFonts w:ascii="宋体" w:cs="Arial"/>
          <w:b/>
          <w:color w:val="000000"/>
          <w:kern w:val="0"/>
          <w:sz w:val="24"/>
        </w:rPr>
      </w:pPr>
      <w:r w:rsidRPr="00EC5CE0">
        <w:rPr>
          <w:rFonts w:ascii="宋体" w:hAnsi="宋体" w:cs="Arial"/>
          <w:b/>
          <w:color w:val="000000"/>
          <w:kern w:val="0"/>
          <w:sz w:val="24"/>
        </w:rPr>
        <w:t xml:space="preserve">4.3 </w:t>
      </w:r>
      <w:r w:rsidRPr="00EC5CE0">
        <w:rPr>
          <w:rFonts w:ascii="宋体" w:hAnsi="宋体" w:cs="Arial" w:hint="eastAsia"/>
          <w:b/>
          <w:color w:val="000000"/>
          <w:kern w:val="0"/>
          <w:sz w:val="24"/>
        </w:rPr>
        <w:t>公平交易专项说明</w:t>
      </w:r>
    </w:p>
    <w:p w:rsidR="00A62673" w:rsidRPr="00EC5CE0" w:rsidRDefault="00A62673" w:rsidP="005A2DCB">
      <w:pPr>
        <w:spacing w:line="360" w:lineRule="auto"/>
        <w:rPr>
          <w:rFonts w:ascii="宋体"/>
          <w:sz w:val="24"/>
        </w:rPr>
      </w:pPr>
      <w:smartTag w:uri="urn:schemas-microsoft-com:office:smarttags" w:element="chsdate">
        <w:smartTagPr>
          <w:attr w:name="Year" w:val="1899"/>
          <w:attr w:name="Month" w:val="12"/>
          <w:attr w:name="Day" w:val="30"/>
          <w:attr w:name="IsLunarDate" w:val="False"/>
          <w:attr w:name="IsROCDate" w:val="False"/>
        </w:smartTagPr>
        <w:r w:rsidRPr="00EC5CE0">
          <w:rPr>
            <w:rFonts w:ascii="宋体" w:hAnsi="宋体"/>
            <w:sz w:val="24"/>
          </w:rPr>
          <w:t>4.3.1</w:t>
        </w:r>
      </w:smartTag>
      <w:r w:rsidRPr="00EC5CE0">
        <w:rPr>
          <w:rFonts w:ascii="宋体" w:hAnsi="宋体" w:hint="eastAsia"/>
          <w:sz w:val="24"/>
        </w:rPr>
        <w:t>公平交易制度的执行情况</w:t>
      </w:r>
    </w:p>
    <w:p w:rsidR="00A9050D" w:rsidRDefault="00896817">
      <w:pPr>
        <w:spacing w:line="360"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A9050D" w:rsidRDefault="00896817">
      <w:pPr>
        <w:spacing w:line="360"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A9050D" w:rsidRDefault="00896817">
      <w:pPr>
        <w:spacing w:line="360"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A62673" w:rsidRPr="00DC315B" w:rsidRDefault="00A62673" w:rsidP="005A2769">
      <w:pPr>
        <w:spacing w:line="360" w:lineRule="auto"/>
        <w:ind w:firstLineChars="200" w:firstLine="480"/>
        <w:rPr>
          <w:color w:val="000000"/>
          <w:sz w:val="24"/>
        </w:rPr>
      </w:pPr>
      <w:r w:rsidRPr="00DC315B">
        <w:rPr>
          <w:color w:val="000000"/>
          <w:sz w:val="24"/>
        </w:rPr>
        <w:t>报告期内本公司严格执行公平交易制度，公平对待旗下各投资组合，未发现任何违反公平交易的行为。</w:t>
      </w:r>
    </w:p>
    <w:p w:rsidR="00A62673" w:rsidRPr="00EC5CE0" w:rsidRDefault="00A62673" w:rsidP="005A2DCB">
      <w:pPr>
        <w:spacing w:line="360" w:lineRule="auto"/>
        <w:rPr>
          <w:rFonts w:ascii="宋体"/>
          <w:sz w:val="24"/>
        </w:rPr>
      </w:pPr>
      <w:smartTag w:uri="urn:schemas-microsoft-com:office:smarttags" w:element="chsdate">
        <w:smartTagPr>
          <w:attr w:name="Year" w:val="1899"/>
          <w:attr w:name="Month" w:val="12"/>
          <w:attr w:name="Day" w:val="30"/>
          <w:attr w:name="IsLunarDate" w:val="False"/>
          <w:attr w:name="IsROCDate" w:val="False"/>
        </w:smartTagPr>
        <w:r w:rsidRPr="00EC5CE0">
          <w:rPr>
            <w:rFonts w:ascii="宋体" w:hAnsi="宋体"/>
            <w:sz w:val="24"/>
          </w:rPr>
          <w:t>4.3.2</w:t>
        </w:r>
      </w:smartTag>
      <w:r w:rsidRPr="00EC5CE0">
        <w:rPr>
          <w:rFonts w:ascii="宋体" w:hAnsi="宋体" w:hint="eastAsia"/>
          <w:sz w:val="24"/>
        </w:rPr>
        <w:t>异常交易行为的专项说明</w:t>
      </w:r>
    </w:p>
    <w:p w:rsidR="00A62673" w:rsidRPr="00C1648E" w:rsidRDefault="00A62673" w:rsidP="00C1648E">
      <w:pPr>
        <w:spacing w:line="360" w:lineRule="auto"/>
        <w:ind w:firstLineChars="200" w:firstLine="480"/>
        <w:rPr>
          <w:color w:val="000000"/>
          <w:sz w:val="24"/>
        </w:rPr>
      </w:pPr>
      <w:r w:rsidRPr="00DC315B">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DC315B">
        <w:rPr>
          <w:color w:val="000000"/>
          <w:sz w:val="24"/>
        </w:rPr>
        <w:t>5%</w:t>
      </w:r>
      <w:r w:rsidRPr="00DC315B">
        <w:rPr>
          <w:color w:val="000000"/>
          <w:sz w:val="24"/>
        </w:rPr>
        <w:t>的情形，本基金与本公司管理的其他投资组合在不同时间窗下（如日内、</w:t>
      </w:r>
      <w:r w:rsidRPr="00DC315B">
        <w:rPr>
          <w:color w:val="000000"/>
          <w:sz w:val="24"/>
        </w:rPr>
        <w:t>3</w:t>
      </w:r>
      <w:r w:rsidRPr="00DC315B">
        <w:rPr>
          <w:color w:val="000000"/>
          <w:sz w:val="24"/>
        </w:rPr>
        <w:t>日内、</w:t>
      </w:r>
      <w:r w:rsidRPr="00DC315B">
        <w:rPr>
          <w:color w:val="000000"/>
          <w:sz w:val="24"/>
        </w:rPr>
        <w:t>5</w:t>
      </w:r>
      <w:r w:rsidRPr="00DC315B">
        <w:rPr>
          <w:color w:val="000000"/>
          <w:sz w:val="24"/>
        </w:rPr>
        <w:t>日内）同向交易的交易价差未出现异常。</w:t>
      </w:r>
    </w:p>
    <w:p w:rsidR="00A62673" w:rsidRPr="00EC5CE0" w:rsidRDefault="00A62673" w:rsidP="005A2DCB">
      <w:pPr>
        <w:autoSpaceDE w:val="0"/>
        <w:autoSpaceDN w:val="0"/>
        <w:adjustRightInd w:val="0"/>
        <w:spacing w:line="360" w:lineRule="auto"/>
        <w:jc w:val="left"/>
        <w:rPr>
          <w:rFonts w:ascii="宋体" w:cs="Arial"/>
          <w:b/>
          <w:color w:val="000000"/>
          <w:kern w:val="0"/>
          <w:sz w:val="24"/>
        </w:rPr>
      </w:pPr>
      <w:r w:rsidRPr="00EC5CE0">
        <w:rPr>
          <w:rFonts w:ascii="宋体" w:hAnsi="宋体" w:cs="Arial"/>
          <w:b/>
          <w:color w:val="000000"/>
          <w:kern w:val="0"/>
          <w:sz w:val="24"/>
        </w:rPr>
        <w:t xml:space="preserve">4.4 </w:t>
      </w:r>
      <w:r w:rsidRPr="00EC5CE0">
        <w:rPr>
          <w:rFonts w:ascii="宋体" w:hAnsi="宋体" w:cs="Arial" w:hint="eastAsia"/>
          <w:b/>
          <w:color w:val="000000"/>
          <w:kern w:val="0"/>
          <w:sz w:val="24"/>
        </w:rPr>
        <w:t>报告期内基金的投资策略和</w:t>
      </w:r>
      <w:r w:rsidR="00D70274">
        <w:rPr>
          <w:rFonts w:ascii="宋体" w:hAnsi="宋体" w:cs="Arial" w:hint="eastAsia"/>
          <w:b/>
          <w:color w:val="000000"/>
          <w:kern w:val="0"/>
          <w:sz w:val="24"/>
        </w:rPr>
        <w:t>运作分析</w:t>
      </w:r>
    </w:p>
    <w:p w:rsidR="00A9050D" w:rsidRDefault="00896817">
      <w:pPr>
        <w:spacing w:line="360" w:lineRule="auto"/>
        <w:ind w:firstLineChars="200" w:firstLine="480"/>
        <w:rPr>
          <w:color w:val="000000"/>
          <w:sz w:val="24"/>
        </w:rPr>
      </w:pPr>
      <w:r>
        <w:rPr>
          <w:color w:val="000000"/>
          <w:sz w:val="24"/>
        </w:rPr>
        <w:t>2020</w:t>
      </w:r>
      <w:r>
        <w:rPr>
          <w:color w:val="000000"/>
          <w:sz w:val="24"/>
        </w:rPr>
        <w:t>年三季度，国内疫情基本得到控制，经济继续保持修复性增长，企业盈利底部回升。九月制造业</w:t>
      </w:r>
      <w:r>
        <w:rPr>
          <w:color w:val="000000"/>
          <w:sz w:val="24"/>
        </w:rPr>
        <w:t>PMI</w:t>
      </w:r>
      <w:r>
        <w:rPr>
          <w:color w:val="000000"/>
          <w:sz w:val="24"/>
        </w:rPr>
        <w:t>连续七个月站上荣枯线。受益于宏观刺激政策发力，国内工业生产增速与结构持续改善，需求端的恢复力度也有所强化。随着国内疫情防控形势趋于稳定，三季度服务业复苏势头持续向好，居民消费需求加快释放，住宿、餐饮以及文化体育娱乐等行业活跃度有所提高。在此经济背景下，三季度</w:t>
      </w:r>
      <w:r>
        <w:rPr>
          <w:color w:val="000000"/>
          <w:sz w:val="24"/>
        </w:rPr>
        <w:t>A</w:t>
      </w:r>
      <w:r>
        <w:rPr>
          <w:color w:val="000000"/>
          <w:sz w:val="24"/>
        </w:rPr>
        <w:t>股市场在七月冲击年内高点后，进入高波动区间，市场短期震荡整固，整体波动率维持高位。作为跟踪基准指数的指数基金，三季度基金总体呈现先上行后震荡的态势。</w:t>
      </w:r>
    </w:p>
    <w:p w:rsidR="00A62673" w:rsidRPr="00DC315B" w:rsidRDefault="00A62673" w:rsidP="005A2769">
      <w:pPr>
        <w:spacing w:line="360" w:lineRule="auto"/>
        <w:ind w:firstLineChars="200" w:firstLine="480"/>
        <w:rPr>
          <w:color w:val="000000"/>
          <w:sz w:val="24"/>
        </w:rPr>
      </w:pPr>
      <w:r w:rsidRPr="00DC315B">
        <w:rPr>
          <w:color w:val="000000"/>
          <w:sz w:val="24"/>
        </w:rPr>
        <w:t>展望</w:t>
      </w:r>
      <w:r w:rsidRPr="00DC315B">
        <w:rPr>
          <w:color w:val="000000"/>
          <w:sz w:val="24"/>
        </w:rPr>
        <w:t>2020</w:t>
      </w:r>
      <w:r w:rsidRPr="00DC315B">
        <w:rPr>
          <w:color w:val="000000"/>
          <w:sz w:val="24"/>
        </w:rPr>
        <w:t>年四季度，海外疫情和美国大选等外部风险因素可能对短期市场产生一定冲击。但国内经济或将继续保持修复性增长，其中消费和出口上行趋势相对明显。未来我国财政和货币政策仍将大概率保持</w:t>
      </w:r>
      <w:r w:rsidR="007E609E">
        <w:rPr>
          <w:rFonts w:hint="eastAsia"/>
          <w:color w:val="000000"/>
          <w:sz w:val="24"/>
        </w:rPr>
        <w:t>稳健</w:t>
      </w:r>
      <w:bookmarkStart w:id="0" w:name="_GoBack"/>
      <w:bookmarkEnd w:id="0"/>
      <w:r w:rsidRPr="00DC315B">
        <w:rPr>
          <w:color w:val="000000"/>
          <w:sz w:val="24"/>
        </w:rPr>
        <w:t>，十四五规划的落地或将成为四季度政策层面的重要影响因素。从中长期来看，</w:t>
      </w:r>
      <w:r w:rsidRPr="00DC315B">
        <w:rPr>
          <w:color w:val="000000"/>
          <w:sz w:val="24"/>
        </w:rPr>
        <w:t>A</w:t>
      </w:r>
      <w:r w:rsidRPr="00DC315B">
        <w:rPr>
          <w:color w:val="000000"/>
          <w:sz w:val="24"/>
        </w:rPr>
        <w:t>股盈利能力与成长性将持续修复，</w:t>
      </w:r>
      <w:r w:rsidRPr="00DC315B">
        <w:rPr>
          <w:color w:val="000000"/>
          <w:sz w:val="24"/>
        </w:rPr>
        <w:t>“</w:t>
      </w:r>
      <w:r w:rsidRPr="00DC315B">
        <w:rPr>
          <w:color w:val="000000"/>
          <w:sz w:val="24"/>
        </w:rPr>
        <w:t>内循环</w:t>
      </w:r>
      <w:r w:rsidRPr="00DC315B">
        <w:rPr>
          <w:color w:val="000000"/>
          <w:sz w:val="24"/>
        </w:rPr>
        <w:t>”</w:t>
      </w:r>
      <w:r w:rsidRPr="00DC315B">
        <w:rPr>
          <w:color w:val="000000"/>
          <w:sz w:val="24"/>
        </w:rPr>
        <w:t>战略与创业板注册制的实施进一步支持创新型企业的发展。总体而言，随着企业盈利修复，从中长期来看我们对</w:t>
      </w:r>
      <w:r w:rsidRPr="00DC315B">
        <w:rPr>
          <w:color w:val="000000"/>
          <w:sz w:val="24"/>
        </w:rPr>
        <w:t>A</w:t>
      </w:r>
      <w:r w:rsidRPr="00DC315B">
        <w:rPr>
          <w:color w:val="000000"/>
          <w:sz w:val="24"/>
        </w:rPr>
        <w:t>股市场仍维持谨慎乐观的看法。</w:t>
      </w:r>
    </w:p>
    <w:p w:rsidR="00A62673" w:rsidRPr="00E72A13" w:rsidRDefault="00A62673" w:rsidP="005A2DCB">
      <w:pPr>
        <w:spacing w:line="360" w:lineRule="auto"/>
        <w:rPr>
          <w:rFonts w:ascii="宋体" w:hAnsi="宋体" w:cs="Arial"/>
          <w:b/>
          <w:color w:val="000000"/>
          <w:kern w:val="0"/>
          <w:sz w:val="24"/>
        </w:rPr>
      </w:pPr>
      <w:r w:rsidRPr="00E72A13">
        <w:rPr>
          <w:rFonts w:ascii="宋体" w:hAnsi="宋体" w:cs="Arial"/>
          <w:b/>
          <w:color w:val="000000"/>
          <w:kern w:val="0"/>
          <w:sz w:val="24"/>
        </w:rPr>
        <w:t>4.</w:t>
      </w:r>
      <w:r w:rsidR="00E72A13">
        <w:rPr>
          <w:rFonts w:ascii="宋体" w:hAnsi="宋体" w:cs="Arial"/>
          <w:b/>
          <w:color w:val="000000"/>
          <w:kern w:val="0"/>
          <w:sz w:val="24"/>
        </w:rPr>
        <w:t>5</w:t>
      </w:r>
      <w:r w:rsidRPr="00E72A13">
        <w:rPr>
          <w:rFonts w:ascii="宋体" w:hAnsi="宋体" w:cs="Arial" w:hint="eastAsia"/>
          <w:b/>
          <w:color w:val="000000"/>
          <w:kern w:val="0"/>
          <w:sz w:val="24"/>
        </w:rPr>
        <w:t>报告期内基金的业绩表现</w:t>
      </w:r>
    </w:p>
    <w:p w:rsidR="00A62673" w:rsidRPr="00C1648E" w:rsidRDefault="00A62673" w:rsidP="00C1648E">
      <w:pPr>
        <w:spacing w:line="360" w:lineRule="auto"/>
        <w:ind w:firstLineChars="200" w:firstLine="480"/>
        <w:rPr>
          <w:color w:val="000000"/>
          <w:sz w:val="24"/>
        </w:rPr>
      </w:pPr>
      <w:r w:rsidRPr="00DC315B">
        <w:rPr>
          <w:color w:val="000000"/>
          <w:sz w:val="24"/>
        </w:rPr>
        <w:t>本基金（各类）份额净值及业绩表现请见</w:t>
      </w:r>
      <w:r w:rsidRPr="00DC315B">
        <w:rPr>
          <w:color w:val="000000"/>
          <w:sz w:val="24"/>
        </w:rPr>
        <w:t>“3.1</w:t>
      </w:r>
      <w:r w:rsidRPr="00DC315B">
        <w:rPr>
          <w:color w:val="000000"/>
          <w:sz w:val="24"/>
        </w:rPr>
        <w:t>主要财务指标</w:t>
      </w:r>
      <w:r w:rsidRPr="00DC315B">
        <w:rPr>
          <w:color w:val="000000"/>
          <w:sz w:val="24"/>
        </w:rPr>
        <w:t xml:space="preserve">” </w:t>
      </w:r>
      <w:r w:rsidRPr="00DC315B">
        <w:rPr>
          <w:color w:val="000000"/>
          <w:sz w:val="24"/>
        </w:rPr>
        <w:t>及</w:t>
      </w:r>
      <w:r w:rsidRPr="00DC315B">
        <w:rPr>
          <w:color w:val="000000"/>
          <w:sz w:val="24"/>
        </w:rPr>
        <w:t xml:space="preserve">“3.2.1 </w:t>
      </w:r>
      <w:r w:rsidRPr="00DC315B">
        <w:rPr>
          <w:color w:val="000000"/>
          <w:sz w:val="24"/>
        </w:rPr>
        <w:t>本报告期基金份额净值增长率及其与同期业绩比较基准收益率的比较</w:t>
      </w:r>
      <w:r w:rsidRPr="00DC315B">
        <w:rPr>
          <w:color w:val="000000"/>
          <w:sz w:val="24"/>
        </w:rPr>
        <w:t>”</w:t>
      </w:r>
      <w:r w:rsidRPr="00DC315B">
        <w:rPr>
          <w:color w:val="000000"/>
          <w:sz w:val="24"/>
        </w:rPr>
        <w:t>部分披露。</w:t>
      </w:r>
    </w:p>
    <w:p w:rsidR="00701A03" w:rsidRPr="00701A03" w:rsidRDefault="00701A03" w:rsidP="00701A03">
      <w:pPr>
        <w:autoSpaceDE w:val="0"/>
        <w:autoSpaceDN w:val="0"/>
        <w:adjustRightInd w:val="0"/>
        <w:spacing w:line="360" w:lineRule="auto"/>
        <w:jc w:val="left"/>
        <w:rPr>
          <w:rFonts w:ascii="宋体" w:hAnsi="宋体" w:cs="Arial"/>
          <w:b/>
          <w:color w:val="000000"/>
          <w:kern w:val="0"/>
          <w:sz w:val="24"/>
        </w:rPr>
      </w:pPr>
      <w:r w:rsidRPr="00701A03">
        <w:rPr>
          <w:rFonts w:ascii="宋体" w:hAnsi="宋体" w:cs="Arial"/>
          <w:b/>
          <w:color w:val="000000"/>
          <w:kern w:val="0"/>
          <w:sz w:val="24"/>
        </w:rPr>
        <w:t>4</w:t>
      </w:r>
      <w:r w:rsidR="008E2983">
        <w:rPr>
          <w:rFonts w:ascii="宋体" w:hAnsi="宋体" w:cs="Arial" w:hint="eastAsia"/>
          <w:b/>
          <w:color w:val="000000"/>
          <w:kern w:val="0"/>
          <w:sz w:val="24"/>
        </w:rPr>
        <w:t>.</w:t>
      </w:r>
      <w:r w:rsidRPr="00701A03">
        <w:rPr>
          <w:rFonts w:ascii="宋体" w:hAnsi="宋体" w:cs="Arial" w:hint="eastAsia"/>
          <w:b/>
          <w:color w:val="000000"/>
          <w:kern w:val="0"/>
          <w:sz w:val="24"/>
        </w:rPr>
        <w:t>6报告期内基金持有人数或基金资产净值预警说明</w:t>
      </w:r>
    </w:p>
    <w:p w:rsidR="00701A03" w:rsidRPr="00942DF0" w:rsidRDefault="00701A03" w:rsidP="00942DF0">
      <w:pPr>
        <w:spacing w:line="360" w:lineRule="auto"/>
        <w:ind w:firstLineChars="200" w:firstLine="480"/>
        <w:rPr>
          <w:color w:val="000000"/>
          <w:sz w:val="24"/>
        </w:rPr>
      </w:pPr>
      <w:r w:rsidRPr="00942DF0">
        <w:rPr>
          <w:color w:val="000000"/>
          <w:sz w:val="24"/>
        </w:rPr>
        <w:t>本基金本报告期内无需预警说明。</w:t>
      </w:r>
    </w:p>
    <w:p w:rsidR="00701A03" w:rsidRPr="00DC315B" w:rsidRDefault="00701A03" w:rsidP="005A2769">
      <w:pPr>
        <w:spacing w:line="360" w:lineRule="auto"/>
        <w:ind w:firstLineChars="200" w:firstLine="480"/>
        <w:rPr>
          <w:color w:val="000000"/>
          <w:sz w:val="24"/>
        </w:rPr>
      </w:pPr>
    </w:p>
    <w:p w:rsidR="00A62673" w:rsidRPr="00EC5CE0" w:rsidRDefault="00A62673" w:rsidP="00F729DC">
      <w:pPr>
        <w:pStyle w:val="1"/>
        <w:spacing w:beforeLines="100" w:before="312" w:afterLines="100" w:after="312" w:line="360" w:lineRule="auto"/>
        <w:jc w:val="center"/>
        <w:rPr>
          <w:rFonts w:ascii="宋体" w:cs="Arial"/>
          <w:color w:val="000000"/>
          <w:kern w:val="0"/>
          <w:sz w:val="24"/>
          <w:szCs w:val="24"/>
        </w:rPr>
      </w:pPr>
      <w:r w:rsidRPr="00EC5CE0">
        <w:rPr>
          <w:rFonts w:ascii="宋体" w:hAnsi="宋体" w:cs="Arial" w:hint="eastAsia"/>
          <w:color w:val="000000"/>
          <w:kern w:val="0"/>
          <w:sz w:val="24"/>
          <w:szCs w:val="24"/>
        </w:rPr>
        <w:t>§</w:t>
      </w:r>
      <w:r w:rsidRPr="00EC5CE0">
        <w:rPr>
          <w:rFonts w:ascii="宋体" w:hAnsi="宋体" w:cs="Arial"/>
          <w:color w:val="000000"/>
          <w:kern w:val="0"/>
          <w:sz w:val="24"/>
          <w:szCs w:val="24"/>
        </w:rPr>
        <w:t xml:space="preserve">5  </w:t>
      </w:r>
      <w:r w:rsidRPr="00EC5CE0">
        <w:rPr>
          <w:rFonts w:ascii="宋体" w:hAnsi="宋体" w:cs="Arial" w:hint="eastAsia"/>
          <w:color w:val="000000"/>
          <w:kern w:val="0"/>
          <w:sz w:val="24"/>
          <w:szCs w:val="24"/>
        </w:rPr>
        <w:t>投资组合报告</w:t>
      </w:r>
    </w:p>
    <w:p w:rsidR="00A62673" w:rsidRPr="00EC5CE0" w:rsidRDefault="00A62673" w:rsidP="00045BEC">
      <w:pPr>
        <w:autoSpaceDE w:val="0"/>
        <w:autoSpaceDN w:val="0"/>
        <w:adjustRightInd w:val="0"/>
        <w:spacing w:line="360" w:lineRule="auto"/>
        <w:jc w:val="left"/>
        <w:rPr>
          <w:rFonts w:ascii="宋体" w:cs="Arial"/>
          <w:b/>
          <w:color w:val="000000"/>
          <w:kern w:val="0"/>
          <w:sz w:val="24"/>
        </w:rPr>
      </w:pPr>
      <w:r w:rsidRPr="00EC5CE0">
        <w:rPr>
          <w:rFonts w:ascii="宋体" w:hAnsi="宋体" w:cs="Arial"/>
          <w:b/>
          <w:color w:val="000000"/>
          <w:kern w:val="0"/>
          <w:sz w:val="24"/>
        </w:rPr>
        <w:t xml:space="preserve">5.1 </w:t>
      </w:r>
      <w:r w:rsidRPr="00EC5CE0">
        <w:rPr>
          <w:rFonts w:ascii="宋体" w:hAnsi="宋体" w:cs="Arial" w:hint="eastAsia"/>
          <w:b/>
          <w:color w:val="000000"/>
          <w:kern w:val="0"/>
          <w:sz w:val="24"/>
        </w:rPr>
        <w:t>报告期末基金资产组合情况</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0"/>
        <w:gridCol w:w="3357"/>
        <w:gridCol w:w="2977"/>
        <w:gridCol w:w="1843"/>
      </w:tblGrid>
      <w:tr w:rsidR="00A62673" w:rsidRPr="00264E55" w:rsidTr="006B315F">
        <w:trPr>
          <w:jc w:val="center"/>
        </w:trPr>
        <w:tc>
          <w:tcPr>
            <w:tcW w:w="720" w:type="dxa"/>
            <w:vAlign w:val="center"/>
          </w:tcPr>
          <w:p w:rsidR="00A62673" w:rsidRPr="00C1648E" w:rsidRDefault="00A62673" w:rsidP="006B315F">
            <w:pPr>
              <w:spacing w:before="29" w:line="360" w:lineRule="auto"/>
              <w:ind w:left="17"/>
              <w:jc w:val="center"/>
              <w:rPr>
                <w:color w:val="000000"/>
                <w:sz w:val="24"/>
              </w:rPr>
            </w:pPr>
            <w:r w:rsidRPr="00C1648E">
              <w:rPr>
                <w:color w:val="000000"/>
                <w:sz w:val="24"/>
              </w:rPr>
              <w:t>序号</w:t>
            </w:r>
          </w:p>
        </w:tc>
        <w:tc>
          <w:tcPr>
            <w:tcW w:w="3357" w:type="dxa"/>
            <w:vAlign w:val="center"/>
          </w:tcPr>
          <w:p w:rsidR="00A62673" w:rsidRPr="00C1648E" w:rsidRDefault="00A62673" w:rsidP="006B315F">
            <w:pPr>
              <w:spacing w:before="29" w:line="360" w:lineRule="auto"/>
              <w:ind w:left="17"/>
              <w:jc w:val="center"/>
              <w:rPr>
                <w:color w:val="000000"/>
                <w:sz w:val="24"/>
              </w:rPr>
            </w:pPr>
            <w:r w:rsidRPr="00C1648E">
              <w:rPr>
                <w:color w:val="000000"/>
                <w:sz w:val="24"/>
              </w:rPr>
              <w:t>项目</w:t>
            </w:r>
          </w:p>
        </w:tc>
        <w:tc>
          <w:tcPr>
            <w:tcW w:w="2977" w:type="dxa"/>
            <w:vAlign w:val="center"/>
          </w:tcPr>
          <w:p w:rsidR="00A62673" w:rsidRPr="00C1648E" w:rsidRDefault="00A62673" w:rsidP="005A2769">
            <w:pPr>
              <w:spacing w:before="29" w:line="360" w:lineRule="auto"/>
              <w:ind w:left="17"/>
              <w:jc w:val="center"/>
              <w:rPr>
                <w:color w:val="000000"/>
                <w:sz w:val="24"/>
              </w:rPr>
            </w:pPr>
            <w:r w:rsidRPr="00C1648E">
              <w:rPr>
                <w:color w:val="000000"/>
                <w:sz w:val="24"/>
              </w:rPr>
              <w:t>金额</w:t>
            </w:r>
            <w:r w:rsidR="005A2769" w:rsidRPr="00C1648E">
              <w:rPr>
                <w:color w:val="000000"/>
                <w:sz w:val="24"/>
              </w:rPr>
              <w:t>（元）</w:t>
            </w:r>
          </w:p>
        </w:tc>
        <w:tc>
          <w:tcPr>
            <w:tcW w:w="1843" w:type="dxa"/>
            <w:vAlign w:val="center"/>
          </w:tcPr>
          <w:p w:rsidR="00A62673" w:rsidRPr="00C1648E" w:rsidRDefault="00A62673" w:rsidP="005A2769">
            <w:pPr>
              <w:spacing w:before="29" w:line="360" w:lineRule="auto"/>
              <w:ind w:left="17"/>
              <w:jc w:val="center"/>
              <w:rPr>
                <w:color w:val="000000"/>
                <w:sz w:val="24"/>
              </w:rPr>
            </w:pPr>
            <w:r w:rsidRPr="00C1648E">
              <w:rPr>
                <w:color w:val="000000"/>
                <w:sz w:val="24"/>
              </w:rPr>
              <w:t>占基金总资产的比例</w:t>
            </w:r>
            <w:r w:rsidR="005A2769" w:rsidRPr="00C1648E">
              <w:rPr>
                <w:color w:val="000000"/>
                <w:sz w:val="24"/>
              </w:rPr>
              <w:t>（</w:t>
            </w:r>
            <w:r w:rsidR="005A2769" w:rsidRPr="00C1648E">
              <w:rPr>
                <w:color w:val="000000"/>
                <w:sz w:val="24"/>
              </w:rPr>
              <w:t>%</w:t>
            </w:r>
            <w:r w:rsidR="005A2769" w:rsidRPr="00C1648E">
              <w:rPr>
                <w:color w:val="000000"/>
                <w:sz w:val="24"/>
              </w:rPr>
              <w:t>）</w:t>
            </w:r>
          </w:p>
        </w:tc>
      </w:tr>
      <w:tr w:rsidR="00A62673" w:rsidRPr="00264E55" w:rsidTr="006B315F">
        <w:trPr>
          <w:jc w:val="center"/>
        </w:trPr>
        <w:tc>
          <w:tcPr>
            <w:tcW w:w="720" w:type="dxa"/>
            <w:vAlign w:val="center"/>
          </w:tcPr>
          <w:p w:rsidR="00A62673" w:rsidRPr="00C1648E" w:rsidRDefault="00A62673" w:rsidP="006B315F">
            <w:pPr>
              <w:spacing w:before="29" w:line="360" w:lineRule="auto"/>
              <w:ind w:left="17"/>
              <w:jc w:val="center"/>
              <w:rPr>
                <w:color w:val="000000"/>
                <w:sz w:val="24"/>
              </w:rPr>
            </w:pPr>
            <w:r w:rsidRPr="00C1648E">
              <w:rPr>
                <w:color w:val="000000"/>
                <w:sz w:val="24"/>
              </w:rPr>
              <w:t>1</w:t>
            </w:r>
          </w:p>
        </w:tc>
        <w:tc>
          <w:tcPr>
            <w:tcW w:w="3357" w:type="dxa"/>
            <w:vAlign w:val="center"/>
          </w:tcPr>
          <w:p w:rsidR="00A62673" w:rsidRPr="00C1648E" w:rsidRDefault="00A62673" w:rsidP="006B315F">
            <w:pPr>
              <w:spacing w:before="29" w:line="360" w:lineRule="auto"/>
              <w:ind w:left="17"/>
              <w:jc w:val="left"/>
              <w:rPr>
                <w:sz w:val="24"/>
              </w:rPr>
            </w:pPr>
            <w:r w:rsidRPr="00C1648E">
              <w:rPr>
                <w:color w:val="000000"/>
                <w:sz w:val="24"/>
              </w:rPr>
              <w:t>权益投资</w:t>
            </w:r>
          </w:p>
        </w:tc>
        <w:tc>
          <w:tcPr>
            <w:tcW w:w="2977" w:type="dxa"/>
            <w:vAlign w:val="center"/>
          </w:tcPr>
          <w:p w:rsidR="00A62673" w:rsidRPr="00C1648E" w:rsidRDefault="00A62673" w:rsidP="006B315F">
            <w:pPr>
              <w:spacing w:before="29" w:line="360" w:lineRule="auto"/>
              <w:ind w:left="17"/>
              <w:jc w:val="right"/>
              <w:rPr>
                <w:color w:val="000000"/>
                <w:sz w:val="24"/>
              </w:rPr>
            </w:pPr>
            <w:r w:rsidRPr="00C1648E">
              <w:rPr>
                <w:color w:val="000000"/>
                <w:sz w:val="24"/>
              </w:rPr>
              <w:t>1,077,968,974.46</w:t>
            </w:r>
          </w:p>
        </w:tc>
        <w:tc>
          <w:tcPr>
            <w:tcW w:w="1843" w:type="dxa"/>
            <w:vAlign w:val="center"/>
          </w:tcPr>
          <w:p w:rsidR="00A62673" w:rsidRPr="00C1648E" w:rsidRDefault="00A62673" w:rsidP="006B315F">
            <w:pPr>
              <w:spacing w:before="29" w:line="360" w:lineRule="auto"/>
              <w:ind w:left="17"/>
              <w:jc w:val="right"/>
              <w:rPr>
                <w:color w:val="000000"/>
                <w:sz w:val="24"/>
              </w:rPr>
            </w:pPr>
            <w:r w:rsidRPr="00C1648E">
              <w:rPr>
                <w:color w:val="000000"/>
                <w:sz w:val="24"/>
              </w:rPr>
              <w:t>92.94</w:t>
            </w:r>
          </w:p>
        </w:tc>
      </w:tr>
      <w:tr w:rsidR="00A62673" w:rsidRPr="00264E55" w:rsidTr="006B315F">
        <w:trPr>
          <w:jc w:val="center"/>
        </w:trPr>
        <w:tc>
          <w:tcPr>
            <w:tcW w:w="720" w:type="dxa"/>
            <w:vAlign w:val="center"/>
          </w:tcPr>
          <w:p w:rsidR="00A62673" w:rsidRPr="00C1648E" w:rsidRDefault="00A62673" w:rsidP="006B315F">
            <w:pPr>
              <w:spacing w:before="29" w:line="360" w:lineRule="auto"/>
              <w:ind w:left="17"/>
              <w:jc w:val="center"/>
              <w:rPr>
                <w:color w:val="000000"/>
                <w:sz w:val="24"/>
              </w:rPr>
            </w:pPr>
          </w:p>
        </w:tc>
        <w:tc>
          <w:tcPr>
            <w:tcW w:w="3357" w:type="dxa"/>
            <w:vAlign w:val="center"/>
          </w:tcPr>
          <w:p w:rsidR="00A62673" w:rsidRPr="00C1648E" w:rsidRDefault="00A62673" w:rsidP="006B315F">
            <w:pPr>
              <w:spacing w:before="29" w:line="360" w:lineRule="auto"/>
              <w:ind w:left="17"/>
              <w:jc w:val="left"/>
              <w:rPr>
                <w:sz w:val="24"/>
              </w:rPr>
            </w:pPr>
            <w:r w:rsidRPr="00C1648E">
              <w:rPr>
                <w:color w:val="000000"/>
                <w:sz w:val="24"/>
              </w:rPr>
              <w:t>其中：股票</w:t>
            </w:r>
          </w:p>
        </w:tc>
        <w:tc>
          <w:tcPr>
            <w:tcW w:w="2977" w:type="dxa"/>
            <w:vAlign w:val="center"/>
          </w:tcPr>
          <w:p w:rsidR="00A62673" w:rsidRPr="00C1648E" w:rsidRDefault="00A62673" w:rsidP="006B315F">
            <w:pPr>
              <w:spacing w:before="29" w:line="360" w:lineRule="auto"/>
              <w:ind w:left="17"/>
              <w:jc w:val="right"/>
              <w:rPr>
                <w:color w:val="000000"/>
                <w:sz w:val="24"/>
              </w:rPr>
            </w:pPr>
            <w:r w:rsidRPr="00C1648E">
              <w:rPr>
                <w:color w:val="000000"/>
                <w:sz w:val="24"/>
              </w:rPr>
              <w:t>1,077,968,974.46</w:t>
            </w:r>
          </w:p>
        </w:tc>
        <w:tc>
          <w:tcPr>
            <w:tcW w:w="1843" w:type="dxa"/>
            <w:vAlign w:val="center"/>
          </w:tcPr>
          <w:p w:rsidR="00A62673" w:rsidRPr="00C1648E" w:rsidRDefault="00A62673" w:rsidP="006B315F">
            <w:pPr>
              <w:spacing w:before="29" w:line="360" w:lineRule="auto"/>
              <w:ind w:left="17"/>
              <w:jc w:val="right"/>
              <w:rPr>
                <w:color w:val="000000"/>
                <w:sz w:val="24"/>
              </w:rPr>
            </w:pPr>
            <w:r w:rsidRPr="00C1648E">
              <w:rPr>
                <w:color w:val="000000"/>
                <w:sz w:val="24"/>
              </w:rPr>
              <w:t>92.94</w:t>
            </w:r>
          </w:p>
        </w:tc>
      </w:tr>
      <w:tr w:rsidR="00E72A13" w:rsidRPr="00264E55" w:rsidTr="006B315F">
        <w:trPr>
          <w:jc w:val="center"/>
        </w:trPr>
        <w:tc>
          <w:tcPr>
            <w:tcW w:w="720" w:type="dxa"/>
            <w:vAlign w:val="center"/>
          </w:tcPr>
          <w:p w:rsidR="00E72A13" w:rsidRPr="00EB4CB3" w:rsidRDefault="00E72A13" w:rsidP="00E72A13">
            <w:pPr>
              <w:adjustRightInd w:val="0"/>
              <w:snapToGrid w:val="0"/>
              <w:spacing w:line="400" w:lineRule="exact"/>
              <w:jc w:val="center"/>
              <w:rPr>
                <w:rFonts w:eastAsiaTheme="minorEastAsia"/>
                <w:color w:val="000000"/>
                <w:sz w:val="24"/>
              </w:rPr>
            </w:pPr>
            <w:r w:rsidRPr="00EB4CB3">
              <w:rPr>
                <w:rFonts w:eastAsiaTheme="minorEastAsia"/>
                <w:color w:val="000000"/>
                <w:sz w:val="24"/>
              </w:rPr>
              <w:t>2</w:t>
            </w:r>
          </w:p>
        </w:tc>
        <w:tc>
          <w:tcPr>
            <w:tcW w:w="3357" w:type="dxa"/>
            <w:vAlign w:val="center"/>
          </w:tcPr>
          <w:p w:rsidR="00E72A13" w:rsidRPr="00EB4CB3" w:rsidRDefault="00E72A13" w:rsidP="00E72A13">
            <w:pPr>
              <w:adjustRightInd w:val="0"/>
              <w:snapToGrid w:val="0"/>
              <w:spacing w:line="400" w:lineRule="exact"/>
              <w:rPr>
                <w:rFonts w:eastAsiaTheme="minorEastAsia"/>
                <w:color w:val="000000"/>
                <w:sz w:val="24"/>
              </w:rPr>
            </w:pPr>
            <w:r w:rsidRPr="00EB4CB3">
              <w:rPr>
                <w:rFonts w:eastAsiaTheme="minorEastAsia"/>
                <w:color w:val="000000"/>
                <w:sz w:val="24"/>
              </w:rPr>
              <w:t>基金投资</w:t>
            </w:r>
          </w:p>
        </w:tc>
        <w:tc>
          <w:tcPr>
            <w:tcW w:w="2977" w:type="dxa"/>
            <w:vAlign w:val="center"/>
          </w:tcPr>
          <w:p w:rsidR="00E72A13" w:rsidRPr="00EB4CB3" w:rsidRDefault="00E72A13" w:rsidP="00E72A13">
            <w:pPr>
              <w:spacing w:before="29" w:line="360" w:lineRule="auto"/>
              <w:ind w:left="17"/>
              <w:jc w:val="right"/>
              <w:rPr>
                <w:rFonts w:eastAsiaTheme="minorEastAsia"/>
                <w:color w:val="000000"/>
                <w:sz w:val="24"/>
              </w:rPr>
            </w:pPr>
            <w:r w:rsidRPr="00EB4CB3">
              <w:rPr>
                <w:rFonts w:eastAsiaTheme="minorEastAsia"/>
                <w:color w:val="000000"/>
                <w:sz w:val="24"/>
              </w:rPr>
              <w:t>-</w:t>
            </w:r>
          </w:p>
        </w:tc>
        <w:tc>
          <w:tcPr>
            <w:tcW w:w="1843" w:type="dxa"/>
            <w:vAlign w:val="center"/>
          </w:tcPr>
          <w:p w:rsidR="00E72A13" w:rsidRPr="00EB4CB3" w:rsidRDefault="00E72A13" w:rsidP="00E72A13">
            <w:pPr>
              <w:spacing w:before="29" w:line="360" w:lineRule="auto"/>
              <w:ind w:left="17"/>
              <w:jc w:val="right"/>
              <w:rPr>
                <w:rFonts w:eastAsiaTheme="minorEastAsia"/>
                <w:color w:val="000000"/>
                <w:sz w:val="24"/>
              </w:rPr>
            </w:pPr>
            <w:r w:rsidRPr="00EB4CB3">
              <w:rPr>
                <w:rFonts w:eastAsiaTheme="minorEastAsia"/>
                <w:color w:val="000000"/>
                <w:sz w:val="24"/>
              </w:rPr>
              <w:t>-</w:t>
            </w:r>
          </w:p>
        </w:tc>
      </w:tr>
      <w:tr w:rsidR="00E72A13" w:rsidRPr="00264E55" w:rsidTr="006B315F">
        <w:trPr>
          <w:jc w:val="center"/>
        </w:trPr>
        <w:tc>
          <w:tcPr>
            <w:tcW w:w="720" w:type="dxa"/>
            <w:vAlign w:val="center"/>
          </w:tcPr>
          <w:p w:rsidR="00E72A13" w:rsidRPr="00C1648E" w:rsidRDefault="00E72A13" w:rsidP="00E72A13">
            <w:pPr>
              <w:spacing w:before="29" w:line="360" w:lineRule="auto"/>
              <w:ind w:left="17"/>
              <w:jc w:val="center"/>
              <w:rPr>
                <w:color w:val="000000"/>
                <w:sz w:val="24"/>
              </w:rPr>
            </w:pPr>
            <w:r>
              <w:rPr>
                <w:color w:val="000000"/>
                <w:sz w:val="24"/>
              </w:rPr>
              <w:t>3</w:t>
            </w:r>
          </w:p>
        </w:tc>
        <w:tc>
          <w:tcPr>
            <w:tcW w:w="3357" w:type="dxa"/>
            <w:vAlign w:val="center"/>
          </w:tcPr>
          <w:p w:rsidR="00E72A13" w:rsidRPr="00C1648E" w:rsidRDefault="00E72A13" w:rsidP="00E72A13">
            <w:pPr>
              <w:spacing w:before="29" w:line="360" w:lineRule="auto"/>
              <w:ind w:left="17"/>
              <w:jc w:val="left"/>
              <w:rPr>
                <w:sz w:val="24"/>
              </w:rPr>
            </w:pPr>
            <w:r w:rsidRPr="00C1648E">
              <w:rPr>
                <w:color w:val="000000"/>
                <w:sz w:val="24"/>
              </w:rPr>
              <w:t>固定收益投资</w:t>
            </w:r>
          </w:p>
        </w:tc>
        <w:tc>
          <w:tcPr>
            <w:tcW w:w="2977" w:type="dxa"/>
            <w:vAlign w:val="center"/>
          </w:tcPr>
          <w:p w:rsidR="00E72A13" w:rsidRPr="00C1648E" w:rsidRDefault="00E72A13" w:rsidP="00E72A13">
            <w:pPr>
              <w:spacing w:before="29" w:line="360" w:lineRule="auto"/>
              <w:ind w:left="17"/>
              <w:jc w:val="right"/>
              <w:rPr>
                <w:color w:val="000000"/>
                <w:sz w:val="24"/>
              </w:rPr>
            </w:pPr>
            <w:r w:rsidRPr="00C1648E">
              <w:rPr>
                <w:color w:val="000000"/>
                <w:sz w:val="24"/>
              </w:rPr>
              <w:t>-</w:t>
            </w:r>
          </w:p>
        </w:tc>
        <w:tc>
          <w:tcPr>
            <w:tcW w:w="1843" w:type="dxa"/>
            <w:vAlign w:val="center"/>
          </w:tcPr>
          <w:p w:rsidR="00E72A13" w:rsidRPr="00C1648E" w:rsidRDefault="00E72A13" w:rsidP="00E72A13">
            <w:pPr>
              <w:spacing w:before="29" w:line="360" w:lineRule="auto"/>
              <w:ind w:left="17"/>
              <w:jc w:val="right"/>
              <w:rPr>
                <w:color w:val="000000"/>
                <w:sz w:val="24"/>
              </w:rPr>
            </w:pPr>
            <w:r w:rsidRPr="00C1648E">
              <w:rPr>
                <w:color w:val="000000"/>
                <w:sz w:val="24"/>
              </w:rPr>
              <w:t>-</w:t>
            </w:r>
          </w:p>
        </w:tc>
      </w:tr>
      <w:tr w:rsidR="00E72A13" w:rsidRPr="00264E55" w:rsidTr="006B315F">
        <w:trPr>
          <w:jc w:val="center"/>
        </w:trPr>
        <w:tc>
          <w:tcPr>
            <w:tcW w:w="720" w:type="dxa"/>
            <w:vAlign w:val="center"/>
          </w:tcPr>
          <w:p w:rsidR="00E72A13" w:rsidRPr="00C1648E" w:rsidRDefault="00E72A13" w:rsidP="00E72A13">
            <w:pPr>
              <w:spacing w:before="29" w:line="360" w:lineRule="auto"/>
              <w:ind w:left="17"/>
              <w:jc w:val="center"/>
              <w:rPr>
                <w:color w:val="000000"/>
                <w:sz w:val="24"/>
              </w:rPr>
            </w:pPr>
          </w:p>
        </w:tc>
        <w:tc>
          <w:tcPr>
            <w:tcW w:w="3357" w:type="dxa"/>
            <w:vAlign w:val="center"/>
          </w:tcPr>
          <w:p w:rsidR="00E72A13" w:rsidRPr="00C1648E" w:rsidRDefault="00E72A13" w:rsidP="00E72A13">
            <w:pPr>
              <w:spacing w:before="29" w:line="360" w:lineRule="auto"/>
              <w:ind w:left="17"/>
              <w:jc w:val="left"/>
              <w:rPr>
                <w:sz w:val="24"/>
              </w:rPr>
            </w:pPr>
            <w:r w:rsidRPr="00C1648E">
              <w:rPr>
                <w:color w:val="000000"/>
                <w:sz w:val="24"/>
              </w:rPr>
              <w:t>其中：债券</w:t>
            </w:r>
          </w:p>
        </w:tc>
        <w:tc>
          <w:tcPr>
            <w:tcW w:w="2977" w:type="dxa"/>
            <w:vAlign w:val="center"/>
          </w:tcPr>
          <w:p w:rsidR="00E72A13" w:rsidRPr="00C1648E" w:rsidRDefault="00E72A13" w:rsidP="00E72A13">
            <w:pPr>
              <w:spacing w:before="29" w:line="360" w:lineRule="auto"/>
              <w:ind w:left="17"/>
              <w:jc w:val="right"/>
              <w:rPr>
                <w:color w:val="000000"/>
                <w:sz w:val="24"/>
              </w:rPr>
            </w:pPr>
            <w:r w:rsidRPr="00C1648E">
              <w:rPr>
                <w:color w:val="000000"/>
                <w:sz w:val="24"/>
              </w:rPr>
              <w:t>-</w:t>
            </w:r>
          </w:p>
        </w:tc>
        <w:tc>
          <w:tcPr>
            <w:tcW w:w="1843" w:type="dxa"/>
            <w:vAlign w:val="center"/>
          </w:tcPr>
          <w:p w:rsidR="00E72A13" w:rsidRPr="00C1648E" w:rsidRDefault="00E72A13" w:rsidP="00E72A13">
            <w:pPr>
              <w:spacing w:before="29" w:line="360" w:lineRule="auto"/>
              <w:ind w:left="17"/>
              <w:jc w:val="right"/>
              <w:rPr>
                <w:color w:val="000000"/>
                <w:sz w:val="24"/>
              </w:rPr>
            </w:pPr>
            <w:r w:rsidRPr="00C1648E">
              <w:rPr>
                <w:color w:val="000000"/>
                <w:sz w:val="24"/>
              </w:rPr>
              <w:t>-</w:t>
            </w:r>
          </w:p>
        </w:tc>
      </w:tr>
      <w:tr w:rsidR="00E72A13" w:rsidRPr="00264E55" w:rsidTr="006B315F">
        <w:trPr>
          <w:jc w:val="center"/>
        </w:trPr>
        <w:tc>
          <w:tcPr>
            <w:tcW w:w="720" w:type="dxa"/>
            <w:vAlign w:val="center"/>
          </w:tcPr>
          <w:p w:rsidR="00E72A13" w:rsidRPr="00C1648E" w:rsidRDefault="00E72A13" w:rsidP="00E72A13">
            <w:pPr>
              <w:spacing w:before="29" w:line="360" w:lineRule="auto"/>
              <w:ind w:left="17"/>
              <w:jc w:val="center"/>
              <w:rPr>
                <w:color w:val="000000"/>
                <w:sz w:val="24"/>
              </w:rPr>
            </w:pPr>
          </w:p>
        </w:tc>
        <w:tc>
          <w:tcPr>
            <w:tcW w:w="3357" w:type="dxa"/>
            <w:vAlign w:val="center"/>
          </w:tcPr>
          <w:p w:rsidR="00E72A13" w:rsidRPr="00C1648E" w:rsidRDefault="00E72A13" w:rsidP="00E72A13">
            <w:pPr>
              <w:autoSpaceDE w:val="0"/>
              <w:autoSpaceDN w:val="0"/>
              <w:adjustRightInd w:val="0"/>
              <w:spacing w:before="29" w:line="360" w:lineRule="auto"/>
              <w:ind w:left="17"/>
              <w:jc w:val="left"/>
              <w:rPr>
                <w:color w:val="000000"/>
                <w:sz w:val="24"/>
              </w:rPr>
            </w:pPr>
            <w:r w:rsidRPr="00C1648E">
              <w:rPr>
                <w:color w:val="000000"/>
                <w:sz w:val="24"/>
              </w:rPr>
              <w:t>资产支持证券</w:t>
            </w:r>
          </w:p>
        </w:tc>
        <w:tc>
          <w:tcPr>
            <w:tcW w:w="2977" w:type="dxa"/>
            <w:vAlign w:val="center"/>
          </w:tcPr>
          <w:p w:rsidR="00E72A13" w:rsidRPr="00C1648E" w:rsidRDefault="00E72A13" w:rsidP="00E72A13">
            <w:pPr>
              <w:spacing w:before="29" w:line="360" w:lineRule="auto"/>
              <w:ind w:left="17"/>
              <w:jc w:val="right"/>
              <w:rPr>
                <w:color w:val="000000"/>
                <w:sz w:val="24"/>
              </w:rPr>
            </w:pPr>
            <w:r w:rsidRPr="00C1648E">
              <w:rPr>
                <w:color w:val="000000"/>
                <w:sz w:val="24"/>
              </w:rPr>
              <w:t>-</w:t>
            </w:r>
          </w:p>
        </w:tc>
        <w:tc>
          <w:tcPr>
            <w:tcW w:w="1843" w:type="dxa"/>
            <w:vAlign w:val="center"/>
          </w:tcPr>
          <w:p w:rsidR="00E72A13" w:rsidRPr="00C1648E" w:rsidRDefault="00E72A13" w:rsidP="00E72A13">
            <w:pPr>
              <w:spacing w:before="29" w:line="360" w:lineRule="auto"/>
              <w:ind w:left="17"/>
              <w:jc w:val="right"/>
              <w:rPr>
                <w:color w:val="000000"/>
                <w:sz w:val="24"/>
              </w:rPr>
            </w:pPr>
            <w:r w:rsidRPr="00C1648E">
              <w:rPr>
                <w:color w:val="000000"/>
                <w:sz w:val="24"/>
              </w:rPr>
              <w:t>-</w:t>
            </w:r>
          </w:p>
        </w:tc>
      </w:tr>
      <w:tr w:rsidR="00E72A13" w:rsidRPr="00264E55" w:rsidTr="006B315F">
        <w:trPr>
          <w:jc w:val="center"/>
        </w:trPr>
        <w:tc>
          <w:tcPr>
            <w:tcW w:w="720" w:type="dxa"/>
          </w:tcPr>
          <w:p w:rsidR="00E72A13" w:rsidRPr="00C1648E" w:rsidRDefault="00E72A13" w:rsidP="00E72A13">
            <w:pPr>
              <w:spacing w:before="29" w:line="360" w:lineRule="auto"/>
              <w:ind w:left="17"/>
              <w:jc w:val="center"/>
              <w:rPr>
                <w:color w:val="000000"/>
                <w:sz w:val="24"/>
              </w:rPr>
            </w:pPr>
            <w:r>
              <w:rPr>
                <w:color w:val="000000"/>
                <w:sz w:val="24"/>
              </w:rPr>
              <w:t>4</w:t>
            </w:r>
          </w:p>
        </w:tc>
        <w:tc>
          <w:tcPr>
            <w:tcW w:w="3357" w:type="dxa"/>
          </w:tcPr>
          <w:p w:rsidR="00E72A13" w:rsidRPr="00C1648E" w:rsidRDefault="00E72A13" w:rsidP="00E72A13">
            <w:pPr>
              <w:spacing w:before="29" w:line="360" w:lineRule="auto"/>
              <w:ind w:leftChars="50" w:left="105"/>
              <w:rPr>
                <w:color w:val="000000"/>
                <w:sz w:val="24"/>
              </w:rPr>
            </w:pPr>
            <w:r w:rsidRPr="00C1648E">
              <w:rPr>
                <w:color w:val="000000"/>
                <w:sz w:val="24"/>
              </w:rPr>
              <w:t>贵金属投资</w:t>
            </w:r>
          </w:p>
        </w:tc>
        <w:tc>
          <w:tcPr>
            <w:tcW w:w="2977" w:type="dxa"/>
            <w:vAlign w:val="center"/>
          </w:tcPr>
          <w:p w:rsidR="00E72A13" w:rsidRPr="00C1648E" w:rsidRDefault="00E72A13" w:rsidP="00E72A13">
            <w:pPr>
              <w:spacing w:before="29" w:line="360" w:lineRule="auto"/>
              <w:ind w:left="17"/>
              <w:jc w:val="right"/>
              <w:rPr>
                <w:color w:val="000000"/>
                <w:sz w:val="24"/>
              </w:rPr>
            </w:pPr>
            <w:r w:rsidRPr="00C1648E">
              <w:rPr>
                <w:color w:val="000000"/>
                <w:sz w:val="24"/>
              </w:rPr>
              <w:t>-</w:t>
            </w:r>
          </w:p>
        </w:tc>
        <w:tc>
          <w:tcPr>
            <w:tcW w:w="1843" w:type="dxa"/>
            <w:vAlign w:val="center"/>
          </w:tcPr>
          <w:p w:rsidR="00E72A13" w:rsidRPr="00C1648E" w:rsidRDefault="00E72A13" w:rsidP="00E72A13">
            <w:pPr>
              <w:spacing w:before="29" w:line="360" w:lineRule="auto"/>
              <w:ind w:left="17"/>
              <w:jc w:val="right"/>
              <w:rPr>
                <w:color w:val="000000"/>
                <w:sz w:val="24"/>
              </w:rPr>
            </w:pPr>
            <w:r w:rsidRPr="00C1648E">
              <w:rPr>
                <w:color w:val="000000"/>
                <w:sz w:val="24"/>
              </w:rPr>
              <w:t>-</w:t>
            </w:r>
          </w:p>
        </w:tc>
      </w:tr>
      <w:tr w:rsidR="00E72A13" w:rsidRPr="00264E55" w:rsidTr="006B315F">
        <w:trPr>
          <w:jc w:val="center"/>
        </w:trPr>
        <w:tc>
          <w:tcPr>
            <w:tcW w:w="720" w:type="dxa"/>
            <w:vAlign w:val="center"/>
          </w:tcPr>
          <w:p w:rsidR="00E72A13" w:rsidRPr="00C1648E" w:rsidRDefault="00E72A13" w:rsidP="00E72A13">
            <w:pPr>
              <w:spacing w:before="29" w:line="360" w:lineRule="auto"/>
              <w:ind w:left="17"/>
              <w:jc w:val="center"/>
              <w:rPr>
                <w:color w:val="000000"/>
                <w:sz w:val="24"/>
              </w:rPr>
            </w:pPr>
            <w:r>
              <w:rPr>
                <w:color w:val="000000"/>
                <w:sz w:val="24"/>
              </w:rPr>
              <w:t>5</w:t>
            </w:r>
          </w:p>
        </w:tc>
        <w:tc>
          <w:tcPr>
            <w:tcW w:w="3357" w:type="dxa"/>
            <w:vAlign w:val="center"/>
          </w:tcPr>
          <w:p w:rsidR="00E72A13" w:rsidRPr="00C1648E" w:rsidRDefault="00E72A13" w:rsidP="00E72A13">
            <w:pPr>
              <w:spacing w:before="29" w:line="360" w:lineRule="auto"/>
              <w:ind w:left="17"/>
              <w:jc w:val="left"/>
              <w:rPr>
                <w:color w:val="000000"/>
                <w:sz w:val="24"/>
              </w:rPr>
            </w:pPr>
            <w:r w:rsidRPr="00C1648E">
              <w:rPr>
                <w:color w:val="000000"/>
                <w:sz w:val="24"/>
              </w:rPr>
              <w:t>金融衍生品投资</w:t>
            </w:r>
          </w:p>
        </w:tc>
        <w:tc>
          <w:tcPr>
            <w:tcW w:w="2977" w:type="dxa"/>
            <w:vAlign w:val="center"/>
          </w:tcPr>
          <w:p w:rsidR="00E72A13" w:rsidRPr="00C1648E" w:rsidRDefault="00E72A13" w:rsidP="00E72A13">
            <w:pPr>
              <w:spacing w:before="29" w:line="360" w:lineRule="auto"/>
              <w:ind w:left="17"/>
              <w:jc w:val="right"/>
              <w:rPr>
                <w:color w:val="000000"/>
                <w:sz w:val="24"/>
              </w:rPr>
            </w:pPr>
            <w:r w:rsidRPr="00C1648E">
              <w:rPr>
                <w:color w:val="000000"/>
                <w:sz w:val="24"/>
              </w:rPr>
              <w:t>-</w:t>
            </w:r>
          </w:p>
        </w:tc>
        <w:tc>
          <w:tcPr>
            <w:tcW w:w="1843" w:type="dxa"/>
            <w:vAlign w:val="center"/>
          </w:tcPr>
          <w:p w:rsidR="00E72A13" w:rsidRPr="00C1648E" w:rsidRDefault="00E72A13" w:rsidP="00E72A13">
            <w:pPr>
              <w:spacing w:before="29" w:line="360" w:lineRule="auto"/>
              <w:ind w:left="17"/>
              <w:jc w:val="right"/>
              <w:rPr>
                <w:color w:val="000000"/>
                <w:sz w:val="24"/>
              </w:rPr>
            </w:pPr>
            <w:r w:rsidRPr="00C1648E">
              <w:rPr>
                <w:color w:val="000000"/>
                <w:sz w:val="24"/>
              </w:rPr>
              <w:t>-</w:t>
            </w:r>
          </w:p>
        </w:tc>
      </w:tr>
      <w:tr w:rsidR="00E72A13" w:rsidRPr="00264E55" w:rsidTr="006B315F">
        <w:trPr>
          <w:jc w:val="center"/>
        </w:trPr>
        <w:tc>
          <w:tcPr>
            <w:tcW w:w="720" w:type="dxa"/>
            <w:vAlign w:val="center"/>
          </w:tcPr>
          <w:p w:rsidR="00E72A13" w:rsidRPr="00C1648E" w:rsidRDefault="00E72A13" w:rsidP="00E72A13">
            <w:pPr>
              <w:spacing w:before="29" w:line="360" w:lineRule="auto"/>
              <w:ind w:left="17"/>
              <w:jc w:val="center"/>
              <w:rPr>
                <w:color w:val="000000"/>
                <w:sz w:val="24"/>
              </w:rPr>
            </w:pPr>
            <w:r>
              <w:rPr>
                <w:color w:val="000000"/>
                <w:sz w:val="24"/>
              </w:rPr>
              <w:t>6</w:t>
            </w:r>
          </w:p>
        </w:tc>
        <w:tc>
          <w:tcPr>
            <w:tcW w:w="3357" w:type="dxa"/>
            <w:vAlign w:val="center"/>
          </w:tcPr>
          <w:p w:rsidR="00E72A13" w:rsidRPr="00C1648E" w:rsidRDefault="00E72A13" w:rsidP="00E72A13">
            <w:pPr>
              <w:spacing w:before="29" w:line="360" w:lineRule="auto"/>
              <w:ind w:left="17"/>
              <w:jc w:val="left"/>
              <w:rPr>
                <w:sz w:val="24"/>
              </w:rPr>
            </w:pPr>
            <w:r w:rsidRPr="00C1648E">
              <w:rPr>
                <w:color w:val="000000"/>
                <w:sz w:val="24"/>
              </w:rPr>
              <w:t>买入返售金融资产</w:t>
            </w:r>
          </w:p>
        </w:tc>
        <w:tc>
          <w:tcPr>
            <w:tcW w:w="2977" w:type="dxa"/>
            <w:vAlign w:val="center"/>
          </w:tcPr>
          <w:p w:rsidR="00E72A13" w:rsidRPr="00C1648E" w:rsidRDefault="00E72A13" w:rsidP="00E72A13">
            <w:pPr>
              <w:spacing w:before="29" w:line="360" w:lineRule="auto"/>
              <w:ind w:left="17"/>
              <w:jc w:val="right"/>
              <w:rPr>
                <w:color w:val="000000"/>
                <w:sz w:val="24"/>
              </w:rPr>
            </w:pPr>
            <w:r w:rsidRPr="00C1648E">
              <w:rPr>
                <w:color w:val="000000"/>
                <w:sz w:val="24"/>
              </w:rPr>
              <w:t>-</w:t>
            </w:r>
          </w:p>
        </w:tc>
        <w:tc>
          <w:tcPr>
            <w:tcW w:w="1843" w:type="dxa"/>
            <w:vAlign w:val="center"/>
          </w:tcPr>
          <w:p w:rsidR="00E72A13" w:rsidRPr="00C1648E" w:rsidRDefault="00E72A13" w:rsidP="00E72A13">
            <w:pPr>
              <w:spacing w:before="29" w:line="360" w:lineRule="auto"/>
              <w:ind w:left="17"/>
              <w:jc w:val="right"/>
              <w:rPr>
                <w:color w:val="000000"/>
                <w:sz w:val="24"/>
              </w:rPr>
            </w:pPr>
            <w:r w:rsidRPr="00C1648E">
              <w:rPr>
                <w:color w:val="000000"/>
                <w:sz w:val="24"/>
              </w:rPr>
              <w:t>-</w:t>
            </w:r>
          </w:p>
        </w:tc>
      </w:tr>
      <w:tr w:rsidR="00E72A13" w:rsidRPr="00264E55" w:rsidTr="006B315F">
        <w:trPr>
          <w:jc w:val="center"/>
        </w:trPr>
        <w:tc>
          <w:tcPr>
            <w:tcW w:w="720" w:type="dxa"/>
            <w:vAlign w:val="center"/>
          </w:tcPr>
          <w:p w:rsidR="00E72A13" w:rsidRPr="00C1648E" w:rsidRDefault="00E72A13" w:rsidP="00E72A13">
            <w:pPr>
              <w:spacing w:before="29" w:line="360" w:lineRule="auto"/>
              <w:ind w:left="17"/>
              <w:jc w:val="center"/>
              <w:rPr>
                <w:color w:val="000000"/>
                <w:sz w:val="24"/>
              </w:rPr>
            </w:pPr>
          </w:p>
        </w:tc>
        <w:tc>
          <w:tcPr>
            <w:tcW w:w="3357" w:type="dxa"/>
            <w:vAlign w:val="center"/>
          </w:tcPr>
          <w:p w:rsidR="00E72A13" w:rsidRPr="00C1648E" w:rsidRDefault="00E72A13" w:rsidP="00E72A13">
            <w:pPr>
              <w:spacing w:before="29" w:line="360" w:lineRule="auto"/>
              <w:ind w:left="17"/>
              <w:jc w:val="left"/>
              <w:rPr>
                <w:sz w:val="24"/>
              </w:rPr>
            </w:pPr>
            <w:r w:rsidRPr="00C1648E">
              <w:rPr>
                <w:color w:val="000000"/>
                <w:sz w:val="24"/>
              </w:rPr>
              <w:t>其中：买断式回购的买入返售金融资产</w:t>
            </w:r>
          </w:p>
        </w:tc>
        <w:tc>
          <w:tcPr>
            <w:tcW w:w="2977" w:type="dxa"/>
            <w:vAlign w:val="center"/>
          </w:tcPr>
          <w:p w:rsidR="00E72A13" w:rsidRPr="00C1648E" w:rsidRDefault="00E72A13" w:rsidP="00E72A13">
            <w:pPr>
              <w:spacing w:before="29" w:line="360" w:lineRule="auto"/>
              <w:ind w:left="17"/>
              <w:jc w:val="right"/>
              <w:rPr>
                <w:color w:val="000000"/>
                <w:sz w:val="24"/>
              </w:rPr>
            </w:pPr>
            <w:r w:rsidRPr="00C1648E">
              <w:rPr>
                <w:color w:val="000000"/>
                <w:sz w:val="24"/>
              </w:rPr>
              <w:t>-</w:t>
            </w:r>
          </w:p>
        </w:tc>
        <w:tc>
          <w:tcPr>
            <w:tcW w:w="1843" w:type="dxa"/>
            <w:vAlign w:val="center"/>
          </w:tcPr>
          <w:p w:rsidR="00E72A13" w:rsidRPr="00C1648E" w:rsidRDefault="00E72A13" w:rsidP="00E72A13">
            <w:pPr>
              <w:spacing w:before="29" w:line="360" w:lineRule="auto"/>
              <w:ind w:left="17"/>
              <w:jc w:val="right"/>
              <w:rPr>
                <w:color w:val="000000"/>
                <w:sz w:val="24"/>
              </w:rPr>
            </w:pPr>
            <w:r w:rsidRPr="00C1648E">
              <w:rPr>
                <w:color w:val="000000"/>
                <w:sz w:val="24"/>
              </w:rPr>
              <w:t>-</w:t>
            </w:r>
          </w:p>
        </w:tc>
      </w:tr>
      <w:tr w:rsidR="00E72A13" w:rsidRPr="00264E55" w:rsidTr="006B315F">
        <w:trPr>
          <w:jc w:val="center"/>
        </w:trPr>
        <w:tc>
          <w:tcPr>
            <w:tcW w:w="720" w:type="dxa"/>
            <w:vAlign w:val="center"/>
          </w:tcPr>
          <w:p w:rsidR="00E72A13" w:rsidRPr="00C1648E" w:rsidRDefault="00E72A13" w:rsidP="00E72A13">
            <w:pPr>
              <w:spacing w:before="29" w:line="360" w:lineRule="auto"/>
              <w:ind w:left="17"/>
              <w:jc w:val="center"/>
              <w:rPr>
                <w:color w:val="000000"/>
                <w:sz w:val="24"/>
              </w:rPr>
            </w:pPr>
            <w:r>
              <w:rPr>
                <w:color w:val="000000"/>
                <w:sz w:val="24"/>
              </w:rPr>
              <w:t>7</w:t>
            </w:r>
          </w:p>
        </w:tc>
        <w:tc>
          <w:tcPr>
            <w:tcW w:w="3357" w:type="dxa"/>
            <w:vAlign w:val="center"/>
          </w:tcPr>
          <w:p w:rsidR="00E72A13" w:rsidRPr="00C1648E" w:rsidRDefault="00E72A13" w:rsidP="00E72A13">
            <w:pPr>
              <w:spacing w:before="29" w:line="360" w:lineRule="auto"/>
              <w:ind w:left="17"/>
              <w:jc w:val="left"/>
              <w:rPr>
                <w:sz w:val="24"/>
              </w:rPr>
            </w:pPr>
            <w:r w:rsidRPr="00C1648E">
              <w:rPr>
                <w:color w:val="000000"/>
                <w:sz w:val="24"/>
              </w:rPr>
              <w:t>银行存款和结算备付金合计</w:t>
            </w:r>
          </w:p>
        </w:tc>
        <w:tc>
          <w:tcPr>
            <w:tcW w:w="2977" w:type="dxa"/>
            <w:vAlign w:val="center"/>
          </w:tcPr>
          <w:p w:rsidR="00E72A13" w:rsidRPr="00C1648E" w:rsidRDefault="00E72A13" w:rsidP="00E72A13">
            <w:pPr>
              <w:spacing w:before="29" w:line="360" w:lineRule="auto"/>
              <w:ind w:left="17"/>
              <w:jc w:val="right"/>
              <w:rPr>
                <w:color w:val="000000"/>
                <w:sz w:val="24"/>
              </w:rPr>
            </w:pPr>
            <w:r w:rsidRPr="00C1648E">
              <w:rPr>
                <w:color w:val="000000"/>
                <w:sz w:val="24"/>
              </w:rPr>
              <w:t>77,528,267.42</w:t>
            </w:r>
          </w:p>
        </w:tc>
        <w:tc>
          <w:tcPr>
            <w:tcW w:w="1843" w:type="dxa"/>
            <w:vAlign w:val="center"/>
          </w:tcPr>
          <w:p w:rsidR="00E72A13" w:rsidRPr="00C1648E" w:rsidRDefault="00E72A13" w:rsidP="00E72A13">
            <w:pPr>
              <w:spacing w:before="29" w:line="360" w:lineRule="auto"/>
              <w:ind w:left="17"/>
              <w:jc w:val="right"/>
              <w:rPr>
                <w:color w:val="000000"/>
                <w:sz w:val="24"/>
              </w:rPr>
            </w:pPr>
            <w:r w:rsidRPr="00C1648E">
              <w:rPr>
                <w:color w:val="000000"/>
                <w:sz w:val="24"/>
              </w:rPr>
              <w:t>6.68</w:t>
            </w:r>
          </w:p>
        </w:tc>
      </w:tr>
      <w:tr w:rsidR="00E72A13" w:rsidRPr="00264E55" w:rsidTr="006B315F">
        <w:trPr>
          <w:jc w:val="center"/>
        </w:trPr>
        <w:tc>
          <w:tcPr>
            <w:tcW w:w="720" w:type="dxa"/>
            <w:vAlign w:val="center"/>
          </w:tcPr>
          <w:p w:rsidR="00E72A13" w:rsidRPr="00C1648E" w:rsidRDefault="00E72A13" w:rsidP="00E72A13">
            <w:pPr>
              <w:spacing w:before="29" w:line="360" w:lineRule="auto"/>
              <w:ind w:left="17"/>
              <w:jc w:val="center"/>
              <w:rPr>
                <w:color w:val="000000"/>
                <w:sz w:val="24"/>
              </w:rPr>
            </w:pPr>
            <w:r w:rsidRPr="00C1648E">
              <w:rPr>
                <w:color w:val="000000"/>
                <w:sz w:val="24"/>
              </w:rPr>
              <w:t>8</w:t>
            </w:r>
          </w:p>
        </w:tc>
        <w:tc>
          <w:tcPr>
            <w:tcW w:w="3357" w:type="dxa"/>
            <w:vAlign w:val="center"/>
          </w:tcPr>
          <w:p w:rsidR="00E72A13" w:rsidRPr="00C1648E" w:rsidRDefault="00E72A13" w:rsidP="00E72A13">
            <w:pPr>
              <w:jc w:val="left"/>
              <w:rPr>
                <w:sz w:val="24"/>
              </w:rPr>
            </w:pPr>
            <w:r w:rsidRPr="00C1648E">
              <w:rPr>
                <w:color w:val="000000"/>
                <w:sz w:val="24"/>
              </w:rPr>
              <w:t>其他资产</w:t>
            </w:r>
          </w:p>
        </w:tc>
        <w:tc>
          <w:tcPr>
            <w:tcW w:w="2977" w:type="dxa"/>
            <w:vAlign w:val="center"/>
          </w:tcPr>
          <w:p w:rsidR="00E72A13" w:rsidRPr="00C1648E" w:rsidRDefault="00E72A13" w:rsidP="00E72A13">
            <w:pPr>
              <w:jc w:val="right"/>
              <w:rPr>
                <w:color w:val="000000"/>
                <w:sz w:val="24"/>
              </w:rPr>
            </w:pPr>
            <w:r w:rsidRPr="00C1648E">
              <w:rPr>
                <w:color w:val="000000"/>
                <w:sz w:val="24"/>
              </w:rPr>
              <w:t>4,389,873.83</w:t>
            </w:r>
          </w:p>
        </w:tc>
        <w:tc>
          <w:tcPr>
            <w:tcW w:w="1843" w:type="dxa"/>
            <w:vAlign w:val="center"/>
          </w:tcPr>
          <w:p w:rsidR="00E72A13" w:rsidRPr="00C1648E" w:rsidRDefault="00E72A13" w:rsidP="00E72A13">
            <w:pPr>
              <w:jc w:val="right"/>
              <w:rPr>
                <w:color w:val="000000"/>
                <w:sz w:val="24"/>
              </w:rPr>
            </w:pPr>
            <w:r w:rsidRPr="00C1648E">
              <w:rPr>
                <w:color w:val="000000"/>
                <w:sz w:val="24"/>
              </w:rPr>
              <w:t>0.38</w:t>
            </w:r>
          </w:p>
        </w:tc>
      </w:tr>
      <w:tr w:rsidR="00E72A13" w:rsidRPr="00264E55" w:rsidTr="006B315F">
        <w:trPr>
          <w:jc w:val="center"/>
        </w:trPr>
        <w:tc>
          <w:tcPr>
            <w:tcW w:w="720" w:type="dxa"/>
            <w:vAlign w:val="center"/>
          </w:tcPr>
          <w:p w:rsidR="00E72A13" w:rsidRPr="00C1648E" w:rsidRDefault="00E72A13" w:rsidP="00E72A13">
            <w:pPr>
              <w:spacing w:before="29" w:line="360" w:lineRule="auto"/>
              <w:ind w:left="17"/>
              <w:jc w:val="center"/>
              <w:rPr>
                <w:color w:val="000000"/>
                <w:sz w:val="24"/>
              </w:rPr>
            </w:pPr>
            <w:r w:rsidRPr="00C1648E">
              <w:rPr>
                <w:color w:val="000000"/>
                <w:sz w:val="24"/>
              </w:rPr>
              <w:t>9</w:t>
            </w:r>
          </w:p>
        </w:tc>
        <w:tc>
          <w:tcPr>
            <w:tcW w:w="3357" w:type="dxa"/>
            <w:vAlign w:val="center"/>
          </w:tcPr>
          <w:p w:rsidR="00E72A13" w:rsidRPr="00C1648E" w:rsidRDefault="00E72A13" w:rsidP="00E72A13">
            <w:pPr>
              <w:jc w:val="left"/>
              <w:rPr>
                <w:sz w:val="24"/>
              </w:rPr>
            </w:pPr>
            <w:r w:rsidRPr="00C1648E">
              <w:rPr>
                <w:color w:val="000000"/>
                <w:sz w:val="24"/>
              </w:rPr>
              <w:t>合计</w:t>
            </w:r>
          </w:p>
        </w:tc>
        <w:tc>
          <w:tcPr>
            <w:tcW w:w="2977" w:type="dxa"/>
            <w:vAlign w:val="center"/>
          </w:tcPr>
          <w:p w:rsidR="00E72A13" w:rsidRPr="00C1648E" w:rsidRDefault="00E72A13" w:rsidP="00E72A13">
            <w:pPr>
              <w:jc w:val="right"/>
              <w:rPr>
                <w:color w:val="000000"/>
                <w:sz w:val="24"/>
              </w:rPr>
            </w:pPr>
            <w:r w:rsidRPr="00C1648E">
              <w:rPr>
                <w:color w:val="000000"/>
                <w:sz w:val="24"/>
              </w:rPr>
              <w:t>1,159,887,115.71</w:t>
            </w:r>
          </w:p>
        </w:tc>
        <w:tc>
          <w:tcPr>
            <w:tcW w:w="1843" w:type="dxa"/>
            <w:vAlign w:val="center"/>
          </w:tcPr>
          <w:p w:rsidR="00E72A13" w:rsidRPr="00C1648E" w:rsidRDefault="00E72A13" w:rsidP="00E72A13">
            <w:pPr>
              <w:jc w:val="right"/>
              <w:rPr>
                <w:color w:val="000000"/>
                <w:sz w:val="24"/>
              </w:rPr>
            </w:pPr>
            <w:r w:rsidRPr="00C1648E">
              <w:rPr>
                <w:color w:val="000000"/>
                <w:sz w:val="24"/>
              </w:rPr>
              <w:t>100.00</w:t>
            </w:r>
          </w:p>
        </w:tc>
      </w:tr>
    </w:tbl>
    <w:p w:rsidR="008624F9" w:rsidRDefault="008624F9" w:rsidP="008624F9">
      <w:pPr>
        <w:autoSpaceDE w:val="0"/>
        <w:autoSpaceDN w:val="0"/>
        <w:adjustRightInd w:val="0"/>
        <w:spacing w:line="360" w:lineRule="auto"/>
        <w:jc w:val="left"/>
        <w:rPr>
          <w:rFonts w:eastAsiaTheme="minorEastAsia"/>
          <w:b/>
          <w:color w:val="000000" w:themeColor="text1"/>
          <w:kern w:val="0"/>
          <w:sz w:val="24"/>
        </w:rPr>
      </w:pPr>
      <w:r w:rsidRPr="00105C87">
        <w:rPr>
          <w:rFonts w:eastAsiaTheme="minorEastAsia"/>
          <w:b/>
          <w:color w:val="000000" w:themeColor="text1"/>
          <w:kern w:val="0"/>
          <w:sz w:val="24"/>
        </w:rPr>
        <w:t xml:space="preserve">5.2 </w:t>
      </w:r>
      <w:r w:rsidRPr="00105C87">
        <w:rPr>
          <w:rFonts w:eastAsiaTheme="minorEastAsia"/>
          <w:b/>
          <w:color w:val="000000" w:themeColor="text1"/>
          <w:kern w:val="0"/>
          <w:sz w:val="24"/>
        </w:rPr>
        <w:t>报告期末按行业分类的股票投资组合</w:t>
      </w:r>
    </w:p>
    <w:p w:rsidR="008624F9" w:rsidRPr="00105C87" w:rsidRDefault="008624F9" w:rsidP="008624F9">
      <w:pPr>
        <w:autoSpaceDE w:val="0"/>
        <w:autoSpaceDN w:val="0"/>
        <w:adjustRightInd w:val="0"/>
        <w:spacing w:line="360" w:lineRule="auto"/>
        <w:jc w:val="left"/>
        <w:rPr>
          <w:rFonts w:eastAsiaTheme="minorEastAsia"/>
          <w:b/>
          <w:color w:val="000000" w:themeColor="text1"/>
          <w:kern w:val="0"/>
          <w:sz w:val="24"/>
        </w:rPr>
      </w:pPr>
      <w:r w:rsidRPr="00105C87">
        <w:rPr>
          <w:rFonts w:eastAsiaTheme="minorEastAsia"/>
          <w:b/>
          <w:color w:val="000000" w:themeColor="text1"/>
          <w:kern w:val="0"/>
          <w:sz w:val="24"/>
        </w:rPr>
        <w:t>5.2.1</w:t>
      </w:r>
      <w:r w:rsidRPr="00105C87">
        <w:rPr>
          <w:rFonts w:eastAsiaTheme="minorEastAsia"/>
          <w:b/>
          <w:color w:val="000000" w:themeColor="text1"/>
          <w:kern w:val="0"/>
          <w:sz w:val="24"/>
        </w:rPr>
        <w:t>积极投资按行业分类的股票投资组合</w:t>
      </w:r>
    </w:p>
    <w:tbl>
      <w:tblPr>
        <w:tblW w:w="8731"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40"/>
        <w:gridCol w:w="3691"/>
        <w:gridCol w:w="2852"/>
        <w:gridCol w:w="1648"/>
      </w:tblGrid>
      <w:tr w:rsidR="008624F9" w:rsidRPr="00105C87" w:rsidTr="002C4578">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8624F9" w:rsidRPr="00105C87" w:rsidRDefault="008624F9" w:rsidP="002C4578">
            <w:pPr>
              <w:adjustRightInd w:val="0"/>
              <w:snapToGrid w:val="0"/>
              <w:spacing w:line="400" w:lineRule="exact"/>
              <w:jc w:val="center"/>
              <w:rPr>
                <w:rFonts w:eastAsiaTheme="minorEastAsia"/>
                <w:color w:val="000000" w:themeColor="text1"/>
                <w:sz w:val="24"/>
              </w:rPr>
            </w:pPr>
            <w:r w:rsidRPr="00105C87">
              <w:rPr>
                <w:rFonts w:eastAsiaTheme="minorEastAsia"/>
                <w:color w:val="000000" w:themeColor="text1"/>
                <w:sz w:val="24"/>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jc w:val="center"/>
              <w:rPr>
                <w:rFonts w:eastAsiaTheme="minorEastAsia"/>
                <w:color w:val="000000" w:themeColor="text1"/>
                <w:sz w:val="24"/>
              </w:rPr>
            </w:pPr>
            <w:r w:rsidRPr="00105C87">
              <w:rPr>
                <w:rFonts w:eastAsiaTheme="minorEastAsia"/>
                <w:color w:val="000000" w:themeColor="text1"/>
                <w:sz w:val="24"/>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8624F9" w:rsidRPr="00105C87" w:rsidRDefault="008624F9" w:rsidP="002C4578">
            <w:pPr>
              <w:adjustRightInd w:val="0"/>
              <w:snapToGrid w:val="0"/>
              <w:spacing w:line="400" w:lineRule="exact"/>
              <w:jc w:val="center"/>
              <w:rPr>
                <w:rFonts w:eastAsiaTheme="minorEastAsia"/>
                <w:color w:val="000000" w:themeColor="text1"/>
                <w:sz w:val="24"/>
              </w:rPr>
            </w:pPr>
            <w:r w:rsidRPr="00105C87">
              <w:rPr>
                <w:rFonts w:eastAsiaTheme="minorEastAsia"/>
                <w:color w:val="000000" w:themeColor="text1"/>
                <w:sz w:val="24"/>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jc w:val="center"/>
              <w:rPr>
                <w:rFonts w:eastAsiaTheme="minorEastAsia"/>
                <w:color w:val="000000" w:themeColor="text1"/>
                <w:sz w:val="24"/>
              </w:rPr>
            </w:pPr>
            <w:r w:rsidRPr="00105C87">
              <w:rPr>
                <w:rFonts w:eastAsiaTheme="minorEastAsia"/>
                <w:color w:val="000000" w:themeColor="text1"/>
                <w:sz w:val="24"/>
              </w:rPr>
              <w:t>占基金资产净值比例（％）</w:t>
            </w:r>
          </w:p>
        </w:tc>
      </w:tr>
      <w:tr w:rsidR="008624F9" w:rsidRPr="00105C87" w:rsidTr="002C457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jc w:val="center"/>
              <w:rPr>
                <w:rFonts w:eastAsiaTheme="minorEastAsia"/>
                <w:color w:val="000000" w:themeColor="text1"/>
                <w:sz w:val="24"/>
              </w:rPr>
            </w:pPr>
            <w:r w:rsidRPr="00105C87">
              <w:rPr>
                <w:rFonts w:eastAsiaTheme="minorEastAsia"/>
                <w:color w:val="000000" w:themeColor="text1"/>
                <w:sz w:val="24"/>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624F9" w:rsidRPr="00105C87" w:rsidRDefault="008624F9" w:rsidP="002517C2">
            <w:pPr>
              <w:adjustRightInd w:val="0"/>
              <w:snapToGrid w:val="0"/>
              <w:spacing w:line="400" w:lineRule="exact"/>
              <w:jc w:val="left"/>
              <w:rPr>
                <w:rFonts w:eastAsiaTheme="minorEastAsia"/>
                <w:color w:val="000000" w:themeColor="text1"/>
                <w:sz w:val="24"/>
              </w:rPr>
            </w:pPr>
            <w:r w:rsidRPr="00105C87">
              <w:rPr>
                <w:rFonts w:eastAsiaTheme="minorEastAsia"/>
                <w:color w:val="000000" w:themeColor="text1"/>
                <w:sz w:val="24"/>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8624F9" w:rsidRPr="00105C87" w:rsidRDefault="008624F9" w:rsidP="002C4578">
            <w:pPr>
              <w:autoSpaceDE w:val="0"/>
              <w:autoSpaceDN w:val="0"/>
              <w:adjustRightInd w:val="0"/>
              <w:spacing w:before="29" w:line="360" w:lineRule="auto"/>
              <w:ind w:left="15"/>
              <w:jc w:val="right"/>
              <w:rPr>
                <w:rFonts w:eastAsiaTheme="minorEastAsia"/>
                <w:color w:val="000000" w:themeColor="text1"/>
                <w:sz w:val="24"/>
              </w:rPr>
            </w:pPr>
            <w:r w:rsidRPr="00105C87">
              <w:rPr>
                <w:rFonts w:eastAsiaTheme="minorEastAsia"/>
                <w:color w:val="000000" w:themeColor="text1"/>
                <w:sz w:val="24"/>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autoSpaceDE w:val="0"/>
              <w:autoSpaceDN w:val="0"/>
              <w:adjustRightInd w:val="0"/>
              <w:spacing w:before="29" w:line="360" w:lineRule="auto"/>
              <w:ind w:left="15"/>
              <w:jc w:val="right"/>
              <w:rPr>
                <w:rFonts w:eastAsiaTheme="minorEastAsia"/>
                <w:color w:val="000000" w:themeColor="text1"/>
                <w:sz w:val="24"/>
              </w:rPr>
            </w:pPr>
            <w:r w:rsidRPr="00105C87">
              <w:rPr>
                <w:rFonts w:eastAsiaTheme="minorEastAsia"/>
                <w:color w:val="000000" w:themeColor="text1"/>
                <w:sz w:val="24"/>
              </w:rPr>
              <w:t>-</w:t>
            </w:r>
          </w:p>
        </w:tc>
      </w:tr>
      <w:tr w:rsidR="008624F9" w:rsidRPr="00105C87" w:rsidTr="002C457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jc w:val="center"/>
              <w:rPr>
                <w:rFonts w:eastAsiaTheme="minorEastAsia"/>
                <w:color w:val="000000" w:themeColor="text1"/>
                <w:sz w:val="24"/>
              </w:rPr>
            </w:pPr>
            <w:r w:rsidRPr="00105C87">
              <w:rPr>
                <w:rFonts w:eastAsiaTheme="minorEastAsia"/>
                <w:color w:val="000000" w:themeColor="text1"/>
                <w:sz w:val="24"/>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624F9" w:rsidRPr="00105C87" w:rsidRDefault="008624F9" w:rsidP="002517C2">
            <w:pPr>
              <w:adjustRightInd w:val="0"/>
              <w:snapToGrid w:val="0"/>
              <w:spacing w:line="400" w:lineRule="exact"/>
              <w:jc w:val="left"/>
              <w:rPr>
                <w:rFonts w:eastAsiaTheme="minorEastAsia"/>
                <w:color w:val="000000" w:themeColor="text1"/>
                <w:sz w:val="24"/>
              </w:rPr>
            </w:pPr>
            <w:r w:rsidRPr="00105C87">
              <w:rPr>
                <w:rFonts w:eastAsiaTheme="minorEastAsia"/>
                <w:color w:val="000000" w:themeColor="text1"/>
                <w:sz w:val="24"/>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w:t>
            </w:r>
          </w:p>
        </w:tc>
      </w:tr>
      <w:tr w:rsidR="008624F9" w:rsidRPr="00105C87" w:rsidTr="002C457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jc w:val="center"/>
              <w:rPr>
                <w:rFonts w:eastAsiaTheme="minorEastAsia"/>
                <w:color w:val="000000" w:themeColor="text1"/>
                <w:sz w:val="24"/>
              </w:rPr>
            </w:pPr>
            <w:r w:rsidRPr="00105C87">
              <w:rPr>
                <w:rFonts w:eastAsiaTheme="minorEastAsia"/>
                <w:color w:val="000000" w:themeColor="text1"/>
                <w:sz w:val="24"/>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624F9" w:rsidRPr="00105C87" w:rsidRDefault="008624F9" w:rsidP="002517C2">
            <w:pPr>
              <w:adjustRightInd w:val="0"/>
              <w:snapToGrid w:val="0"/>
              <w:spacing w:line="400" w:lineRule="exact"/>
              <w:jc w:val="left"/>
              <w:rPr>
                <w:rFonts w:eastAsiaTheme="minorEastAsia"/>
                <w:color w:val="000000" w:themeColor="text1"/>
                <w:sz w:val="24"/>
              </w:rPr>
            </w:pPr>
            <w:r w:rsidRPr="00105C87">
              <w:rPr>
                <w:rFonts w:eastAsiaTheme="minorEastAsia"/>
                <w:color w:val="000000" w:themeColor="text1"/>
                <w:sz w:val="24"/>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3,450,480.40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0.30</w:t>
            </w:r>
          </w:p>
        </w:tc>
      </w:tr>
      <w:tr w:rsidR="008624F9" w:rsidRPr="00105C87" w:rsidTr="002C457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jc w:val="center"/>
              <w:rPr>
                <w:rFonts w:eastAsiaTheme="minorEastAsia"/>
                <w:color w:val="000000" w:themeColor="text1"/>
                <w:sz w:val="24"/>
              </w:rPr>
            </w:pPr>
            <w:r w:rsidRPr="00105C87">
              <w:rPr>
                <w:rFonts w:eastAsiaTheme="minorEastAsia"/>
                <w:color w:val="000000" w:themeColor="text1"/>
                <w:sz w:val="24"/>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624F9" w:rsidRPr="00105C87" w:rsidRDefault="008624F9" w:rsidP="002517C2">
            <w:pPr>
              <w:adjustRightInd w:val="0"/>
              <w:snapToGrid w:val="0"/>
              <w:spacing w:line="400" w:lineRule="exact"/>
              <w:jc w:val="left"/>
              <w:rPr>
                <w:rFonts w:eastAsiaTheme="minorEastAsia"/>
                <w:color w:val="000000" w:themeColor="text1"/>
                <w:sz w:val="24"/>
              </w:rPr>
            </w:pPr>
            <w:r w:rsidRPr="00105C87">
              <w:rPr>
                <w:rFonts w:eastAsiaTheme="minorEastAsia"/>
                <w:color w:val="000000" w:themeColor="text1"/>
                <w:sz w:val="24"/>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w:t>
            </w:r>
          </w:p>
        </w:tc>
      </w:tr>
      <w:tr w:rsidR="008624F9" w:rsidRPr="00105C87" w:rsidTr="002C457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jc w:val="center"/>
              <w:rPr>
                <w:rFonts w:eastAsiaTheme="minorEastAsia"/>
                <w:color w:val="000000" w:themeColor="text1"/>
                <w:sz w:val="24"/>
              </w:rPr>
            </w:pPr>
            <w:r w:rsidRPr="00105C87">
              <w:rPr>
                <w:rFonts w:eastAsiaTheme="minorEastAsia"/>
                <w:color w:val="000000" w:themeColor="text1"/>
                <w:sz w:val="24"/>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624F9" w:rsidRPr="00105C87" w:rsidRDefault="008624F9" w:rsidP="002517C2">
            <w:pPr>
              <w:adjustRightInd w:val="0"/>
              <w:snapToGrid w:val="0"/>
              <w:spacing w:line="400" w:lineRule="exact"/>
              <w:jc w:val="left"/>
              <w:rPr>
                <w:rFonts w:eastAsiaTheme="minorEastAsia"/>
                <w:color w:val="000000" w:themeColor="text1"/>
                <w:sz w:val="24"/>
              </w:rPr>
            </w:pPr>
            <w:r w:rsidRPr="00105C87">
              <w:rPr>
                <w:rFonts w:eastAsiaTheme="minorEastAsia"/>
                <w:color w:val="000000" w:themeColor="text1"/>
                <w:sz w:val="24"/>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13,029.12</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0.00</w:t>
            </w:r>
          </w:p>
        </w:tc>
      </w:tr>
      <w:tr w:rsidR="008624F9" w:rsidRPr="00105C87" w:rsidTr="002C457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jc w:val="center"/>
              <w:rPr>
                <w:rFonts w:eastAsiaTheme="minorEastAsia"/>
                <w:color w:val="000000" w:themeColor="text1"/>
                <w:sz w:val="24"/>
              </w:rPr>
            </w:pPr>
            <w:r w:rsidRPr="00105C87">
              <w:rPr>
                <w:rFonts w:eastAsiaTheme="minorEastAsia"/>
                <w:color w:val="000000" w:themeColor="text1"/>
                <w:sz w:val="24"/>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624F9" w:rsidRPr="00105C87" w:rsidRDefault="008624F9" w:rsidP="002517C2">
            <w:pPr>
              <w:adjustRightInd w:val="0"/>
              <w:snapToGrid w:val="0"/>
              <w:spacing w:line="400" w:lineRule="exact"/>
              <w:jc w:val="left"/>
              <w:rPr>
                <w:rFonts w:eastAsiaTheme="minorEastAsia"/>
                <w:color w:val="000000" w:themeColor="text1"/>
                <w:sz w:val="24"/>
              </w:rPr>
            </w:pPr>
            <w:r w:rsidRPr="00105C87">
              <w:rPr>
                <w:rFonts w:eastAsiaTheme="minorEastAsia"/>
                <w:color w:val="000000" w:themeColor="text1"/>
                <w:sz w:val="24"/>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11,470.24</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0.00</w:t>
            </w:r>
          </w:p>
        </w:tc>
      </w:tr>
      <w:tr w:rsidR="008624F9" w:rsidRPr="00105C87" w:rsidTr="002C457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jc w:val="center"/>
              <w:rPr>
                <w:rFonts w:eastAsiaTheme="minorEastAsia"/>
                <w:color w:val="000000" w:themeColor="text1"/>
                <w:sz w:val="24"/>
              </w:rPr>
            </w:pPr>
            <w:r w:rsidRPr="00105C87">
              <w:rPr>
                <w:rFonts w:eastAsiaTheme="minorEastAsia"/>
                <w:color w:val="000000" w:themeColor="text1"/>
                <w:sz w:val="24"/>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624F9" w:rsidRPr="00105C87" w:rsidRDefault="008624F9" w:rsidP="002517C2">
            <w:pPr>
              <w:adjustRightInd w:val="0"/>
              <w:snapToGrid w:val="0"/>
              <w:spacing w:line="400" w:lineRule="exact"/>
              <w:jc w:val="left"/>
              <w:rPr>
                <w:rFonts w:eastAsiaTheme="minorEastAsia"/>
                <w:color w:val="000000" w:themeColor="text1"/>
                <w:sz w:val="24"/>
              </w:rPr>
            </w:pPr>
            <w:r w:rsidRPr="00105C87">
              <w:rPr>
                <w:rFonts w:eastAsiaTheme="minorEastAsia"/>
                <w:color w:val="000000" w:themeColor="text1"/>
                <w:sz w:val="24"/>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w:t>
            </w:r>
          </w:p>
        </w:tc>
      </w:tr>
      <w:tr w:rsidR="008624F9" w:rsidRPr="00105C87" w:rsidTr="002C457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jc w:val="center"/>
              <w:rPr>
                <w:rFonts w:eastAsiaTheme="minorEastAsia"/>
                <w:color w:val="000000" w:themeColor="text1"/>
                <w:sz w:val="24"/>
              </w:rPr>
            </w:pPr>
            <w:r w:rsidRPr="00105C87">
              <w:rPr>
                <w:rFonts w:eastAsiaTheme="minorEastAsia"/>
                <w:color w:val="000000" w:themeColor="text1"/>
                <w:sz w:val="24"/>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624F9" w:rsidRPr="00105C87" w:rsidRDefault="008624F9" w:rsidP="002517C2">
            <w:pPr>
              <w:adjustRightInd w:val="0"/>
              <w:snapToGrid w:val="0"/>
              <w:spacing w:line="400" w:lineRule="exact"/>
              <w:jc w:val="left"/>
              <w:rPr>
                <w:rFonts w:eastAsiaTheme="minorEastAsia"/>
                <w:color w:val="000000" w:themeColor="text1"/>
                <w:sz w:val="24"/>
              </w:rPr>
            </w:pPr>
            <w:r w:rsidRPr="00105C87">
              <w:rPr>
                <w:rFonts w:eastAsiaTheme="minorEastAsia"/>
                <w:color w:val="000000" w:themeColor="text1"/>
                <w:sz w:val="24"/>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w:t>
            </w:r>
          </w:p>
        </w:tc>
      </w:tr>
      <w:tr w:rsidR="008624F9" w:rsidRPr="00105C87" w:rsidTr="002C457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jc w:val="center"/>
              <w:rPr>
                <w:rFonts w:eastAsiaTheme="minorEastAsia"/>
                <w:color w:val="000000" w:themeColor="text1"/>
                <w:sz w:val="24"/>
              </w:rPr>
            </w:pPr>
            <w:r w:rsidRPr="00105C87">
              <w:rPr>
                <w:rFonts w:eastAsiaTheme="minorEastAsia"/>
                <w:color w:val="000000" w:themeColor="text1"/>
                <w:sz w:val="24"/>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624F9" w:rsidRPr="00105C87" w:rsidRDefault="008624F9" w:rsidP="002517C2">
            <w:pPr>
              <w:adjustRightInd w:val="0"/>
              <w:snapToGrid w:val="0"/>
              <w:spacing w:line="400" w:lineRule="exact"/>
              <w:jc w:val="left"/>
              <w:rPr>
                <w:rFonts w:eastAsiaTheme="minorEastAsia"/>
                <w:color w:val="000000" w:themeColor="text1"/>
                <w:sz w:val="24"/>
              </w:rPr>
            </w:pPr>
            <w:r w:rsidRPr="00105C87">
              <w:rPr>
                <w:rFonts w:eastAsiaTheme="minorEastAsia"/>
                <w:color w:val="000000" w:themeColor="text1"/>
                <w:sz w:val="24"/>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26,870.32</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0.00</w:t>
            </w:r>
          </w:p>
        </w:tc>
      </w:tr>
      <w:tr w:rsidR="008624F9" w:rsidRPr="00105C87" w:rsidTr="002C457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jc w:val="center"/>
              <w:rPr>
                <w:rFonts w:eastAsiaTheme="minorEastAsia"/>
                <w:color w:val="000000" w:themeColor="text1"/>
                <w:sz w:val="24"/>
              </w:rPr>
            </w:pPr>
            <w:r w:rsidRPr="00105C87">
              <w:rPr>
                <w:rFonts w:eastAsiaTheme="minorEastAsia"/>
                <w:color w:val="000000" w:themeColor="text1"/>
                <w:sz w:val="24"/>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624F9" w:rsidRPr="00105C87" w:rsidRDefault="008624F9" w:rsidP="002517C2">
            <w:pPr>
              <w:adjustRightInd w:val="0"/>
              <w:snapToGrid w:val="0"/>
              <w:spacing w:line="400" w:lineRule="exact"/>
              <w:jc w:val="left"/>
              <w:rPr>
                <w:rFonts w:eastAsiaTheme="minorEastAsia"/>
                <w:color w:val="000000" w:themeColor="text1"/>
                <w:sz w:val="24"/>
              </w:rPr>
            </w:pPr>
            <w:r w:rsidRPr="00105C87">
              <w:rPr>
                <w:rFonts w:eastAsiaTheme="minorEastAsia"/>
                <w:color w:val="000000" w:themeColor="text1"/>
                <w:sz w:val="24"/>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w:t>
            </w:r>
          </w:p>
        </w:tc>
      </w:tr>
      <w:tr w:rsidR="008624F9" w:rsidRPr="00105C87" w:rsidTr="002C457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jc w:val="center"/>
              <w:rPr>
                <w:rFonts w:eastAsiaTheme="minorEastAsia"/>
                <w:color w:val="000000" w:themeColor="text1"/>
                <w:sz w:val="24"/>
              </w:rPr>
            </w:pPr>
            <w:r w:rsidRPr="00105C87">
              <w:rPr>
                <w:rFonts w:eastAsiaTheme="minorEastAsia"/>
                <w:color w:val="000000" w:themeColor="text1"/>
                <w:sz w:val="24"/>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624F9" w:rsidRPr="00105C87" w:rsidRDefault="008624F9" w:rsidP="002517C2">
            <w:pPr>
              <w:adjustRightInd w:val="0"/>
              <w:snapToGrid w:val="0"/>
              <w:spacing w:line="400" w:lineRule="exact"/>
              <w:jc w:val="left"/>
              <w:rPr>
                <w:rFonts w:eastAsiaTheme="minorEastAsia"/>
                <w:color w:val="000000" w:themeColor="text1"/>
                <w:sz w:val="24"/>
              </w:rPr>
            </w:pPr>
            <w:r w:rsidRPr="00105C87">
              <w:rPr>
                <w:rFonts w:eastAsiaTheme="minorEastAsia"/>
                <w:color w:val="000000" w:themeColor="text1"/>
                <w:sz w:val="24"/>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w:t>
            </w:r>
          </w:p>
        </w:tc>
      </w:tr>
      <w:tr w:rsidR="008624F9" w:rsidRPr="00105C87" w:rsidTr="002C457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jc w:val="center"/>
              <w:rPr>
                <w:rFonts w:eastAsiaTheme="minorEastAsia"/>
                <w:color w:val="000000" w:themeColor="text1"/>
                <w:sz w:val="24"/>
              </w:rPr>
            </w:pPr>
            <w:r w:rsidRPr="00105C87">
              <w:rPr>
                <w:rFonts w:eastAsiaTheme="minorEastAsia"/>
                <w:color w:val="000000" w:themeColor="text1"/>
                <w:sz w:val="24"/>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624F9" w:rsidRPr="00105C87" w:rsidRDefault="008624F9" w:rsidP="002517C2">
            <w:pPr>
              <w:adjustRightInd w:val="0"/>
              <w:snapToGrid w:val="0"/>
              <w:spacing w:line="400" w:lineRule="exact"/>
              <w:jc w:val="left"/>
              <w:rPr>
                <w:rFonts w:eastAsiaTheme="minorEastAsia"/>
                <w:color w:val="000000" w:themeColor="text1"/>
                <w:sz w:val="24"/>
              </w:rPr>
            </w:pPr>
            <w:r w:rsidRPr="00105C87">
              <w:rPr>
                <w:rFonts w:eastAsiaTheme="minorEastAsia"/>
                <w:color w:val="000000" w:themeColor="text1"/>
                <w:sz w:val="24"/>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w:t>
            </w:r>
          </w:p>
        </w:tc>
      </w:tr>
      <w:tr w:rsidR="008624F9" w:rsidRPr="00105C87" w:rsidTr="002C457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jc w:val="center"/>
              <w:rPr>
                <w:rFonts w:eastAsiaTheme="minorEastAsia"/>
                <w:color w:val="000000" w:themeColor="text1"/>
                <w:sz w:val="24"/>
              </w:rPr>
            </w:pPr>
            <w:r w:rsidRPr="00105C87">
              <w:rPr>
                <w:rFonts w:eastAsiaTheme="minorEastAsia"/>
                <w:color w:val="000000" w:themeColor="text1"/>
                <w:sz w:val="24"/>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624F9" w:rsidRPr="00105C87" w:rsidRDefault="008624F9" w:rsidP="002517C2">
            <w:pPr>
              <w:adjustRightInd w:val="0"/>
              <w:snapToGrid w:val="0"/>
              <w:spacing w:line="400" w:lineRule="exact"/>
              <w:jc w:val="left"/>
              <w:rPr>
                <w:rFonts w:eastAsiaTheme="minorEastAsia"/>
                <w:color w:val="000000" w:themeColor="text1"/>
                <w:sz w:val="24"/>
              </w:rPr>
            </w:pPr>
            <w:r w:rsidRPr="00105C87">
              <w:rPr>
                <w:rFonts w:eastAsiaTheme="minorEastAsia"/>
                <w:color w:val="000000" w:themeColor="text1"/>
                <w:sz w:val="24"/>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180,995.16</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0.02</w:t>
            </w:r>
          </w:p>
        </w:tc>
      </w:tr>
      <w:tr w:rsidR="008624F9" w:rsidRPr="00105C87" w:rsidTr="002C457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jc w:val="center"/>
              <w:rPr>
                <w:rFonts w:eastAsiaTheme="minorEastAsia"/>
                <w:color w:val="000000" w:themeColor="text1"/>
                <w:sz w:val="24"/>
              </w:rPr>
            </w:pPr>
            <w:r w:rsidRPr="00105C87">
              <w:rPr>
                <w:rFonts w:eastAsiaTheme="minorEastAsia"/>
                <w:color w:val="000000" w:themeColor="text1"/>
                <w:sz w:val="24"/>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624F9" w:rsidRPr="00105C87" w:rsidRDefault="008624F9" w:rsidP="002517C2">
            <w:pPr>
              <w:adjustRightInd w:val="0"/>
              <w:snapToGrid w:val="0"/>
              <w:spacing w:line="400" w:lineRule="exact"/>
              <w:jc w:val="left"/>
              <w:rPr>
                <w:rFonts w:eastAsiaTheme="minorEastAsia"/>
                <w:color w:val="000000" w:themeColor="text1"/>
                <w:sz w:val="24"/>
              </w:rPr>
            </w:pPr>
            <w:r w:rsidRPr="00105C87">
              <w:rPr>
                <w:rFonts w:eastAsiaTheme="minorEastAsia"/>
                <w:color w:val="000000" w:themeColor="text1"/>
                <w:sz w:val="24"/>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w:t>
            </w:r>
          </w:p>
        </w:tc>
      </w:tr>
      <w:tr w:rsidR="008624F9" w:rsidRPr="00105C87" w:rsidTr="002C457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jc w:val="center"/>
              <w:rPr>
                <w:rFonts w:eastAsiaTheme="minorEastAsia"/>
                <w:color w:val="000000" w:themeColor="text1"/>
                <w:sz w:val="24"/>
              </w:rPr>
            </w:pPr>
            <w:r w:rsidRPr="00105C87">
              <w:rPr>
                <w:rFonts w:eastAsiaTheme="minorEastAsia"/>
                <w:color w:val="000000" w:themeColor="text1"/>
                <w:sz w:val="24"/>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624F9" w:rsidRPr="00105C87" w:rsidRDefault="008624F9" w:rsidP="002517C2">
            <w:pPr>
              <w:adjustRightInd w:val="0"/>
              <w:snapToGrid w:val="0"/>
              <w:spacing w:line="400" w:lineRule="exact"/>
              <w:jc w:val="left"/>
              <w:rPr>
                <w:rFonts w:eastAsiaTheme="minorEastAsia"/>
                <w:color w:val="000000" w:themeColor="text1"/>
                <w:sz w:val="24"/>
              </w:rPr>
            </w:pPr>
            <w:r w:rsidRPr="00105C87">
              <w:rPr>
                <w:rFonts w:eastAsiaTheme="minorEastAsia"/>
                <w:color w:val="000000" w:themeColor="text1"/>
                <w:sz w:val="24"/>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w:t>
            </w:r>
          </w:p>
        </w:tc>
      </w:tr>
      <w:tr w:rsidR="008624F9" w:rsidRPr="00105C87" w:rsidTr="002C457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jc w:val="center"/>
              <w:rPr>
                <w:rFonts w:eastAsiaTheme="minorEastAsia"/>
                <w:color w:val="000000" w:themeColor="text1"/>
                <w:sz w:val="24"/>
              </w:rPr>
            </w:pPr>
            <w:r w:rsidRPr="00105C87">
              <w:rPr>
                <w:rFonts w:eastAsiaTheme="minorEastAsia"/>
                <w:color w:val="000000" w:themeColor="text1"/>
                <w:sz w:val="24"/>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624F9" w:rsidRPr="00105C87" w:rsidRDefault="008624F9" w:rsidP="002517C2">
            <w:pPr>
              <w:adjustRightInd w:val="0"/>
              <w:snapToGrid w:val="0"/>
              <w:spacing w:line="400" w:lineRule="exact"/>
              <w:jc w:val="left"/>
              <w:rPr>
                <w:rFonts w:eastAsiaTheme="minorEastAsia"/>
                <w:color w:val="000000" w:themeColor="text1"/>
                <w:sz w:val="24"/>
              </w:rPr>
            </w:pPr>
            <w:r w:rsidRPr="00105C87">
              <w:rPr>
                <w:rFonts w:eastAsiaTheme="minorEastAsia"/>
                <w:color w:val="000000" w:themeColor="text1"/>
                <w:sz w:val="24"/>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w:t>
            </w:r>
          </w:p>
        </w:tc>
      </w:tr>
      <w:tr w:rsidR="008624F9" w:rsidRPr="00105C87" w:rsidTr="002C457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jc w:val="center"/>
              <w:rPr>
                <w:rFonts w:eastAsiaTheme="minorEastAsia"/>
                <w:color w:val="000000" w:themeColor="text1"/>
                <w:sz w:val="24"/>
              </w:rPr>
            </w:pPr>
            <w:r w:rsidRPr="00105C87">
              <w:rPr>
                <w:rFonts w:eastAsiaTheme="minorEastAsia"/>
                <w:color w:val="000000" w:themeColor="text1"/>
                <w:sz w:val="24"/>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624F9" w:rsidRPr="00105C87" w:rsidRDefault="008624F9" w:rsidP="002517C2">
            <w:pPr>
              <w:adjustRightInd w:val="0"/>
              <w:snapToGrid w:val="0"/>
              <w:spacing w:line="400" w:lineRule="exact"/>
              <w:jc w:val="left"/>
              <w:rPr>
                <w:rFonts w:eastAsiaTheme="minorEastAsia"/>
                <w:color w:val="000000" w:themeColor="text1"/>
                <w:sz w:val="24"/>
              </w:rPr>
            </w:pPr>
            <w:r w:rsidRPr="00105C87">
              <w:rPr>
                <w:rFonts w:eastAsiaTheme="minorEastAsia"/>
                <w:color w:val="000000" w:themeColor="text1"/>
                <w:sz w:val="24"/>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w:t>
            </w:r>
          </w:p>
        </w:tc>
      </w:tr>
      <w:tr w:rsidR="008624F9" w:rsidRPr="00105C87" w:rsidTr="002C457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jc w:val="center"/>
              <w:rPr>
                <w:rFonts w:eastAsiaTheme="minorEastAsia"/>
                <w:color w:val="000000" w:themeColor="text1"/>
                <w:sz w:val="24"/>
              </w:rPr>
            </w:pPr>
            <w:r w:rsidRPr="00105C87">
              <w:rPr>
                <w:rFonts w:eastAsiaTheme="minorEastAsia"/>
                <w:color w:val="000000" w:themeColor="text1"/>
                <w:sz w:val="24"/>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624F9" w:rsidRPr="00105C87" w:rsidRDefault="008624F9" w:rsidP="002517C2">
            <w:pPr>
              <w:adjustRightInd w:val="0"/>
              <w:snapToGrid w:val="0"/>
              <w:spacing w:line="400" w:lineRule="exact"/>
              <w:jc w:val="left"/>
              <w:rPr>
                <w:rFonts w:eastAsiaTheme="minorEastAsia"/>
                <w:color w:val="000000" w:themeColor="text1"/>
                <w:sz w:val="24"/>
              </w:rPr>
            </w:pPr>
            <w:r w:rsidRPr="00105C87">
              <w:rPr>
                <w:rFonts w:eastAsiaTheme="minorEastAsia"/>
                <w:color w:val="000000" w:themeColor="text1"/>
                <w:sz w:val="24"/>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w:t>
            </w:r>
          </w:p>
        </w:tc>
      </w:tr>
      <w:tr w:rsidR="008624F9" w:rsidRPr="00105C87" w:rsidTr="002C457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jc w:val="center"/>
              <w:rPr>
                <w:rFonts w:eastAsiaTheme="minorEastAsia"/>
                <w:color w:val="000000" w:themeColor="text1"/>
                <w:sz w:val="24"/>
              </w:rPr>
            </w:pPr>
            <w:r w:rsidRPr="00105C87">
              <w:rPr>
                <w:rFonts w:eastAsiaTheme="minorEastAsia"/>
                <w:color w:val="000000" w:themeColor="text1"/>
                <w:sz w:val="24"/>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624F9" w:rsidRPr="00105C87" w:rsidRDefault="008624F9" w:rsidP="002517C2">
            <w:pPr>
              <w:adjustRightInd w:val="0"/>
              <w:snapToGrid w:val="0"/>
              <w:spacing w:line="400" w:lineRule="exact"/>
              <w:jc w:val="left"/>
              <w:rPr>
                <w:rFonts w:eastAsiaTheme="minorEastAsia"/>
                <w:color w:val="000000" w:themeColor="text1"/>
                <w:sz w:val="24"/>
              </w:rPr>
            </w:pPr>
            <w:r w:rsidRPr="00105C87">
              <w:rPr>
                <w:rFonts w:eastAsiaTheme="minorEastAsia"/>
                <w:color w:val="000000" w:themeColor="text1"/>
                <w:sz w:val="24"/>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w:t>
            </w:r>
          </w:p>
        </w:tc>
      </w:tr>
      <w:tr w:rsidR="008624F9" w:rsidRPr="00105C87" w:rsidTr="002C457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jc w:val="center"/>
              <w:rPr>
                <w:rFonts w:eastAsiaTheme="minorEastAsia"/>
                <w:color w:val="000000" w:themeColor="text1"/>
                <w:sz w:val="24"/>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624F9" w:rsidRPr="00105C87" w:rsidRDefault="008624F9" w:rsidP="002517C2">
            <w:pPr>
              <w:adjustRightInd w:val="0"/>
              <w:snapToGrid w:val="0"/>
              <w:spacing w:line="400" w:lineRule="exact"/>
              <w:jc w:val="left"/>
              <w:rPr>
                <w:rFonts w:eastAsiaTheme="minorEastAsia"/>
                <w:color w:val="000000" w:themeColor="text1"/>
                <w:sz w:val="24"/>
              </w:rPr>
            </w:pPr>
            <w:r w:rsidRPr="00105C87">
              <w:rPr>
                <w:rFonts w:eastAsiaTheme="minorEastAsia"/>
                <w:color w:val="000000" w:themeColor="text1"/>
                <w:sz w:val="24"/>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3,682,845.24</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0.32</w:t>
            </w:r>
          </w:p>
        </w:tc>
      </w:tr>
    </w:tbl>
    <w:p w:rsidR="008624F9" w:rsidRPr="00105C87" w:rsidRDefault="008624F9" w:rsidP="008624F9">
      <w:pPr>
        <w:autoSpaceDE w:val="0"/>
        <w:autoSpaceDN w:val="0"/>
        <w:adjustRightInd w:val="0"/>
        <w:spacing w:line="360" w:lineRule="auto"/>
        <w:jc w:val="left"/>
        <w:rPr>
          <w:rFonts w:eastAsiaTheme="minorEastAsia"/>
          <w:b/>
          <w:color w:val="000000" w:themeColor="text1"/>
          <w:kern w:val="0"/>
          <w:sz w:val="24"/>
        </w:rPr>
      </w:pPr>
      <w:r w:rsidRPr="00105C87">
        <w:rPr>
          <w:rFonts w:eastAsiaTheme="minorEastAsia"/>
          <w:b/>
          <w:color w:val="000000" w:themeColor="text1"/>
          <w:kern w:val="0"/>
          <w:sz w:val="24"/>
        </w:rPr>
        <w:t>5.2.</w:t>
      </w:r>
      <w:r w:rsidR="00AB077A">
        <w:rPr>
          <w:rFonts w:eastAsiaTheme="minorEastAsia"/>
          <w:b/>
          <w:color w:val="000000" w:themeColor="text1"/>
          <w:kern w:val="0"/>
          <w:sz w:val="24"/>
        </w:rPr>
        <w:t>2</w:t>
      </w:r>
      <w:r w:rsidRPr="00105C87">
        <w:rPr>
          <w:rFonts w:eastAsiaTheme="minorEastAsia"/>
          <w:b/>
          <w:color w:val="000000" w:themeColor="text1"/>
          <w:kern w:val="0"/>
          <w:sz w:val="24"/>
        </w:rPr>
        <w:t>指数投资按行业分类的股票投资组合</w:t>
      </w:r>
    </w:p>
    <w:tbl>
      <w:tblPr>
        <w:tblW w:w="8731"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40"/>
        <w:gridCol w:w="3691"/>
        <w:gridCol w:w="2852"/>
        <w:gridCol w:w="1648"/>
      </w:tblGrid>
      <w:tr w:rsidR="008624F9" w:rsidRPr="00105C87" w:rsidTr="002C4578">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8624F9" w:rsidRPr="00105C87" w:rsidRDefault="008624F9" w:rsidP="002C4578">
            <w:pPr>
              <w:adjustRightInd w:val="0"/>
              <w:snapToGrid w:val="0"/>
              <w:spacing w:line="400" w:lineRule="exact"/>
              <w:jc w:val="center"/>
              <w:rPr>
                <w:rFonts w:eastAsiaTheme="minorEastAsia"/>
                <w:color w:val="000000" w:themeColor="text1"/>
                <w:sz w:val="24"/>
              </w:rPr>
            </w:pPr>
            <w:r w:rsidRPr="00105C87">
              <w:rPr>
                <w:rFonts w:eastAsiaTheme="minorEastAsia"/>
                <w:color w:val="000000" w:themeColor="text1"/>
                <w:sz w:val="24"/>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jc w:val="center"/>
              <w:rPr>
                <w:rFonts w:eastAsiaTheme="minorEastAsia"/>
                <w:color w:val="000000" w:themeColor="text1"/>
                <w:sz w:val="24"/>
              </w:rPr>
            </w:pPr>
            <w:r w:rsidRPr="00105C87">
              <w:rPr>
                <w:rFonts w:eastAsiaTheme="minorEastAsia"/>
                <w:color w:val="000000" w:themeColor="text1"/>
                <w:sz w:val="24"/>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8624F9" w:rsidRPr="00105C87" w:rsidRDefault="008624F9" w:rsidP="002C4578">
            <w:pPr>
              <w:adjustRightInd w:val="0"/>
              <w:snapToGrid w:val="0"/>
              <w:spacing w:line="400" w:lineRule="exact"/>
              <w:jc w:val="center"/>
              <w:rPr>
                <w:rFonts w:eastAsiaTheme="minorEastAsia"/>
                <w:color w:val="000000" w:themeColor="text1"/>
                <w:sz w:val="24"/>
              </w:rPr>
            </w:pPr>
            <w:r w:rsidRPr="00105C87">
              <w:rPr>
                <w:rFonts w:eastAsiaTheme="minorEastAsia"/>
                <w:color w:val="000000" w:themeColor="text1"/>
                <w:sz w:val="24"/>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jc w:val="center"/>
              <w:rPr>
                <w:rFonts w:eastAsiaTheme="minorEastAsia"/>
                <w:color w:val="000000" w:themeColor="text1"/>
                <w:sz w:val="24"/>
              </w:rPr>
            </w:pPr>
            <w:r w:rsidRPr="00105C87">
              <w:rPr>
                <w:rFonts w:eastAsiaTheme="minorEastAsia"/>
                <w:color w:val="000000" w:themeColor="text1"/>
                <w:sz w:val="24"/>
              </w:rPr>
              <w:t>占基金资产净值比例（％）</w:t>
            </w:r>
          </w:p>
        </w:tc>
      </w:tr>
      <w:tr w:rsidR="008624F9" w:rsidRPr="00105C87" w:rsidTr="002C457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jc w:val="center"/>
              <w:rPr>
                <w:rFonts w:eastAsiaTheme="minorEastAsia"/>
                <w:color w:val="000000" w:themeColor="text1"/>
                <w:sz w:val="24"/>
              </w:rPr>
            </w:pPr>
            <w:r w:rsidRPr="00105C87">
              <w:rPr>
                <w:rFonts w:eastAsiaTheme="minorEastAsia"/>
                <w:color w:val="000000" w:themeColor="text1"/>
                <w:sz w:val="24"/>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rPr>
                <w:rFonts w:eastAsiaTheme="minorEastAsia"/>
                <w:color w:val="000000" w:themeColor="text1"/>
                <w:sz w:val="24"/>
              </w:rPr>
            </w:pPr>
            <w:r w:rsidRPr="00105C87">
              <w:rPr>
                <w:rFonts w:eastAsiaTheme="minorEastAsia"/>
                <w:color w:val="000000" w:themeColor="text1"/>
                <w:sz w:val="24"/>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8624F9" w:rsidRPr="00105C87" w:rsidRDefault="008624F9" w:rsidP="002C4578">
            <w:pPr>
              <w:autoSpaceDE w:val="0"/>
              <w:autoSpaceDN w:val="0"/>
              <w:adjustRightInd w:val="0"/>
              <w:spacing w:before="29" w:line="360" w:lineRule="auto"/>
              <w:ind w:left="15"/>
              <w:jc w:val="right"/>
              <w:rPr>
                <w:rFonts w:eastAsiaTheme="minorEastAsia"/>
                <w:color w:val="000000" w:themeColor="text1"/>
                <w:sz w:val="24"/>
              </w:rPr>
            </w:pPr>
            <w:r w:rsidRPr="00105C87">
              <w:rPr>
                <w:rFonts w:eastAsiaTheme="minorEastAsia"/>
                <w:color w:val="000000" w:themeColor="text1"/>
                <w:sz w:val="24"/>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autoSpaceDE w:val="0"/>
              <w:autoSpaceDN w:val="0"/>
              <w:adjustRightInd w:val="0"/>
              <w:spacing w:before="29" w:line="360" w:lineRule="auto"/>
              <w:ind w:left="15"/>
              <w:jc w:val="right"/>
              <w:rPr>
                <w:rFonts w:eastAsiaTheme="minorEastAsia"/>
                <w:color w:val="000000" w:themeColor="text1"/>
                <w:sz w:val="24"/>
              </w:rPr>
            </w:pPr>
            <w:r w:rsidRPr="00105C87">
              <w:rPr>
                <w:rFonts w:eastAsiaTheme="minorEastAsia"/>
                <w:color w:val="000000" w:themeColor="text1"/>
                <w:sz w:val="24"/>
              </w:rPr>
              <w:t>-</w:t>
            </w:r>
          </w:p>
        </w:tc>
      </w:tr>
      <w:tr w:rsidR="008624F9" w:rsidRPr="00105C87" w:rsidTr="002C457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jc w:val="center"/>
              <w:rPr>
                <w:rFonts w:eastAsiaTheme="minorEastAsia"/>
                <w:color w:val="000000" w:themeColor="text1"/>
                <w:sz w:val="24"/>
              </w:rPr>
            </w:pPr>
            <w:r w:rsidRPr="00105C87">
              <w:rPr>
                <w:rFonts w:eastAsiaTheme="minorEastAsia"/>
                <w:color w:val="000000" w:themeColor="text1"/>
                <w:sz w:val="24"/>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rPr>
                <w:rFonts w:eastAsiaTheme="minorEastAsia"/>
                <w:color w:val="000000" w:themeColor="text1"/>
                <w:sz w:val="24"/>
              </w:rPr>
            </w:pPr>
            <w:r w:rsidRPr="00105C87">
              <w:rPr>
                <w:rFonts w:eastAsiaTheme="minorEastAsia"/>
                <w:color w:val="000000" w:themeColor="text1"/>
                <w:sz w:val="24"/>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w:t>
            </w:r>
          </w:p>
        </w:tc>
      </w:tr>
      <w:tr w:rsidR="008624F9" w:rsidRPr="00105C87" w:rsidTr="002C457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jc w:val="center"/>
              <w:rPr>
                <w:rFonts w:eastAsiaTheme="minorEastAsia"/>
                <w:color w:val="000000" w:themeColor="text1"/>
                <w:sz w:val="24"/>
              </w:rPr>
            </w:pPr>
            <w:r w:rsidRPr="00105C87">
              <w:rPr>
                <w:rFonts w:eastAsiaTheme="minorEastAsia"/>
                <w:color w:val="000000" w:themeColor="text1"/>
                <w:sz w:val="24"/>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rPr>
                <w:rFonts w:eastAsiaTheme="minorEastAsia"/>
                <w:color w:val="000000" w:themeColor="text1"/>
                <w:sz w:val="24"/>
              </w:rPr>
            </w:pPr>
            <w:r w:rsidRPr="00105C87">
              <w:rPr>
                <w:rFonts w:eastAsiaTheme="minorEastAsia"/>
                <w:color w:val="000000" w:themeColor="text1"/>
                <w:sz w:val="24"/>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675,423,759.81</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58.64</w:t>
            </w:r>
          </w:p>
        </w:tc>
      </w:tr>
      <w:tr w:rsidR="008624F9" w:rsidRPr="00105C87" w:rsidTr="002C457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jc w:val="center"/>
              <w:rPr>
                <w:rFonts w:eastAsiaTheme="minorEastAsia"/>
                <w:color w:val="000000" w:themeColor="text1"/>
                <w:sz w:val="24"/>
              </w:rPr>
            </w:pPr>
            <w:r w:rsidRPr="00105C87">
              <w:rPr>
                <w:rFonts w:eastAsiaTheme="minorEastAsia"/>
                <w:color w:val="000000" w:themeColor="text1"/>
                <w:sz w:val="24"/>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rPr>
                <w:rFonts w:eastAsiaTheme="minorEastAsia"/>
                <w:color w:val="000000" w:themeColor="text1"/>
                <w:sz w:val="24"/>
              </w:rPr>
            </w:pPr>
            <w:r w:rsidRPr="00105C87">
              <w:rPr>
                <w:rFonts w:eastAsiaTheme="minorEastAsia"/>
                <w:color w:val="000000" w:themeColor="text1"/>
                <w:sz w:val="24"/>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w:t>
            </w:r>
          </w:p>
        </w:tc>
      </w:tr>
      <w:tr w:rsidR="008624F9" w:rsidRPr="00105C87" w:rsidTr="002C457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jc w:val="center"/>
              <w:rPr>
                <w:rFonts w:eastAsiaTheme="minorEastAsia"/>
                <w:color w:val="000000" w:themeColor="text1"/>
                <w:sz w:val="24"/>
              </w:rPr>
            </w:pPr>
            <w:r w:rsidRPr="00105C87">
              <w:rPr>
                <w:rFonts w:eastAsiaTheme="minorEastAsia"/>
                <w:color w:val="000000" w:themeColor="text1"/>
                <w:sz w:val="24"/>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rPr>
                <w:rFonts w:eastAsiaTheme="minorEastAsia"/>
                <w:color w:val="000000" w:themeColor="text1"/>
                <w:sz w:val="24"/>
              </w:rPr>
            </w:pPr>
            <w:r w:rsidRPr="00105C87">
              <w:rPr>
                <w:rFonts w:eastAsiaTheme="minorEastAsia"/>
                <w:color w:val="000000" w:themeColor="text1"/>
                <w:sz w:val="24"/>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w:t>
            </w:r>
          </w:p>
        </w:tc>
      </w:tr>
      <w:tr w:rsidR="008624F9" w:rsidRPr="00105C87" w:rsidTr="002C457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jc w:val="center"/>
              <w:rPr>
                <w:rFonts w:eastAsiaTheme="minorEastAsia"/>
                <w:color w:val="000000" w:themeColor="text1"/>
                <w:sz w:val="24"/>
              </w:rPr>
            </w:pPr>
            <w:r w:rsidRPr="00105C87">
              <w:rPr>
                <w:rFonts w:eastAsiaTheme="minorEastAsia"/>
                <w:color w:val="000000" w:themeColor="text1"/>
                <w:sz w:val="24"/>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rPr>
                <w:rFonts w:eastAsiaTheme="minorEastAsia"/>
                <w:color w:val="000000" w:themeColor="text1"/>
                <w:sz w:val="24"/>
              </w:rPr>
            </w:pPr>
            <w:r w:rsidRPr="00105C87">
              <w:rPr>
                <w:rFonts w:eastAsiaTheme="minorEastAsia"/>
                <w:color w:val="000000" w:themeColor="text1"/>
                <w:sz w:val="24"/>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w:t>
            </w:r>
          </w:p>
        </w:tc>
      </w:tr>
      <w:tr w:rsidR="008624F9" w:rsidRPr="00105C87" w:rsidTr="002C457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jc w:val="center"/>
              <w:rPr>
                <w:rFonts w:eastAsiaTheme="minorEastAsia"/>
                <w:color w:val="000000" w:themeColor="text1"/>
                <w:sz w:val="24"/>
              </w:rPr>
            </w:pPr>
            <w:r w:rsidRPr="00105C87">
              <w:rPr>
                <w:rFonts w:eastAsiaTheme="minorEastAsia"/>
                <w:color w:val="000000" w:themeColor="text1"/>
                <w:sz w:val="24"/>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rPr>
                <w:rFonts w:eastAsiaTheme="minorEastAsia"/>
                <w:color w:val="000000" w:themeColor="text1"/>
                <w:sz w:val="24"/>
              </w:rPr>
            </w:pPr>
            <w:r w:rsidRPr="00105C87">
              <w:rPr>
                <w:rFonts w:eastAsiaTheme="minorEastAsia"/>
                <w:color w:val="000000" w:themeColor="text1"/>
                <w:sz w:val="24"/>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w:t>
            </w:r>
          </w:p>
        </w:tc>
      </w:tr>
      <w:tr w:rsidR="008624F9" w:rsidRPr="00105C87" w:rsidTr="002C457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jc w:val="center"/>
              <w:rPr>
                <w:rFonts w:eastAsiaTheme="minorEastAsia"/>
                <w:color w:val="000000" w:themeColor="text1"/>
                <w:sz w:val="24"/>
              </w:rPr>
            </w:pPr>
            <w:r w:rsidRPr="00105C87">
              <w:rPr>
                <w:rFonts w:eastAsiaTheme="minorEastAsia"/>
                <w:color w:val="000000" w:themeColor="text1"/>
                <w:sz w:val="24"/>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rPr>
                <w:rFonts w:eastAsiaTheme="minorEastAsia"/>
                <w:color w:val="000000" w:themeColor="text1"/>
                <w:sz w:val="24"/>
              </w:rPr>
            </w:pPr>
            <w:r w:rsidRPr="00105C87">
              <w:rPr>
                <w:rFonts w:eastAsiaTheme="minorEastAsia"/>
                <w:color w:val="000000" w:themeColor="text1"/>
                <w:sz w:val="24"/>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w:t>
            </w:r>
          </w:p>
        </w:tc>
      </w:tr>
      <w:tr w:rsidR="008624F9" w:rsidRPr="00105C87" w:rsidTr="002C457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jc w:val="center"/>
              <w:rPr>
                <w:rFonts w:eastAsiaTheme="minorEastAsia"/>
                <w:color w:val="000000" w:themeColor="text1"/>
                <w:sz w:val="24"/>
              </w:rPr>
            </w:pPr>
            <w:r w:rsidRPr="00105C87">
              <w:rPr>
                <w:rFonts w:eastAsiaTheme="minorEastAsia"/>
                <w:color w:val="000000" w:themeColor="text1"/>
                <w:sz w:val="24"/>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rPr>
                <w:rFonts w:eastAsiaTheme="minorEastAsia"/>
                <w:color w:val="000000" w:themeColor="text1"/>
                <w:sz w:val="24"/>
              </w:rPr>
            </w:pPr>
            <w:r w:rsidRPr="00105C87">
              <w:rPr>
                <w:rFonts w:eastAsiaTheme="minorEastAsia"/>
                <w:color w:val="000000" w:themeColor="text1"/>
                <w:sz w:val="24"/>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114,729,286.22</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9.96</w:t>
            </w:r>
          </w:p>
        </w:tc>
      </w:tr>
      <w:tr w:rsidR="008624F9" w:rsidRPr="00105C87" w:rsidTr="002C457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jc w:val="center"/>
              <w:rPr>
                <w:rFonts w:eastAsiaTheme="minorEastAsia"/>
                <w:color w:val="000000" w:themeColor="text1"/>
                <w:sz w:val="24"/>
              </w:rPr>
            </w:pPr>
            <w:r w:rsidRPr="00105C87">
              <w:rPr>
                <w:rFonts w:eastAsiaTheme="minorEastAsia"/>
                <w:color w:val="000000" w:themeColor="text1"/>
                <w:sz w:val="24"/>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rPr>
                <w:rFonts w:eastAsiaTheme="minorEastAsia"/>
                <w:color w:val="000000" w:themeColor="text1"/>
                <w:sz w:val="24"/>
              </w:rPr>
            </w:pPr>
            <w:r w:rsidRPr="00105C87">
              <w:rPr>
                <w:rFonts w:eastAsiaTheme="minorEastAsia"/>
                <w:color w:val="000000" w:themeColor="text1"/>
                <w:sz w:val="24"/>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120,447,308.96</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10.46</w:t>
            </w:r>
          </w:p>
        </w:tc>
      </w:tr>
      <w:tr w:rsidR="008624F9" w:rsidRPr="00105C87" w:rsidTr="002C457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jc w:val="center"/>
              <w:rPr>
                <w:rFonts w:eastAsiaTheme="minorEastAsia"/>
                <w:color w:val="000000" w:themeColor="text1"/>
                <w:sz w:val="24"/>
              </w:rPr>
            </w:pPr>
            <w:r w:rsidRPr="00105C87">
              <w:rPr>
                <w:rFonts w:eastAsiaTheme="minorEastAsia"/>
                <w:color w:val="000000" w:themeColor="text1"/>
                <w:sz w:val="24"/>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rPr>
                <w:rFonts w:eastAsiaTheme="minorEastAsia"/>
                <w:color w:val="000000" w:themeColor="text1"/>
                <w:sz w:val="24"/>
              </w:rPr>
            </w:pPr>
            <w:r w:rsidRPr="00105C87">
              <w:rPr>
                <w:rFonts w:eastAsiaTheme="minorEastAsia"/>
                <w:color w:val="000000" w:themeColor="text1"/>
                <w:sz w:val="24"/>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w:t>
            </w:r>
          </w:p>
        </w:tc>
      </w:tr>
      <w:tr w:rsidR="008624F9" w:rsidRPr="00105C87" w:rsidTr="002C457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jc w:val="center"/>
              <w:rPr>
                <w:rFonts w:eastAsiaTheme="minorEastAsia"/>
                <w:color w:val="000000" w:themeColor="text1"/>
                <w:sz w:val="24"/>
              </w:rPr>
            </w:pPr>
            <w:r w:rsidRPr="00105C87">
              <w:rPr>
                <w:rFonts w:eastAsiaTheme="minorEastAsia"/>
                <w:color w:val="000000" w:themeColor="text1"/>
                <w:sz w:val="24"/>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rPr>
                <w:rFonts w:eastAsiaTheme="minorEastAsia"/>
                <w:color w:val="000000" w:themeColor="text1"/>
                <w:sz w:val="24"/>
              </w:rPr>
            </w:pPr>
            <w:r w:rsidRPr="00105C87">
              <w:rPr>
                <w:rFonts w:eastAsiaTheme="minorEastAsia"/>
                <w:color w:val="000000" w:themeColor="text1"/>
                <w:sz w:val="24"/>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10,150,584.00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0.88</w:t>
            </w:r>
          </w:p>
        </w:tc>
      </w:tr>
      <w:tr w:rsidR="008624F9" w:rsidRPr="00105C87" w:rsidTr="002C457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jc w:val="center"/>
              <w:rPr>
                <w:rFonts w:eastAsiaTheme="minorEastAsia"/>
                <w:color w:val="000000" w:themeColor="text1"/>
                <w:sz w:val="24"/>
              </w:rPr>
            </w:pPr>
            <w:r w:rsidRPr="00105C87">
              <w:rPr>
                <w:rFonts w:eastAsiaTheme="minorEastAsia"/>
                <w:color w:val="000000" w:themeColor="text1"/>
                <w:sz w:val="24"/>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rPr>
                <w:rFonts w:eastAsiaTheme="minorEastAsia"/>
                <w:color w:val="000000" w:themeColor="text1"/>
                <w:sz w:val="24"/>
              </w:rPr>
            </w:pPr>
            <w:r w:rsidRPr="00105C87">
              <w:rPr>
                <w:rFonts w:eastAsiaTheme="minorEastAsia"/>
                <w:color w:val="000000" w:themeColor="text1"/>
                <w:sz w:val="24"/>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15,172,330.00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1.32</w:t>
            </w:r>
          </w:p>
        </w:tc>
      </w:tr>
      <w:tr w:rsidR="008624F9" w:rsidRPr="00105C87" w:rsidTr="002C457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jc w:val="center"/>
              <w:rPr>
                <w:rFonts w:eastAsiaTheme="minorEastAsia"/>
                <w:color w:val="000000" w:themeColor="text1"/>
                <w:sz w:val="24"/>
              </w:rPr>
            </w:pPr>
            <w:r w:rsidRPr="00105C87">
              <w:rPr>
                <w:rFonts w:eastAsiaTheme="minorEastAsia"/>
                <w:color w:val="000000" w:themeColor="text1"/>
                <w:sz w:val="24"/>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rPr>
                <w:rFonts w:eastAsiaTheme="minorEastAsia"/>
                <w:color w:val="000000" w:themeColor="text1"/>
                <w:sz w:val="24"/>
              </w:rPr>
            </w:pPr>
            <w:r w:rsidRPr="00105C87">
              <w:rPr>
                <w:rFonts w:eastAsiaTheme="minorEastAsia"/>
                <w:color w:val="000000" w:themeColor="text1"/>
                <w:sz w:val="24"/>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8,711,327.40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0.76</w:t>
            </w:r>
          </w:p>
        </w:tc>
      </w:tr>
      <w:tr w:rsidR="008624F9" w:rsidRPr="00105C87" w:rsidTr="002C457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jc w:val="center"/>
              <w:rPr>
                <w:rFonts w:eastAsiaTheme="minorEastAsia"/>
                <w:color w:val="000000" w:themeColor="text1"/>
                <w:sz w:val="24"/>
              </w:rPr>
            </w:pPr>
            <w:r w:rsidRPr="00105C87">
              <w:rPr>
                <w:rFonts w:eastAsiaTheme="minorEastAsia"/>
                <w:color w:val="000000" w:themeColor="text1"/>
                <w:sz w:val="24"/>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rPr>
                <w:rFonts w:eastAsiaTheme="minorEastAsia"/>
                <w:color w:val="000000" w:themeColor="text1"/>
                <w:sz w:val="24"/>
              </w:rPr>
            </w:pPr>
            <w:r w:rsidRPr="00105C87">
              <w:rPr>
                <w:rFonts w:eastAsiaTheme="minorEastAsia"/>
                <w:color w:val="000000" w:themeColor="text1"/>
                <w:sz w:val="24"/>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w:t>
            </w:r>
          </w:p>
        </w:tc>
      </w:tr>
      <w:tr w:rsidR="008624F9" w:rsidRPr="00105C87" w:rsidTr="002C457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jc w:val="center"/>
              <w:rPr>
                <w:rFonts w:eastAsiaTheme="minorEastAsia"/>
                <w:color w:val="000000" w:themeColor="text1"/>
                <w:sz w:val="24"/>
              </w:rPr>
            </w:pPr>
            <w:r w:rsidRPr="00105C87">
              <w:rPr>
                <w:rFonts w:eastAsiaTheme="minorEastAsia"/>
                <w:color w:val="000000" w:themeColor="text1"/>
                <w:sz w:val="24"/>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rPr>
                <w:rFonts w:eastAsiaTheme="minorEastAsia"/>
                <w:color w:val="000000" w:themeColor="text1"/>
                <w:sz w:val="24"/>
              </w:rPr>
            </w:pPr>
            <w:r w:rsidRPr="00105C87">
              <w:rPr>
                <w:rFonts w:eastAsiaTheme="minorEastAsia"/>
                <w:color w:val="000000" w:themeColor="text1"/>
                <w:sz w:val="24"/>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w:t>
            </w:r>
          </w:p>
        </w:tc>
      </w:tr>
      <w:tr w:rsidR="008624F9" w:rsidRPr="00105C87" w:rsidTr="002C457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jc w:val="center"/>
              <w:rPr>
                <w:rFonts w:eastAsiaTheme="minorEastAsia"/>
                <w:color w:val="000000" w:themeColor="text1"/>
                <w:sz w:val="24"/>
              </w:rPr>
            </w:pPr>
            <w:r w:rsidRPr="00105C87">
              <w:rPr>
                <w:rFonts w:eastAsiaTheme="minorEastAsia"/>
                <w:color w:val="000000" w:themeColor="text1"/>
                <w:sz w:val="24"/>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rPr>
                <w:rFonts w:eastAsiaTheme="minorEastAsia"/>
                <w:color w:val="000000" w:themeColor="text1"/>
                <w:sz w:val="24"/>
              </w:rPr>
            </w:pPr>
            <w:r w:rsidRPr="00105C87">
              <w:rPr>
                <w:rFonts w:eastAsiaTheme="minorEastAsia"/>
                <w:color w:val="000000" w:themeColor="text1"/>
                <w:sz w:val="24"/>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88,055,696.35</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7.65</w:t>
            </w:r>
          </w:p>
        </w:tc>
      </w:tr>
      <w:tr w:rsidR="008624F9" w:rsidRPr="00105C87" w:rsidTr="002C457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jc w:val="center"/>
              <w:rPr>
                <w:rFonts w:eastAsiaTheme="minorEastAsia"/>
                <w:color w:val="000000" w:themeColor="text1"/>
                <w:sz w:val="24"/>
              </w:rPr>
            </w:pPr>
            <w:r w:rsidRPr="00105C87">
              <w:rPr>
                <w:rFonts w:eastAsiaTheme="minorEastAsia"/>
                <w:color w:val="000000" w:themeColor="text1"/>
                <w:sz w:val="24"/>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rPr>
                <w:rFonts w:eastAsiaTheme="minorEastAsia"/>
                <w:color w:val="000000" w:themeColor="text1"/>
                <w:sz w:val="24"/>
              </w:rPr>
            </w:pPr>
            <w:r w:rsidRPr="00105C87">
              <w:rPr>
                <w:rFonts w:eastAsiaTheme="minorEastAsia"/>
                <w:color w:val="000000" w:themeColor="text1"/>
                <w:sz w:val="24"/>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41,595,836.48</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3.61</w:t>
            </w:r>
          </w:p>
        </w:tc>
      </w:tr>
      <w:tr w:rsidR="008624F9" w:rsidRPr="00105C87" w:rsidTr="002C457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jc w:val="center"/>
              <w:rPr>
                <w:rFonts w:eastAsiaTheme="minorEastAsia"/>
                <w:color w:val="000000" w:themeColor="text1"/>
                <w:sz w:val="24"/>
              </w:rPr>
            </w:pPr>
            <w:r w:rsidRPr="00105C87">
              <w:rPr>
                <w:rFonts w:eastAsiaTheme="minorEastAsia"/>
                <w:color w:val="000000" w:themeColor="text1"/>
                <w:sz w:val="24"/>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rPr>
                <w:rFonts w:eastAsiaTheme="minorEastAsia"/>
                <w:color w:val="000000" w:themeColor="text1"/>
                <w:sz w:val="24"/>
              </w:rPr>
            </w:pPr>
            <w:r w:rsidRPr="00105C87">
              <w:rPr>
                <w:rFonts w:eastAsiaTheme="minorEastAsia"/>
                <w:color w:val="000000" w:themeColor="text1"/>
                <w:sz w:val="24"/>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w:t>
            </w:r>
          </w:p>
        </w:tc>
      </w:tr>
      <w:tr w:rsidR="008624F9" w:rsidRPr="00105C87" w:rsidTr="002C457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jc w:val="center"/>
              <w:rPr>
                <w:rFonts w:eastAsiaTheme="minorEastAsia"/>
                <w:color w:val="000000" w:themeColor="text1"/>
                <w:sz w:val="24"/>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8624F9" w:rsidRPr="00105C87" w:rsidRDefault="008624F9" w:rsidP="002C4578">
            <w:pPr>
              <w:adjustRightInd w:val="0"/>
              <w:snapToGrid w:val="0"/>
              <w:spacing w:line="400" w:lineRule="exact"/>
              <w:rPr>
                <w:rFonts w:eastAsiaTheme="minorEastAsia"/>
                <w:color w:val="000000" w:themeColor="text1"/>
                <w:sz w:val="24"/>
              </w:rPr>
            </w:pPr>
            <w:r w:rsidRPr="00105C87">
              <w:rPr>
                <w:rFonts w:eastAsiaTheme="minorEastAsia"/>
                <w:color w:val="000000" w:themeColor="text1"/>
                <w:sz w:val="24"/>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1,074,286,129.22</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624F9" w:rsidRPr="00105C87" w:rsidRDefault="008624F9" w:rsidP="002C4578">
            <w:pPr>
              <w:jc w:val="right"/>
              <w:rPr>
                <w:rFonts w:eastAsiaTheme="minorEastAsia"/>
                <w:color w:val="000000" w:themeColor="text1"/>
                <w:sz w:val="24"/>
              </w:rPr>
            </w:pPr>
            <w:r w:rsidRPr="00105C87">
              <w:rPr>
                <w:rFonts w:eastAsiaTheme="minorEastAsia"/>
                <w:color w:val="000000" w:themeColor="text1"/>
                <w:sz w:val="24"/>
              </w:rPr>
              <w:t>93.28</w:t>
            </w:r>
          </w:p>
        </w:tc>
      </w:tr>
    </w:tbl>
    <w:p w:rsidR="008624F9" w:rsidRPr="00105C87" w:rsidRDefault="008624F9" w:rsidP="008624F9">
      <w:pPr>
        <w:jc w:val="left"/>
        <w:rPr>
          <w:rFonts w:eastAsiaTheme="minorEastAsia"/>
          <w:color w:val="000000" w:themeColor="text1"/>
          <w:sz w:val="24"/>
        </w:rPr>
      </w:pPr>
      <w:r w:rsidRPr="00105C87">
        <w:rPr>
          <w:rFonts w:eastAsiaTheme="minorEastAsia"/>
          <w:b/>
          <w:color w:val="000000" w:themeColor="text1"/>
          <w:kern w:val="0"/>
          <w:sz w:val="24"/>
        </w:rPr>
        <w:t>5.2.</w:t>
      </w:r>
      <w:r w:rsidR="00AB077A">
        <w:rPr>
          <w:rFonts w:eastAsiaTheme="minorEastAsia"/>
          <w:b/>
          <w:color w:val="000000" w:themeColor="text1"/>
          <w:kern w:val="0"/>
          <w:sz w:val="24"/>
        </w:rPr>
        <w:t>3</w:t>
      </w:r>
      <w:r w:rsidR="00F729DC">
        <w:rPr>
          <w:rFonts w:eastAsiaTheme="minorEastAsia"/>
          <w:b/>
          <w:color w:val="000000" w:themeColor="text1"/>
          <w:kern w:val="0"/>
          <w:sz w:val="24"/>
        </w:rPr>
        <w:t>报告期末按行业分类的</w:t>
      </w:r>
      <w:r w:rsidR="00F729DC">
        <w:rPr>
          <w:rFonts w:eastAsiaTheme="minorEastAsia" w:hint="eastAsia"/>
          <w:b/>
          <w:color w:val="000000" w:themeColor="text1"/>
          <w:kern w:val="0"/>
          <w:sz w:val="24"/>
        </w:rPr>
        <w:t>港股通</w:t>
      </w:r>
      <w:r w:rsidRPr="00105C87">
        <w:rPr>
          <w:rFonts w:eastAsiaTheme="minorEastAsia"/>
          <w:b/>
          <w:color w:val="000000" w:themeColor="text1"/>
          <w:kern w:val="0"/>
          <w:sz w:val="24"/>
        </w:rPr>
        <w:t>投资股票投资组合</w:t>
      </w:r>
    </w:p>
    <w:p w:rsidR="00774C7D" w:rsidRPr="00BF18E8" w:rsidRDefault="008624F9" w:rsidP="00774C7D">
      <w:pPr>
        <w:spacing w:line="360" w:lineRule="auto"/>
        <w:ind w:firstLineChars="200" w:firstLine="480"/>
        <w:rPr>
          <w:color w:val="000000"/>
          <w:sz w:val="24"/>
        </w:rPr>
      </w:pPr>
      <w:r w:rsidRPr="00BF18E8">
        <w:rPr>
          <w:color w:val="000000"/>
          <w:sz w:val="24"/>
        </w:rPr>
        <w:t>本基金本报告期末未持有通过港股通投资的股票。</w:t>
      </w:r>
    </w:p>
    <w:p w:rsidR="00774C7D" w:rsidRPr="00EC5CE0" w:rsidRDefault="00774C7D" w:rsidP="00774C7D">
      <w:pPr>
        <w:autoSpaceDE w:val="0"/>
        <w:autoSpaceDN w:val="0"/>
        <w:adjustRightInd w:val="0"/>
        <w:spacing w:line="360" w:lineRule="auto"/>
        <w:jc w:val="left"/>
        <w:rPr>
          <w:rFonts w:ascii="宋体" w:cs="Arial"/>
          <w:b/>
          <w:color w:val="000000"/>
          <w:kern w:val="0"/>
          <w:sz w:val="24"/>
        </w:rPr>
      </w:pPr>
      <w:r w:rsidRPr="00EC5CE0">
        <w:rPr>
          <w:rFonts w:ascii="宋体" w:hAnsi="宋体" w:cs="Arial"/>
          <w:b/>
          <w:color w:val="000000"/>
          <w:kern w:val="0"/>
          <w:sz w:val="24"/>
        </w:rPr>
        <w:t>5.3</w:t>
      </w:r>
      <w:r w:rsidRPr="007F456A">
        <w:rPr>
          <w:rFonts w:ascii="宋体" w:hAnsi="宋体" w:cs="Arial" w:hint="eastAsia"/>
          <w:b/>
          <w:color w:val="000000"/>
          <w:kern w:val="0"/>
          <w:sz w:val="24"/>
        </w:rPr>
        <w:t>报告期末按公允价值占基金资产净值比例大小排序的股票投资明细</w:t>
      </w:r>
    </w:p>
    <w:p w:rsidR="00774C7D" w:rsidRPr="00045BEC" w:rsidRDefault="00774C7D" w:rsidP="00774C7D">
      <w:pPr>
        <w:spacing w:line="360" w:lineRule="auto"/>
        <w:rPr>
          <w:rFonts w:ascii="宋体"/>
          <w:b/>
          <w:sz w:val="24"/>
        </w:rPr>
      </w:pPr>
      <w:r w:rsidRPr="00045BEC">
        <w:rPr>
          <w:rFonts w:ascii="宋体" w:hAnsi="宋体" w:cs="Arial"/>
          <w:b/>
          <w:color w:val="000000"/>
          <w:kern w:val="0"/>
          <w:sz w:val="24"/>
        </w:rPr>
        <w:t>5.3.1</w:t>
      </w:r>
      <w:r w:rsidR="00AB077A">
        <w:rPr>
          <w:rFonts w:ascii="宋体" w:hAnsi="宋体" w:cs="Arial" w:hint="eastAsia"/>
          <w:b/>
          <w:color w:val="000000"/>
          <w:kern w:val="0"/>
          <w:sz w:val="24"/>
        </w:rPr>
        <w:t>报告</w:t>
      </w:r>
      <w:r w:rsidRPr="00045BEC">
        <w:rPr>
          <w:rFonts w:ascii="宋体" w:hAnsi="宋体" w:cs="Arial" w:hint="eastAsia"/>
          <w:b/>
          <w:color w:val="000000"/>
          <w:kern w:val="0"/>
          <w:sz w:val="24"/>
        </w:rPr>
        <w:t>期末</w:t>
      </w:r>
      <w:r w:rsidRPr="00045BEC">
        <w:rPr>
          <w:rFonts w:ascii="宋体" w:hAnsi="宋体" w:hint="eastAsia"/>
          <w:b/>
          <w:sz w:val="24"/>
        </w:rPr>
        <w:t>指数投资按公允价值占基金资产净值比例大小排序的前十名股票投资明细</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559"/>
        <w:gridCol w:w="1843"/>
        <w:gridCol w:w="2268"/>
        <w:gridCol w:w="1134"/>
      </w:tblGrid>
      <w:tr w:rsidR="00774C7D" w:rsidRPr="00EC5CE0" w:rsidTr="002C4578">
        <w:tc>
          <w:tcPr>
            <w:tcW w:w="817" w:type="dxa"/>
            <w:vAlign w:val="center"/>
          </w:tcPr>
          <w:p w:rsidR="00774C7D" w:rsidRPr="00C1648E" w:rsidRDefault="00774C7D" w:rsidP="002C4578">
            <w:pPr>
              <w:spacing w:before="29" w:line="360" w:lineRule="auto"/>
              <w:ind w:left="17"/>
              <w:jc w:val="center"/>
              <w:rPr>
                <w:color w:val="000000"/>
                <w:sz w:val="24"/>
              </w:rPr>
            </w:pPr>
            <w:r w:rsidRPr="00C1648E">
              <w:rPr>
                <w:color w:val="000000"/>
                <w:sz w:val="24"/>
              </w:rPr>
              <w:t>序号</w:t>
            </w:r>
          </w:p>
        </w:tc>
        <w:tc>
          <w:tcPr>
            <w:tcW w:w="1276" w:type="dxa"/>
            <w:vAlign w:val="center"/>
          </w:tcPr>
          <w:p w:rsidR="00774C7D" w:rsidRPr="00C1648E" w:rsidRDefault="00774C7D" w:rsidP="002C4578">
            <w:pPr>
              <w:spacing w:before="29" w:line="360" w:lineRule="auto"/>
              <w:ind w:left="17"/>
              <w:jc w:val="center"/>
              <w:rPr>
                <w:color w:val="000000"/>
                <w:sz w:val="24"/>
              </w:rPr>
            </w:pPr>
            <w:r w:rsidRPr="00C1648E">
              <w:rPr>
                <w:color w:val="000000"/>
                <w:sz w:val="24"/>
              </w:rPr>
              <w:t>股票代码</w:t>
            </w:r>
          </w:p>
        </w:tc>
        <w:tc>
          <w:tcPr>
            <w:tcW w:w="1559" w:type="dxa"/>
            <w:vAlign w:val="center"/>
          </w:tcPr>
          <w:p w:rsidR="00774C7D" w:rsidRPr="00C1648E" w:rsidRDefault="00774C7D" w:rsidP="002C4578">
            <w:pPr>
              <w:spacing w:before="29" w:line="360" w:lineRule="auto"/>
              <w:ind w:left="17"/>
              <w:jc w:val="center"/>
              <w:rPr>
                <w:color w:val="000000"/>
                <w:sz w:val="24"/>
              </w:rPr>
            </w:pPr>
            <w:r w:rsidRPr="00C1648E">
              <w:rPr>
                <w:color w:val="000000"/>
                <w:sz w:val="24"/>
              </w:rPr>
              <w:t>股票名称</w:t>
            </w:r>
          </w:p>
        </w:tc>
        <w:tc>
          <w:tcPr>
            <w:tcW w:w="1843" w:type="dxa"/>
            <w:vAlign w:val="center"/>
          </w:tcPr>
          <w:p w:rsidR="00774C7D" w:rsidRPr="00C1648E" w:rsidRDefault="00774C7D" w:rsidP="002C4578">
            <w:pPr>
              <w:spacing w:before="29" w:line="360" w:lineRule="auto"/>
              <w:ind w:left="17"/>
              <w:jc w:val="center"/>
              <w:rPr>
                <w:color w:val="000000"/>
                <w:sz w:val="24"/>
              </w:rPr>
            </w:pPr>
            <w:r w:rsidRPr="00C1648E">
              <w:rPr>
                <w:color w:val="000000"/>
                <w:sz w:val="24"/>
              </w:rPr>
              <w:t>数量（股）</w:t>
            </w:r>
          </w:p>
        </w:tc>
        <w:tc>
          <w:tcPr>
            <w:tcW w:w="2268" w:type="dxa"/>
            <w:vAlign w:val="center"/>
          </w:tcPr>
          <w:p w:rsidR="00774C7D" w:rsidRPr="00C1648E" w:rsidRDefault="00774C7D" w:rsidP="002C4578">
            <w:pPr>
              <w:autoSpaceDE w:val="0"/>
              <w:autoSpaceDN w:val="0"/>
              <w:adjustRightInd w:val="0"/>
              <w:spacing w:before="29" w:line="360" w:lineRule="auto"/>
              <w:ind w:left="17"/>
              <w:jc w:val="center"/>
              <w:rPr>
                <w:color w:val="000000"/>
                <w:sz w:val="24"/>
              </w:rPr>
            </w:pPr>
            <w:r w:rsidRPr="00C1648E">
              <w:rPr>
                <w:color w:val="000000"/>
                <w:sz w:val="24"/>
              </w:rPr>
              <w:t>公允价值（元）</w:t>
            </w:r>
          </w:p>
        </w:tc>
        <w:tc>
          <w:tcPr>
            <w:tcW w:w="1134" w:type="dxa"/>
            <w:vAlign w:val="center"/>
          </w:tcPr>
          <w:p w:rsidR="00774C7D" w:rsidRPr="00C1648E" w:rsidRDefault="00774C7D" w:rsidP="002C4578">
            <w:pPr>
              <w:spacing w:before="29" w:line="360" w:lineRule="auto"/>
              <w:ind w:left="17"/>
              <w:jc w:val="center"/>
              <w:rPr>
                <w:color w:val="000000"/>
                <w:sz w:val="24"/>
              </w:rPr>
            </w:pPr>
            <w:r w:rsidRPr="00C1648E">
              <w:rPr>
                <w:color w:val="000000"/>
                <w:sz w:val="24"/>
              </w:rPr>
              <w:t>占基金资产净值比例</w:t>
            </w:r>
            <w:r w:rsidRPr="00C1648E">
              <w:rPr>
                <w:color w:val="000000"/>
                <w:sz w:val="24"/>
              </w:rPr>
              <w:t>(</w:t>
            </w:r>
            <w:r w:rsidRPr="00C1648E">
              <w:rPr>
                <w:color w:val="000000"/>
                <w:sz w:val="24"/>
              </w:rPr>
              <w:t>％</w:t>
            </w:r>
            <w:r w:rsidRPr="00C1648E">
              <w:rPr>
                <w:color w:val="000000"/>
                <w:sz w:val="24"/>
              </w:rPr>
              <w:t>)</w:t>
            </w:r>
          </w:p>
        </w:tc>
      </w:tr>
      <w:tr w:rsidR="00A9050D">
        <w:tc>
          <w:tcPr>
            <w:tcW w:w="817" w:type="dxa"/>
            <w:vAlign w:val="center"/>
          </w:tcPr>
          <w:p w:rsidR="00A9050D" w:rsidRDefault="00896817">
            <w:pPr>
              <w:jc w:val="center"/>
            </w:pPr>
            <w:r>
              <w:rPr>
                <w:color w:val="000000"/>
                <w:sz w:val="24"/>
              </w:rPr>
              <w:t>1</w:t>
            </w:r>
          </w:p>
        </w:tc>
        <w:tc>
          <w:tcPr>
            <w:tcW w:w="1276" w:type="dxa"/>
            <w:vAlign w:val="center"/>
          </w:tcPr>
          <w:p w:rsidR="00A9050D" w:rsidRDefault="00896817">
            <w:pPr>
              <w:jc w:val="center"/>
            </w:pPr>
            <w:r>
              <w:rPr>
                <w:color w:val="000000"/>
                <w:sz w:val="24"/>
              </w:rPr>
              <w:t>300750</w:t>
            </w:r>
          </w:p>
        </w:tc>
        <w:tc>
          <w:tcPr>
            <w:tcW w:w="1559" w:type="dxa"/>
            <w:vAlign w:val="center"/>
          </w:tcPr>
          <w:p w:rsidR="00A9050D" w:rsidRDefault="00896817">
            <w:pPr>
              <w:jc w:val="center"/>
            </w:pPr>
            <w:r>
              <w:rPr>
                <w:color w:val="000000"/>
                <w:sz w:val="24"/>
              </w:rPr>
              <w:t>宁德时代</w:t>
            </w:r>
          </w:p>
        </w:tc>
        <w:tc>
          <w:tcPr>
            <w:tcW w:w="1843" w:type="dxa"/>
            <w:vAlign w:val="center"/>
          </w:tcPr>
          <w:p w:rsidR="00A9050D" w:rsidRDefault="00896817">
            <w:pPr>
              <w:jc w:val="right"/>
            </w:pPr>
            <w:r>
              <w:rPr>
                <w:color w:val="000000"/>
                <w:sz w:val="24"/>
              </w:rPr>
              <w:t>513,370</w:t>
            </w:r>
          </w:p>
        </w:tc>
        <w:tc>
          <w:tcPr>
            <w:tcW w:w="2268" w:type="dxa"/>
            <w:vAlign w:val="center"/>
          </w:tcPr>
          <w:p w:rsidR="00A9050D" w:rsidRDefault="00896817">
            <w:pPr>
              <w:jc w:val="right"/>
            </w:pPr>
            <w:r>
              <w:rPr>
                <w:color w:val="000000"/>
                <w:sz w:val="24"/>
              </w:rPr>
              <w:t>107,397,004.00</w:t>
            </w:r>
          </w:p>
        </w:tc>
        <w:tc>
          <w:tcPr>
            <w:tcW w:w="1134" w:type="dxa"/>
            <w:vAlign w:val="center"/>
          </w:tcPr>
          <w:p w:rsidR="00A9050D" w:rsidRDefault="00896817">
            <w:pPr>
              <w:jc w:val="right"/>
            </w:pPr>
            <w:r>
              <w:rPr>
                <w:color w:val="000000"/>
                <w:sz w:val="24"/>
              </w:rPr>
              <w:t>9.32</w:t>
            </w:r>
          </w:p>
        </w:tc>
      </w:tr>
      <w:tr w:rsidR="00A9050D">
        <w:tc>
          <w:tcPr>
            <w:tcW w:w="817" w:type="dxa"/>
            <w:vAlign w:val="center"/>
          </w:tcPr>
          <w:p w:rsidR="00A9050D" w:rsidRDefault="00896817">
            <w:pPr>
              <w:jc w:val="center"/>
            </w:pPr>
            <w:r>
              <w:rPr>
                <w:color w:val="000000"/>
                <w:sz w:val="24"/>
              </w:rPr>
              <w:t>2</w:t>
            </w:r>
          </w:p>
        </w:tc>
        <w:tc>
          <w:tcPr>
            <w:tcW w:w="1276" w:type="dxa"/>
            <w:vAlign w:val="center"/>
          </w:tcPr>
          <w:p w:rsidR="00A9050D" w:rsidRDefault="00896817">
            <w:pPr>
              <w:jc w:val="center"/>
            </w:pPr>
            <w:r>
              <w:rPr>
                <w:color w:val="000000"/>
                <w:sz w:val="24"/>
              </w:rPr>
              <w:t>300059</w:t>
            </w:r>
          </w:p>
        </w:tc>
        <w:tc>
          <w:tcPr>
            <w:tcW w:w="1559" w:type="dxa"/>
            <w:vAlign w:val="center"/>
          </w:tcPr>
          <w:p w:rsidR="00A9050D" w:rsidRDefault="00896817">
            <w:pPr>
              <w:jc w:val="center"/>
            </w:pPr>
            <w:r>
              <w:rPr>
                <w:color w:val="000000"/>
                <w:sz w:val="24"/>
              </w:rPr>
              <w:t>东方财富</w:t>
            </w:r>
          </w:p>
        </w:tc>
        <w:tc>
          <w:tcPr>
            <w:tcW w:w="1843" w:type="dxa"/>
            <w:vAlign w:val="center"/>
          </w:tcPr>
          <w:p w:rsidR="00A9050D" w:rsidRDefault="00896817">
            <w:pPr>
              <w:jc w:val="right"/>
            </w:pPr>
            <w:r>
              <w:rPr>
                <w:color w:val="000000"/>
                <w:sz w:val="24"/>
              </w:rPr>
              <w:t>4,160,404</w:t>
            </w:r>
          </w:p>
        </w:tc>
        <w:tc>
          <w:tcPr>
            <w:tcW w:w="2268" w:type="dxa"/>
            <w:vAlign w:val="center"/>
          </w:tcPr>
          <w:p w:rsidR="00A9050D" w:rsidRDefault="00896817">
            <w:pPr>
              <w:jc w:val="right"/>
            </w:pPr>
            <w:r>
              <w:rPr>
                <w:color w:val="000000"/>
                <w:sz w:val="24"/>
              </w:rPr>
              <w:t>99,808,091.96</w:t>
            </w:r>
          </w:p>
        </w:tc>
        <w:tc>
          <w:tcPr>
            <w:tcW w:w="1134" w:type="dxa"/>
            <w:vAlign w:val="center"/>
          </w:tcPr>
          <w:p w:rsidR="00A9050D" w:rsidRDefault="00896817">
            <w:pPr>
              <w:jc w:val="right"/>
            </w:pPr>
            <w:r>
              <w:rPr>
                <w:color w:val="000000"/>
                <w:sz w:val="24"/>
              </w:rPr>
              <w:t>8.67</w:t>
            </w:r>
          </w:p>
        </w:tc>
      </w:tr>
      <w:tr w:rsidR="00A9050D">
        <w:tc>
          <w:tcPr>
            <w:tcW w:w="817" w:type="dxa"/>
            <w:vAlign w:val="center"/>
          </w:tcPr>
          <w:p w:rsidR="00A9050D" w:rsidRDefault="00896817">
            <w:pPr>
              <w:jc w:val="center"/>
            </w:pPr>
            <w:r>
              <w:rPr>
                <w:color w:val="000000"/>
                <w:sz w:val="24"/>
              </w:rPr>
              <w:t>3</w:t>
            </w:r>
          </w:p>
        </w:tc>
        <w:tc>
          <w:tcPr>
            <w:tcW w:w="1276" w:type="dxa"/>
            <w:vAlign w:val="center"/>
          </w:tcPr>
          <w:p w:rsidR="00A9050D" w:rsidRDefault="00896817">
            <w:pPr>
              <w:jc w:val="center"/>
            </w:pPr>
            <w:r>
              <w:rPr>
                <w:color w:val="000000"/>
                <w:sz w:val="24"/>
              </w:rPr>
              <w:t>300760</w:t>
            </w:r>
          </w:p>
        </w:tc>
        <w:tc>
          <w:tcPr>
            <w:tcW w:w="1559" w:type="dxa"/>
            <w:vAlign w:val="center"/>
          </w:tcPr>
          <w:p w:rsidR="00A9050D" w:rsidRDefault="00896817">
            <w:pPr>
              <w:jc w:val="center"/>
            </w:pPr>
            <w:r>
              <w:rPr>
                <w:color w:val="000000"/>
                <w:sz w:val="24"/>
              </w:rPr>
              <w:t>迈瑞医疗</w:t>
            </w:r>
          </w:p>
        </w:tc>
        <w:tc>
          <w:tcPr>
            <w:tcW w:w="1843" w:type="dxa"/>
            <w:vAlign w:val="center"/>
          </w:tcPr>
          <w:p w:rsidR="00A9050D" w:rsidRDefault="00896817">
            <w:pPr>
              <w:jc w:val="right"/>
            </w:pPr>
            <w:r>
              <w:rPr>
                <w:color w:val="000000"/>
                <w:sz w:val="24"/>
              </w:rPr>
              <w:t>256,500</w:t>
            </w:r>
          </w:p>
        </w:tc>
        <w:tc>
          <w:tcPr>
            <w:tcW w:w="2268" w:type="dxa"/>
            <w:vAlign w:val="center"/>
          </w:tcPr>
          <w:p w:rsidR="00A9050D" w:rsidRDefault="00896817">
            <w:pPr>
              <w:jc w:val="right"/>
            </w:pPr>
            <w:r>
              <w:rPr>
                <w:color w:val="000000"/>
                <w:sz w:val="24"/>
              </w:rPr>
              <w:t>89,262,000.00</w:t>
            </w:r>
          </w:p>
        </w:tc>
        <w:tc>
          <w:tcPr>
            <w:tcW w:w="1134" w:type="dxa"/>
            <w:vAlign w:val="center"/>
          </w:tcPr>
          <w:p w:rsidR="00A9050D" w:rsidRDefault="00896817">
            <w:pPr>
              <w:jc w:val="right"/>
            </w:pPr>
            <w:r>
              <w:rPr>
                <w:color w:val="000000"/>
                <w:sz w:val="24"/>
              </w:rPr>
              <w:t>7.75</w:t>
            </w:r>
          </w:p>
        </w:tc>
      </w:tr>
      <w:tr w:rsidR="00A9050D">
        <w:tc>
          <w:tcPr>
            <w:tcW w:w="817" w:type="dxa"/>
            <w:vAlign w:val="center"/>
          </w:tcPr>
          <w:p w:rsidR="00A9050D" w:rsidRDefault="00896817">
            <w:pPr>
              <w:jc w:val="center"/>
            </w:pPr>
            <w:r>
              <w:rPr>
                <w:color w:val="000000"/>
                <w:sz w:val="24"/>
              </w:rPr>
              <w:t>4</w:t>
            </w:r>
          </w:p>
        </w:tc>
        <w:tc>
          <w:tcPr>
            <w:tcW w:w="1276" w:type="dxa"/>
            <w:vAlign w:val="center"/>
          </w:tcPr>
          <w:p w:rsidR="00A9050D" w:rsidRDefault="00896817">
            <w:pPr>
              <w:jc w:val="center"/>
            </w:pPr>
            <w:r>
              <w:rPr>
                <w:color w:val="000000"/>
                <w:sz w:val="24"/>
              </w:rPr>
              <w:t>300015</w:t>
            </w:r>
          </w:p>
        </w:tc>
        <w:tc>
          <w:tcPr>
            <w:tcW w:w="1559" w:type="dxa"/>
            <w:vAlign w:val="center"/>
          </w:tcPr>
          <w:p w:rsidR="00A9050D" w:rsidRDefault="00896817">
            <w:pPr>
              <w:jc w:val="center"/>
            </w:pPr>
            <w:r>
              <w:rPr>
                <w:color w:val="000000"/>
                <w:sz w:val="24"/>
              </w:rPr>
              <w:t>爱尔眼科</w:t>
            </w:r>
          </w:p>
        </w:tc>
        <w:tc>
          <w:tcPr>
            <w:tcW w:w="1843" w:type="dxa"/>
            <w:vAlign w:val="center"/>
          </w:tcPr>
          <w:p w:rsidR="00A9050D" w:rsidRDefault="00896817">
            <w:pPr>
              <w:jc w:val="right"/>
            </w:pPr>
            <w:r>
              <w:rPr>
                <w:color w:val="000000"/>
                <w:sz w:val="24"/>
              </w:rPr>
              <w:t>1,065,290</w:t>
            </w:r>
          </w:p>
        </w:tc>
        <w:tc>
          <w:tcPr>
            <w:tcW w:w="2268" w:type="dxa"/>
            <w:vAlign w:val="center"/>
          </w:tcPr>
          <w:p w:rsidR="00A9050D" w:rsidRDefault="00896817">
            <w:pPr>
              <w:jc w:val="right"/>
            </w:pPr>
            <w:r>
              <w:rPr>
                <w:color w:val="000000"/>
                <w:sz w:val="24"/>
              </w:rPr>
              <w:t>54,777,211.80</w:t>
            </w:r>
          </w:p>
        </w:tc>
        <w:tc>
          <w:tcPr>
            <w:tcW w:w="1134" w:type="dxa"/>
            <w:vAlign w:val="center"/>
          </w:tcPr>
          <w:p w:rsidR="00A9050D" w:rsidRDefault="00896817">
            <w:pPr>
              <w:jc w:val="right"/>
            </w:pPr>
            <w:r>
              <w:rPr>
                <w:color w:val="000000"/>
                <w:sz w:val="24"/>
              </w:rPr>
              <w:t>4.76</w:t>
            </w:r>
          </w:p>
        </w:tc>
      </w:tr>
      <w:tr w:rsidR="00A9050D">
        <w:tc>
          <w:tcPr>
            <w:tcW w:w="817" w:type="dxa"/>
            <w:vAlign w:val="center"/>
          </w:tcPr>
          <w:p w:rsidR="00A9050D" w:rsidRDefault="00896817">
            <w:pPr>
              <w:jc w:val="center"/>
            </w:pPr>
            <w:r>
              <w:rPr>
                <w:color w:val="000000"/>
                <w:sz w:val="24"/>
              </w:rPr>
              <w:t>5</w:t>
            </w:r>
          </w:p>
        </w:tc>
        <w:tc>
          <w:tcPr>
            <w:tcW w:w="1276" w:type="dxa"/>
            <w:vAlign w:val="center"/>
          </w:tcPr>
          <w:p w:rsidR="00A9050D" w:rsidRDefault="00896817">
            <w:pPr>
              <w:jc w:val="center"/>
            </w:pPr>
            <w:r>
              <w:rPr>
                <w:color w:val="000000"/>
                <w:sz w:val="24"/>
              </w:rPr>
              <w:t>300122</w:t>
            </w:r>
          </w:p>
        </w:tc>
        <w:tc>
          <w:tcPr>
            <w:tcW w:w="1559" w:type="dxa"/>
            <w:vAlign w:val="center"/>
          </w:tcPr>
          <w:p w:rsidR="00A9050D" w:rsidRDefault="00896817">
            <w:pPr>
              <w:jc w:val="center"/>
            </w:pPr>
            <w:r>
              <w:rPr>
                <w:color w:val="000000"/>
                <w:sz w:val="24"/>
              </w:rPr>
              <w:t>智飞生物</w:t>
            </w:r>
          </w:p>
        </w:tc>
        <w:tc>
          <w:tcPr>
            <w:tcW w:w="1843" w:type="dxa"/>
            <w:vAlign w:val="center"/>
          </w:tcPr>
          <w:p w:rsidR="00A9050D" w:rsidRDefault="00896817">
            <w:pPr>
              <w:jc w:val="right"/>
            </w:pPr>
            <w:r>
              <w:rPr>
                <w:color w:val="000000"/>
                <w:sz w:val="24"/>
              </w:rPr>
              <w:t>344,303</w:t>
            </w:r>
          </w:p>
        </w:tc>
        <w:tc>
          <w:tcPr>
            <w:tcW w:w="2268" w:type="dxa"/>
            <w:vAlign w:val="center"/>
          </w:tcPr>
          <w:p w:rsidR="00A9050D" w:rsidRDefault="00896817">
            <w:pPr>
              <w:jc w:val="right"/>
            </w:pPr>
            <w:r>
              <w:rPr>
                <w:color w:val="000000"/>
                <w:sz w:val="24"/>
              </w:rPr>
              <w:t>47,964,850.93</w:t>
            </w:r>
          </w:p>
        </w:tc>
        <w:tc>
          <w:tcPr>
            <w:tcW w:w="1134" w:type="dxa"/>
            <w:vAlign w:val="center"/>
          </w:tcPr>
          <w:p w:rsidR="00A9050D" w:rsidRDefault="00896817">
            <w:pPr>
              <w:jc w:val="right"/>
            </w:pPr>
            <w:r>
              <w:rPr>
                <w:color w:val="000000"/>
                <w:sz w:val="24"/>
              </w:rPr>
              <w:t>4.16</w:t>
            </w:r>
          </w:p>
        </w:tc>
      </w:tr>
      <w:tr w:rsidR="00A9050D">
        <w:tc>
          <w:tcPr>
            <w:tcW w:w="817" w:type="dxa"/>
            <w:vAlign w:val="center"/>
          </w:tcPr>
          <w:p w:rsidR="00A9050D" w:rsidRDefault="00896817">
            <w:pPr>
              <w:jc w:val="center"/>
            </w:pPr>
            <w:r>
              <w:rPr>
                <w:color w:val="000000"/>
                <w:sz w:val="24"/>
              </w:rPr>
              <w:t>6</w:t>
            </w:r>
          </w:p>
        </w:tc>
        <w:tc>
          <w:tcPr>
            <w:tcW w:w="1276" w:type="dxa"/>
            <w:vAlign w:val="center"/>
          </w:tcPr>
          <w:p w:rsidR="00A9050D" w:rsidRDefault="00896817">
            <w:pPr>
              <w:jc w:val="center"/>
            </w:pPr>
            <w:r>
              <w:rPr>
                <w:color w:val="000000"/>
                <w:sz w:val="24"/>
              </w:rPr>
              <w:t>300142</w:t>
            </w:r>
          </w:p>
        </w:tc>
        <w:tc>
          <w:tcPr>
            <w:tcW w:w="1559" w:type="dxa"/>
            <w:vAlign w:val="center"/>
          </w:tcPr>
          <w:p w:rsidR="00A9050D" w:rsidRDefault="00896817">
            <w:pPr>
              <w:jc w:val="center"/>
            </w:pPr>
            <w:r>
              <w:rPr>
                <w:color w:val="000000"/>
                <w:sz w:val="24"/>
              </w:rPr>
              <w:t>沃森生物</w:t>
            </w:r>
          </w:p>
        </w:tc>
        <w:tc>
          <w:tcPr>
            <w:tcW w:w="1843" w:type="dxa"/>
            <w:vAlign w:val="center"/>
          </w:tcPr>
          <w:p w:rsidR="00A9050D" w:rsidRDefault="00896817">
            <w:pPr>
              <w:jc w:val="right"/>
            </w:pPr>
            <w:r>
              <w:rPr>
                <w:color w:val="000000"/>
                <w:sz w:val="24"/>
              </w:rPr>
              <w:t>913,704</w:t>
            </w:r>
          </w:p>
        </w:tc>
        <w:tc>
          <w:tcPr>
            <w:tcW w:w="2268" w:type="dxa"/>
            <w:vAlign w:val="center"/>
          </w:tcPr>
          <w:p w:rsidR="00A9050D" w:rsidRDefault="00896817">
            <w:pPr>
              <w:jc w:val="right"/>
            </w:pPr>
            <w:r>
              <w:rPr>
                <w:color w:val="000000"/>
                <w:sz w:val="24"/>
              </w:rPr>
              <w:t>46,489,259.52</w:t>
            </w:r>
          </w:p>
        </w:tc>
        <w:tc>
          <w:tcPr>
            <w:tcW w:w="1134" w:type="dxa"/>
            <w:vAlign w:val="center"/>
          </w:tcPr>
          <w:p w:rsidR="00A9050D" w:rsidRDefault="00896817">
            <w:pPr>
              <w:jc w:val="right"/>
            </w:pPr>
            <w:r>
              <w:rPr>
                <w:color w:val="000000"/>
                <w:sz w:val="24"/>
              </w:rPr>
              <w:t>4.04</w:t>
            </w:r>
          </w:p>
        </w:tc>
      </w:tr>
      <w:tr w:rsidR="00A9050D">
        <w:tc>
          <w:tcPr>
            <w:tcW w:w="817" w:type="dxa"/>
            <w:vAlign w:val="center"/>
          </w:tcPr>
          <w:p w:rsidR="00A9050D" w:rsidRDefault="00896817">
            <w:pPr>
              <w:jc w:val="center"/>
            </w:pPr>
            <w:r>
              <w:rPr>
                <w:color w:val="000000"/>
                <w:sz w:val="24"/>
              </w:rPr>
              <w:t>7</w:t>
            </w:r>
          </w:p>
        </w:tc>
        <w:tc>
          <w:tcPr>
            <w:tcW w:w="1276" w:type="dxa"/>
            <w:vAlign w:val="center"/>
          </w:tcPr>
          <w:p w:rsidR="00A9050D" w:rsidRDefault="00896817">
            <w:pPr>
              <w:jc w:val="center"/>
            </w:pPr>
            <w:r>
              <w:rPr>
                <w:color w:val="000000"/>
                <w:sz w:val="24"/>
              </w:rPr>
              <w:t>300124</w:t>
            </w:r>
          </w:p>
        </w:tc>
        <w:tc>
          <w:tcPr>
            <w:tcW w:w="1559" w:type="dxa"/>
            <w:vAlign w:val="center"/>
          </w:tcPr>
          <w:p w:rsidR="00A9050D" w:rsidRDefault="00896817">
            <w:pPr>
              <w:jc w:val="center"/>
            </w:pPr>
            <w:r>
              <w:rPr>
                <w:color w:val="000000"/>
                <w:sz w:val="24"/>
              </w:rPr>
              <w:t>汇川技术</w:t>
            </w:r>
          </w:p>
        </w:tc>
        <w:tc>
          <w:tcPr>
            <w:tcW w:w="1843" w:type="dxa"/>
            <w:vAlign w:val="center"/>
          </w:tcPr>
          <w:p w:rsidR="00A9050D" w:rsidRDefault="00896817">
            <w:pPr>
              <w:jc w:val="right"/>
            </w:pPr>
            <w:r>
              <w:rPr>
                <w:color w:val="000000"/>
                <w:sz w:val="24"/>
              </w:rPr>
              <w:t>700,273</w:t>
            </w:r>
          </w:p>
        </w:tc>
        <w:tc>
          <w:tcPr>
            <w:tcW w:w="2268" w:type="dxa"/>
            <w:vAlign w:val="center"/>
          </w:tcPr>
          <w:p w:rsidR="00A9050D" w:rsidRDefault="00896817">
            <w:pPr>
              <w:jc w:val="right"/>
            </w:pPr>
            <w:r>
              <w:rPr>
                <w:color w:val="000000"/>
                <w:sz w:val="24"/>
              </w:rPr>
              <w:t>40,545,806.70</w:t>
            </w:r>
          </w:p>
        </w:tc>
        <w:tc>
          <w:tcPr>
            <w:tcW w:w="1134" w:type="dxa"/>
            <w:vAlign w:val="center"/>
          </w:tcPr>
          <w:p w:rsidR="00A9050D" w:rsidRDefault="00896817">
            <w:pPr>
              <w:jc w:val="right"/>
            </w:pPr>
            <w:r>
              <w:rPr>
                <w:color w:val="000000"/>
                <w:sz w:val="24"/>
              </w:rPr>
              <w:t>3.52</w:t>
            </w:r>
          </w:p>
        </w:tc>
      </w:tr>
      <w:tr w:rsidR="00A9050D">
        <w:tc>
          <w:tcPr>
            <w:tcW w:w="817" w:type="dxa"/>
            <w:vAlign w:val="center"/>
          </w:tcPr>
          <w:p w:rsidR="00A9050D" w:rsidRDefault="00896817">
            <w:pPr>
              <w:jc w:val="center"/>
            </w:pPr>
            <w:r>
              <w:rPr>
                <w:color w:val="000000"/>
                <w:sz w:val="24"/>
              </w:rPr>
              <w:t>8</w:t>
            </w:r>
          </w:p>
        </w:tc>
        <w:tc>
          <w:tcPr>
            <w:tcW w:w="1276" w:type="dxa"/>
            <w:vAlign w:val="center"/>
          </w:tcPr>
          <w:p w:rsidR="00A9050D" w:rsidRDefault="00896817">
            <w:pPr>
              <w:jc w:val="center"/>
            </w:pPr>
            <w:r>
              <w:rPr>
                <w:color w:val="000000"/>
                <w:sz w:val="24"/>
              </w:rPr>
              <w:t>300014</w:t>
            </w:r>
          </w:p>
        </w:tc>
        <w:tc>
          <w:tcPr>
            <w:tcW w:w="1559" w:type="dxa"/>
            <w:vAlign w:val="center"/>
          </w:tcPr>
          <w:p w:rsidR="00A9050D" w:rsidRDefault="00896817">
            <w:pPr>
              <w:jc w:val="center"/>
            </w:pPr>
            <w:r>
              <w:rPr>
                <w:color w:val="000000"/>
                <w:sz w:val="24"/>
              </w:rPr>
              <w:t>亿纬锂能</w:t>
            </w:r>
          </w:p>
        </w:tc>
        <w:tc>
          <w:tcPr>
            <w:tcW w:w="1843" w:type="dxa"/>
            <w:vAlign w:val="center"/>
          </w:tcPr>
          <w:p w:rsidR="00A9050D" w:rsidRDefault="00896817">
            <w:pPr>
              <w:jc w:val="right"/>
            </w:pPr>
            <w:r>
              <w:rPr>
                <w:color w:val="000000"/>
                <w:sz w:val="24"/>
              </w:rPr>
              <w:t>757,031</w:t>
            </w:r>
          </w:p>
        </w:tc>
        <w:tc>
          <w:tcPr>
            <w:tcW w:w="2268" w:type="dxa"/>
            <w:vAlign w:val="center"/>
          </w:tcPr>
          <w:p w:rsidR="00A9050D" w:rsidRDefault="00896817">
            <w:pPr>
              <w:jc w:val="right"/>
            </w:pPr>
            <w:r>
              <w:rPr>
                <w:color w:val="000000"/>
                <w:sz w:val="24"/>
              </w:rPr>
              <w:t>37,473,034.50</w:t>
            </w:r>
          </w:p>
        </w:tc>
        <w:tc>
          <w:tcPr>
            <w:tcW w:w="1134" w:type="dxa"/>
            <w:vAlign w:val="center"/>
          </w:tcPr>
          <w:p w:rsidR="00A9050D" w:rsidRDefault="00896817">
            <w:pPr>
              <w:jc w:val="right"/>
            </w:pPr>
            <w:r>
              <w:rPr>
                <w:color w:val="000000"/>
                <w:sz w:val="24"/>
              </w:rPr>
              <w:t>3.25</w:t>
            </w:r>
          </w:p>
        </w:tc>
      </w:tr>
      <w:tr w:rsidR="00A9050D">
        <w:tc>
          <w:tcPr>
            <w:tcW w:w="817" w:type="dxa"/>
            <w:vAlign w:val="center"/>
          </w:tcPr>
          <w:p w:rsidR="00A9050D" w:rsidRDefault="00896817">
            <w:pPr>
              <w:jc w:val="center"/>
            </w:pPr>
            <w:r>
              <w:rPr>
                <w:color w:val="000000"/>
                <w:sz w:val="24"/>
              </w:rPr>
              <w:t>9</w:t>
            </w:r>
          </w:p>
        </w:tc>
        <w:tc>
          <w:tcPr>
            <w:tcW w:w="1276" w:type="dxa"/>
            <w:vAlign w:val="center"/>
          </w:tcPr>
          <w:p w:rsidR="00A9050D" w:rsidRDefault="00896817">
            <w:pPr>
              <w:jc w:val="center"/>
            </w:pPr>
            <w:r>
              <w:rPr>
                <w:color w:val="000000"/>
                <w:sz w:val="24"/>
              </w:rPr>
              <w:t>300601</w:t>
            </w:r>
          </w:p>
        </w:tc>
        <w:tc>
          <w:tcPr>
            <w:tcW w:w="1559" w:type="dxa"/>
            <w:vAlign w:val="center"/>
          </w:tcPr>
          <w:p w:rsidR="00A9050D" w:rsidRDefault="00896817">
            <w:pPr>
              <w:jc w:val="center"/>
            </w:pPr>
            <w:r>
              <w:rPr>
                <w:color w:val="000000"/>
                <w:sz w:val="24"/>
              </w:rPr>
              <w:t>康泰生物</w:t>
            </w:r>
          </w:p>
        </w:tc>
        <w:tc>
          <w:tcPr>
            <w:tcW w:w="1843" w:type="dxa"/>
            <w:vAlign w:val="center"/>
          </w:tcPr>
          <w:p w:rsidR="00A9050D" w:rsidRDefault="00896817">
            <w:pPr>
              <w:jc w:val="right"/>
            </w:pPr>
            <w:r>
              <w:rPr>
                <w:color w:val="000000"/>
                <w:sz w:val="24"/>
              </w:rPr>
              <w:t>185,565</w:t>
            </w:r>
          </w:p>
        </w:tc>
        <w:tc>
          <w:tcPr>
            <w:tcW w:w="2268" w:type="dxa"/>
            <w:vAlign w:val="center"/>
          </w:tcPr>
          <w:p w:rsidR="00A9050D" w:rsidRDefault="00896817">
            <w:pPr>
              <w:jc w:val="right"/>
            </w:pPr>
            <w:r>
              <w:rPr>
                <w:color w:val="000000"/>
                <w:sz w:val="24"/>
              </w:rPr>
              <w:t>33,774,685.65</w:t>
            </w:r>
          </w:p>
        </w:tc>
        <w:tc>
          <w:tcPr>
            <w:tcW w:w="1134" w:type="dxa"/>
            <w:vAlign w:val="center"/>
          </w:tcPr>
          <w:p w:rsidR="00A9050D" w:rsidRDefault="00896817">
            <w:pPr>
              <w:jc w:val="right"/>
            </w:pPr>
            <w:r>
              <w:rPr>
                <w:color w:val="000000"/>
                <w:sz w:val="24"/>
              </w:rPr>
              <w:t>2.93</w:t>
            </w:r>
          </w:p>
        </w:tc>
      </w:tr>
      <w:tr w:rsidR="00A9050D">
        <w:tc>
          <w:tcPr>
            <w:tcW w:w="817" w:type="dxa"/>
            <w:vAlign w:val="center"/>
          </w:tcPr>
          <w:p w:rsidR="00A9050D" w:rsidRDefault="00896817">
            <w:pPr>
              <w:jc w:val="center"/>
            </w:pPr>
            <w:r>
              <w:rPr>
                <w:color w:val="000000"/>
                <w:sz w:val="24"/>
              </w:rPr>
              <w:t>10</w:t>
            </w:r>
          </w:p>
        </w:tc>
        <w:tc>
          <w:tcPr>
            <w:tcW w:w="1276" w:type="dxa"/>
            <w:vAlign w:val="center"/>
          </w:tcPr>
          <w:p w:rsidR="00A9050D" w:rsidRDefault="00896817">
            <w:pPr>
              <w:jc w:val="center"/>
            </w:pPr>
            <w:r>
              <w:rPr>
                <w:color w:val="000000"/>
                <w:sz w:val="24"/>
              </w:rPr>
              <w:t>300347</w:t>
            </w:r>
          </w:p>
        </w:tc>
        <w:tc>
          <w:tcPr>
            <w:tcW w:w="1559" w:type="dxa"/>
            <w:vAlign w:val="center"/>
          </w:tcPr>
          <w:p w:rsidR="00A9050D" w:rsidRDefault="00896817">
            <w:pPr>
              <w:jc w:val="center"/>
            </w:pPr>
            <w:r>
              <w:rPr>
                <w:color w:val="000000"/>
                <w:sz w:val="24"/>
              </w:rPr>
              <w:t>泰格医药</w:t>
            </w:r>
          </w:p>
        </w:tc>
        <w:tc>
          <w:tcPr>
            <w:tcW w:w="1843" w:type="dxa"/>
            <w:vAlign w:val="center"/>
          </w:tcPr>
          <w:p w:rsidR="00A9050D" w:rsidRDefault="00896817">
            <w:pPr>
              <w:jc w:val="right"/>
            </w:pPr>
            <w:r>
              <w:rPr>
                <w:color w:val="000000"/>
                <w:sz w:val="24"/>
              </w:rPr>
              <w:t>323,249</w:t>
            </w:r>
          </w:p>
        </w:tc>
        <w:tc>
          <w:tcPr>
            <w:tcW w:w="2268" w:type="dxa"/>
            <w:vAlign w:val="center"/>
          </w:tcPr>
          <w:p w:rsidR="00A9050D" w:rsidRDefault="00896817">
            <w:pPr>
              <w:jc w:val="right"/>
            </w:pPr>
            <w:r>
              <w:rPr>
                <w:color w:val="000000"/>
                <w:sz w:val="24"/>
              </w:rPr>
              <w:t>33,278,484.55</w:t>
            </w:r>
          </w:p>
        </w:tc>
        <w:tc>
          <w:tcPr>
            <w:tcW w:w="1134" w:type="dxa"/>
            <w:vAlign w:val="center"/>
          </w:tcPr>
          <w:p w:rsidR="00A9050D" w:rsidRDefault="00896817">
            <w:pPr>
              <w:jc w:val="right"/>
            </w:pPr>
            <w:r>
              <w:rPr>
                <w:color w:val="000000"/>
                <w:sz w:val="24"/>
              </w:rPr>
              <w:t>2.89</w:t>
            </w:r>
          </w:p>
        </w:tc>
      </w:tr>
    </w:tbl>
    <w:p w:rsidR="00774C7D" w:rsidRPr="00045BEC" w:rsidRDefault="00774C7D" w:rsidP="00774C7D">
      <w:pPr>
        <w:spacing w:line="360" w:lineRule="auto"/>
        <w:rPr>
          <w:rFonts w:ascii="宋体"/>
          <w:b/>
          <w:sz w:val="24"/>
        </w:rPr>
      </w:pPr>
      <w:r w:rsidRPr="00045BEC">
        <w:rPr>
          <w:rFonts w:ascii="宋体" w:hAnsi="宋体" w:cs="Arial"/>
          <w:b/>
          <w:color w:val="000000"/>
          <w:kern w:val="0"/>
          <w:sz w:val="24"/>
        </w:rPr>
        <w:t>5.3.2</w:t>
      </w:r>
      <w:r w:rsidR="00AB077A">
        <w:rPr>
          <w:rFonts w:ascii="宋体" w:hAnsi="宋体" w:cs="Arial" w:hint="eastAsia"/>
          <w:b/>
          <w:color w:val="000000"/>
          <w:kern w:val="0"/>
          <w:sz w:val="24"/>
        </w:rPr>
        <w:t>报告</w:t>
      </w:r>
      <w:r w:rsidRPr="00045BEC">
        <w:rPr>
          <w:rFonts w:ascii="宋体" w:hAnsi="宋体" w:cs="Arial" w:hint="eastAsia"/>
          <w:b/>
          <w:color w:val="000000"/>
          <w:kern w:val="0"/>
          <w:sz w:val="24"/>
        </w:rPr>
        <w:t>期末</w:t>
      </w:r>
      <w:r w:rsidRPr="00045BEC">
        <w:rPr>
          <w:rFonts w:ascii="宋体" w:hAnsi="宋体" w:hint="eastAsia"/>
          <w:b/>
          <w:sz w:val="24"/>
        </w:rPr>
        <w:t>积极投资按公允价值占基金资产净值比例大小排序的前五名股票投资明细</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843"/>
        <w:gridCol w:w="2126"/>
        <w:gridCol w:w="1134"/>
      </w:tblGrid>
      <w:tr w:rsidR="00774C7D" w:rsidRPr="00EC5CE0" w:rsidTr="002C4578">
        <w:tc>
          <w:tcPr>
            <w:tcW w:w="817" w:type="dxa"/>
            <w:vAlign w:val="center"/>
          </w:tcPr>
          <w:p w:rsidR="00774C7D" w:rsidRPr="00C1648E" w:rsidRDefault="00774C7D" w:rsidP="002C4578">
            <w:pPr>
              <w:spacing w:before="29" w:line="360" w:lineRule="auto"/>
              <w:ind w:left="17"/>
              <w:jc w:val="center"/>
              <w:rPr>
                <w:color w:val="000000"/>
                <w:sz w:val="24"/>
              </w:rPr>
            </w:pPr>
            <w:r w:rsidRPr="00C1648E">
              <w:rPr>
                <w:color w:val="000000"/>
                <w:sz w:val="24"/>
              </w:rPr>
              <w:t>序号</w:t>
            </w:r>
          </w:p>
        </w:tc>
        <w:tc>
          <w:tcPr>
            <w:tcW w:w="1276" w:type="dxa"/>
            <w:vAlign w:val="center"/>
          </w:tcPr>
          <w:p w:rsidR="00774C7D" w:rsidRPr="00C1648E" w:rsidRDefault="00774C7D" w:rsidP="002C4578">
            <w:pPr>
              <w:spacing w:before="29" w:line="360" w:lineRule="auto"/>
              <w:ind w:left="17"/>
              <w:jc w:val="center"/>
              <w:rPr>
                <w:color w:val="000000"/>
                <w:sz w:val="24"/>
              </w:rPr>
            </w:pPr>
            <w:r w:rsidRPr="00C1648E">
              <w:rPr>
                <w:color w:val="000000"/>
                <w:sz w:val="24"/>
              </w:rPr>
              <w:t>股票代码</w:t>
            </w:r>
          </w:p>
        </w:tc>
        <w:tc>
          <w:tcPr>
            <w:tcW w:w="1701" w:type="dxa"/>
            <w:vAlign w:val="center"/>
          </w:tcPr>
          <w:p w:rsidR="00774C7D" w:rsidRPr="00C1648E" w:rsidRDefault="00774C7D" w:rsidP="002C4578">
            <w:pPr>
              <w:spacing w:before="29" w:line="360" w:lineRule="auto"/>
              <w:ind w:left="17"/>
              <w:jc w:val="center"/>
              <w:rPr>
                <w:color w:val="000000"/>
                <w:sz w:val="24"/>
              </w:rPr>
            </w:pPr>
            <w:r w:rsidRPr="00C1648E">
              <w:rPr>
                <w:color w:val="000000"/>
                <w:sz w:val="24"/>
              </w:rPr>
              <w:t>股票名称</w:t>
            </w:r>
          </w:p>
        </w:tc>
        <w:tc>
          <w:tcPr>
            <w:tcW w:w="1843" w:type="dxa"/>
            <w:vAlign w:val="center"/>
          </w:tcPr>
          <w:p w:rsidR="00774C7D" w:rsidRPr="00C1648E" w:rsidRDefault="00774C7D" w:rsidP="002C4578">
            <w:pPr>
              <w:spacing w:before="29" w:line="360" w:lineRule="auto"/>
              <w:ind w:left="17"/>
              <w:jc w:val="center"/>
              <w:rPr>
                <w:color w:val="000000"/>
                <w:sz w:val="24"/>
              </w:rPr>
            </w:pPr>
            <w:r w:rsidRPr="00C1648E">
              <w:rPr>
                <w:color w:val="000000"/>
                <w:sz w:val="24"/>
              </w:rPr>
              <w:t>数量（股）</w:t>
            </w:r>
          </w:p>
        </w:tc>
        <w:tc>
          <w:tcPr>
            <w:tcW w:w="2126" w:type="dxa"/>
            <w:vAlign w:val="center"/>
          </w:tcPr>
          <w:p w:rsidR="00774C7D" w:rsidRPr="00C1648E" w:rsidRDefault="00774C7D" w:rsidP="002C4578">
            <w:pPr>
              <w:autoSpaceDE w:val="0"/>
              <w:autoSpaceDN w:val="0"/>
              <w:adjustRightInd w:val="0"/>
              <w:spacing w:before="29" w:line="360" w:lineRule="auto"/>
              <w:ind w:left="17"/>
              <w:jc w:val="center"/>
              <w:rPr>
                <w:color w:val="000000"/>
                <w:sz w:val="24"/>
              </w:rPr>
            </w:pPr>
            <w:r w:rsidRPr="00C1648E">
              <w:rPr>
                <w:color w:val="000000"/>
                <w:sz w:val="24"/>
              </w:rPr>
              <w:t>公允价值（元）</w:t>
            </w:r>
          </w:p>
        </w:tc>
        <w:tc>
          <w:tcPr>
            <w:tcW w:w="1134" w:type="dxa"/>
            <w:vAlign w:val="center"/>
          </w:tcPr>
          <w:p w:rsidR="00774C7D" w:rsidRPr="00C1648E" w:rsidRDefault="00774C7D" w:rsidP="002C4578">
            <w:pPr>
              <w:spacing w:before="29" w:line="360" w:lineRule="auto"/>
              <w:ind w:left="17"/>
              <w:jc w:val="center"/>
              <w:rPr>
                <w:color w:val="000000"/>
                <w:sz w:val="24"/>
              </w:rPr>
            </w:pPr>
            <w:r w:rsidRPr="00C1648E">
              <w:rPr>
                <w:color w:val="000000"/>
                <w:sz w:val="24"/>
              </w:rPr>
              <w:t>占基金资产净值比例</w:t>
            </w:r>
            <w:r w:rsidRPr="00C1648E">
              <w:rPr>
                <w:color w:val="000000"/>
                <w:sz w:val="24"/>
              </w:rPr>
              <w:t>(</w:t>
            </w:r>
            <w:r w:rsidRPr="00C1648E">
              <w:rPr>
                <w:color w:val="000000"/>
                <w:sz w:val="24"/>
              </w:rPr>
              <w:t>％</w:t>
            </w:r>
            <w:r w:rsidRPr="00C1648E">
              <w:rPr>
                <w:color w:val="000000"/>
                <w:sz w:val="24"/>
              </w:rPr>
              <w:t>)</w:t>
            </w:r>
          </w:p>
        </w:tc>
      </w:tr>
      <w:tr w:rsidR="00A9050D">
        <w:tc>
          <w:tcPr>
            <w:tcW w:w="817" w:type="dxa"/>
            <w:vAlign w:val="center"/>
          </w:tcPr>
          <w:p w:rsidR="00A9050D" w:rsidRDefault="00896817">
            <w:pPr>
              <w:jc w:val="center"/>
            </w:pPr>
            <w:r>
              <w:rPr>
                <w:color w:val="000000"/>
                <w:sz w:val="24"/>
              </w:rPr>
              <w:t>1</w:t>
            </w:r>
          </w:p>
        </w:tc>
        <w:tc>
          <w:tcPr>
            <w:tcW w:w="1276" w:type="dxa"/>
            <w:vAlign w:val="center"/>
          </w:tcPr>
          <w:p w:rsidR="00A9050D" w:rsidRDefault="00896817">
            <w:pPr>
              <w:jc w:val="center"/>
            </w:pPr>
            <w:r>
              <w:rPr>
                <w:color w:val="000000"/>
                <w:sz w:val="24"/>
              </w:rPr>
              <w:t>300999</w:t>
            </w:r>
          </w:p>
        </w:tc>
        <w:tc>
          <w:tcPr>
            <w:tcW w:w="1701" w:type="dxa"/>
            <w:vAlign w:val="center"/>
          </w:tcPr>
          <w:p w:rsidR="00A9050D" w:rsidRDefault="00896817">
            <w:pPr>
              <w:jc w:val="center"/>
            </w:pPr>
            <w:r>
              <w:rPr>
                <w:color w:val="000000"/>
                <w:sz w:val="24"/>
              </w:rPr>
              <w:t>金龙鱼</w:t>
            </w:r>
          </w:p>
        </w:tc>
        <w:tc>
          <w:tcPr>
            <w:tcW w:w="1843" w:type="dxa"/>
            <w:vAlign w:val="center"/>
          </w:tcPr>
          <w:p w:rsidR="00A9050D" w:rsidRDefault="00896817">
            <w:pPr>
              <w:jc w:val="right"/>
            </w:pPr>
            <w:r>
              <w:rPr>
                <w:color w:val="000000"/>
                <w:sz w:val="24"/>
              </w:rPr>
              <w:t>63,140</w:t>
            </w:r>
          </w:p>
        </w:tc>
        <w:tc>
          <w:tcPr>
            <w:tcW w:w="2126" w:type="dxa"/>
            <w:vAlign w:val="center"/>
          </w:tcPr>
          <w:p w:rsidR="00A9050D" w:rsidRDefault="00896817">
            <w:pPr>
              <w:jc w:val="right"/>
            </w:pPr>
            <w:r>
              <w:rPr>
                <w:color w:val="000000"/>
                <w:sz w:val="24"/>
              </w:rPr>
              <w:t>1,622,698.00</w:t>
            </w:r>
          </w:p>
        </w:tc>
        <w:tc>
          <w:tcPr>
            <w:tcW w:w="1134" w:type="dxa"/>
            <w:vAlign w:val="center"/>
          </w:tcPr>
          <w:p w:rsidR="00A9050D" w:rsidRDefault="00896817">
            <w:pPr>
              <w:jc w:val="right"/>
            </w:pPr>
            <w:r>
              <w:rPr>
                <w:color w:val="000000"/>
                <w:sz w:val="24"/>
              </w:rPr>
              <w:t>0.14</w:t>
            </w:r>
          </w:p>
        </w:tc>
      </w:tr>
      <w:tr w:rsidR="00A9050D">
        <w:tc>
          <w:tcPr>
            <w:tcW w:w="817" w:type="dxa"/>
            <w:vAlign w:val="center"/>
          </w:tcPr>
          <w:p w:rsidR="00A9050D" w:rsidRDefault="00896817">
            <w:pPr>
              <w:jc w:val="center"/>
            </w:pPr>
            <w:r>
              <w:rPr>
                <w:color w:val="000000"/>
                <w:sz w:val="24"/>
              </w:rPr>
              <w:t>2</w:t>
            </w:r>
          </w:p>
        </w:tc>
        <w:tc>
          <w:tcPr>
            <w:tcW w:w="1276" w:type="dxa"/>
            <w:vAlign w:val="center"/>
          </w:tcPr>
          <w:p w:rsidR="00A9050D" w:rsidRDefault="00896817">
            <w:pPr>
              <w:jc w:val="center"/>
            </w:pPr>
            <w:r>
              <w:rPr>
                <w:color w:val="000000"/>
                <w:sz w:val="24"/>
              </w:rPr>
              <w:t>300896</w:t>
            </w:r>
          </w:p>
        </w:tc>
        <w:tc>
          <w:tcPr>
            <w:tcW w:w="1701" w:type="dxa"/>
            <w:vAlign w:val="center"/>
          </w:tcPr>
          <w:p w:rsidR="00A9050D" w:rsidRDefault="00896817">
            <w:pPr>
              <w:jc w:val="center"/>
            </w:pPr>
            <w:r>
              <w:rPr>
                <w:color w:val="000000"/>
                <w:sz w:val="24"/>
              </w:rPr>
              <w:t>爱美客</w:t>
            </w:r>
          </w:p>
        </w:tc>
        <w:tc>
          <w:tcPr>
            <w:tcW w:w="1843" w:type="dxa"/>
            <w:vAlign w:val="center"/>
          </w:tcPr>
          <w:p w:rsidR="00A9050D" w:rsidRDefault="00896817">
            <w:pPr>
              <w:jc w:val="right"/>
            </w:pPr>
            <w:r>
              <w:rPr>
                <w:color w:val="000000"/>
                <w:sz w:val="24"/>
              </w:rPr>
              <w:t>4,257</w:t>
            </w:r>
          </w:p>
        </w:tc>
        <w:tc>
          <w:tcPr>
            <w:tcW w:w="2126" w:type="dxa"/>
            <w:vAlign w:val="center"/>
          </w:tcPr>
          <w:p w:rsidR="00A9050D" w:rsidRDefault="00896817">
            <w:pPr>
              <w:jc w:val="right"/>
            </w:pPr>
            <w:r>
              <w:rPr>
                <w:color w:val="000000"/>
                <w:sz w:val="24"/>
              </w:rPr>
              <w:t>1,375,129.86</w:t>
            </w:r>
          </w:p>
        </w:tc>
        <w:tc>
          <w:tcPr>
            <w:tcW w:w="1134" w:type="dxa"/>
            <w:vAlign w:val="center"/>
          </w:tcPr>
          <w:p w:rsidR="00A9050D" w:rsidRDefault="00896817">
            <w:pPr>
              <w:jc w:val="right"/>
            </w:pPr>
            <w:r>
              <w:rPr>
                <w:color w:val="000000"/>
                <w:sz w:val="24"/>
              </w:rPr>
              <w:t>0.12</w:t>
            </w:r>
          </w:p>
        </w:tc>
      </w:tr>
      <w:tr w:rsidR="00A9050D">
        <w:tc>
          <w:tcPr>
            <w:tcW w:w="817" w:type="dxa"/>
            <w:vAlign w:val="center"/>
          </w:tcPr>
          <w:p w:rsidR="00A9050D" w:rsidRDefault="00896817">
            <w:pPr>
              <w:jc w:val="center"/>
            </w:pPr>
            <w:r>
              <w:rPr>
                <w:color w:val="000000"/>
                <w:sz w:val="24"/>
              </w:rPr>
              <w:t>3</w:t>
            </w:r>
          </w:p>
        </w:tc>
        <w:tc>
          <w:tcPr>
            <w:tcW w:w="1276" w:type="dxa"/>
            <w:vAlign w:val="center"/>
          </w:tcPr>
          <w:p w:rsidR="00A9050D" w:rsidRDefault="00896817">
            <w:pPr>
              <w:jc w:val="center"/>
            </w:pPr>
            <w:r>
              <w:rPr>
                <w:color w:val="000000"/>
                <w:sz w:val="24"/>
              </w:rPr>
              <w:t>300891</w:t>
            </w:r>
          </w:p>
        </w:tc>
        <w:tc>
          <w:tcPr>
            <w:tcW w:w="1701" w:type="dxa"/>
            <w:vAlign w:val="center"/>
          </w:tcPr>
          <w:p w:rsidR="00A9050D" w:rsidRDefault="00896817">
            <w:pPr>
              <w:jc w:val="center"/>
            </w:pPr>
            <w:r>
              <w:rPr>
                <w:color w:val="000000"/>
                <w:sz w:val="24"/>
              </w:rPr>
              <w:t>惠云钛业</w:t>
            </w:r>
          </w:p>
        </w:tc>
        <w:tc>
          <w:tcPr>
            <w:tcW w:w="1843" w:type="dxa"/>
            <w:vAlign w:val="center"/>
          </w:tcPr>
          <w:p w:rsidR="00A9050D" w:rsidRDefault="00896817">
            <w:pPr>
              <w:jc w:val="right"/>
            </w:pPr>
            <w:r>
              <w:rPr>
                <w:color w:val="000000"/>
                <w:sz w:val="24"/>
              </w:rPr>
              <w:t>11,425</w:t>
            </w:r>
          </w:p>
        </w:tc>
        <w:tc>
          <w:tcPr>
            <w:tcW w:w="2126" w:type="dxa"/>
            <w:vAlign w:val="center"/>
          </w:tcPr>
          <w:p w:rsidR="00A9050D" w:rsidRDefault="00896817">
            <w:pPr>
              <w:jc w:val="right"/>
            </w:pPr>
            <w:r>
              <w:rPr>
                <w:color w:val="000000"/>
                <w:sz w:val="24"/>
              </w:rPr>
              <w:t>216,980.66</w:t>
            </w:r>
          </w:p>
        </w:tc>
        <w:tc>
          <w:tcPr>
            <w:tcW w:w="1134" w:type="dxa"/>
            <w:vAlign w:val="center"/>
          </w:tcPr>
          <w:p w:rsidR="00A9050D" w:rsidRDefault="00896817">
            <w:pPr>
              <w:jc w:val="right"/>
            </w:pPr>
            <w:r>
              <w:rPr>
                <w:color w:val="000000"/>
                <w:sz w:val="24"/>
              </w:rPr>
              <w:t>0.02</w:t>
            </w:r>
          </w:p>
        </w:tc>
      </w:tr>
      <w:tr w:rsidR="00A9050D">
        <w:tc>
          <w:tcPr>
            <w:tcW w:w="817" w:type="dxa"/>
            <w:vAlign w:val="center"/>
          </w:tcPr>
          <w:p w:rsidR="00A9050D" w:rsidRDefault="00896817">
            <w:pPr>
              <w:jc w:val="center"/>
            </w:pPr>
            <w:r>
              <w:rPr>
                <w:color w:val="000000"/>
                <w:sz w:val="24"/>
              </w:rPr>
              <w:t>4</w:t>
            </w:r>
          </w:p>
        </w:tc>
        <w:tc>
          <w:tcPr>
            <w:tcW w:w="1276" w:type="dxa"/>
            <w:vAlign w:val="center"/>
          </w:tcPr>
          <w:p w:rsidR="00A9050D" w:rsidRDefault="00896817">
            <w:pPr>
              <w:jc w:val="center"/>
            </w:pPr>
            <w:r>
              <w:rPr>
                <w:color w:val="000000"/>
                <w:sz w:val="24"/>
              </w:rPr>
              <w:t>300887</w:t>
            </w:r>
          </w:p>
        </w:tc>
        <w:tc>
          <w:tcPr>
            <w:tcW w:w="1701" w:type="dxa"/>
            <w:vAlign w:val="center"/>
          </w:tcPr>
          <w:p w:rsidR="00A9050D" w:rsidRDefault="00896817">
            <w:pPr>
              <w:jc w:val="center"/>
            </w:pPr>
            <w:r>
              <w:rPr>
                <w:color w:val="000000"/>
                <w:sz w:val="24"/>
              </w:rPr>
              <w:t>谱尼测试</w:t>
            </w:r>
          </w:p>
        </w:tc>
        <w:tc>
          <w:tcPr>
            <w:tcW w:w="1843" w:type="dxa"/>
            <w:vAlign w:val="center"/>
          </w:tcPr>
          <w:p w:rsidR="00A9050D" w:rsidRDefault="00896817">
            <w:pPr>
              <w:jc w:val="right"/>
            </w:pPr>
            <w:r>
              <w:rPr>
                <w:color w:val="000000"/>
                <w:sz w:val="24"/>
              </w:rPr>
              <w:t>2,098</w:t>
            </w:r>
          </w:p>
        </w:tc>
        <w:tc>
          <w:tcPr>
            <w:tcW w:w="2126" w:type="dxa"/>
            <w:vAlign w:val="center"/>
          </w:tcPr>
          <w:p w:rsidR="00A9050D" w:rsidRDefault="00896817">
            <w:pPr>
              <w:jc w:val="right"/>
            </w:pPr>
            <w:r>
              <w:rPr>
                <w:color w:val="000000"/>
                <w:sz w:val="24"/>
              </w:rPr>
              <w:t>180,995.16</w:t>
            </w:r>
          </w:p>
        </w:tc>
        <w:tc>
          <w:tcPr>
            <w:tcW w:w="1134" w:type="dxa"/>
            <w:vAlign w:val="center"/>
          </w:tcPr>
          <w:p w:rsidR="00A9050D" w:rsidRDefault="00896817">
            <w:pPr>
              <w:jc w:val="right"/>
            </w:pPr>
            <w:r>
              <w:rPr>
                <w:color w:val="000000"/>
                <w:sz w:val="24"/>
              </w:rPr>
              <w:t>0.02</w:t>
            </w:r>
          </w:p>
        </w:tc>
      </w:tr>
      <w:tr w:rsidR="00A9050D">
        <w:tc>
          <w:tcPr>
            <w:tcW w:w="817" w:type="dxa"/>
            <w:vAlign w:val="center"/>
          </w:tcPr>
          <w:p w:rsidR="00A9050D" w:rsidRDefault="00896817">
            <w:pPr>
              <w:jc w:val="center"/>
            </w:pPr>
            <w:r>
              <w:rPr>
                <w:color w:val="000000"/>
                <w:sz w:val="24"/>
              </w:rPr>
              <w:t>5</w:t>
            </w:r>
          </w:p>
        </w:tc>
        <w:tc>
          <w:tcPr>
            <w:tcW w:w="1276" w:type="dxa"/>
            <w:vAlign w:val="center"/>
          </w:tcPr>
          <w:p w:rsidR="00A9050D" w:rsidRDefault="00896817">
            <w:pPr>
              <w:jc w:val="center"/>
            </w:pPr>
            <w:r>
              <w:rPr>
                <w:color w:val="000000"/>
                <w:sz w:val="24"/>
              </w:rPr>
              <w:t>300890</w:t>
            </w:r>
          </w:p>
        </w:tc>
        <w:tc>
          <w:tcPr>
            <w:tcW w:w="1701" w:type="dxa"/>
            <w:vAlign w:val="center"/>
          </w:tcPr>
          <w:p w:rsidR="00A9050D" w:rsidRDefault="00896817">
            <w:pPr>
              <w:jc w:val="center"/>
            </w:pPr>
            <w:r>
              <w:rPr>
                <w:color w:val="000000"/>
                <w:sz w:val="24"/>
              </w:rPr>
              <w:t>翔丰华</w:t>
            </w:r>
          </w:p>
        </w:tc>
        <w:tc>
          <w:tcPr>
            <w:tcW w:w="1843" w:type="dxa"/>
            <w:vAlign w:val="center"/>
          </w:tcPr>
          <w:p w:rsidR="00A9050D" w:rsidRDefault="00896817">
            <w:pPr>
              <w:jc w:val="right"/>
            </w:pPr>
            <w:r>
              <w:rPr>
                <w:color w:val="000000"/>
                <w:sz w:val="24"/>
              </w:rPr>
              <w:t>2,854</w:t>
            </w:r>
          </w:p>
        </w:tc>
        <w:tc>
          <w:tcPr>
            <w:tcW w:w="2126" w:type="dxa"/>
            <w:vAlign w:val="center"/>
          </w:tcPr>
          <w:p w:rsidR="00A9050D" w:rsidRDefault="00896817">
            <w:pPr>
              <w:jc w:val="right"/>
            </w:pPr>
            <w:r>
              <w:rPr>
                <w:color w:val="000000"/>
                <w:sz w:val="24"/>
              </w:rPr>
              <w:t>136,002.46</w:t>
            </w:r>
          </w:p>
        </w:tc>
        <w:tc>
          <w:tcPr>
            <w:tcW w:w="1134" w:type="dxa"/>
            <w:vAlign w:val="center"/>
          </w:tcPr>
          <w:p w:rsidR="00A9050D" w:rsidRDefault="00896817">
            <w:pPr>
              <w:jc w:val="right"/>
            </w:pPr>
            <w:r>
              <w:rPr>
                <w:color w:val="000000"/>
                <w:sz w:val="24"/>
              </w:rPr>
              <w:t>0.01</w:t>
            </w:r>
          </w:p>
        </w:tc>
      </w:tr>
    </w:tbl>
    <w:p w:rsidR="00712EE5" w:rsidRPr="00712EE5" w:rsidRDefault="00A62673" w:rsidP="00712EE5">
      <w:pPr>
        <w:autoSpaceDE w:val="0"/>
        <w:autoSpaceDN w:val="0"/>
        <w:adjustRightInd w:val="0"/>
        <w:spacing w:line="360" w:lineRule="auto"/>
        <w:jc w:val="left"/>
        <w:rPr>
          <w:rFonts w:eastAsiaTheme="minorEastAsia"/>
          <w:b/>
          <w:color w:val="000000" w:themeColor="text1"/>
          <w:kern w:val="0"/>
          <w:sz w:val="24"/>
        </w:rPr>
      </w:pPr>
      <w:r w:rsidRPr="00EC5CE0">
        <w:rPr>
          <w:rFonts w:ascii="宋体" w:hAnsi="宋体" w:cs="Arial"/>
          <w:b/>
          <w:color w:val="000000"/>
          <w:kern w:val="0"/>
          <w:sz w:val="24"/>
        </w:rPr>
        <w:t xml:space="preserve">5.4 </w:t>
      </w:r>
      <w:r w:rsidRPr="00EC5CE0">
        <w:rPr>
          <w:rFonts w:ascii="宋体" w:hAnsi="宋体" w:cs="Arial" w:hint="eastAsia"/>
          <w:b/>
          <w:color w:val="000000"/>
          <w:kern w:val="0"/>
          <w:sz w:val="24"/>
        </w:rPr>
        <w:t>报告期末按债券品种分类的债券投资组合</w:t>
      </w:r>
    </w:p>
    <w:p w:rsidR="00A62673" w:rsidRPr="00BF18E8" w:rsidRDefault="00712EE5" w:rsidP="00712EE5">
      <w:pPr>
        <w:spacing w:line="360" w:lineRule="auto"/>
        <w:ind w:firstLineChars="200" w:firstLine="480"/>
        <w:rPr>
          <w:color w:val="000000"/>
          <w:sz w:val="24"/>
        </w:rPr>
      </w:pPr>
      <w:r w:rsidRPr="00BF18E8">
        <w:rPr>
          <w:color w:val="000000"/>
          <w:sz w:val="24"/>
        </w:rPr>
        <w:t>本基金本报告期末未持有债券。</w:t>
      </w:r>
    </w:p>
    <w:p w:rsidR="00A62673" w:rsidRPr="00EC5CE0" w:rsidRDefault="00A62673" w:rsidP="00045BEC">
      <w:pPr>
        <w:autoSpaceDE w:val="0"/>
        <w:autoSpaceDN w:val="0"/>
        <w:adjustRightInd w:val="0"/>
        <w:spacing w:line="360" w:lineRule="auto"/>
        <w:jc w:val="left"/>
        <w:rPr>
          <w:rFonts w:ascii="宋体" w:cs="Arial"/>
          <w:b/>
          <w:color w:val="000000"/>
          <w:kern w:val="0"/>
          <w:sz w:val="24"/>
        </w:rPr>
      </w:pPr>
      <w:r w:rsidRPr="00EC5CE0">
        <w:rPr>
          <w:rFonts w:ascii="宋体" w:hAnsi="宋体" w:cs="Arial"/>
          <w:b/>
          <w:color w:val="000000"/>
          <w:kern w:val="0"/>
          <w:sz w:val="24"/>
        </w:rPr>
        <w:t xml:space="preserve">5.5 </w:t>
      </w:r>
      <w:r w:rsidRPr="00EC5CE0">
        <w:rPr>
          <w:rFonts w:ascii="宋体" w:hAnsi="宋体" w:cs="Arial" w:hint="eastAsia"/>
          <w:b/>
          <w:color w:val="000000"/>
          <w:kern w:val="0"/>
          <w:sz w:val="24"/>
        </w:rPr>
        <w:t>报告期末按公允价值占基金资产净值比例大小排</w:t>
      </w:r>
      <w:r>
        <w:rPr>
          <w:rFonts w:ascii="宋体" w:hAnsi="宋体" w:cs="Arial" w:hint="eastAsia"/>
          <w:b/>
          <w:color w:val="000000"/>
          <w:kern w:val="0"/>
          <w:sz w:val="24"/>
        </w:rPr>
        <w:t>序</w:t>
      </w:r>
      <w:r w:rsidRPr="00EC5CE0">
        <w:rPr>
          <w:rFonts w:ascii="宋体" w:hAnsi="宋体" w:cs="Arial" w:hint="eastAsia"/>
          <w:b/>
          <w:color w:val="000000"/>
          <w:kern w:val="0"/>
          <w:sz w:val="24"/>
        </w:rPr>
        <w:t>的前五名债券投资明细</w:t>
      </w:r>
    </w:p>
    <w:p w:rsidR="00A62673" w:rsidRPr="00C1648E" w:rsidRDefault="00A62673" w:rsidP="00C1648E">
      <w:pPr>
        <w:spacing w:line="360" w:lineRule="auto"/>
        <w:ind w:firstLineChars="200" w:firstLine="480"/>
        <w:rPr>
          <w:color w:val="000000"/>
          <w:sz w:val="24"/>
        </w:rPr>
      </w:pPr>
      <w:r w:rsidRPr="00DC315B">
        <w:rPr>
          <w:color w:val="000000"/>
          <w:sz w:val="24"/>
        </w:rPr>
        <w:t>本基金本报告期末未持有债券。</w:t>
      </w:r>
    </w:p>
    <w:p w:rsidR="00A62673" w:rsidRPr="00EC5CE0" w:rsidRDefault="00A62673" w:rsidP="00045BEC">
      <w:pPr>
        <w:autoSpaceDE w:val="0"/>
        <w:autoSpaceDN w:val="0"/>
        <w:adjustRightInd w:val="0"/>
        <w:spacing w:line="360" w:lineRule="auto"/>
        <w:jc w:val="left"/>
        <w:rPr>
          <w:rFonts w:ascii="宋体" w:cs="Arial"/>
          <w:b/>
          <w:color w:val="000000"/>
          <w:kern w:val="0"/>
          <w:sz w:val="24"/>
        </w:rPr>
      </w:pPr>
      <w:r w:rsidRPr="00EC5CE0">
        <w:rPr>
          <w:rFonts w:ascii="宋体" w:hAnsi="宋体" w:cs="Arial"/>
          <w:b/>
          <w:color w:val="000000"/>
          <w:kern w:val="0"/>
          <w:sz w:val="24"/>
        </w:rPr>
        <w:t>5.6</w:t>
      </w:r>
      <w:r w:rsidRPr="00EC5CE0">
        <w:rPr>
          <w:rFonts w:ascii="宋体" w:hAnsi="宋体" w:cs="Arial" w:hint="eastAsia"/>
          <w:b/>
          <w:color w:val="000000"/>
          <w:kern w:val="0"/>
          <w:sz w:val="24"/>
        </w:rPr>
        <w:t>报告期末按公允价值占基金资产净值比例大小排</w:t>
      </w:r>
      <w:r>
        <w:rPr>
          <w:rFonts w:ascii="宋体" w:hAnsi="宋体" w:cs="Arial" w:hint="eastAsia"/>
          <w:b/>
          <w:color w:val="000000"/>
          <w:kern w:val="0"/>
          <w:sz w:val="24"/>
        </w:rPr>
        <w:t>序</w:t>
      </w:r>
      <w:r w:rsidRPr="00EC5CE0">
        <w:rPr>
          <w:rFonts w:ascii="宋体" w:hAnsi="宋体" w:cs="Arial" w:hint="eastAsia"/>
          <w:b/>
          <w:color w:val="000000"/>
          <w:kern w:val="0"/>
          <w:sz w:val="24"/>
        </w:rPr>
        <w:t>的前十名资产支持证券投资明细</w:t>
      </w:r>
    </w:p>
    <w:p w:rsidR="00A62673" w:rsidRPr="00C1648E" w:rsidRDefault="00A62673" w:rsidP="00C1648E">
      <w:pPr>
        <w:spacing w:line="360" w:lineRule="auto"/>
        <w:ind w:firstLineChars="200" w:firstLine="480"/>
        <w:rPr>
          <w:color w:val="000000"/>
          <w:sz w:val="24"/>
        </w:rPr>
      </w:pPr>
      <w:r w:rsidRPr="00DC315B">
        <w:rPr>
          <w:color w:val="000000"/>
          <w:sz w:val="24"/>
        </w:rPr>
        <w:t>本基金本报告期末未持有资产支持证券。</w:t>
      </w:r>
    </w:p>
    <w:p w:rsidR="00A62673" w:rsidRPr="001D63BB" w:rsidRDefault="00A62673" w:rsidP="008021E8">
      <w:pPr>
        <w:autoSpaceDE w:val="0"/>
        <w:autoSpaceDN w:val="0"/>
        <w:adjustRightInd w:val="0"/>
        <w:spacing w:line="360" w:lineRule="auto"/>
        <w:jc w:val="left"/>
        <w:rPr>
          <w:rFonts w:ascii="宋体"/>
          <w:b/>
          <w:bCs/>
          <w:color w:val="000000"/>
          <w:kern w:val="0"/>
          <w:sz w:val="24"/>
        </w:rPr>
      </w:pPr>
      <w:r w:rsidRPr="001B0A62">
        <w:rPr>
          <w:rFonts w:ascii="宋体" w:hAnsi="宋体"/>
          <w:b/>
          <w:bCs/>
          <w:color w:val="000000"/>
          <w:kern w:val="0"/>
          <w:sz w:val="24"/>
        </w:rPr>
        <w:t>5.</w:t>
      </w:r>
      <w:r w:rsidRPr="001B0A62">
        <w:rPr>
          <w:rFonts w:ascii="宋体"/>
          <w:b/>
          <w:bCs/>
          <w:color w:val="000000"/>
          <w:kern w:val="0"/>
          <w:sz w:val="24"/>
        </w:rPr>
        <w:t>7</w:t>
      </w:r>
      <w:r w:rsidRPr="001D63BB">
        <w:rPr>
          <w:rFonts w:ascii="宋体" w:hAnsi="宋体" w:hint="eastAsia"/>
          <w:b/>
          <w:bCs/>
          <w:color w:val="000000"/>
          <w:kern w:val="0"/>
          <w:sz w:val="24"/>
        </w:rPr>
        <w:t>报告期末按公允价值占基金资产净值比例大小排序的前五名贵金属投资明细</w:t>
      </w:r>
    </w:p>
    <w:p w:rsidR="00A62673" w:rsidRPr="00C1648E" w:rsidRDefault="00A62673" w:rsidP="00C1648E">
      <w:pPr>
        <w:spacing w:line="360" w:lineRule="auto"/>
        <w:ind w:firstLineChars="200" w:firstLine="480"/>
        <w:rPr>
          <w:color w:val="000000"/>
          <w:sz w:val="24"/>
        </w:rPr>
      </w:pPr>
      <w:r w:rsidRPr="00DC315B">
        <w:rPr>
          <w:color w:val="000000"/>
          <w:sz w:val="24"/>
        </w:rPr>
        <w:t>本基金本报告期末未持有贵金属。</w:t>
      </w:r>
    </w:p>
    <w:p w:rsidR="00A62673" w:rsidRPr="00EC5CE0" w:rsidRDefault="00A62673" w:rsidP="00045BEC">
      <w:pPr>
        <w:autoSpaceDE w:val="0"/>
        <w:autoSpaceDN w:val="0"/>
        <w:adjustRightInd w:val="0"/>
        <w:spacing w:line="360" w:lineRule="auto"/>
        <w:jc w:val="left"/>
        <w:rPr>
          <w:rFonts w:ascii="宋体" w:cs="Arial"/>
          <w:b/>
          <w:color w:val="000000"/>
          <w:kern w:val="0"/>
          <w:sz w:val="24"/>
        </w:rPr>
      </w:pPr>
      <w:r w:rsidRPr="00EC5CE0">
        <w:rPr>
          <w:rFonts w:ascii="宋体" w:cs="Arial"/>
          <w:b/>
          <w:color w:val="000000"/>
          <w:kern w:val="0"/>
          <w:sz w:val="24"/>
        </w:rPr>
        <w:t>5.8</w:t>
      </w:r>
      <w:r w:rsidRPr="00EC5CE0">
        <w:rPr>
          <w:rFonts w:ascii="宋体" w:hAnsi="宋体" w:hint="eastAsia"/>
          <w:b/>
          <w:bCs/>
          <w:color w:val="000000"/>
          <w:sz w:val="24"/>
        </w:rPr>
        <w:t>报告期末按公允价值占基金资产净值比例大小排</w:t>
      </w:r>
      <w:r>
        <w:rPr>
          <w:rFonts w:ascii="宋体" w:hAnsi="宋体" w:hint="eastAsia"/>
          <w:b/>
          <w:bCs/>
          <w:color w:val="000000"/>
          <w:sz w:val="24"/>
        </w:rPr>
        <w:t>序</w:t>
      </w:r>
      <w:r w:rsidRPr="00EC5CE0">
        <w:rPr>
          <w:rFonts w:ascii="宋体" w:hAnsi="宋体" w:hint="eastAsia"/>
          <w:b/>
          <w:bCs/>
          <w:color w:val="000000"/>
          <w:sz w:val="24"/>
        </w:rPr>
        <w:t>的前五名权证投资明细</w:t>
      </w:r>
    </w:p>
    <w:p w:rsidR="00A62673" w:rsidRPr="00C1648E" w:rsidRDefault="00A62673" w:rsidP="00C1648E">
      <w:pPr>
        <w:spacing w:line="360" w:lineRule="auto"/>
        <w:ind w:firstLineChars="200" w:firstLine="480"/>
        <w:rPr>
          <w:color w:val="000000"/>
          <w:sz w:val="24"/>
        </w:rPr>
      </w:pPr>
      <w:r w:rsidRPr="00DC315B">
        <w:rPr>
          <w:color w:val="000000"/>
          <w:sz w:val="24"/>
        </w:rPr>
        <w:t>本基金本报告期末未持有权证。</w:t>
      </w:r>
    </w:p>
    <w:p w:rsidR="00A62673" w:rsidRPr="00EC5CE0" w:rsidRDefault="00A62673" w:rsidP="00045BEC">
      <w:pPr>
        <w:adjustRightInd w:val="0"/>
        <w:snapToGrid w:val="0"/>
        <w:spacing w:line="360" w:lineRule="auto"/>
        <w:rPr>
          <w:rFonts w:ascii="宋体"/>
          <w:b/>
          <w:sz w:val="24"/>
        </w:rPr>
      </w:pPr>
      <w:r w:rsidRPr="00EC5CE0">
        <w:rPr>
          <w:rFonts w:ascii="宋体" w:hAnsi="宋体"/>
          <w:b/>
          <w:sz w:val="24"/>
        </w:rPr>
        <w:t xml:space="preserve">5.9 </w:t>
      </w:r>
      <w:r w:rsidRPr="00EC5CE0">
        <w:rPr>
          <w:rFonts w:ascii="宋体" w:hAnsi="宋体" w:hint="eastAsia"/>
          <w:b/>
          <w:sz w:val="24"/>
        </w:rPr>
        <w:t>报告期末本基金投资的股指期货交易情况说明</w:t>
      </w:r>
    </w:p>
    <w:p w:rsidR="00A62673" w:rsidRPr="00C1648E" w:rsidRDefault="00A62673" w:rsidP="00C1648E">
      <w:pPr>
        <w:spacing w:line="360" w:lineRule="auto"/>
        <w:ind w:firstLineChars="200" w:firstLine="480"/>
        <w:rPr>
          <w:color w:val="000000"/>
          <w:sz w:val="24"/>
        </w:rPr>
      </w:pPr>
      <w:r w:rsidRPr="00DC315B">
        <w:rPr>
          <w:color w:val="000000"/>
          <w:sz w:val="24"/>
        </w:rPr>
        <w:t>本基金本报告期末未持有股指期货。</w:t>
      </w:r>
    </w:p>
    <w:p w:rsidR="00A62673" w:rsidRPr="00EC5CE0" w:rsidRDefault="00A62673" w:rsidP="00045BEC">
      <w:pPr>
        <w:adjustRightInd w:val="0"/>
        <w:snapToGrid w:val="0"/>
        <w:spacing w:line="360" w:lineRule="auto"/>
        <w:rPr>
          <w:rFonts w:ascii="宋体"/>
          <w:b/>
          <w:sz w:val="24"/>
        </w:rPr>
      </w:pPr>
      <w:r w:rsidRPr="00EC5CE0">
        <w:rPr>
          <w:rFonts w:ascii="宋体" w:hAnsi="宋体"/>
          <w:b/>
          <w:sz w:val="24"/>
        </w:rPr>
        <w:t>5.10</w:t>
      </w:r>
      <w:r w:rsidRPr="00EC5CE0">
        <w:rPr>
          <w:rFonts w:ascii="宋体" w:hAnsi="宋体" w:hint="eastAsia"/>
          <w:b/>
          <w:sz w:val="24"/>
        </w:rPr>
        <w:t>报告期末本基金投资的国债期货交易情况说明</w:t>
      </w:r>
    </w:p>
    <w:p w:rsidR="00A62673" w:rsidRPr="00DC315B" w:rsidRDefault="00A62673" w:rsidP="00DC315B">
      <w:pPr>
        <w:spacing w:line="360" w:lineRule="auto"/>
        <w:ind w:firstLineChars="200" w:firstLine="480"/>
        <w:rPr>
          <w:color w:val="000000"/>
          <w:sz w:val="24"/>
        </w:rPr>
      </w:pPr>
      <w:r w:rsidRPr="00DC315B">
        <w:rPr>
          <w:color w:val="000000"/>
          <w:sz w:val="24"/>
        </w:rPr>
        <w:t>本基金本报告期末未持有国债期货。</w:t>
      </w:r>
    </w:p>
    <w:p w:rsidR="00A62673" w:rsidRPr="00EC5CE0" w:rsidRDefault="00A62673" w:rsidP="00045BEC">
      <w:pPr>
        <w:autoSpaceDE w:val="0"/>
        <w:autoSpaceDN w:val="0"/>
        <w:adjustRightInd w:val="0"/>
        <w:spacing w:line="360" w:lineRule="auto"/>
        <w:jc w:val="left"/>
        <w:rPr>
          <w:rFonts w:ascii="宋体" w:cs="Arial"/>
          <w:b/>
          <w:color w:val="000000"/>
          <w:kern w:val="0"/>
          <w:sz w:val="24"/>
        </w:rPr>
      </w:pPr>
      <w:r w:rsidRPr="00EC5CE0">
        <w:rPr>
          <w:rFonts w:ascii="宋体" w:hAnsi="宋体" w:cs="Arial"/>
          <w:b/>
          <w:color w:val="000000"/>
          <w:kern w:val="0"/>
          <w:sz w:val="24"/>
        </w:rPr>
        <w:t>5.11</w:t>
      </w:r>
      <w:r w:rsidRPr="00EC5CE0">
        <w:rPr>
          <w:rFonts w:ascii="宋体" w:hAnsi="宋体" w:cs="Arial" w:hint="eastAsia"/>
          <w:b/>
          <w:color w:val="000000"/>
          <w:kern w:val="0"/>
          <w:sz w:val="24"/>
        </w:rPr>
        <w:t>投资组合报告附注</w:t>
      </w:r>
    </w:p>
    <w:p w:rsidR="000D34E3" w:rsidRPr="00D435A4" w:rsidRDefault="000D34E3" w:rsidP="00896817">
      <w:pPr>
        <w:spacing w:line="360" w:lineRule="auto"/>
        <w:rPr>
          <w:rFonts w:eastAsiaTheme="minorEastAsia"/>
          <w:color w:val="000000"/>
          <w:sz w:val="24"/>
        </w:rPr>
      </w:pPr>
      <w:r w:rsidRPr="0015516B">
        <w:rPr>
          <w:rFonts w:asciiTheme="minorEastAsia" w:eastAsiaTheme="minorEastAsia" w:hAnsiTheme="minorEastAsia" w:hint="eastAsia"/>
          <w:b/>
          <w:color w:val="000000"/>
          <w:sz w:val="24"/>
        </w:rPr>
        <w:t>5.11.1</w:t>
      </w:r>
      <w:r w:rsidRPr="00D435A4">
        <w:rPr>
          <w:rFonts w:eastAsiaTheme="minorEastAsia"/>
          <w:color w:val="000000"/>
          <w:sz w:val="24"/>
        </w:rPr>
        <w:t>报告期内本基金投资的前十名证券的发行主体未被监管部门立案调查，在本报告编制日前一年内本基金投资的前十名证券的发行主体未受到公开谴责和处罚。</w:t>
      </w:r>
    </w:p>
    <w:p w:rsidR="000D34E3" w:rsidRPr="005619D8" w:rsidRDefault="000D34E3" w:rsidP="00896817">
      <w:pPr>
        <w:spacing w:line="360" w:lineRule="auto"/>
        <w:rPr>
          <w:rFonts w:asciiTheme="minorEastAsia" w:eastAsiaTheme="minorEastAsia" w:hAnsiTheme="minorEastAsia"/>
          <w:color w:val="000000"/>
          <w:sz w:val="24"/>
        </w:rPr>
      </w:pPr>
      <w:r w:rsidRPr="0015516B">
        <w:rPr>
          <w:rFonts w:asciiTheme="minorEastAsia" w:eastAsiaTheme="minorEastAsia" w:hAnsiTheme="minorEastAsia" w:hint="eastAsia"/>
          <w:b/>
          <w:color w:val="000000"/>
          <w:sz w:val="24"/>
        </w:rPr>
        <w:t>5.11.2</w:t>
      </w:r>
      <w:r w:rsidR="00AB077A" w:rsidRPr="0015516B">
        <w:rPr>
          <w:rFonts w:asciiTheme="minorEastAsia" w:eastAsiaTheme="minorEastAsia" w:hAnsiTheme="minorEastAsia"/>
          <w:b/>
          <w:color w:val="000000"/>
          <w:sz w:val="24"/>
        </w:rPr>
        <w:t xml:space="preserve"> </w:t>
      </w:r>
      <w:r w:rsidRPr="00D435A4">
        <w:rPr>
          <w:rFonts w:eastAsiaTheme="minorEastAsia"/>
          <w:color w:val="000000"/>
          <w:sz w:val="24"/>
        </w:rPr>
        <w:t>本基金投资的前十名股票中，没有超出基金合同规定的备选股票库之外的股票。</w:t>
      </w:r>
    </w:p>
    <w:p w:rsidR="00A62673" w:rsidRPr="00320C1E" w:rsidRDefault="00A62673" w:rsidP="00045BEC">
      <w:pPr>
        <w:autoSpaceDE w:val="0"/>
        <w:autoSpaceDN w:val="0"/>
        <w:adjustRightInd w:val="0"/>
        <w:spacing w:line="360" w:lineRule="auto"/>
        <w:jc w:val="left"/>
        <w:rPr>
          <w:rFonts w:asciiTheme="minorEastAsia" w:eastAsiaTheme="minorEastAsia" w:hAnsiTheme="minorEastAsia" w:cs="Arial"/>
          <w:b/>
          <w:color w:val="000000"/>
          <w:kern w:val="0"/>
          <w:sz w:val="24"/>
        </w:rPr>
      </w:pPr>
      <w:r w:rsidRPr="00320C1E">
        <w:rPr>
          <w:rFonts w:asciiTheme="minorEastAsia" w:eastAsiaTheme="minorEastAsia" w:hAnsiTheme="minorEastAsia"/>
          <w:b/>
          <w:color w:val="000000"/>
          <w:kern w:val="0"/>
          <w:sz w:val="24"/>
        </w:rPr>
        <w:t>5.11.3</w:t>
      </w:r>
      <w:r w:rsidRPr="00EF4FFA">
        <w:rPr>
          <w:rFonts w:ascii="宋体" w:hAnsi="宋体" w:cs="Arial" w:hint="eastAsia"/>
          <w:b/>
          <w:color w:val="000000"/>
          <w:kern w:val="0"/>
          <w:sz w:val="24"/>
        </w:rPr>
        <w:t>其他各项资产构成</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44"/>
        <w:gridCol w:w="2761"/>
        <w:gridCol w:w="4808"/>
      </w:tblGrid>
      <w:tr w:rsidR="00A62673" w:rsidRPr="00EC5CE0" w:rsidTr="006B315F">
        <w:tc>
          <w:tcPr>
            <w:tcW w:w="944" w:type="dxa"/>
            <w:vAlign w:val="center"/>
          </w:tcPr>
          <w:p w:rsidR="00A62673" w:rsidRPr="00C1648E" w:rsidRDefault="00A62673" w:rsidP="006B315F">
            <w:pPr>
              <w:autoSpaceDE w:val="0"/>
              <w:autoSpaceDN w:val="0"/>
              <w:adjustRightInd w:val="0"/>
              <w:spacing w:before="29" w:line="360" w:lineRule="auto"/>
              <w:ind w:left="17"/>
              <w:jc w:val="center"/>
              <w:rPr>
                <w:color w:val="000000"/>
                <w:kern w:val="0"/>
                <w:sz w:val="24"/>
              </w:rPr>
            </w:pPr>
            <w:r w:rsidRPr="00C1648E">
              <w:rPr>
                <w:color w:val="000000"/>
                <w:kern w:val="0"/>
                <w:sz w:val="24"/>
              </w:rPr>
              <w:t>序号</w:t>
            </w:r>
          </w:p>
        </w:tc>
        <w:tc>
          <w:tcPr>
            <w:tcW w:w="2761" w:type="dxa"/>
            <w:vAlign w:val="center"/>
          </w:tcPr>
          <w:p w:rsidR="00A62673" w:rsidRPr="00C1648E" w:rsidRDefault="00A62673" w:rsidP="006B315F">
            <w:pPr>
              <w:autoSpaceDE w:val="0"/>
              <w:autoSpaceDN w:val="0"/>
              <w:adjustRightInd w:val="0"/>
              <w:spacing w:before="29" w:line="360" w:lineRule="auto"/>
              <w:ind w:left="17"/>
              <w:jc w:val="center"/>
              <w:rPr>
                <w:color w:val="000000"/>
                <w:kern w:val="0"/>
                <w:sz w:val="24"/>
              </w:rPr>
            </w:pPr>
            <w:r w:rsidRPr="00C1648E">
              <w:rPr>
                <w:color w:val="000000"/>
                <w:kern w:val="0"/>
                <w:sz w:val="24"/>
              </w:rPr>
              <w:t>名称</w:t>
            </w:r>
          </w:p>
        </w:tc>
        <w:tc>
          <w:tcPr>
            <w:tcW w:w="4808" w:type="dxa"/>
            <w:vAlign w:val="center"/>
          </w:tcPr>
          <w:p w:rsidR="00A62673" w:rsidRPr="00C1648E" w:rsidRDefault="00A62673" w:rsidP="006B315F">
            <w:pPr>
              <w:autoSpaceDE w:val="0"/>
              <w:autoSpaceDN w:val="0"/>
              <w:adjustRightInd w:val="0"/>
              <w:spacing w:before="29" w:line="360" w:lineRule="auto"/>
              <w:ind w:left="17"/>
              <w:jc w:val="center"/>
              <w:rPr>
                <w:color w:val="000000"/>
                <w:kern w:val="0"/>
                <w:sz w:val="24"/>
              </w:rPr>
            </w:pPr>
            <w:r w:rsidRPr="00C1648E">
              <w:rPr>
                <w:color w:val="000000"/>
                <w:kern w:val="0"/>
                <w:sz w:val="24"/>
              </w:rPr>
              <w:t>金额</w:t>
            </w:r>
            <w:r w:rsidR="005A2769" w:rsidRPr="00C1648E">
              <w:rPr>
                <w:color w:val="000000"/>
                <w:kern w:val="0"/>
                <w:sz w:val="24"/>
              </w:rPr>
              <w:t>（元）</w:t>
            </w:r>
          </w:p>
        </w:tc>
      </w:tr>
      <w:tr w:rsidR="00A62673" w:rsidRPr="00EC5CE0" w:rsidTr="006B315F">
        <w:tc>
          <w:tcPr>
            <w:tcW w:w="944" w:type="dxa"/>
            <w:vAlign w:val="center"/>
          </w:tcPr>
          <w:p w:rsidR="00A62673" w:rsidRPr="00C1648E" w:rsidRDefault="00A62673" w:rsidP="006B315F">
            <w:pPr>
              <w:autoSpaceDE w:val="0"/>
              <w:autoSpaceDN w:val="0"/>
              <w:adjustRightInd w:val="0"/>
              <w:spacing w:before="29" w:line="360" w:lineRule="auto"/>
              <w:ind w:left="15"/>
              <w:jc w:val="center"/>
              <w:rPr>
                <w:color w:val="000000"/>
                <w:kern w:val="0"/>
                <w:sz w:val="24"/>
              </w:rPr>
            </w:pPr>
            <w:r w:rsidRPr="00C1648E">
              <w:rPr>
                <w:color w:val="000000"/>
                <w:sz w:val="24"/>
              </w:rPr>
              <w:t>1</w:t>
            </w:r>
          </w:p>
        </w:tc>
        <w:tc>
          <w:tcPr>
            <w:tcW w:w="2761" w:type="dxa"/>
            <w:vAlign w:val="center"/>
          </w:tcPr>
          <w:p w:rsidR="00A62673" w:rsidRPr="00C1648E" w:rsidRDefault="00A62673" w:rsidP="006B315F">
            <w:pPr>
              <w:autoSpaceDE w:val="0"/>
              <w:autoSpaceDN w:val="0"/>
              <w:adjustRightInd w:val="0"/>
              <w:spacing w:before="29" w:line="360" w:lineRule="auto"/>
              <w:ind w:left="15"/>
              <w:jc w:val="left"/>
              <w:rPr>
                <w:color w:val="000000"/>
                <w:kern w:val="0"/>
                <w:sz w:val="24"/>
              </w:rPr>
            </w:pPr>
            <w:r w:rsidRPr="00C1648E">
              <w:rPr>
                <w:color w:val="000000"/>
                <w:kern w:val="0"/>
                <w:sz w:val="24"/>
              </w:rPr>
              <w:t>存出保证金</w:t>
            </w:r>
          </w:p>
        </w:tc>
        <w:tc>
          <w:tcPr>
            <w:tcW w:w="4808" w:type="dxa"/>
            <w:vAlign w:val="center"/>
          </w:tcPr>
          <w:p w:rsidR="00A62673" w:rsidRPr="00C1648E" w:rsidRDefault="00A62673" w:rsidP="006B315F">
            <w:pPr>
              <w:autoSpaceDE w:val="0"/>
              <w:autoSpaceDN w:val="0"/>
              <w:adjustRightInd w:val="0"/>
              <w:spacing w:before="29" w:line="360" w:lineRule="auto"/>
              <w:ind w:left="15"/>
              <w:jc w:val="right"/>
              <w:rPr>
                <w:color w:val="000000"/>
                <w:kern w:val="0"/>
                <w:sz w:val="24"/>
              </w:rPr>
            </w:pPr>
            <w:r w:rsidRPr="00C1648E">
              <w:rPr>
                <w:color w:val="000000"/>
                <w:kern w:val="0"/>
                <w:sz w:val="24"/>
              </w:rPr>
              <w:t>205,423.76</w:t>
            </w:r>
          </w:p>
        </w:tc>
      </w:tr>
      <w:tr w:rsidR="00A62673" w:rsidRPr="00EC5CE0" w:rsidTr="006B315F">
        <w:tc>
          <w:tcPr>
            <w:tcW w:w="944" w:type="dxa"/>
            <w:vAlign w:val="center"/>
          </w:tcPr>
          <w:p w:rsidR="00A62673" w:rsidRPr="00C1648E" w:rsidRDefault="00A62673" w:rsidP="006B315F">
            <w:pPr>
              <w:autoSpaceDE w:val="0"/>
              <w:autoSpaceDN w:val="0"/>
              <w:adjustRightInd w:val="0"/>
              <w:spacing w:before="29" w:line="360" w:lineRule="auto"/>
              <w:ind w:left="15"/>
              <w:jc w:val="center"/>
              <w:rPr>
                <w:color w:val="000000"/>
                <w:sz w:val="24"/>
              </w:rPr>
            </w:pPr>
            <w:r w:rsidRPr="00C1648E">
              <w:rPr>
                <w:color w:val="000000"/>
                <w:sz w:val="24"/>
              </w:rPr>
              <w:t>2</w:t>
            </w:r>
          </w:p>
        </w:tc>
        <w:tc>
          <w:tcPr>
            <w:tcW w:w="2761" w:type="dxa"/>
            <w:vAlign w:val="center"/>
          </w:tcPr>
          <w:p w:rsidR="00A62673" w:rsidRPr="00C1648E" w:rsidRDefault="00A62673" w:rsidP="006B315F">
            <w:pPr>
              <w:autoSpaceDE w:val="0"/>
              <w:autoSpaceDN w:val="0"/>
              <w:adjustRightInd w:val="0"/>
              <w:spacing w:before="29" w:line="360" w:lineRule="auto"/>
              <w:ind w:left="15"/>
              <w:jc w:val="left"/>
              <w:rPr>
                <w:color w:val="000000"/>
                <w:kern w:val="0"/>
                <w:sz w:val="24"/>
              </w:rPr>
            </w:pPr>
            <w:r w:rsidRPr="00C1648E">
              <w:rPr>
                <w:color w:val="000000"/>
                <w:kern w:val="0"/>
                <w:sz w:val="24"/>
              </w:rPr>
              <w:t>应收证券清算款</w:t>
            </w:r>
          </w:p>
        </w:tc>
        <w:tc>
          <w:tcPr>
            <w:tcW w:w="4808" w:type="dxa"/>
            <w:vAlign w:val="center"/>
          </w:tcPr>
          <w:p w:rsidR="00A62673" w:rsidRPr="00C1648E" w:rsidRDefault="00A62673" w:rsidP="006B315F">
            <w:pPr>
              <w:autoSpaceDE w:val="0"/>
              <w:autoSpaceDN w:val="0"/>
              <w:adjustRightInd w:val="0"/>
              <w:spacing w:before="29" w:line="360" w:lineRule="auto"/>
              <w:ind w:left="15"/>
              <w:jc w:val="right"/>
              <w:rPr>
                <w:color w:val="000000"/>
                <w:kern w:val="0"/>
                <w:sz w:val="24"/>
              </w:rPr>
            </w:pPr>
            <w:r w:rsidRPr="00C1648E">
              <w:rPr>
                <w:color w:val="000000"/>
                <w:kern w:val="0"/>
                <w:sz w:val="24"/>
              </w:rPr>
              <w:t>25,180.51</w:t>
            </w:r>
          </w:p>
        </w:tc>
      </w:tr>
      <w:tr w:rsidR="00A62673" w:rsidRPr="00EC5CE0" w:rsidTr="006B315F">
        <w:tc>
          <w:tcPr>
            <w:tcW w:w="944" w:type="dxa"/>
            <w:vAlign w:val="center"/>
          </w:tcPr>
          <w:p w:rsidR="00A62673" w:rsidRPr="00C1648E" w:rsidRDefault="00A62673" w:rsidP="006B315F">
            <w:pPr>
              <w:autoSpaceDE w:val="0"/>
              <w:autoSpaceDN w:val="0"/>
              <w:adjustRightInd w:val="0"/>
              <w:spacing w:before="29" w:line="360" w:lineRule="auto"/>
              <w:ind w:left="15"/>
              <w:jc w:val="center"/>
              <w:rPr>
                <w:color w:val="000000"/>
                <w:sz w:val="24"/>
              </w:rPr>
            </w:pPr>
            <w:r w:rsidRPr="00C1648E">
              <w:rPr>
                <w:color w:val="000000"/>
                <w:sz w:val="24"/>
              </w:rPr>
              <w:t>3</w:t>
            </w:r>
          </w:p>
        </w:tc>
        <w:tc>
          <w:tcPr>
            <w:tcW w:w="2761" w:type="dxa"/>
            <w:vAlign w:val="center"/>
          </w:tcPr>
          <w:p w:rsidR="00A62673" w:rsidRPr="00C1648E" w:rsidRDefault="00A62673" w:rsidP="006B315F">
            <w:pPr>
              <w:autoSpaceDE w:val="0"/>
              <w:autoSpaceDN w:val="0"/>
              <w:adjustRightInd w:val="0"/>
              <w:spacing w:before="29" w:line="360" w:lineRule="auto"/>
              <w:ind w:left="15"/>
              <w:jc w:val="left"/>
              <w:rPr>
                <w:color w:val="000000"/>
                <w:kern w:val="0"/>
                <w:sz w:val="24"/>
              </w:rPr>
            </w:pPr>
            <w:r w:rsidRPr="00C1648E">
              <w:rPr>
                <w:color w:val="000000"/>
                <w:kern w:val="0"/>
                <w:sz w:val="24"/>
              </w:rPr>
              <w:t>应收股利</w:t>
            </w:r>
          </w:p>
        </w:tc>
        <w:tc>
          <w:tcPr>
            <w:tcW w:w="4808" w:type="dxa"/>
            <w:vAlign w:val="center"/>
          </w:tcPr>
          <w:p w:rsidR="00A62673" w:rsidRPr="00C1648E" w:rsidRDefault="00A62673" w:rsidP="006B315F">
            <w:pPr>
              <w:autoSpaceDE w:val="0"/>
              <w:autoSpaceDN w:val="0"/>
              <w:adjustRightInd w:val="0"/>
              <w:spacing w:before="29" w:line="360" w:lineRule="auto"/>
              <w:ind w:left="15"/>
              <w:jc w:val="right"/>
              <w:rPr>
                <w:color w:val="000000"/>
                <w:kern w:val="0"/>
                <w:sz w:val="24"/>
              </w:rPr>
            </w:pPr>
            <w:r w:rsidRPr="00C1648E">
              <w:rPr>
                <w:color w:val="000000"/>
                <w:kern w:val="0"/>
                <w:sz w:val="24"/>
              </w:rPr>
              <w:t>-</w:t>
            </w:r>
          </w:p>
        </w:tc>
      </w:tr>
      <w:tr w:rsidR="00A62673" w:rsidRPr="00EC5CE0" w:rsidTr="006B315F">
        <w:tc>
          <w:tcPr>
            <w:tcW w:w="944" w:type="dxa"/>
            <w:vAlign w:val="center"/>
          </w:tcPr>
          <w:p w:rsidR="00A62673" w:rsidRPr="00C1648E" w:rsidRDefault="00A62673" w:rsidP="006B315F">
            <w:pPr>
              <w:autoSpaceDE w:val="0"/>
              <w:autoSpaceDN w:val="0"/>
              <w:adjustRightInd w:val="0"/>
              <w:spacing w:before="29" w:line="360" w:lineRule="auto"/>
              <w:ind w:left="15"/>
              <w:jc w:val="center"/>
              <w:rPr>
                <w:color w:val="000000"/>
                <w:sz w:val="24"/>
              </w:rPr>
            </w:pPr>
            <w:r w:rsidRPr="00C1648E">
              <w:rPr>
                <w:color w:val="000000"/>
                <w:sz w:val="24"/>
              </w:rPr>
              <w:t>4</w:t>
            </w:r>
          </w:p>
        </w:tc>
        <w:tc>
          <w:tcPr>
            <w:tcW w:w="2761" w:type="dxa"/>
            <w:vAlign w:val="center"/>
          </w:tcPr>
          <w:p w:rsidR="00A62673" w:rsidRPr="00C1648E" w:rsidRDefault="00A62673" w:rsidP="006B315F">
            <w:pPr>
              <w:autoSpaceDE w:val="0"/>
              <w:autoSpaceDN w:val="0"/>
              <w:adjustRightInd w:val="0"/>
              <w:spacing w:before="29" w:line="360" w:lineRule="auto"/>
              <w:ind w:left="15"/>
              <w:jc w:val="left"/>
              <w:rPr>
                <w:color w:val="000000"/>
                <w:kern w:val="0"/>
                <w:sz w:val="24"/>
              </w:rPr>
            </w:pPr>
            <w:r w:rsidRPr="00C1648E">
              <w:rPr>
                <w:color w:val="000000"/>
                <w:kern w:val="0"/>
                <w:sz w:val="24"/>
              </w:rPr>
              <w:t>应收利息</w:t>
            </w:r>
          </w:p>
        </w:tc>
        <w:tc>
          <w:tcPr>
            <w:tcW w:w="4808" w:type="dxa"/>
            <w:vAlign w:val="center"/>
          </w:tcPr>
          <w:p w:rsidR="00A62673" w:rsidRPr="00C1648E" w:rsidRDefault="00A62673" w:rsidP="006B315F">
            <w:pPr>
              <w:autoSpaceDE w:val="0"/>
              <w:autoSpaceDN w:val="0"/>
              <w:adjustRightInd w:val="0"/>
              <w:spacing w:before="29" w:line="360" w:lineRule="auto"/>
              <w:ind w:left="15"/>
              <w:jc w:val="right"/>
              <w:rPr>
                <w:color w:val="000000"/>
                <w:kern w:val="0"/>
                <w:sz w:val="24"/>
              </w:rPr>
            </w:pPr>
            <w:r w:rsidRPr="00C1648E">
              <w:rPr>
                <w:color w:val="000000"/>
                <w:kern w:val="0"/>
                <w:sz w:val="24"/>
              </w:rPr>
              <w:t>7,540.27</w:t>
            </w:r>
          </w:p>
        </w:tc>
      </w:tr>
      <w:tr w:rsidR="00A62673" w:rsidRPr="00EC5CE0" w:rsidTr="006B315F">
        <w:tc>
          <w:tcPr>
            <w:tcW w:w="944" w:type="dxa"/>
            <w:vAlign w:val="center"/>
          </w:tcPr>
          <w:p w:rsidR="00A62673" w:rsidRPr="00C1648E" w:rsidRDefault="00A62673" w:rsidP="006B315F">
            <w:pPr>
              <w:autoSpaceDE w:val="0"/>
              <w:autoSpaceDN w:val="0"/>
              <w:adjustRightInd w:val="0"/>
              <w:spacing w:before="29" w:line="360" w:lineRule="auto"/>
              <w:ind w:left="15"/>
              <w:jc w:val="center"/>
              <w:rPr>
                <w:color w:val="000000"/>
                <w:sz w:val="24"/>
              </w:rPr>
            </w:pPr>
            <w:r w:rsidRPr="00C1648E">
              <w:rPr>
                <w:color w:val="000000"/>
                <w:sz w:val="24"/>
              </w:rPr>
              <w:t>5</w:t>
            </w:r>
          </w:p>
        </w:tc>
        <w:tc>
          <w:tcPr>
            <w:tcW w:w="2761" w:type="dxa"/>
            <w:vAlign w:val="center"/>
          </w:tcPr>
          <w:p w:rsidR="00A62673" w:rsidRPr="00C1648E" w:rsidRDefault="00A62673" w:rsidP="006B315F">
            <w:pPr>
              <w:autoSpaceDE w:val="0"/>
              <w:autoSpaceDN w:val="0"/>
              <w:adjustRightInd w:val="0"/>
              <w:spacing w:before="29" w:line="360" w:lineRule="auto"/>
              <w:ind w:left="15"/>
              <w:jc w:val="left"/>
              <w:rPr>
                <w:color w:val="000000"/>
                <w:kern w:val="0"/>
                <w:sz w:val="24"/>
              </w:rPr>
            </w:pPr>
            <w:r w:rsidRPr="00C1648E">
              <w:rPr>
                <w:color w:val="000000"/>
                <w:kern w:val="0"/>
                <w:sz w:val="24"/>
              </w:rPr>
              <w:t>应收申购款</w:t>
            </w:r>
          </w:p>
        </w:tc>
        <w:tc>
          <w:tcPr>
            <w:tcW w:w="4808" w:type="dxa"/>
            <w:vAlign w:val="center"/>
          </w:tcPr>
          <w:p w:rsidR="00A62673" w:rsidRPr="00C1648E" w:rsidRDefault="00A62673" w:rsidP="006B315F">
            <w:pPr>
              <w:autoSpaceDE w:val="0"/>
              <w:autoSpaceDN w:val="0"/>
              <w:adjustRightInd w:val="0"/>
              <w:spacing w:before="29" w:line="360" w:lineRule="auto"/>
              <w:ind w:left="15"/>
              <w:jc w:val="right"/>
              <w:rPr>
                <w:color w:val="000000"/>
                <w:kern w:val="0"/>
                <w:sz w:val="24"/>
              </w:rPr>
            </w:pPr>
            <w:r w:rsidRPr="00C1648E">
              <w:rPr>
                <w:color w:val="000000"/>
                <w:kern w:val="0"/>
                <w:sz w:val="24"/>
              </w:rPr>
              <w:t>4,151,729.29</w:t>
            </w:r>
          </w:p>
        </w:tc>
      </w:tr>
      <w:tr w:rsidR="00A62673" w:rsidRPr="00EC5CE0" w:rsidTr="006B315F">
        <w:tc>
          <w:tcPr>
            <w:tcW w:w="944" w:type="dxa"/>
            <w:vAlign w:val="center"/>
          </w:tcPr>
          <w:p w:rsidR="00A62673" w:rsidRPr="00C1648E" w:rsidRDefault="00A62673" w:rsidP="006B315F">
            <w:pPr>
              <w:autoSpaceDE w:val="0"/>
              <w:autoSpaceDN w:val="0"/>
              <w:adjustRightInd w:val="0"/>
              <w:spacing w:before="29" w:line="360" w:lineRule="auto"/>
              <w:ind w:left="15"/>
              <w:jc w:val="center"/>
              <w:rPr>
                <w:color w:val="000000"/>
                <w:sz w:val="24"/>
              </w:rPr>
            </w:pPr>
            <w:r w:rsidRPr="00C1648E">
              <w:rPr>
                <w:color w:val="000000"/>
                <w:sz w:val="24"/>
              </w:rPr>
              <w:t>6</w:t>
            </w:r>
          </w:p>
        </w:tc>
        <w:tc>
          <w:tcPr>
            <w:tcW w:w="2761" w:type="dxa"/>
            <w:vAlign w:val="center"/>
          </w:tcPr>
          <w:p w:rsidR="00A62673" w:rsidRPr="00C1648E" w:rsidRDefault="00A62673" w:rsidP="006B315F">
            <w:pPr>
              <w:autoSpaceDE w:val="0"/>
              <w:autoSpaceDN w:val="0"/>
              <w:adjustRightInd w:val="0"/>
              <w:spacing w:before="29" w:line="360" w:lineRule="auto"/>
              <w:ind w:left="15"/>
              <w:jc w:val="left"/>
              <w:rPr>
                <w:color w:val="000000"/>
                <w:kern w:val="0"/>
                <w:sz w:val="24"/>
              </w:rPr>
            </w:pPr>
            <w:r w:rsidRPr="00C1648E">
              <w:rPr>
                <w:color w:val="000000"/>
                <w:kern w:val="0"/>
                <w:sz w:val="24"/>
              </w:rPr>
              <w:t>其他应收款</w:t>
            </w:r>
          </w:p>
        </w:tc>
        <w:tc>
          <w:tcPr>
            <w:tcW w:w="4808" w:type="dxa"/>
            <w:vAlign w:val="center"/>
          </w:tcPr>
          <w:p w:rsidR="00A62673" w:rsidRPr="00C1648E" w:rsidRDefault="00A62673" w:rsidP="006B315F">
            <w:pPr>
              <w:autoSpaceDE w:val="0"/>
              <w:autoSpaceDN w:val="0"/>
              <w:adjustRightInd w:val="0"/>
              <w:spacing w:before="29" w:line="360" w:lineRule="auto"/>
              <w:ind w:left="15"/>
              <w:jc w:val="right"/>
              <w:rPr>
                <w:color w:val="000000"/>
                <w:kern w:val="0"/>
                <w:sz w:val="24"/>
              </w:rPr>
            </w:pPr>
            <w:r w:rsidRPr="00C1648E">
              <w:rPr>
                <w:color w:val="000000"/>
                <w:kern w:val="0"/>
                <w:sz w:val="24"/>
              </w:rPr>
              <w:t>-</w:t>
            </w:r>
          </w:p>
        </w:tc>
      </w:tr>
      <w:tr w:rsidR="00A62673" w:rsidRPr="00EC5CE0" w:rsidTr="006B315F">
        <w:tc>
          <w:tcPr>
            <w:tcW w:w="944" w:type="dxa"/>
          </w:tcPr>
          <w:p w:rsidR="00A62673" w:rsidRPr="00C1648E" w:rsidRDefault="00A62673" w:rsidP="006B315F">
            <w:pPr>
              <w:autoSpaceDE w:val="0"/>
              <w:autoSpaceDN w:val="0"/>
              <w:adjustRightInd w:val="0"/>
              <w:spacing w:before="29" w:line="360" w:lineRule="auto"/>
              <w:ind w:left="15"/>
              <w:jc w:val="center"/>
              <w:rPr>
                <w:color w:val="000000"/>
                <w:sz w:val="24"/>
              </w:rPr>
            </w:pPr>
            <w:r w:rsidRPr="00C1648E">
              <w:rPr>
                <w:color w:val="000000"/>
                <w:sz w:val="24"/>
              </w:rPr>
              <w:t>7</w:t>
            </w:r>
          </w:p>
        </w:tc>
        <w:tc>
          <w:tcPr>
            <w:tcW w:w="2761" w:type="dxa"/>
          </w:tcPr>
          <w:p w:rsidR="00A62673" w:rsidRPr="00C1648E" w:rsidRDefault="00A62673" w:rsidP="006B315F">
            <w:pPr>
              <w:autoSpaceDE w:val="0"/>
              <w:autoSpaceDN w:val="0"/>
              <w:adjustRightInd w:val="0"/>
              <w:spacing w:before="29" w:line="360" w:lineRule="auto"/>
              <w:ind w:left="15"/>
              <w:jc w:val="left"/>
              <w:rPr>
                <w:color w:val="000000"/>
                <w:kern w:val="0"/>
                <w:sz w:val="24"/>
              </w:rPr>
            </w:pPr>
            <w:r w:rsidRPr="00C1648E">
              <w:rPr>
                <w:color w:val="000000"/>
                <w:kern w:val="0"/>
                <w:sz w:val="24"/>
              </w:rPr>
              <w:t>待摊费用</w:t>
            </w:r>
          </w:p>
        </w:tc>
        <w:tc>
          <w:tcPr>
            <w:tcW w:w="4808" w:type="dxa"/>
            <w:vAlign w:val="center"/>
          </w:tcPr>
          <w:p w:rsidR="00A62673" w:rsidRPr="00C1648E" w:rsidRDefault="00A62673" w:rsidP="006B315F">
            <w:pPr>
              <w:autoSpaceDE w:val="0"/>
              <w:autoSpaceDN w:val="0"/>
              <w:adjustRightInd w:val="0"/>
              <w:spacing w:before="29" w:line="360" w:lineRule="auto"/>
              <w:ind w:left="15"/>
              <w:jc w:val="right"/>
              <w:rPr>
                <w:color w:val="000000"/>
                <w:sz w:val="24"/>
              </w:rPr>
            </w:pPr>
            <w:r w:rsidRPr="00C1648E">
              <w:rPr>
                <w:color w:val="000000"/>
                <w:sz w:val="24"/>
              </w:rPr>
              <w:t>-</w:t>
            </w:r>
          </w:p>
        </w:tc>
      </w:tr>
      <w:tr w:rsidR="00A62673" w:rsidRPr="00EC5CE0" w:rsidTr="006B315F">
        <w:tc>
          <w:tcPr>
            <w:tcW w:w="944" w:type="dxa"/>
            <w:vAlign w:val="center"/>
          </w:tcPr>
          <w:p w:rsidR="00A62673" w:rsidRPr="00C1648E" w:rsidRDefault="00A62673" w:rsidP="006B315F">
            <w:pPr>
              <w:autoSpaceDE w:val="0"/>
              <w:autoSpaceDN w:val="0"/>
              <w:adjustRightInd w:val="0"/>
              <w:spacing w:before="29" w:line="360" w:lineRule="auto"/>
              <w:ind w:left="15"/>
              <w:jc w:val="center"/>
              <w:rPr>
                <w:color w:val="000000"/>
                <w:sz w:val="24"/>
              </w:rPr>
            </w:pPr>
            <w:r w:rsidRPr="00C1648E">
              <w:rPr>
                <w:color w:val="000000"/>
                <w:sz w:val="24"/>
              </w:rPr>
              <w:t>8</w:t>
            </w:r>
          </w:p>
        </w:tc>
        <w:tc>
          <w:tcPr>
            <w:tcW w:w="2761" w:type="dxa"/>
            <w:vAlign w:val="center"/>
          </w:tcPr>
          <w:p w:rsidR="00A62673" w:rsidRPr="00C1648E" w:rsidRDefault="00A62673" w:rsidP="006B315F">
            <w:pPr>
              <w:autoSpaceDE w:val="0"/>
              <w:autoSpaceDN w:val="0"/>
              <w:adjustRightInd w:val="0"/>
              <w:spacing w:before="29" w:line="360" w:lineRule="auto"/>
              <w:ind w:left="15"/>
              <w:jc w:val="left"/>
              <w:rPr>
                <w:color w:val="000000"/>
                <w:kern w:val="0"/>
                <w:sz w:val="24"/>
              </w:rPr>
            </w:pPr>
            <w:r w:rsidRPr="00C1648E">
              <w:rPr>
                <w:color w:val="000000"/>
                <w:kern w:val="0"/>
                <w:sz w:val="24"/>
              </w:rPr>
              <w:t>其他</w:t>
            </w:r>
          </w:p>
        </w:tc>
        <w:tc>
          <w:tcPr>
            <w:tcW w:w="4808" w:type="dxa"/>
            <w:vAlign w:val="center"/>
          </w:tcPr>
          <w:p w:rsidR="00A62673" w:rsidRPr="00C1648E" w:rsidRDefault="00A62673" w:rsidP="006B315F">
            <w:pPr>
              <w:autoSpaceDE w:val="0"/>
              <w:autoSpaceDN w:val="0"/>
              <w:adjustRightInd w:val="0"/>
              <w:spacing w:before="29" w:line="360" w:lineRule="auto"/>
              <w:ind w:left="15"/>
              <w:jc w:val="right"/>
              <w:rPr>
                <w:color w:val="000000"/>
                <w:kern w:val="0"/>
                <w:sz w:val="24"/>
              </w:rPr>
            </w:pPr>
            <w:r w:rsidRPr="00C1648E">
              <w:rPr>
                <w:color w:val="000000"/>
                <w:kern w:val="0"/>
                <w:sz w:val="24"/>
              </w:rPr>
              <w:t>-</w:t>
            </w:r>
          </w:p>
        </w:tc>
      </w:tr>
      <w:tr w:rsidR="00A62673" w:rsidRPr="00EC5CE0" w:rsidTr="006B315F">
        <w:tc>
          <w:tcPr>
            <w:tcW w:w="944" w:type="dxa"/>
            <w:vAlign w:val="center"/>
          </w:tcPr>
          <w:p w:rsidR="00A62673" w:rsidRPr="00C1648E" w:rsidRDefault="00A62673" w:rsidP="006B315F">
            <w:pPr>
              <w:autoSpaceDE w:val="0"/>
              <w:autoSpaceDN w:val="0"/>
              <w:adjustRightInd w:val="0"/>
              <w:spacing w:before="29" w:line="360" w:lineRule="auto"/>
              <w:ind w:left="15"/>
              <w:jc w:val="center"/>
              <w:rPr>
                <w:color w:val="000000"/>
                <w:sz w:val="24"/>
              </w:rPr>
            </w:pPr>
            <w:r w:rsidRPr="00C1648E">
              <w:rPr>
                <w:color w:val="000000"/>
                <w:sz w:val="24"/>
              </w:rPr>
              <w:t>9</w:t>
            </w:r>
          </w:p>
        </w:tc>
        <w:tc>
          <w:tcPr>
            <w:tcW w:w="2761" w:type="dxa"/>
            <w:vAlign w:val="center"/>
          </w:tcPr>
          <w:p w:rsidR="00A62673" w:rsidRPr="00C1648E" w:rsidRDefault="00A62673" w:rsidP="006B315F">
            <w:pPr>
              <w:autoSpaceDE w:val="0"/>
              <w:autoSpaceDN w:val="0"/>
              <w:adjustRightInd w:val="0"/>
              <w:spacing w:before="29" w:line="360" w:lineRule="auto"/>
              <w:ind w:left="15"/>
              <w:jc w:val="left"/>
              <w:rPr>
                <w:color w:val="000000"/>
                <w:kern w:val="0"/>
                <w:sz w:val="24"/>
              </w:rPr>
            </w:pPr>
            <w:r w:rsidRPr="00C1648E">
              <w:rPr>
                <w:color w:val="000000"/>
                <w:kern w:val="0"/>
                <w:sz w:val="24"/>
              </w:rPr>
              <w:t>合计</w:t>
            </w:r>
          </w:p>
        </w:tc>
        <w:tc>
          <w:tcPr>
            <w:tcW w:w="4808" w:type="dxa"/>
            <w:vAlign w:val="center"/>
          </w:tcPr>
          <w:p w:rsidR="00A62673" w:rsidRPr="00C1648E" w:rsidRDefault="00A62673" w:rsidP="006B315F">
            <w:pPr>
              <w:autoSpaceDE w:val="0"/>
              <w:autoSpaceDN w:val="0"/>
              <w:adjustRightInd w:val="0"/>
              <w:spacing w:before="29" w:line="360" w:lineRule="auto"/>
              <w:ind w:left="15"/>
              <w:jc w:val="right"/>
              <w:rPr>
                <w:color w:val="000000"/>
                <w:kern w:val="0"/>
                <w:sz w:val="24"/>
              </w:rPr>
            </w:pPr>
            <w:r w:rsidRPr="00C1648E">
              <w:rPr>
                <w:color w:val="000000"/>
                <w:kern w:val="0"/>
                <w:sz w:val="24"/>
              </w:rPr>
              <w:t>4,389,873.83</w:t>
            </w:r>
          </w:p>
        </w:tc>
      </w:tr>
    </w:tbl>
    <w:p w:rsidR="00A62673" w:rsidRPr="00CE743F" w:rsidRDefault="00A62673" w:rsidP="00045BEC">
      <w:pPr>
        <w:autoSpaceDE w:val="0"/>
        <w:autoSpaceDN w:val="0"/>
        <w:adjustRightInd w:val="0"/>
        <w:spacing w:line="360" w:lineRule="auto"/>
        <w:jc w:val="left"/>
        <w:rPr>
          <w:rFonts w:ascii="宋体" w:cs="Arial"/>
          <w:b/>
          <w:color w:val="000000"/>
          <w:kern w:val="0"/>
          <w:sz w:val="24"/>
        </w:rPr>
      </w:pPr>
      <w:r w:rsidRPr="00CE743F">
        <w:rPr>
          <w:rFonts w:ascii="宋体" w:hAnsi="宋体"/>
          <w:b/>
          <w:color w:val="000000"/>
          <w:kern w:val="0"/>
          <w:sz w:val="24"/>
        </w:rPr>
        <w:t>5.11.4</w:t>
      </w:r>
      <w:r w:rsidRPr="00CE743F">
        <w:rPr>
          <w:rFonts w:ascii="宋体" w:hAnsi="宋体" w:cs="Arial" w:hint="eastAsia"/>
          <w:b/>
          <w:color w:val="000000"/>
          <w:kern w:val="0"/>
          <w:sz w:val="24"/>
        </w:rPr>
        <w:t>报告期末持有的处于转股期的可转换债券明细</w:t>
      </w:r>
    </w:p>
    <w:p w:rsidR="00A62673" w:rsidRPr="00DC315B" w:rsidRDefault="00A62673" w:rsidP="00DC315B">
      <w:pPr>
        <w:spacing w:line="360" w:lineRule="auto"/>
        <w:ind w:firstLineChars="200" w:firstLine="480"/>
        <w:rPr>
          <w:color w:val="000000"/>
          <w:sz w:val="24"/>
        </w:rPr>
      </w:pPr>
      <w:r w:rsidRPr="00DC315B">
        <w:rPr>
          <w:color w:val="000000"/>
          <w:sz w:val="24"/>
        </w:rPr>
        <w:t>本基金本报告期末未持有处于转股期的可转换债券。</w:t>
      </w:r>
    </w:p>
    <w:p w:rsidR="00774C7D" w:rsidRPr="00CE743F" w:rsidRDefault="00774C7D" w:rsidP="00774C7D">
      <w:pPr>
        <w:spacing w:line="360" w:lineRule="auto"/>
        <w:rPr>
          <w:rFonts w:ascii="宋体" w:cs="Arial"/>
          <w:b/>
          <w:color w:val="000000"/>
          <w:kern w:val="0"/>
          <w:sz w:val="24"/>
        </w:rPr>
      </w:pPr>
      <w:r w:rsidRPr="00CE743F">
        <w:rPr>
          <w:rFonts w:ascii="宋体" w:hAnsi="宋体"/>
          <w:b/>
          <w:color w:val="000000"/>
          <w:kern w:val="0"/>
          <w:sz w:val="24"/>
        </w:rPr>
        <w:t>5.11.5</w:t>
      </w:r>
      <w:r w:rsidRPr="00CE743F">
        <w:rPr>
          <w:rFonts w:ascii="宋体" w:hAnsi="宋体" w:hint="eastAsia"/>
          <w:b/>
          <w:sz w:val="24"/>
        </w:rPr>
        <w:t>报告期末</w:t>
      </w:r>
      <w:r w:rsidR="00AB077A">
        <w:rPr>
          <w:rFonts w:ascii="宋体" w:hAnsi="宋体" w:hint="eastAsia"/>
          <w:b/>
          <w:sz w:val="24"/>
        </w:rPr>
        <w:t>投资的</w:t>
      </w:r>
      <w:r w:rsidRPr="00CE743F">
        <w:rPr>
          <w:rFonts w:ascii="宋体" w:hAnsi="宋体" w:hint="eastAsia"/>
          <w:b/>
          <w:sz w:val="24"/>
        </w:rPr>
        <w:t>股票存在流通受限情况的说明</w:t>
      </w:r>
    </w:p>
    <w:p w:rsidR="00774C7D" w:rsidRPr="00CE743F" w:rsidRDefault="00774C7D" w:rsidP="00774C7D">
      <w:pPr>
        <w:spacing w:line="360" w:lineRule="auto"/>
        <w:rPr>
          <w:rFonts w:ascii="宋体" w:cs="Arial"/>
          <w:b/>
          <w:color w:val="000000"/>
          <w:kern w:val="0"/>
          <w:sz w:val="24"/>
        </w:rPr>
      </w:pPr>
      <w:r w:rsidRPr="00CE743F">
        <w:rPr>
          <w:rFonts w:ascii="宋体" w:hAnsi="宋体"/>
          <w:b/>
          <w:color w:val="000000"/>
          <w:kern w:val="0"/>
          <w:sz w:val="24"/>
        </w:rPr>
        <w:t>5.11.5</w:t>
      </w:r>
      <w:r w:rsidRPr="00CE743F">
        <w:rPr>
          <w:rFonts w:ascii="宋体" w:cs="Arial"/>
          <w:b/>
          <w:color w:val="000000"/>
          <w:kern w:val="0"/>
          <w:sz w:val="24"/>
        </w:rPr>
        <w:t>.</w:t>
      </w:r>
      <w:r w:rsidRPr="00CE743F">
        <w:rPr>
          <w:rFonts w:ascii="宋体" w:hAnsi="宋体" w:cs="Arial"/>
          <w:b/>
          <w:color w:val="000000"/>
          <w:kern w:val="0"/>
          <w:sz w:val="24"/>
        </w:rPr>
        <w:t>1</w:t>
      </w:r>
      <w:r w:rsidR="00AB077A">
        <w:rPr>
          <w:rFonts w:ascii="宋体" w:hAnsi="宋体" w:cs="Arial" w:hint="eastAsia"/>
          <w:b/>
          <w:color w:val="000000"/>
          <w:kern w:val="0"/>
          <w:sz w:val="24"/>
        </w:rPr>
        <w:t>报告</w:t>
      </w:r>
      <w:r w:rsidRPr="00CE743F">
        <w:rPr>
          <w:rFonts w:ascii="宋体" w:hAnsi="宋体" w:hint="eastAsia"/>
          <w:b/>
          <w:sz w:val="24"/>
        </w:rPr>
        <w:t>期末指数投资前十名股票中存在流通受限情况的说明</w:t>
      </w:r>
    </w:p>
    <w:p w:rsidR="00774C7D" w:rsidRPr="00DC315B" w:rsidRDefault="00774C7D" w:rsidP="00774C7D">
      <w:pPr>
        <w:spacing w:line="360" w:lineRule="auto"/>
        <w:ind w:firstLineChars="200" w:firstLine="480"/>
        <w:rPr>
          <w:color w:val="000000"/>
          <w:sz w:val="24"/>
        </w:rPr>
      </w:pPr>
      <w:r w:rsidRPr="00DC315B">
        <w:rPr>
          <w:color w:val="000000"/>
          <w:sz w:val="24"/>
        </w:rPr>
        <w:t>本基金本报告期末前十名股票中不存在流通受限情况。</w:t>
      </w:r>
    </w:p>
    <w:p w:rsidR="00774C7D" w:rsidRPr="00CE743F" w:rsidRDefault="00774C7D" w:rsidP="00774C7D">
      <w:pPr>
        <w:spacing w:line="360" w:lineRule="auto"/>
        <w:rPr>
          <w:rFonts w:ascii="宋体" w:cs="STSong-Light"/>
          <w:b/>
          <w:sz w:val="24"/>
        </w:rPr>
      </w:pPr>
      <w:r w:rsidRPr="00CE743F">
        <w:rPr>
          <w:rFonts w:ascii="宋体" w:hAnsi="宋体"/>
          <w:b/>
          <w:color w:val="000000"/>
          <w:kern w:val="0"/>
          <w:sz w:val="24"/>
        </w:rPr>
        <w:t>5.11.5</w:t>
      </w:r>
      <w:r w:rsidRPr="00CE743F">
        <w:rPr>
          <w:rFonts w:ascii="宋体" w:cs="Arial"/>
          <w:b/>
          <w:color w:val="000000"/>
          <w:kern w:val="0"/>
          <w:sz w:val="24"/>
        </w:rPr>
        <w:t>.</w:t>
      </w:r>
      <w:r w:rsidRPr="00CE743F">
        <w:rPr>
          <w:rFonts w:ascii="宋体" w:hAnsi="宋体" w:cs="Arial"/>
          <w:b/>
          <w:color w:val="000000"/>
          <w:kern w:val="0"/>
          <w:sz w:val="24"/>
        </w:rPr>
        <w:t>2</w:t>
      </w:r>
      <w:r w:rsidR="00AB077A">
        <w:rPr>
          <w:rFonts w:ascii="宋体" w:hAnsi="宋体" w:cs="Arial" w:hint="eastAsia"/>
          <w:b/>
          <w:color w:val="000000"/>
          <w:kern w:val="0"/>
          <w:sz w:val="24"/>
        </w:rPr>
        <w:t>报告</w:t>
      </w:r>
      <w:r w:rsidRPr="00CE743F">
        <w:rPr>
          <w:rFonts w:ascii="宋体" w:hAnsi="宋体" w:hint="eastAsia"/>
          <w:b/>
          <w:sz w:val="24"/>
        </w:rPr>
        <w:t>期末积极投资前五名股票中存在流通受限情况的说明</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83"/>
        <w:gridCol w:w="1302"/>
        <w:gridCol w:w="1301"/>
        <w:gridCol w:w="1805"/>
        <w:gridCol w:w="1655"/>
        <w:gridCol w:w="1367"/>
      </w:tblGrid>
      <w:tr w:rsidR="00774C7D" w:rsidRPr="00EC5CE0" w:rsidTr="002C4578">
        <w:tc>
          <w:tcPr>
            <w:tcW w:w="1083" w:type="dxa"/>
            <w:vAlign w:val="center"/>
          </w:tcPr>
          <w:p w:rsidR="00774C7D" w:rsidRPr="00C1648E" w:rsidRDefault="00774C7D" w:rsidP="002C4578">
            <w:pPr>
              <w:spacing w:before="29" w:line="360" w:lineRule="auto"/>
              <w:ind w:left="17"/>
              <w:jc w:val="center"/>
              <w:rPr>
                <w:color w:val="000000"/>
                <w:sz w:val="24"/>
              </w:rPr>
            </w:pPr>
            <w:r w:rsidRPr="00C1648E">
              <w:rPr>
                <w:color w:val="000000"/>
                <w:sz w:val="24"/>
              </w:rPr>
              <w:t>序号</w:t>
            </w:r>
          </w:p>
        </w:tc>
        <w:tc>
          <w:tcPr>
            <w:tcW w:w="1302" w:type="dxa"/>
            <w:vAlign w:val="center"/>
          </w:tcPr>
          <w:p w:rsidR="00774C7D" w:rsidRPr="00C1648E" w:rsidRDefault="00774C7D" w:rsidP="002C4578">
            <w:pPr>
              <w:spacing w:before="29" w:line="360" w:lineRule="auto"/>
              <w:ind w:left="17"/>
              <w:jc w:val="center"/>
              <w:rPr>
                <w:color w:val="000000"/>
                <w:sz w:val="24"/>
              </w:rPr>
            </w:pPr>
            <w:r w:rsidRPr="00C1648E">
              <w:rPr>
                <w:color w:val="000000"/>
                <w:sz w:val="24"/>
              </w:rPr>
              <w:t>股票代码</w:t>
            </w:r>
          </w:p>
        </w:tc>
        <w:tc>
          <w:tcPr>
            <w:tcW w:w="1301" w:type="dxa"/>
            <w:vAlign w:val="center"/>
          </w:tcPr>
          <w:p w:rsidR="00774C7D" w:rsidRPr="00C1648E" w:rsidRDefault="00774C7D" w:rsidP="002C4578">
            <w:pPr>
              <w:spacing w:before="29" w:line="360" w:lineRule="auto"/>
              <w:ind w:left="17"/>
              <w:jc w:val="center"/>
              <w:rPr>
                <w:color w:val="000000"/>
                <w:sz w:val="24"/>
              </w:rPr>
            </w:pPr>
            <w:r w:rsidRPr="00C1648E">
              <w:rPr>
                <w:color w:val="000000"/>
                <w:sz w:val="24"/>
              </w:rPr>
              <w:t>股票名称</w:t>
            </w:r>
          </w:p>
        </w:tc>
        <w:tc>
          <w:tcPr>
            <w:tcW w:w="1805" w:type="dxa"/>
            <w:vAlign w:val="center"/>
          </w:tcPr>
          <w:p w:rsidR="00774C7D" w:rsidRPr="00C1648E" w:rsidRDefault="00774C7D" w:rsidP="002C4578">
            <w:pPr>
              <w:spacing w:before="29" w:line="360" w:lineRule="auto"/>
              <w:ind w:left="17"/>
              <w:jc w:val="center"/>
              <w:rPr>
                <w:color w:val="000000"/>
                <w:sz w:val="24"/>
              </w:rPr>
            </w:pPr>
            <w:r w:rsidRPr="00C1648E">
              <w:rPr>
                <w:color w:val="000000"/>
                <w:sz w:val="24"/>
              </w:rPr>
              <w:t>流通受限部分的公允价值（元）</w:t>
            </w:r>
          </w:p>
        </w:tc>
        <w:tc>
          <w:tcPr>
            <w:tcW w:w="1655" w:type="dxa"/>
            <w:vAlign w:val="center"/>
          </w:tcPr>
          <w:p w:rsidR="00774C7D" w:rsidRPr="00C1648E" w:rsidRDefault="00774C7D" w:rsidP="002C4578">
            <w:pPr>
              <w:spacing w:before="29" w:line="360" w:lineRule="auto"/>
              <w:ind w:left="17"/>
              <w:jc w:val="center"/>
              <w:rPr>
                <w:color w:val="000000"/>
                <w:sz w:val="24"/>
              </w:rPr>
            </w:pPr>
            <w:r w:rsidRPr="00C1648E">
              <w:rPr>
                <w:color w:val="000000"/>
                <w:sz w:val="24"/>
              </w:rPr>
              <w:t>占基金资产净值比例（</w:t>
            </w:r>
            <w:r w:rsidRPr="00C1648E">
              <w:rPr>
                <w:color w:val="000000"/>
                <w:sz w:val="24"/>
              </w:rPr>
              <w:t>%</w:t>
            </w:r>
            <w:r w:rsidRPr="00C1648E">
              <w:rPr>
                <w:color w:val="000000"/>
                <w:sz w:val="24"/>
              </w:rPr>
              <w:t>）</w:t>
            </w:r>
          </w:p>
        </w:tc>
        <w:tc>
          <w:tcPr>
            <w:tcW w:w="1367" w:type="dxa"/>
            <w:vAlign w:val="center"/>
          </w:tcPr>
          <w:p w:rsidR="00774C7D" w:rsidRPr="00C1648E" w:rsidRDefault="00774C7D" w:rsidP="002C4578">
            <w:pPr>
              <w:spacing w:before="29" w:line="360" w:lineRule="auto"/>
              <w:ind w:left="17"/>
              <w:jc w:val="center"/>
              <w:rPr>
                <w:color w:val="000000"/>
                <w:sz w:val="24"/>
              </w:rPr>
            </w:pPr>
            <w:r w:rsidRPr="00C1648E">
              <w:rPr>
                <w:color w:val="000000"/>
                <w:sz w:val="24"/>
              </w:rPr>
              <w:t>流通受限情况说明</w:t>
            </w:r>
          </w:p>
        </w:tc>
      </w:tr>
      <w:tr w:rsidR="00A9050D">
        <w:tc>
          <w:tcPr>
            <w:tcW w:w="1083" w:type="dxa"/>
            <w:vAlign w:val="center"/>
          </w:tcPr>
          <w:p w:rsidR="00A9050D" w:rsidRDefault="00896817">
            <w:pPr>
              <w:jc w:val="center"/>
            </w:pPr>
            <w:r>
              <w:rPr>
                <w:color w:val="000000"/>
                <w:sz w:val="24"/>
              </w:rPr>
              <w:t>1</w:t>
            </w:r>
          </w:p>
        </w:tc>
        <w:tc>
          <w:tcPr>
            <w:tcW w:w="1302" w:type="dxa"/>
            <w:vAlign w:val="center"/>
          </w:tcPr>
          <w:p w:rsidR="00A9050D" w:rsidRDefault="00896817">
            <w:pPr>
              <w:jc w:val="center"/>
            </w:pPr>
            <w:r>
              <w:rPr>
                <w:color w:val="000000"/>
                <w:sz w:val="24"/>
              </w:rPr>
              <w:t>300999</w:t>
            </w:r>
          </w:p>
        </w:tc>
        <w:tc>
          <w:tcPr>
            <w:tcW w:w="1301" w:type="dxa"/>
            <w:vAlign w:val="center"/>
          </w:tcPr>
          <w:p w:rsidR="00A9050D" w:rsidRDefault="00896817">
            <w:pPr>
              <w:jc w:val="center"/>
            </w:pPr>
            <w:r>
              <w:rPr>
                <w:color w:val="000000"/>
                <w:sz w:val="24"/>
              </w:rPr>
              <w:t>金龙鱼</w:t>
            </w:r>
          </w:p>
        </w:tc>
        <w:tc>
          <w:tcPr>
            <w:tcW w:w="1805" w:type="dxa"/>
            <w:vAlign w:val="center"/>
          </w:tcPr>
          <w:p w:rsidR="00A9050D" w:rsidRDefault="00896817">
            <w:pPr>
              <w:jc w:val="right"/>
            </w:pPr>
            <w:r>
              <w:rPr>
                <w:color w:val="000000"/>
                <w:sz w:val="24"/>
              </w:rPr>
              <w:t>1,622,698.00</w:t>
            </w:r>
          </w:p>
        </w:tc>
        <w:tc>
          <w:tcPr>
            <w:tcW w:w="1655" w:type="dxa"/>
            <w:vAlign w:val="center"/>
          </w:tcPr>
          <w:p w:rsidR="00A9050D" w:rsidRDefault="00896817">
            <w:pPr>
              <w:jc w:val="right"/>
            </w:pPr>
            <w:r>
              <w:rPr>
                <w:color w:val="000000"/>
                <w:sz w:val="24"/>
              </w:rPr>
              <w:t>0.14</w:t>
            </w:r>
          </w:p>
        </w:tc>
        <w:tc>
          <w:tcPr>
            <w:tcW w:w="1367" w:type="dxa"/>
            <w:vAlign w:val="center"/>
          </w:tcPr>
          <w:p w:rsidR="00A9050D" w:rsidRDefault="00896817">
            <w:pPr>
              <w:jc w:val="right"/>
            </w:pPr>
            <w:r>
              <w:rPr>
                <w:color w:val="000000"/>
                <w:sz w:val="24"/>
              </w:rPr>
              <w:t>新股未上市</w:t>
            </w:r>
          </w:p>
        </w:tc>
      </w:tr>
      <w:tr w:rsidR="00A9050D">
        <w:tc>
          <w:tcPr>
            <w:tcW w:w="1083" w:type="dxa"/>
            <w:vAlign w:val="center"/>
          </w:tcPr>
          <w:p w:rsidR="00A9050D" w:rsidRDefault="00896817">
            <w:pPr>
              <w:jc w:val="center"/>
            </w:pPr>
            <w:r>
              <w:rPr>
                <w:color w:val="000000"/>
                <w:sz w:val="24"/>
              </w:rPr>
              <w:t>2</w:t>
            </w:r>
          </w:p>
        </w:tc>
        <w:tc>
          <w:tcPr>
            <w:tcW w:w="1302" w:type="dxa"/>
            <w:vAlign w:val="center"/>
          </w:tcPr>
          <w:p w:rsidR="00A9050D" w:rsidRDefault="00896817">
            <w:pPr>
              <w:jc w:val="center"/>
            </w:pPr>
            <w:r>
              <w:rPr>
                <w:color w:val="000000"/>
                <w:sz w:val="24"/>
              </w:rPr>
              <w:t>300896</w:t>
            </w:r>
          </w:p>
        </w:tc>
        <w:tc>
          <w:tcPr>
            <w:tcW w:w="1301" w:type="dxa"/>
            <w:vAlign w:val="center"/>
          </w:tcPr>
          <w:p w:rsidR="00A9050D" w:rsidRDefault="00896817">
            <w:pPr>
              <w:jc w:val="center"/>
            </w:pPr>
            <w:r>
              <w:rPr>
                <w:color w:val="000000"/>
                <w:sz w:val="24"/>
              </w:rPr>
              <w:t>爱美客</w:t>
            </w:r>
          </w:p>
        </w:tc>
        <w:tc>
          <w:tcPr>
            <w:tcW w:w="1805" w:type="dxa"/>
            <w:vAlign w:val="center"/>
          </w:tcPr>
          <w:p w:rsidR="00A9050D" w:rsidRDefault="00896817">
            <w:pPr>
              <w:jc w:val="right"/>
            </w:pPr>
            <w:r>
              <w:rPr>
                <w:color w:val="000000"/>
                <w:sz w:val="24"/>
              </w:rPr>
              <w:t>109,980.42</w:t>
            </w:r>
          </w:p>
        </w:tc>
        <w:tc>
          <w:tcPr>
            <w:tcW w:w="1655" w:type="dxa"/>
            <w:vAlign w:val="center"/>
          </w:tcPr>
          <w:p w:rsidR="00A9050D" w:rsidRDefault="00896817">
            <w:pPr>
              <w:jc w:val="right"/>
            </w:pPr>
            <w:r>
              <w:rPr>
                <w:color w:val="000000"/>
                <w:sz w:val="24"/>
              </w:rPr>
              <w:t>0.01</w:t>
            </w:r>
          </w:p>
        </w:tc>
        <w:tc>
          <w:tcPr>
            <w:tcW w:w="1367" w:type="dxa"/>
            <w:vAlign w:val="center"/>
          </w:tcPr>
          <w:p w:rsidR="00A9050D" w:rsidRDefault="00896817">
            <w:pPr>
              <w:jc w:val="right"/>
            </w:pPr>
            <w:r>
              <w:rPr>
                <w:color w:val="000000"/>
                <w:sz w:val="24"/>
              </w:rPr>
              <w:t>限售股</w:t>
            </w:r>
          </w:p>
        </w:tc>
      </w:tr>
      <w:tr w:rsidR="00A9050D">
        <w:tc>
          <w:tcPr>
            <w:tcW w:w="1083" w:type="dxa"/>
            <w:vAlign w:val="center"/>
          </w:tcPr>
          <w:p w:rsidR="00A9050D" w:rsidRDefault="00896817">
            <w:pPr>
              <w:jc w:val="center"/>
            </w:pPr>
            <w:r>
              <w:rPr>
                <w:color w:val="000000"/>
                <w:sz w:val="24"/>
              </w:rPr>
              <w:t>3</w:t>
            </w:r>
          </w:p>
        </w:tc>
        <w:tc>
          <w:tcPr>
            <w:tcW w:w="1302" w:type="dxa"/>
            <w:vAlign w:val="center"/>
          </w:tcPr>
          <w:p w:rsidR="00A9050D" w:rsidRDefault="00896817">
            <w:pPr>
              <w:jc w:val="center"/>
            </w:pPr>
            <w:r>
              <w:rPr>
                <w:color w:val="000000"/>
                <w:sz w:val="24"/>
              </w:rPr>
              <w:t>300891</w:t>
            </w:r>
          </w:p>
        </w:tc>
        <w:tc>
          <w:tcPr>
            <w:tcW w:w="1301" w:type="dxa"/>
            <w:vAlign w:val="center"/>
          </w:tcPr>
          <w:p w:rsidR="00A9050D" w:rsidRDefault="00896817">
            <w:pPr>
              <w:jc w:val="center"/>
            </w:pPr>
            <w:r>
              <w:rPr>
                <w:color w:val="000000"/>
                <w:sz w:val="24"/>
              </w:rPr>
              <w:t>惠云钛业</w:t>
            </w:r>
          </w:p>
        </w:tc>
        <w:tc>
          <w:tcPr>
            <w:tcW w:w="1805" w:type="dxa"/>
            <w:vAlign w:val="center"/>
          </w:tcPr>
          <w:p w:rsidR="00A9050D" w:rsidRDefault="00896817">
            <w:pPr>
              <w:jc w:val="right"/>
            </w:pPr>
            <w:r>
              <w:rPr>
                <w:color w:val="000000"/>
                <w:sz w:val="24"/>
              </w:rPr>
              <w:t>15,659.10</w:t>
            </w:r>
          </w:p>
        </w:tc>
        <w:tc>
          <w:tcPr>
            <w:tcW w:w="1655" w:type="dxa"/>
            <w:vAlign w:val="center"/>
          </w:tcPr>
          <w:p w:rsidR="00A9050D" w:rsidRDefault="00896817">
            <w:pPr>
              <w:jc w:val="right"/>
            </w:pPr>
            <w:r>
              <w:rPr>
                <w:color w:val="000000"/>
                <w:sz w:val="24"/>
              </w:rPr>
              <w:t>0.00</w:t>
            </w:r>
          </w:p>
        </w:tc>
        <w:tc>
          <w:tcPr>
            <w:tcW w:w="1367" w:type="dxa"/>
            <w:vAlign w:val="center"/>
          </w:tcPr>
          <w:p w:rsidR="00A9050D" w:rsidRDefault="00896817">
            <w:pPr>
              <w:jc w:val="right"/>
            </w:pPr>
            <w:r>
              <w:rPr>
                <w:color w:val="000000"/>
                <w:sz w:val="24"/>
              </w:rPr>
              <w:t>限售股</w:t>
            </w:r>
          </w:p>
        </w:tc>
      </w:tr>
      <w:tr w:rsidR="00A9050D">
        <w:tc>
          <w:tcPr>
            <w:tcW w:w="1083" w:type="dxa"/>
            <w:vAlign w:val="center"/>
          </w:tcPr>
          <w:p w:rsidR="00A9050D" w:rsidRDefault="00896817">
            <w:pPr>
              <w:jc w:val="center"/>
            </w:pPr>
            <w:r>
              <w:rPr>
                <w:color w:val="000000"/>
                <w:sz w:val="24"/>
              </w:rPr>
              <w:t>4</w:t>
            </w:r>
          </w:p>
        </w:tc>
        <w:tc>
          <w:tcPr>
            <w:tcW w:w="1302" w:type="dxa"/>
            <w:vAlign w:val="center"/>
          </w:tcPr>
          <w:p w:rsidR="00A9050D" w:rsidRDefault="00896817">
            <w:pPr>
              <w:jc w:val="center"/>
            </w:pPr>
            <w:r>
              <w:rPr>
                <w:color w:val="000000"/>
                <w:sz w:val="24"/>
              </w:rPr>
              <w:t>300887</w:t>
            </w:r>
          </w:p>
        </w:tc>
        <w:tc>
          <w:tcPr>
            <w:tcW w:w="1301" w:type="dxa"/>
            <w:vAlign w:val="center"/>
          </w:tcPr>
          <w:p w:rsidR="00A9050D" w:rsidRDefault="00896817">
            <w:pPr>
              <w:jc w:val="center"/>
            </w:pPr>
            <w:r>
              <w:rPr>
                <w:color w:val="000000"/>
                <w:sz w:val="24"/>
              </w:rPr>
              <w:t>谱尼测试</w:t>
            </w:r>
          </w:p>
        </w:tc>
        <w:tc>
          <w:tcPr>
            <w:tcW w:w="1805" w:type="dxa"/>
            <w:vAlign w:val="center"/>
          </w:tcPr>
          <w:p w:rsidR="00A9050D" w:rsidRDefault="00896817">
            <w:pPr>
              <w:jc w:val="right"/>
            </w:pPr>
            <w:r>
              <w:rPr>
                <w:color w:val="000000"/>
                <w:sz w:val="24"/>
              </w:rPr>
              <w:t>14,813.40</w:t>
            </w:r>
          </w:p>
        </w:tc>
        <w:tc>
          <w:tcPr>
            <w:tcW w:w="1655" w:type="dxa"/>
            <w:vAlign w:val="center"/>
          </w:tcPr>
          <w:p w:rsidR="00A9050D" w:rsidRDefault="00896817">
            <w:pPr>
              <w:jc w:val="right"/>
            </w:pPr>
            <w:r>
              <w:rPr>
                <w:color w:val="000000"/>
                <w:sz w:val="24"/>
              </w:rPr>
              <w:t>0.00</w:t>
            </w:r>
          </w:p>
        </w:tc>
        <w:tc>
          <w:tcPr>
            <w:tcW w:w="1367" w:type="dxa"/>
            <w:vAlign w:val="center"/>
          </w:tcPr>
          <w:p w:rsidR="00A9050D" w:rsidRDefault="00896817">
            <w:pPr>
              <w:jc w:val="right"/>
            </w:pPr>
            <w:r>
              <w:rPr>
                <w:color w:val="000000"/>
                <w:sz w:val="24"/>
              </w:rPr>
              <w:t>限售股</w:t>
            </w:r>
          </w:p>
        </w:tc>
      </w:tr>
      <w:tr w:rsidR="00A9050D">
        <w:tc>
          <w:tcPr>
            <w:tcW w:w="1083" w:type="dxa"/>
            <w:vAlign w:val="center"/>
          </w:tcPr>
          <w:p w:rsidR="00A9050D" w:rsidRDefault="00896817">
            <w:pPr>
              <w:jc w:val="center"/>
            </w:pPr>
            <w:r>
              <w:rPr>
                <w:color w:val="000000"/>
                <w:sz w:val="24"/>
              </w:rPr>
              <w:t>5</w:t>
            </w:r>
          </w:p>
        </w:tc>
        <w:tc>
          <w:tcPr>
            <w:tcW w:w="1302" w:type="dxa"/>
            <w:vAlign w:val="center"/>
          </w:tcPr>
          <w:p w:rsidR="00A9050D" w:rsidRDefault="00896817">
            <w:pPr>
              <w:jc w:val="center"/>
            </w:pPr>
            <w:r>
              <w:rPr>
                <w:color w:val="000000"/>
                <w:sz w:val="24"/>
              </w:rPr>
              <w:t>300890</w:t>
            </w:r>
          </w:p>
        </w:tc>
        <w:tc>
          <w:tcPr>
            <w:tcW w:w="1301" w:type="dxa"/>
            <w:vAlign w:val="center"/>
          </w:tcPr>
          <w:p w:rsidR="00A9050D" w:rsidRDefault="00896817">
            <w:pPr>
              <w:jc w:val="center"/>
            </w:pPr>
            <w:r>
              <w:rPr>
                <w:color w:val="000000"/>
                <w:sz w:val="24"/>
              </w:rPr>
              <w:t>翔丰华</w:t>
            </w:r>
          </w:p>
        </w:tc>
        <w:tc>
          <w:tcPr>
            <w:tcW w:w="1805" w:type="dxa"/>
            <w:vAlign w:val="center"/>
          </w:tcPr>
          <w:p w:rsidR="00A9050D" w:rsidRDefault="00896817">
            <w:pPr>
              <w:jc w:val="right"/>
            </w:pPr>
            <w:r>
              <w:rPr>
                <w:color w:val="000000"/>
                <w:sz w:val="24"/>
              </w:rPr>
              <w:t>10,298.86</w:t>
            </w:r>
          </w:p>
        </w:tc>
        <w:tc>
          <w:tcPr>
            <w:tcW w:w="1655" w:type="dxa"/>
            <w:vAlign w:val="center"/>
          </w:tcPr>
          <w:p w:rsidR="00A9050D" w:rsidRDefault="00896817">
            <w:pPr>
              <w:jc w:val="right"/>
            </w:pPr>
            <w:r>
              <w:rPr>
                <w:color w:val="000000"/>
                <w:sz w:val="24"/>
              </w:rPr>
              <w:t>0.00</w:t>
            </w:r>
          </w:p>
        </w:tc>
        <w:tc>
          <w:tcPr>
            <w:tcW w:w="1367" w:type="dxa"/>
            <w:vAlign w:val="center"/>
          </w:tcPr>
          <w:p w:rsidR="00A9050D" w:rsidRDefault="00896817">
            <w:pPr>
              <w:jc w:val="right"/>
            </w:pPr>
            <w:r>
              <w:rPr>
                <w:color w:val="000000"/>
                <w:sz w:val="24"/>
              </w:rPr>
              <w:t>限售股</w:t>
            </w:r>
          </w:p>
        </w:tc>
      </w:tr>
    </w:tbl>
    <w:p w:rsidR="00A62673" w:rsidRPr="00CE743F" w:rsidRDefault="00A62673" w:rsidP="009A037F">
      <w:pPr>
        <w:spacing w:line="360" w:lineRule="auto"/>
        <w:rPr>
          <w:rFonts w:ascii="宋体" w:cs="STSong-Light"/>
          <w:b/>
          <w:color w:val="000000"/>
          <w:sz w:val="24"/>
        </w:rPr>
      </w:pPr>
      <w:r w:rsidRPr="00CE743F">
        <w:rPr>
          <w:rFonts w:ascii="宋体" w:hAnsi="宋体"/>
          <w:b/>
          <w:color w:val="000000"/>
          <w:sz w:val="24"/>
        </w:rPr>
        <w:t>5.11.</w:t>
      </w:r>
      <w:r w:rsidRPr="00CE743F">
        <w:rPr>
          <w:rFonts w:ascii="宋体" w:hAnsi="宋体"/>
          <w:b/>
          <w:bCs/>
          <w:color w:val="000000"/>
          <w:sz w:val="24"/>
        </w:rPr>
        <w:t>6</w:t>
      </w:r>
      <w:r w:rsidRPr="00CE743F">
        <w:rPr>
          <w:rFonts w:ascii="宋体" w:hAnsi="宋体" w:hint="eastAsia"/>
          <w:b/>
          <w:bCs/>
          <w:color w:val="000000"/>
          <w:kern w:val="0"/>
          <w:sz w:val="24"/>
        </w:rPr>
        <w:t>投资组合报告附注的其他文字描述部分</w:t>
      </w:r>
    </w:p>
    <w:p w:rsidR="00A62673" w:rsidRPr="00DC315B" w:rsidRDefault="00A62673" w:rsidP="005A2769">
      <w:pPr>
        <w:spacing w:line="360" w:lineRule="auto"/>
        <w:ind w:firstLineChars="200" w:firstLine="480"/>
        <w:rPr>
          <w:color w:val="000000"/>
          <w:sz w:val="24"/>
        </w:rPr>
      </w:pPr>
      <w:r w:rsidRPr="00DC315B">
        <w:rPr>
          <w:color w:val="000000"/>
          <w:sz w:val="24"/>
        </w:rPr>
        <w:t>由于四舍五入的原因，分项之和与合计项之间可能存在尾差。</w:t>
      </w:r>
    </w:p>
    <w:p w:rsidR="00A62673" w:rsidRPr="00EC5CE0" w:rsidRDefault="00A62673" w:rsidP="005A2769">
      <w:pPr>
        <w:spacing w:line="360" w:lineRule="auto"/>
        <w:ind w:firstLineChars="200" w:firstLine="480"/>
        <w:rPr>
          <w:rFonts w:ascii="宋体"/>
          <w:color w:val="000000"/>
          <w:sz w:val="24"/>
        </w:rPr>
      </w:pPr>
    </w:p>
    <w:p w:rsidR="00A62673" w:rsidRPr="00EC5CE0" w:rsidRDefault="00A62673" w:rsidP="00F729DC">
      <w:pPr>
        <w:pStyle w:val="1"/>
        <w:spacing w:beforeLines="100" w:before="312" w:afterLines="100" w:after="312" w:line="360" w:lineRule="auto"/>
        <w:jc w:val="center"/>
        <w:rPr>
          <w:rFonts w:ascii="宋体" w:cs="Arial"/>
          <w:color w:val="000000"/>
          <w:kern w:val="0"/>
          <w:sz w:val="24"/>
          <w:szCs w:val="24"/>
        </w:rPr>
      </w:pPr>
      <w:r w:rsidRPr="00EC5CE0">
        <w:rPr>
          <w:rFonts w:ascii="宋体" w:hAnsi="宋体" w:cs="Arial" w:hint="eastAsia"/>
          <w:color w:val="000000"/>
          <w:kern w:val="0"/>
          <w:sz w:val="24"/>
          <w:szCs w:val="24"/>
        </w:rPr>
        <w:t>§</w:t>
      </w:r>
      <w:r w:rsidRPr="00EC5CE0">
        <w:rPr>
          <w:rFonts w:ascii="宋体" w:hAnsi="宋体" w:cs="Arial"/>
          <w:color w:val="000000"/>
          <w:kern w:val="0"/>
          <w:sz w:val="24"/>
          <w:szCs w:val="24"/>
        </w:rPr>
        <w:t xml:space="preserve">6  </w:t>
      </w:r>
      <w:r w:rsidRPr="00EC5CE0">
        <w:rPr>
          <w:rFonts w:ascii="宋体" w:hAnsi="宋体" w:cs="Arial" w:hint="eastAsia"/>
          <w:color w:val="000000"/>
          <w:kern w:val="0"/>
          <w:sz w:val="24"/>
          <w:szCs w:val="24"/>
        </w:rPr>
        <w:t>开放式基金份额变动</w:t>
      </w:r>
    </w:p>
    <w:p w:rsidR="004976EE" w:rsidRPr="00FA472B" w:rsidRDefault="004976EE" w:rsidP="004976EE">
      <w:pPr>
        <w:autoSpaceDE w:val="0"/>
        <w:autoSpaceDN w:val="0"/>
        <w:adjustRightInd w:val="0"/>
        <w:spacing w:before="29" w:line="288" w:lineRule="auto"/>
        <w:ind w:left="15" w:right="480"/>
        <w:jc w:val="right"/>
        <w:rPr>
          <w:rFonts w:ascii="宋体" w:hAnsi="宋体" w:cs="Arial"/>
          <w:color w:val="000000"/>
          <w:kern w:val="0"/>
          <w:sz w:val="24"/>
        </w:rPr>
      </w:pPr>
      <w:r w:rsidRPr="00FA472B">
        <w:rPr>
          <w:rFonts w:ascii="宋体" w:hAnsi="宋体" w:cs="Arial" w:hint="eastAsia"/>
          <w:color w:val="000000"/>
          <w:kern w:val="0"/>
          <w:sz w:val="24"/>
        </w:rPr>
        <w:t>单位：份</w:t>
      </w:r>
    </w:p>
    <w:tbl>
      <w:tblPr>
        <w:tblW w:w="0" w:type="auto"/>
        <w:tblInd w:w="-106" w:type="dxa"/>
        <w:tblLayout w:type="fixed"/>
        <w:tblLook w:val="0000" w:firstRow="0" w:lastRow="0" w:firstColumn="0" w:lastColumn="0" w:noHBand="0" w:noVBand="0"/>
      </w:tblPr>
      <w:tblGrid>
        <w:gridCol w:w="3900"/>
        <w:gridCol w:w="2367"/>
        <w:gridCol w:w="2367"/>
      </w:tblGrid>
      <w:tr w:rsidR="004976EE" w:rsidRPr="0078105B" w:rsidTr="00320C1E">
        <w:tc>
          <w:tcPr>
            <w:tcW w:w="3900" w:type="dxa"/>
            <w:tcBorders>
              <w:top w:val="single" w:sz="8" w:space="0" w:color="000000"/>
              <w:left w:val="single" w:sz="8" w:space="0" w:color="000000"/>
              <w:bottom w:val="single" w:sz="8" w:space="0" w:color="000000"/>
              <w:right w:val="single" w:sz="8" w:space="0" w:color="000000"/>
            </w:tcBorders>
            <w:vAlign w:val="center"/>
          </w:tcPr>
          <w:p w:rsidR="004976EE" w:rsidRPr="00FA472B" w:rsidRDefault="004976EE" w:rsidP="00320C1E">
            <w:pPr>
              <w:autoSpaceDE w:val="0"/>
              <w:autoSpaceDN w:val="0"/>
              <w:adjustRightInd w:val="0"/>
              <w:spacing w:before="29" w:line="360" w:lineRule="auto"/>
              <w:ind w:left="17"/>
              <w:jc w:val="center"/>
              <w:rPr>
                <w:color w:val="000000"/>
                <w:kern w:val="0"/>
                <w:sz w:val="24"/>
              </w:rPr>
            </w:pPr>
            <w:r w:rsidRPr="00FA472B">
              <w:rPr>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4976EE" w:rsidRPr="00FA472B" w:rsidRDefault="004976EE" w:rsidP="00320C1E">
            <w:pPr>
              <w:autoSpaceDE w:val="0"/>
              <w:autoSpaceDN w:val="0"/>
              <w:adjustRightInd w:val="0"/>
              <w:spacing w:before="29" w:line="360" w:lineRule="auto"/>
              <w:ind w:left="17"/>
              <w:jc w:val="right"/>
              <w:rPr>
                <w:color w:val="000000"/>
                <w:sz w:val="24"/>
              </w:rPr>
            </w:pPr>
            <w:r w:rsidRPr="00FA472B">
              <w:rPr>
                <w:sz w:val="24"/>
              </w:rPr>
              <w:t>交银创业板</w:t>
            </w:r>
            <w:r w:rsidRPr="00FA472B">
              <w:rPr>
                <w:sz w:val="24"/>
              </w:rPr>
              <w:t>50</w:t>
            </w:r>
            <w:r w:rsidRPr="00FA472B">
              <w:rPr>
                <w:sz w:val="24"/>
              </w:rPr>
              <w:t>指数</w:t>
            </w:r>
            <w:r w:rsidRPr="00FA472B">
              <w:rPr>
                <w:sz w:val="24"/>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4976EE" w:rsidRPr="00FA472B" w:rsidRDefault="004976EE" w:rsidP="00320C1E">
            <w:pPr>
              <w:autoSpaceDE w:val="0"/>
              <w:autoSpaceDN w:val="0"/>
              <w:adjustRightInd w:val="0"/>
              <w:spacing w:before="29" w:line="360" w:lineRule="auto"/>
              <w:ind w:left="17"/>
              <w:jc w:val="right"/>
              <w:rPr>
                <w:color w:val="000000"/>
                <w:sz w:val="24"/>
              </w:rPr>
            </w:pPr>
            <w:r w:rsidRPr="00FA472B">
              <w:rPr>
                <w:sz w:val="24"/>
              </w:rPr>
              <w:t>交银创业板</w:t>
            </w:r>
            <w:r w:rsidRPr="00FA472B">
              <w:rPr>
                <w:sz w:val="24"/>
              </w:rPr>
              <w:t>50</w:t>
            </w:r>
            <w:r w:rsidRPr="00FA472B">
              <w:rPr>
                <w:sz w:val="24"/>
              </w:rPr>
              <w:t>指数</w:t>
            </w:r>
            <w:r w:rsidRPr="00FA472B">
              <w:rPr>
                <w:sz w:val="24"/>
              </w:rPr>
              <w:t>C</w:t>
            </w:r>
          </w:p>
        </w:tc>
      </w:tr>
      <w:tr w:rsidR="004976EE" w:rsidRPr="0078105B" w:rsidTr="00320C1E">
        <w:tc>
          <w:tcPr>
            <w:tcW w:w="3900" w:type="dxa"/>
            <w:tcBorders>
              <w:top w:val="single" w:sz="8" w:space="0" w:color="000000"/>
              <w:left w:val="single" w:sz="8" w:space="0" w:color="000000"/>
              <w:bottom w:val="single" w:sz="8" w:space="0" w:color="000000"/>
              <w:right w:val="single" w:sz="8" w:space="0" w:color="000000"/>
            </w:tcBorders>
            <w:vAlign w:val="center"/>
          </w:tcPr>
          <w:p w:rsidR="004976EE" w:rsidRPr="00FA472B" w:rsidRDefault="004976EE" w:rsidP="00320C1E">
            <w:pPr>
              <w:autoSpaceDE w:val="0"/>
              <w:autoSpaceDN w:val="0"/>
              <w:adjustRightInd w:val="0"/>
              <w:spacing w:before="29" w:line="360" w:lineRule="auto"/>
              <w:ind w:left="17"/>
              <w:jc w:val="left"/>
              <w:rPr>
                <w:color w:val="000000"/>
                <w:kern w:val="0"/>
                <w:sz w:val="24"/>
              </w:rPr>
            </w:pPr>
            <w:r w:rsidRPr="00FA472B">
              <w:rPr>
                <w:color w:val="000000"/>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4976EE" w:rsidRPr="00FA472B" w:rsidRDefault="004976EE" w:rsidP="00320C1E">
            <w:pPr>
              <w:autoSpaceDE w:val="0"/>
              <w:autoSpaceDN w:val="0"/>
              <w:adjustRightInd w:val="0"/>
              <w:spacing w:before="29" w:line="360" w:lineRule="auto"/>
              <w:ind w:left="17"/>
              <w:jc w:val="right"/>
              <w:rPr>
                <w:color w:val="000000"/>
                <w:sz w:val="24"/>
              </w:rPr>
            </w:pPr>
            <w:r w:rsidRPr="00FA472B">
              <w:rPr>
                <w:color w:val="000000"/>
                <w:sz w:val="24"/>
              </w:rPr>
              <w:t>316,835,187.77</w:t>
            </w:r>
          </w:p>
        </w:tc>
        <w:tc>
          <w:tcPr>
            <w:tcW w:w="2367" w:type="dxa"/>
            <w:tcBorders>
              <w:top w:val="single" w:sz="8" w:space="0" w:color="000000"/>
              <w:left w:val="single" w:sz="8" w:space="0" w:color="000000"/>
              <w:bottom w:val="single" w:sz="8" w:space="0" w:color="000000"/>
              <w:right w:val="single" w:sz="8" w:space="0" w:color="000000"/>
            </w:tcBorders>
            <w:vAlign w:val="center"/>
          </w:tcPr>
          <w:p w:rsidR="004976EE" w:rsidRPr="00FA472B" w:rsidRDefault="004976EE" w:rsidP="00320C1E">
            <w:pPr>
              <w:autoSpaceDE w:val="0"/>
              <w:autoSpaceDN w:val="0"/>
              <w:adjustRightInd w:val="0"/>
              <w:spacing w:before="29" w:line="360" w:lineRule="auto"/>
              <w:ind w:left="17"/>
              <w:jc w:val="right"/>
              <w:rPr>
                <w:color w:val="000000"/>
                <w:sz w:val="24"/>
              </w:rPr>
            </w:pPr>
            <w:r w:rsidRPr="00FA472B">
              <w:rPr>
                <w:color w:val="000000"/>
                <w:sz w:val="24"/>
              </w:rPr>
              <w:t>110,624,252.03</w:t>
            </w:r>
          </w:p>
        </w:tc>
      </w:tr>
      <w:tr w:rsidR="004976EE" w:rsidRPr="0078105B" w:rsidTr="00320C1E">
        <w:tc>
          <w:tcPr>
            <w:tcW w:w="3900" w:type="dxa"/>
            <w:tcBorders>
              <w:top w:val="single" w:sz="8" w:space="0" w:color="000000"/>
              <w:left w:val="single" w:sz="8" w:space="0" w:color="000000"/>
              <w:bottom w:val="single" w:sz="8" w:space="0" w:color="000000"/>
              <w:right w:val="single" w:sz="8" w:space="0" w:color="000000"/>
            </w:tcBorders>
            <w:vAlign w:val="center"/>
          </w:tcPr>
          <w:p w:rsidR="004976EE" w:rsidRPr="00FA472B" w:rsidRDefault="004976EE" w:rsidP="00320C1E">
            <w:pPr>
              <w:autoSpaceDE w:val="0"/>
              <w:autoSpaceDN w:val="0"/>
              <w:adjustRightInd w:val="0"/>
              <w:spacing w:before="29" w:line="360" w:lineRule="auto"/>
              <w:ind w:left="17"/>
              <w:jc w:val="left"/>
              <w:rPr>
                <w:color w:val="000000"/>
                <w:kern w:val="0"/>
                <w:sz w:val="24"/>
              </w:rPr>
            </w:pPr>
            <w:r w:rsidRPr="00FA472B">
              <w:rPr>
                <w:color w:val="000000"/>
                <w:kern w:val="0"/>
                <w:sz w:val="24"/>
              </w:rPr>
              <w:t>报告期基金总申购份额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4976EE" w:rsidRPr="00FA472B" w:rsidRDefault="004976EE" w:rsidP="00320C1E">
            <w:pPr>
              <w:autoSpaceDE w:val="0"/>
              <w:autoSpaceDN w:val="0"/>
              <w:adjustRightInd w:val="0"/>
              <w:spacing w:before="29" w:line="360" w:lineRule="auto"/>
              <w:ind w:left="17"/>
              <w:jc w:val="right"/>
              <w:rPr>
                <w:color w:val="000000"/>
                <w:sz w:val="24"/>
              </w:rPr>
            </w:pPr>
            <w:r w:rsidRPr="00FA472B">
              <w:rPr>
                <w:color w:val="000000"/>
                <w:sz w:val="24"/>
              </w:rPr>
              <w:t>478,296,466.11</w:t>
            </w:r>
          </w:p>
        </w:tc>
        <w:tc>
          <w:tcPr>
            <w:tcW w:w="2367" w:type="dxa"/>
            <w:tcBorders>
              <w:top w:val="single" w:sz="8" w:space="0" w:color="000000"/>
              <w:left w:val="single" w:sz="8" w:space="0" w:color="000000"/>
              <w:bottom w:val="single" w:sz="8" w:space="0" w:color="000000"/>
              <w:right w:val="single" w:sz="8" w:space="0" w:color="000000"/>
            </w:tcBorders>
            <w:vAlign w:val="center"/>
          </w:tcPr>
          <w:p w:rsidR="004976EE" w:rsidRPr="00FA472B" w:rsidRDefault="004976EE" w:rsidP="00320C1E">
            <w:pPr>
              <w:autoSpaceDE w:val="0"/>
              <w:autoSpaceDN w:val="0"/>
              <w:adjustRightInd w:val="0"/>
              <w:spacing w:before="29" w:line="360" w:lineRule="auto"/>
              <w:ind w:left="17"/>
              <w:jc w:val="right"/>
              <w:rPr>
                <w:color w:val="000000"/>
                <w:sz w:val="24"/>
              </w:rPr>
            </w:pPr>
            <w:r w:rsidRPr="00FA472B">
              <w:rPr>
                <w:color w:val="000000"/>
                <w:sz w:val="24"/>
              </w:rPr>
              <w:t>432,598,579.04</w:t>
            </w:r>
          </w:p>
        </w:tc>
      </w:tr>
      <w:tr w:rsidR="004976EE" w:rsidRPr="0078105B" w:rsidTr="00320C1E">
        <w:tc>
          <w:tcPr>
            <w:tcW w:w="3900" w:type="dxa"/>
            <w:tcBorders>
              <w:top w:val="single" w:sz="8" w:space="0" w:color="000000"/>
              <w:left w:val="single" w:sz="8" w:space="0" w:color="000000"/>
              <w:bottom w:val="single" w:sz="8" w:space="0" w:color="000000"/>
              <w:right w:val="single" w:sz="8" w:space="0" w:color="000000"/>
            </w:tcBorders>
            <w:vAlign w:val="center"/>
          </w:tcPr>
          <w:p w:rsidR="004976EE" w:rsidRPr="00FA472B" w:rsidRDefault="004976EE" w:rsidP="00320C1E">
            <w:pPr>
              <w:autoSpaceDE w:val="0"/>
              <w:autoSpaceDN w:val="0"/>
              <w:adjustRightInd w:val="0"/>
              <w:spacing w:before="29" w:line="360" w:lineRule="auto"/>
              <w:ind w:left="17"/>
              <w:jc w:val="left"/>
              <w:rPr>
                <w:color w:val="000000"/>
                <w:kern w:val="0"/>
                <w:sz w:val="24"/>
              </w:rPr>
            </w:pPr>
            <w:r w:rsidRPr="00FA472B">
              <w:rPr>
                <w:color w:val="000000"/>
                <w:kern w:val="0"/>
                <w:sz w:val="24"/>
              </w:rPr>
              <w:t>减：报告期基金总赎回份额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4976EE" w:rsidRPr="00FA472B" w:rsidRDefault="004976EE" w:rsidP="00320C1E">
            <w:pPr>
              <w:autoSpaceDE w:val="0"/>
              <w:autoSpaceDN w:val="0"/>
              <w:adjustRightInd w:val="0"/>
              <w:spacing w:before="29" w:line="360" w:lineRule="auto"/>
              <w:ind w:left="17"/>
              <w:jc w:val="right"/>
              <w:rPr>
                <w:color w:val="000000"/>
                <w:sz w:val="24"/>
              </w:rPr>
            </w:pPr>
            <w:r w:rsidRPr="00FA472B">
              <w:rPr>
                <w:color w:val="000000"/>
                <w:sz w:val="24"/>
              </w:rPr>
              <w:t>324,127,426.24</w:t>
            </w:r>
          </w:p>
        </w:tc>
        <w:tc>
          <w:tcPr>
            <w:tcW w:w="2367" w:type="dxa"/>
            <w:tcBorders>
              <w:top w:val="single" w:sz="8" w:space="0" w:color="000000"/>
              <w:left w:val="single" w:sz="8" w:space="0" w:color="000000"/>
              <w:bottom w:val="single" w:sz="8" w:space="0" w:color="000000"/>
              <w:right w:val="single" w:sz="8" w:space="0" w:color="000000"/>
            </w:tcBorders>
            <w:vAlign w:val="center"/>
          </w:tcPr>
          <w:p w:rsidR="004976EE" w:rsidRPr="00FA472B" w:rsidRDefault="004976EE" w:rsidP="00320C1E">
            <w:pPr>
              <w:autoSpaceDE w:val="0"/>
              <w:autoSpaceDN w:val="0"/>
              <w:adjustRightInd w:val="0"/>
              <w:spacing w:before="29" w:line="360" w:lineRule="auto"/>
              <w:ind w:left="17"/>
              <w:jc w:val="right"/>
              <w:rPr>
                <w:color w:val="000000"/>
                <w:sz w:val="24"/>
              </w:rPr>
            </w:pPr>
            <w:r w:rsidRPr="00FA472B">
              <w:rPr>
                <w:color w:val="000000"/>
                <w:sz w:val="24"/>
              </w:rPr>
              <w:t>290,145,706.25</w:t>
            </w:r>
          </w:p>
        </w:tc>
      </w:tr>
      <w:tr w:rsidR="004976EE" w:rsidRPr="0078105B" w:rsidTr="00320C1E">
        <w:tc>
          <w:tcPr>
            <w:tcW w:w="3900" w:type="dxa"/>
            <w:tcBorders>
              <w:top w:val="single" w:sz="8" w:space="0" w:color="000000"/>
              <w:left w:val="single" w:sz="8" w:space="0" w:color="000000"/>
              <w:bottom w:val="single" w:sz="8" w:space="0" w:color="000000"/>
              <w:right w:val="single" w:sz="8" w:space="0" w:color="000000"/>
            </w:tcBorders>
            <w:vAlign w:val="center"/>
          </w:tcPr>
          <w:p w:rsidR="004976EE" w:rsidRPr="00FA472B" w:rsidRDefault="004976EE" w:rsidP="00320C1E">
            <w:pPr>
              <w:autoSpaceDE w:val="0"/>
              <w:autoSpaceDN w:val="0"/>
              <w:adjustRightInd w:val="0"/>
              <w:spacing w:before="29" w:line="360" w:lineRule="auto"/>
              <w:ind w:left="17"/>
              <w:jc w:val="left"/>
              <w:rPr>
                <w:color w:val="000000"/>
                <w:kern w:val="0"/>
                <w:sz w:val="24"/>
              </w:rPr>
            </w:pPr>
            <w:r w:rsidRPr="00FA472B">
              <w:rPr>
                <w:color w:val="000000"/>
                <w:kern w:val="0"/>
                <w:sz w:val="24"/>
              </w:rPr>
              <w:t>报告期基金拆分变动份额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4976EE" w:rsidRPr="00FA472B" w:rsidRDefault="004976EE" w:rsidP="00320C1E">
            <w:pPr>
              <w:autoSpaceDE w:val="0"/>
              <w:autoSpaceDN w:val="0"/>
              <w:adjustRightInd w:val="0"/>
              <w:spacing w:before="29" w:line="360" w:lineRule="auto"/>
              <w:ind w:left="17"/>
              <w:jc w:val="right"/>
              <w:rPr>
                <w:color w:val="000000"/>
                <w:sz w:val="24"/>
              </w:rPr>
            </w:pPr>
            <w:r w:rsidRPr="00FA472B">
              <w:rPr>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4976EE" w:rsidRPr="00FA472B" w:rsidRDefault="004976EE" w:rsidP="00320C1E">
            <w:pPr>
              <w:autoSpaceDE w:val="0"/>
              <w:autoSpaceDN w:val="0"/>
              <w:adjustRightInd w:val="0"/>
              <w:spacing w:before="29" w:line="360" w:lineRule="auto"/>
              <w:ind w:left="17"/>
              <w:jc w:val="right"/>
              <w:rPr>
                <w:color w:val="000000"/>
                <w:sz w:val="24"/>
              </w:rPr>
            </w:pPr>
            <w:r w:rsidRPr="00FA472B">
              <w:rPr>
                <w:color w:val="000000"/>
                <w:sz w:val="24"/>
              </w:rPr>
              <w:t>-</w:t>
            </w:r>
          </w:p>
        </w:tc>
      </w:tr>
      <w:tr w:rsidR="004976EE" w:rsidRPr="0078105B" w:rsidTr="00320C1E">
        <w:tc>
          <w:tcPr>
            <w:tcW w:w="3900" w:type="dxa"/>
            <w:tcBorders>
              <w:top w:val="single" w:sz="8" w:space="0" w:color="000000"/>
              <w:left w:val="single" w:sz="8" w:space="0" w:color="000000"/>
              <w:bottom w:val="single" w:sz="8" w:space="0" w:color="000000"/>
              <w:right w:val="single" w:sz="8" w:space="0" w:color="000000"/>
            </w:tcBorders>
            <w:vAlign w:val="center"/>
          </w:tcPr>
          <w:p w:rsidR="004976EE" w:rsidRPr="00FA472B" w:rsidRDefault="004976EE" w:rsidP="00320C1E">
            <w:pPr>
              <w:autoSpaceDE w:val="0"/>
              <w:autoSpaceDN w:val="0"/>
              <w:adjustRightInd w:val="0"/>
              <w:spacing w:before="29" w:line="360" w:lineRule="auto"/>
              <w:ind w:left="17"/>
              <w:jc w:val="left"/>
              <w:rPr>
                <w:color w:val="000000"/>
                <w:kern w:val="0"/>
                <w:sz w:val="24"/>
              </w:rPr>
            </w:pPr>
            <w:r w:rsidRPr="00FA472B">
              <w:rPr>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4976EE" w:rsidRPr="00FA472B" w:rsidRDefault="004976EE" w:rsidP="00320C1E">
            <w:pPr>
              <w:autoSpaceDE w:val="0"/>
              <w:autoSpaceDN w:val="0"/>
              <w:adjustRightInd w:val="0"/>
              <w:spacing w:before="29" w:line="360" w:lineRule="auto"/>
              <w:ind w:left="17"/>
              <w:jc w:val="right"/>
              <w:rPr>
                <w:color w:val="000000"/>
                <w:sz w:val="24"/>
              </w:rPr>
            </w:pPr>
            <w:r w:rsidRPr="00FA472B">
              <w:rPr>
                <w:color w:val="000000"/>
                <w:sz w:val="24"/>
              </w:rPr>
              <w:t>471,004,227.64</w:t>
            </w:r>
          </w:p>
        </w:tc>
        <w:tc>
          <w:tcPr>
            <w:tcW w:w="2367" w:type="dxa"/>
            <w:tcBorders>
              <w:top w:val="single" w:sz="8" w:space="0" w:color="000000"/>
              <w:left w:val="single" w:sz="8" w:space="0" w:color="000000"/>
              <w:bottom w:val="single" w:sz="8" w:space="0" w:color="000000"/>
              <w:right w:val="single" w:sz="8" w:space="0" w:color="000000"/>
            </w:tcBorders>
            <w:vAlign w:val="center"/>
          </w:tcPr>
          <w:p w:rsidR="004976EE" w:rsidRPr="00FA472B" w:rsidRDefault="004976EE" w:rsidP="00320C1E">
            <w:pPr>
              <w:autoSpaceDE w:val="0"/>
              <w:autoSpaceDN w:val="0"/>
              <w:adjustRightInd w:val="0"/>
              <w:spacing w:before="29" w:line="360" w:lineRule="auto"/>
              <w:ind w:left="17"/>
              <w:jc w:val="right"/>
              <w:rPr>
                <w:color w:val="000000"/>
                <w:sz w:val="24"/>
              </w:rPr>
            </w:pPr>
            <w:r w:rsidRPr="00FA472B">
              <w:rPr>
                <w:color w:val="000000"/>
                <w:sz w:val="24"/>
              </w:rPr>
              <w:t>253,077,124.82</w:t>
            </w:r>
          </w:p>
        </w:tc>
      </w:tr>
    </w:tbl>
    <w:p w:rsidR="00A9050D" w:rsidRDefault="00896817">
      <w:pPr>
        <w:spacing w:line="360" w:lineRule="auto"/>
        <w:ind w:firstLineChars="200" w:firstLine="480"/>
        <w:rPr>
          <w:color w:val="000000"/>
          <w:sz w:val="24"/>
        </w:rPr>
      </w:pPr>
      <w:r>
        <w:rPr>
          <w:color w:val="000000"/>
          <w:sz w:val="24"/>
        </w:rPr>
        <w:t>注：</w:t>
      </w:r>
      <w:r>
        <w:rPr>
          <w:color w:val="000000"/>
          <w:sz w:val="24"/>
        </w:rPr>
        <w:t>1</w:t>
      </w:r>
      <w:r>
        <w:rPr>
          <w:color w:val="000000"/>
          <w:sz w:val="24"/>
        </w:rPr>
        <w:t>、如果本报告期间发生转换入、红利再投业务，则总申购份额中包含该业务；</w:t>
      </w:r>
    </w:p>
    <w:p w:rsidR="00A62673" w:rsidRPr="00DC315B" w:rsidRDefault="004976EE" w:rsidP="00DC315B">
      <w:pPr>
        <w:spacing w:line="360" w:lineRule="auto"/>
        <w:ind w:firstLineChars="200" w:firstLine="480"/>
        <w:rPr>
          <w:color w:val="000000"/>
          <w:sz w:val="24"/>
        </w:rPr>
      </w:pPr>
      <w:r w:rsidRPr="00DF18FE">
        <w:rPr>
          <w:color w:val="000000"/>
          <w:sz w:val="24"/>
        </w:rPr>
        <w:t>2</w:t>
      </w:r>
      <w:r w:rsidRPr="00DF18FE">
        <w:rPr>
          <w:color w:val="000000"/>
          <w:sz w:val="24"/>
        </w:rPr>
        <w:t>、如果本报告期间发生转换出业务，则总赎回份额中包含该业务。</w:t>
      </w:r>
    </w:p>
    <w:p w:rsidR="00A62673" w:rsidRDefault="00A62673" w:rsidP="00F729DC">
      <w:pPr>
        <w:pStyle w:val="1"/>
        <w:tabs>
          <w:tab w:val="center" w:pos="4156"/>
          <w:tab w:val="right" w:pos="8312"/>
        </w:tabs>
        <w:spacing w:beforeLines="100" w:before="312" w:afterLines="100" w:after="312" w:line="360" w:lineRule="auto"/>
        <w:jc w:val="center"/>
        <w:rPr>
          <w:rFonts w:ascii="方正仿宋简体"/>
          <w:sz w:val="24"/>
          <w:szCs w:val="24"/>
        </w:rPr>
      </w:pPr>
      <w:r>
        <w:rPr>
          <w:rFonts w:ascii="宋体" w:hAnsi="宋体" w:cs="Arial" w:hint="eastAsia"/>
          <w:color w:val="000000"/>
          <w:kern w:val="0"/>
          <w:sz w:val="24"/>
          <w:szCs w:val="24"/>
        </w:rPr>
        <w:t>§</w:t>
      </w:r>
      <w:r>
        <w:rPr>
          <w:rFonts w:ascii="宋体" w:hAnsi="宋体" w:cs="Arial"/>
          <w:color w:val="000000"/>
          <w:kern w:val="0"/>
          <w:sz w:val="24"/>
          <w:szCs w:val="24"/>
        </w:rPr>
        <w:t xml:space="preserve">7  </w:t>
      </w:r>
      <w:r>
        <w:rPr>
          <w:rFonts w:ascii="方正仿宋简体" w:hint="eastAsia"/>
          <w:sz w:val="24"/>
          <w:szCs w:val="24"/>
        </w:rPr>
        <w:t>基金管理人运用固有资金投资本基金情况</w:t>
      </w:r>
    </w:p>
    <w:p w:rsidR="00A62673" w:rsidRDefault="00A62673" w:rsidP="00413689">
      <w:pPr>
        <w:spacing w:line="360" w:lineRule="auto"/>
        <w:jc w:val="left"/>
        <w:rPr>
          <w:sz w:val="24"/>
        </w:rPr>
      </w:pPr>
      <w:r>
        <w:rPr>
          <w:b/>
          <w:sz w:val="24"/>
        </w:rPr>
        <w:t xml:space="preserve">7.1 </w:t>
      </w:r>
      <w:r>
        <w:rPr>
          <w:rFonts w:hint="eastAsia"/>
          <w:b/>
          <w:sz w:val="24"/>
        </w:rPr>
        <w:t>基金管理人持有本基金份额变动情况</w:t>
      </w:r>
      <w:bookmarkStart w:id="1" w:name="OLE_LINK1"/>
      <w:bookmarkStart w:id="2" w:name="OLE_LINK2"/>
      <w:bookmarkEnd w:id="1"/>
      <w:bookmarkEnd w:id="2"/>
    </w:p>
    <w:p w:rsidR="00A62673" w:rsidRPr="00C1648E" w:rsidRDefault="004D5C1F" w:rsidP="00C1648E">
      <w:pPr>
        <w:spacing w:line="360" w:lineRule="auto"/>
        <w:ind w:firstLineChars="200" w:firstLine="480"/>
        <w:rPr>
          <w:color w:val="000000"/>
          <w:sz w:val="24"/>
        </w:rPr>
      </w:pPr>
      <w:r w:rsidRPr="00DF18FE">
        <w:rPr>
          <w:color w:val="000000"/>
          <w:sz w:val="24"/>
        </w:rPr>
        <w:t>本报告期内未发生基金管理人运用固有资金投资本基金的情况。</w:t>
      </w:r>
    </w:p>
    <w:p w:rsidR="00A62673" w:rsidRDefault="00A62673" w:rsidP="00413689">
      <w:pPr>
        <w:spacing w:line="360" w:lineRule="auto"/>
        <w:jc w:val="left"/>
        <w:rPr>
          <w:sz w:val="24"/>
        </w:rPr>
      </w:pPr>
      <w:r>
        <w:rPr>
          <w:b/>
          <w:sz w:val="24"/>
        </w:rPr>
        <w:t xml:space="preserve">7.2 </w:t>
      </w:r>
      <w:r>
        <w:rPr>
          <w:rFonts w:hint="eastAsia"/>
          <w:b/>
          <w:sz w:val="24"/>
        </w:rPr>
        <w:t>基金管理人运用固有资金投资本基金交易明细</w:t>
      </w:r>
    </w:p>
    <w:p w:rsidR="00A62673" w:rsidRPr="00DC315B" w:rsidRDefault="004D5C1F" w:rsidP="00DC315B">
      <w:pPr>
        <w:spacing w:line="360" w:lineRule="auto"/>
        <w:ind w:firstLineChars="200" w:firstLine="480"/>
        <w:rPr>
          <w:color w:val="000000"/>
          <w:sz w:val="24"/>
        </w:rPr>
      </w:pPr>
      <w:r w:rsidRPr="00DF18FE">
        <w:rPr>
          <w:color w:val="000000"/>
          <w:sz w:val="24"/>
        </w:rPr>
        <w:t>本基金管理人本报告期内未进行本基金的申购、赎回、红利再投等。</w:t>
      </w:r>
    </w:p>
    <w:p w:rsidR="0082435E" w:rsidRPr="00900A07" w:rsidRDefault="0082435E" w:rsidP="00F729DC">
      <w:pPr>
        <w:pStyle w:val="1"/>
        <w:spacing w:beforeLines="100" w:before="312" w:afterLines="100" w:after="312" w:line="360" w:lineRule="auto"/>
        <w:jc w:val="center"/>
        <w:rPr>
          <w:rFonts w:ascii="宋体" w:hAnsi="宋体" w:cs="Arial"/>
          <w:color w:val="000000"/>
          <w:kern w:val="0"/>
          <w:sz w:val="24"/>
          <w:szCs w:val="24"/>
        </w:rPr>
      </w:pPr>
      <w:r w:rsidRPr="00900A07">
        <w:rPr>
          <w:rFonts w:ascii="宋体" w:hAnsi="宋体" w:cs="Arial"/>
          <w:color w:val="000000"/>
          <w:kern w:val="0"/>
          <w:sz w:val="24"/>
          <w:szCs w:val="24"/>
        </w:rPr>
        <w:t>§8</w:t>
      </w:r>
      <w:r w:rsidR="00900A07" w:rsidRPr="00EC5CE0">
        <w:rPr>
          <w:rFonts w:ascii="宋体" w:hAnsi="宋体" w:cs="Arial"/>
          <w:color w:val="000000"/>
          <w:kern w:val="0"/>
          <w:sz w:val="24"/>
          <w:szCs w:val="24"/>
        </w:rPr>
        <w:t xml:space="preserve">  </w:t>
      </w:r>
      <w:r w:rsidRPr="00900A07">
        <w:rPr>
          <w:rFonts w:ascii="宋体" w:hAnsi="宋体" w:cs="Arial"/>
          <w:color w:val="000000"/>
          <w:kern w:val="0"/>
          <w:sz w:val="24"/>
          <w:szCs w:val="24"/>
        </w:rPr>
        <w:t>影响投资者决策的其他重要信息</w:t>
      </w:r>
    </w:p>
    <w:p w:rsidR="00803F15" w:rsidRPr="00654C5E" w:rsidRDefault="00803F15" w:rsidP="00803F15">
      <w:pPr>
        <w:autoSpaceDE w:val="0"/>
        <w:autoSpaceDN w:val="0"/>
        <w:adjustRightInd w:val="0"/>
        <w:spacing w:line="360" w:lineRule="auto"/>
        <w:jc w:val="left"/>
        <w:rPr>
          <w:rFonts w:ascii="宋体"/>
          <w:b/>
          <w:bCs/>
          <w:color w:val="000000"/>
          <w:kern w:val="0"/>
          <w:sz w:val="24"/>
        </w:rPr>
      </w:pPr>
      <w:r w:rsidRPr="00654C5E">
        <w:rPr>
          <w:rFonts w:ascii="宋体"/>
          <w:b/>
          <w:bCs/>
          <w:color w:val="000000"/>
          <w:kern w:val="0"/>
          <w:sz w:val="24"/>
        </w:rPr>
        <w:t>8.1 影响投资者决策的其他重要信息</w:t>
      </w:r>
    </w:p>
    <w:p w:rsidR="00A62673" w:rsidRPr="009D7F16" w:rsidRDefault="00803F15" w:rsidP="00803F15">
      <w:pPr>
        <w:spacing w:line="360" w:lineRule="auto"/>
        <w:ind w:firstLineChars="200" w:firstLine="480"/>
        <w:rPr>
          <w:color w:val="000000"/>
          <w:sz w:val="24"/>
        </w:rPr>
      </w:pPr>
      <w:r w:rsidRPr="00FC0759">
        <w:rPr>
          <w:rFonts w:eastAsiaTheme="minorEastAsia"/>
          <w:color w:val="000000" w:themeColor="text1"/>
          <w:sz w:val="24"/>
        </w:rPr>
        <w:t>根据《公开募集证券投资基金信息披露管理办法》的有关规定及相关监管要求，经与基金托管人协商一致，基金管理人对本基金基金合同等法律文件中信息披露相关规定作相应修改，欲知详情请查阅本基金管理人发布的最新法律文件。</w:t>
      </w:r>
    </w:p>
    <w:p w:rsidR="00A62673" w:rsidRPr="00EC5CE0" w:rsidRDefault="00A62673" w:rsidP="00F729DC">
      <w:pPr>
        <w:pStyle w:val="1"/>
        <w:spacing w:beforeLines="100" w:before="312" w:afterLines="100" w:after="312" w:line="360" w:lineRule="auto"/>
        <w:jc w:val="center"/>
        <w:rPr>
          <w:rFonts w:ascii="宋体" w:cs="Arial"/>
          <w:color w:val="000000"/>
          <w:kern w:val="0"/>
          <w:sz w:val="24"/>
          <w:szCs w:val="24"/>
        </w:rPr>
      </w:pPr>
      <w:r w:rsidRPr="00EC5CE0">
        <w:rPr>
          <w:rFonts w:ascii="宋体" w:hAnsi="宋体" w:cs="Arial" w:hint="eastAsia"/>
          <w:color w:val="000000"/>
          <w:kern w:val="0"/>
          <w:sz w:val="24"/>
          <w:szCs w:val="24"/>
        </w:rPr>
        <w:t>§</w:t>
      </w:r>
      <w:r w:rsidRPr="00EC5CE0">
        <w:rPr>
          <w:rFonts w:ascii="宋体" w:hAnsi="宋体" w:cs="Arial"/>
          <w:color w:val="000000"/>
          <w:kern w:val="0"/>
          <w:sz w:val="24"/>
          <w:szCs w:val="24"/>
        </w:rPr>
        <w:t>9</w:t>
      </w:r>
      <w:r w:rsidR="00900A07" w:rsidRPr="00EC5CE0">
        <w:rPr>
          <w:rFonts w:ascii="宋体" w:hAnsi="宋体" w:cs="Arial"/>
          <w:color w:val="000000"/>
          <w:kern w:val="0"/>
          <w:sz w:val="24"/>
          <w:szCs w:val="24"/>
        </w:rPr>
        <w:t xml:space="preserve">  </w:t>
      </w:r>
      <w:r w:rsidRPr="00EC5CE0">
        <w:rPr>
          <w:rFonts w:ascii="宋体" w:hAnsi="宋体" w:cs="Arial" w:hint="eastAsia"/>
          <w:color w:val="000000"/>
          <w:kern w:val="0"/>
          <w:sz w:val="24"/>
          <w:szCs w:val="24"/>
        </w:rPr>
        <w:t>备查文件目录</w:t>
      </w:r>
    </w:p>
    <w:p w:rsidR="00A62673" w:rsidRPr="00511B6A" w:rsidRDefault="00A62673" w:rsidP="009A037F">
      <w:pPr>
        <w:spacing w:line="360" w:lineRule="auto"/>
        <w:rPr>
          <w:rFonts w:ascii="宋体"/>
          <w:b/>
          <w:color w:val="000000"/>
          <w:sz w:val="24"/>
        </w:rPr>
      </w:pPr>
      <w:r w:rsidRPr="00511B6A">
        <w:rPr>
          <w:rFonts w:ascii="宋体" w:hAnsi="宋体"/>
          <w:b/>
          <w:color w:val="000000"/>
          <w:sz w:val="24"/>
        </w:rPr>
        <w:t xml:space="preserve">9.1 </w:t>
      </w:r>
      <w:r w:rsidRPr="00511B6A">
        <w:rPr>
          <w:rFonts w:ascii="宋体" w:hAnsi="宋体" w:hint="eastAsia"/>
          <w:b/>
          <w:color w:val="000000"/>
          <w:sz w:val="24"/>
        </w:rPr>
        <w:t>备查文件目录</w:t>
      </w:r>
    </w:p>
    <w:p w:rsidR="00A9050D" w:rsidRDefault="00896817">
      <w:pPr>
        <w:spacing w:line="360" w:lineRule="auto"/>
        <w:ind w:firstLineChars="200" w:firstLine="480"/>
        <w:rPr>
          <w:color w:val="000000"/>
          <w:sz w:val="24"/>
        </w:rPr>
      </w:pPr>
      <w:r>
        <w:rPr>
          <w:color w:val="000000"/>
          <w:sz w:val="24"/>
        </w:rPr>
        <w:t>1</w:t>
      </w:r>
      <w:r>
        <w:rPr>
          <w:color w:val="000000"/>
          <w:sz w:val="24"/>
        </w:rPr>
        <w:t>、中国证监会准予交银施罗德创业板</w:t>
      </w:r>
      <w:r>
        <w:rPr>
          <w:color w:val="000000"/>
          <w:sz w:val="24"/>
        </w:rPr>
        <w:t>50</w:t>
      </w:r>
      <w:r>
        <w:rPr>
          <w:color w:val="000000"/>
          <w:sz w:val="24"/>
        </w:rPr>
        <w:t>指数型证券投资基金募集注册的文件；</w:t>
      </w:r>
      <w:r>
        <w:rPr>
          <w:color w:val="000000"/>
          <w:sz w:val="24"/>
        </w:rPr>
        <w:t xml:space="preserve"> </w:t>
      </w:r>
    </w:p>
    <w:p w:rsidR="00A9050D" w:rsidRDefault="00896817">
      <w:pPr>
        <w:spacing w:line="360" w:lineRule="auto"/>
        <w:ind w:firstLineChars="200" w:firstLine="480"/>
        <w:rPr>
          <w:color w:val="000000"/>
          <w:sz w:val="24"/>
        </w:rPr>
      </w:pPr>
      <w:r>
        <w:rPr>
          <w:color w:val="000000"/>
          <w:sz w:val="24"/>
        </w:rPr>
        <w:t>2</w:t>
      </w:r>
      <w:r>
        <w:rPr>
          <w:color w:val="000000"/>
          <w:sz w:val="24"/>
        </w:rPr>
        <w:t>、《交银施罗德创业板</w:t>
      </w:r>
      <w:r>
        <w:rPr>
          <w:color w:val="000000"/>
          <w:sz w:val="24"/>
        </w:rPr>
        <w:t>50</w:t>
      </w:r>
      <w:r>
        <w:rPr>
          <w:color w:val="000000"/>
          <w:sz w:val="24"/>
        </w:rPr>
        <w:t>指数型证券投资基金基金合同》；</w:t>
      </w:r>
      <w:r>
        <w:rPr>
          <w:color w:val="000000"/>
          <w:sz w:val="24"/>
        </w:rPr>
        <w:t xml:space="preserve"> </w:t>
      </w:r>
    </w:p>
    <w:p w:rsidR="00A9050D" w:rsidRDefault="00896817">
      <w:pPr>
        <w:spacing w:line="360" w:lineRule="auto"/>
        <w:ind w:firstLineChars="200" w:firstLine="480"/>
        <w:rPr>
          <w:color w:val="000000"/>
          <w:sz w:val="24"/>
        </w:rPr>
      </w:pPr>
      <w:r>
        <w:rPr>
          <w:color w:val="000000"/>
          <w:sz w:val="24"/>
        </w:rPr>
        <w:t>3</w:t>
      </w:r>
      <w:r>
        <w:rPr>
          <w:color w:val="000000"/>
          <w:sz w:val="24"/>
        </w:rPr>
        <w:t>、《交银施罗德创业板</w:t>
      </w:r>
      <w:r>
        <w:rPr>
          <w:color w:val="000000"/>
          <w:sz w:val="24"/>
        </w:rPr>
        <w:t>50</w:t>
      </w:r>
      <w:r>
        <w:rPr>
          <w:color w:val="000000"/>
          <w:sz w:val="24"/>
        </w:rPr>
        <w:t>指数型证券投资基金招募说明书》；</w:t>
      </w:r>
      <w:r>
        <w:rPr>
          <w:color w:val="000000"/>
          <w:sz w:val="24"/>
        </w:rPr>
        <w:t xml:space="preserve"> </w:t>
      </w:r>
    </w:p>
    <w:p w:rsidR="00A9050D" w:rsidRDefault="00896817">
      <w:pPr>
        <w:spacing w:line="360" w:lineRule="auto"/>
        <w:ind w:firstLineChars="200" w:firstLine="480"/>
        <w:rPr>
          <w:color w:val="000000"/>
          <w:sz w:val="24"/>
        </w:rPr>
      </w:pPr>
      <w:r>
        <w:rPr>
          <w:color w:val="000000"/>
          <w:sz w:val="24"/>
        </w:rPr>
        <w:t>4</w:t>
      </w:r>
      <w:r>
        <w:rPr>
          <w:color w:val="000000"/>
          <w:sz w:val="24"/>
        </w:rPr>
        <w:t>、《交银施罗德创业板</w:t>
      </w:r>
      <w:r>
        <w:rPr>
          <w:color w:val="000000"/>
          <w:sz w:val="24"/>
        </w:rPr>
        <w:t>50</w:t>
      </w:r>
      <w:r>
        <w:rPr>
          <w:color w:val="000000"/>
          <w:sz w:val="24"/>
        </w:rPr>
        <w:t>指数型证券投资基金托管协议》；</w:t>
      </w:r>
      <w:r>
        <w:rPr>
          <w:color w:val="000000"/>
          <w:sz w:val="24"/>
        </w:rPr>
        <w:t xml:space="preserve"> </w:t>
      </w:r>
    </w:p>
    <w:p w:rsidR="00A9050D" w:rsidRDefault="00896817">
      <w:pPr>
        <w:spacing w:line="360" w:lineRule="auto"/>
        <w:ind w:firstLineChars="200" w:firstLine="480"/>
        <w:rPr>
          <w:color w:val="000000"/>
          <w:sz w:val="24"/>
        </w:rPr>
      </w:pPr>
      <w:r>
        <w:rPr>
          <w:color w:val="000000"/>
          <w:sz w:val="24"/>
        </w:rPr>
        <w:t>5</w:t>
      </w:r>
      <w:r>
        <w:rPr>
          <w:color w:val="000000"/>
          <w:sz w:val="24"/>
        </w:rPr>
        <w:t>、关于申请募集注册交银施罗德创业板</w:t>
      </w:r>
      <w:r>
        <w:rPr>
          <w:color w:val="000000"/>
          <w:sz w:val="24"/>
        </w:rPr>
        <w:t>50</w:t>
      </w:r>
      <w:r>
        <w:rPr>
          <w:color w:val="000000"/>
          <w:sz w:val="24"/>
        </w:rPr>
        <w:t>指数型证券投资基金的法律意见书；</w:t>
      </w:r>
      <w:r>
        <w:rPr>
          <w:color w:val="000000"/>
          <w:sz w:val="24"/>
        </w:rPr>
        <w:t xml:space="preserve"> </w:t>
      </w:r>
    </w:p>
    <w:p w:rsidR="00A9050D" w:rsidRDefault="00896817">
      <w:pPr>
        <w:spacing w:line="360" w:lineRule="auto"/>
        <w:ind w:firstLineChars="200" w:firstLine="480"/>
        <w:rPr>
          <w:color w:val="000000"/>
          <w:sz w:val="24"/>
        </w:rPr>
      </w:pPr>
      <w:r>
        <w:rPr>
          <w:color w:val="000000"/>
          <w:sz w:val="24"/>
        </w:rPr>
        <w:t>6</w:t>
      </w:r>
      <w:r>
        <w:rPr>
          <w:color w:val="000000"/>
          <w:sz w:val="24"/>
        </w:rPr>
        <w:t>、基金管理人业务资格批件、营业执照；</w:t>
      </w:r>
      <w:r>
        <w:rPr>
          <w:color w:val="000000"/>
          <w:sz w:val="24"/>
        </w:rPr>
        <w:t xml:space="preserve"> </w:t>
      </w:r>
    </w:p>
    <w:p w:rsidR="00A9050D" w:rsidRDefault="00896817">
      <w:pPr>
        <w:spacing w:line="360" w:lineRule="auto"/>
        <w:ind w:firstLineChars="200" w:firstLine="480"/>
        <w:rPr>
          <w:color w:val="000000"/>
          <w:sz w:val="24"/>
        </w:rPr>
      </w:pPr>
      <w:r>
        <w:rPr>
          <w:color w:val="000000"/>
          <w:sz w:val="24"/>
        </w:rPr>
        <w:t>7</w:t>
      </w:r>
      <w:r>
        <w:rPr>
          <w:color w:val="000000"/>
          <w:sz w:val="24"/>
        </w:rPr>
        <w:t>、基金托管人业务资格批件、营业执照；</w:t>
      </w:r>
      <w:r>
        <w:rPr>
          <w:color w:val="000000"/>
          <w:sz w:val="24"/>
        </w:rPr>
        <w:t xml:space="preserve"> </w:t>
      </w:r>
    </w:p>
    <w:p w:rsidR="00A62673" w:rsidRPr="00C1648E" w:rsidRDefault="00A62673" w:rsidP="00C1648E">
      <w:pPr>
        <w:spacing w:line="360" w:lineRule="auto"/>
        <w:ind w:firstLineChars="200" w:firstLine="480"/>
        <w:rPr>
          <w:color w:val="000000"/>
          <w:sz w:val="24"/>
        </w:rPr>
      </w:pPr>
      <w:r w:rsidRPr="00DC315B">
        <w:rPr>
          <w:color w:val="000000"/>
          <w:sz w:val="24"/>
        </w:rPr>
        <w:t>8</w:t>
      </w:r>
      <w:r w:rsidRPr="00DC315B">
        <w:rPr>
          <w:color w:val="000000"/>
          <w:sz w:val="24"/>
        </w:rPr>
        <w:t>、报告期内交银施罗德创业板</w:t>
      </w:r>
      <w:r w:rsidRPr="00DC315B">
        <w:rPr>
          <w:color w:val="000000"/>
          <w:sz w:val="24"/>
        </w:rPr>
        <w:t>50</w:t>
      </w:r>
      <w:r w:rsidRPr="00DC315B">
        <w:rPr>
          <w:color w:val="000000"/>
          <w:sz w:val="24"/>
        </w:rPr>
        <w:t>指数型证券投资基金在指定报刊上各项公告的原稿。</w:t>
      </w:r>
    </w:p>
    <w:p w:rsidR="00A62673" w:rsidRPr="00511B6A" w:rsidRDefault="00A62673" w:rsidP="009A037F">
      <w:pPr>
        <w:spacing w:line="360" w:lineRule="auto"/>
        <w:rPr>
          <w:rFonts w:ascii="宋体"/>
          <w:b/>
          <w:color w:val="000000"/>
          <w:sz w:val="24"/>
        </w:rPr>
      </w:pPr>
      <w:r w:rsidRPr="00511B6A">
        <w:rPr>
          <w:rFonts w:ascii="宋体" w:hAnsi="宋体"/>
          <w:b/>
          <w:color w:val="000000"/>
          <w:sz w:val="24"/>
        </w:rPr>
        <w:t xml:space="preserve">9.2 </w:t>
      </w:r>
      <w:r w:rsidRPr="00511B6A">
        <w:rPr>
          <w:rFonts w:ascii="宋体" w:hAnsi="宋体" w:hint="eastAsia"/>
          <w:b/>
          <w:color w:val="000000"/>
          <w:sz w:val="24"/>
        </w:rPr>
        <w:t>存放地点</w:t>
      </w:r>
    </w:p>
    <w:p w:rsidR="00A62673" w:rsidRPr="00C1648E" w:rsidRDefault="00A62673" w:rsidP="00C1648E">
      <w:pPr>
        <w:spacing w:line="360" w:lineRule="auto"/>
        <w:ind w:firstLineChars="200" w:firstLine="480"/>
        <w:rPr>
          <w:color w:val="000000"/>
          <w:sz w:val="24"/>
        </w:rPr>
      </w:pPr>
      <w:r w:rsidRPr="00DC315B">
        <w:rPr>
          <w:color w:val="000000"/>
          <w:sz w:val="24"/>
        </w:rPr>
        <w:t>备查文件存放于基金管理人的办公场所。</w:t>
      </w:r>
    </w:p>
    <w:p w:rsidR="00A62673" w:rsidRPr="00511B6A" w:rsidRDefault="00A62673" w:rsidP="009A037F">
      <w:pPr>
        <w:spacing w:line="360" w:lineRule="auto"/>
        <w:rPr>
          <w:rFonts w:ascii="宋体"/>
          <w:b/>
          <w:color w:val="000000"/>
          <w:sz w:val="24"/>
        </w:rPr>
      </w:pPr>
      <w:r w:rsidRPr="00511B6A">
        <w:rPr>
          <w:rFonts w:ascii="宋体" w:hAnsi="宋体"/>
          <w:b/>
          <w:color w:val="000000"/>
          <w:sz w:val="24"/>
        </w:rPr>
        <w:t xml:space="preserve">9.3 </w:t>
      </w:r>
      <w:r w:rsidRPr="00511B6A">
        <w:rPr>
          <w:rFonts w:ascii="宋体" w:hAnsi="宋体" w:hint="eastAsia"/>
          <w:b/>
          <w:color w:val="000000"/>
          <w:sz w:val="24"/>
        </w:rPr>
        <w:t>查阅方式</w:t>
      </w:r>
    </w:p>
    <w:p w:rsidR="00A9050D" w:rsidRDefault="00896817">
      <w:pPr>
        <w:spacing w:line="360"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查阅。在支付工本费后，投资者可在合理时间内取得上述文件的复制件或复印件。</w:t>
      </w:r>
      <w:r>
        <w:rPr>
          <w:color w:val="000000"/>
          <w:sz w:val="24"/>
        </w:rPr>
        <w:t xml:space="preserve"> </w:t>
      </w:r>
    </w:p>
    <w:p w:rsidR="00A62673" w:rsidRPr="00DC315B" w:rsidRDefault="00A62673" w:rsidP="005A2769">
      <w:pPr>
        <w:spacing w:line="360" w:lineRule="auto"/>
        <w:ind w:firstLineChars="200" w:firstLine="480"/>
        <w:rPr>
          <w:color w:val="000000"/>
          <w:sz w:val="24"/>
        </w:rPr>
      </w:pPr>
      <w:r w:rsidRPr="00DC315B">
        <w:rPr>
          <w:color w:val="000000"/>
          <w:sz w:val="24"/>
        </w:rPr>
        <w:t>投资者对本报告书如有疑问，可咨询本基金管理人交银施罗德基金管理有限公司。本公司客户服务中心电话：</w:t>
      </w:r>
      <w:r w:rsidRPr="00DC315B">
        <w:rPr>
          <w:color w:val="000000"/>
          <w:sz w:val="24"/>
        </w:rPr>
        <w:t>400-700-5000</w:t>
      </w:r>
      <w:r w:rsidRPr="00DC315B">
        <w:rPr>
          <w:color w:val="000000"/>
          <w:sz w:val="24"/>
        </w:rPr>
        <w:t>（免长途话费），</w:t>
      </w:r>
      <w:r w:rsidRPr="00DC315B">
        <w:rPr>
          <w:color w:val="000000"/>
          <w:sz w:val="24"/>
        </w:rPr>
        <w:t>021-61055000</w:t>
      </w:r>
      <w:r w:rsidRPr="00DC315B">
        <w:rPr>
          <w:color w:val="000000"/>
          <w:sz w:val="24"/>
        </w:rPr>
        <w:t>，电子邮件：</w:t>
      </w:r>
      <w:r w:rsidRPr="00DC315B">
        <w:rPr>
          <w:color w:val="000000"/>
          <w:sz w:val="24"/>
        </w:rPr>
        <w:t>services@jysld.com</w:t>
      </w:r>
      <w:r w:rsidRPr="00DC315B">
        <w:rPr>
          <w:color w:val="000000"/>
          <w:sz w:val="24"/>
        </w:rPr>
        <w:t>。</w:t>
      </w:r>
    </w:p>
    <w:p w:rsidR="00A62673" w:rsidRDefault="00A62673" w:rsidP="0019563C">
      <w:pPr>
        <w:spacing w:line="360" w:lineRule="auto"/>
        <w:ind w:left="840"/>
        <w:jc w:val="right"/>
        <w:rPr>
          <w:rFonts w:ascii="宋体"/>
          <w:color w:val="000000"/>
          <w:sz w:val="24"/>
        </w:rPr>
      </w:pPr>
    </w:p>
    <w:p w:rsidR="00A62673" w:rsidRDefault="00A62673" w:rsidP="0019563C">
      <w:pPr>
        <w:spacing w:line="360" w:lineRule="auto"/>
        <w:ind w:left="840"/>
        <w:jc w:val="right"/>
        <w:rPr>
          <w:rFonts w:ascii="宋体"/>
          <w:color w:val="000000"/>
          <w:sz w:val="24"/>
        </w:rPr>
      </w:pPr>
    </w:p>
    <w:p w:rsidR="00A62673" w:rsidRDefault="00A62673" w:rsidP="0019563C">
      <w:pPr>
        <w:spacing w:line="360" w:lineRule="auto"/>
        <w:ind w:left="840"/>
        <w:jc w:val="right"/>
        <w:rPr>
          <w:rFonts w:ascii="宋体"/>
          <w:color w:val="000000"/>
          <w:sz w:val="24"/>
        </w:rPr>
      </w:pPr>
    </w:p>
    <w:p w:rsidR="00A62673" w:rsidRPr="00EC5CE0" w:rsidRDefault="00A62673" w:rsidP="0019563C">
      <w:pPr>
        <w:spacing w:line="360" w:lineRule="auto"/>
        <w:ind w:left="840"/>
        <w:jc w:val="right"/>
        <w:rPr>
          <w:rFonts w:ascii="宋体"/>
          <w:color w:val="000000"/>
          <w:sz w:val="24"/>
        </w:rPr>
      </w:pPr>
    </w:p>
    <w:p w:rsidR="00A62673" w:rsidRPr="00EC5CE0" w:rsidRDefault="00A62673" w:rsidP="00D70274">
      <w:pPr>
        <w:spacing w:line="360" w:lineRule="auto"/>
        <w:ind w:firstLineChars="900" w:firstLine="2168"/>
        <w:jc w:val="right"/>
        <w:rPr>
          <w:rFonts w:ascii="宋体"/>
          <w:b/>
          <w:sz w:val="24"/>
        </w:rPr>
      </w:pPr>
    </w:p>
    <w:sectPr w:rsidR="00A62673" w:rsidRPr="00EC5CE0" w:rsidSect="00DB4450">
      <w:footerReference w:type="even" r:id="rId11"/>
      <w:footerReference w:type="default" r:id="rId12"/>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1C74" w:rsidRDefault="002F1C74">
      <w:r>
        <w:separator/>
      </w:r>
    </w:p>
  </w:endnote>
  <w:endnote w:type="continuationSeparator" w:id="0">
    <w:p w:rsidR="002F1C74" w:rsidRDefault="002F1C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FangSong">
    <w:altName w:val="黑体"/>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STSong-Light">
    <w:altName w:val="Times New Roman"/>
    <w:panose1 w:val="00000000000000000000"/>
    <w:charset w:val="00"/>
    <w:family w:val="roman"/>
    <w:notTrueType/>
    <w:pitch w:val="default"/>
    <w:sig w:usb0="00000003" w:usb1="00000000" w:usb2="00000000" w:usb3="00000000" w:csb0="00000001" w:csb1="00000000"/>
  </w:font>
  <w:font w:name="方正仿宋简体">
    <w:altName w:val="微软雅黑"/>
    <w:charset w:val="86"/>
    <w:family w:val="auto"/>
    <w:pitch w:val="default"/>
    <w:sig w:usb0="00000000" w:usb1="080E0000" w:usb2="0000000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077A" w:rsidRPr="001D0DB0" w:rsidRDefault="00AB077A" w:rsidP="00230A66">
    <w:pPr>
      <w:pStyle w:val="a6"/>
      <w:jc w:val="center"/>
    </w:pPr>
    <w:r>
      <w:rPr>
        <w:rFonts w:hint="eastAsia"/>
        <w:szCs w:val="21"/>
      </w:rPr>
      <w:t>第</w:t>
    </w:r>
    <w:r>
      <w:rPr>
        <w:szCs w:val="21"/>
      </w:rPr>
      <w:fldChar w:fldCharType="begin"/>
    </w:r>
    <w:r>
      <w:rPr>
        <w:szCs w:val="21"/>
      </w:rPr>
      <w:instrText xml:space="preserve"> PAGE </w:instrText>
    </w:r>
    <w:r>
      <w:rPr>
        <w:szCs w:val="21"/>
      </w:rPr>
      <w:fldChar w:fldCharType="separate"/>
    </w:r>
    <w:r w:rsidR="007E609E">
      <w:rPr>
        <w:noProof/>
        <w:szCs w:val="21"/>
      </w:rPr>
      <w:t>1</w:t>
    </w:r>
    <w:r>
      <w:rPr>
        <w:szCs w:val="21"/>
      </w:rPr>
      <w:fldChar w:fldCharType="end"/>
    </w:r>
    <w:r>
      <w:rPr>
        <w:rFonts w:hint="eastAsia"/>
        <w:szCs w:val="21"/>
      </w:rPr>
      <w:t>页共</w:t>
    </w:r>
    <w:r>
      <w:rPr>
        <w:szCs w:val="21"/>
      </w:rPr>
      <w:fldChar w:fldCharType="begin"/>
    </w:r>
    <w:r>
      <w:rPr>
        <w:szCs w:val="21"/>
      </w:rPr>
      <w:instrText xml:space="preserve"> NUMPAGES </w:instrText>
    </w:r>
    <w:r>
      <w:rPr>
        <w:szCs w:val="21"/>
      </w:rPr>
      <w:fldChar w:fldCharType="separate"/>
    </w:r>
    <w:r w:rsidR="007E609E">
      <w:rPr>
        <w:noProof/>
        <w:szCs w:val="21"/>
      </w:rPr>
      <w:t>15</w:t>
    </w:r>
    <w:r>
      <w:rPr>
        <w:szCs w:val="21"/>
      </w:rPr>
      <w:fldChar w:fldCharType="end"/>
    </w:r>
    <w:r>
      <w:rPr>
        <w:rFonts w:hint="eastAsia"/>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077A" w:rsidRDefault="00AB077A">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AB077A" w:rsidRDefault="00AB077A">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077A" w:rsidRDefault="00AB077A">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7E609E">
      <w:rPr>
        <w:rStyle w:val="a7"/>
        <w:noProof/>
      </w:rPr>
      <w:t>8</w:t>
    </w:r>
    <w:r>
      <w:rPr>
        <w:rStyle w:val="a7"/>
      </w:rPr>
      <w:fldChar w:fldCharType="end"/>
    </w:r>
  </w:p>
  <w:p w:rsidR="00AB077A" w:rsidRDefault="00AB077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1C74" w:rsidRDefault="002F1C74">
      <w:r>
        <w:separator/>
      </w:r>
    </w:p>
  </w:footnote>
  <w:footnote w:type="continuationSeparator" w:id="0">
    <w:p w:rsidR="002F1C74" w:rsidRDefault="002F1C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077A" w:rsidRPr="00977154" w:rsidRDefault="00AB077A" w:rsidP="005E491F">
    <w:pPr>
      <w:pStyle w:val="a9"/>
      <w:pBdr>
        <w:bottom w:val="single" w:sz="6" w:space="0" w:color="auto"/>
      </w:pBdr>
      <w:jc w:val="right"/>
    </w:pPr>
    <w:r w:rsidRPr="00977154">
      <w:t>交银施罗德创业板</w:t>
    </w:r>
    <w:r w:rsidRPr="00977154">
      <w:t>50</w:t>
    </w:r>
    <w:r w:rsidRPr="00977154">
      <w:t>指数型证券投资基金</w:t>
    </w:r>
    <w:r w:rsidRPr="00977154">
      <w:t>2020</w:t>
    </w:r>
    <w:r w:rsidRPr="00977154">
      <w:t>年第</w:t>
    </w:r>
    <w:r w:rsidRPr="00977154">
      <w:t>3</w:t>
    </w:r>
    <w:r w:rsidRPr="00977154">
      <w:t>季度报告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activeWritingStyle w:appName="MSWord" w:lang="en-US" w:vendorID="64" w:dllVersion="131078" w:nlCheck="1" w:checkStyle="0"/>
  <w:activeWritingStyle w:appName="MSWord" w:lang="zh-CN"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42A56"/>
    <w:rsid w:val="000020BB"/>
    <w:rsid w:val="0000369F"/>
    <w:rsid w:val="0000403B"/>
    <w:rsid w:val="00005911"/>
    <w:rsid w:val="00010A83"/>
    <w:rsid w:val="00010A8E"/>
    <w:rsid w:val="00010AC3"/>
    <w:rsid w:val="000115A7"/>
    <w:rsid w:val="00011EB5"/>
    <w:rsid w:val="0001280C"/>
    <w:rsid w:val="00017581"/>
    <w:rsid w:val="00020583"/>
    <w:rsid w:val="00021DD4"/>
    <w:rsid w:val="00023BE7"/>
    <w:rsid w:val="00024709"/>
    <w:rsid w:val="00037FCF"/>
    <w:rsid w:val="000421B8"/>
    <w:rsid w:val="00043ABF"/>
    <w:rsid w:val="000445E4"/>
    <w:rsid w:val="00045BEC"/>
    <w:rsid w:val="000510AB"/>
    <w:rsid w:val="00055AF1"/>
    <w:rsid w:val="000625A6"/>
    <w:rsid w:val="00064AE3"/>
    <w:rsid w:val="0006511D"/>
    <w:rsid w:val="00066524"/>
    <w:rsid w:val="00070CD1"/>
    <w:rsid w:val="0007171B"/>
    <w:rsid w:val="00072E4F"/>
    <w:rsid w:val="00074E9F"/>
    <w:rsid w:val="000770DE"/>
    <w:rsid w:val="00081D05"/>
    <w:rsid w:val="000820A8"/>
    <w:rsid w:val="00084EE5"/>
    <w:rsid w:val="00087CF7"/>
    <w:rsid w:val="00091560"/>
    <w:rsid w:val="00093160"/>
    <w:rsid w:val="00094876"/>
    <w:rsid w:val="00095912"/>
    <w:rsid w:val="00095CE0"/>
    <w:rsid w:val="00096933"/>
    <w:rsid w:val="00097230"/>
    <w:rsid w:val="0009778D"/>
    <w:rsid w:val="000A457E"/>
    <w:rsid w:val="000A53FD"/>
    <w:rsid w:val="000A549A"/>
    <w:rsid w:val="000A5F96"/>
    <w:rsid w:val="000A72F2"/>
    <w:rsid w:val="000B0C56"/>
    <w:rsid w:val="000B3E43"/>
    <w:rsid w:val="000B5CC0"/>
    <w:rsid w:val="000C1723"/>
    <w:rsid w:val="000C1B20"/>
    <w:rsid w:val="000C4107"/>
    <w:rsid w:val="000C45E7"/>
    <w:rsid w:val="000D01F4"/>
    <w:rsid w:val="000D1519"/>
    <w:rsid w:val="000D1C87"/>
    <w:rsid w:val="000D34E3"/>
    <w:rsid w:val="000E4456"/>
    <w:rsid w:val="000F175F"/>
    <w:rsid w:val="000F17D1"/>
    <w:rsid w:val="000F386F"/>
    <w:rsid w:val="000F60FF"/>
    <w:rsid w:val="000F635F"/>
    <w:rsid w:val="000F6C61"/>
    <w:rsid w:val="000F709D"/>
    <w:rsid w:val="00100C12"/>
    <w:rsid w:val="00101DBA"/>
    <w:rsid w:val="001049B6"/>
    <w:rsid w:val="001051C6"/>
    <w:rsid w:val="00107CB4"/>
    <w:rsid w:val="0011177A"/>
    <w:rsid w:val="00112E9B"/>
    <w:rsid w:val="00116E31"/>
    <w:rsid w:val="00122A26"/>
    <w:rsid w:val="0012304E"/>
    <w:rsid w:val="001248EF"/>
    <w:rsid w:val="001257C7"/>
    <w:rsid w:val="00126DDF"/>
    <w:rsid w:val="001270BF"/>
    <w:rsid w:val="00127BAC"/>
    <w:rsid w:val="0013360F"/>
    <w:rsid w:val="00141121"/>
    <w:rsid w:val="001421A1"/>
    <w:rsid w:val="00142A56"/>
    <w:rsid w:val="00144DF5"/>
    <w:rsid w:val="00145A97"/>
    <w:rsid w:val="00146485"/>
    <w:rsid w:val="00150AD6"/>
    <w:rsid w:val="001526F9"/>
    <w:rsid w:val="00153B40"/>
    <w:rsid w:val="00154ADA"/>
    <w:rsid w:val="0015531A"/>
    <w:rsid w:val="001600E8"/>
    <w:rsid w:val="00163B27"/>
    <w:rsid w:val="00165317"/>
    <w:rsid w:val="00165A09"/>
    <w:rsid w:val="00171BAD"/>
    <w:rsid w:val="0017347D"/>
    <w:rsid w:val="001744B4"/>
    <w:rsid w:val="001756A1"/>
    <w:rsid w:val="001761EE"/>
    <w:rsid w:val="0017659B"/>
    <w:rsid w:val="00176EAA"/>
    <w:rsid w:val="0017725A"/>
    <w:rsid w:val="001779ED"/>
    <w:rsid w:val="00177C4B"/>
    <w:rsid w:val="00182635"/>
    <w:rsid w:val="0018325A"/>
    <w:rsid w:val="00185053"/>
    <w:rsid w:val="00186199"/>
    <w:rsid w:val="001928F7"/>
    <w:rsid w:val="00194537"/>
    <w:rsid w:val="0019563C"/>
    <w:rsid w:val="00195F18"/>
    <w:rsid w:val="001968CE"/>
    <w:rsid w:val="00196E83"/>
    <w:rsid w:val="001A0A1E"/>
    <w:rsid w:val="001A21A9"/>
    <w:rsid w:val="001A59D8"/>
    <w:rsid w:val="001A5FA6"/>
    <w:rsid w:val="001A6A3B"/>
    <w:rsid w:val="001A6F8A"/>
    <w:rsid w:val="001B0A62"/>
    <w:rsid w:val="001B2F0C"/>
    <w:rsid w:val="001C13C9"/>
    <w:rsid w:val="001C37F6"/>
    <w:rsid w:val="001C6288"/>
    <w:rsid w:val="001D0DB0"/>
    <w:rsid w:val="001D0F6A"/>
    <w:rsid w:val="001D21BC"/>
    <w:rsid w:val="001D2FA5"/>
    <w:rsid w:val="001D35E0"/>
    <w:rsid w:val="001D3711"/>
    <w:rsid w:val="001D3CDF"/>
    <w:rsid w:val="001D5045"/>
    <w:rsid w:val="001D5A44"/>
    <w:rsid w:val="001D63BB"/>
    <w:rsid w:val="001D724B"/>
    <w:rsid w:val="001E11D3"/>
    <w:rsid w:val="001E2A6A"/>
    <w:rsid w:val="001E3742"/>
    <w:rsid w:val="001E3DC2"/>
    <w:rsid w:val="001E56FF"/>
    <w:rsid w:val="001E5C6B"/>
    <w:rsid w:val="001F03E1"/>
    <w:rsid w:val="001F3CC6"/>
    <w:rsid w:val="001F4530"/>
    <w:rsid w:val="001F5265"/>
    <w:rsid w:val="002010DE"/>
    <w:rsid w:val="00202885"/>
    <w:rsid w:val="00202968"/>
    <w:rsid w:val="00202C32"/>
    <w:rsid w:val="00203AEF"/>
    <w:rsid w:val="00211A26"/>
    <w:rsid w:val="002125F7"/>
    <w:rsid w:val="00214463"/>
    <w:rsid w:val="00214756"/>
    <w:rsid w:val="00215CF2"/>
    <w:rsid w:val="00217171"/>
    <w:rsid w:val="00220542"/>
    <w:rsid w:val="00221174"/>
    <w:rsid w:val="00225421"/>
    <w:rsid w:val="00225ADC"/>
    <w:rsid w:val="00227748"/>
    <w:rsid w:val="00230A66"/>
    <w:rsid w:val="00230EC2"/>
    <w:rsid w:val="002359EB"/>
    <w:rsid w:val="002363AB"/>
    <w:rsid w:val="00236807"/>
    <w:rsid w:val="00237F06"/>
    <w:rsid w:val="0024260D"/>
    <w:rsid w:val="00245012"/>
    <w:rsid w:val="0024504E"/>
    <w:rsid w:val="0024651F"/>
    <w:rsid w:val="00250062"/>
    <w:rsid w:val="00250BE3"/>
    <w:rsid w:val="0025158D"/>
    <w:rsid w:val="0025170E"/>
    <w:rsid w:val="002517C2"/>
    <w:rsid w:val="0025281A"/>
    <w:rsid w:val="00253D3C"/>
    <w:rsid w:val="00255292"/>
    <w:rsid w:val="00257D8C"/>
    <w:rsid w:val="00257F8D"/>
    <w:rsid w:val="00260200"/>
    <w:rsid w:val="00263563"/>
    <w:rsid w:val="002648D8"/>
    <w:rsid w:val="00264E55"/>
    <w:rsid w:val="00267B74"/>
    <w:rsid w:val="00270548"/>
    <w:rsid w:val="00273F86"/>
    <w:rsid w:val="002774F0"/>
    <w:rsid w:val="00283272"/>
    <w:rsid w:val="0028459B"/>
    <w:rsid w:val="00284C5F"/>
    <w:rsid w:val="002873F0"/>
    <w:rsid w:val="00287AC3"/>
    <w:rsid w:val="0029046D"/>
    <w:rsid w:val="00295C5D"/>
    <w:rsid w:val="002964F9"/>
    <w:rsid w:val="002A1F14"/>
    <w:rsid w:val="002A2678"/>
    <w:rsid w:val="002A2E01"/>
    <w:rsid w:val="002A398F"/>
    <w:rsid w:val="002A3B4A"/>
    <w:rsid w:val="002A5C6B"/>
    <w:rsid w:val="002A5D31"/>
    <w:rsid w:val="002A714F"/>
    <w:rsid w:val="002B1851"/>
    <w:rsid w:val="002B27FF"/>
    <w:rsid w:val="002B6793"/>
    <w:rsid w:val="002B7C16"/>
    <w:rsid w:val="002C1726"/>
    <w:rsid w:val="002C21A6"/>
    <w:rsid w:val="002C2610"/>
    <w:rsid w:val="002C26D5"/>
    <w:rsid w:val="002C4578"/>
    <w:rsid w:val="002C5777"/>
    <w:rsid w:val="002D32E3"/>
    <w:rsid w:val="002D7B86"/>
    <w:rsid w:val="002E0FEB"/>
    <w:rsid w:val="002E300D"/>
    <w:rsid w:val="002F0F79"/>
    <w:rsid w:val="002F1C74"/>
    <w:rsid w:val="002F1CC8"/>
    <w:rsid w:val="002F280E"/>
    <w:rsid w:val="002F3709"/>
    <w:rsid w:val="002F3A6C"/>
    <w:rsid w:val="002F4296"/>
    <w:rsid w:val="00300951"/>
    <w:rsid w:val="003023C9"/>
    <w:rsid w:val="00302CA8"/>
    <w:rsid w:val="00302DE9"/>
    <w:rsid w:val="00305084"/>
    <w:rsid w:val="00310086"/>
    <w:rsid w:val="00312FE8"/>
    <w:rsid w:val="0031358C"/>
    <w:rsid w:val="00313AE2"/>
    <w:rsid w:val="0031630D"/>
    <w:rsid w:val="003204E9"/>
    <w:rsid w:val="00320C1E"/>
    <w:rsid w:val="00321E8C"/>
    <w:rsid w:val="00322A86"/>
    <w:rsid w:val="00323AE8"/>
    <w:rsid w:val="00324548"/>
    <w:rsid w:val="003251F4"/>
    <w:rsid w:val="003303E3"/>
    <w:rsid w:val="00331FA4"/>
    <w:rsid w:val="003329EA"/>
    <w:rsid w:val="003347EF"/>
    <w:rsid w:val="00337293"/>
    <w:rsid w:val="003407A5"/>
    <w:rsid w:val="00341188"/>
    <w:rsid w:val="0034147B"/>
    <w:rsid w:val="00345AA8"/>
    <w:rsid w:val="00350238"/>
    <w:rsid w:val="0035109C"/>
    <w:rsid w:val="00351F0A"/>
    <w:rsid w:val="0035432B"/>
    <w:rsid w:val="00357172"/>
    <w:rsid w:val="0035753B"/>
    <w:rsid w:val="003613A8"/>
    <w:rsid w:val="00361E7E"/>
    <w:rsid w:val="0036360E"/>
    <w:rsid w:val="00364504"/>
    <w:rsid w:val="00364559"/>
    <w:rsid w:val="00370AA4"/>
    <w:rsid w:val="00371FF4"/>
    <w:rsid w:val="00375F3B"/>
    <w:rsid w:val="00376C39"/>
    <w:rsid w:val="00377520"/>
    <w:rsid w:val="003802CC"/>
    <w:rsid w:val="00380D36"/>
    <w:rsid w:val="003822D3"/>
    <w:rsid w:val="0038237A"/>
    <w:rsid w:val="003834E0"/>
    <w:rsid w:val="00384C43"/>
    <w:rsid w:val="00386630"/>
    <w:rsid w:val="00390B25"/>
    <w:rsid w:val="00397156"/>
    <w:rsid w:val="00397960"/>
    <w:rsid w:val="003A0A94"/>
    <w:rsid w:val="003A3BC4"/>
    <w:rsid w:val="003A458A"/>
    <w:rsid w:val="003B2DA8"/>
    <w:rsid w:val="003B2F13"/>
    <w:rsid w:val="003B405E"/>
    <w:rsid w:val="003B57D3"/>
    <w:rsid w:val="003C1A49"/>
    <w:rsid w:val="003C1F58"/>
    <w:rsid w:val="003C6C58"/>
    <w:rsid w:val="003C792F"/>
    <w:rsid w:val="003D124B"/>
    <w:rsid w:val="003D18F3"/>
    <w:rsid w:val="003D23CB"/>
    <w:rsid w:val="003D6F64"/>
    <w:rsid w:val="003D78B5"/>
    <w:rsid w:val="003E244F"/>
    <w:rsid w:val="003E62A6"/>
    <w:rsid w:val="003E688B"/>
    <w:rsid w:val="003E68A0"/>
    <w:rsid w:val="003E695F"/>
    <w:rsid w:val="003E6C9B"/>
    <w:rsid w:val="003E709C"/>
    <w:rsid w:val="003E7B89"/>
    <w:rsid w:val="003F4241"/>
    <w:rsid w:val="003F7040"/>
    <w:rsid w:val="003F7C45"/>
    <w:rsid w:val="0040132C"/>
    <w:rsid w:val="00405085"/>
    <w:rsid w:val="00405481"/>
    <w:rsid w:val="004066FC"/>
    <w:rsid w:val="00407C10"/>
    <w:rsid w:val="004103DF"/>
    <w:rsid w:val="00410E6E"/>
    <w:rsid w:val="004113B4"/>
    <w:rsid w:val="00413689"/>
    <w:rsid w:val="004143D6"/>
    <w:rsid w:val="00414827"/>
    <w:rsid w:val="00416C10"/>
    <w:rsid w:val="00420355"/>
    <w:rsid w:val="00421E6B"/>
    <w:rsid w:val="00424EF3"/>
    <w:rsid w:val="004268BB"/>
    <w:rsid w:val="00431047"/>
    <w:rsid w:val="004318F0"/>
    <w:rsid w:val="00431B86"/>
    <w:rsid w:val="00435368"/>
    <w:rsid w:val="004408EC"/>
    <w:rsid w:val="004419E2"/>
    <w:rsid w:val="00441E6A"/>
    <w:rsid w:val="0044398D"/>
    <w:rsid w:val="00443C8F"/>
    <w:rsid w:val="00447C82"/>
    <w:rsid w:val="00450215"/>
    <w:rsid w:val="00452481"/>
    <w:rsid w:val="00457251"/>
    <w:rsid w:val="004575E9"/>
    <w:rsid w:val="004576F2"/>
    <w:rsid w:val="00457804"/>
    <w:rsid w:val="004646BF"/>
    <w:rsid w:val="00464744"/>
    <w:rsid w:val="004665E3"/>
    <w:rsid w:val="00467683"/>
    <w:rsid w:val="004731F1"/>
    <w:rsid w:val="00480BC8"/>
    <w:rsid w:val="00481265"/>
    <w:rsid w:val="004814BF"/>
    <w:rsid w:val="0048587E"/>
    <w:rsid w:val="00487C2B"/>
    <w:rsid w:val="00490626"/>
    <w:rsid w:val="00491631"/>
    <w:rsid w:val="0049297D"/>
    <w:rsid w:val="004929F2"/>
    <w:rsid w:val="00494E27"/>
    <w:rsid w:val="00495A03"/>
    <w:rsid w:val="004967FC"/>
    <w:rsid w:val="00497079"/>
    <w:rsid w:val="004976EE"/>
    <w:rsid w:val="004A00BD"/>
    <w:rsid w:val="004A1A57"/>
    <w:rsid w:val="004A1BBA"/>
    <w:rsid w:val="004A29E5"/>
    <w:rsid w:val="004A3E3C"/>
    <w:rsid w:val="004B0E4B"/>
    <w:rsid w:val="004B0E6D"/>
    <w:rsid w:val="004B16E8"/>
    <w:rsid w:val="004B2DB9"/>
    <w:rsid w:val="004B5E54"/>
    <w:rsid w:val="004B6250"/>
    <w:rsid w:val="004B76B1"/>
    <w:rsid w:val="004C0057"/>
    <w:rsid w:val="004C03A7"/>
    <w:rsid w:val="004C0541"/>
    <w:rsid w:val="004C2C46"/>
    <w:rsid w:val="004C5189"/>
    <w:rsid w:val="004C7235"/>
    <w:rsid w:val="004C7955"/>
    <w:rsid w:val="004D047F"/>
    <w:rsid w:val="004D1930"/>
    <w:rsid w:val="004D1A45"/>
    <w:rsid w:val="004D3D96"/>
    <w:rsid w:val="004D5C1F"/>
    <w:rsid w:val="004D650F"/>
    <w:rsid w:val="004E2133"/>
    <w:rsid w:val="004E5AB9"/>
    <w:rsid w:val="004E60FB"/>
    <w:rsid w:val="004F4EA9"/>
    <w:rsid w:val="004F779C"/>
    <w:rsid w:val="004F7846"/>
    <w:rsid w:val="005000D4"/>
    <w:rsid w:val="0050069E"/>
    <w:rsid w:val="005009C0"/>
    <w:rsid w:val="00500F1D"/>
    <w:rsid w:val="0050148E"/>
    <w:rsid w:val="00504285"/>
    <w:rsid w:val="00504432"/>
    <w:rsid w:val="00505EE0"/>
    <w:rsid w:val="0050638D"/>
    <w:rsid w:val="00510CAF"/>
    <w:rsid w:val="00511B6A"/>
    <w:rsid w:val="005128C5"/>
    <w:rsid w:val="00514754"/>
    <w:rsid w:val="0051478B"/>
    <w:rsid w:val="0051566A"/>
    <w:rsid w:val="00515D7B"/>
    <w:rsid w:val="005166E9"/>
    <w:rsid w:val="0052009E"/>
    <w:rsid w:val="00521065"/>
    <w:rsid w:val="00524EC3"/>
    <w:rsid w:val="00525E59"/>
    <w:rsid w:val="005318CC"/>
    <w:rsid w:val="00531D1B"/>
    <w:rsid w:val="005349B1"/>
    <w:rsid w:val="005374BC"/>
    <w:rsid w:val="00543188"/>
    <w:rsid w:val="00543367"/>
    <w:rsid w:val="00543BFA"/>
    <w:rsid w:val="00547D9C"/>
    <w:rsid w:val="00547DA1"/>
    <w:rsid w:val="00551CED"/>
    <w:rsid w:val="00554EAB"/>
    <w:rsid w:val="0055513C"/>
    <w:rsid w:val="00560C94"/>
    <w:rsid w:val="00560F37"/>
    <w:rsid w:val="0056291C"/>
    <w:rsid w:val="00565A63"/>
    <w:rsid w:val="00566588"/>
    <w:rsid w:val="00570B1A"/>
    <w:rsid w:val="00572736"/>
    <w:rsid w:val="0057275D"/>
    <w:rsid w:val="005800A9"/>
    <w:rsid w:val="00580488"/>
    <w:rsid w:val="0058074D"/>
    <w:rsid w:val="00580FD1"/>
    <w:rsid w:val="0058111B"/>
    <w:rsid w:val="00582FAD"/>
    <w:rsid w:val="00583489"/>
    <w:rsid w:val="00583A98"/>
    <w:rsid w:val="00584D71"/>
    <w:rsid w:val="005858C4"/>
    <w:rsid w:val="00590FE4"/>
    <w:rsid w:val="00591D9C"/>
    <w:rsid w:val="00597057"/>
    <w:rsid w:val="00597D8B"/>
    <w:rsid w:val="005A1C30"/>
    <w:rsid w:val="005A2769"/>
    <w:rsid w:val="005A2DCB"/>
    <w:rsid w:val="005A3295"/>
    <w:rsid w:val="005A46FF"/>
    <w:rsid w:val="005A6166"/>
    <w:rsid w:val="005B011E"/>
    <w:rsid w:val="005B1C7D"/>
    <w:rsid w:val="005B1DEC"/>
    <w:rsid w:val="005B2E84"/>
    <w:rsid w:val="005B53CA"/>
    <w:rsid w:val="005B5A04"/>
    <w:rsid w:val="005B7B0E"/>
    <w:rsid w:val="005C0A04"/>
    <w:rsid w:val="005C5409"/>
    <w:rsid w:val="005C69AC"/>
    <w:rsid w:val="005C722E"/>
    <w:rsid w:val="005C7380"/>
    <w:rsid w:val="005D01A4"/>
    <w:rsid w:val="005D14DE"/>
    <w:rsid w:val="005D3F12"/>
    <w:rsid w:val="005D44E4"/>
    <w:rsid w:val="005D45B3"/>
    <w:rsid w:val="005D4CEB"/>
    <w:rsid w:val="005E491F"/>
    <w:rsid w:val="005E58CE"/>
    <w:rsid w:val="005E59E9"/>
    <w:rsid w:val="005F04E6"/>
    <w:rsid w:val="005F23CA"/>
    <w:rsid w:val="005F43B9"/>
    <w:rsid w:val="005F68CB"/>
    <w:rsid w:val="005F6A4A"/>
    <w:rsid w:val="005F7D6F"/>
    <w:rsid w:val="00602154"/>
    <w:rsid w:val="006033E3"/>
    <w:rsid w:val="00604FE3"/>
    <w:rsid w:val="0061321C"/>
    <w:rsid w:val="00620DB0"/>
    <w:rsid w:val="0062386E"/>
    <w:rsid w:val="00623D9A"/>
    <w:rsid w:val="00623F01"/>
    <w:rsid w:val="006242FB"/>
    <w:rsid w:val="00626E2D"/>
    <w:rsid w:val="00627D94"/>
    <w:rsid w:val="00630B42"/>
    <w:rsid w:val="00636CDE"/>
    <w:rsid w:val="00637BA7"/>
    <w:rsid w:val="00640ACD"/>
    <w:rsid w:val="00642072"/>
    <w:rsid w:val="00643330"/>
    <w:rsid w:val="006440ED"/>
    <w:rsid w:val="00645293"/>
    <w:rsid w:val="00647C64"/>
    <w:rsid w:val="00651B78"/>
    <w:rsid w:val="00652263"/>
    <w:rsid w:val="00652881"/>
    <w:rsid w:val="00661974"/>
    <w:rsid w:val="00664551"/>
    <w:rsid w:val="00664E44"/>
    <w:rsid w:val="00665677"/>
    <w:rsid w:val="0066704D"/>
    <w:rsid w:val="006676A0"/>
    <w:rsid w:val="00670857"/>
    <w:rsid w:val="00671124"/>
    <w:rsid w:val="006727B0"/>
    <w:rsid w:val="0067307E"/>
    <w:rsid w:val="00677AC6"/>
    <w:rsid w:val="00687AD5"/>
    <w:rsid w:val="006908F6"/>
    <w:rsid w:val="00691AFA"/>
    <w:rsid w:val="0069335C"/>
    <w:rsid w:val="00695251"/>
    <w:rsid w:val="00695ADE"/>
    <w:rsid w:val="00695C0D"/>
    <w:rsid w:val="00696356"/>
    <w:rsid w:val="006A72C6"/>
    <w:rsid w:val="006B02DA"/>
    <w:rsid w:val="006B2065"/>
    <w:rsid w:val="006B315F"/>
    <w:rsid w:val="006B3940"/>
    <w:rsid w:val="006C168D"/>
    <w:rsid w:val="006C1D5C"/>
    <w:rsid w:val="006C3C80"/>
    <w:rsid w:val="006C3F43"/>
    <w:rsid w:val="006C642C"/>
    <w:rsid w:val="006C6FC6"/>
    <w:rsid w:val="006D1831"/>
    <w:rsid w:val="006D442E"/>
    <w:rsid w:val="006D6A40"/>
    <w:rsid w:val="006D6F20"/>
    <w:rsid w:val="006D7693"/>
    <w:rsid w:val="006E231B"/>
    <w:rsid w:val="006E346E"/>
    <w:rsid w:val="006E34B7"/>
    <w:rsid w:val="006F0F87"/>
    <w:rsid w:val="006F2F3E"/>
    <w:rsid w:val="006F4CD8"/>
    <w:rsid w:val="006F53D9"/>
    <w:rsid w:val="006F6A94"/>
    <w:rsid w:val="007004DC"/>
    <w:rsid w:val="00701575"/>
    <w:rsid w:val="00701A03"/>
    <w:rsid w:val="00703E8A"/>
    <w:rsid w:val="00711522"/>
    <w:rsid w:val="007124FE"/>
    <w:rsid w:val="00712EE5"/>
    <w:rsid w:val="00713186"/>
    <w:rsid w:val="00713757"/>
    <w:rsid w:val="0071379B"/>
    <w:rsid w:val="0071497D"/>
    <w:rsid w:val="00717772"/>
    <w:rsid w:val="0072122C"/>
    <w:rsid w:val="00721AF1"/>
    <w:rsid w:val="0072280F"/>
    <w:rsid w:val="00722B5E"/>
    <w:rsid w:val="00723309"/>
    <w:rsid w:val="00723845"/>
    <w:rsid w:val="0072708F"/>
    <w:rsid w:val="007323FB"/>
    <w:rsid w:val="00732D1D"/>
    <w:rsid w:val="00736034"/>
    <w:rsid w:val="0073681C"/>
    <w:rsid w:val="00741EBE"/>
    <w:rsid w:val="00746130"/>
    <w:rsid w:val="007467A8"/>
    <w:rsid w:val="00746A40"/>
    <w:rsid w:val="007479DC"/>
    <w:rsid w:val="00750358"/>
    <w:rsid w:val="00755CDF"/>
    <w:rsid w:val="00757A4C"/>
    <w:rsid w:val="0076110A"/>
    <w:rsid w:val="00764A94"/>
    <w:rsid w:val="00764DC3"/>
    <w:rsid w:val="007651E5"/>
    <w:rsid w:val="007670DC"/>
    <w:rsid w:val="00767239"/>
    <w:rsid w:val="0077111A"/>
    <w:rsid w:val="00772272"/>
    <w:rsid w:val="00774C7D"/>
    <w:rsid w:val="007756ED"/>
    <w:rsid w:val="007869A0"/>
    <w:rsid w:val="00786A23"/>
    <w:rsid w:val="007870FC"/>
    <w:rsid w:val="00787CD0"/>
    <w:rsid w:val="00791053"/>
    <w:rsid w:val="00791A3A"/>
    <w:rsid w:val="00794196"/>
    <w:rsid w:val="00797637"/>
    <w:rsid w:val="007A2E54"/>
    <w:rsid w:val="007A3680"/>
    <w:rsid w:val="007A59B8"/>
    <w:rsid w:val="007B2862"/>
    <w:rsid w:val="007B662A"/>
    <w:rsid w:val="007B6FEC"/>
    <w:rsid w:val="007C1A93"/>
    <w:rsid w:val="007C751E"/>
    <w:rsid w:val="007D021A"/>
    <w:rsid w:val="007D28C9"/>
    <w:rsid w:val="007D3CC8"/>
    <w:rsid w:val="007D62F9"/>
    <w:rsid w:val="007D63A4"/>
    <w:rsid w:val="007E1AA2"/>
    <w:rsid w:val="007E4C1F"/>
    <w:rsid w:val="007E609E"/>
    <w:rsid w:val="007F0746"/>
    <w:rsid w:val="007F0759"/>
    <w:rsid w:val="007F25C0"/>
    <w:rsid w:val="007F456A"/>
    <w:rsid w:val="007F4C9B"/>
    <w:rsid w:val="007F5F52"/>
    <w:rsid w:val="007F77C6"/>
    <w:rsid w:val="007F77D8"/>
    <w:rsid w:val="008003A1"/>
    <w:rsid w:val="008006B7"/>
    <w:rsid w:val="00800FDB"/>
    <w:rsid w:val="00802081"/>
    <w:rsid w:val="008020B5"/>
    <w:rsid w:val="008021E8"/>
    <w:rsid w:val="008034CF"/>
    <w:rsid w:val="00803F15"/>
    <w:rsid w:val="008063D8"/>
    <w:rsid w:val="00806461"/>
    <w:rsid w:val="00806722"/>
    <w:rsid w:val="0081096D"/>
    <w:rsid w:val="00810EAD"/>
    <w:rsid w:val="00811833"/>
    <w:rsid w:val="008174D4"/>
    <w:rsid w:val="00820FE6"/>
    <w:rsid w:val="00821A66"/>
    <w:rsid w:val="00822476"/>
    <w:rsid w:val="00822882"/>
    <w:rsid w:val="0082435E"/>
    <w:rsid w:val="00824CB2"/>
    <w:rsid w:val="00825F68"/>
    <w:rsid w:val="008273D3"/>
    <w:rsid w:val="00835408"/>
    <w:rsid w:val="008359DA"/>
    <w:rsid w:val="00837CEF"/>
    <w:rsid w:val="00840035"/>
    <w:rsid w:val="00840220"/>
    <w:rsid w:val="008419D5"/>
    <w:rsid w:val="00841B65"/>
    <w:rsid w:val="008428A9"/>
    <w:rsid w:val="00844112"/>
    <w:rsid w:val="008444F2"/>
    <w:rsid w:val="008456C9"/>
    <w:rsid w:val="0084611D"/>
    <w:rsid w:val="00847BEF"/>
    <w:rsid w:val="00847D9E"/>
    <w:rsid w:val="00850C62"/>
    <w:rsid w:val="008624F9"/>
    <w:rsid w:val="00863011"/>
    <w:rsid w:val="00865075"/>
    <w:rsid w:val="00866F96"/>
    <w:rsid w:val="0086748F"/>
    <w:rsid w:val="00872CE4"/>
    <w:rsid w:val="00874F4B"/>
    <w:rsid w:val="0087539B"/>
    <w:rsid w:val="00877B62"/>
    <w:rsid w:val="00880199"/>
    <w:rsid w:val="00881015"/>
    <w:rsid w:val="008810B0"/>
    <w:rsid w:val="008813D6"/>
    <w:rsid w:val="008819B6"/>
    <w:rsid w:val="00881AAC"/>
    <w:rsid w:val="008836B7"/>
    <w:rsid w:val="008841D3"/>
    <w:rsid w:val="0088709F"/>
    <w:rsid w:val="00887DE6"/>
    <w:rsid w:val="00894C2A"/>
    <w:rsid w:val="00896817"/>
    <w:rsid w:val="00897708"/>
    <w:rsid w:val="00897D88"/>
    <w:rsid w:val="008A2F16"/>
    <w:rsid w:val="008B1823"/>
    <w:rsid w:val="008B203C"/>
    <w:rsid w:val="008B6E16"/>
    <w:rsid w:val="008B7110"/>
    <w:rsid w:val="008C2029"/>
    <w:rsid w:val="008C61D6"/>
    <w:rsid w:val="008C64F1"/>
    <w:rsid w:val="008D1531"/>
    <w:rsid w:val="008D1BB0"/>
    <w:rsid w:val="008D20FF"/>
    <w:rsid w:val="008D2265"/>
    <w:rsid w:val="008D3DE6"/>
    <w:rsid w:val="008D4223"/>
    <w:rsid w:val="008D44CC"/>
    <w:rsid w:val="008D46E3"/>
    <w:rsid w:val="008D6709"/>
    <w:rsid w:val="008D7EF7"/>
    <w:rsid w:val="008E083A"/>
    <w:rsid w:val="008E1338"/>
    <w:rsid w:val="008E2450"/>
    <w:rsid w:val="008E2983"/>
    <w:rsid w:val="008E6038"/>
    <w:rsid w:val="008E7896"/>
    <w:rsid w:val="008F2477"/>
    <w:rsid w:val="008F2F2B"/>
    <w:rsid w:val="008F385C"/>
    <w:rsid w:val="008F3EF6"/>
    <w:rsid w:val="008F4AAB"/>
    <w:rsid w:val="008F60C5"/>
    <w:rsid w:val="00900A07"/>
    <w:rsid w:val="009010F0"/>
    <w:rsid w:val="00901162"/>
    <w:rsid w:val="0090223A"/>
    <w:rsid w:val="009028E2"/>
    <w:rsid w:val="009135C1"/>
    <w:rsid w:val="00914EAB"/>
    <w:rsid w:val="00916597"/>
    <w:rsid w:val="00922D49"/>
    <w:rsid w:val="009259CF"/>
    <w:rsid w:val="00925E37"/>
    <w:rsid w:val="00925EDD"/>
    <w:rsid w:val="00927D0E"/>
    <w:rsid w:val="009309DA"/>
    <w:rsid w:val="00936688"/>
    <w:rsid w:val="00937CFA"/>
    <w:rsid w:val="009406B3"/>
    <w:rsid w:val="00942DF0"/>
    <w:rsid w:val="00945CF5"/>
    <w:rsid w:val="009500A1"/>
    <w:rsid w:val="0095037E"/>
    <w:rsid w:val="00950845"/>
    <w:rsid w:val="00952AAD"/>
    <w:rsid w:val="00954567"/>
    <w:rsid w:val="009547A9"/>
    <w:rsid w:val="009548FE"/>
    <w:rsid w:val="00956F0B"/>
    <w:rsid w:val="00957466"/>
    <w:rsid w:val="0096260B"/>
    <w:rsid w:val="009664D5"/>
    <w:rsid w:val="00970C69"/>
    <w:rsid w:val="00971DF7"/>
    <w:rsid w:val="00971F1C"/>
    <w:rsid w:val="0097211D"/>
    <w:rsid w:val="00972E10"/>
    <w:rsid w:val="009746CA"/>
    <w:rsid w:val="00974975"/>
    <w:rsid w:val="00974EA8"/>
    <w:rsid w:val="00975555"/>
    <w:rsid w:val="00977154"/>
    <w:rsid w:val="00981963"/>
    <w:rsid w:val="00983C82"/>
    <w:rsid w:val="00984520"/>
    <w:rsid w:val="0098545C"/>
    <w:rsid w:val="00992BA2"/>
    <w:rsid w:val="00992F83"/>
    <w:rsid w:val="0099508A"/>
    <w:rsid w:val="009974EB"/>
    <w:rsid w:val="009A037F"/>
    <w:rsid w:val="009A1126"/>
    <w:rsid w:val="009A552C"/>
    <w:rsid w:val="009A63AC"/>
    <w:rsid w:val="009B1584"/>
    <w:rsid w:val="009B1B32"/>
    <w:rsid w:val="009B21CA"/>
    <w:rsid w:val="009B2648"/>
    <w:rsid w:val="009B2EE9"/>
    <w:rsid w:val="009C03E5"/>
    <w:rsid w:val="009C0C11"/>
    <w:rsid w:val="009C3730"/>
    <w:rsid w:val="009C37BD"/>
    <w:rsid w:val="009C3AAC"/>
    <w:rsid w:val="009C4D19"/>
    <w:rsid w:val="009C5FDB"/>
    <w:rsid w:val="009C6493"/>
    <w:rsid w:val="009C693E"/>
    <w:rsid w:val="009C70CB"/>
    <w:rsid w:val="009D021F"/>
    <w:rsid w:val="009D1EA4"/>
    <w:rsid w:val="009D27AA"/>
    <w:rsid w:val="009D38BA"/>
    <w:rsid w:val="009D4991"/>
    <w:rsid w:val="009D5BB5"/>
    <w:rsid w:val="009D696D"/>
    <w:rsid w:val="009D6ED2"/>
    <w:rsid w:val="009D7F16"/>
    <w:rsid w:val="009E0F1A"/>
    <w:rsid w:val="009E140D"/>
    <w:rsid w:val="009E348F"/>
    <w:rsid w:val="009E4465"/>
    <w:rsid w:val="009E4DF2"/>
    <w:rsid w:val="009E6401"/>
    <w:rsid w:val="009E6C54"/>
    <w:rsid w:val="009F2261"/>
    <w:rsid w:val="009F2A25"/>
    <w:rsid w:val="009F5235"/>
    <w:rsid w:val="009F531A"/>
    <w:rsid w:val="009F6550"/>
    <w:rsid w:val="009F786E"/>
    <w:rsid w:val="00A00902"/>
    <w:rsid w:val="00A039FF"/>
    <w:rsid w:val="00A0522C"/>
    <w:rsid w:val="00A05ACE"/>
    <w:rsid w:val="00A078CB"/>
    <w:rsid w:val="00A125F9"/>
    <w:rsid w:val="00A14AE3"/>
    <w:rsid w:val="00A16675"/>
    <w:rsid w:val="00A22CD6"/>
    <w:rsid w:val="00A234EC"/>
    <w:rsid w:val="00A2417A"/>
    <w:rsid w:val="00A26668"/>
    <w:rsid w:val="00A27804"/>
    <w:rsid w:val="00A3489D"/>
    <w:rsid w:val="00A348F0"/>
    <w:rsid w:val="00A36822"/>
    <w:rsid w:val="00A36AB5"/>
    <w:rsid w:val="00A411D1"/>
    <w:rsid w:val="00A428A4"/>
    <w:rsid w:val="00A42CE1"/>
    <w:rsid w:val="00A43389"/>
    <w:rsid w:val="00A43E71"/>
    <w:rsid w:val="00A45753"/>
    <w:rsid w:val="00A47B15"/>
    <w:rsid w:val="00A52F84"/>
    <w:rsid w:val="00A56B05"/>
    <w:rsid w:val="00A57678"/>
    <w:rsid w:val="00A60E2F"/>
    <w:rsid w:val="00A618F3"/>
    <w:rsid w:val="00A62673"/>
    <w:rsid w:val="00A63284"/>
    <w:rsid w:val="00A64CB8"/>
    <w:rsid w:val="00A67018"/>
    <w:rsid w:val="00A672F3"/>
    <w:rsid w:val="00A673DC"/>
    <w:rsid w:val="00A677FA"/>
    <w:rsid w:val="00A7076E"/>
    <w:rsid w:val="00A709BE"/>
    <w:rsid w:val="00A7162E"/>
    <w:rsid w:val="00A7195A"/>
    <w:rsid w:val="00A72D71"/>
    <w:rsid w:val="00A75705"/>
    <w:rsid w:val="00A77C69"/>
    <w:rsid w:val="00A829DE"/>
    <w:rsid w:val="00A83953"/>
    <w:rsid w:val="00A84113"/>
    <w:rsid w:val="00A85AF5"/>
    <w:rsid w:val="00A869F6"/>
    <w:rsid w:val="00A903B6"/>
    <w:rsid w:val="00A9050D"/>
    <w:rsid w:val="00A90F4F"/>
    <w:rsid w:val="00A92C40"/>
    <w:rsid w:val="00A947AA"/>
    <w:rsid w:val="00AA0AC5"/>
    <w:rsid w:val="00AA19FE"/>
    <w:rsid w:val="00AA1B53"/>
    <w:rsid w:val="00AA3556"/>
    <w:rsid w:val="00AA35FD"/>
    <w:rsid w:val="00AA38A5"/>
    <w:rsid w:val="00AA3ADC"/>
    <w:rsid w:val="00AA3DB7"/>
    <w:rsid w:val="00AA6B2E"/>
    <w:rsid w:val="00AB077A"/>
    <w:rsid w:val="00AB3012"/>
    <w:rsid w:val="00AB321C"/>
    <w:rsid w:val="00AB5B99"/>
    <w:rsid w:val="00AB688F"/>
    <w:rsid w:val="00AB75EA"/>
    <w:rsid w:val="00AB7AA2"/>
    <w:rsid w:val="00AC44D9"/>
    <w:rsid w:val="00AC4BC1"/>
    <w:rsid w:val="00AC6FFD"/>
    <w:rsid w:val="00AD04BD"/>
    <w:rsid w:val="00AD25F6"/>
    <w:rsid w:val="00AD67CB"/>
    <w:rsid w:val="00AD7214"/>
    <w:rsid w:val="00AE1066"/>
    <w:rsid w:val="00AE4518"/>
    <w:rsid w:val="00AE5D7F"/>
    <w:rsid w:val="00AE79F0"/>
    <w:rsid w:val="00AE7FCD"/>
    <w:rsid w:val="00AF0030"/>
    <w:rsid w:val="00AF2DAE"/>
    <w:rsid w:val="00AF5585"/>
    <w:rsid w:val="00AF6EC1"/>
    <w:rsid w:val="00B00331"/>
    <w:rsid w:val="00B01A80"/>
    <w:rsid w:val="00B03EF2"/>
    <w:rsid w:val="00B07C27"/>
    <w:rsid w:val="00B10017"/>
    <w:rsid w:val="00B10DE1"/>
    <w:rsid w:val="00B10FF8"/>
    <w:rsid w:val="00B203C4"/>
    <w:rsid w:val="00B22E81"/>
    <w:rsid w:val="00B23996"/>
    <w:rsid w:val="00B23CB2"/>
    <w:rsid w:val="00B2561A"/>
    <w:rsid w:val="00B25A64"/>
    <w:rsid w:val="00B329F8"/>
    <w:rsid w:val="00B32AB3"/>
    <w:rsid w:val="00B34E7C"/>
    <w:rsid w:val="00B368EA"/>
    <w:rsid w:val="00B37EEF"/>
    <w:rsid w:val="00B51D20"/>
    <w:rsid w:val="00B5298E"/>
    <w:rsid w:val="00B54370"/>
    <w:rsid w:val="00B54B5F"/>
    <w:rsid w:val="00B55185"/>
    <w:rsid w:val="00B60BF3"/>
    <w:rsid w:val="00B60D38"/>
    <w:rsid w:val="00B61923"/>
    <w:rsid w:val="00B621D6"/>
    <w:rsid w:val="00B63EF5"/>
    <w:rsid w:val="00B65D6F"/>
    <w:rsid w:val="00B677E1"/>
    <w:rsid w:val="00B67C23"/>
    <w:rsid w:val="00B7090F"/>
    <w:rsid w:val="00B70DC7"/>
    <w:rsid w:val="00B73042"/>
    <w:rsid w:val="00B75283"/>
    <w:rsid w:val="00B75735"/>
    <w:rsid w:val="00B77142"/>
    <w:rsid w:val="00B80A2C"/>
    <w:rsid w:val="00B81F60"/>
    <w:rsid w:val="00B841AC"/>
    <w:rsid w:val="00B865B0"/>
    <w:rsid w:val="00B90780"/>
    <w:rsid w:val="00B91F9C"/>
    <w:rsid w:val="00B9240D"/>
    <w:rsid w:val="00BA22A8"/>
    <w:rsid w:val="00BA285B"/>
    <w:rsid w:val="00BA3E48"/>
    <w:rsid w:val="00BA4BD3"/>
    <w:rsid w:val="00BA7473"/>
    <w:rsid w:val="00BB0187"/>
    <w:rsid w:val="00BB07B5"/>
    <w:rsid w:val="00BB1EB3"/>
    <w:rsid w:val="00BB22CA"/>
    <w:rsid w:val="00BB2678"/>
    <w:rsid w:val="00BB3E96"/>
    <w:rsid w:val="00BC013A"/>
    <w:rsid w:val="00BC2343"/>
    <w:rsid w:val="00BC23F8"/>
    <w:rsid w:val="00BD30C8"/>
    <w:rsid w:val="00BD3EB4"/>
    <w:rsid w:val="00BD5C65"/>
    <w:rsid w:val="00BD7DB4"/>
    <w:rsid w:val="00BE1A80"/>
    <w:rsid w:val="00BE2F07"/>
    <w:rsid w:val="00BE6018"/>
    <w:rsid w:val="00BF0F8F"/>
    <w:rsid w:val="00BF18E8"/>
    <w:rsid w:val="00BF1F57"/>
    <w:rsid w:val="00BF4086"/>
    <w:rsid w:val="00BF426C"/>
    <w:rsid w:val="00BF47C9"/>
    <w:rsid w:val="00BF4E32"/>
    <w:rsid w:val="00BF58D0"/>
    <w:rsid w:val="00BF7D6A"/>
    <w:rsid w:val="00C013E1"/>
    <w:rsid w:val="00C01611"/>
    <w:rsid w:val="00C02D59"/>
    <w:rsid w:val="00C030B6"/>
    <w:rsid w:val="00C03284"/>
    <w:rsid w:val="00C050D7"/>
    <w:rsid w:val="00C05B5F"/>
    <w:rsid w:val="00C104CC"/>
    <w:rsid w:val="00C152FE"/>
    <w:rsid w:val="00C1648E"/>
    <w:rsid w:val="00C16739"/>
    <w:rsid w:val="00C21C43"/>
    <w:rsid w:val="00C22C7D"/>
    <w:rsid w:val="00C22CCE"/>
    <w:rsid w:val="00C231D6"/>
    <w:rsid w:val="00C23BA2"/>
    <w:rsid w:val="00C32AF2"/>
    <w:rsid w:val="00C33204"/>
    <w:rsid w:val="00C338EB"/>
    <w:rsid w:val="00C3465D"/>
    <w:rsid w:val="00C36ACD"/>
    <w:rsid w:val="00C379E9"/>
    <w:rsid w:val="00C439FB"/>
    <w:rsid w:val="00C43F23"/>
    <w:rsid w:val="00C47790"/>
    <w:rsid w:val="00C50011"/>
    <w:rsid w:val="00C5274B"/>
    <w:rsid w:val="00C55A77"/>
    <w:rsid w:val="00C55B19"/>
    <w:rsid w:val="00C645E6"/>
    <w:rsid w:val="00C64D82"/>
    <w:rsid w:val="00C64FBC"/>
    <w:rsid w:val="00C65A83"/>
    <w:rsid w:val="00C72C6F"/>
    <w:rsid w:val="00C76CF1"/>
    <w:rsid w:val="00C80F23"/>
    <w:rsid w:val="00C81151"/>
    <w:rsid w:val="00C82CC6"/>
    <w:rsid w:val="00C850A3"/>
    <w:rsid w:val="00C85C32"/>
    <w:rsid w:val="00C85F94"/>
    <w:rsid w:val="00C87568"/>
    <w:rsid w:val="00C90DA7"/>
    <w:rsid w:val="00C90DB6"/>
    <w:rsid w:val="00C9394F"/>
    <w:rsid w:val="00C93B1A"/>
    <w:rsid w:val="00C96A14"/>
    <w:rsid w:val="00C96F5F"/>
    <w:rsid w:val="00CA21B5"/>
    <w:rsid w:val="00CA5927"/>
    <w:rsid w:val="00CA79EC"/>
    <w:rsid w:val="00CB26A5"/>
    <w:rsid w:val="00CB39C2"/>
    <w:rsid w:val="00CB4664"/>
    <w:rsid w:val="00CB4C8C"/>
    <w:rsid w:val="00CB5BFD"/>
    <w:rsid w:val="00CB6782"/>
    <w:rsid w:val="00CC080A"/>
    <w:rsid w:val="00CC52E1"/>
    <w:rsid w:val="00CD319D"/>
    <w:rsid w:val="00CD6BC3"/>
    <w:rsid w:val="00CD72D0"/>
    <w:rsid w:val="00CE3519"/>
    <w:rsid w:val="00CE5277"/>
    <w:rsid w:val="00CE6358"/>
    <w:rsid w:val="00CE743F"/>
    <w:rsid w:val="00CF2D54"/>
    <w:rsid w:val="00CF3CDE"/>
    <w:rsid w:val="00CF6570"/>
    <w:rsid w:val="00D03538"/>
    <w:rsid w:val="00D049B8"/>
    <w:rsid w:val="00D0516C"/>
    <w:rsid w:val="00D05EE7"/>
    <w:rsid w:val="00D068D0"/>
    <w:rsid w:val="00D078D1"/>
    <w:rsid w:val="00D129A8"/>
    <w:rsid w:val="00D12FB9"/>
    <w:rsid w:val="00D200BD"/>
    <w:rsid w:val="00D22399"/>
    <w:rsid w:val="00D26460"/>
    <w:rsid w:val="00D3268B"/>
    <w:rsid w:val="00D33751"/>
    <w:rsid w:val="00D33924"/>
    <w:rsid w:val="00D36F6E"/>
    <w:rsid w:val="00D37343"/>
    <w:rsid w:val="00D4205E"/>
    <w:rsid w:val="00D42507"/>
    <w:rsid w:val="00D50E63"/>
    <w:rsid w:val="00D5574C"/>
    <w:rsid w:val="00D61982"/>
    <w:rsid w:val="00D6267A"/>
    <w:rsid w:val="00D67D12"/>
    <w:rsid w:val="00D70274"/>
    <w:rsid w:val="00D7585A"/>
    <w:rsid w:val="00D80618"/>
    <w:rsid w:val="00D81A17"/>
    <w:rsid w:val="00D82494"/>
    <w:rsid w:val="00D84A4B"/>
    <w:rsid w:val="00D8681D"/>
    <w:rsid w:val="00D92168"/>
    <w:rsid w:val="00D940A9"/>
    <w:rsid w:val="00D940B5"/>
    <w:rsid w:val="00D95CB0"/>
    <w:rsid w:val="00D977C0"/>
    <w:rsid w:val="00DA00A3"/>
    <w:rsid w:val="00DA13F3"/>
    <w:rsid w:val="00DA2DE3"/>
    <w:rsid w:val="00DA7146"/>
    <w:rsid w:val="00DA716A"/>
    <w:rsid w:val="00DB1F4F"/>
    <w:rsid w:val="00DB37EE"/>
    <w:rsid w:val="00DB4450"/>
    <w:rsid w:val="00DB4A22"/>
    <w:rsid w:val="00DB7B69"/>
    <w:rsid w:val="00DC02EC"/>
    <w:rsid w:val="00DC234A"/>
    <w:rsid w:val="00DC315B"/>
    <w:rsid w:val="00DC41E4"/>
    <w:rsid w:val="00DC5116"/>
    <w:rsid w:val="00DC77DD"/>
    <w:rsid w:val="00DC7C77"/>
    <w:rsid w:val="00DD2417"/>
    <w:rsid w:val="00DD51D8"/>
    <w:rsid w:val="00DD7EA2"/>
    <w:rsid w:val="00DE00F2"/>
    <w:rsid w:val="00DE117F"/>
    <w:rsid w:val="00DE401C"/>
    <w:rsid w:val="00DE4CDE"/>
    <w:rsid w:val="00DF1ED6"/>
    <w:rsid w:val="00DF63FA"/>
    <w:rsid w:val="00E00A1C"/>
    <w:rsid w:val="00E012CC"/>
    <w:rsid w:val="00E02B71"/>
    <w:rsid w:val="00E02DEB"/>
    <w:rsid w:val="00E042A1"/>
    <w:rsid w:val="00E04CE6"/>
    <w:rsid w:val="00E062A5"/>
    <w:rsid w:val="00E07355"/>
    <w:rsid w:val="00E104FA"/>
    <w:rsid w:val="00E1082A"/>
    <w:rsid w:val="00E11166"/>
    <w:rsid w:val="00E13182"/>
    <w:rsid w:val="00E15383"/>
    <w:rsid w:val="00E1738C"/>
    <w:rsid w:val="00E22D28"/>
    <w:rsid w:val="00E230E3"/>
    <w:rsid w:val="00E23611"/>
    <w:rsid w:val="00E24B4A"/>
    <w:rsid w:val="00E25852"/>
    <w:rsid w:val="00E30EDF"/>
    <w:rsid w:val="00E31FBA"/>
    <w:rsid w:val="00E36AAE"/>
    <w:rsid w:val="00E41773"/>
    <w:rsid w:val="00E427F2"/>
    <w:rsid w:val="00E513F6"/>
    <w:rsid w:val="00E52F3B"/>
    <w:rsid w:val="00E53D94"/>
    <w:rsid w:val="00E53DEA"/>
    <w:rsid w:val="00E55094"/>
    <w:rsid w:val="00E55A61"/>
    <w:rsid w:val="00E57F92"/>
    <w:rsid w:val="00E616DB"/>
    <w:rsid w:val="00E627A4"/>
    <w:rsid w:val="00E630ED"/>
    <w:rsid w:val="00E70C95"/>
    <w:rsid w:val="00E72A13"/>
    <w:rsid w:val="00E74E84"/>
    <w:rsid w:val="00E74EC5"/>
    <w:rsid w:val="00E75FDC"/>
    <w:rsid w:val="00E76B86"/>
    <w:rsid w:val="00E8342F"/>
    <w:rsid w:val="00E847A7"/>
    <w:rsid w:val="00E85F25"/>
    <w:rsid w:val="00E86E79"/>
    <w:rsid w:val="00E906B4"/>
    <w:rsid w:val="00E9095B"/>
    <w:rsid w:val="00E926B8"/>
    <w:rsid w:val="00E92E98"/>
    <w:rsid w:val="00E9399B"/>
    <w:rsid w:val="00E94008"/>
    <w:rsid w:val="00E94762"/>
    <w:rsid w:val="00E96B52"/>
    <w:rsid w:val="00EA2244"/>
    <w:rsid w:val="00EA4C93"/>
    <w:rsid w:val="00EA6FA7"/>
    <w:rsid w:val="00EB067F"/>
    <w:rsid w:val="00EB0BF5"/>
    <w:rsid w:val="00EB1576"/>
    <w:rsid w:val="00EB1F02"/>
    <w:rsid w:val="00EB5BC5"/>
    <w:rsid w:val="00EB74C2"/>
    <w:rsid w:val="00EC086C"/>
    <w:rsid w:val="00EC42D0"/>
    <w:rsid w:val="00EC5CE0"/>
    <w:rsid w:val="00EC638F"/>
    <w:rsid w:val="00ED48AC"/>
    <w:rsid w:val="00EE224C"/>
    <w:rsid w:val="00EE4874"/>
    <w:rsid w:val="00EE4A8C"/>
    <w:rsid w:val="00EE674E"/>
    <w:rsid w:val="00EE79A6"/>
    <w:rsid w:val="00EF2689"/>
    <w:rsid w:val="00EF454D"/>
    <w:rsid w:val="00EF4FFA"/>
    <w:rsid w:val="00EF6111"/>
    <w:rsid w:val="00F005A0"/>
    <w:rsid w:val="00F06616"/>
    <w:rsid w:val="00F11352"/>
    <w:rsid w:val="00F1498D"/>
    <w:rsid w:val="00F14DDF"/>
    <w:rsid w:val="00F152AD"/>
    <w:rsid w:val="00F20DFE"/>
    <w:rsid w:val="00F2285F"/>
    <w:rsid w:val="00F23155"/>
    <w:rsid w:val="00F24236"/>
    <w:rsid w:val="00F24E0E"/>
    <w:rsid w:val="00F26693"/>
    <w:rsid w:val="00F3366A"/>
    <w:rsid w:val="00F36130"/>
    <w:rsid w:val="00F40444"/>
    <w:rsid w:val="00F40868"/>
    <w:rsid w:val="00F423BD"/>
    <w:rsid w:val="00F432FF"/>
    <w:rsid w:val="00F4715C"/>
    <w:rsid w:val="00F54869"/>
    <w:rsid w:val="00F556B2"/>
    <w:rsid w:val="00F5754B"/>
    <w:rsid w:val="00F576DE"/>
    <w:rsid w:val="00F63BF7"/>
    <w:rsid w:val="00F65617"/>
    <w:rsid w:val="00F710BE"/>
    <w:rsid w:val="00F729DC"/>
    <w:rsid w:val="00F736D2"/>
    <w:rsid w:val="00F7564C"/>
    <w:rsid w:val="00F76220"/>
    <w:rsid w:val="00F769BE"/>
    <w:rsid w:val="00F76A67"/>
    <w:rsid w:val="00F82E6B"/>
    <w:rsid w:val="00F97B71"/>
    <w:rsid w:val="00FA0209"/>
    <w:rsid w:val="00FA1EC5"/>
    <w:rsid w:val="00FA2DDA"/>
    <w:rsid w:val="00FA34CA"/>
    <w:rsid w:val="00FA4A55"/>
    <w:rsid w:val="00FA4D4F"/>
    <w:rsid w:val="00FA54E8"/>
    <w:rsid w:val="00FA7193"/>
    <w:rsid w:val="00FA7EC0"/>
    <w:rsid w:val="00FB2D17"/>
    <w:rsid w:val="00FB2F69"/>
    <w:rsid w:val="00FB368B"/>
    <w:rsid w:val="00FB45FF"/>
    <w:rsid w:val="00FB5D97"/>
    <w:rsid w:val="00FC1BE5"/>
    <w:rsid w:val="00FC1CA5"/>
    <w:rsid w:val="00FC2979"/>
    <w:rsid w:val="00FD1C3C"/>
    <w:rsid w:val="00FD38A8"/>
    <w:rsid w:val="00FD4622"/>
    <w:rsid w:val="00FD5477"/>
    <w:rsid w:val="00FD6AC8"/>
    <w:rsid w:val="00FD7C9C"/>
    <w:rsid w:val="00FE2D29"/>
    <w:rsid w:val="00FE3EA1"/>
    <w:rsid w:val="00FE4818"/>
    <w:rsid w:val="00FE5D80"/>
    <w:rsid w:val="00FF157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6145"/>
    <o:shapelayout v:ext="edit">
      <o:idmap v:ext="edit" data="1"/>
    </o:shapelayout>
  </w:shapeDefaults>
  <w:decimalSymbol w:val="."/>
  <w:listSeparator w:val=","/>
  <w15:docId w15:val="{812D561D-5794-471E-A3B0-0176AE53E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D31"/>
    <w:pPr>
      <w:widowControl w:val="0"/>
      <w:jc w:val="both"/>
    </w:pPr>
    <w:rPr>
      <w:kern w:val="2"/>
      <w:sz w:val="21"/>
      <w:szCs w:val="24"/>
    </w:rPr>
  </w:style>
  <w:style w:type="paragraph" w:styleId="1">
    <w:name w:val="heading 1"/>
    <w:basedOn w:val="a"/>
    <w:next w:val="a"/>
    <w:link w:val="1Char"/>
    <w:uiPriority w:val="99"/>
    <w:qFormat/>
    <w:rsid w:val="004F4EA9"/>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337293"/>
    <w:pPr>
      <w:keepNext/>
      <w:keepLines/>
      <w:spacing w:before="260" w:after="260" w:line="360" w:lineRule="auto"/>
      <w:outlineLvl w:val="1"/>
    </w:pPr>
    <w:rPr>
      <w:rFonts w:ascii="Cambria" w:hAnsi="Cambria"/>
      <w:b/>
      <w:bCs/>
      <w:kern w:val="0"/>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4F4EA9"/>
    <w:rPr>
      <w:rFonts w:cs="Times New Roman"/>
      <w:b/>
      <w:bCs/>
      <w:kern w:val="44"/>
      <w:sz w:val="44"/>
      <w:szCs w:val="44"/>
    </w:rPr>
  </w:style>
  <w:style w:type="character" w:customStyle="1" w:styleId="2Char">
    <w:name w:val="标题 2 Char"/>
    <w:link w:val="2"/>
    <w:uiPriority w:val="99"/>
    <w:semiHidden/>
    <w:locked/>
    <w:rsid w:val="00F76A67"/>
    <w:rPr>
      <w:rFonts w:ascii="Cambria" w:eastAsia="宋体" w:hAnsi="Cambria" w:cs="Times New Roman"/>
      <w:b/>
      <w:bCs/>
      <w:sz w:val="32"/>
      <w:szCs w:val="32"/>
    </w:rPr>
  </w:style>
  <w:style w:type="paragraph" w:styleId="a0">
    <w:name w:val="Normal Indent"/>
    <w:basedOn w:val="a"/>
    <w:uiPriority w:val="99"/>
    <w:rsid w:val="00337293"/>
    <w:pPr>
      <w:ind w:firstLineChars="200" w:firstLine="420"/>
    </w:pPr>
  </w:style>
  <w:style w:type="paragraph" w:styleId="a4">
    <w:name w:val="Body Text Indent"/>
    <w:basedOn w:val="a"/>
    <w:link w:val="Char"/>
    <w:uiPriority w:val="99"/>
    <w:rsid w:val="00337293"/>
    <w:pPr>
      <w:widowControl/>
      <w:spacing w:before="100" w:beforeAutospacing="1" w:after="100" w:afterAutospacing="1"/>
      <w:jc w:val="left"/>
    </w:pPr>
    <w:rPr>
      <w:kern w:val="0"/>
      <w:sz w:val="24"/>
    </w:rPr>
  </w:style>
  <w:style w:type="character" w:customStyle="1" w:styleId="Char">
    <w:name w:val="正文文本缩进 Char"/>
    <w:link w:val="a4"/>
    <w:uiPriority w:val="99"/>
    <w:semiHidden/>
    <w:locked/>
    <w:rsid w:val="00F76A67"/>
    <w:rPr>
      <w:rFonts w:cs="Times New Roman"/>
      <w:sz w:val="24"/>
      <w:szCs w:val="24"/>
    </w:rPr>
  </w:style>
  <w:style w:type="paragraph" w:styleId="a5">
    <w:name w:val="Plain Text"/>
    <w:basedOn w:val="a"/>
    <w:link w:val="Char0"/>
    <w:uiPriority w:val="99"/>
    <w:rsid w:val="00337293"/>
    <w:rPr>
      <w:rFonts w:ascii="宋体" w:hAnsi="Courier New"/>
      <w:szCs w:val="20"/>
    </w:rPr>
  </w:style>
  <w:style w:type="character" w:customStyle="1" w:styleId="Char0">
    <w:name w:val="纯文本 Char"/>
    <w:link w:val="a5"/>
    <w:uiPriority w:val="99"/>
    <w:locked/>
    <w:rsid w:val="00CE3519"/>
    <w:rPr>
      <w:rFonts w:ascii="宋体" w:hAnsi="Courier New" w:cs="Times New Roman"/>
      <w:kern w:val="2"/>
      <w:sz w:val="21"/>
    </w:rPr>
  </w:style>
  <w:style w:type="paragraph" w:styleId="20">
    <w:name w:val="Body Text Indent 2"/>
    <w:basedOn w:val="a"/>
    <w:link w:val="2Char0"/>
    <w:uiPriority w:val="99"/>
    <w:rsid w:val="00337293"/>
    <w:pPr>
      <w:spacing w:line="560" w:lineRule="exact"/>
      <w:ind w:firstLineChars="200" w:firstLine="480"/>
    </w:pPr>
    <w:rPr>
      <w:kern w:val="0"/>
      <w:sz w:val="24"/>
    </w:rPr>
  </w:style>
  <w:style w:type="character" w:customStyle="1" w:styleId="2Char0">
    <w:name w:val="正文文本缩进 2 Char"/>
    <w:link w:val="20"/>
    <w:uiPriority w:val="99"/>
    <w:semiHidden/>
    <w:locked/>
    <w:rsid w:val="00F76A67"/>
    <w:rPr>
      <w:rFonts w:cs="Times New Roman"/>
      <w:sz w:val="24"/>
      <w:szCs w:val="24"/>
    </w:rPr>
  </w:style>
  <w:style w:type="paragraph" w:styleId="a6">
    <w:name w:val="footer"/>
    <w:basedOn w:val="a"/>
    <w:link w:val="Char1"/>
    <w:uiPriority w:val="99"/>
    <w:rsid w:val="00337293"/>
    <w:pPr>
      <w:tabs>
        <w:tab w:val="center" w:pos="4153"/>
        <w:tab w:val="right" w:pos="8306"/>
      </w:tabs>
      <w:snapToGrid w:val="0"/>
      <w:jc w:val="left"/>
    </w:pPr>
    <w:rPr>
      <w:kern w:val="0"/>
      <w:sz w:val="18"/>
      <w:szCs w:val="18"/>
    </w:rPr>
  </w:style>
  <w:style w:type="character" w:customStyle="1" w:styleId="Char1">
    <w:name w:val="页脚 Char"/>
    <w:link w:val="a6"/>
    <w:uiPriority w:val="99"/>
    <w:semiHidden/>
    <w:locked/>
    <w:rsid w:val="00F76A67"/>
    <w:rPr>
      <w:rFonts w:cs="Times New Roman"/>
      <w:sz w:val="18"/>
      <w:szCs w:val="18"/>
    </w:rPr>
  </w:style>
  <w:style w:type="character" w:styleId="a7">
    <w:name w:val="page number"/>
    <w:uiPriority w:val="99"/>
    <w:rsid w:val="00337293"/>
    <w:rPr>
      <w:rFonts w:cs="Times New Roman"/>
    </w:rPr>
  </w:style>
  <w:style w:type="character" w:styleId="a8">
    <w:name w:val="Hyperlink"/>
    <w:uiPriority w:val="99"/>
    <w:rsid w:val="00337293"/>
    <w:rPr>
      <w:rFonts w:cs="Times New Roman"/>
      <w:color w:val="0000FF"/>
      <w:u w:val="single"/>
    </w:rPr>
  </w:style>
  <w:style w:type="paragraph" w:styleId="3">
    <w:name w:val="Body Text Indent 3"/>
    <w:basedOn w:val="a"/>
    <w:link w:val="3Char"/>
    <w:uiPriority w:val="99"/>
    <w:rsid w:val="00337293"/>
    <w:pPr>
      <w:spacing w:line="560" w:lineRule="exact"/>
      <w:ind w:firstLineChars="200" w:firstLine="420"/>
    </w:pPr>
    <w:rPr>
      <w:kern w:val="0"/>
      <w:sz w:val="16"/>
      <w:szCs w:val="16"/>
    </w:rPr>
  </w:style>
  <w:style w:type="character" w:customStyle="1" w:styleId="3Char">
    <w:name w:val="正文文本缩进 3 Char"/>
    <w:link w:val="3"/>
    <w:uiPriority w:val="99"/>
    <w:semiHidden/>
    <w:locked/>
    <w:rsid w:val="00F76A67"/>
    <w:rPr>
      <w:rFonts w:cs="Times New Roman"/>
      <w:sz w:val="16"/>
      <w:szCs w:val="16"/>
    </w:rPr>
  </w:style>
  <w:style w:type="paragraph" w:styleId="a9">
    <w:name w:val="header"/>
    <w:basedOn w:val="a"/>
    <w:link w:val="Char2"/>
    <w:uiPriority w:val="99"/>
    <w:rsid w:val="00337293"/>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5E491F"/>
    <w:rPr>
      <w:rFonts w:cs="Times New Roman"/>
      <w:kern w:val="2"/>
      <w:sz w:val="18"/>
      <w:szCs w:val="18"/>
    </w:rPr>
  </w:style>
  <w:style w:type="character" w:styleId="aa">
    <w:name w:val="FollowedHyperlink"/>
    <w:uiPriority w:val="99"/>
    <w:rsid w:val="00337293"/>
    <w:rPr>
      <w:rFonts w:cs="Times New Roman"/>
      <w:color w:val="800080"/>
      <w:u w:val="single"/>
    </w:rPr>
  </w:style>
  <w:style w:type="paragraph" w:styleId="ab">
    <w:name w:val="List"/>
    <w:basedOn w:val="ac"/>
    <w:uiPriority w:val="99"/>
    <w:rsid w:val="00337293"/>
    <w:pPr>
      <w:spacing w:after="220" w:line="220" w:lineRule="atLeast"/>
      <w:ind w:left="1440" w:hanging="360"/>
    </w:pPr>
    <w:rPr>
      <w:szCs w:val="20"/>
    </w:rPr>
  </w:style>
  <w:style w:type="paragraph" w:styleId="ac">
    <w:name w:val="Body Text"/>
    <w:basedOn w:val="a"/>
    <w:link w:val="Char3"/>
    <w:uiPriority w:val="99"/>
    <w:rsid w:val="00337293"/>
    <w:pPr>
      <w:spacing w:after="120"/>
    </w:pPr>
    <w:rPr>
      <w:kern w:val="0"/>
      <w:sz w:val="24"/>
    </w:rPr>
  </w:style>
  <w:style w:type="character" w:customStyle="1" w:styleId="Char3">
    <w:name w:val="正文文本 Char"/>
    <w:link w:val="ac"/>
    <w:uiPriority w:val="99"/>
    <w:semiHidden/>
    <w:locked/>
    <w:rsid w:val="00F76A67"/>
    <w:rPr>
      <w:rFonts w:cs="Times New Roman"/>
      <w:sz w:val="24"/>
      <w:szCs w:val="24"/>
    </w:rPr>
  </w:style>
  <w:style w:type="paragraph" w:styleId="ad">
    <w:name w:val="Date"/>
    <w:basedOn w:val="a"/>
    <w:next w:val="a"/>
    <w:link w:val="Char4"/>
    <w:uiPriority w:val="99"/>
    <w:rsid w:val="00337293"/>
    <w:rPr>
      <w:sz w:val="24"/>
      <w:szCs w:val="20"/>
    </w:rPr>
  </w:style>
  <w:style w:type="character" w:customStyle="1" w:styleId="Char4">
    <w:name w:val="日期 Char"/>
    <w:link w:val="ad"/>
    <w:uiPriority w:val="99"/>
    <w:locked/>
    <w:rsid w:val="005B1DEC"/>
    <w:rPr>
      <w:rFonts w:cs="Times New Roman"/>
      <w:kern w:val="2"/>
      <w:sz w:val="24"/>
    </w:rPr>
  </w:style>
  <w:style w:type="character" w:customStyle="1" w:styleId="c1">
    <w:name w:val="c1"/>
    <w:uiPriority w:val="99"/>
    <w:rsid w:val="00337293"/>
    <w:rPr>
      <w:rFonts w:cs="Times New Roman"/>
      <w:color w:val="000000"/>
      <w:sz w:val="18"/>
      <w:szCs w:val="18"/>
    </w:rPr>
  </w:style>
  <w:style w:type="paragraph" w:styleId="10">
    <w:name w:val="index 1"/>
    <w:basedOn w:val="a"/>
    <w:next w:val="a"/>
    <w:autoRedefine/>
    <w:uiPriority w:val="99"/>
    <w:semiHidden/>
    <w:rsid w:val="00337293"/>
    <w:pPr>
      <w:jc w:val="right"/>
    </w:pPr>
    <w:rPr>
      <w:color w:val="008000"/>
    </w:rPr>
  </w:style>
  <w:style w:type="paragraph" w:customStyle="1" w:styleId="font5">
    <w:name w:val="font5"/>
    <w:basedOn w:val="a"/>
    <w:uiPriority w:val="99"/>
    <w:rsid w:val="00337293"/>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337293"/>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337293"/>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uiPriority w:val="99"/>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uiPriority w:val="99"/>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337293"/>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uiPriority w:val="99"/>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uiPriority w:val="99"/>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uiPriority w:val="99"/>
    <w:rsid w:val="00337293"/>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337293"/>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337293"/>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337293"/>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337293"/>
    <w:rPr>
      <w:kern w:val="0"/>
      <w:sz w:val="2"/>
      <w:szCs w:val="20"/>
    </w:rPr>
  </w:style>
  <w:style w:type="character" w:customStyle="1" w:styleId="Char5">
    <w:name w:val="批注框文本 Char"/>
    <w:link w:val="ae"/>
    <w:uiPriority w:val="99"/>
    <w:semiHidden/>
    <w:locked/>
    <w:rsid w:val="00F76A67"/>
    <w:rPr>
      <w:rFonts w:cs="Times New Roman"/>
      <w:sz w:val="2"/>
    </w:rPr>
  </w:style>
  <w:style w:type="character" w:styleId="af">
    <w:name w:val="annotation reference"/>
    <w:uiPriority w:val="99"/>
    <w:semiHidden/>
    <w:rsid w:val="00337293"/>
    <w:rPr>
      <w:rFonts w:cs="Times New Roman"/>
      <w:sz w:val="21"/>
      <w:szCs w:val="21"/>
    </w:rPr>
  </w:style>
  <w:style w:type="paragraph" w:styleId="af0">
    <w:name w:val="annotation text"/>
    <w:basedOn w:val="a"/>
    <w:link w:val="Char6"/>
    <w:uiPriority w:val="99"/>
    <w:semiHidden/>
    <w:rsid w:val="00337293"/>
    <w:pPr>
      <w:jc w:val="left"/>
    </w:pPr>
    <w:rPr>
      <w:kern w:val="0"/>
      <w:sz w:val="24"/>
    </w:rPr>
  </w:style>
  <w:style w:type="character" w:customStyle="1" w:styleId="Char6">
    <w:name w:val="批注文字 Char"/>
    <w:link w:val="af0"/>
    <w:uiPriority w:val="99"/>
    <w:semiHidden/>
    <w:locked/>
    <w:rsid w:val="00F76A67"/>
    <w:rPr>
      <w:rFonts w:cs="Times New Roman"/>
      <w:sz w:val="24"/>
      <w:szCs w:val="24"/>
    </w:rPr>
  </w:style>
  <w:style w:type="paragraph" w:styleId="af1">
    <w:name w:val="annotation subject"/>
    <w:basedOn w:val="af0"/>
    <w:next w:val="af0"/>
    <w:link w:val="Char7"/>
    <w:uiPriority w:val="99"/>
    <w:semiHidden/>
    <w:rsid w:val="00337293"/>
    <w:rPr>
      <w:b/>
      <w:bCs/>
    </w:rPr>
  </w:style>
  <w:style w:type="character" w:customStyle="1" w:styleId="Char7">
    <w:name w:val="批注主题 Char"/>
    <w:link w:val="af1"/>
    <w:uiPriority w:val="99"/>
    <w:semiHidden/>
    <w:locked/>
    <w:rsid w:val="00F76A67"/>
    <w:rPr>
      <w:rFonts w:cs="Times New Roman"/>
      <w:b/>
      <w:bCs/>
      <w:sz w:val="24"/>
      <w:szCs w:val="24"/>
    </w:rPr>
  </w:style>
  <w:style w:type="paragraph" w:customStyle="1" w:styleId="Char8">
    <w:name w:val="Char"/>
    <w:basedOn w:val="a"/>
    <w:uiPriority w:val="99"/>
    <w:rsid w:val="00337293"/>
  </w:style>
  <w:style w:type="paragraph" w:styleId="af2">
    <w:name w:val="Document Map"/>
    <w:basedOn w:val="a"/>
    <w:link w:val="Char9"/>
    <w:uiPriority w:val="99"/>
    <w:semiHidden/>
    <w:rsid w:val="000A549A"/>
    <w:pPr>
      <w:shd w:val="clear" w:color="auto" w:fill="000080"/>
    </w:pPr>
    <w:rPr>
      <w:kern w:val="0"/>
      <w:sz w:val="2"/>
      <w:szCs w:val="20"/>
    </w:rPr>
  </w:style>
  <w:style w:type="character" w:customStyle="1" w:styleId="Char9">
    <w:name w:val="文档结构图 Char"/>
    <w:link w:val="af2"/>
    <w:uiPriority w:val="99"/>
    <w:semiHidden/>
    <w:locked/>
    <w:rsid w:val="00F76A67"/>
    <w:rPr>
      <w:rFonts w:cs="Times New Roman"/>
      <w:sz w:val="2"/>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semiHidden/>
    <w:rsid w:val="00547D9C"/>
    <w:pPr>
      <w:snapToGrid w:val="0"/>
      <w:jc w:val="left"/>
    </w:pPr>
    <w:rPr>
      <w:kern w:val="0"/>
      <w:sz w:val="18"/>
      <w:szCs w:val="18"/>
    </w:rPr>
  </w:style>
  <w:style w:type="character" w:customStyle="1" w:styleId="Chara">
    <w:name w:val="脚注文本 Char"/>
    <w:link w:val="af4"/>
    <w:uiPriority w:val="99"/>
    <w:semiHidden/>
    <w:locked/>
    <w:rsid w:val="00F76A67"/>
    <w:rPr>
      <w:rFonts w:cs="Times New Roman"/>
      <w:sz w:val="18"/>
      <w:szCs w:val="18"/>
    </w:rPr>
  </w:style>
  <w:style w:type="character" w:styleId="af5">
    <w:name w:val="footnote reference"/>
    <w:uiPriority w:val="99"/>
    <w:semiHidden/>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295C5D"/>
    <w:pPr>
      <w:widowControl w:val="0"/>
      <w:autoSpaceDE w:val="0"/>
      <w:autoSpaceDN w:val="0"/>
      <w:adjustRightInd w:val="0"/>
    </w:pPr>
    <w:rPr>
      <w:rFonts w:ascii="FangSong" w:hAnsi="FangSong" w:cs="FangSong"/>
      <w:color w:val="000000"/>
      <w:sz w:val="24"/>
      <w:szCs w:val="24"/>
    </w:rPr>
  </w:style>
  <w:style w:type="character" w:styleId="af8">
    <w:name w:val="Strong"/>
    <w:uiPriority w:val="22"/>
    <w:qFormat/>
    <w:locked/>
    <w:rsid w:val="004572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3275524">
      <w:marLeft w:val="0"/>
      <w:marRight w:val="0"/>
      <w:marTop w:val="0"/>
      <w:marBottom w:val="0"/>
      <w:divBdr>
        <w:top w:val="none" w:sz="0" w:space="0" w:color="auto"/>
        <w:left w:val="none" w:sz="0" w:space="0" w:color="auto"/>
        <w:bottom w:val="none" w:sz="0" w:space="0" w:color="auto"/>
        <w:right w:val="none" w:sz="0" w:space="0" w:color="auto"/>
      </w:divBdr>
    </w:div>
    <w:div w:id="1863275525">
      <w:marLeft w:val="0"/>
      <w:marRight w:val="0"/>
      <w:marTop w:val="0"/>
      <w:marBottom w:val="0"/>
      <w:divBdr>
        <w:top w:val="none" w:sz="0" w:space="0" w:color="auto"/>
        <w:left w:val="none" w:sz="0" w:space="0" w:color="auto"/>
        <w:bottom w:val="none" w:sz="0" w:space="0" w:color="auto"/>
        <w:right w:val="none" w:sz="0" w:space="0" w:color="auto"/>
      </w:divBdr>
    </w:div>
    <w:div w:id="1863275526">
      <w:marLeft w:val="0"/>
      <w:marRight w:val="0"/>
      <w:marTop w:val="0"/>
      <w:marBottom w:val="0"/>
      <w:divBdr>
        <w:top w:val="none" w:sz="0" w:space="0" w:color="auto"/>
        <w:left w:val="none" w:sz="0" w:space="0" w:color="auto"/>
        <w:bottom w:val="none" w:sz="0" w:space="0" w:color="auto"/>
        <w:right w:val="none" w:sz="0" w:space="0" w:color="auto"/>
      </w:divBdr>
    </w:div>
    <w:div w:id="1863275527">
      <w:marLeft w:val="0"/>
      <w:marRight w:val="0"/>
      <w:marTop w:val="0"/>
      <w:marBottom w:val="0"/>
      <w:divBdr>
        <w:top w:val="none" w:sz="0" w:space="0" w:color="auto"/>
        <w:left w:val="none" w:sz="0" w:space="0" w:color="auto"/>
        <w:bottom w:val="none" w:sz="0" w:space="0" w:color="auto"/>
        <w:right w:val="none" w:sz="0" w:space="0" w:color="auto"/>
      </w:divBdr>
    </w:div>
    <w:div w:id="1863275528">
      <w:marLeft w:val="0"/>
      <w:marRight w:val="0"/>
      <w:marTop w:val="0"/>
      <w:marBottom w:val="0"/>
      <w:divBdr>
        <w:top w:val="none" w:sz="0" w:space="0" w:color="auto"/>
        <w:left w:val="none" w:sz="0" w:space="0" w:color="auto"/>
        <w:bottom w:val="none" w:sz="0" w:space="0" w:color="auto"/>
        <w:right w:val="none" w:sz="0" w:space="0" w:color="auto"/>
      </w:divBdr>
    </w:div>
    <w:div w:id="1863275529">
      <w:marLeft w:val="0"/>
      <w:marRight w:val="0"/>
      <w:marTop w:val="0"/>
      <w:marBottom w:val="0"/>
      <w:divBdr>
        <w:top w:val="none" w:sz="0" w:space="0" w:color="auto"/>
        <w:left w:val="none" w:sz="0" w:space="0" w:color="auto"/>
        <w:bottom w:val="none" w:sz="0" w:space="0" w:color="auto"/>
        <w:right w:val="none" w:sz="0" w:space="0" w:color="auto"/>
      </w:divBdr>
    </w:div>
    <w:div w:id="1863275530">
      <w:marLeft w:val="0"/>
      <w:marRight w:val="0"/>
      <w:marTop w:val="0"/>
      <w:marBottom w:val="0"/>
      <w:divBdr>
        <w:top w:val="none" w:sz="0" w:space="0" w:color="auto"/>
        <w:left w:val="none" w:sz="0" w:space="0" w:color="auto"/>
        <w:bottom w:val="none" w:sz="0" w:space="0" w:color="auto"/>
        <w:right w:val="none" w:sz="0" w:space="0" w:color="auto"/>
      </w:divBdr>
    </w:div>
    <w:div w:id="1863275531">
      <w:marLeft w:val="0"/>
      <w:marRight w:val="0"/>
      <w:marTop w:val="0"/>
      <w:marBottom w:val="0"/>
      <w:divBdr>
        <w:top w:val="none" w:sz="0" w:space="0" w:color="auto"/>
        <w:left w:val="none" w:sz="0" w:space="0" w:color="auto"/>
        <w:bottom w:val="none" w:sz="0" w:space="0" w:color="auto"/>
        <w:right w:val="none" w:sz="0" w:space="0" w:color="auto"/>
      </w:divBdr>
    </w:div>
    <w:div w:id="1863275532">
      <w:marLeft w:val="0"/>
      <w:marRight w:val="0"/>
      <w:marTop w:val="0"/>
      <w:marBottom w:val="0"/>
      <w:divBdr>
        <w:top w:val="none" w:sz="0" w:space="0" w:color="auto"/>
        <w:left w:val="none" w:sz="0" w:space="0" w:color="auto"/>
        <w:bottom w:val="none" w:sz="0" w:space="0" w:color="auto"/>
        <w:right w:val="none" w:sz="0" w:space="0" w:color="auto"/>
      </w:divBdr>
    </w:div>
    <w:div w:id="186327553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406</TotalTime>
  <Pages>15</Pages>
  <Words>1284</Words>
  <Characters>7322</Characters>
  <Application>Microsoft Office Word</Application>
  <DocSecurity>0</DocSecurity>
  <Lines>61</Lines>
  <Paragraphs>17</Paragraphs>
  <ScaleCrop>false</ScaleCrop>
  <Company>TRT. Ltd. Co.</Company>
  <LinksUpToDate>false</LinksUpToDate>
  <CharactersWithSpaces>8589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郝婷婷</cp:lastModifiedBy>
  <cp:revision>206</cp:revision>
  <cp:lastPrinted>2007-07-19T00:46:00Z</cp:lastPrinted>
  <dcterms:created xsi:type="dcterms:W3CDTF">2012-11-21T04:46:00Z</dcterms:created>
  <dcterms:modified xsi:type="dcterms:W3CDTF">2020-10-26T02:44:00Z</dcterms:modified>
</cp:coreProperties>
</file>