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36"/>
          <w:szCs w:val="36"/>
        </w:rPr>
      </w:pP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交银施罗德创业板50指数型证券投资基金</w:t>
      </w: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2020年第3季度报告</w:t>
      </w:r>
    </w:p>
    <w:p w:rsidR="00A62673" w:rsidRPr="00977154" w:rsidRDefault="00A62673" w:rsidP="000020BB">
      <w:pPr>
        <w:spacing w:line="360" w:lineRule="auto"/>
        <w:jc w:val="center"/>
        <w:rPr>
          <w:rFonts w:ascii="宋体" w:hAnsi="宋体"/>
          <w:b/>
          <w:sz w:val="24"/>
        </w:rPr>
      </w:pPr>
      <w:r w:rsidRPr="00977154">
        <w:rPr>
          <w:rFonts w:ascii="宋体" w:hAnsi="宋体"/>
          <w:b/>
          <w:sz w:val="24"/>
        </w:rPr>
        <w:t>2020年9月30日</w:t>
      </w: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rPr>
          <w:rFonts w:ascii="宋体"/>
          <w:b/>
          <w:color w:val="000000"/>
          <w:sz w:val="24"/>
        </w:rPr>
      </w:pP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基金管理人：</w:t>
      </w:r>
      <w:r w:rsidRPr="00EC5CE0">
        <w:rPr>
          <w:rFonts w:ascii="宋体" w:hAnsi="宋体"/>
          <w:b/>
          <w:color w:val="000000"/>
          <w:sz w:val="24"/>
        </w:rPr>
        <w:t>交银施罗德基金管理有限公司</w:t>
      </w: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基金托管人：</w:t>
      </w:r>
      <w:r w:rsidRPr="00EC5CE0">
        <w:rPr>
          <w:rFonts w:ascii="宋体" w:hAnsi="宋体"/>
          <w:b/>
          <w:color w:val="000000"/>
          <w:sz w:val="24"/>
        </w:rPr>
        <w:t>招商银行股份有限公司</w:t>
      </w:r>
    </w:p>
    <w:p w:rsidR="00A62673" w:rsidRPr="00EC5CE0" w:rsidRDefault="00A62673" w:rsidP="005A2769">
      <w:pPr>
        <w:spacing w:line="360" w:lineRule="auto"/>
        <w:ind w:firstLineChars="900" w:firstLine="2168"/>
        <w:rPr>
          <w:rFonts w:ascii="宋体" w:hAnsi="宋体"/>
          <w:b/>
          <w:color w:val="000000"/>
          <w:sz w:val="24"/>
        </w:rPr>
        <w:sectPr w:rsidR="00A62673" w:rsidRPr="00EC5CE0" w:rsidSect="00230A66">
          <w:headerReference w:type="default" r:id="rId7"/>
          <w:footerReference w:type="default" r:id="rId8"/>
          <w:pgSz w:w="11926" w:h="15840"/>
          <w:pgMar w:top="1418" w:right="1418" w:bottom="851" w:left="1418" w:header="851" w:footer="992" w:gutter="0"/>
          <w:cols w:space="720"/>
          <w:noEndnote/>
        </w:sectPr>
      </w:pPr>
      <w:r w:rsidRPr="00EC5CE0">
        <w:rPr>
          <w:rFonts w:ascii="宋体" w:hAnsi="宋体" w:hint="eastAsia"/>
          <w:b/>
          <w:color w:val="000000"/>
          <w:sz w:val="24"/>
        </w:rPr>
        <w:t>报告送出日期：</w:t>
      </w:r>
      <w:r w:rsidRPr="00EC5CE0">
        <w:rPr>
          <w:rFonts w:ascii="宋体" w:hAnsi="宋体"/>
          <w:b/>
          <w:color w:val="000000"/>
          <w:sz w:val="24"/>
        </w:rPr>
        <w:t>二〇二〇年十月二十八日</w:t>
      </w:r>
    </w:p>
    <w:p w:rsidR="00A62673" w:rsidRPr="00EC5CE0" w:rsidRDefault="00A62673" w:rsidP="00F729DC">
      <w:pPr>
        <w:pStyle w:val="1"/>
        <w:spacing w:beforeLines="100" w:before="312" w:afterLines="100" w:after="312" w:line="360" w:lineRule="auto"/>
        <w:jc w:val="center"/>
        <w:rPr>
          <w:rFonts w:ascii="宋体" w:cs="Arial"/>
          <w:b w:val="0"/>
          <w:color w:val="000000"/>
          <w:kern w:val="0"/>
          <w:sz w:val="24"/>
          <w:szCs w:val="24"/>
        </w:rPr>
      </w:pPr>
      <w:r w:rsidRPr="00EC5CE0">
        <w:rPr>
          <w:rFonts w:ascii="宋体" w:hAnsi="宋体" w:cs="Arial" w:hint="eastAsia"/>
          <w:color w:val="000000"/>
          <w:kern w:val="0"/>
          <w:sz w:val="24"/>
          <w:szCs w:val="24"/>
        </w:rPr>
        <w:lastRenderedPageBreak/>
        <w:t>§</w:t>
      </w:r>
      <w:r w:rsidRPr="00EC5CE0">
        <w:rPr>
          <w:rFonts w:ascii="宋体" w:hAnsi="宋体" w:cs="Arial"/>
          <w:color w:val="000000"/>
          <w:kern w:val="0"/>
          <w:sz w:val="24"/>
          <w:szCs w:val="24"/>
        </w:rPr>
        <w:t xml:space="preserve">1  </w:t>
      </w:r>
      <w:r w:rsidRPr="00EC5CE0">
        <w:rPr>
          <w:rFonts w:ascii="宋体" w:hAnsi="宋体" w:cs="Arial" w:hint="eastAsia"/>
          <w:color w:val="000000"/>
          <w:kern w:val="0"/>
          <w:sz w:val="24"/>
          <w:szCs w:val="24"/>
        </w:rPr>
        <w:t>重要提示</w:t>
      </w:r>
    </w:p>
    <w:p w:rsidR="00A9050D" w:rsidRDefault="00896817">
      <w:pPr>
        <w:spacing w:line="360"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基金托管人招商银行股份有限公司根据本基金合同规定，于</w:t>
      </w:r>
      <w:r>
        <w:rPr>
          <w:color w:val="000000"/>
          <w:sz w:val="24"/>
        </w:rPr>
        <w:t>2020</w:t>
      </w:r>
      <w:r>
        <w:rPr>
          <w:color w:val="000000"/>
          <w:sz w:val="24"/>
        </w:rPr>
        <w:t>年</w:t>
      </w:r>
      <w:r>
        <w:rPr>
          <w:color w:val="000000"/>
          <w:sz w:val="24"/>
        </w:rPr>
        <w:t>10</w:t>
      </w:r>
      <w:r>
        <w:rPr>
          <w:color w:val="000000"/>
          <w:sz w:val="24"/>
        </w:rPr>
        <w:t>月</w:t>
      </w:r>
      <w:r>
        <w:rPr>
          <w:color w:val="000000"/>
          <w:sz w:val="24"/>
        </w:rPr>
        <w:t>27</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本报告中财务资料未经审计。</w:t>
      </w:r>
    </w:p>
    <w:p w:rsidR="00A62673" w:rsidRPr="00DC315B" w:rsidRDefault="00A62673" w:rsidP="00DC315B">
      <w:pPr>
        <w:spacing w:line="360" w:lineRule="auto"/>
        <w:ind w:firstLineChars="200" w:firstLine="480"/>
        <w:rPr>
          <w:color w:val="000000"/>
          <w:sz w:val="24"/>
        </w:rPr>
      </w:pPr>
      <w:r w:rsidRPr="00DC315B">
        <w:rPr>
          <w:color w:val="000000"/>
          <w:sz w:val="24"/>
        </w:rPr>
        <w:t>本报告期自</w:t>
      </w:r>
      <w:r w:rsidRPr="00DC315B">
        <w:rPr>
          <w:color w:val="000000"/>
          <w:sz w:val="24"/>
        </w:rPr>
        <w:t>2020</w:t>
      </w:r>
      <w:r w:rsidRPr="00DC315B">
        <w:rPr>
          <w:color w:val="000000"/>
          <w:sz w:val="24"/>
        </w:rPr>
        <w:t>年</w:t>
      </w:r>
      <w:r w:rsidRPr="00DC315B">
        <w:rPr>
          <w:color w:val="000000"/>
          <w:sz w:val="24"/>
        </w:rPr>
        <w:t>7</w:t>
      </w:r>
      <w:r w:rsidRPr="00DC315B">
        <w:rPr>
          <w:color w:val="000000"/>
          <w:sz w:val="24"/>
        </w:rPr>
        <w:t>月</w:t>
      </w:r>
      <w:r w:rsidRPr="00DC315B">
        <w:rPr>
          <w:color w:val="000000"/>
          <w:sz w:val="24"/>
        </w:rPr>
        <w:t>1</w:t>
      </w:r>
      <w:r w:rsidRPr="00DC315B">
        <w:rPr>
          <w:color w:val="000000"/>
          <w:sz w:val="24"/>
        </w:rPr>
        <w:t>日起至</w:t>
      </w:r>
      <w:r w:rsidRPr="00DC315B">
        <w:rPr>
          <w:color w:val="000000"/>
          <w:sz w:val="24"/>
        </w:rPr>
        <w:t>9</w:t>
      </w:r>
      <w:r w:rsidRPr="00DC315B">
        <w:rPr>
          <w:color w:val="000000"/>
          <w:sz w:val="24"/>
        </w:rPr>
        <w:t>月</w:t>
      </w:r>
      <w:r w:rsidRPr="00DC315B">
        <w:rPr>
          <w:color w:val="000000"/>
          <w:sz w:val="24"/>
        </w:rPr>
        <w:t>30</w:t>
      </w:r>
      <w:r w:rsidRPr="00DC315B">
        <w:rPr>
          <w:color w:val="000000"/>
          <w:sz w:val="24"/>
        </w:rPr>
        <w:t>日止。</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2  </w:t>
      </w:r>
      <w:r w:rsidRPr="00EC5CE0">
        <w:rPr>
          <w:rFonts w:ascii="宋体" w:hAnsi="宋体"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693"/>
      </w:tblGrid>
      <w:tr w:rsidR="00A62673" w:rsidRPr="00EC5CE0" w:rsidTr="005F23CA">
        <w:tc>
          <w:tcPr>
            <w:tcW w:w="2835" w:type="dxa"/>
          </w:tcPr>
          <w:p w:rsidR="00A62673" w:rsidRPr="00DC315B" w:rsidRDefault="00A62673" w:rsidP="00C21C43">
            <w:pPr>
              <w:adjustRightInd w:val="0"/>
              <w:spacing w:before="29" w:line="360" w:lineRule="auto"/>
              <w:ind w:left="17"/>
              <w:jc w:val="left"/>
              <w:rPr>
                <w:kern w:val="0"/>
                <w:sz w:val="24"/>
              </w:rPr>
            </w:pPr>
            <w:r w:rsidRPr="00DC315B">
              <w:rPr>
                <w:kern w:val="0"/>
                <w:sz w:val="24"/>
              </w:rPr>
              <w:t>基金简称</w:t>
            </w:r>
          </w:p>
        </w:tc>
        <w:tc>
          <w:tcPr>
            <w:tcW w:w="5387" w:type="dxa"/>
            <w:gridSpan w:val="2"/>
          </w:tcPr>
          <w:p w:rsidR="00A62673" w:rsidRPr="00DC315B" w:rsidRDefault="00A62673" w:rsidP="00C21C43">
            <w:pPr>
              <w:adjustRightInd w:val="0"/>
              <w:spacing w:before="29" w:line="360" w:lineRule="auto"/>
              <w:ind w:left="17"/>
              <w:jc w:val="left"/>
              <w:rPr>
                <w:color w:val="000000"/>
                <w:kern w:val="0"/>
                <w:sz w:val="24"/>
              </w:rPr>
            </w:pPr>
            <w:r w:rsidRPr="00DC315B">
              <w:rPr>
                <w:color w:val="000000"/>
                <w:kern w:val="0"/>
                <w:sz w:val="24"/>
              </w:rPr>
              <w:t>交银创业板</w:t>
            </w:r>
            <w:r w:rsidRPr="00DC315B">
              <w:rPr>
                <w:color w:val="000000"/>
                <w:kern w:val="0"/>
                <w:sz w:val="24"/>
              </w:rPr>
              <w:t>50</w:t>
            </w:r>
            <w:r w:rsidRPr="00DC315B">
              <w:rPr>
                <w:color w:val="000000"/>
                <w:kern w:val="0"/>
                <w:sz w:val="24"/>
              </w:rPr>
              <w:t>指数</w:t>
            </w:r>
          </w:p>
        </w:tc>
      </w:tr>
      <w:tr w:rsidR="00A62673" w:rsidRPr="00EC5CE0" w:rsidTr="005F23CA">
        <w:tc>
          <w:tcPr>
            <w:tcW w:w="2835" w:type="dxa"/>
          </w:tcPr>
          <w:p w:rsidR="00A62673" w:rsidRPr="00DC315B" w:rsidRDefault="00A62673">
            <w:pPr>
              <w:adjustRightInd w:val="0"/>
              <w:spacing w:before="29" w:line="360" w:lineRule="auto"/>
              <w:ind w:left="17"/>
              <w:jc w:val="left"/>
              <w:rPr>
                <w:kern w:val="0"/>
                <w:sz w:val="24"/>
              </w:rPr>
            </w:pPr>
            <w:r w:rsidRPr="00DC315B">
              <w:rPr>
                <w:kern w:val="0"/>
                <w:sz w:val="24"/>
              </w:rPr>
              <w:t>基金主代码</w:t>
            </w:r>
          </w:p>
        </w:tc>
        <w:tc>
          <w:tcPr>
            <w:tcW w:w="5387" w:type="dxa"/>
            <w:gridSpan w:val="2"/>
          </w:tcPr>
          <w:p w:rsidR="00A62673" w:rsidRPr="00DC315B" w:rsidRDefault="00A62673">
            <w:pPr>
              <w:adjustRightInd w:val="0"/>
              <w:spacing w:before="29" w:line="360" w:lineRule="auto"/>
              <w:ind w:left="17"/>
              <w:jc w:val="left"/>
              <w:rPr>
                <w:color w:val="000000"/>
                <w:kern w:val="0"/>
                <w:sz w:val="24"/>
              </w:rPr>
            </w:pPr>
            <w:r w:rsidRPr="00DC315B">
              <w:rPr>
                <w:color w:val="000000"/>
                <w:kern w:val="0"/>
                <w:sz w:val="24"/>
              </w:rPr>
              <w:t>007464</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基金运作方式</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契约型开放式</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基金合同生效日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2019</w:t>
            </w:r>
            <w:r w:rsidRPr="00DC315B">
              <w:rPr>
                <w:color w:val="000000"/>
                <w:kern w:val="0"/>
                <w:sz w:val="24"/>
              </w:rPr>
              <w:t>年</w:t>
            </w:r>
            <w:r w:rsidRPr="00DC315B">
              <w:rPr>
                <w:color w:val="000000"/>
                <w:kern w:val="0"/>
                <w:sz w:val="24"/>
              </w:rPr>
              <w:t>11</w:t>
            </w:r>
            <w:r w:rsidRPr="00DC315B">
              <w:rPr>
                <w:color w:val="000000"/>
                <w:kern w:val="0"/>
                <w:sz w:val="24"/>
              </w:rPr>
              <w:t>月</w:t>
            </w:r>
            <w:r w:rsidRPr="00DC315B">
              <w:rPr>
                <w:color w:val="000000"/>
                <w:kern w:val="0"/>
                <w:sz w:val="24"/>
              </w:rPr>
              <w:t>20</w:t>
            </w:r>
            <w:r w:rsidRPr="00DC315B">
              <w:rPr>
                <w:color w:val="000000"/>
                <w:kern w:val="0"/>
                <w:sz w:val="24"/>
              </w:rPr>
              <w:t>日</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报告期末基金份额总额</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724,081,352.46</w:t>
            </w:r>
            <w:r w:rsidRPr="00DC315B">
              <w:rPr>
                <w:color w:val="000000"/>
                <w:kern w:val="0"/>
                <w:sz w:val="24"/>
              </w:rPr>
              <w:t>份</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投资目标</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本基金采用指数化投资策略，紧密跟踪创业板</w:t>
            </w:r>
            <w:r w:rsidRPr="00DC315B">
              <w:rPr>
                <w:color w:val="000000"/>
                <w:kern w:val="0"/>
                <w:sz w:val="24"/>
              </w:rPr>
              <w:t>50</w:t>
            </w:r>
            <w:r w:rsidRPr="00DC315B">
              <w:rPr>
                <w:color w:val="000000"/>
                <w:kern w:val="0"/>
                <w:sz w:val="24"/>
              </w:rPr>
              <w:t>指数，追求跟踪偏离度与跟踪误差最小化。</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投资策略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w:t>
            </w:r>
            <w:r w:rsidRPr="00DC315B">
              <w:rPr>
                <w:color w:val="000000"/>
                <w:kern w:val="0"/>
                <w:sz w:val="24"/>
              </w:rPr>
              <w:lastRenderedPageBreak/>
              <w:t>组合进行优化，尽量降低跟踪误差。</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lastRenderedPageBreak/>
              <w:t>业绩比较基准</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创业板</w:t>
            </w:r>
            <w:r w:rsidRPr="00DC315B">
              <w:rPr>
                <w:color w:val="000000"/>
                <w:kern w:val="0"/>
                <w:sz w:val="24"/>
              </w:rPr>
              <w:t>50</w:t>
            </w:r>
            <w:r w:rsidRPr="00DC315B">
              <w:rPr>
                <w:color w:val="000000"/>
                <w:kern w:val="0"/>
                <w:sz w:val="24"/>
              </w:rPr>
              <w:t>指数收益率</w:t>
            </w:r>
            <w:r w:rsidRPr="00DC315B">
              <w:rPr>
                <w:color w:val="000000"/>
                <w:kern w:val="0"/>
                <w:sz w:val="24"/>
              </w:rPr>
              <w:t>×95%</w:t>
            </w:r>
            <w:r w:rsidRPr="00DC315B">
              <w:rPr>
                <w:color w:val="000000"/>
                <w:kern w:val="0"/>
                <w:sz w:val="24"/>
              </w:rPr>
              <w:t>＋人民币银行活期存款利率（税后）</w:t>
            </w:r>
            <w:r w:rsidRPr="00DC315B">
              <w:rPr>
                <w:color w:val="000000"/>
                <w:kern w:val="0"/>
                <w:sz w:val="24"/>
              </w:rPr>
              <w:t>×5%</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风险收益特征</w:t>
            </w:r>
          </w:p>
        </w:tc>
        <w:tc>
          <w:tcPr>
            <w:tcW w:w="5387" w:type="dxa"/>
            <w:gridSpan w:val="2"/>
          </w:tcPr>
          <w:p w:rsidR="00A9050D" w:rsidRDefault="00896817">
            <w:pPr>
              <w:adjustRightInd w:val="0"/>
              <w:spacing w:before="29" w:line="360" w:lineRule="auto"/>
              <w:ind w:left="17"/>
              <w:jc w:val="left"/>
              <w:rPr>
                <w:color w:val="000000"/>
                <w:sz w:val="24"/>
              </w:rPr>
            </w:pPr>
            <w:r>
              <w:rPr>
                <w:color w:val="000000"/>
                <w:kern w:val="0"/>
                <w:sz w:val="24"/>
              </w:rPr>
              <w:t>本基金是一只股票型基金，其预期风险和预期收益高于混合型基金、债券型基金和货币市场基金。</w:t>
            </w:r>
          </w:p>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本基金为指数型基金，主要采用组合复制策略及适当的替代性策略跟踪创业板</w:t>
            </w:r>
            <w:r w:rsidRPr="00DC315B">
              <w:rPr>
                <w:color w:val="000000"/>
                <w:kern w:val="0"/>
                <w:sz w:val="24"/>
              </w:rPr>
              <w:t>50</w:t>
            </w:r>
            <w:r w:rsidRPr="00DC315B">
              <w:rPr>
                <w:color w:val="000000"/>
                <w:kern w:val="0"/>
                <w:sz w:val="24"/>
              </w:rPr>
              <w:t>指数，具有与标的指数以及标的指数所代表的股票市场相似的风险收益特征。</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基金管理人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交银施罗德基金管理有限公司</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基金托管人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招商银行股份有限公司</w:t>
            </w:r>
          </w:p>
        </w:tc>
      </w:tr>
      <w:tr w:rsidR="002C4578" w:rsidRPr="00C30CFF" w:rsidTr="005F23CA">
        <w:tc>
          <w:tcPr>
            <w:tcW w:w="2835" w:type="dxa"/>
          </w:tcPr>
          <w:p w:rsidR="002C4578" w:rsidRPr="00C30CFF" w:rsidRDefault="002C4578" w:rsidP="00320C1E">
            <w:pPr>
              <w:adjustRightInd w:val="0"/>
              <w:spacing w:before="29" w:line="360" w:lineRule="auto"/>
              <w:ind w:left="17"/>
              <w:jc w:val="left"/>
              <w:rPr>
                <w:kern w:val="0"/>
                <w:sz w:val="24"/>
              </w:rPr>
            </w:pPr>
            <w:r w:rsidRPr="00C30CFF">
              <w:rPr>
                <w:color w:val="000000"/>
                <w:sz w:val="24"/>
              </w:rPr>
              <w:t>下属</w:t>
            </w:r>
            <w:r w:rsidR="00D70274">
              <w:rPr>
                <w:rFonts w:hint="eastAsia"/>
                <w:color w:val="000000"/>
                <w:sz w:val="24"/>
              </w:rPr>
              <w:t>两</w:t>
            </w:r>
            <w:r w:rsidRPr="00C30CFF">
              <w:rPr>
                <w:color w:val="000000"/>
                <w:sz w:val="24"/>
              </w:rPr>
              <w:t>级基金的基金简称</w:t>
            </w:r>
          </w:p>
        </w:tc>
        <w:tc>
          <w:tcPr>
            <w:tcW w:w="2694"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A</w:t>
            </w:r>
          </w:p>
        </w:tc>
        <w:tc>
          <w:tcPr>
            <w:tcW w:w="2693"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C</w:t>
            </w:r>
          </w:p>
        </w:tc>
      </w:tr>
      <w:tr w:rsidR="002C4578" w:rsidRPr="00C30CFF" w:rsidTr="005F23CA">
        <w:tc>
          <w:tcPr>
            <w:tcW w:w="2835" w:type="dxa"/>
          </w:tcPr>
          <w:p w:rsidR="002C4578" w:rsidRPr="00C30CFF" w:rsidRDefault="002C4578" w:rsidP="00320C1E">
            <w:pPr>
              <w:adjustRightInd w:val="0"/>
              <w:spacing w:before="29" w:line="360" w:lineRule="auto"/>
              <w:ind w:left="17"/>
              <w:jc w:val="left"/>
              <w:rPr>
                <w:color w:val="000000"/>
                <w:sz w:val="24"/>
              </w:rPr>
            </w:pPr>
            <w:r w:rsidRPr="00C30CFF">
              <w:rPr>
                <w:color w:val="000000"/>
                <w:sz w:val="24"/>
              </w:rPr>
              <w:t>下属</w:t>
            </w:r>
            <w:r w:rsidR="00D70274">
              <w:rPr>
                <w:rFonts w:hint="eastAsia"/>
                <w:color w:val="000000"/>
                <w:sz w:val="24"/>
              </w:rPr>
              <w:t>两</w:t>
            </w:r>
            <w:r w:rsidRPr="00C30CFF">
              <w:rPr>
                <w:color w:val="000000"/>
                <w:sz w:val="24"/>
              </w:rPr>
              <w:t>级基金的交易代码</w:t>
            </w:r>
          </w:p>
        </w:tc>
        <w:tc>
          <w:tcPr>
            <w:tcW w:w="2694" w:type="dxa"/>
            <w:vAlign w:val="center"/>
          </w:tcPr>
          <w:p w:rsidR="002C4578" w:rsidRPr="00C30CFF" w:rsidRDefault="002C4578" w:rsidP="00320C1E">
            <w:pPr>
              <w:jc w:val="left"/>
              <w:rPr>
                <w:color w:val="000000"/>
                <w:sz w:val="24"/>
              </w:rPr>
            </w:pPr>
            <w:r w:rsidRPr="00C30CFF">
              <w:rPr>
                <w:color w:val="000000"/>
                <w:sz w:val="24"/>
              </w:rPr>
              <w:t>007464</w:t>
            </w:r>
          </w:p>
        </w:tc>
        <w:tc>
          <w:tcPr>
            <w:tcW w:w="2693" w:type="dxa"/>
            <w:vAlign w:val="center"/>
          </w:tcPr>
          <w:p w:rsidR="002C4578" w:rsidRPr="00C30CFF" w:rsidRDefault="002C4578" w:rsidP="00320C1E">
            <w:pPr>
              <w:jc w:val="left"/>
              <w:rPr>
                <w:color w:val="000000"/>
                <w:sz w:val="24"/>
              </w:rPr>
            </w:pPr>
            <w:r w:rsidRPr="00C30CFF">
              <w:rPr>
                <w:color w:val="000000"/>
                <w:sz w:val="24"/>
              </w:rPr>
              <w:t>007465</w:t>
            </w:r>
          </w:p>
        </w:tc>
      </w:tr>
      <w:tr w:rsidR="002C4578" w:rsidRPr="00C30CFF" w:rsidTr="005F23CA">
        <w:tc>
          <w:tcPr>
            <w:tcW w:w="2835" w:type="dxa"/>
          </w:tcPr>
          <w:p w:rsidR="002C4578" w:rsidRPr="00C30CFF" w:rsidRDefault="002C4578" w:rsidP="00A869F6">
            <w:pPr>
              <w:adjustRightInd w:val="0"/>
              <w:spacing w:before="29" w:line="360" w:lineRule="auto"/>
              <w:ind w:left="17"/>
              <w:jc w:val="left"/>
              <w:rPr>
                <w:color w:val="000000"/>
                <w:sz w:val="24"/>
              </w:rPr>
            </w:pPr>
            <w:r w:rsidRPr="00C30CFF">
              <w:rPr>
                <w:color w:val="000000"/>
                <w:sz w:val="24"/>
              </w:rPr>
              <w:t>报告期末下属</w:t>
            </w:r>
            <w:r w:rsidR="00A869F6">
              <w:rPr>
                <w:rFonts w:hint="eastAsia"/>
                <w:color w:val="000000"/>
                <w:sz w:val="24"/>
              </w:rPr>
              <w:t>两级</w:t>
            </w:r>
            <w:r w:rsidRPr="00C30CFF">
              <w:rPr>
                <w:color w:val="000000"/>
                <w:sz w:val="24"/>
              </w:rPr>
              <w:t>基金的份额总额</w:t>
            </w:r>
          </w:p>
        </w:tc>
        <w:tc>
          <w:tcPr>
            <w:tcW w:w="2694" w:type="dxa"/>
            <w:vAlign w:val="center"/>
          </w:tcPr>
          <w:p w:rsidR="002C4578" w:rsidRPr="00C30CFF" w:rsidRDefault="002C4578" w:rsidP="00320C1E">
            <w:pPr>
              <w:jc w:val="left"/>
              <w:rPr>
                <w:sz w:val="24"/>
              </w:rPr>
            </w:pPr>
            <w:r w:rsidRPr="00C30CFF">
              <w:rPr>
                <w:sz w:val="24"/>
              </w:rPr>
              <w:t>471,004,227.64</w:t>
            </w:r>
            <w:r w:rsidRPr="00C30CFF">
              <w:rPr>
                <w:color w:val="000000"/>
                <w:kern w:val="0"/>
                <w:sz w:val="24"/>
              </w:rPr>
              <w:t>份</w:t>
            </w:r>
          </w:p>
        </w:tc>
        <w:tc>
          <w:tcPr>
            <w:tcW w:w="2693" w:type="dxa"/>
            <w:vAlign w:val="center"/>
          </w:tcPr>
          <w:p w:rsidR="002C4578" w:rsidRPr="00C30CFF" w:rsidRDefault="002C4578" w:rsidP="00320C1E">
            <w:pPr>
              <w:jc w:val="left"/>
              <w:rPr>
                <w:sz w:val="24"/>
              </w:rPr>
            </w:pPr>
            <w:r w:rsidRPr="00C30CFF">
              <w:rPr>
                <w:sz w:val="24"/>
              </w:rPr>
              <w:t>253,077,124.82</w:t>
            </w:r>
            <w:r w:rsidRPr="00C30CFF">
              <w:rPr>
                <w:color w:val="000000"/>
                <w:kern w:val="0"/>
                <w:sz w:val="24"/>
              </w:rPr>
              <w:t>份</w:t>
            </w:r>
          </w:p>
        </w:tc>
      </w:tr>
    </w:tbl>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3  </w:t>
      </w:r>
      <w:r w:rsidRPr="00EC5CE0">
        <w:rPr>
          <w:rFonts w:ascii="宋体" w:hAnsi="宋体" w:cs="Arial" w:hint="eastAsia"/>
          <w:color w:val="000000"/>
          <w:kern w:val="0"/>
          <w:sz w:val="24"/>
          <w:szCs w:val="24"/>
        </w:rPr>
        <w:t>主要财务指标和基金净值表现</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3.1 </w:t>
      </w:r>
      <w:r w:rsidRPr="00EC5CE0">
        <w:rPr>
          <w:rFonts w:ascii="宋体" w:hAnsi="宋体" w:cs="Arial" w:hint="eastAsia"/>
          <w:b/>
          <w:color w:val="000000"/>
          <w:kern w:val="0"/>
          <w:sz w:val="24"/>
        </w:rPr>
        <w:t>主要财务指标</w:t>
      </w:r>
    </w:p>
    <w:p w:rsidR="005F23CA" w:rsidRPr="00FA472B" w:rsidRDefault="005F23CA" w:rsidP="005F23CA">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5F23CA" w:rsidRPr="00FA472B" w:rsidTr="00320C1E">
        <w:tc>
          <w:tcPr>
            <w:tcW w:w="3402" w:type="dxa"/>
            <w:vMerge w:val="restart"/>
            <w:vAlign w:val="center"/>
          </w:tcPr>
          <w:p w:rsidR="005F23CA" w:rsidRPr="00FA472B" w:rsidRDefault="005F23CA" w:rsidP="00320C1E">
            <w:pPr>
              <w:adjustRightInd w:val="0"/>
              <w:spacing w:before="29" w:line="360" w:lineRule="auto"/>
              <w:ind w:left="17"/>
              <w:jc w:val="center"/>
              <w:rPr>
                <w:kern w:val="0"/>
                <w:sz w:val="24"/>
              </w:rPr>
            </w:pPr>
            <w:r w:rsidRPr="00FA472B">
              <w:rPr>
                <w:kern w:val="0"/>
                <w:sz w:val="24"/>
              </w:rPr>
              <w:t>主要财务指标</w:t>
            </w:r>
          </w:p>
        </w:tc>
        <w:tc>
          <w:tcPr>
            <w:tcW w:w="4962" w:type="dxa"/>
            <w:gridSpan w:val="2"/>
            <w:vAlign w:val="center"/>
          </w:tcPr>
          <w:p w:rsidR="005F23CA" w:rsidRPr="00FA472B" w:rsidRDefault="005F23CA" w:rsidP="00320C1E">
            <w:pPr>
              <w:adjustRightInd w:val="0"/>
              <w:spacing w:before="29" w:line="360" w:lineRule="auto"/>
              <w:ind w:left="17"/>
              <w:jc w:val="center"/>
              <w:rPr>
                <w:color w:val="000000"/>
                <w:sz w:val="24"/>
              </w:rPr>
            </w:pPr>
            <w:r w:rsidRPr="00FA472B">
              <w:rPr>
                <w:color w:val="000000"/>
                <w:sz w:val="24"/>
              </w:rPr>
              <w:t>报告期</w:t>
            </w:r>
          </w:p>
          <w:p w:rsidR="005F23CA" w:rsidRPr="00FA472B" w:rsidRDefault="005F23CA" w:rsidP="00320C1E">
            <w:pPr>
              <w:adjustRightInd w:val="0"/>
              <w:spacing w:before="29" w:line="360" w:lineRule="auto"/>
              <w:ind w:left="17"/>
              <w:jc w:val="center"/>
              <w:rPr>
                <w:color w:val="000000"/>
                <w:sz w:val="24"/>
              </w:rPr>
            </w:pPr>
            <w:r w:rsidRPr="00FA472B">
              <w:rPr>
                <w:color w:val="000000"/>
                <w:sz w:val="24"/>
              </w:rPr>
              <w:t>(2020</w:t>
            </w:r>
            <w:r w:rsidRPr="00FA472B">
              <w:rPr>
                <w:color w:val="000000"/>
                <w:sz w:val="24"/>
              </w:rPr>
              <w:t>年</w:t>
            </w:r>
            <w:r w:rsidRPr="00FA472B">
              <w:rPr>
                <w:color w:val="000000"/>
                <w:sz w:val="24"/>
              </w:rPr>
              <w:t>7</w:t>
            </w:r>
            <w:r w:rsidRPr="00FA472B">
              <w:rPr>
                <w:color w:val="000000"/>
                <w:sz w:val="24"/>
              </w:rPr>
              <w:t>月</w:t>
            </w:r>
            <w:r w:rsidRPr="00FA472B">
              <w:rPr>
                <w:color w:val="000000"/>
                <w:sz w:val="24"/>
              </w:rPr>
              <w:t>1</w:t>
            </w:r>
            <w:r w:rsidRPr="00FA472B">
              <w:rPr>
                <w:color w:val="000000"/>
                <w:sz w:val="24"/>
              </w:rPr>
              <w:t>日</w:t>
            </w:r>
            <w:r w:rsidRPr="00FA472B">
              <w:rPr>
                <w:color w:val="000000"/>
                <w:sz w:val="24"/>
              </w:rPr>
              <w:t>-2020</w:t>
            </w:r>
            <w:r w:rsidRPr="00FA472B">
              <w:rPr>
                <w:color w:val="000000"/>
                <w:sz w:val="24"/>
              </w:rPr>
              <w:t>年</w:t>
            </w:r>
            <w:r w:rsidRPr="00FA472B">
              <w:rPr>
                <w:color w:val="000000"/>
                <w:sz w:val="24"/>
              </w:rPr>
              <w:t>9</w:t>
            </w:r>
            <w:r w:rsidRPr="00FA472B">
              <w:rPr>
                <w:color w:val="000000"/>
                <w:sz w:val="24"/>
              </w:rPr>
              <w:t>月</w:t>
            </w:r>
            <w:r w:rsidRPr="00FA472B">
              <w:rPr>
                <w:color w:val="000000"/>
                <w:sz w:val="24"/>
              </w:rPr>
              <w:t>30</w:t>
            </w:r>
            <w:r w:rsidRPr="00FA472B">
              <w:rPr>
                <w:color w:val="000000"/>
                <w:sz w:val="24"/>
              </w:rPr>
              <w:t>日</w:t>
            </w:r>
            <w:r w:rsidRPr="00FA472B">
              <w:rPr>
                <w:color w:val="000000"/>
                <w:sz w:val="24"/>
              </w:rPr>
              <w:t>)</w:t>
            </w:r>
          </w:p>
        </w:tc>
      </w:tr>
      <w:tr w:rsidR="005F23CA" w:rsidRPr="00FA472B" w:rsidTr="00320C1E">
        <w:tc>
          <w:tcPr>
            <w:tcW w:w="3402" w:type="dxa"/>
            <w:vMerge/>
            <w:vAlign w:val="center"/>
          </w:tcPr>
          <w:p w:rsidR="005F23CA" w:rsidRPr="00FA472B" w:rsidRDefault="005F23CA" w:rsidP="00320C1E">
            <w:pPr>
              <w:adjustRightInd w:val="0"/>
              <w:spacing w:before="29" w:line="360" w:lineRule="auto"/>
              <w:ind w:left="17"/>
              <w:jc w:val="center"/>
              <w:rPr>
                <w:kern w:val="0"/>
                <w:sz w:val="24"/>
              </w:rPr>
            </w:pP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1.</w:t>
            </w:r>
            <w:r w:rsidRPr="00FA472B">
              <w:rPr>
                <w:kern w:val="0"/>
                <w:sz w:val="24"/>
              </w:rPr>
              <w:t>本期已实现收益</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10,901,931.85</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4,824,962.89</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2.</w:t>
            </w:r>
            <w:r w:rsidRPr="00FA472B">
              <w:rPr>
                <w:kern w:val="0"/>
                <w:sz w:val="24"/>
              </w:rPr>
              <w:t>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31,584,409.74</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5,092,194.76</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3.</w:t>
            </w:r>
            <w:r w:rsidRPr="00FA472B">
              <w:rPr>
                <w:kern w:val="0"/>
                <w:sz w:val="24"/>
              </w:rPr>
              <w:t>加权平均基金份额本期利润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0.0720</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0.0235</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4.</w:t>
            </w:r>
            <w:r w:rsidRPr="00FA472B">
              <w:rPr>
                <w:kern w:val="0"/>
                <w:sz w:val="24"/>
              </w:rPr>
              <w:t>期末基金资产净值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750,057,596.63</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401,672,730.84</w:t>
            </w:r>
          </w:p>
        </w:tc>
      </w:tr>
      <w:tr w:rsidR="005F23CA" w:rsidRPr="00FA472B" w:rsidTr="00320C1E">
        <w:trPr>
          <w:trHeight w:val="158"/>
        </w:trPr>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lastRenderedPageBreak/>
              <w:t>5.</w:t>
            </w:r>
            <w:r w:rsidRPr="00FA472B">
              <w:rPr>
                <w:kern w:val="0"/>
                <w:sz w:val="24"/>
              </w:rPr>
              <w:t>期末基金份额净值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1.5925</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1.5872</w:t>
            </w:r>
          </w:p>
        </w:tc>
      </w:tr>
    </w:tbl>
    <w:p w:rsidR="00A9050D" w:rsidRDefault="00896817">
      <w:pPr>
        <w:spacing w:line="360" w:lineRule="auto"/>
        <w:ind w:firstLineChars="200" w:firstLine="480"/>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r>
        <w:rPr>
          <w:color w:val="000000"/>
          <w:sz w:val="24"/>
        </w:rPr>
        <w:t xml:space="preserve">  </w:t>
      </w:r>
    </w:p>
    <w:p w:rsidR="00A62673" w:rsidRPr="00C1648E" w:rsidRDefault="005F23CA" w:rsidP="00C1648E">
      <w:pPr>
        <w:spacing w:line="360" w:lineRule="auto"/>
        <w:ind w:firstLineChars="200" w:firstLine="480"/>
        <w:rPr>
          <w:color w:val="000000"/>
          <w:sz w:val="24"/>
        </w:rPr>
      </w:pPr>
      <w:r w:rsidRPr="00C30CFF">
        <w:rPr>
          <w:color w:val="000000"/>
          <w:sz w:val="24"/>
        </w:rPr>
        <w:t>2</w:t>
      </w:r>
      <w:r w:rsidRPr="00C30CFF">
        <w:rPr>
          <w:color w:val="000000"/>
          <w:sz w:val="24"/>
        </w:rPr>
        <w:t>、本期已实现收益指基金本期利息收入、投资收益、其他收入（不含公允价值变动收益）扣除相关费用后的余额，本期利润为本期已实现收益加上本期公允价值变动收益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3.2 </w:t>
      </w:r>
      <w:r w:rsidRPr="00EC5CE0">
        <w:rPr>
          <w:rFonts w:ascii="宋体" w:hAnsi="宋体" w:cs="Arial" w:hint="eastAsia"/>
          <w:b/>
          <w:color w:val="000000"/>
          <w:kern w:val="0"/>
          <w:sz w:val="24"/>
        </w:rPr>
        <w:t>基金净值表现</w:t>
      </w:r>
    </w:p>
    <w:p w:rsidR="009B2EE9" w:rsidRPr="0078105B" w:rsidRDefault="009B2EE9" w:rsidP="009B2EE9">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3.2.1</w:t>
      </w:r>
      <w:r w:rsidRPr="0078105B">
        <w:rPr>
          <w:rFonts w:ascii="宋体" w:hAnsi="宋体" w:cs="Arial" w:hint="eastAsia"/>
          <w:b/>
          <w:color w:val="000000"/>
          <w:kern w:val="0"/>
          <w:sz w:val="24"/>
        </w:rPr>
        <w:t>本报告期基金份额净值增长率及其与同期业绩比较基准收益率的比较</w:t>
      </w:r>
    </w:p>
    <w:p w:rsidR="009B2EE9" w:rsidRPr="0078105B" w:rsidRDefault="009B2EE9" w:rsidP="009B2EE9">
      <w:pPr>
        <w:spacing w:line="360" w:lineRule="auto"/>
        <w:ind w:firstLineChars="150" w:firstLine="361"/>
        <w:rPr>
          <w:rFonts w:ascii="宋体"/>
          <w:b/>
          <w:sz w:val="24"/>
        </w:rPr>
      </w:pPr>
      <w:r w:rsidRPr="0078105B">
        <w:rPr>
          <w:rFonts w:ascii="宋体" w:hAnsi="宋体" w:cs="Arial"/>
          <w:b/>
          <w:color w:val="000000"/>
          <w:kern w:val="0"/>
          <w:sz w:val="24"/>
        </w:rPr>
        <w:t>交银创业板50指数A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A9050D">
        <w:trPr>
          <w:jc w:val="center"/>
        </w:trPr>
        <w:tc>
          <w:tcPr>
            <w:tcW w:w="1290" w:type="dxa"/>
            <w:vAlign w:val="center"/>
          </w:tcPr>
          <w:p w:rsidR="00A9050D" w:rsidRDefault="00896817">
            <w:pPr>
              <w:jc w:val="left"/>
            </w:pPr>
            <w:r>
              <w:rPr>
                <w:color w:val="000000"/>
                <w:sz w:val="24"/>
              </w:rPr>
              <w:t>过去三个月</w:t>
            </w:r>
          </w:p>
        </w:tc>
        <w:tc>
          <w:tcPr>
            <w:tcW w:w="1291" w:type="dxa"/>
            <w:vAlign w:val="center"/>
          </w:tcPr>
          <w:p w:rsidR="00A9050D" w:rsidRDefault="00896817">
            <w:pPr>
              <w:jc w:val="center"/>
            </w:pPr>
            <w:r>
              <w:rPr>
                <w:color w:val="000000"/>
                <w:sz w:val="24"/>
              </w:rPr>
              <w:t>9.50%</w:t>
            </w:r>
          </w:p>
        </w:tc>
        <w:tc>
          <w:tcPr>
            <w:tcW w:w="1291" w:type="dxa"/>
            <w:vAlign w:val="center"/>
          </w:tcPr>
          <w:p w:rsidR="00A9050D" w:rsidRDefault="00896817">
            <w:pPr>
              <w:jc w:val="center"/>
            </w:pPr>
            <w:r>
              <w:rPr>
                <w:color w:val="000000"/>
                <w:sz w:val="24"/>
              </w:rPr>
              <w:t>2.09%</w:t>
            </w:r>
          </w:p>
        </w:tc>
        <w:tc>
          <w:tcPr>
            <w:tcW w:w="1291" w:type="dxa"/>
            <w:vAlign w:val="center"/>
          </w:tcPr>
          <w:p w:rsidR="00A9050D" w:rsidRDefault="00896817">
            <w:pPr>
              <w:jc w:val="center"/>
            </w:pPr>
            <w:r>
              <w:rPr>
                <w:color w:val="000000"/>
                <w:sz w:val="24"/>
              </w:rPr>
              <w:t>9.40%</w:t>
            </w:r>
          </w:p>
        </w:tc>
        <w:tc>
          <w:tcPr>
            <w:tcW w:w="1291" w:type="dxa"/>
            <w:vAlign w:val="center"/>
          </w:tcPr>
          <w:p w:rsidR="00A9050D" w:rsidRDefault="00896817">
            <w:pPr>
              <w:jc w:val="center"/>
            </w:pPr>
            <w:r>
              <w:rPr>
                <w:color w:val="000000"/>
                <w:sz w:val="24"/>
              </w:rPr>
              <w:t>2.13%</w:t>
            </w:r>
          </w:p>
        </w:tc>
        <w:tc>
          <w:tcPr>
            <w:tcW w:w="1291" w:type="dxa"/>
            <w:vAlign w:val="center"/>
          </w:tcPr>
          <w:p w:rsidR="00A9050D" w:rsidRDefault="00896817">
            <w:pPr>
              <w:jc w:val="center"/>
            </w:pPr>
            <w:r>
              <w:rPr>
                <w:color w:val="000000"/>
                <w:sz w:val="24"/>
              </w:rPr>
              <w:t>0.10%</w:t>
            </w:r>
          </w:p>
        </w:tc>
        <w:tc>
          <w:tcPr>
            <w:tcW w:w="1291" w:type="dxa"/>
            <w:vAlign w:val="center"/>
          </w:tcPr>
          <w:p w:rsidR="00A9050D" w:rsidRDefault="00896817">
            <w:pPr>
              <w:jc w:val="center"/>
            </w:pPr>
            <w:r>
              <w:rPr>
                <w:color w:val="000000"/>
                <w:sz w:val="24"/>
              </w:rPr>
              <w:t>-0.04%</w:t>
            </w:r>
          </w:p>
        </w:tc>
      </w:tr>
      <w:tr w:rsidR="00A9050D">
        <w:trPr>
          <w:jc w:val="center"/>
        </w:trPr>
        <w:tc>
          <w:tcPr>
            <w:tcW w:w="1290" w:type="dxa"/>
            <w:vAlign w:val="center"/>
          </w:tcPr>
          <w:p w:rsidR="00A9050D" w:rsidRDefault="00896817">
            <w:pPr>
              <w:jc w:val="left"/>
            </w:pPr>
            <w:r>
              <w:rPr>
                <w:color w:val="000000"/>
                <w:sz w:val="24"/>
              </w:rPr>
              <w:t>过去六个月</w:t>
            </w:r>
          </w:p>
        </w:tc>
        <w:tc>
          <w:tcPr>
            <w:tcW w:w="1291" w:type="dxa"/>
            <w:vAlign w:val="center"/>
          </w:tcPr>
          <w:p w:rsidR="00A9050D" w:rsidRDefault="00896817">
            <w:pPr>
              <w:jc w:val="center"/>
            </w:pPr>
            <w:r>
              <w:rPr>
                <w:color w:val="000000"/>
                <w:sz w:val="24"/>
              </w:rPr>
              <w:t>46.57%</w:t>
            </w:r>
          </w:p>
        </w:tc>
        <w:tc>
          <w:tcPr>
            <w:tcW w:w="1291" w:type="dxa"/>
            <w:vAlign w:val="center"/>
          </w:tcPr>
          <w:p w:rsidR="00A9050D" w:rsidRDefault="00896817">
            <w:pPr>
              <w:jc w:val="center"/>
            </w:pPr>
            <w:r>
              <w:rPr>
                <w:color w:val="000000"/>
                <w:sz w:val="24"/>
              </w:rPr>
              <w:t>1.80%</w:t>
            </w:r>
          </w:p>
        </w:tc>
        <w:tc>
          <w:tcPr>
            <w:tcW w:w="1291" w:type="dxa"/>
            <w:vAlign w:val="center"/>
          </w:tcPr>
          <w:p w:rsidR="00A9050D" w:rsidRDefault="00896817">
            <w:pPr>
              <w:jc w:val="center"/>
            </w:pPr>
            <w:r>
              <w:rPr>
                <w:color w:val="000000"/>
                <w:sz w:val="24"/>
              </w:rPr>
              <w:t>46.36%</w:t>
            </w:r>
          </w:p>
        </w:tc>
        <w:tc>
          <w:tcPr>
            <w:tcW w:w="1291" w:type="dxa"/>
            <w:vAlign w:val="center"/>
          </w:tcPr>
          <w:p w:rsidR="00A9050D" w:rsidRDefault="00896817">
            <w:pPr>
              <w:jc w:val="center"/>
            </w:pPr>
            <w:r>
              <w:rPr>
                <w:color w:val="000000"/>
                <w:sz w:val="24"/>
              </w:rPr>
              <w:t>1.83%</w:t>
            </w:r>
          </w:p>
        </w:tc>
        <w:tc>
          <w:tcPr>
            <w:tcW w:w="1291" w:type="dxa"/>
            <w:vAlign w:val="center"/>
          </w:tcPr>
          <w:p w:rsidR="00A9050D" w:rsidRDefault="00896817">
            <w:pPr>
              <w:jc w:val="center"/>
            </w:pPr>
            <w:r>
              <w:rPr>
                <w:color w:val="000000"/>
                <w:sz w:val="24"/>
              </w:rPr>
              <w:t>0.21%</w:t>
            </w:r>
          </w:p>
        </w:tc>
        <w:tc>
          <w:tcPr>
            <w:tcW w:w="1291" w:type="dxa"/>
            <w:vAlign w:val="center"/>
          </w:tcPr>
          <w:p w:rsidR="00A9050D" w:rsidRDefault="00896817">
            <w:pPr>
              <w:jc w:val="center"/>
            </w:pPr>
            <w:r>
              <w:rPr>
                <w:color w:val="000000"/>
                <w:sz w:val="24"/>
              </w:rPr>
              <w:t>-0.03%</w:t>
            </w:r>
          </w:p>
        </w:tc>
      </w:tr>
      <w:tr w:rsidR="00A9050D">
        <w:trPr>
          <w:jc w:val="center"/>
        </w:trPr>
        <w:tc>
          <w:tcPr>
            <w:tcW w:w="1290" w:type="dxa"/>
            <w:vAlign w:val="center"/>
          </w:tcPr>
          <w:p w:rsidR="00A9050D" w:rsidRDefault="00896817">
            <w:pPr>
              <w:jc w:val="left"/>
            </w:pPr>
            <w:r>
              <w:rPr>
                <w:color w:val="000000"/>
                <w:sz w:val="24"/>
              </w:rPr>
              <w:t>自基金合同生效至今</w:t>
            </w:r>
          </w:p>
        </w:tc>
        <w:tc>
          <w:tcPr>
            <w:tcW w:w="1291" w:type="dxa"/>
            <w:vAlign w:val="center"/>
          </w:tcPr>
          <w:p w:rsidR="00A9050D" w:rsidRDefault="00896817">
            <w:pPr>
              <w:jc w:val="center"/>
            </w:pPr>
            <w:r>
              <w:rPr>
                <w:color w:val="000000"/>
                <w:sz w:val="24"/>
              </w:rPr>
              <w:t>59.25%</w:t>
            </w:r>
          </w:p>
        </w:tc>
        <w:tc>
          <w:tcPr>
            <w:tcW w:w="1291" w:type="dxa"/>
            <w:vAlign w:val="center"/>
          </w:tcPr>
          <w:p w:rsidR="00A9050D" w:rsidRDefault="00896817">
            <w:pPr>
              <w:jc w:val="center"/>
            </w:pPr>
            <w:r>
              <w:rPr>
                <w:color w:val="000000"/>
                <w:sz w:val="24"/>
              </w:rPr>
              <w:t>1.92%</w:t>
            </w:r>
          </w:p>
        </w:tc>
        <w:tc>
          <w:tcPr>
            <w:tcW w:w="1291" w:type="dxa"/>
            <w:vAlign w:val="center"/>
          </w:tcPr>
          <w:p w:rsidR="00A9050D" w:rsidRDefault="00896817">
            <w:pPr>
              <w:jc w:val="center"/>
            </w:pPr>
            <w:r>
              <w:rPr>
                <w:color w:val="000000"/>
                <w:sz w:val="24"/>
              </w:rPr>
              <w:t>62.91%</w:t>
            </w:r>
          </w:p>
        </w:tc>
        <w:tc>
          <w:tcPr>
            <w:tcW w:w="1291" w:type="dxa"/>
            <w:vAlign w:val="center"/>
          </w:tcPr>
          <w:p w:rsidR="00A9050D" w:rsidRDefault="00896817">
            <w:pPr>
              <w:jc w:val="center"/>
            </w:pPr>
            <w:r>
              <w:rPr>
                <w:color w:val="000000"/>
                <w:sz w:val="24"/>
              </w:rPr>
              <w:t>1.97%</w:t>
            </w:r>
          </w:p>
        </w:tc>
        <w:tc>
          <w:tcPr>
            <w:tcW w:w="1291" w:type="dxa"/>
            <w:vAlign w:val="center"/>
          </w:tcPr>
          <w:p w:rsidR="00A9050D" w:rsidRDefault="00896817">
            <w:pPr>
              <w:jc w:val="center"/>
            </w:pPr>
            <w:r>
              <w:rPr>
                <w:color w:val="000000"/>
                <w:sz w:val="24"/>
              </w:rPr>
              <w:t>-3.66%</w:t>
            </w:r>
          </w:p>
        </w:tc>
        <w:tc>
          <w:tcPr>
            <w:tcW w:w="1291" w:type="dxa"/>
            <w:vAlign w:val="center"/>
          </w:tcPr>
          <w:p w:rsidR="00A9050D" w:rsidRDefault="00896817">
            <w:pPr>
              <w:jc w:val="center"/>
            </w:pPr>
            <w:r>
              <w:rPr>
                <w:color w:val="000000"/>
                <w:sz w:val="24"/>
              </w:rPr>
              <w:t>-0.05%</w:t>
            </w:r>
          </w:p>
        </w:tc>
      </w:tr>
    </w:tbl>
    <w:p w:rsidR="009B2EE9" w:rsidRPr="0078105B" w:rsidRDefault="009B2EE9" w:rsidP="009B2EE9">
      <w:pPr>
        <w:adjustRightInd w:val="0"/>
        <w:spacing w:line="360" w:lineRule="auto"/>
        <w:ind w:firstLineChars="150" w:firstLine="361"/>
        <w:rPr>
          <w:rFonts w:ascii="宋体" w:cs="Arial"/>
          <w:b/>
          <w:color w:val="000000"/>
          <w:kern w:val="0"/>
          <w:sz w:val="24"/>
        </w:rPr>
      </w:pPr>
      <w:r w:rsidRPr="0078105B">
        <w:rPr>
          <w:rFonts w:ascii="宋体" w:hAnsi="宋体" w:cs="Arial"/>
          <w:b/>
          <w:color w:val="000000"/>
          <w:kern w:val="0"/>
          <w:sz w:val="24"/>
        </w:rPr>
        <w:t>交银创业板50指数C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A9050D">
        <w:trPr>
          <w:jc w:val="center"/>
        </w:trPr>
        <w:tc>
          <w:tcPr>
            <w:tcW w:w="1290" w:type="dxa"/>
            <w:vAlign w:val="center"/>
          </w:tcPr>
          <w:p w:rsidR="00A9050D" w:rsidRDefault="00896817">
            <w:pPr>
              <w:jc w:val="left"/>
            </w:pPr>
            <w:r>
              <w:rPr>
                <w:color w:val="000000"/>
                <w:sz w:val="24"/>
              </w:rPr>
              <w:t>过去三个月</w:t>
            </w:r>
          </w:p>
        </w:tc>
        <w:tc>
          <w:tcPr>
            <w:tcW w:w="1291" w:type="dxa"/>
            <w:vAlign w:val="center"/>
          </w:tcPr>
          <w:p w:rsidR="00A9050D" w:rsidRDefault="00896817">
            <w:pPr>
              <w:jc w:val="center"/>
            </w:pPr>
            <w:r>
              <w:rPr>
                <w:color w:val="000000"/>
                <w:sz w:val="24"/>
              </w:rPr>
              <w:t>9.39%</w:t>
            </w:r>
          </w:p>
        </w:tc>
        <w:tc>
          <w:tcPr>
            <w:tcW w:w="1291" w:type="dxa"/>
            <w:vAlign w:val="center"/>
          </w:tcPr>
          <w:p w:rsidR="00A9050D" w:rsidRDefault="00896817">
            <w:pPr>
              <w:jc w:val="center"/>
            </w:pPr>
            <w:r>
              <w:rPr>
                <w:color w:val="000000"/>
                <w:sz w:val="24"/>
              </w:rPr>
              <w:t>2.09%</w:t>
            </w:r>
          </w:p>
        </w:tc>
        <w:tc>
          <w:tcPr>
            <w:tcW w:w="1291" w:type="dxa"/>
            <w:vAlign w:val="center"/>
          </w:tcPr>
          <w:p w:rsidR="00A9050D" w:rsidRDefault="00896817">
            <w:pPr>
              <w:jc w:val="center"/>
            </w:pPr>
            <w:r>
              <w:rPr>
                <w:color w:val="000000"/>
                <w:sz w:val="24"/>
              </w:rPr>
              <w:t>9.40%</w:t>
            </w:r>
          </w:p>
        </w:tc>
        <w:tc>
          <w:tcPr>
            <w:tcW w:w="1291" w:type="dxa"/>
            <w:vAlign w:val="center"/>
          </w:tcPr>
          <w:p w:rsidR="00A9050D" w:rsidRDefault="00896817">
            <w:pPr>
              <w:jc w:val="center"/>
            </w:pPr>
            <w:r>
              <w:rPr>
                <w:color w:val="000000"/>
                <w:sz w:val="24"/>
              </w:rPr>
              <w:t>2.13%</w:t>
            </w:r>
          </w:p>
        </w:tc>
        <w:tc>
          <w:tcPr>
            <w:tcW w:w="1291" w:type="dxa"/>
            <w:vAlign w:val="center"/>
          </w:tcPr>
          <w:p w:rsidR="00A9050D" w:rsidRDefault="00896817">
            <w:pPr>
              <w:jc w:val="center"/>
            </w:pPr>
            <w:r>
              <w:rPr>
                <w:color w:val="000000"/>
                <w:sz w:val="24"/>
              </w:rPr>
              <w:t>-0.01%</w:t>
            </w:r>
          </w:p>
        </w:tc>
        <w:tc>
          <w:tcPr>
            <w:tcW w:w="1291" w:type="dxa"/>
            <w:vAlign w:val="center"/>
          </w:tcPr>
          <w:p w:rsidR="00A9050D" w:rsidRDefault="00896817">
            <w:pPr>
              <w:jc w:val="center"/>
            </w:pPr>
            <w:r>
              <w:rPr>
                <w:color w:val="000000"/>
                <w:sz w:val="24"/>
              </w:rPr>
              <w:t>-0.04%</w:t>
            </w:r>
          </w:p>
        </w:tc>
      </w:tr>
      <w:tr w:rsidR="00A9050D">
        <w:trPr>
          <w:jc w:val="center"/>
        </w:trPr>
        <w:tc>
          <w:tcPr>
            <w:tcW w:w="1290" w:type="dxa"/>
            <w:vAlign w:val="center"/>
          </w:tcPr>
          <w:p w:rsidR="00A9050D" w:rsidRDefault="00896817">
            <w:pPr>
              <w:jc w:val="left"/>
            </w:pPr>
            <w:r>
              <w:rPr>
                <w:color w:val="000000"/>
                <w:sz w:val="24"/>
              </w:rPr>
              <w:t>过去六个月</w:t>
            </w:r>
          </w:p>
        </w:tc>
        <w:tc>
          <w:tcPr>
            <w:tcW w:w="1291" w:type="dxa"/>
            <w:vAlign w:val="center"/>
          </w:tcPr>
          <w:p w:rsidR="00A9050D" w:rsidRDefault="00896817">
            <w:pPr>
              <w:jc w:val="center"/>
            </w:pPr>
            <w:r>
              <w:rPr>
                <w:color w:val="000000"/>
                <w:sz w:val="24"/>
              </w:rPr>
              <w:t>46.29%</w:t>
            </w:r>
          </w:p>
        </w:tc>
        <w:tc>
          <w:tcPr>
            <w:tcW w:w="1291" w:type="dxa"/>
            <w:vAlign w:val="center"/>
          </w:tcPr>
          <w:p w:rsidR="00A9050D" w:rsidRDefault="00896817">
            <w:pPr>
              <w:jc w:val="center"/>
            </w:pPr>
            <w:r>
              <w:rPr>
                <w:color w:val="000000"/>
                <w:sz w:val="24"/>
              </w:rPr>
              <w:t>1.80%</w:t>
            </w:r>
          </w:p>
        </w:tc>
        <w:tc>
          <w:tcPr>
            <w:tcW w:w="1291" w:type="dxa"/>
            <w:vAlign w:val="center"/>
          </w:tcPr>
          <w:p w:rsidR="00A9050D" w:rsidRDefault="00896817">
            <w:pPr>
              <w:jc w:val="center"/>
            </w:pPr>
            <w:r>
              <w:rPr>
                <w:color w:val="000000"/>
                <w:sz w:val="24"/>
              </w:rPr>
              <w:t>46.36%</w:t>
            </w:r>
          </w:p>
        </w:tc>
        <w:tc>
          <w:tcPr>
            <w:tcW w:w="1291" w:type="dxa"/>
            <w:vAlign w:val="center"/>
          </w:tcPr>
          <w:p w:rsidR="00A9050D" w:rsidRDefault="00896817">
            <w:pPr>
              <w:jc w:val="center"/>
            </w:pPr>
            <w:r>
              <w:rPr>
                <w:color w:val="000000"/>
                <w:sz w:val="24"/>
              </w:rPr>
              <w:t>1.83%</w:t>
            </w:r>
          </w:p>
        </w:tc>
        <w:tc>
          <w:tcPr>
            <w:tcW w:w="1291" w:type="dxa"/>
            <w:vAlign w:val="center"/>
          </w:tcPr>
          <w:p w:rsidR="00A9050D" w:rsidRDefault="00896817">
            <w:pPr>
              <w:jc w:val="center"/>
            </w:pPr>
            <w:r>
              <w:rPr>
                <w:color w:val="000000"/>
                <w:sz w:val="24"/>
              </w:rPr>
              <w:t>-0.07%</w:t>
            </w:r>
          </w:p>
        </w:tc>
        <w:tc>
          <w:tcPr>
            <w:tcW w:w="1291" w:type="dxa"/>
            <w:vAlign w:val="center"/>
          </w:tcPr>
          <w:p w:rsidR="00A9050D" w:rsidRDefault="00896817">
            <w:pPr>
              <w:jc w:val="center"/>
            </w:pPr>
            <w:r>
              <w:rPr>
                <w:color w:val="000000"/>
                <w:sz w:val="24"/>
              </w:rPr>
              <w:t>-0.03%</w:t>
            </w:r>
          </w:p>
        </w:tc>
      </w:tr>
      <w:tr w:rsidR="00A9050D">
        <w:trPr>
          <w:jc w:val="center"/>
        </w:trPr>
        <w:tc>
          <w:tcPr>
            <w:tcW w:w="1290" w:type="dxa"/>
            <w:vAlign w:val="center"/>
          </w:tcPr>
          <w:p w:rsidR="00A9050D" w:rsidRDefault="00896817">
            <w:pPr>
              <w:jc w:val="left"/>
            </w:pPr>
            <w:r>
              <w:rPr>
                <w:color w:val="000000"/>
                <w:sz w:val="24"/>
              </w:rPr>
              <w:t>自基金合同生效至今</w:t>
            </w:r>
          </w:p>
        </w:tc>
        <w:tc>
          <w:tcPr>
            <w:tcW w:w="1291" w:type="dxa"/>
            <w:vAlign w:val="center"/>
          </w:tcPr>
          <w:p w:rsidR="00A9050D" w:rsidRDefault="00896817">
            <w:pPr>
              <w:jc w:val="center"/>
            </w:pPr>
            <w:r>
              <w:rPr>
                <w:color w:val="000000"/>
                <w:sz w:val="24"/>
              </w:rPr>
              <w:t>58.72%</w:t>
            </w:r>
          </w:p>
        </w:tc>
        <w:tc>
          <w:tcPr>
            <w:tcW w:w="1291" w:type="dxa"/>
            <w:vAlign w:val="center"/>
          </w:tcPr>
          <w:p w:rsidR="00A9050D" w:rsidRDefault="00896817">
            <w:pPr>
              <w:jc w:val="center"/>
            </w:pPr>
            <w:r>
              <w:rPr>
                <w:color w:val="000000"/>
                <w:sz w:val="24"/>
              </w:rPr>
              <w:t>1.92%</w:t>
            </w:r>
          </w:p>
        </w:tc>
        <w:tc>
          <w:tcPr>
            <w:tcW w:w="1291" w:type="dxa"/>
            <w:vAlign w:val="center"/>
          </w:tcPr>
          <w:p w:rsidR="00A9050D" w:rsidRDefault="00896817">
            <w:pPr>
              <w:jc w:val="center"/>
            </w:pPr>
            <w:r>
              <w:rPr>
                <w:color w:val="000000"/>
                <w:sz w:val="24"/>
              </w:rPr>
              <w:t>62.91%</w:t>
            </w:r>
          </w:p>
        </w:tc>
        <w:tc>
          <w:tcPr>
            <w:tcW w:w="1291" w:type="dxa"/>
            <w:vAlign w:val="center"/>
          </w:tcPr>
          <w:p w:rsidR="00A9050D" w:rsidRDefault="00896817">
            <w:pPr>
              <w:jc w:val="center"/>
            </w:pPr>
            <w:r>
              <w:rPr>
                <w:color w:val="000000"/>
                <w:sz w:val="24"/>
              </w:rPr>
              <w:t>1.97%</w:t>
            </w:r>
          </w:p>
        </w:tc>
        <w:tc>
          <w:tcPr>
            <w:tcW w:w="1291" w:type="dxa"/>
            <w:vAlign w:val="center"/>
          </w:tcPr>
          <w:p w:rsidR="00A9050D" w:rsidRDefault="00896817">
            <w:pPr>
              <w:jc w:val="center"/>
            </w:pPr>
            <w:r>
              <w:rPr>
                <w:color w:val="000000"/>
                <w:sz w:val="24"/>
              </w:rPr>
              <w:t>-4.19%</w:t>
            </w:r>
          </w:p>
        </w:tc>
        <w:tc>
          <w:tcPr>
            <w:tcW w:w="1291" w:type="dxa"/>
            <w:vAlign w:val="center"/>
          </w:tcPr>
          <w:p w:rsidR="00A9050D" w:rsidRDefault="00896817">
            <w:pPr>
              <w:jc w:val="center"/>
            </w:pPr>
            <w:r>
              <w:rPr>
                <w:color w:val="000000"/>
                <w:sz w:val="24"/>
              </w:rPr>
              <w:t>-0.05%</w:t>
            </w:r>
          </w:p>
        </w:tc>
      </w:tr>
    </w:tbl>
    <w:p w:rsidR="009B2EE9" w:rsidRPr="0078105B" w:rsidRDefault="009B2EE9" w:rsidP="009B2EE9">
      <w:pPr>
        <w:spacing w:line="360" w:lineRule="auto"/>
        <w:rPr>
          <w:rFonts w:ascii="宋体" w:cs="Arial"/>
          <w:b/>
          <w:color w:val="000000"/>
          <w:kern w:val="0"/>
          <w:sz w:val="24"/>
        </w:rPr>
      </w:pPr>
      <w:r w:rsidRPr="0078105B">
        <w:rPr>
          <w:rFonts w:ascii="宋体" w:hAnsi="宋体" w:cs="Arial"/>
          <w:b/>
          <w:color w:val="000000"/>
          <w:kern w:val="0"/>
          <w:sz w:val="24"/>
        </w:rPr>
        <w:t>3.2.2</w:t>
      </w:r>
      <w:r w:rsidRPr="0078105B">
        <w:rPr>
          <w:rFonts w:ascii="宋体" w:hAnsi="宋体" w:cs="Arial" w:hint="eastAsia"/>
          <w:b/>
          <w:color w:val="000000"/>
          <w:kern w:val="0"/>
          <w:sz w:val="24"/>
        </w:rPr>
        <w:t xml:space="preserve">　</w:t>
      </w:r>
      <w:r w:rsidRPr="00370BEA">
        <w:rPr>
          <w:rStyle w:val="af8"/>
          <w:rFonts w:hint="eastAsia"/>
          <w:color w:val="000000"/>
          <w:sz w:val="24"/>
          <w:shd w:val="clear" w:color="auto" w:fill="FFFFFF"/>
        </w:rPr>
        <w:t>自基金合同生效以来</w:t>
      </w:r>
      <w:r w:rsidRPr="0078105B">
        <w:rPr>
          <w:rFonts w:ascii="宋体" w:hAnsi="宋体" w:hint="eastAsia"/>
          <w:b/>
          <w:color w:val="000000"/>
          <w:sz w:val="24"/>
        </w:rPr>
        <w:t>基金</w:t>
      </w:r>
      <w:r w:rsidR="00E72A13">
        <w:rPr>
          <w:rFonts w:ascii="宋体" w:hAnsi="宋体" w:hint="eastAsia"/>
          <w:b/>
          <w:color w:val="000000"/>
          <w:sz w:val="24"/>
        </w:rPr>
        <w:t>份额</w:t>
      </w:r>
      <w:r w:rsidRPr="0078105B">
        <w:rPr>
          <w:rFonts w:ascii="宋体" w:hAnsi="宋体" w:hint="eastAsia"/>
          <w:b/>
          <w:color w:val="000000"/>
          <w:sz w:val="24"/>
        </w:rPr>
        <w:t>累计净值增长率变动及其与同期业绩比较基准收益率变动的比较</w:t>
      </w:r>
    </w:p>
    <w:p w:rsidR="009B2EE9" w:rsidRPr="00FA472B" w:rsidRDefault="009B2EE9" w:rsidP="009B2EE9">
      <w:pPr>
        <w:spacing w:line="360" w:lineRule="auto"/>
        <w:jc w:val="center"/>
        <w:rPr>
          <w:color w:val="000000"/>
          <w:sz w:val="24"/>
        </w:rPr>
      </w:pPr>
      <w:r w:rsidRPr="00FA472B">
        <w:rPr>
          <w:color w:val="000000"/>
          <w:sz w:val="24"/>
        </w:rPr>
        <w:t>交银施罗德创业板</w:t>
      </w:r>
      <w:r w:rsidRPr="00FA472B">
        <w:rPr>
          <w:color w:val="000000"/>
          <w:sz w:val="24"/>
        </w:rPr>
        <w:t>50</w:t>
      </w:r>
      <w:r w:rsidRPr="00FA472B">
        <w:rPr>
          <w:color w:val="000000"/>
          <w:sz w:val="24"/>
        </w:rPr>
        <w:t>指数型证券投资基金</w:t>
      </w:r>
    </w:p>
    <w:p w:rsidR="009B2EE9" w:rsidRPr="00FA472B" w:rsidRDefault="009B2EE9" w:rsidP="009B2EE9">
      <w:pPr>
        <w:pStyle w:val="a5"/>
        <w:snapToGrid w:val="0"/>
        <w:spacing w:line="360" w:lineRule="auto"/>
        <w:jc w:val="center"/>
        <w:rPr>
          <w:rFonts w:ascii="Times New Roman" w:hAnsi="Times New Roman"/>
          <w:color w:val="000000"/>
          <w:sz w:val="24"/>
          <w:szCs w:val="24"/>
        </w:rPr>
      </w:pPr>
      <w:r w:rsidRPr="00FA472B">
        <w:rPr>
          <w:rFonts w:ascii="Times New Roman" w:hAnsi="Times New Roman"/>
          <w:color w:val="000000"/>
          <w:sz w:val="24"/>
          <w:szCs w:val="24"/>
        </w:rPr>
        <w:t>累计净值增长率与业绩比较基准收益率的历史走势对比图</w:t>
      </w:r>
    </w:p>
    <w:p w:rsidR="009B2EE9" w:rsidRPr="00FA472B" w:rsidRDefault="009B2EE9" w:rsidP="009B2EE9">
      <w:pPr>
        <w:pStyle w:val="a5"/>
        <w:snapToGrid w:val="0"/>
        <w:spacing w:line="360" w:lineRule="auto"/>
        <w:ind w:firstLine="480"/>
        <w:jc w:val="center"/>
        <w:rPr>
          <w:rFonts w:ascii="Times New Roman" w:hAnsi="Times New Roman"/>
          <w:sz w:val="24"/>
          <w:szCs w:val="24"/>
        </w:rPr>
      </w:pPr>
      <w:r w:rsidRPr="00FA472B">
        <w:rPr>
          <w:rFonts w:ascii="Times New Roman" w:hAnsi="Times New Roman"/>
          <w:sz w:val="24"/>
          <w:szCs w:val="24"/>
        </w:rPr>
        <w:t>(2019</w:t>
      </w:r>
      <w:r w:rsidRPr="00FA472B">
        <w:rPr>
          <w:rFonts w:ascii="Times New Roman" w:hAnsi="Times New Roman"/>
          <w:sz w:val="24"/>
          <w:szCs w:val="24"/>
        </w:rPr>
        <w:t>年</w:t>
      </w:r>
      <w:r w:rsidRPr="00FA472B">
        <w:rPr>
          <w:rFonts w:ascii="Times New Roman" w:hAnsi="Times New Roman"/>
          <w:sz w:val="24"/>
          <w:szCs w:val="24"/>
        </w:rPr>
        <w:t>11</w:t>
      </w:r>
      <w:r w:rsidRPr="00FA472B">
        <w:rPr>
          <w:rFonts w:ascii="Times New Roman" w:hAnsi="Times New Roman"/>
          <w:sz w:val="24"/>
          <w:szCs w:val="24"/>
        </w:rPr>
        <w:t>月</w:t>
      </w:r>
      <w:r w:rsidRPr="00FA472B">
        <w:rPr>
          <w:rFonts w:ascii="Times New Roman" w:hAnsi="Times New Roman"/>
          <w:sz w:val="24"/>
          <w:szCs w:val="24"/>
        </w:rPr>
        <w:t>20</w:t>
      </w:r>
      <w:r w:rsidRPr="00FA472B">
        <w:rPr>
          <w:rFonts w:ascii="Times New Roman" w:hAnsi="Times New Roman"/>
          <w:sz w:val="24"/>
          <w:szCs w:val="24"/>
        </w:rPr>
        <w:t>日至</w:t>
      </w:r>
      <w:r w:rsidRPr="00FA472B">
        <w:rPr>
          <w:rFonts w:ascii="Times New Roman" w:hAnsi="Times New Roman"/>
          <w:sz w:val="24"/>
          <w:szCs w:val="24"/>
        </w:rPr>
        <w:t>2020</w:t>
      </w:r>
      <w:r w:rsidRPr="00FA472B">
        <w:rPr>
          <w:rFonts w:ascii="Times New Roman" w:hAnsi="Times New Roman"/>
          <w:sz w:val="24"/>
          <w:szCs w:val="24"/>
        </w:rPr>
        <w:t>年</w:t>
      </w:r>
      <w:r w:rsidRPr="00FA472B">
        <w:rPr>
          <w:rFonts w:ascii="Times New Roman" w:hAnsi="Times New Roman"/>
          <w:sz w:val="24"/>
          <w:szCs w:val="24"/>
        </w:rPr>
        <w:t>9</w:t>
      </w:r>
      <w:r w:rsidRPr="00FA472B">
        <w:rPr>
          <w:rFonts w:ascii="Times New Roman" w:hAnsi="Times New Roman"/>
          <w:sz w:val="24"/>
          <w:szCs w:val="24"/>
        </w:rPr>
        <w:t>月</w:t>
      </w:r>
      <w:r w:rsidRPr="00FA472B">
        <w:rPr>
          <w:rFonts w:ascii="Times New Roman" w:hAnsi="Times New Roman"/>
          <w:sz w:val="24"/>
          <w:szCs w:val="24"/>
        </w:rPr>
        <w:t>30</w:t>
      </w:r>
      <w:r w:rsidRPr="00FA472B">
        <w:rPr>
          <w:rFonts w:ascii="Times New Roman" w:hAnsi="Times New Roman"/>
          <w:sz w:val="24"/>
          <w:szCs w:val="24"/>
        </w:rPr>
        <w:t>日</w:t>
      </w:r>
      <w:r w:rsidRPr="00FA472B">
        <w:rPr>
          <w:rFonts w:ascii="Times New Roman" w:hAnsi="Times New Roman"/>
          <w:sz w:val="24"/>
          <w:szCs w:val="24"/>
        </w:rPr>
        <w:t>)</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A</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C30CFF" w:rsidRDefault="009B2EE9" w:rsidP="009B2EE9">
      <w:pPr>
        <w:spacing w:line="360" w:lineRule="auto"/>
        <w:ind w:firstLineChars="200" w:firstLine="480"/>
        <w:rPr>
          <w:color w:val="000000"/>
          <w:sz w:val="24"/>
        </w:rPr>
      </w:pPr>
      <w:r w:rsidRPr="00C30CFF">
        <w:rPr>
          <w:color w:val="000000"/>
          <w:sz w:val="24"/>
        </w:rPr>
        <w:t>注：本基金基金合同生效日为</w:t>
      </w:r>
      <w:r w:rsidRPr="00C30CFF">
        <w:rPr>
          <w:color w:val="000000"/>
          <w:sz w:val="24"/>
        </w:rPr>
        <w:t>2019</w:t>
      </w:r>
      <w:r w:rsidRPr="00C30CFF">
        <w:rPr>
          <w:color w:val="000000"/>
          <w:sz w:val="24"/>
        </w:rPr>
        <w:t>年</w:t>
      </w:r>
      <w:r w:rsidRPr="00C30CFF">
        <w:rPr>
          <w:color w:val="000000"/>
          <w:sz w:val="24"/>
        </w:rPr>
        <w:t>11</w:t>
      </w:r>
      <w:r w:rsidRPr="00C30CFF">
        <w:rPr>
          <w:color w:val="000000"/>
          <w:sz w:val="24"/>
        </w:rPr>
        <w:t>月</w:t>
      </w:r>
      <w:r w:rsidRPr="00C30CFF">
        <w:rPr>
          <w:color w:val="000000"/>
          <w:sz w:val="24"/>
        </w:rPr>
        <w:t>20</w:t>
      </w:r>
      <w:r w:rsidRPr="00C30CFF">
        <w:rPr>
          <w:color w:val="000000"/>
          <w:sz w:val="24"/>
        </w:rPr>
        <w:t>日，基金合同生效日至报告期期末，本基金运作时间未满一年。本基金建仓期为自基金合同生效日起的</w:t>
      </w:r>
      <w:r w:rsidRPr="00C30CFF">
        <w:rPr>
          <w:color w:val="000000"/>
          <w:sz w:val="24"/>
        </w:rPr>
        <w:t>6</w:t>
      </w:r>
      <w:r w:rsidRPr="00C30CFF">
        <w:rPr>
          <w:color w:val="000000"/>
          <w:sz w:val="24"/>
        </w:rPr>
        <w:t>个月。截至建仓期结束，本基金各项资产配置比例符合基金合同及招募说明书有关投资比例的约定。</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C</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DF18FE" w:rsidRDefault="009B2EE9" w:rsidP="009B2EE9">
      <w:pPr>
        <w:spacing w:line="360" w:lineRule="auto"/>
        <w:ind w:firstLineChars="200" w:firstLine="480"/>
        <w:rPr>
          <w:color w:val="000000"/>
          <w:sz w:val="24"/>
        </w:rPr>
      </w:pPr>
      <w:r w:rsidRPr="00DF18FE">
        <w:rPr>
          <w:color w:val="000000"/>
          <w:sz w:val="24"/>
        </w:rPr>
        <w:t>注：本基金基金合同生效日为</w:t>
      </w:r>
      <w:r w:rsidRPr="00DF18FE">
        <w:rPr>
          <w:color w:val="000000"/>
          <w:sz w:val="24"/>
        </w:rPr>
        <w:t>2019</w:t>
      </w:r>
      <w:r w:rsidRPr="00DF18FE">
        <w:rPr>
          <w:color w:val="000000"/>
          <w:sz w:val="24"/>
        </w:rPr>
        <w:t>年</w:t>
      </w:r>
      <w:r w:rsidRPr="00DF18FE">
        <w:rPr>
          <w:color w:val="000000"/>
          <w:sz w:val="24"/>
        </w:rPr>
        <w:t>11</w:t>
      </w:r>
      <w:r w:rsidRPr="00DF18FE">
        <w:rPr>
          <w:color w:val="000000"/>
          <w:sz w:val="24"/>
        </w:rPr>
        <w:t>月</w:t>
      </w:r>
      <w:r w:rsidRPr="00DF18FE">
        <w:rPr>
          <w:color w:val="000000"/>
          <w:sz w:val="24"/>
        </w:rPr>
        <w:t>20</w:t>
      </w:r>
      <w:r w:rsidRPr="00DF18FE">
        <w:rPr>
          <w:color w:val="000000"/>
          <w:sz w:val="24"/>
        </w:rPr>
        <w:t>日，基金合同生效日至报告期期末，本基金运作时间未满一年。本基金建仓期为自基金合同生效日起的</w:t>
      </w:r>
      <w:r w:rsidRPr="00DF18FE">
        <w:rPr>
          <w:color w:val="000000"/>
          <w:sz w:val="24"/>
        </w:rPr>
        <w:t>6</w:t>
      </w:r>
      <w:r w:rsidRPr="00DF18FE">
        <w:rPr>
          <w:color w:val="000000"/>
          <w:sz w:val="24"/>
        </w:rPr>
        <w:t>个月。截至建仓期结束，本基金各项资产配置比例符合基金合同及招募说明书有关投资比例的约定。</w:t>
      </w:r>
    </w:p>
    <w:p w:rsidR="00A62673" w:rsidRPr="00EC5CE0" w:rsidRDefault="00A62673" w:rsidP="009B2EE9">
      <w:pPr>
        <w:spacing w:line="360" w:lineRule="auto"/>
        <w:ind w:firstLineChars="200" w:firstLine="480"/>
        <w:rPr>
          <w:rFonts w:hAns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4  </w:t>
      </w:r>
      <w:r w:rsidRPr="00EC5CE0">
        <w:rPr>
          <w:rFonts w:ascii="宋体" w:hAnsi="宋体" w:cs="Arial" w:hint="eastAsia"/>
          <w:color w:val="000000"/>
          <w:kern w:val="0"/>
          <w:sz w:val="24"/>
          <w:szCs w:val="24"/>
        </w:rPr>
        <w:t>管理人报告</w:t>
      </w:r>
    </w:p>
    <w:p w:rsidR="007467A8" w:rsidRPr="0078105B" w:rsidRDefault="00A62673" w:rsidP="007467A8">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4.1 </w:t>
      </w:r>
      <w:r w:rsidRPr="00EC5CE0">
        <w:rPr>
          <w:rFonts w:ascii="宋体" w:hAnsi="宋体"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851"/>
        <w:gridCol w:w="850"/>
        <w:gridCol w:w="851"/>
        <w:gridCol w:w="2977"/>
      </w:tblGrid>
      <w:tr w:rsidR="007467A8" w:rsidRPr="0078105B" w:rsidTr="002C4578">
        <w:trPr>
          <w:cantSplit/>
        </w:trPr>
        <w:tc>
          <w:tcPr>
            <w:tcW w:w="56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7467A8" w:rsidRPr="0078105B" w:rsidTr="002C4578">
        <w:trPr>
          <w:cantSplit/>
        </w:trPr>
        <w:tc>
          <w:tcPr>
            <w:tcW w:w="56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835" w:type="dxa"/>
            <w:vMerge/>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851"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97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r>
      <w:tr w:rsidR="00A9050D">
        <w:tc>
          <w:tcPr>
            <w:tcW w:w="567" w:type="dxa"/>
            <w:vAlign w:val="center"/>
          </w:tcPr>
          <w:p w:rsidR="00A9050D" w:rsidRDefault="00896817">
            <w:pPr>
              <w:jc w:val="center"/>
            </w:pPr>
            <w:r>
              <w:rPr>
                <w:color w:val="000000"/>
                <w:sz w:val="24"/>
              </w:rPr>
              <w:t>蔡铮</w:t>
            </w:r>
          </w:p>
        </w:tc>
        <w:tc>
          <w:tcPr>
            <w:tcW w:w="2835" w:type="dxa"/>
            <w:vAlign w:val="center"/>
          </w:tcPr>
          <w:p w:rsidR="00A9050D" w:rsidRDefault="00896817">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）、交银创业板</w:t>
            </w:r>
            <w:r>
              <w:rPr>
                <w:color w:val="000000"/>
                <w:sz w:val="24"/>
              </w:rPr>
              <w:t>50</w:t>
            </w:r>
            <w:r>
              <w:rPr>
                <w:color w:val="000000"/>
                <w:sz w:val="24"/>
              </w:rPr>
              <w:t>指数的基金经理，公司量化投资副总监兼多元资产管理副总监</w:t>
            </w:r>
          </w:p>
        </w:tc>
        <w:tc>
          <w:tcPr>
            <w:tcW w:w="851" w:type="dxa"/>
            <w:vAlign w:val="center"/>
          </w:tcPr>
          <w:p w:rsidR="00A9050D" w:rsidRDefault="00896817">
            <w:pPr>
              <w:jc w:val="center"/>
            </w:pPr>
            <w:r>
              <w:rPr>
                <w:color w:val="000000"/>
                <w:sz w:val="24"/>
              </w:rPr>
              <w:t>2019-11-20</w:t>
            </w:r>
          </w:p>
        </w:tc>
        <w:tc>
          <w:tcPr>
            <w:tcW w:w="850" w:type="dxa"/>
            <w:vAlign w:val="center"/>
          </w:tcPr>
          <w:p w:rsidR="00A9050D" w:rsidRDefault="00896817">
            <w:pPr>
              <w:jc w:val="center"/>
            </w:pPr>
            <w:r>
              <w:rPr>
                <w:color w:val="000000"/>
                <w:sz w:val="24"/>
              </w:rPr>
              <w:t>-</w:t>
            </w:r>
          </w:p>
        </w:tc>
        <w:tc>
          <w:tcPr>
            <w:tcW w:w="851" w:type="dxa"/>
            <w:vAlign w:val="center"/>
          </w:tcPr>
          <w:p w:rsidR="00A9050D" w:rsidRDefault="00896817">
            <w:pPr>
              <w:jc w:val="center"/>
            </w:pPr>
            <w:r>
              <w:rPr>
                <w:color w:val="000000"/>
                <w:sz w:val="24"/>
              </w:rPr>
              <w:t>11</w:t>
            </w:r>
            <w:r>
              <w:rPr>
                <w:color w:val="000000"/>
                <w:sz w:val="24"/>
              </w:rPr>
              <w:t>年</w:t>
            </w:r>
          </w:p>
        </w:tc>
        <w:tc>
          <w:tcPr>
            <w:tcW w:w="2977" w:type="dxa"/>
            <w:vAlign w:val="center"/>
          </w:tcPr>
          <w:p w:rsidR="00A9050D" w:rsidRDefault="00896817">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p>
        </w:tc>
      </w:tr>
    </w:tbl>
    <w:p w:rsidR="00560F37" w:rsidRPr="00232B03" w:rsidRDefault="007467A8" w:rsidP="007467A8">
      <w:pPr>
        <w:autoSpaceDE w:val="0"/>
        <w:autoSpaceDN w:val="0"/>
        <w:adjustRightInd w:val="0"/>
        <w:spacing w:line="360" w:lineRule="auto"/>
        <w:ind w:firstLineChars="200" w:firstLine="480"/>
        <w:jc w:val="left"/>
        <w:rPr>
          <w:color w:val="000000"/>
          <w:sz w:val="24"/>
        </w:rPr>
      </w:pPr>
      <w:r w:rsidRPr="00DF18FE">
        <w:rPr>
          <w:color w:val="000000"/>
          <w:sz w:val="24"/>
        </w:rPr>
        <w:t>注：基金经理（或基金经理小组）期后变动（如有）敬请关注基金管理人发布的相关公告。</w:t>
      </w:r>
    </w:p>
    <w:p w:rsidR="00A62673" w:rsidRPr="00EC5CE0" w:rsidRDefault="00A62673" w:rsidP="00560F37">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4.2</w:t>
      </w:r>
      <w:r w:rsidRPr="00EC5CE0">
        <w:rPr>
          <w:rFonts w:ascii="宋体" w:hAnsi="宋体" w:hint="eastAsia"/>
          <w:b/>
          <w:bCs/>
          <w:color w:val="000000"/>
          <w:sz w:val="24"/>
        </w:rPr>
        <w:t>管理人对报告期内本基金运作遵规守信情况的说明</w:t>
      </w:r>
    </w:p>
    <w:p w:rsidR="00A62673" w:rsidRPr="00C1648E" w:rsidRDefault="00A62673" w:rsidP="00C1648E">
      <w:pPr>
        <w:spacing w:line="360" w:lineRule="auto"/>
        <w:ind w:firstLineChars="200" w:firstLine="480"/>
        <w:rPr>
          <w:color w:val="000000"/>
          <w:sz w:val="24"/>
        </w:rPr>
      </w:pPr>
      <w:r w:rsidRPr="00DC315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4.3 </w:t>
      </w:r>
      <w:r w:rsidRPr="00EC5CE0">
        <w:rPr>
          <w:rFonts w:ascii="宋体" w:hAnsi="宋体" w:cs="Arial" w:hint="eastAsia"/>
          <w:b/>
          <w:color w:val="000000"/>
          <w:kern w:val="0"/>
          <w:sz w:val="24"/>
        </w:rPr>
        <w:t>公平交易专项说明</w:t>
      </w:r>
    </w:p>
    <w:p w:rsidR="00A62673" w:rsidRPr="00EC5CE0" w:rsidRDefault="00A62673" w:rsidP="005A2DCB">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EC5CE0">
          <w:rPr>
            <w:rFonts w:ascii="宋体" w:hAnsi="宋体"/>
            <w:sz w:val="24"/>
          </w:rPr>
          <w:t>4.3.1</w:t>
        </w:r>
      </w:smartTag>
      <w:r w:rsidRPr="00EC5CE0">
        <w:rPr>
          <w:rFonts w:ascii="宋体" w:hAnsi="宋体" w:hint="eastAsia"/>
          <w:sz w:val="24"/>
        </w:rPr>
        <w:t>公平交易制度的执行情况</w:t>
      </w:r>
    </w:p>
    <w:p w:rsidR="00A9050D" w:rsidRDefault="00896817">
      <w:pPr>
        <w:spacing w:line="360"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9050D" w:rsidRDefault="00896817">
      <w:pPr>
        <w:spacing w:line="360"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9050D" w:rsidRDefault="00896817">
      <w:pPr>
        <w:spacing w:line="360"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A62673" w:rsidRPr="00DC315B" w:rsidRDefault="00A62673" w:rsidP="005A2769">
      <w:pPr>
        <w:spacing w:line="360" w:lineRule="auto"/>
        <w:ind w:firstLineChars="200" w:firstLine="480"/>
        <w:rPr>
          <w:color w:val="000000"/>
          <w:sz w:val="24"/>
        </w:rPr>
      </w:pPr>
      <w:r w:rsidRPr="00DC315B">
        <w:rPr>
          <w:color w:val="000000"/>
          <w:sz w:val="24"/>
        </w:rPr>
        <w:t>报告期内本公司严格执行公平交易制度，公平对待旗下各投资组合，未发现任何违反公平交易的行为。</w:t>
      </w:r>
    </w:p>
    <w:p w:rsidR="00A62673" w:rsidRPr="00EC5CE0" w:rsidRDefault="00A62673" w:rsidP="005A2DCB">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EC5CE0">
          <w:rPr>
            <w:rFonts w:ascii="宋体" w:hAnsi="宋体"/>
            <w:sz w:val="24"/>
          </w:rPr>
          <w:t>4.3.2</w:t>
        </w:r>
      </w:smartTag>
      <w:r w:rsidRPr="00EC5CE0">
        <w:rPr>
          <w:rFonts w:ascii="宋体" w:hAnsi="宋体" w:hint="eastAsia"/>
          <w:sz w:val="24"/>
        </w:rPr>
        <w:t>异常交易行为的专项说明</w:t>
      </w:r>
    </w:p>
    <w:p w:rsidR="00A62673" w:rsidRPr="00C1648E" w:rsidRDefault="00A62673" w:rsidP="00C1648E">
      <w:pPr>
        <w:spacing w:line="360" w:lineRule="auto"/>
        <w:ind w:firstLineChars="200" w:firstLine="480"/>
        <w:rPr>
          <w:color w:val="000000"/>
          <w:sz w:val="24"/>
        </w:rPr>
      </w:pPr>
      <w:r w:rsidRPr="00DC315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DC315B">
        <w:rPr>
          <w:color w:val="000000"/>
          <w:sz w:val="24"/>
        </w:rPr>
        <w:t>5%</w:t>
      </w:r>
      <w:r w:rsidRPr="00DC315B">
        <w:rPr>
          <w:color w:val="000000"/>
          <w:sz w:val="24"/>
        </w:rPr>
        <w:t>的情形，本基金与本公司管理的其他投资组合在不同时间窗下（如日内、</w:t>
      </w:r>
      <w:r w:rsidRPr="00DC315B">
        <w:rPr>
          <w:color w:val="000000"/>
          <w:sz w:val="24"/>
        </w:rPr>
        <w:t>3</w:t>
      </w:r>
      <w:r w:rsidRPr="00DC315B">
        <w:rPr>
          <w:color w:val="000000"/>
          <w:sz w:val="24"/>
        </w:rPr>
        <w:t>日内、</w:t>
      </w:r>
      <w:r w:rsidRPr="00DC315B">
        <w:rPr>
          <w:color w:val="000000"/>
          <w:sz w:val="24"/>
        </w:rPr>
        <w:t>5</w:t>
      </w:r>
      <w:r w:rsidRPr="00DC315B">
        <w:rPr>
          <w:color w:val="000000"/>
          <w:sz w:val="24"/>
        </w:rPr>
        <w:t>日内）同向交易的交易价差未出现异常。</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4.4 </w:t>
      </w:r>
      <w:r w:rsidRPr="00EC5CE0">
        <w:rPr>
          <w:rFonts w:ascii="宋体" w:hAnsi="宋体" w:cs="Arial" w:hint="eastAsia"/>
          <w:b/>
          <w:color w:val="000000"/>
          <w:kern w:val="0"/>
          <w:sz w:val="24"/>
        </w:rPr>
        <w:t>报告期内基金的投资策略和</w:t>
      </w:r>
      <w:r w:rsidR="00D70274">
        <w:rPr>
          <w:rFonts w:ascii="宋体" w:hAnsi="宋体" w:cs="Arial" w:hint="eastAsia"/>
          <w:b/>
          <w:color w:val="000000"/>
          <w:kern w:val="0"/>
          <w:sz w:val="24"/>
        </w:rPr>
        <w:t>运作分析</w:t>
      </w:r>
    </w:p>
    <w:p w:rsidR="00A9050D" w:rsidRDefault="00896817">
      <w:pPr>
        <w:spacing w:line="360" w:lineRule="auto"/>
        <w:ind w:firstLineChars="200" w:firstLine="480"/>
        <w:rPr>
          <w:color w:val="000000"/>
          <w:sz w:val="24"/>
        </w:rPr>
      </w:pPr>
      <w:r>
        <w:rPr>
          <w:color w:val="000000"/>
          <w:sz w:val="24"/>
        </w:rPr>
        <w:t>2020</w:t>
      </w:r>
      <w:r>
        <w:rPr>
          <w:color w:val="000000"/>
          <w:sz w:val="24"/>
        </w:rPr>
        <w:t>年三季度，国内疫情基本得到控制，经济继续保持修复性增长，企业盈利底部回升。九月制造业</w:t>
      </w:r>
      <w:r>
        <w:rPr>
          <w:color w:val="000000"/>
          <w:sz w:val="24"/>
        </w:rPr>
        <w:t>PMI</w:t>
      </w:r>
      <w:r>
        <w:rPr>
          <w:color w:val="000000"/>
          <w:sz w:val="24"/>
        </w:rPr>
        <w:t>连续七个月站上荣枯线。受益于宏观刺激政策发力，国内工业生产增速与结构持续改善，需求端的恢复力度也有所强化。随着国内疫情防控形势趋于稳定，三季度服务业复苏势头持续向好，居民消费需求加快释放，住宿、餐饮以及文化体育娱乐等行业活跃度有所提高。在此经济背景下，三季度</w:t>
      </w:r>
      <w:r>
        <w:rPr>
          <w:color w:val="000000"/>
          <w:sz w:val="24"/>
        </w:rPr>
        <w:t>A</w:t>
      </w:r>
      <w:r>
        <w:rPr>
          <w:color w:val="000000"/>
          <w:sz w:val="24"/>
        </w:rPr>
        <w:t>股市场在七月冲击年内高点后，进入高波动区间，市场短期震荡整固，整体波动率维持高位。作为跟踪基准指数的指数基金，三季度基金总体呈现先上行后震荡的态势。</w:t>
      </w:r>
    </w:p>
    <w:p w:rsidR="00A62673" w:rsidRPr="00DC315B" w:rsidRDefault="00A62673" w:rsidP="005A2769">
      <w:pPr>
        <w:spacing w:line="360" w:lineRule="auto"/>
        <w:ind w:firstLineChars="200" w:firstLine="480"/>
        <w:rPr>
          <w:color w:val="000000"/>
          <w:sz w:val="24"/>
        </w:rPr>
      </w:pPr>
      <w:r w:rsidRPr="00DC315B">
        <w:rPr>
          <w:color w:val="000000"/>
          <w:sz w:val="24"/>
        </w:rPr>
        <w:t>展望</w:t>
      </w:r>
      <w:r w:rsidRPr="00DC315B">
        <w:rPr>
          <w:color w:val="000000"/>
          <w:sz w:val="24"/>
        </w:rPr>
        <w:t>2020</w:t>
      </w:r>
      <w:r w:rsidRPr="00DC315B">
        <w:rPr>
          <w:color w:val="000000"/>
          <w:sz w:val="24"/>
        </w:rPr>
        <w:t>年四季度，海外疫情和美国大选等外部风险因素可能对短期市场产生一定冲击。但国内经济或将继续保持修复性增长，其中消费和出口上行趋势相对明显。未来我国财政和货币政策仍将大概率保持</w:t>
      </w:r>
      <w:r w:rsidR="007E609E">
        <w:rPr>
          <w:rFonts w:hint="eastAsia"/>
          <w:color w:val="000000"/>
          <w:sz w:val="24"/>
        </w:rPr>
        <w:t>稳健</w:t>
      </w:r>
      <w:bookmarkStart w:id="0" w:name="_GoBack"/>
      <w:bookmarkEnd w:id="0"/>
      <w:r w:rsidRPr="00DC315B">
        <w:rPr>
          <w:color w:val="000000"/>
          <w:sz w:val="24"/>
        </w:rPr>
        <w:t>，十四五规划的落地或将成为四季度政策层面的重要影响因素。从中长期来看，</w:t>
      </w:r>
      <w:r w:rsidRPr="00DC315B">
        <w:rPr>
          <w:color w:val="000000"/>
          <w:sz w:val="24"/>
        </w:rPr>
        <w:t>A</w:t>
      </w:r>
      <w:r w:rsidRPr="00DC315B">
        <w:rPr>
          <w:color w:val="000000"/>
          <w:sz w:val="24"/>
        </w:rPr>
        <w:t>股盈利能力与成长性将持续修复，</w:t>
      </w:r>
      <w:r w:rsidRPr="00DC315B">
        <w:rPr>
          <w:color w:val="000000"/>
          <w:sz w:val="24"/>
        </w:rPr>
        <w:t>“</w:t>
      </w:r>
      <w:r w:rsidRPr="00DC315B">
        <w:rPr>
          <w:color w:val="000000"/>
          <w:sz w:val="24"/>
        </w:rPr>
        <w:t>内循环</w:t>
      </w:r>
      <w:r w:rsidRPr="00DC315B">
        <w:rPr>
          <w:color w:val="000000"/>
          <w:sz w:val="24"/>
        </w:rPr>
        <w:t>”</w:t>
      </w:r>
      <w:r w:rsidRPr="00DC315B">
        <w:rPr>
          <w:color w:val="000000"/>
          <w:sz w:val="24"/>
        </w:rPr>
        <w:t>战略与创业板注册制的实施进一步支持创新型企业的发展。总体而言，随着企业盈利修复，从中长期来看我们对</w:t>
      </w:r>
      <w:r w:rsidRPr="00DC315B">
        <w:rPr>
          <w:color w:val="000000"/>
          <w:sz w:val="24"/>
        </w:rPr>
        <w:t>A</w:t>
      </w:r>
      <w:r w:rsidRPr="00DC315B">
        <w:rPr>
          <w:color w:val="000000"/>
          <w:sz w:val="24"/>
        </w:rPr>
        <w:t>股市场仍维持谨慎乐观的看法。</w:t>
      </w:r>
    </w:p>
    <w:p w:rsidR="00A62673" w:rsidRPr="00E72A13" w:rsidRDefault="00A62673" w:rsidP="005A2DCB">
      <w:pPr>
        <w:spacing w:line="360" w:lineRule="auto"/>
        <w:rPr>
          <w:rFonts w:ascii="宋体" w:hAnsi="宋体" w:cs="Arial"/>
          <w:b/>
          <w:color w:val="000000"/>
          <w:kern w:val="0"/>
          <w:sz w:val="24"/>
        </w:rPr>
      </w:pPr>
      <w:r w:rsidRPr="00E72A13">
        <w:rPr>
          <w:rFonts w:ascii="宋体" w:hAnsi="宋体" w:cs="Arial"/>
          <w:b/>
          <w:color w:val="000000"/>
          <w:kern w:val="0"/>
          <w:sz w:val="24"/>
        </w:rPr>
        <w:t>4.</w:t>
      </w:r>
      <w:r w:rsidR="00E72A13">
        <w:rPr>
          <w:rFonts w:ascii="宋体" w:hAnsi="宋体" w:cs="Arial"/>
          <w:b/>
          <w:color w:val="000000"/>
          <w:kern w:val="0"/>
          <w:sz w:val="24"/>
        </w:rPr>
        <w:t>5</w:t>
      </w:r>
      <w:r w:rsidRPr="00E72A13">
        <w:rPr>
          <w:rFonts w:ascii="宋体" w:hAnsi="宋体" w:cs="Arial" w:hint="eastAsia"/>
          <w:b/>
          <w:color w:val="000000"/>
          <w:kern w:val="0"/>
          <w:sz w:val="24"/>
        </w:rPr>
        <w:t>报告期内基金的业绩表现</w:t>
      </w:r>
    </w:p>
    <w:p w:rsidR="00A62673" w:rsidRPr="00C1648E" w:rsidRDefault="00A62673" w:rsidP="00C1648E">
      <w:pPr>
        <w:spacing w:line="360" w:lineRule="auto"/>
        <w:ind w:firstLineChars="200" w:firstLine="480"/>
        <w:rPr>
          <w:color w:val="000000"/>
          <w:sz w:val="24"/>
        </w:rPr>
      </w:pPr>
      <w:r w:rsidRPr="00DC315B">
        <w:rPr>
          <w:color w:val="000000"/>
          <w:sz w:val="24"/>
        </w:rPr>
        <w:t>本基金（各类）份额净值及业绩表现请见</w:t>
      </w:r>
      <w:r w:rsidRPr="00DC315B">
        <w:rPr>
          <w:color w:val="000000"/>
          <w:sz w:val="24"/>
        </w:rPr>
        <w:t>“3.1</w:t>
      </w:r>
      <w:r w:rsidRPr="00DC315B">
        <w:rPr>
          <w:color w:val="000000"/>
          <w:sz w:val="24"/>
        </w:rPr>
        <w:t>主要财务指标</w:t>
      </w:r>
      <w:r w:rsidRPr="00DC315B">
        <w:rPr>
          <w:color w:val="000000"/>
          <w:sz w:val="24"/>
        </w:rPr>
        <w:t xml:space="preserve">” </w:t>
      </w:r>
      <w:r w:rsidRPr="00DC315B">
        <w:rPr>
          <w:color w:val="000000"/>
          <w:sz w:val="24"/>
        </w:rPr>
        <w:t>及</w:t>
      </w:r>
      <w:r w:rsidRPr="00DC315B">
        <w:rPr>
          <w:color w:val="000000"/>
          <w:sz w:val="24"/>
        </w:rPr>
        <w:t xml:space="preserve">“3.2.1 </w:t>
      </w:r>
      <w:r w:rsidRPr="00DC315B">
        <w:rPr>
          <w:color w:val="000000"/>
          <w:sz w:val="24"/>
        </w:rPr>
        <w:t>本报告期基金份额净值增长率及其与同期业绩比较基准收益率的比较</w:t>
      </w:r>
      <w:r w:rsidRPr="00DC315B">
        <w:rPr>
          <w:color w:val="000000"/>
          <w:sz w:val="24"/>
        </w:rPr>
        <w:t>”</w:t>
      </w:r>
      <w:r w:rsidRPr="00DC315B">
        <w:rPr>
          <w:color w:val="000000"/>
          <w:sz w:val="24"/>
        </w:rPr>
        <w:t>部分披露。</w:t>
      </w:r>
    </w:p>
    <w:p w:rsidR="00701A03" w:rsidRPr="00701A03" w:rsidRDefault="00701A03" w:rsidP="00701A03">
      <w:pPr>
        <w:autoSpaceDE w:val="0"/>
        <w:autoSpaceDN w:val="0"/>
        <w:adjustRightInd w:val="0"/>
        <w:spacing w:line="360" w:lineRule="auto"/>
        <w:jc w:val="left"/>
        <w:rPr>
          <w:rFonts w:ascii="宋体" w:hAnsi="宋体" w:cs="Arial"/>
          <w:b/>
          <w:color w:val="000000"/>
          <w:kern w:val="0"/>
          <w:sz w:val="24"/>
        </w:rPr>
      </w:pPr>
      <w:r w:rsidRPr="00701A03">
        <w:rPr>
          <w:rFonts w:ascii="宋体" w:hAnsi="宋体" w:cs="Arial"/>
          <w:b/>
          <w:color w:val="000000"/>
          <w:kern w:val="0"/>
          <w:sz w:val="24"/>
        </w:rPr>
        <w:t>4</w:t>
      </w:r>
      <w:r w:rsidR="008E2983">
        <w:rPr>
          <w:rFonts w:ascii="宋体" w:hAnsi="宋体" w:cs="Arial" w:hint="eastAsia"/>
          <w:b/>
          <w:color w:val="000000"/>
          <w:kern w:val="0"/>
          <w:sz w:val="24"/>
        </w:rPr>
        <w:t>.</w:t>
      </w:r>
      <w:r w:rsidRPr="00701A03">
        <w:rPr>
          <w:rFonts w:ascii="宋体" w:hAnsi="宋体" w:cs="Arial" w:hint="eastAsia"/>
          <w:b/>
          <w:color w:val="000000"/>
          <w:kern w:val="0"/>
          <w:sz w:val="24"/>
        </w:rPr>
        <w:t>6报告期内基金持有人数或基金资产净值预警说明</w:t>
      </w:r>
    </w:p>
    <w:p w:rsidR="00701A03" w:rsidRPr="00942DF0" w:rsidRDefault="00701A03" w:rsidP="00942DF0">
      <w:pPr>
        <w:spacing w:line="360" w:lineRule="auto"/>
        <w:ind w:firstLineChars="200" w:firstLine="480"/>
        <w:rPr>
          <w:color w:val="000000"/>
          <w:sz w:val="24"/>
        </w:rPr>
      </w:pPr>
      <w:r w:rsidRPr="00942DF0">
        <w:rPr>
          <w:color w:val="000000"/>
          <w:sz w:val="24"/>
        </w:rPr>
        <w:t>本基金本报告期内无需预警说明。</w:t>
      </w:r>
    </w:p>
    <w:p w:rsidR="00701A03" w:rsidRPr="00DC315B" w:rsidRDefault="00701A03" w:rsidP="005A2769">
      <w:pPr>
        <w:spacing w:line="360" w:lineRule="auto"/>
        <w:ind w:firstLineChars="200" w:firstLine="480"/>
        <w:rPr>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5  </w:t>
      </w:r>
      <w:r w:rsidRPr="00EC5CE0">
        <w:rPr>
          <w:rFonts w:ascii="宋体" w:hAnsi="宋体" w:cs="Arial" w:hint="eastAsia"/>
          <w:color w:val="000000"/>
          <w:kern w:val="0"/>
          <w:sz w:val="24"/>
          <w:szCs w:val="24"/>
        </w:rPr>
        <w:t>投资组合报告</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5.1 </w:t>
      </w:r>
      <w:r w:rsidRPr="00EC5CE0">
        <w:rPr>
          <w:rFonts w:ascii="宋体" w:hAnsi="宋体" w:cs="Arial" w:hint="eastAsia"/>
          <w:b/>
          <w:color w:val="000000"/>
          <w:kern w:val="0"/>
          <w:sz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57"/>
        <w:gridCol w:w="2977"/>
        <w:gridCol w:w="1843"/>
      </w:tblGrid>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序号</w:t>
            </w:r>
          </w:p>
        </w:tc>
        <w:tc>
          <w:tcPr>
            <w:tcW w:w="3357"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项目</w:t>
            </w:r>
          </w:p>
        </w:tc>
        <w:tc>
          <w:tcPr>
            <w:tcW w:w="2977"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金额</w:t>
            </w:r>
            <w:r w:rsidR="005A2769" w:rsidRPr="00C1648E">
              <w:rPr>
                <w:color w:val="000000"/>
                <w:sz w:val="24"/>
              </w:rPr>
              <w:t>（元）</w:t>
            </w:r>
          </w:p>
        </w:tc>
        <w:tc>
          <w:tcPr>
            <w:tcW w:w="1843"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占基金总资产的比例</w:t>
            </w:r>
            <w:r w:rsidR="005A2769" w:rsidRPr="00C1648E">
              <w:rPr>
                <w:color w:val="000000"/>
                <w:sz w:val="24"/>
              </w:rPr>
              <w:t>（</w:t>
            </w:r>
            <w:r w:rsidR="005A2769" w:rsidRPr="00C1648E">
              <w:rPr>
                <w:color w:val="000000"/>
                <w:sz w:val="24"/>
              </w:rPr>
              <w:t>%</w:t>
            </w:r>
            <w:r w:rsidR="005A2769"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1</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权益投资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1,077,968,974.46</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92.94</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其中：股票</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1,077,968,974.46</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92.94</w:t>
            </w:r>
          </w:p>
        </w:tc>
      </w:tr>
      <w:tr w:rsidR="00E72A13" w:rsidRPr="00264E55" w:rsidTr="006B315F">
        <w:trPr>
          <w:jc w:val="center"/>
        </w:trPr>
        <w:tc>
          <w:tcPr>
            <w:tcW w:w="720" w:type="dxa"/>
            <w:vAlign w:val="center"/>
          </w:tcPr>
          <w:p w:rsidR="00E72A13" w:rsidRPr="00EB4CB3" w:rsidRDefault="00E72A13" w:rsidP="00E72A13">
            <w:pPr>
              <w:adjustRightInd w:val="0"/>
              <w:snapToGrid w:val="0"/>
              <w:spacing w:line="400" w:lineRule="exact"/>
              <w:jc w:val="center"/>
              <w:rPr>
                <w:rFonts w:eastAsiaTheme="minorEastAsia"/>
                <w:color w:val="000000"/>
                <w:sz w:val="24"/>
              </w:rPr>
            </w:pPr>
            <w:r w:rsidRPr="00EB4CB3">
              <w:rPr>
                <w:rFonts w:eastAsiaTheme="minorEastAsia"/>
                <w:color w:val="000000"/>
                <w:sz w:val="24"/>
              </w:rPr>
              <w:t>2</w:t>
            </w:r>
          </w:p>
        </w:tc>
        <w:tc>
          <w:tcPr>
            <w:tcW w:w="3357" w:type="dxa"/>
            <w:vAlign w:val="center"/>
          </w:tcPr>
          <w:p w:rsidR="00E72A13" w:rsidRPr="00EB4CB3" w:rsidRDefault="00E72A13" w:rsidP="00E72A13">
            <w:pPr>
              <w:adjustRightInd w:val="0"/>
              <w:snapToGrid w:val="0"/>
              <w:spacing w:line="400" w:lineRule="exact"/>
              <w:rPr>
                <w:rFonts w:eastAsiaTheme="minorEastAsia"/>
                <w:color w:val="000000"/>
                <w:sz w:val="24"/>
              </w:rPr>
            </w:pPr>
            <w:r w:rsidRPr="00EB4CB3">
              <w:rPr>
                <w:rFonts w:eastAsiaTheme="minorEastAsia"/>
                <w:color w:val="000000"/>
                <w:sz w:val="24"/>
              </w:rPr>
              <w:t>基金投资</w:t>
            </w:r>
          </w:p>
        </w:tc>
        <w:tc>
          <w:tcPr>
            <w:tcW w:w="2977" w:type="dxa"/>
            <w:vAlign w:val="center"/>
          </w:tcPr>
          <w:p w:rsidR="00E72A13" w:rsidRPr="00EB4CB3" w:rsidRDefault="00E72A13" w:rsidP="00E72A13">
            <w:pPr>
              <w:spacing w:before="29" w:line="360" w:lineRule="auto"/>
              <w:ind w:left="17"/>
              <w:jc w:val="right"/>
              <w:rPr>
                <w:rFonts w:eastAsiaTheme="minorEastAsia"/>
                <w:color w:val="000000"/>
                <w:sz w:val="24"/>
              </w:rPr>
            </w:pPr>
            <w:r w:rsidRPr="00EB4CB3">
              <w:rPr>
                <w:rFonts w:eastAsiaTheme="minorEastAsia"/>
                <w:color w:val="000000"/>
                <w:sz w:val="24"/>
              </w:rPr>
              <w:t>-</w:t>
            </w:r>
          </w:p>
        </w:tc>
        <w:tc>
          <w:tcPr>
            <w:tcW w:w="1843" w:type="dxa"/>
            <w:vAlign w:val="center"/>
          </w:tcPr>
          <w:p w:rsidR="00E72A13" w:rsidRPr="00EB4CB3" w:rsidRDefault="00E72A13" w:rsidP="00E72A13">
            <w:pPr>
              <w:spacing w:before="29" w:line="360" w:lineRule="auto"/>
              <w:ind w:left="17"/>
              <w:jc w:val="right"/>
              <w:rPr>
                <w:rFonts w:eastAsiaTheme="minorEastAsia"/>
                <w:color w:val="000000"/>
                <w:sz w:val="24"/>
              </w:rPr>
            </w:pPr>
            <w:r w:rsidRPr="00EB4CB3">
              <w:rPr>
                <w:rFonts w:eastAsiaTheme="minorEastAsia"/>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3</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固定收益投资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其中：债券</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autoSpaceDE w:val="0"/>
              <w:autoSpaceDN w:val="0"/>
              <w:adjustRightInd w:val="0"/>
              <w:spacing w:before="29" w:line="360" w:lineRule="auto"/>
              <w:ind w:left="17"/>
              <w:jc w:val="left"/>
              <w:rPr>
                <w:color w:val="000000"/>
                <w:sz w:val="24"/>
              </w:rPr>
            </w:pPr>
            <w:r w:rsidRPr="00C1648E">
              <w:rPr>
                <w:color w:val="000000"/>
                <w:sz w:val="24"/>
              </w:rPr>
              <w:t>资产支持证券</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tcPr>
          <w:p w:rsidR="00E72A13" w:rsidRPr="00C1648E" w:rsidRDefault="00E72A13" w:rsidP="00E72A13">
            <w:pPr>
              <w:spacing w:before="29" w:line="360" w:lineRule="auto"/>
              <w:ind w:left="17"/>
              <w:jc w:val="center"/>
              <w:rPr>
                <w:color w:val="000000"/>
                <w:sz w:val="24"/>
              </w:rPr>
            </w:pPr>
            <w:r>
              <w:rPr>
                <w:color w:val="000000"/>
                <w:sz w:val="24"/>
              </w:rPr>
              <w:t>4</w:t>
            </w:r>
          </w:p>
        </w:tc>
        <w:tc>
          <w:tcPr>
            <w:tcW w:w="3357" w:type="dxa"/>
          </w:tcPr>
          <w:p w:rsidR="00E72A13" w:rsidRPr="00C1648E" w:rsidRDefault="00E72A13" w:rsidP="00E72A13">
            <w:pPr>
              <w:spacing w:before="29" w:line="360" w:lineRule="auto"/>
              <w:ind w:leftChars="50" w:left="105"/>
              <w:rPr>
                <w:color w:val="000000"/>
                <w:sz w:val="24"/>
              </w:rPr>
            </w:pPr>
            <w:r w:rsidRPr="00C1648E">
              <w:rPr>
                <w:color w:val="000000"/>
                <w:sz w:val="24"/>
              </w:rPr>
              <w:t>贵金属投资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5</w:t>
            </w:r>
          </w:p>
        </w:tc>
        <w:tc>
          <w:tcPr>
            <w:tcW w:w="3357" w:type="dxa"/>
            <w:vAlign w:val="center"/>
          </w:tcPr>
          <w:p w:rsidR="00E72A13" w:rsidRPr="00C1648E" w:rsidRDefault="00E72A13" w:rsidP="00E72A13">
            <w:pPr>
              <w:spacing w:before="29" w:line="360" w:lineRule="auto"/>
              <w:ind w:left="17"/>
              <w:jc w:val="left"/>
              <w:rPr>
                <w:color w:val="000000"/>
                <w:sz w:val="24"/>
              </w:rPr>
            </w:pPr>
            <w:r w:rsidRPr="00C1648E">
              <w:rPr>
                <w:color w:val="000000"/>
                <w:sz w:val="24"/>
              </w:rPr>
              <w:t>金融衍生品投资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6</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买入返售金融资产</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其中：买断式回购的买入返售金融资产</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7</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银行存款和结算备付金合计</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77,528,267.42</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6.68</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sidRPr="00C1648E">
              <w:rPr>
                <w:color w:val="000000"/>
                <w:sz w:val="24"/>
              </w:rPr>
              <w:t>8</w:t>
            </w:r>
          </w:p>
        </w:tc>
        <w:tc>
          <w:tcPr>
            <w:tcW w:w="3357" w:type="dxa"/>
            <w:vAlign w:val="center"/>
          </w:tcPr>
          <w:p w:rsidR="00E72A13" w:rsidRPr="00C1648E" w:rsidRDefault="00E72A13" w:rsidP="00E72A13">
            <w:pPr>
              <w:jc w:val="left"/>
              <w:rPr>
                <w:sz w:val="24"/>
              </w:rPr>
            </w:pPr>
            <w:r w:rsidRPr="00C1648E">
              <w:rPr>
                <w:color w:val="000000"/>
                <w:sz w:val="24"/>
              </w:rPr>
              <w:t>其他资产</w:t>
            </w:r>
          </w:p>
        </w:tc>
        <w:tc>
          <w:tcPr>
            <w:tcW w:w="2977" w:type="dxa"/>
            <w:vAlign w:val="center"/>
          </w:tcPr>
          <w:p w:rsidR="00E72A13" w:rsidRPr="00C1648E" w:rsidRDefault="00E72A13" w:rsidP="00E72A13">
            <w:pPr>
              <w:jc w:val="right"/>
              <w:rPr>
                <w:color w:val="000000"/>
                <w:sz w:val="24"/>
              </w:rPr>
            </w:pPr>
            <w:r w:rsidRPr="00C1648E">
              <w:rPr>
                <w:color w:val="000000"/>
                <w:sz w:val="24"/>
              </w:rPr>
              <w:t>4,389,873.83</w:t>
            </w:r>
          </w:p>
        </w:tc>
        <w:tc>
          <w:tcPr>
            <w:tcW w:w="1843" w:type="dxa"/>
            <w:vAlign w:val="center"/>
          </w:tcPr>
          <w:p w:rsidR="00E72A13" w:rsidRPr="00C1648E" w:rsidRDefault="00E72A13" w:rsidP="00E72A13">
            <w:pPr>
              <w:jc w:val="right"/>
              <w:rPr>
                <w:color w:val="000000"/>
                <w:sz w:val="24"/>
              </w:rPr>
            </w:pPr>
            <w:r w:rsidRPr="00C1648E">
              <w:rPr>
                <w:color w:val="000000"/>
                <w:sz w:val="24"/>
              </w:rPr>
              <w:t>0.38</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sidRPr="00C1648E">
              <w:rPr>
                <w:color w:val="000000"/>
                <w:sz w:val="24"/>
              </w:rPr>
              <w:t>9</w:t>
            </w:r>
          </w:p>
        </w:tc>
        <w:tc>
          <w:tcPr>
            <w:tcW w:w="3357" w:type="dxa"/>
            <w:vAlign w:val="center"/>
          </w:tcPr>
          <w:p w:rsidR="00E72A13" w:rsidRPr="00C1648E" w:rsidRDefault="00E72A13" w:rsidP="00E72A13">
            <w:pPr>
              <w:jc w:val="left"/>
              <w:rPr>
                <w:sz w:val="24"/>
              </w:rPr>
            </w:pPr>
            <w:r w:rsidRPr="00C1648E">
              <w:rPr>
                <w:color w:val="000000"/>
                <w:sz w:val="24"/>
              </w:rPr>
              <w:t>合计</w:t>
            </w:r>
          </w:p>
        </w:tc>
        <w:tc>
          <w:tcPr>
            <w:tcW w:w="2977" w:type="dxa"/>
            <w:vAlign w:val="center"/>
          </w:tcPr>
          <w:p w:rsidR="00E72A13" w:rsidRPr="00C1648E" w:rsidRDefault="00E72A13" w:rsidP="00E72A13">
            <w:pPr>
              <w:jc w:val="right"/>
              <w:rPr>
                <w:color w:val="000000"/>
                <w:sz w:val="24"/>
              </w:rPr>
            </w:pPr>
            <w:r w:rsidRPr="00C1648E">
              <w:rPr>
                <w:color w:val="000000"/>
                <w:sz w:val="24"/>
              </w:rPr>
              <w:t>1,159,887,115.71</w:t>
            </w:r>
          </w:p>
        </w:tc>
        <w:tc>
          <w:tcPr>
            <w:tcW w:w="1843" w:type="dxa"/>
            <w:vAlign w:val="center"/>
          </w:tcPr>
          <w:p w:rsidR="00E72A13" w:rsidRPr="00C1648E" w:rsidRDefault="00E72A13" w:rsidP="00E72A13">
            <w:pPr>
              <w:jc w:val="right"/>
              <w:rPr>
                <w:color w:val="000000"/>
                <w:sz w:val="24"/>
              </w:rPr>
            </w:pPr>
            <w:r w:rsidRPr="00C1648E">
              <w:rPr>
                <w:color w:val="000000"/>
                <w:sz w:val="24"/>
              </w:rPr>
              <w:t>100.00</w:t>
            </w:r>
          </w:p>
        </w:tc>
      </w:tr>
    </w:tbl>
    <w:p w:rsidR="008624F9"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 xml:space="preserve">5.2 </w:t>
      </w:r>
      <w:r w:rsidRPr="00105C87">
        <w:rPr>
          <w:rFonts w:eastAsiaTheme="minorEastAsia"/>
          <w:b/>
          <w:color w:val="000000" w:themeColor="text1"/>
          <w:kern w:val="0"/>
          <w:sz w:val="24"/>
        </w:rPr>
        <w:t>报告期末按行业分类的股票投资组合</w:t>
      </w:r>
    </w:p>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5.2.1</w:t>
      </w:r>
      <w:r w:rsidRPr="00105C87">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3,450,480.40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0.30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13,029.12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11,470.24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26,870.32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180,995.16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0.02</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3,682,845.24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0.32</w:t>
            </w:r>
          </w:p>
        </w:tc>
      </w:tr>
    </w:tbl>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w:t>
      </w:r>
      <w:r w:rsidR="00AB077A">
        <w:rPr>
          <w:rFonts w:eastAsiaTheme="minorEastAsia"/>
          <w:b/>
          <w:color w:val="000000" w:themeColor="text1"/>
          <w:kern w:val="0"/>
          <w:sz w:val="24"/>
        </w:rPr>
        <w:t>2</w:t>
      </w:r>
      <w:r w:rsidRPr="00105C87">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675,423,759.81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58.64</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114,729,286.22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9.96</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120,447,308.96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10.46</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10,150,584.00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0.88</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15,172,330.00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1.32</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8,711,327.40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0.76</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88,055,696.35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7.65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41,595,836.48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3.61</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1,074,286,129.22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93.28</w:t>
            </w:r>
          </w:p>
        </w:tc>
      </w:tr>
    </w:tbl>
    <w:p w:rsidR="008624F9" w:rsidRPr="00105C87" w:rsidRDefault="008624F9" w:rsidP="008624F9">
      <w:pPr>
        <w:jc w:val="left"/>
        <w:rPr>
          <w:rFonts w:eastAsiaTheme="minorEastAsia"/>
          <w:color w:val="000000" w:themeColor="text1"/>
          <w:sz w:val="24"/>
        </w:rPr>
      </w:pPr>
      <w:r w:rsidRPr="00105C87">
        <w:rPr>
          <w:rFonts w:eastAsiaTheme="minorEastAsia"/>
          <w:b/>
          <w:color w:val="000000" w:themeColor="text1"/>
          <w:kern w:val="0"/>
          <w:sz w:val="24"/>
        </w:rPr>
        <w:t>5.2.</w:t>
      </w:r>
      <w:r w:rsidR="00AB077A">
        <w:rPr>
          <w:rFonts w:eastAsiaTheme="minorEastAsia"/>
          <w:b/>
          <w:color w:val="000000" w:themeColor="text1"/>
          <w:kern w:val="0"/>
          <w:sz w:val="24"/>
        </w:rPr>
        <w:t>3</w:t>
      </w:r>
      <w:r w:rsidR="00F729DC">
        <w:rPr>
          <w:rFonts w:eastAsiaTheme="minorEastAsia"/>
          <w:b/>
          <w:color w:val="000000" w:themeColor="text1"/>
          <w:kern w:val="0"/>
          <w:sz w:val="24"/>
        </w:rPr>
        <w:t>报告期末按行业分类的</w:t>
      </w:r>
      <w:r w:rsidR="00F729DC">
        <w:rPr>
          <w:rFonts w:eastAsiaTheme="minorEastAsia" w:hint="eastAsia"/>
          <w:b/>
          <w:color w:val="000000" w:themeColor="text1"/>
          <w:kern w:val="0"/>
          <w:sz w:val="24"/>
        </w:rPr>
        <w:t>港股通</w:t>
      </w:r>
      <w:r w:rsidRPr="00105C87">
        <w:rPr>
          <w:rFonts w:eastAsiaTheme="minorEastAsia"/>
          <w:b/>
          <w:color w:val="000000" w:themeColor="text1"/>
          <w:kern w:val="0"/>
          <w:sz w:val="24"/>
        </w:rPr>
        <w:t>投资股票投资组合</w:t>
      </w:r>
    </w:p>
    <w:p w:rsidR="00774C7D" w:rsidRPr="00BF18E8" w:rsidRDefault="008624F9" w:rsidP="00774C7D">
      <w:pPr>
        <w:spacing w:line="360" w:lineRule="auto"/>
        <w:ind w:firstLineChars="200" w:firstLine="480"/>
        <w:rPr>
          <w:color w:val="000000"/>
          <w:sz w:val="24"/>
        </w:rPr>
      </w:pPr>
      <w:r w:rsidRPr="00BF18E8">
        <w:rPr>
          <w:color w:val="000000"/>
          <w:sz w:val="24"/>
        </w:rPr>
        <w:t>本基金本报告期末未持有通过港股通投资的股票。</w:t>
      </w:r>
    </w:p>
    <w:p w:rsidR="00774C7D" w:rsidRPr="00EC5CE0" w:rsidRDefault="00774C7D" w:rsidP="00774C7D">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5.3</w:t>
      </w:r>
      <w:r w:rsidRPr="007F456A">
        <w:rPr>
          <w:rFonts w:ascii="宋体" w:hAnsi="宋体" w:cs="Arial" w:hint="eastAsia"/>
          <w:b/>
          <w:color w:val="000000"/>
          <w:kern w:val="0"/>
          <w:sz w:val="24"/>
        </w:rPr>
        <w:t>报告期末按公允价值占基金资产净值比例大小排序的股票投资明细</w:t>
      </w:r>
    </w:p>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5.3.1</w:t>
      </w:r>
      <w:r w:rsidR="00AB077A">
        <w:rPr>
          <w:rFonts w:ascii="宋体" w:hAnsi="宋体" w:cs="Arial" w:hint="eastAsia"/>
          <w:b/>
          <w:color w:val="000000"/>
          <w:kern w:val="0"/>
          <w:sz w:val="24"/>
        </w:rPr>
        <w:t>报告</w:t>
      </w:r>
      <w:r w:rsidRPr="00045BEC">
        <w:rPr>
          <w:rFonts w:ascii="宋体" w:hAnsi="宋体" w:cs="Arial" w:hint="eastAsia"/>
          <w:b/>
          <w:color w:val="000000"/>
          <w:kern w:val="0"/>
          <w:sz w:val="24"/>
        </w:rPr>
        <w:t>期末</w:t>
      </w:r>
      <w:r w:rsidRPr="00045BEC">
        <w:rPr>
          <w:rFonts w:ascii="宋体" w:hAnsi="宋体" w:hint="eastAsia"/>
          <w:b/>
          <w:sz w:val="24"/>
        </w:rPr>
        <w:t>指数投资按公允价值占基金资产净值比例大小排序的前十名股票投资明细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559"/>
        <w:gridCol w:w="1843"/>
        <w:gridCol w:w="2268"/>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559"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268"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A9050D">
        <w:tc>
          <w:tcPr>
            <w:tcW w:w="817" w:type="dxa"/>
            <w:vAlign w:val="center"/>
          </w:tcPr>
          <w:p w:rsidR="00A9050D" w:rsidRDefault="00896817">
            <w:pPr>
              <w:jc w:val="center"/>
            </w:pPr>
            <w:r>
              <w:rPr>
                <w:color w:val="000000"/>
                <w:sz w:val="24"/>
              </w:rPr>
              <w:t>1</w:t>
            </w:r>
          </w:p>
        </w:tc>
        <w:tc>
          <w:tcPr>
            <w:tcW w:w="1276" w:type="dxa"/>
            <w:vAlign w:val="center"/>
          </w:tcPr>
          <w:p w:rsidR="00A9050D" w:rsidRDefault="00896817">
            <w:pPr>
              <w:jc w:val="center"/>
            </w:pPr>
            <w:r>
              <w:rPr>
                <w:color w:val="000000"/>
                <w:sz w:val="24"/>
              </w:rPr>
              <w:t>300750</w:t>
            </w:r>
          </w:p>
        </w:tc>
        <w:tc>
          <w:tcPr>
            <w:tcW w:w="1559" w:type="dxa"/>
            <w:vAlign w:val="center"/>
          </w:tcPr>
          <w:p w:rsidR="00A9050D" w:rsidRDefault="00896817">
            <w:pPr>
              <w:jc w:val="center"/>
            </w:pPr>
            <w:r>
              <w:rPr>
                <w:color w:val="000000"/>
                <w:sz w:val="24"/>
              </w:rPr>
              <w:t>宁德时代</w:t>
            </w:r>
          </w:p>
        </w:tc>
        <w:tc>
          <w:tcPr>
            <w:tcW w:w="1843" w:type="dxa"/>
            <w:vAlign w:val="center"/>
          </w:tcPr>
          <w:p w:rsidR="00A9050D" w:rsidRDefault="00896817">
            <w:pPr>
              <w:jc w:val="right"/>
            </w:pPr>
            <w:r>
              <w:rPr>
                <w:color w:val="000000"/>
                <w:sz w:val="24"/>
              </w:rPr>
              <w:t>513,370</w:t>
            </w:r>
          </w:p>
        </w:tc>
        <w:tc>
          <w:tcPr>
            <w:tcW w:w="2268" w:type="dxa"/>
            <w:vAlign w:val="center"/>
          </w:tcPr>
          <w:p w:rsidR="00A9050D" w:rsidRDefault="00896817">
            <w:pPr>
              <w:jc w:val="right"/>
            </w:pPr>
            <w:r>
              <w:rPr>
                <w:color w:val="000000"/>
                <w:sz w:val="24"/>
              </w:rPr>
              <w:t>107,397,004.00</w:t>
            </w:r>
          </w:p>
        </w:tc>
        <w:tc>
          <w:tcPr>
            <w:tcW w:w="1134" w:type="dxa"/>
            <w:vAlign w:val="center"/>
          </w:tcPr>
          <w:p w:rsidR="00A9050D" w:rsidRDefault="00896817">
            <w:pPr>
              <w:jc w:val="right"/>
            </w:pPr>
            <w:r>
              <w:rPr>
                <w:color w:val="000000"/>
                <w:sz w:val="24"/>
              </w:rPr>
              <w:t>9.32</w:t>
            </w:r>
          </w:p>
        </w:tc>
      </w:tr>
      <w:tr w:rsidR="00A9050D">
        <w:tc>
          <w:tcPr>
            <w:tcW w:w="817" w:type="dxa"/>
            <w:vAlign w:val="center"/>
          </w:tcPr>
          <w:p w:rsidR="00A9050D" w:rsidRDefault="00896817">
            <w:pPr>
              <w:jc w:val="center"/>
            </w:pPr>
            <w:r>
              <w:rPr>
                <w:color w:val="000000"/>
                <w:sz w:val="24"/>
              </w:rPr>
              <w:t>2</w:t>
            </w:r>
          </w:p>
        </w:tc>
        <w:tc>
          <w:tcPr>
            <w:tcW w:w="1276" w:type="dxa"/>
            <w:vAlign w:val="center"/>
          </w:tcPr>
          <w:p w:rsidR="00A9050D" w:rsidRDefault="00896817">
            <w:pPr>
              <w:jc w:val="center"/>
            </w:pPr>
            <w:r>
              <w:rPr>
                <w:color w:val="000000"/>
                <w:sz w:val="24"/>
              </w:rPr>
              <w:t>300059</w:t>
            </w:r>
          </w:p>
        </w:tc>
        <w:tc>
          <w:tcPr>
            <w:tcW w:w="1559" w:type="dxa"/>
            <w:vAlign w:val="center"/>
          </w:tcPr>
          <w:p w:rsidR="00A9050D" w:rsidRDefault="00896817">
            <w:pPr>
              <w:jc w:val="center"/>
            </w:pPr>
            <w:r>
              <w:rPr>
                <w:color w:val="000000"/>
                <w:sz w:val="24"/>
              </w:rPr>
              <w:t>东方财富</w:t>
            </w:r>
          </w:p>
        </w:tc>
        <w:tc>
          <w:tcPr>
            <w:tcW w:w="1843" w:type="dxa"/>
            <w:vAlign w:val="center"/>
          </w:tcPr>
          <w:p w:rsidR="00A9050D" w:rsidRDefault="00896817">
            <w:pPr>
              <w:jc w:val="right"/>
            </w:pPr>
            <w:r>
              <w:rPr>
                <w:color w:val="000000"/>
                <w:sz w:val="24"/>
              </w:rPr>
              <w:t>4,160,404</w:t>
            </w:r>
          </w:p>
        </w:tc>
        <w:tc>
          <w:tcPr>
            <w:tcW w:w="2268" w:type="dxa"/>
            <w:vAlign w:val="center"/>
          </w:tcPr>
          <w:p w:rsidR="00A9050D" w:rsidRDefault="00896817">
            <w:pPr>
              <w:jc w:val="right"/>
            </w:pPr>
            <w:r>
              <w:rPr>
                <w:color w:val="000000"/>
                <w:sz w:val="24"/>
              </w:rPr>
              <w:t>99,808,091.96</w:t>
            </w:r>
          </w:p>
        </w:tc>
        <w:tc>
          <w:tcPr>
            <w:tcW w:w="1134" w:type="dxa"/>
            <w:vAlign w:val="center"/>
          </w:tcPr>
          <w:p w:rsidR="00A9050D" w:rsidRDefault="00896817">
            <w:pPr>
              <w:jc w:val="right"/>
            </w:pPr>
            <w:r>
              <w:rPr>
                <w:color w:val="000000"/>
                <w:sz w:val="24"/>
              </w:rPr>
              <w:t>8.67</w:t>
            </w:r>
          </w:p>
        </w:tc>
      </w:tr>
      <w:tr w:rsidR="00A9050D">
        <w:tc>
          <w:tcPr>
            <w:tcW w:w="817" w:type="dxa"/>
            <w:vAlign w:val="center"/>
          </w:tcPr>
          <w:p w:rsidR="00A9050D" w:rsidRDefault="00896817">
            <w:pPr>
              <w:jc w:val="center"/>
            </w:pPr>
            <w:r>
              <w:rPr>
                <w:color w:val="000000"/>
                <w:sz w:val="24"/>
              </w:rPr>
              <w:t>3</w:t>
            </w:r>
          </w:p>
        </w:tc>
        <w:tc>
          <w:tcPr>
            <w:tcW w:w="1276" w:type="dxa"/>
            <w:vAlign w:val="center"/>
          </w:tcPr>
          <w:p w:rsidR="00A9050D" w:rsidRDefault="00896817">
            <w:pPr>
              <w:jc w:val="center"/>
            </w:pPr>
            <w:r>
              <w:rPr>
                <w:color w:val="000000"/>
                <w:sz w:val="24"/>
              </w:rPr>
              <w:t>300760</w:t>
            </w:r>
          </w:p>
        </w:tc>
        <w:tc>
          <w:tcPr>
            <w:tcW w:w="1559" w:type="dxa"/>
            <w:vAlign w:val="center"/>
          </w:tcPr>
          <w:p w:rsidR="00A9050D" w:rsidRDefault="00896817">
            <w:pPr>
              <w:jc w:val="center"/>
            </w:pPr>
            <w:r>
              <w:rPr>
                <w:color w:val="000000"/>
                <w:sz w:val="24"/>
              </w:rPr>
              <w:t>迈瑞医疗</w:t>
            </w:r>
          </w:p>
        </w:tc>
        <w:tc>
          <w:tcPr>
            <w:tcW w:w="1843" w:type="dxa"/>
            <w:vAlign w:val="center"/>
          </w:tcPr>
          <w:p w:rsidR="00A9050D" w:rsidRDefault="00896817">
            <w:pPr>
              <w:jc w:val="right"/>
            </w:pPr>
            <w:r>
              <w:rPr>
                <w:color w:val="000000"/>
                <w:sz w:val="24"/>
              </w:rPr>
              <w:t>256,500</w:t>
            </w:r>
          </w:p>
        </w:tc>
        <w:tc>
          <w:tcPr>
            <w:tcW w:w="2268" w:type="dxa"/>
            <w:vAlign w:val="center"/>
          </w:tcPr>
          <w:p w:rsidR="00A9050D" w:rsidRDefault="00896817">
            <w:pPr>
              <w:jc w:val="right"/>
            </w:pPr>
            <w:r>
              <w:rPr>
                <w:color w:val="000000"/>
                <w:sz w:val="24"/>
              </w:rPr>
              <w:t>89,262,000.00</w:t>
            </w:r>
          </w:p>
        </w:tc>
        <w:tc>
          <w:tcPr>
            <w:tcW w:w="1134" w:type="dxa"/>
            <w:vAlign w:val="center"/>
          </w:tcPr>
          <w:p w:rsidR="00A9050D" w:rsidRDefault="00896817">
            <w:pPr>
              <w:jc w:val="right"/>
            </w:pPr>
            <w:r>
              <w:rPr>
                <w:color w:val="000000"/>
                <w:sz w:val="24"/>
              </w:rPr>
              <w:t>7.75</w:t>
            </w:r>
          </w:p>
        </w:tc>
      </w:tr>
      <w:tr w:rsidR="00A9050D">
        <w:tc>
          <w:tcPr>
            <w:tcW w:w="817" w:type="dxa"/>
            <w:vAlign w:val="center"/>
          </w:tcPr>
          <w:p w:rsidR="00A9050D" w:rsidRDefault="00896817">
            <w:pPr>
              <w:jc w:val="center"/>
            </w:pPr>
            <w:r>
              <w:rPr>
                <w:color w:val="000000"/>
                <w:sz w:val="24"/>
              </w:rPr>
              <w:t>4</w:t>
            </w:r>
          </w:p>
        </w:tc>
        <w:tc>
          <w:tcPr>
            <w:tcW w:w="1276" w:type="dxa"/>
            <w:vAlign w:val="center"/>
          </w:tcPr>
          <w:p w:rsidR="00A9050D" w:rsidRDefault="00896817">
            <w:pPr>
              <w:jc w:val="center"/>
            </w:pPr>
            <w:r>
              <w:rPr>
                <w:color w:val="000000"/>
                <w:sz w:val="24"/>
              </w:rPr>
              <w:t>300015</w:t>
            </w:r>
          </w:p>
        </w:tc>
        <w:tc>
          <w:tcPr>
            <w:tcW w:w="1559" w:type="dxa"/>
            <w:vAlign w:val="center"/>
          </w:tcPr>
          <w:p w:rsidR="00A9050D" w:rsidRDefault="00896817">
            <w:pPr>
              <w:jc w:val="center"/>
            </w:pPr>
            <w:r>
              <w:rPr>
                <w:color w:val="000000"/>
                <w:sz w:val="24"/>
              </w:rPr>
              <w:t>爱尔眼科</w:t>
            </w:r>
          </w:p>
        </w:tc>
        <w:tc>
          <w:tcPr>
            <w:tcW w:w="1843" w:type="dxa"/>
            <w:vAlign w:val="center"/>
          </w:tcPr>
          <w:p w:rsidR="00A9050D" w:rsidRDefault="00896817">
            <w:pPr>
              <w:jc w:val="right"/>
            </w:pPr>
            <w:r>
              <w:rPr>
                <w:color w:val="000000"/>
                <w:sz w:val="24"/>
              </w:rPr>
              <w:t>1,065,290</w:t>
            </w:r>
          </w:p>
        </w:tc>
        <w:tc>
          <w:tcPr>
            <w:tcW w:w="2268" w:type="dxa"/>
            <w:vAlign w:val="center"/>
          </w:tcPr>
          <w:p w:rsidR="00A9050D" w:rsidRDefault="00896817">
            <w:pPr>
              <w:jc w:val="right"/>
            </w:pPr>
            <w:r>
              <w:rPr>
                <w:color w:val="000000"/>
                <w:sz w:val="24"/>
              </w:rPr>
              <w:t>54,777,211.80</w:t>
            </w:r>
          </w:p>
        </w:tc>
        <w:tc>
          <w:tcPr>
            <w:tcW w:w="1134" w:type="dxa"/>
            <w:vAlign w:val="center"/>
          </w:tcPr>
          <w:p w:rsidR="00A9050D" w:rsidRDefault="00896817">
            <w:pPr>
              <w:jc w:val="right"/>
            </w:pPr>
            <w:r>
              <w:rPr>
                <w:color w:val="000000"/>
                <w:sz w:val="24"/>
              </w:rPr>
              <w:t>4.76</w:t>
            </w:r>
          </w:p>
        </w:tc>
      </w:tr>
      <w:tr w:rsidR="00A9050D">
        <w:tc>
          <w:tcPr>
            <w:tcW w:w="817" w:type="dxa"/>
            <w:vAlign w:val="center"/>
          </w:tcPr>
          <w:p w:rsidR="00A9050D" w:rsidRDefault="00896817">
            <w:pPr>
              <w:jc w:val="center"/>
            </w:pPr>
            <w:r>
              <w:rPr>
                <w:color w:val="000000"/>
                <w:sz w:val="24"/>
              </w:rPr>
              <w:t>5</w:t>
            </w:r>
          </w:p>
        </w:tc>
        <w:tc>
          <w:tcPr>
            <w:tcW w:w="1276" w:type="dxa"/>
            <w:vAlign w:val="center"/>
          </w:tcPr>
          <w:p w:rsidR="00A9050D" w:rsidRDefault="00896817">
            <w:pPr>
              <w:jc w:val="center"/>
            </w:pPr>
            <w:r>
              <w:rPr>
                <w:color w:val="000000"/>
                <w:sz w:val="24"/>
              </w:rPr>
              <w:t>300122</w:t>
            </w:r>
          </w:p>
        </w:tc>
        <w:tc>
          <w:tcPr>
            <w:tcW w:w="1559" w:type="dxa"/>
            <w:vAlign w:val="center"/>
          </w:tcPr>
          <w:p w:rsidR="00A9050D" w:rsidRDefault="00896817">
            <w:pPr>
              <w:jc w:val="center"/>
            </w:pPr>
            <w:r>
              <w:rPr>
                <w:color w:val="000000"/>
                <w:sz w:val="24"/>
              </w:rPr>
              <w:t>智飞生物</w:t>
            </w:r>
          </w:p>
        </w:tc>
        <w:tc>
          <w:tcPr>
            <w:tcW w:w="1843" w:type="dxa"/>
            <w:vAlign w:val="center"/>
          </w:tcPr>
          <w:p w:rsidR="00A9050D" w:rsidRDefault="00896817">
            <w:pPr>
              <w:jc w:val="right"/>
            </w:pPr>
            <w:r>
              <w:rPr>
                <w:color w:val="000000"/>
                <w:sz w:val="24"/>
              </w:rPr>
              <w:t>344,303</w:t>
            </w:r>
          </w:p>
        </w:tc>
        <w:tc>
          <w:tcPr>
            <w:tcW w:w="2268" w:type="dxa"/>
            <w:vAlign w:val="center"/>
          </w:tcPr>
          <w:p w:rsidR="00A9050D" w:rsidRDefault="00896817">
            <w:pPr>
              <w:jc w:val="right"/>
            </w:pPr>
            <w:r>
              <w:rPr>
                <w:color w:val="000000"/>
                <w:sz w:val="24"/>
              </w:rPr>
              <w:t>47,964,850.93</w:t>
            </w:r>
          </w:p>
        </w:tc>
        <w:tc>
          <w:tcPr>
            <w:tcW w:w="1134" w:type="dxa"/>
            <w:vAlign w:val="center"/>
          </w:tcPr>
          <w:p w:rsidR="00A9050D" w:rsidRDefault="00896817">
            <w:pPr>
              <w:jc w:val="right"/>
            </w:pPr>
            <w:r>
              <w:rPr>
                <w:color w:val="000000"/>
                <w:sz w:val="24"/>
              </w:rPr>
              <w:t>4.16</w:t>
            </w:r>
          </w:p>
        </w:tc>
      </w:tr>
      <w:tr w:rsidR="00A9050D">
        <w:tc>
          <w:tcPr>
            <w:tcW w:w="817" w:type="dxa"/>
            <w:vAlign w:val="center"/>
          </w:tcPr>
          <w:p w:rsidR="00A9050D" w:rsidRDefault="00896817">
            <w:pPr>
              <w:jc w:val="center"/>
            </w:pPr>
            <w:r>
              <w:rPr>
                <w:color w:val="000000"/>
                <w:sz w:val="24"/>
              </w:rPr>
              <w:t>6</w:t>
            </w:r>
          </w:p>
        </w:tc>
        <w:tc>
          <w:tcPr>
            <w:tcW w:w="1276" w:type="dxa"/>
            <w:vAlign w:val="center"/>
          </w:tcPr>
          <w:p w:rsidR="00A9050D" w:rsidRDefault="00896817">
            <w:pPr>
              <w:jc w:val="center"/>
            </w:pPr>
            <w:r>
              <w:rPr>
                <w:color w:val="000000"/>
                <w:sz w:val="24"/>
              </w:rPr>
              <w:t>300142</w:t>
            </w:r>
          </w:p>
        </w:tc>
        <w:tc>
          <w:tcPr>
            <w:tcW w:w="1559" w:type="dxa"/>
            <w:vAlign w:val="center"/>
          </w:tcPr>
          <w:p w:rsidR="00A9050D" w:rsidRDefault="00896817">
            <w:pPr>
              <w:jc w:val="center"/>
            </w:pPr>
            <w:r>
              <w:rPr>
                <w:color w:val="000000"/>
                <w:sz w:val="24"/>
              </w:rPr>
              <w:t>沃森生物</w:t>
            </w:r>
          </w:p>
        </w:tc>
        <w:tc>
          <w:tcPr>
            <w:tcW w:w="1843" w:type="dxa"/>
            <w:vAlign w:val="center"/>
          </w:tcPr>
          <w:p w:rsidR="00A9050D" w:rsidRDefault="00896817">
            <w:pPr>
              <w:jc w:val="right"/>
            </w:pPr>
            <w:r>
              <w:rPr>
                <w:color w:val="000000"/>
                <w:sz w:val="24"/>
              </w:rPr>
              <w:t>913,704</w:t>
            </w:r>
          </w:p>
        </w:tc>
        <w:tc>
          <w:tcPr>
            <w:tcW w:w="2268" w:type="dxa"/>
            <w:vAlign w:val="center"/>
          </w:tcPr>
          <w:p w:rsidR="00A9050D" w:rsidRDefault="00896817">
            <w:pPr>
              <w:jc w:val="right"/>
            </w:pPr>
            <w:r>
              <w:rPr>
                <w:color w:val="000000"/>
                <w:sz w:val="24"/>
              </w:rPr>
              <w:t>46,489,259.52</w:t>
            </w:r>
          </w:p>
        </w:tc>
        <w:tc>
          <w:tcPr>
            <w:tcW w:w="1134" w:type="dxa"/>
            <w:vAlign w:val="center"/>
          </w:tcPr>
          <w:p w:rsidR="00A9050D" w:rsidRDefault="00896817">
            <w:pPr>
              <w:jc w:val="right"/>
            </w:pPr>
            <w:r>
              <w:rPr>
                <w:color w:val="000000"/>
                <w:sz w:val="24"/>
              </w:rPr>
              <w:t>4.04</w:t>
            </w:r>
          </w:p>
        </w:tc>
      </w:tr>
      <w:tr w:rsidR="00A9050D">
        <w:tc>
          <w:tcPr>
            <w:tcW w:w="817" w:type="dxa"/>
            <w:vAlign w:val="center"/>
          </w:tcPr>
          <w:p w:rsidR="00A9050D" w:rsidRDefault="00896817">
            <w:pPr>
              <w:jc w:val="center"/>
            </w:pPr>
            <w:r>
              <w:rPr>
                <w:color w:val="000000"/>
                <w:sz w:val="24"/>
              </w:rPr>
              <w:t>7</w:t>
            </w:r>
          </w:p>
        </w:tc>
        <w:tc>
          <w:tcPr>
            <w:tcW w:w="1276" w:type="dxa"/>
            <w:vAlign w:val="center"/>
          </w:tcPr>
          <w:p w:rsidR="00A9050D" w:rsidRDefault="00896817">
            <w:pPr>
              <w:jc w:val="center"/>
            </w:pPr>
            <w:r>
              <w:rPr>
                <w:color w:val="000000"/>
                <w:sz w:val="24"/>
              </w:rPr>
              <w:t>300124</w:t>
            </w:r>
          </w:p>
        </w:tc>
        <w:tc>
          <w:tcPr>
            <w:tcW w:w="1559" w:type="dxa"/>
            <w:vAlign w:val="center"/>
          </w:tcPr>
          <w:p w:rsidR="00A9050D" w:rsidRDefault="00896817">
            <w:pPr>
              <w:jc w:val="center"/>
            </w:pPr>
            <w:r>
              <w:rPr>
                <w:color w:val="000000"/>
                <w:sz w:val="24"/>
              </w:rPr>
              <w:t>汇川技术</w:t>
            </w:r>
          </w:p>
        </w:tc>
        <w:tc>
          <w:tcPr>
            <w:tcW w:w="1843" w:type="dxa"/>
            <w:vAlign w:val="center"/>
          </w:tcPr>
          <w:p w:rsidR="00A9050D" w:rsidRDefault="00896817">
            <w:pPr>
              <w:jc w:val="right"/>
            </w:pPr>
            <w:r>
              <w:rPr>
                <w:color w:val="000000"/>
                <w:sz w:val="24"/>
              </w:rPr>
              <w:t>700,273</w:t>
            </w:r>
          </w:p>
        </w:tc>
        <w:tc>
          <w:tcPr>
            <w:tcW w:w="2268" w:type="dxa"/>
            <w:vAlign w:val="center"/>
          </w:tcPr>
          <w:p w:rsidR="00A9050D" w:rsidRDefault="00896817">
            <w:pPr>
              <w:jc w:val="right"/>
            </w:pPr>
            <w:r>
              <w:rPr>
                <w:color w:val="000000"/>
                <w:sz w:val="24"/>
              </w:rPr>
              <w:t>40,545,806.70</w:t>
            </w:r>
          </w:p>
        </w:tc>
        <w:tc>
          <w:tcPr>
            <w:tcW w:w="1134" w:type="dxa"/>
            <w:vAlign w:val="center"/>
          </w:tcPr>
          <w:p w:rsidR="00A9050D" w:rsidRDefault="00896817">
            <w:pPr>
              <w:jc w:val="right"/>
            </w:pPr>
            <w:r>
              <w:rPr>
                <w:color w:val="000000"/>
                <w:sz w:val="24"/>
              </w:rPr>
              <w:t>3.52</w:t>
            </w:r>
          </w:p>
        </w:tc>
      </w:tr>
      <w:tr w:rsidR="00A9050D">
        <w:tc>
          <w:tcPr>
            <w:tcW w:w="817" w:type="dxa"/>
            <w:vAlign w:val="center"/>
          </w:tcPr>
          <w:p w:rsidR="00A9050D" w:rsidRDefault="00896817">
            <w:pPr>
              <w:jc w:val="center"/>
            </w:pPr>
            <w:r>
              <w:rPr>
                <w:color w:val="000000"/>
                <w:sz w:val="24"/>
              </w:rPr>
              <w:t>8</w:t>
            </w:r>
          </w:p>
        </w:tc>
        <w:tc>
          <w:tcPr>
            <w:tcW w:w="1276" w:type="dxa"/>
            <w:vAlign w:val="center"/>
          </w:tcPr>
          <w:p w:rsidR="00A9050D" w:rsidRDefault="00896817">
            <w:pPr>
              <w:jc w:val="center"/>
            </w:pPr>
            <w:r>
              <w:rPr>
                <w:color w:val="000000"/>
                <w:sz w:val="24"/>
              </w:rPr>
              <w:t>300014</w:t>
            </w:r>
          </w:p>
        </w:tc>
        <w:tc>
          <w:tcPr>
            <w:tcW w:w="1559" w:type="dxa"/>
            <w:vAlign w:val="center"/>
          </w:tcPr>
          <w:p w:rsidR="00A9050D" w:rsidRDefault="00896817">
            <w:pPr>
              <w:jc w:val="center"/>
            </w:pPr>
            <w:r>
              <w:rPr>
                <w:color w:val="000000"/>
                <w:sz w:val="24"/>
              </w:rPr>
              <w:t>亿纬锂能</w:t>
            </w:r>
          </w:p>
        </w:tc>
        <w:tc>
          <w:tcPr>
            <w:tcW w:w="1843" w:type="dxa"/>
            <w:vAlign w:val="center"/>
          </w:tcPr>
          <w:p w:rsidR="00A9050D" w:rsidRDefault="00896817">
            <w:pPr>
              <w:jc w:val="right"/>
            </w:pPr>
            <w:r>
              <w:rPr>
                <w:color w:val="000000"/>
                <w:sz w:val="24"/>
              </w:rPr>
              <w:t>757,031</w:t>
            </w:r>
          </w:p>
        </w:tc>
        <w:tc>
          <w:tcPr>
            <w:tcW w:w="2268" w:type="dxa"/>
            <w:vAlign w:val="center"/>
          </w:tcPr>
          <w:p w:rsidR="00A9050D" w:rsidRDefault="00896817">
            <w:pPr>
              <w:jc w:val="right"/>
            </w:pPr>
            <w:r>
              <w:rPr>
                <w:color w:val="000000"/>
                <w:sz w:val="24"/>
              </w:rPr>
              <w:t>37,473,034.50</w:t>
            </w:r>
          </w:p>
        </w:tc>
        <w:tc>
          <w:tcPr>
            <w:tcW w:w="1134" w:type="dxa"/>
            <w:vAlign w:val="center"/>
          </w:tcPr>
          <w:p w:rsidR="00A9050D" w:rsidRDefault="00896817">
            <w:pPr>
              <w:jc w:val="right"/>
            </w:pPr>
            <w:r>
              <w:rPr>
                <w:color w:val="000000"/>
                <w:sz w:val="24"/>
              </w:rPr>
              <w:t>3.25</w:t>
            </w:r>
          </w:p>
        </w:tc>
      </w:tr>
      <w:tr w:rsidR="00A9050D">
        <w:tc>
          <w:tcPr>
            <w:tcW w:w="817" w:type="dxa"/>
            <w:vAlign w:val="center"/>
          </w:tcPr>
          <w:p w:rsidR="00A9050D" w:rsidRDefault="00896817">
            <w:pPr>
              <w:jc w:val="center"/>
            </w:pPr>
            <w:r>
              <w:rPr>
                <w:color w:val="000000"/>
                <w:sz w:val="24"/>
              </w:rPr>
              <w:t>9</w:t>
            </w:r>
          </w:p>
        </w:tc>
        <w:tc>
          <w:tcPr>
            <w:tcW w:w="1276" w:type="dxa"/>
            <w:vAlign w:val="center"/>
          </w:tcPr>
          <w:p w:rsidR="00A9050D" w:rsidRDefault="00896817">
            <w:pPr>
              <w:jc w:val="center"/>
            </w:pPr>
            <w:r>
              <w:rPr>
                <w:color w:val="000000"/>
                <w:sz w:val="24"/>
              </w:rPr>
              <w:t>300601</w:t>
            </w:r>
          </w:p>
        </w:tc>
        <w:tc>
          <w:tcPr>
            <w:tcW w:w="1559" w:type="dxa"/>
            <w:vAlign w:val="center"/>
          </w:tcPr>
          <w:p w:rsidR="00A9050D" w:rsidRDefault="00896817">
            <w:pPr>
              <w:jc w:val="center"/>
            </w:pPr>
            <w:r>
              <w:rPr>
                <w:color w:val="000000"/>
                <w:sz w:val="24"/>
              </w:rPr>
              <w:t>康泰生物</w:t>
            </w:r>
          </w:p>
        </w:tc>
        <w:tc>
          <w:tcPr>
            <w:tcW w:w="1843" w:type="dxa"/>
            <w:vAlign w:val="center"/>
          </w:tcPr>
          <w:p w:rsidR="00A9050D" w:rsidRDefault="00896817">
            <w:pPr>
              <w:jc w:val="right"/>
            </w:pPr>
            <w:r>
              <w:rPr>
                <w:color w:val="000000"/>
                <w:sz w:val="24"/>
              </w:rPr>
              <w:t>185,565</w:t>
            </w:r>
          </w:p>
        </w:tc>
        <w:tc>
          <w:tcPr>
            <w:tcW w:w="2268" w:type="dxa"/>
            <w:vAlign w:val="center"/>
          </w:tcPr>
          <w:p w:rsidR="00A9050D" w:rsidRDefault="00896817">
            <w:pPr>
              <w:jc w:val="right"/>
            </w:pPr>
            <w:r>
              <w:rPr>
                <w:color w:val="000000"/>
                <w:sz w:val="24"/>
              </w:rPr>
              <w:t>33,774,685.65</w:t>
            </w:r>
          </w:p>
        </w:tc>
        <w:tc>
          <w:tcPr>
            <w:tcW w:w="1134" w:type="dxa"/>
            <w:vAlign w:val="center"/>
          </w:tcPr>
          <w:p w:rsidR="00A9050D" w:rsidRDefault="00896817">
            <w:pPr>
              <w:jc w:val="right"/>
            </w:pPr>
            <w:r>
              <w:rPr>
                <w:color w:val="000000"/>
                <w:sz w:val="24"/>
              </w:rPr>
              <w:t>2.93</w:t>
            </w:r>
          </w:p>
        </w:tc>
      </w:tr>
      <w:tr w:rsidR="00A9050D">
        <w:tc>
          <w:tcPr>
            <w:tcW w:w="817" w:type="dxa"/>
            <w:vAlign w:val="center"/>
          </w:tcPr>
          <w:p w:rsidR="00A9050D" w:rsidRDefault="00896817">
            <w:pPr>
              <w:jc w:val="center"/>
            </w:pPr>
            <w:r>
              <w:rPr>
                <w:color w:val="000000"/>
                <w:sz w:val="24"/>
              </w:rPr>
              <w:t>10</w:t>
            </w:r>
          </w:p>
        </w:tc>
        <w:tc>
          <w:tcPr>
            <w:tcW w:w="1276" w:type="dxa"/>
            <w:vAlign w:val="center"/>
          </w:tcPr>
          <w:p w:rsidR="00A9050D" w:rsidRDefault="00896817">
            <w:pPr>
              <w:jc w:val="center"/>
            </w:pPr>
            <w:r>
              <w:rPr>
                <w:color w:val="000000"/>
                <w:sz w:val="24"/>
              </w:rPr>
              <w:t>300347</w:t>
            </w:r>
          </w:p>
        </w:tc>
        <w:tc>
          <w:tcPr>
            <w:tcW w:w="1559" w:type="dxa"/>
            <w:vAlign w:val="center"/>
          </w:tcPr>
          <w:p w:rsidR="00A9050D" w:rsidRDefault="00896817">
            <w:pPr>
              <w:jc w:val="center"/>
            </w:pPr>
            <w:r>
              <w:rPr>
                <w:color w:val="000000"/>
                <w:sz w:val="24"/>
              </w:rPr>
              <w:t>泰格医药</w:t>
            </w:r>
          </w:p>
        </w:tc>
        <w:tc>
          <w:tcPr>
            <w:tcW w:w="1843" w:type="dxa"/>
            <w:vAlign w:val="center"/>
          </w:tcPr>
          <w:p w:rsidR="00A9050D" w:rsidRDefault="00896817">
            <w:pPr>
              <w:jc w:val="right"/>
            </w:pPr>
            <w:r>
              <w:rPr>
                <w:color w:val="000000"/>
                <w:sz w:val="24"/>
              </w:rPr>
              <w:t>323,249</w:t>
            </w:r>
          </w:p>
        </w:tc>
        <w:tc>
          <w:tcPr>
            <w:tcW w:w="2268" w:type="dxa"/>
            <w:vAlign w:val="center"/>
          </w:tcPr>
          <w:p w:rsidR="00A9050D" w:rsidRDefault="00896817">
            <w:pPr>
              <w:jc w:val="right"/>
            </w:pPr>
            <w:r>
              <w:rPr>
                <w:color w:val="000000"/>
                <w:sz w:val="24"/>
              </w:rPr>
              <w:t>33,278,484.55</w:t>
            </w:r>
          </w:p>
        </w:tc>
        <w:tc>
          <w:tcPr>
            <w:tcW w:w="1134" w:type="dxa"/>
            <w:vAlign w:val="center"/>
          </w:tcPr>
          <w:p w:rsidR="00A9050D" w:rsidRDefault="00896817">
            <w:pPr>
              <w:jc w:val="right"/>
            </w:pPr>
            <w:r>
              <w:rPr>
                <w:color w:val="000000"/>
                <w:sz w:val="24"/>
              </w:rPr>
              <w:t>2.89</w:t>
            </w:r>
          </w:p>
        </w:tc>
      </w:tr>
    </w:tbl>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5.3.2</w:t>
      </w:r>
      <w:r w:rsidR="00AB077A">
        <w:rPr>
          <w:rFonts w:ascii="宋体" w:hAnsi="宋体" w:cs="Arial" w:hint="eastAsia"/>
          <w:b/>
          <w:color w:val="000000"/>
          <w:kern w:val="0"/>
          <w:sz w:val="24"/>
        </w:rPr>
        <w:t>报告</w:t>
      </w:r>
      <w:r w:rsidRPr="00045BEC">
        <w:rPr>
          <w:rFonts w:ascii="宋体" w:hAnsi="宋体" w:cs="Arial" w:hint="eastAsia"/>
          <w:b/>
          <w:color w:val="000000"/>
          <w:kern w:val="0"/>
          <w:sz w:val="24"/>
        </w:rPr>
        <w:t>期末</w:t>
      </w:r>
      <w:r w:rsidRPr="00045BEC">
        <w:rPr>
          <w:rFonts w:ascii="宋体" w:hAnsi="宋体" w:hint="eastAsia"/>
          <w:b/>
          <w:sz w:val="24"/>
        </w:rPr>
        <w:t>积极投资按公允价值占基金资产净值比例大小排序的前五名股票投资明细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843"/>
        <w:gridCol w:w="2126"/>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7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126"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A9050D">
        <w:tc>
          <w:tcPr>
            <w:tcW w:w="817" w:type="dxa"/>
            <w:vAlign w:val="center"/>
          </w:tcPr>
          <w:p w:rsidR="00A9050D" w:rsidRDefault="00896817">
            <w:pPr>
              <w:jc w:val="center"/>
            </w:pPr>
            <w:r>
              <w:rPr>
                <w:color w:val="000000"/>
                <w:sz w:val="24"/>
              </w:rPr>
              <w:t>1</w:t>
            </w:r>
          </w:p>
        </w:tc>
        <w:tc>
          <w:tcPr>
            <w:tcW w:w="1276" w:type="dxa"/>
            <w:vAlign w:val="center"/>
          </w:tcPr>
          <w:p w:rsidR="00A9050D" w:rsidRDefault="00896817">
            <w:pPr>
              <w:jc w:val="center"/>
            </w:pPr>
            <w:r>
              <w:rPr>
                <w:color w:val="000000"/>
                <w:sz w:val="24"/>
              </w:rPr>
              <w:t>300999</w:t>
            </w:r>
          </w:p>
        </w:tc>
        <w:tc>
          <w:tcPr>
            <w:tcW w:w="1701" w:type="dxa"/>
            <w:vAlign w:val="center"/>
          </w:tcPr>
          <w:p w:rsidR="00A9050D" w:rsidRDefault="00896817">
            <w:pPr>
              <w:jc w:val="center"/>
            </w:pPr>
            <w:r>
              <w:rPr>
                <w:color w:val="000000"/>
                <w:sz w:val="24"/>
              </w:rPr>
              <w:t>金龙鱼</w:t>
            </w:r>
          </w:p>
        </w:tc>
        <w:tc>
          <w:tcPr>
            <w:tcW w:w="1843" w:type="dxa"/>
            <w:vAlign w:val="center"/>
          </w:tcPr>
          <w:p w:rsidR="00A9050D" w:rsidRDefault="00896817">
            <w:pPr>
              <w:jc w:val="right"/>
            </w:pPr>
            <w:r>
              <w:rPr>
                <w:color w:val="000000"/>
                <w:sz w:val="24"/>
              </w:rPr>
              <w:t>63,140</w:t>
            </w:r>
          </w:p>
        </w:tc>
        <w:tc>
          <w:tcPr>
            <w:tcW w:w="2126" w:type="dxa"/>
            <w:vAlign w:val="center"/>
          </w:tcPr>
          <w:p w:rsidR="00A9050D" w:rsidRDefault="00896817">
            <w:pPr>
              <w:jc w:val="right"/>
            </w:pPr>
            <w:r>
              <w:rPr>
                <w:color w:val="000000"/>
                <w:sz w:val="24"/>
              </w:rPr>
              <w:t>1,622,698.00</w:t>
            </w:r>
          </w:p>
        </w:tc>
        <w:tc>
          <w:tcPr>
            <w:tcW w:w="1134" w:type="dxa"/>
            <w:vAlign w:val="center"/>
          </w:tcPr>
          <w:p w:rsidR="00A9050D" w:rsidRDefault="00896817">
            <w:pPr>
              <w:jc w:val="right"/>
            </w:pPr>
            <w:r>
              <w:rPr>
                <w:color w:val="000000"/>
                <w:sz w:val="24"/>
              </w:rPr>
              <w:t>0.14</w:t>
            </w:r>
          </w:p>
        </w:tc>
      </w:tr>
      <w:tr w:rsidR="00A9050D">
        <w:tc>
          <w:tcPr>
            <w:tcW w:w="817" w:type="dxa"/>
            <w:vAlign w:val="center"/>
          </w:tcPr>
          <w:p w:rsidR="00A9050D" w:rsidRDefault="00896817">
            <w:pPr>
              <w:jc w:val="center"/>
            </w:pPr>
            <w:r>
              <w:rPr>
                <w:color w:val="000000"/>
                <w:sz w:val="24"/>
              </w:rPr>
              <w:t>2</w:t>
            </w:r>
          </w:p>
        </w:tc>
        <w:tc>
          <w:tcPr>
            <w:tcW w:w="1276" w:type="dxa"/>
            <w:vAlign w:val="center"/>
          </w:tcPr>
          <w:p w:rsidR="00A9050D" w:rsidRDefault="00896817">
            <w:pPr>
              <w:jc w:val="center"/>
            </w:pPr>
            <w:r>
              <w:rPr>
                <w:color w:val="000000"/>
                <w:sz w:val="24"/>
              </w:rPr>
              <w:t>300896</w:t>
            </w:r>
          </w:p>
        </w:tc>
        <w:tc>
          <w:tcPr>
            <w:tcW w:w="1701" w:type="dxa"/>
            <w:vAlign w:val="center"/>
          </w:tcPr>
          <w:p w:rsidR="00A9050D" w:rsidRDefault="00896817">
            <w:pPr>
              <w:jc w:val="center"/>
            </w:pPr>
            <w:r>
              <w:rPr>
                <w:color w:val="000000"/>
                <w:sz w:val="24"/>
              </w:rPr>
              <w:t>爱美客</w:t>
            </w:r>
          </w:p>
        </w:tc>
        <w:tc>
          <w:tcPr>
            <w:tcW w:w="1843" w:type="dxa"/>
            <w:vAlign w:val="center"/>
          </w:tcPr>
          <w:p w:rsidR="00A9050D" w:rsidRDefault="00896817">
            <w:pPr>
              <w:jc w:val="right"/>
            </w:pPr>
            <w:r>
              <w:rPr>
                <w:color w:val="000000"/>
                <w:sz w:val="24"/>
              </w:rPr>
              <w:t>4,257</w:t>
            </w:r>
          </w:p>
        </w:tc>
        <w:tc>
          <w:tcPr>
            <w:tcW w:w="2126" w:type="dxa"/>
            <w:vAlign w:val="center"/>
          </w:tcPr>
          <w:p w:rsidR="00A9050D" w:rsidRDefault="00896817">
            <w:pPr>
              <w:jc w:val="right"/>
            </w:pPr>
            <w:r>
              <w:rPr>
                <w:color w:val="000000"/>
                <w:sz w:val="24"/>
              </w:rPr>
              <w:t>1,375,129.86</w:t>
            </w:r>
          </w:p>
        </w:tc>
        <w:tc>
          <w:tcPr>
            <w:tcW w:w="1134" w:type="dxa"/>
            <w:vAlign w:val="center"/>
          </w:tcPr>
          <w:p w:rsidR="00A9050D" w:rsidRDefault="00896817">
            <w:pPr>
              <w:jc w:val="right"/>
            </w:pPr>
            <w:r>
              <w:rPr>
                <w:color w:val="000000"/>
                <w:sz w:val="24"/>
              </w:rPr>
              <w:t>0.12</w:t>
            </w:r>
          </w:p>
        </w:tc>
      </w:tr>
      <w:tr w:rsidR="00A9050D">
        <w:tc>
          <w:tcPr>
            <w:tcW w:w="817" w:type="dxa"/>
            <w:vAlign w:val="center"/>
          </w:tcPr>
          <w:p w:rsidR="00A9050D" w:rsidRDefault="00896817">
            <w:pPr>
              <w:jc w:val="center"/>
            </w:pPr>
            <w:r>
              <w:rPr>
                <w:color w:val="000000"/>
                <w:sz w:val="24"/>
              </w:rPr>
              <w:t>3</w:t>
            </w:r>
          </w:p>
        </w:tc>
        <w:tc>
          <w:tcPr>
            <w:tcW w:w="1276" w:type="dxa"/>
            <w:vAlign w:val="center"/>
          </w:tcPr>
          <w:p w:rsidR="00A9050D" w:rsidRDefault="00896817">
            <w:pPr>
              <w:jc w:val="center"/>
            </w:pPr>
            <w:r>
              <w:rPr>
                <w:color w:val="000000"/>
                <w:sz w:val="24"/>
              </w:rPr>
              <w:t>300891</w:t>
            </w:r>
          </w:p>
        </w:tc>
        <w:tc>
          <w:tcPr>
            <w:tcW w:w="1701" w:type="dxa"/>
            <w:vAlign w:val="center"/>
          </w:tcPr>
          <w:p w:rsidR="00A9050D" w:rsidRDefault="00896817">
            <w:pPr>
              <w:jc w:val="center"/>
            </w:pPr>
            <w:r>
              <w:rPr>
                <w:color w:val="000000"/>
                <w:sz w:val="24"/>
              </w:rPr>
              <w:t>惠云钛业</w:t>
            </w:r>
          </w:p>
        </w:tc>
        <w:tc>
          <w:tcPr>
            <w:tcW w:w="1843" w:type="dxa"/>
            <w:vAlign w:val="center"/>
          </w:tcPr>
          <w:p w:rsidR="00A9050D" w:rsidRDefault="00896817">
            <w:pPr>
              <w:jc w:val="right"/>
            </w:pPr>
            <w:r>
              <w:rPr>
                <w:color w:val="000000"/>
                <w:sz w:val="24"/>
              </w:rPr>
              <w:t>11,425</w:t>
            </w:r>
          </w:p>
        </w:tc>
        <w:tc>
          <w:tcPr>
            <w:tcW w:w="2126" w:type="dxa"/>
            <w:vAlign w:val="center"/>
          </w:tcPr>
          <w:p w:rsidR="00A9050D" w:rsidRDefault="00896817">
            <w:pPr>
              <w:jc w:val="right"/>
            </w:pPr>
            <w:r>
              <w:rPr>
                <w:color w:val="000000"/>
                <w:sz w:val="24"/>
              </w:rPr>
              <w:t>216,980.66</w:t>
            </w:r>
          </w:p>
        </w:tc>
        <w:tc>
          <w:tcPr>
            <w:tcW w:w="1134" w:type="dxa"/>
            <w:vAlign w:val="center"/>
          </w:tcPr>
          <w:p w:rsidR="00A9050D" w:rsidRDefault="00896817">
            <w:pPr>
              <w:jc w:val="right"/>
            </w:pPr>
            <w:r>
              <w:rPr>
                <w:color w:val="000000"/>
                <w:sz w:val="24"/>
              </w:rPr>
              <w:t>0.02</w:t>
            </w:r>
          </w:p>
        </w:tc>
      </w:tr>
      <w:tr w:rsidR="00A9050D">
        <w:tc>
          <w:tcPr>
            <w:tcW w:w="817" w:type="dxa"/>
            <w:vAlign w:val="center"/>
          </w:tcPr>
          <w:p w:rsidR="00A9050D" w:rsidRDefault="00896817">
            <w:pPr>
              <w:jc w:val="center"/>
            </w:pPr>
            <w:r>
              <w:rPr>
                <w:color w:val="000000"/>
                <w:sz w:val="24"/>
              </w:rPr>
              <w:t>4</w:t>
            </w:r>
          </w:p>
        </w:tc>
        <w:tc>
          <w:tcPr>
            <w:tcW w:w="1276" w:type="dxa"/>
            <w:vAlign w:val="center"/>
          </w:tcPr>
          <w:p w:rsidR="00A9050D" w:rsidRDefault="00896817">
            <w:pPr>
              <w:jc w:val="center"/>
            </w:pPr>
            <w:r>
              <w:rPr>
                <w:color w:val="000000"/>
                <w:sz w:val="24"/>
              </w:rPr>
              <w:t>300887</w:t>
            </w:r>
          </w:p>
        </w:tc>
        <w:tc>
          <w:tcPr>
            <w:tcW w:w="1701" w:type="dxa"/>
            <w:vAlign w:val="center"/>
          </w:tcPr>
          <w:p w:rsidR="00A9050D" w:rsidRDefault="00896817">
            <w:pPr>
              <w:jc w:val="center"/>
            </w:pPr>
            <w:r>
              <w:rPr>
                <w:color w:val="000000"/>
                <w:sz w:val="24"/>
              </w:rPr>
              <w:t>谱尼测试</w:t>
            </w:r>
          </w:p>
        </w:tc>
        <w:tc>
          <w:tcPr>
            <w:tcW w:w="1843" w:type="dxa"/>
            <w:vAlign w:val="center"/>
          </w:tcPr>
          <w:p w:rsidR="00A9050D" w:rsidRDefault="00896817">
            <w:pPr>
              <w:jc w:val="right"/>
            </w:pPr>
            <w:r>
              <w:rPr>
                <w:color w:val="000000"/>
                <w:sz w:val="24"/>
              </w:rPr>
              <w:t>2,098</w:t>
            </w:r>
          </w:p>
        </w:tc>
        <w:tc>
          <w:tcPr>
            <w:tcW w:w="2126" w:type="dxa"/>
            <w:vAlign w:val="center"/>
          </w:tcPr>
          <w:p w:rsidR="00A9050D" w:rsidRDefault="00896817">
            <w:pPr>
              <w:jc w:val="right"/>
            </w:pPr>
            <w:r>
              <w:rPr>
                <w:color w:val="000000"/>
                <w:sz w:val="24"/>
              </w:rPr>
              <w:t>180,995.16</w:t>
            </w:r>
          </w:p>
        </w:tc>
        <w:tc>
          <w:tcPr>
            <w:tcW w:w="1134" w:type="dxa"/>
            <w:vAlign w:val="center"/>
          </w:tcPr>
          <w:p w:rsidR="00A9050D" w:rsidRDefault="00896817">
            <w:pPr>
              <w:jc w:val="right"/>
            </w:pPr>
            <w:r>
              <w:rPr>
                <w:color w:val="000000"/>
                <w:sz w:val="24"/>
              </w:rPr>
              <w:t>0.02</w:t>
            </w:r>
          </w:p>
        </w:tc>
      </w:tr>
      <w:tr w:rsidR="00A9050D">
        <w:tc>
          <w:tcPr>
            <w:tcW w:w="817" w:type="dxa"/>
            <w:vAlign w:val="center"/>
          </w:tcPr>
          <w:p w:rsidR="00A9050D" w:rsidRDefault="00896817">
            <w:pPr>
              <w:jc w:val="center"/>
            </w:pPr>
            <w:r>
              <w:rPr>
                <w:color w:val="000000"/>
                <w:sz w:val="24"/>
              </w:rPr>
              <w:t>5</w:t>
            </w:r>
          </w:p>
        </w:tc>
        <w:tc>
          <w:tcPr>
            <w:tcW w:w="1276" w:type="dxa"/>
            <w:vAlign w:val="center"/>
          </w:tcPr>
          <w:p w:rsidR="00A9050D" w:rsidRDefault="00896817">
            <w:pPr>
              <w:jc w:val="center"/>
            </w:pPr>
            <w:r>
              <w:rPr>
                <w:color w:val="000000"/>
                <w:sz w:val="24"/>
              </w:rPr>
              <w:t>300890</w:t>
            </w:r>
          </w:p>
        </w:tc>
        <w:tc>
          <w:tcPr>
            <w:tcW w:w="1701" w:type="dxa"/>
            <w:vAlign w:val="center"/>
          </w:tcPr>
          <w:p w:rsidR="00A9050D" w:rsidRDefault="00896817">
            <w:pPr>
              <w:jc w:val="center"/>
            </w:pPr>
            <w:r>
              <w:rPr>
                <w:color w:val="000000"/>
                <w:sz w:val="24"/>
              </w:rPr>
              <w:t>翔丰华</w:t>
            </w:r>
          </w:p>
        </w:tc>
        <w:tc>
          <w:tcPr>
            <w:tcW w:w="1843" w:type="dxa"/>
            <w:vAlign w:val="center"/>
          </w:tcPr>
          <w:p w:rsidR="00A9050D" w:rsidRDefault="00896817">
            <w:pPr>
              <w:jc w:val="right"/>
            </w:pPr>
            <w:r>
              <w:rPr>
                <w:color w:val="000000"/>
                <w:sz w:val="24"/>
              </w:rPr>
              <w:t>2,854</w:t>
            </w:r>
          </w:p>
        </w:tc>
        <w:tc>
          <w:tcPr>
            <w:tcW w:w="2126" w:type="dxa"/>
            <w:vAlign w:val="center"/>
          </w:tcPr>
          <w:p w:rsidR="00A9050D" w:rsidRDefault="00896817">
            <w:pPr>
              <w:jc w:val="right"/>
            </w:pPr>
            <w:r>
              <w:rPr>
                <w:color w:val="000000"/>
                <w:sz w:val="24"/>
              </w:rPr>
              <w:t>136,002.46</w:t>
            </w:r>
          </w:p>
        </w:tc>
        <w:tc>
          <w:tcPr>
            <w:tcW w:w="1134" w:type="dxa"/>
            <w:vAlign w:val="center"/>
          </w:tcPr>
          <w:p w:rsidR="00A9050D" w:rsidRDefault="00896817">
            <w:pPr>
              <w:jc w:val="right"/>
            </w:pPr>
            <w:r>
              <w:rPr>
                <w:color w:val="000000"/>
                <w:sz w:val="24"/>
              </w:rPr>
              <w:t>0.01</w:t>
            </w:r>
          </w:p>
        </w:tc>
      </w:tr>
    </w:tbl>
    <w:p w:rsidR="00712EE5" w:rsidRPr="00712EE5" w:rsidRDefault="00A62673" w:rsidP="00712EE5">
      <w:pPr>
        <w:autoSpaceDE w:val="0"/>
        <w:autoSpaceDN w:val="0"/>
        <w:adjustRightInd w:val="0"/>
        <w:spacing w:line="360" w:lineRule="auto"/>
        <w:jc w:val="left"/>
        <w:rPr>
          <w:rFonts w:eastAsiaTheme="minorEastAsia"/>
          <w:b/>
          <w:color w:val="000000" w:themeColor="text1"/>
          <w:kern w:val="0"/>
          <w:sz w:val="24"/>
        </w:rPr>
      </w:pPr>
      <w:r w:rsidRPr="00EC5CE0">
        <w:rPr>
          <w:rFonts w:ascii="宋体" w:hAnsi="宋体" w:cs="Arial"/>
          <w:b/>
          <w:color w:val="000000"/>
          <w:kern w:val="0"/>
          <w:sz w:val="24"/>
        </w:rPr>
        <w:t xml:space="preserve">5.4 </w:t>
      </w:r>
      <w:r w:rsidRPr="00EC5CE0">
        <w:rPr>
          <w:rFonts w:ascii="宋体" w:hAnsi="宋体" w:cs="Arial" w:hint="eastAsia"/>
          <w:b/>
          <w:color w:val="000000"/>
          <w:kern w:val="0"/>
          <w:sz w:val="24"/>
        </w:rPr>
        <w:t>报告期末按债券品种分类的债券投资组合</w:t>
      </w:r>
    </w:p>
    <w:p w:rsidR="00A62673" w:rsidRPr="00BF18E8" w:rsidRDefault="00712EE5" w:rsidP="00712EE5">
      <w:pPr>
        <w:spacing w:line="360" w:lineRule="auto"/>
        <w:ind w:firstLineChars="200" w:firstLine="480"/>
        <w:rPr>
          <w:color w:val="000000"/>
          <w:sz w:val="24"/>
        </w:rPr>
      </w:pPr>
      <w:r w:rsidRPr="00BF18E8">
        <w:rPr>
          <w:color w:val="000000"/>
          <w:sz w:val="24"/>
        </w:rPr>
        <w:t>本基金本报告期末未持有债券。</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5.5 </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的前五名债券投资明细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本基金本报告期末未持有债券。</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5.6</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的前十名资产支持证券投资明细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本基金本报告期末未持有资产支持证券。</w:t>
      </w:r>
    </w:p>
    <w:p w:rsidR="00A62673" w:rsidRPr="001D63BB" w:rsidRDefault="00A62673" w:rsidP="008021E8">
      <w:pPr>
        <w:autoSpaceDE w:val="0"/>
        <w:autoSpaceDN w:val="0"/>
        <w:adjustRightInd w:val="0"/>
        <w:spacing w:line="360" w:lineRule="auto"/>
        <w:jc w:val="left"/>
        <w:rPr>
          <w:rFonts w:ascii="宋体"/>
          <w:b/>
          <w:bCs/>
          <w:color w:val="000000"/>
          <w:kern w:val="0"/>
          <w:sz w:val="24"/>
        </w:rPr>
      </w:pPr>
      <w:r w:rsidRPr="001B0A62">
        <w:rPr>
          <w:rFonts w:ascii="宋体" w:hAnsi="宋体"/>
          <w:b/>
          <w:bCs/>
          <w:color w:val="000000"/>
          <w:kern w:val="0"/>
          <w:sz w:val="24"/>
        </w:rPr>
        <w:t>5.</w:t>
      </w:r>
      <w:r w:rsidRPr="001B0A62">
        <w:rPr>
          <w:rFonts w:ascii="宋体"/>
          <w:b/>
          <w:bCs/>
          <w:color w:val="000000"/>
          <w:kern w:val="0"/>
          <w:sz w:val="24"/>
        </w:rPr>
        <w:t>7</w:t>
      </w:r>
      <w:r w:rsidRPr="001D63BB">
        <w:rPr>
          <w:rFonts w:ascii="宋体" w:hAnsi="宋体" w:hint="eastAsia"/>
          <w:b/>
          <w:bCs/>
          <w:color w:val="000000"/>
          <w:kern w:val="0"/>
          <w:sz w:val="24"/>
        </w:rPr>
        <w:t>报告期末按公允价值占基金资产净值比例大小排序的前五名贵金属投资明细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本基金本报告期末未持有贵金属。</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cs="Arial"/>
          <w:b/>
          <w:color w:val="000000"/>
          <w:kern w:val="0"/>
          <w:sz w:val="24"/>
        </w:rPr>
        <w:t>5.8</w:t>
      </w:r>
      <w:r w:rsidRPr="00EC5CE0">
        <w:rPr>
          <w:rFonts w:ascii="宋体" w:hAnsi="宋体" w:hint="eastAsia"/>
          <w:b/>
          <w:bCs/>
          <w:color w:val="000000"/>
          <w:sz w:val="24"/>
        </w:rPr>
        <w:t>报告期末按公允价值占基金资产净值比例大小排</w:t>
      </w:r>
      <w:r>
        <w:rPr>
          <w:rFonts w:ascii="宋体" w:hAnsi="宋体" w:hint="eastAsia"/>
          <w:b/>
          <w:bCs/>
          <w:color w:val="000000"/>
          <w:sz w:val="24"/>
        </w:rPr>
        <w:t>序</w:t>
      </w:r>
      <w:r w:rsidRPr="00EC5CE0">
        <w:rPr>
          <w:rFonts w:ascii="宋体" w:hAnsi="宋体" w:hint="eastAsia"/>
          <w:b/>
          <w:bCs/>
          <w:color w:val="000000"/>
          <w:sz w:val="24"/>
        </w:rPr>
        <w:t>的前五名权证投资明细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本基金本报告期末未持有权证。</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 xml:space="preserve">5.9 </w:t>
      </w:r>
      <w:r w:rsidRPr="00EC5CE0">
        <w:rPr>
          <w:rFonts w:ascii="宋体" w:hAnsi="宋体" w:hint="eastAsia"/>
          <w:b/>
          <w:sz w:val="24"/>
        </w:rPr>
        <w:t>报告期末本基金投资的股指期货交易情况说明</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本基金本报告期末未持有股指期货。</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5.10</w:t>
      </w:r>
      <w:r w:rsidRPr="00EC5CE0">
        <w:rPr>
          <w:rFonts w:ascii="宋体" w:hAnsi="宋体" w:hint="eastAsia"/>
          <w:b/>
          <w:sz w:val="24"/>
        </w:rPr>
        <w:t>报告期末本基金投资的国债期货交易情况说明</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本基金本报告期末未持有国债期货。</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5.11</w:t>
      </w:r>
      <w:r w:rsidRPr="00EC5CE0">
        <w:rPr>
          <w:rFonts w:ascii="宋体" w:hAnsi="宋体" w:cs="Arial" w:hint="eastAsia"/>
          <w:b/>
          <w:color w:val="000000"/>
          <w:kern w:val="0"/>
          <w:sz w:val="24"/>
        </w:rPr>
        <w:t>投资组合报告附注</w:t>
      </w:r>
    </w:p>
    <w:p w:rsidR="000D34E3" w:rsidRPr="00D435A4" w:rsidRDefault="000D34E3" w:rsidP="00896817">
      <w:pPr>
        <w:spacing w:line="360" w:lineRule="auto"/>
        <w:rPr>
          <w:rFonts w:eastAsiaTheme="minorEastAsia"/>
          <w:color w:val="000000"/>
          <w:sz w:val="24"/>
        </w:rPr>
      </w:pPr>
      <w:r w:rsidRPr="0015516B">
        <w:rPr>
          <w:rFonts w:asciiTheme="minorEastAsia" w:eastAsiaTheme="minorEastAsia" w:hAnsiTheme="minorEastAsia" w:hint="eastAsia"/>
          <w:b/>
          <w:color w:val="000000"/>
          <w:sz w:val="24"/>
        </w:rPr>
        <w:t>5.11.1</w:t>
      </w:r>
      <w:r w:rsidRPr="00D435A4">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0D34E3" w:rsidRPr="005619D8" w:rsidRDefault="000D34E3" w:rsidP="00896817">
      <w:pPr>
        <w:spacing w:line="360" w:lineRule="auto"/>
        <w:rPr>
          <w:rFonts w:asciiTheme="minorEastAsia" w:eastAsiaTheme="minorEastAsia" w:hAnsiTheme="minorEastAsia"/>
          <w:color w:val="000000"/>
          <w:sz w:val="24"/>
        </w:rPr>
      </w:pPr>
      <w:r w:rsidRPr="0015516B">
        <w:rPr>
          <w:rFonts w:asciiTheme="minorEastAsia" w:eastAsiaTheme="minorEastAsia" w:hAnsiTheme="minorEastAsia" w:hint="eastAsia"/>
          <w:b/>
          <w:color w:val="000000"/>
          <w:sz w:val="24"/>
        </w:rPr>
        <w:t>5.11.2</w:t>
      </w:r>
      <w:r w:rsidR="00AB077A" w:rsidRPr="0015516B">
        <w:rPr>
          <w:rFonts w:asciiTheme="minorEastAsia" w:eastAsiaTheme="minorEastAsia" w:hAnsiTheme="minorEastAsia"/>
          <w:b/>
          <w:color w:val="000000"/>
          <w:sz w:val="24"/>
        </w:rPr>
        <w:t xml:space="preserve"> </w:t>
      </w:r>
      <w:r w:rsidRPr="00D435A4">
        <w:rPr>
          <w:rFonts w:eastAsiaTheme="minorEastAsia"/>
          <w:color w:val="000000"/>
          <w:sz w:val="24"/>
        </w:rPr>
        <w:t>本基金投资的前十名股票中，没有超出基金合同规定的备选股票库之外的股票。</w:t>
      </w:r>
    </w:p>
    <w:p w:rsidR="00A62673" w:rsidRPr="00320C1E" w:rsidRDefault="00A62673" w:rsidP="00045BEC">
      <w:pPr>
        <w:autoSpaceDE w:val="0"/>
        <w:autoSpaceDN w:val="0"/>
        <w:adjustRightInd w:val="0"/>
        <w:spacing w:line="360" w:lineRule="auto"/>
        <w:jc w:val="left"/>
        <w:rPr>
          <w:rFonts w:asciiTheme="minorEastAsia" w:eastAsiaTheme="minorEastAsia" w:hAnsiTheme="minorEastAsia" w:cs="Arial"/>
          <w:b/>
          <w:color w:val="000000"/>
          <w:kern w:val="0"/>
          <w:sz w:val="24"/>
        </w:rPr>
      </w:pPr>
      <w:r w:rsidRPr="00320C1E">
        <w:rPr>
          <w:rFonts w:asciiTheme="minorEastAsia" w:eastAsiaTheme="minorEastAsia" w:hAnsiTheme="minorEastAsia"/>
          <w:b/>
          <w:color w:val="000000"/>
          <w:kern w:val="0"/>
          <w:sz w:val="24"/>
        </w:rPr>
        <w:t>5.11.3</w:t>
      </w:r>
      <w:r w:rsidRPr="00EF4FFA">
        <w:rPr>
          <w:rFonts w:ascii="宋体" w:hAnsi="宋体" w:cs="Arial" w:hint="eastAsia"/>
          <w:b/>
          <w:color w:val="000000"/>
          <w:kern w:val="0"/>
          <w:sz w:val="24"/>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2761"/>
        <w:gridCol w:w="4808"/>
      </w:tblGrid>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序号</w:t>
            </w:r>
          </w:p>
        </w:tc>
        <w:tc>
          <w:tcPr>
            <w:tcW w:w="2761"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名称</w:t>
            </w:r>
          </w:p>
        </w:tc>
        <w:tc>
          <w:tcPr>
            <w:tcW w:w="4808"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金额</w:t>
            </w:r>
            <w:r w:rsidR="005A2769" w:rsidRPr="00C1648E">
              <w:rPr>
                <w:color w:val="000000"/>
                <w:kern w:val="0"/>
                <w:sz w:val="24"/>
              </w:rPr>
              <w:t>（元）</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kern w:val="0"/>
                <w:sz w:val="24"/>
              </w:rPr>
            </w:pPr>
            <w:r w:rsidRPr="00C1648E">
              <w:rPr>
                <w:color w:val="000000"/>
                <w:sz w:val="24"/>
              </w:rPr>
              <w:t>1</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存出保证金</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205,423.76</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2</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应收证券清算款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25,180.51</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3</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应收股利</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4</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应收利息</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7,540.27</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5</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应收申购款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4,151,729.29</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6</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其他应收款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7</w:t>
            </w:r>
          </w:p>
        </w:tc>
        <w:tc>
          <w:tcPr>
            <w:tcW w:w="2761" w:type="dxa"/>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待摊费用</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sz w:val="24"/>
              </w:rPr>
            </w:pPr>
            <w:r w:rsidRPr="00C1648E">
              <w:rPr>
                <w:color w:val="00000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8</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9</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合计</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4,389,873.83</w:t>
            </w:r>
          </w:p>
        </w:tc>
      </w:tr>
    </w:tbl>
    <w:p w:rsidR="00A62673" w:rsidRPr="00CE743F" w:rsidRDefault="00A62673" w:rsidP="00045BEC">
      <w:pPr>
        <w:autoSpaceDE w:val="0"/>
        <w:autoSpaceDN w:val="0"/>
        <w:adjustRightInd w:val="0"/>
        <w:spacing w:line="360" w:lineRule="auto"/>
        <w:jc w:val="left"/>
        <w:rPr>
          <w:rFonts w:ascii="宋体" w:cs="Arial"/>
          <w:b/>
          <w:color w:val="000000"/>
          <w:kern w:val="0"/>
          <w:sz w:val="24"/>
        </w:rPr>
      </w:pPr>
      <w:r w:rsidRPr="00CE743F">
        <w:rPr>
          <w:rFonts w:ascii="宋体" w:hAnsi="宋体"/>
          <w:b/>
          <w:color w:val="000000"/>
          <w:kern w:val="0"/>
          <w:sz w:val="24"/>
        </w:rPr>
        <w:t>5.11.4</w:t>
      </w:r>
      <w:r w:rsidRPr="00CE743F">
        <w:rPr>
          <w:rFonts w:ascii="宋体" w:hAnsi="宋体" w:cs="Arial" w:hint="eastAsia"/>
          <w:b/>
          <w:color w:val="000000"/>
          <w:kern w:val="0"/>
          <w:sz w:val="24"/>
        </w:rPr>
        <w:t>报告期末持有的处于转股期的可转换债券明细</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本基金本报告期末未持有处于转股期的可转换债券。</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hAnsi="宋体" w:hint="eastAsia"/>
          <w:b/>
          <w:sz w:val="24"/>
        </w:rPr>
        <w:t>报告期末</w:t>
      </w:r>
      <w:r w:rsidR="00AB077A">
        <w:rPr>
          <w:rFonts w:ascii="宋体" w:hAnsi="宋体" w:hint="eastAsia"/>
          <w:b/>
          <w:sz w:val="24"/>
        </w:rPr>
        <w:t>投资的</w:t>
      </w:r>
      <w:r w:rsidRPr="00CE743F">
        <w:rPr>
          <w:rFonts w:ascii="宋体" w:hAnsi="宋体" w:hint="eastAsia"/>
          <w:b/>
          <w:sz w:val="24"/>
        </w:rPr>
        <w:t>股票存在流通受限情况的说明</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1</w:t>
      </w:r>
      <w:r w:rsidR="00AB077A">
        <w:rPr>
          <w:rFonts w:ascii="宋体" w:hAnsi="宋体" w:cs="Arial" w:hint="eastAsia"/>
          <w:b/>
          <w:color w:val="000000"/>
          <w:kern w:val="0"/>
          <w:sz w:val="24"/>
        </w:rPr>
        <w:t>报告</w:t>
      </w:r>
      <w:r w:rsidRPr="00CE743F">
        <w:rPr>
          <w:rFonts w:ascii="宋体" w:hAnsi="宋体" w:hint="eastAsia"/>
          <w:b/>
          <w:sz w:val="24"/>
        </w:rPr>
        <w:t>期末指数投资前十名股票中存在流通受限情况的说明</w:t>
      </w:r>
    </w:p>
    <w:p w:rsidR="00774C7D" w:rsidRPr="00DC315B" w:rsidRDefault="00774C7D" w:rsidP="00774C7D">
      <w:pPr>
        <w:spacing w:line="360" w:lineRule="auto"/>
        <w:ind w:firstLineChars="200" w:firstLine="480"/>
        <w:rPr>
          <w:color w:val="000000"/>
          <w:sz w:val="24"/>
        </w:rPr>
      </w:pPr>
      <w:r w:rsidRPr="00DC315B">
        <w:rPr>
          <w:color w:val="000000"/>
          <w:sz w:val="24"/>
        </w:rPr>
        <w:t>本基金本报告期末前十名股票中不存在流通受限情况。</w:t>
      </w:r>
    </w:p>
    <w:p w:rsidR="00774C7D" w:rsidRPr="00CE743F" w:rsidRDefault="00774C7D" w:rsidP="00774C7D">
      <w:pPr>
        <w:spacing w:line="360" w:lineRule="auto"/>
        <w:rPr>
          <w:rFonts w:ascii="宋体" w:cs="STSong-Light"/>
          <w:b/>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2</w:t>
      </w:r>
      <w:r w:rsidR="00AB077A">
        <w:rPr>
          <w:rFonts w:ascii="宋体" w:hAnsi="宋体" w:cs="Arial" w:hint="eastAsia"/>
          <w:b/>
          <w:color w:val="000000"/>
          <w:kern w:val="0"/>
          <w:sz w:val="24"/>
        </w:rPr>
        <w:t>报告</w:t>
      </w:r>
      <w:r w:rsidRPr="00CE743F">
        <w:rPr>
          <w:rFonts w:ascii="宋体" w:hAnsi="宋体" w:hint="eastAsia"/>
          <w:b/>
          <w:sz w:val="24"/>
        </w:rPr>
        <w:t>期末积极投资前五名股票中存在流通受限情况的说明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774C7D" w:rsidRPr="00EC5CE0" w:rsidTr="002C4578">
        <w:tc>
          <w:tcPr>
            <w:tcW w:w="108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302"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3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0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流通受限部分的公允价值（元）</w:t>
            </w:r>
          </w:p>
        </w:tc>
        <w:tc>
          <w:tcPr>
            <w:tcW w:w="165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p>
        </w:tc>
        <w:tc>
          <w:tcPr>
            <w:tcW w:w="136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流通受限情况说明</w:t>
            </w:r>
          </w:p>
        </w:tc>
      </w:tr>
      <w:tr w:rsidR="00A9050D">
        <w:tc>
          <w:tcPr>
            <w:tcW w:w="1083" w:type="dxa"/>
            <w:vAlign w:val="center"/>
          </w:tcPr>
          <w:p w:rsidR="00A9050D" w:rsidRDefault="00896817">
            <w:pPr>
              <w:jc w:val="center"/>
            </w:pPr>
            <w:r>
              <w:rPr>
                <w:color w:val="000000"/>
                <w:sz w:val="24"/>
              </w:rPr>
              <w:t>1</w:t>
            </w:r>
          </w:p>
        </w:tc>
        <w:tc>
          <w:tcPr>
            <w:tcW w:w="1302" w:type="dxa"/>
            <w:vAlign w:val="center"/>
          </w:tcPr>
          <w:p w:rsidR="00A9050D" w:rsidRDefault="00896817">
            <w:pPr>
              <w:jc w:val="center"/>
            </w:pPr>
            <w:r>
              <w:rPr>
                <w:color w:val="000000"/>
                <w:sz w:val="24"/>
              </w:rPr>
              <w:t>300999</w:t>
            </w:r>
          </w:p>
        </w:tc>
        <w:tc>
          <w:tcPr>
            <w:tcW w:w="1301" w:type="dxa"/>
            <w:vAlign w:val="center"/>
          </w:tcPr>
          <w:p w:rsidR="00A9050D" w:rsidRDefault="00896817">
            <w:pPr>
              <w:jc w:val="center"/>
            </w:pPr>
            <w:r>
              <w:rPr>
                <w:color w:val="000000"/>
                <w:sz w:val="24"/>
              </w:rPr>
              <w:t>金龙鱼</w:t>
            </w:r>
          </w:p>
        </w:tc>
        <w:tc>
          <w:tcPr>
            <w:tcW w:w="1805" w:type="dxa"/>
            <w:vAlign w:val="center"/>
          </w:tcPr>
          <w:p w:rsidR="00A9050D" w:rsidRDefault="00896817">
            <w:pPr>
              <w:jc w:val="right"/>
            </w:pPr>
            <w:r>
              <w:rPr>
                <w:color w:val="000000"/>
                <w:sz w:val="24"/>
              </w:rPr>
              <w:t>1,622,698.00</w:t>
            </w:r>
          </w:p>
        </w:tc>
        <w:tc>
          <w:tcPr>
            <w:tcW w:w="1655" w:type="dxa"/>
            <w:vAlign w:val="center"/>
          </w:tcPr>
          <w:p w:rsidR="00A9050D" w:rsidRDefault="00896817">
            <w:pPr>
              <w:jc w:val="right"/>
            </w:pPr>
            <w:r>
              <w:rPr>
                <w:color w:val="000000"/>
                <w:sz w:val="24"/>
              </w:rPr>
              <w:t>0.14</w:t>
            </w:r>
          </w:p>
        </w:tc>
        <w:tc>
          <w:tcPr>
            <w:tcW w:w="1367" w:type="dxa"/>
            <w:vAlign w:val="center"/>
          </w:tcPr>
          <w:p w:rsidR="00A9050D" w:rsidRDefault="00896817">
            <w:pPr>
              <w:jc w:val="right"/>
            </w:pPr>
            <w:r>
              <w:rPr>
                <w:color w:val="000000"/>
                <w:sz w:val="24"/>
              </w:rPr>
              <w:t>新股未上市</w:t>
            </w:r>
          </w:p>
        </w:tc>
      </w:tr>
      <w:tr w:rsidR="00A9050D">
        <w:tc>
          <w:tcPr>
            <w:tcW w:w="1083" w:type="dxa"/>
            <w:vAlign w:val="center"/>
          </w:tcPr>
          <w:p w:rsidR="00A9050D" w:rsidRDefault="00896817">
            <w:pPr>
              <w:jc w:val="center"/>
            </w:pPr>
            <w:r>
              <w:rPr>
                <w:color w:val="000000"/>
                <w:sz w:val="24"/>
              </w:rPr>
              <w:t>2</w:t>
            </w:r>
          </w:p>
        </w:tc>
        <w:tc>
          <w:tcPr>
            <w:tcW w:w="1302" w:type="dxa"/>
            <w:vAlign w:val="center"/>
          </w:tcPr>
          <w:p w:rsidR="00A9050D" w:rsidRDefault="00896817">
            <w:pPr>
              <w:jc w:val="center"/>
            </w:pPr>
            <w:r>
              <w:rPr>
                <w:color w:val="000000"/>
                <w:sz w:val="24"/>
              </w:rPr>
              <w:t>300896</w:t>
            </w:r>
          </w:p>
        </w:tc>
        <w:tc>
          <w:tcPr>
            <w:tcW w:w="1301" w:type="dxa"/>
            <w:vAlign w:val="center"/>
          </w:tcPr>
          <w:p w:rsidR="00A9050D" w:rsidRDefault="00896817">
            <w:pPr>
              <w:jc w:val="center"/>
            </w:pPr>
            <w:r>
              <w:rPr>
                <w:color w:val="000000"/>
                <w:sz w:val="24"/>
              </w:rPr>
              <w:t>爱美客</w:t>
            </w:r>
          </w:p>
        </w:tc>
        <w:tc>
          <w:tcPr>
            <w:tcW w:w="1805" w:type="dxa"/>
            <w:vAlign w:val="center"/>
          </w:tcPr>
          <w:p w:rsidR="00A9050D" w:rsidRDefault="00896817">
            <w:pPr>
              <w:jc w:val="right"/>
            </w:pPr>
            <w:r>
              <w:rPr>
                <w:color w:val="000000"/>
                <w:sz w:val="24"/>
              </w:rPr>
              <w:t>109,980.42</w:t>
            </w:r>
          </w:p>
        </w:tc>
        <w:tc>
          <w:tcPr>
            <w:tcW w:w="1655" w:type="dxa"/>
            <w:vAlign w:val="center"/>
          </w:tcPr>
          <w:p w:rsidR="00A9050D" w:rsidRDefault="00896817">
            <w:pPr>
              <w:jc w:val="right"/>
            </w:pPr>
            <w:r>
              <w:rPr>
                <w:color w:val="000000"/>
                <w:sz w:val="24"/>
              </w:rPr>
              <w:t>0.01</w:t>
            </w:r>
          </w:p>
        </w:tc>
        <w:tc>
          <w:tcPr>
            <w:tcW w:w="1367" w:type="dxa"/>
            <w:vAlign w:val="center"/>
          </w:tcPr>
          <w:p w:rsidR="00A9050D" w:rsidRDefault="00896817">
            <w:pPr>
              <w:jc w:val="right"/>
            </w:pPr>
            <w:r>
              <w:rPr>
                <w:color w:val="000000"/>
                <w:sz w:val="24"/>
              </w:rPr>
              <w:t>限售股</w:t>
            </w:r>
          </w:p>
        </w:tc>
      </w:tr>
      <w:tr w:rsidR="00A9050D">
        <w:tc>
          <w:tcPr>
            <w:tcW w:w="1083" w:type="dxa"/>
            <w:vAlign w:val="center"/>
          </w:tcPr>
          <w:p w:rsidR="00A9050D" w:rsidRDefault="00896817">
            <w:pPr>
              <w:jc w:val="center"/>
            </w:pPr>
            <w:r>
              <w:rPr>
                <w:color w:val="000000"/>
                <w:sz w:val="24"/>
              </w:rPr>
              <w:t>3</w:t>
            </w:r>
          </w:p>
        </w:tc>
        <w:tc>
          <w:tcPr>
            <w:tcW w:w="1302" w:type="dxa"/>
            <w:vAlign w:val="center"/>
          </w:tcPr>
          <w:p w:rsidR="00A9050D" w:rsidRDefault="00896817">
            <w:pPr>
              <w:jc w:val="center"/>
            </w:pPr>
            <w:r>
              <w:rPr>
                <w:color w:val="000000"/>
                <w:sz w:val="24"/>
              </w:rPr>
              <w:t>300891</w:t>
            </w:r>
          </w:p>
        </w:tc>
        <w:tc>
          <w:tcPr>
            <w:tcW w:w="1301" w:type="dxa"/>
            <w:vAlign w:val="center"/>
          </w:tcPr>
          <w:p w:rsidR="00A9050D" w:rsidRDefault="00896817">
            <w:pPr>
              <w:jc w:val="center"/>
            </w:pPr>
            <w:r>
              <w:rPr>
                <w:color w:val="000000"/>
                <w:sz w:val="24"/>
              </w:rPr>
              <w:t>惠云钛业</w:t>
            </w:r>
          </w:p>
        </w:tc>
        <w:tc>
          <w:tcPr>
            <w:tcW w:w="1805" w:type="dxa"/>
            <w:vAlign w:val="center"/>
          </w:tcPr>
          <w:p w:rsidR="00A9050D" w:rsidRDefault="00896817">
            <w:pPr>
              <w:jc w:val="right"/>
            </w:pPr>
            <w:r>
              <w:rPr>
                <w:color w:val="000000"/>
                <w:sz w:val="24"/>
              </w:rPr>
              <w:t>15,659.10</w:t>
            </w:r>
          </w:p>
        </w:tc>
        <w:tc>
          <w:tcPr>
            <w:tcW w:w="1655" w:type="dxa"/>
            <w:vAlign w:val="center"/>
          </w:tcPr>
          <w:p w:rsidR="00A9050D" w:rsidRDefault="00896817">
            <w:pPr>
              <w:jc w:val="right"/>
            </w:pPr>
            <w:r>
              <w:rPr>
                <w:color w:val="000000"/>
                <w:sz w:val="24"/>
              </w:rPr>
              <w:t>0.00</w:t>
            </w:r>
          </w:p>
        </w:tc>
        <w:tc>
          <w:tcPr>
            <w:tcW w:w="1367" w:type="dxa"/>
            <w:vAlign w:val="center"/>
          </w:tcPr>
          <w:p w:rsidR="00A9050D" w:rsidRDefault="00896817">
            <w:pPr>
              <w:jc w:val="right"/>
            </w:pPr>
            <w:r>
              <w:rPr>
                <w:color w:val="000000"/>
                <w:sz w:val="24"/>
              </w:rPr>
              <w:t>限售股</w:t>
            </w:r>
          </w:p>
        </w:tc>
      </w:tr>
      <w:tr w:rsidR="00A9050D">
        <w:tc>
          <w:tcPr>
            <w:tcW w:w="1083" w:type="dxa"/>
            <w:vAlign w:val="center"/>
          </w:tcPr>
          <w:p w:rsidR="00A9050D" w:rsidRDefault="00896817">
            <w:pPr>
              <w:jc w:val="center"/>
            </w:pPr>
            <w:r>
              <w:rPr>
                <w:color w:val="000000"/>
                <w:sz w:val="24"/>
              </w:rPr>
              <w:t>4</w:t>
            </w:r>
          </w:p>
        </w:tc>
        <w:tc>
          <w:tcPr>
            <w:tcW w:w="1302" w:type="dxa"/>
            <w:vAlign w:val="center"/>
          </w:tcPr>
          <w:p w:rsidR="00A9050D" w:rsidRDefault="00896817">
            <w:pPr>
              <w:jc w:val="center"/>
            </w:pPr>
            <w:r>
              <w:rPr>
                <w:color w:val="000000"/>
                <w:sz w:val="24"/>
              </w:rPr>
              <w:t>300887</w:t>
            </w:r>
          </w:p>
        </w:tc>
        <w:tc>
          <w:tcPr>
            <w:tcW w:w="1301" w:type="dxa"/>
            <w:vAlign w:val="center"/>
          </w:tcPr>
          <w:p w:rsidR="00A9050D" w:rsidRDefault="00896817">
            <w:pPr>
              <w:jc w:val="center"/>
            </w:pPr>
            <w:r>
              <w:rPr>
                <w:color w:val="000000"/>
                <w:sz w:val="24"/>
              </w:rPr>
              <w:t>谱尼测试</w:t>
            </w:r>
          </w:p>
        </w:tc>
        <w:tc>
          <w:tcPr>
            <w:tcW w:w="1805" w:type="dxa"/>
            <w:vAlign w:val="center"/>
          </w:tcPr>
          <w:p w:rsidR="00A9050D" w:rsidRDefault="00896817">
            <w:pPr>
              <w:jc w:val="right"/>
            </w:pPr>
            <w:r>
              <w:rPr>
                <w:color w:val="000000"/>
                <w:sz w:val="24"/>
              </w:rPr>
              <w:t>14,813.40</w:t>
            </w:r>
          </w:p>
        </w:tc>
        <w:tc>
          <w:tcPr>
            <w:tcW w:w="1655" w:type="dxa"/>
            <w:vAlign w:val="center"/>
          </w:tcPr>
          <w:p w:rsidR="00A9050D" w:rsidRDefault="00896817">
            <w:pPr>
              <w:jc w:val="right"/>
            </w:pPr>
            <w:r>
              <w:rPr>
                <w:color w:val="000000"/>
                <w:sz w:val="24"/>
              </w:rPr>
              <w:t>0.00</w:t>
            </w:r>
          </w:p>
        </w:tc>
        <w:tc>
          <w:tcPr>
            <w:tcW w:w="1367" w:type="dxa"/>
            <w:vAlign w:val="center"/>
          </w:tcPr>
          <w:p w:rsidR="00A9050D" w:rsidRDefault="00896817">
            <w:pPr>
              <w:jc w:val="right"/>
            </w:pPr>
            <w:r>
              <w:rPr>
                <w:color w:val="000000"/>
                <w:sz w:val="24"/>
              </w:rPr>
              <w:t>限售股</w:t>
            </w:r>
          </w:p>
        </w:tc>
      </w:tr>
      <w:tr w:rsidR="00A9050D">
        <w:tc>
          <w:tcPr>
            <w:tcW w:w="1083" w:type="dxa"/>
            <w:vAlign w:val="center"/>
          </w:tcPr>
          <w:p w:rsidR="00A9050D" w:rsidRDefault="00896817">
            <w:pPr>
              <w:jc w:val="center"/>
            </w:pPr>
            <w:r>
              <w:rPr>
                <w:color w:val="000000"/>
                <w:sz w:val="24"/>
              </w:rPr>
              <w:t>5</w:t>
            </w:r>
          </w:p>
        </w:tc>
        <w:tc>
          <w:tcPr>
            <w:tcW w:w="1302" w:type="dxa"/>
            <w:vAlign w:val="center"/>
          </w:tcPr>
          <w:p w:rsidR="00A9050D" w:rsidRDefault="00896817">
            <w:pPr>
              <w:jc w:val="center"/>
            </w:pPr>
            <w:r>
              <w:rPr>
                <w:color w:val="000000"/>
                <w:sz w:val="24"/>
              </w:rPr>
              <w:t>300890</w:t>
            </w:r>
          </w:p>
        </w:tc>
        <w:tc>
          <w:tcPr>
            <w:tcW w:w="1301" w:type="dxa"/>
            <w:vAlign w:val="center"/>
          </w:tcPr>
          <w:p w:rsidR="00A9050D" w:rsidRDefault="00896817">
            <w:pPr>
              <w:jc w:val="center"/>
            </w:pPr>
            <w:r>
              <w:rPr>
                <w:color w:val="000000"/>
                <w:sz w:val="24"/>
              </w:rPr>
              <w:t>翔丰华</w:t>
            </w:r>
          </w:p>
        </w:tc>
        <w:tc>
          <w:tcPr>
            <w:tcW w:w="1805" w:type="dxa"/>
            <w:vAlign w:val="center"/>
          </w:tcPr>
          <w:p w:rsidR="00A9050D" w:rsidRDefault="00896817">
            <w:pPr>
              <w:jc w:val="right"/>
            </w:pPr>
            <w:r>
              <w:rPr>
                <w:color w:val="000000"/>
                <w:sz w:val="24"/>
              </w:rPr>
              <w:t>10,298.86</w:t>
            </w:r>
          </w:p>
        </w:tc>
        <w:tc>
          <w:tcPr>
            <w:tcW w:w="1655" w:type="dxa"/>
            <w:vAlign w:val="center"/>
          </w:tcPr>
          <w:p w:rsidR="00A9050D" w:rsidRDefault="00896817">
            <w:pPr>
              <w:jc w:val="right"/>
            </w:pPr>
            <w:r>
              <w:rPr>
                <w:color w:val="000000"/>
                <w:sz w:val="24"/>
              </w:rPr>
              <w:t>0.00</w:t>
            </w:r>
          </w:p>
        </w:tc>
        <w:tc>
          <w:tcPr>
            <w:tcW w:w="1367" w:type="dxa"/>
            <w:vAlign w:val="center"/>
          </w:tcPr>
          <w:p w:rsidR="00A9050D" w:rsidRDefault="00896817">
            <w:pPr>
              <w:jc w:val="right"/>
            </w:pPr>
            <w:r>
              <w:rPr>
                <w:color w:val="000000"/>
                <w:sz w:val="24"/>
              </w:rPr>
              <w:t>限售股</w:t>
            </w:r>
          </w:p>
        </w:tc>
      </w:tr>
    </w:tbl>
    <w:p w:rsidR="00A62673" w:rsidRPr="00CE743F" w:rsidRDefault="00A62673" w:rsidP="009A037F">
      <w:pPr>
        <w:spacing w:line="360" w:lineRule="auto"/>
        <w:rPr>
          <w:rFonts w:ascii="宋体" w:cs="STSong-Light"/>
          <w:b/>
          <w:color w:val="000000"/>
          <w:sz w:val="24"/>
        </w:rPr>
      </w:pPr>
      <w:r w:rsidRPr="00CE743F">
        <w:rPr>
          <w:rFonts w:ascii="宋体" w:hAnsi="宋体"/>
          <w:b/>
          <w:color w:val="000000"/>
          <w:sz w:val="24"/>
        </w:rPr>
        <w:t>5.11.</w:t>
      </w:r>
      <w:r w:rsidRPr="00CE743F">
        <w:rPr>
          <w:rFonts w:ascii="宋体" w:hAnsi="宋体"/>
          <w:b/>
          <w:bCs/>
          <w:color w:val="000000"/>
          <w:sz w:val="24"/>
        </w:rPr>
        <w:t>6</w:t>
      </w:r>
      <w:r w:rsidRPr="00CE743F">
        <w:rPr>
          <w:rFonts w:ascii="宋体" w:hAnsi="宋体" w:hint="eastAsia"/>
          <w:b/>
          <w:bCs/>
          <w:color w:val="000000"/>
          <w:kern w:val="0"/>
          <w:sz w:val="24"/>
        </w:rPr>
        <w:t>投资组合报告附注的其他文字描述部分</w:t>
      </w:r>
    </w:p>
    <w:p w:rsidR="00A62673" w:rsidRPr="00DC315B" w:rsidRDefault="00A62673" w:rsidP="005A2769">
      <w:pPr>
        <w:spacing w:line="360" w:lineRule="auto"/>
        <w:ind w:firstLineChars="200" w:firstLine="480"/>
        <w:rPr>
          <w:color w:val="000000"/>
          <w:sz w:val="24"/>
        </w:rPr>
      </w:pPr>
      <w:r w:rsidRPr="00DC315B">
        <w:rPr>
          <w:color w:val="000000"/>
          <w:sz w:val="24"/>
        </w:rPr>
        <w:t>由于四舍五入的原因，分项之和与合计项之间可能存在尾差。</w:t>
      </w:r>
    </w:p>
    <w:p w:rsidR="00A62673" w:rsidRPr="00EC5CE0" w:rsidRDefault="00A62673" w:rsidP="005A2769">
      <w:pPr>
        <w:spacing w:line="360" w:lineRule="auto"/>
        <w:ind w:firstLineChars="200" w:firstLine="480"/>
        <w:rPr>
          <w:rFonts w:asci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6  </w:t>
      </w:r>
      <w:r w:rsidRPr="00EC5CE0">
        <w:rPr>
          <w:rFonts w:ascii="宋体" w:hAnsi="宋体" w:cs="Arial" w:hint="eastAsia"/>
          <w:color w:val="000000"/>
          <w:kern w:val="0"/>
          <w:sz w:val="24"/>
          <w:szCs w:val="24"/>
        </w:rPr>
        <w:t>开放式基金份额变动</w:t>
      </w:r>
    </w:p>
    <w:p w:rsidR="004976EE" w:rsidRPr="00FA472B" w:rsidRDefault="004976EE" w:rsidP="004976EE">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center"/>
              <w:rPr>
                <w:color w:val="000000"/>
                <w:kern w:val="0"/>
                <w:sz w:val="24"/>
              </w:rPr>
            </w:pPr>
            <w:r w:rsidRPr="00FA472B">
              <w:rPr>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316,835,187.77</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110,624,252.03</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478,296,466.11</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432,598,579.04</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324,127,426.24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290,145,706.25</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471,004,227.64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253,077,124.82</w:t>
            </w:r>
          </w:p>
        </w:tc>
      </w:tr>
    </w:tbl>
    <w:p w:rsidR="00A9050D" w:rsidRDefault="00896817">
      <w:pPr>
        <w:spacing w:line="360" w:lineRule="auto"/>
        <w:ind w:firstLineChars="200" w:firstLine="480"/>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p>
    <w:p w:rsidR="00A62673" w:rsidRPr="00DC315B" w:rsidRDefault="004976EE" w:rsidP="00DC315B">
      <w:pPr>
        <w:spacing w:line="360" w:lineRule="auto"/>
        <w:ind w:firstLineChars="200" w:firstLine="480"/>
        <w:rPr>
          <w:color w:val="000000"/>
          <w:sz w:val="24"/>
        </w:rPr>
      </w:pPr>
      <w:r w:rsidRPr="00DF18FE">
        <w:rPr>
          <w:color w:val="000000"/>
          <w:sz w:val="24"/>
        </w:rPr>
        <w:t>2</w:t>
      </w:r>
      <w:r w:rsidRPr="00DF18FE">
        <w:rPr>
          <w:color w:val="000000"/>
          <w:sz w:val="24"/>
        </w:rPr>
        <w:t>、如果本报告期间发生转换出业务，则总赎回份额中包含该业务。</w:t>
      </w:r>
    </w:p>
    <w:p w:rsidR="00A62673" w:rsidRDefault="00A62673" w:rsidP="00F729DC">
      <w:pPr>
        <w:pStyle w:val="1"/>
        <w:tabs>
          <w:tab w:val="center" w:pos="4156"/>
          <w:tab w:val="right" w:pos="8312"/>
        </w:tabs>
        <w:spacing w:beforeLines="100" w:before="312" w:afterLines="100" w:after="312" w:line="360" w:lineRule="auto"/>
        <w:jc w:val="center"/>
        <w:rPr>
          <w:rFonts w:ascii="方正仿宋简体"/>
          <w:sz w:val="24"/>
          <w:szCs w:val="24"/>
        </w:rPr>
      </w:pPr>
      <w:r>
        <w:rPr>
          <w:rFonts w:ascii="宋体" w:hAnsi="宋体" w:cs="Arial" w:hint="eastAsia"/>
          <w:color w:val="000000"/>
          <w:kern w:val="0"/>
          <w:sz w:val="24"/>
          <w:szCs w:val="24"/>
        </w:rPr>
        <w:t>§</w:t>
      </w:r>
      <w:r>
        <w:rPr>
          <w:rFonts w:ascii="宋体" w:hAnsi="宋体" w:cs="Arial"/>
          <w:color w:val="000000"/>
          <w:kern w:val="0"/>
          <w:sz w:val="24"/>
          <w:szCs w:val="24"/>
        </w:rPr>
        <w:t xml:space="preserve">7  </w:t>
      </w:r>
      <w:r>
        <w:rPr>
          <w:rFonts w:ascii="方正仿宋简体" w:hint="eastAsia"/>
          <w:sz w:val="24"/>
          <w:szCs w:val="24"/>
        </w:rPr>
        <w:t>基金管理人运用固有资金投资本基金情况</w:t>
      </w:r>
    </w:p>
    <w:p w:rsidR="00A62673" w:rsidRDefault="00A62673" w:rsidP="00413689">
      <w:pPr>
        <w:spacing w:line="360" w:lineRule="auto"/>
        <w:jc w:val="left"/>
        <w:rPr>
          <w:sz w:val="24"/>
        </w:rPr>
      </w:pPr>
      <w:r>
        <w:rPr>
          <w:b/>
          <w:sz w:val="24"/>
        </w:rPr>
        <w:t xml:space="preserve">7.1 </w:t>
      </w:r>
      <w:r>
        <w:rPr>
          <w:rFonts w:hint="eastAsia"/>
          <w:b/>
          <w:sz w:val="24"/>
        </w:rPr>
        <w:t>基金管理人持有本基金份额变动情况</w:t>
      </w:r>
      <w:bookmarkStart w:id="1" w:name="OLE_LINK1"/>
      <w:bookmarkStart w:id="2" w:name="OLE_LINK2"/>
      <w:bookmarkEnd w:id="1"/>
      <w:bookmarkEnd w:id="2"/>
    </w:p>
    <w:p w:rsidR="00A62673" w:rsidRPr="00C1648E" w:rsidRDefault="004D5C1F" w:rsidP="00C1648E">
      <w:pPr>
        <w:spacing w:line="360" w:lineRule="auto"/>
        <w:ind w:firstLineChars="200" w:firstLine="480"/>
        <w:rPr>
          <w:color w:val="000000"/>
          <w:sz w:val="24"/>
        </w:rPr>
      </w:pPr>
      <w:r w:rsidRPr="00DF18FE">
        <w:rPr>
          <w:color w:val="000000"/>
          <w:sz w:val="24"/>
        </w:rPr>
        <w:t>本报告期内未发生基金管理人运用固有资金投资本基金的情况。</w:t>
      </w:r>
    </w:p>
    <w:p w:rsidR="00A62673" w:rsidRDefault="00A62673" w:rsidP="00413689">
      <w:pPr>
        <w:spacing w:line="360" w:lineRule="auto"/>
        <w:jc w:val="left"/>
        <w:rPr>
          <w:sz w:val="24"/>
        </w:rPr>
      </w:pPr>
      <w:r>
        <w:rPr>
          <w:b/>
          <w:sz w:val="24"/>
        </w:rPr>
        <w:t xml:space="preserve">7.2 </w:t>
      </w:r>
      <w:r>
        <w:rPr>
          <w:rFonts w:hint="eastAsia"/>
          <w:b/>
          <w:sz w:val="24"/>
        </w:rPr>
        <w:t>基金管理人运用固有资金投资本基金交易明细</w:t>
      </w:r>
    </w:p>
    <w:p w:rsidR="00A62673" w:rsidRPr="00DC315B" w:rsidRDefault="004D5C1F" w:rsidP="00DC315B">
      <w:pPr>
        <w:spacing w:line="360" w:lineRule="auto"/>
        <w:ind w:firstLineChars="200" w:firstLine="480"/>
        <w:rPr>
          <w:color w:val="000000"/>
          <w:sz w:val="24"/>
        </w:rPr>
      </w:pPr>
      <w:r w:rsidRPr="00DF18FE">
        <w:rPr>
          <w:color w:val="000000"/>
          <w:sz w:val="24"/>
        </w:rPr>
        <w:t>本基金管理人本报告期内未进行本基金的申购、赎回、红利再投等。</w:t>
      </w:r>
    </w:p>
    <w:p w:rsidR="0082435E" w:rsidRPr="00900A07" w:rsidRDefault="0082435E" w:rsidP="00F729DC">
      <w:pPr>
        <w:pStyle w:val="1"/>
        <w:spacing w:beforeLines="100" w:before="312" w:afterLines="100" w:after="312" w:line="360" w:lineRule="auto"/>
        <w:jc w:val="center"/>
        <w:rPr>
          <w:rFonts w:ascii="宋体" w:hAnsi="宋体" w:cs="Arial"/>
          <w:color w:val="000000"/>
          <w:kern w:val="0"/>
          <w:sz w:val="24"/>
          <w:szCs w:val="24"/>
        </w:rPr>
      </w:pPr>
      <w:r w:rsidRPr="00900A07">
        <w:rPr>
          <w:rFonts w:ascii="宋体" w:hAnsi="宋体" w:cs="Arial"/>
          <w:color w:val="000000"/>
          <w:kern w:val="0"/>
          <w:sz w:val="24"/>
          <w:szCs w:val="24"/>
        </w:rPr>
        <w:t>§8</w:t>
      </w:r>
      <w:r w:rsidR="00900A07" w:rsidRPr="00EC5CE0">
        <w:rPr>
          <w:rFonts w:ascii="宋体" w:hAnsi="宋体" w:cs="Arial"/>
          <w:color w:val="000000"/>
          <w:kern w:val="0"/>
          <w:sz w:val="24"/>
          <w:szCs w:val="24"/>
        </w:rPr>
        <w:t xml:space="preserve">  </w:t>
      </w:r>
      <w:r w:rsidRPr="00900A07">
        <w:rPr>
          <w:rFonts w:ascii="宋体" w:hAnsi="宋体" w:cs="Arial"/>
          <w:color w:val="000000"/>
          <w:kern w:val="0"/>
          <w:sz w:val="24"/>
          <w:szCs w:val="24"/>
        </w:rPr>
        <w:t>影响投资者决策的其他重要信息</w:t>
      </w:r>
    </w:p>
    <w:p w:rsidR="00803F15" w:rsidRPr="00654C5E" w:rsidRDefault="00803F15" w:rsidP="00803F15">
      <w:pPr>
        <w:autoSpaceDE w:val="0"/>
        <w:autoSpaceDN w:val="0"/>
        <w:adjustRightInd w:val="0"/>
        <w:spacing w:line="360" w:lineRule="auto"/>
        <w:jc w:val="left"/>
        <w:rPr>
          <w:rFonts w:ascii="宋体"/>
          <w:b/>
          <w:bCs/>
          <w:color w:val="000000"/>
          <w:kern w:val="0"/>
          <w:sz w:val="24"/>
        </w:rPr>
      </w:pPr>
      <w:r w:rsidRPr="00654C5E">
        <w:rPr>
          <w:rFonts w:ascii="宋体"/>
          <w:b/>
          <w:bCs/>
          <w:color w:val="000000"/>
          <w:kern w:val="0"/>
          <w:sz w:val="24"/>
        </w:rPr>
        <w:t>8.1 影响投资者决策的其他重要信息</w:t>
      </w:r>
    </w:p>
    <w:p w:rsidR="00A62673" w:rsidRPr="009D7F16" w:rsidRDefault="00803F15" w:rsidP="00803F15">
      <w:pPr>
        <w:spacing w:line="360" w:lineRule="auto"/>
        <w:ind w:firstLineChars="200" w:firstLine="480"/>
        <w:rPr>
          <w:color w:val="000000"/>
          <w:sz w:val="24"/>
        </w:rPr>
      </w:pPr>
      <w:r w:rsidRPr="00FC0759">
        <w:rPr>
          <w:rFonts w:eastAsiaTheme="minorEastAsia"/>
          <w:color w:val="000000" w:themeColor="text1"/>
          <w:sz w:val="24"/>
        </w:rPr>
        <w:t>根据《公开募集证券投资基金信息披露管理办法》的有关规定及相关监管要求，经与基金托管人协商一致，基金管理人对本基金基金合同等法律文件中信息披露相关规定作相应修改，欲知详情请查阅本基金管理人发布的最新法律文件。</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9</w:t>
      </w:r>
      <w:r w:rsidR="00900A07" w:rsidRPr="00EC5CE0">
        <w:rPr>
          <w:rFonts w:ascii="宋体" w:hAnsi="宋体" w:cs="Arial"/>
          <w:color w:val="000000"/>
          <w:kern w:val="0"/>
          <w:sz w:val="24"/>
          <w:szCs w:val="24"/>
        </w:rPr>
        <w:t xml:space="preserve">  </w:t>
      </w:r>
      <w:r w:rsidRPr="00EC5CE0">
        <w:rPr>
          <w:rFonts w:ascii="宋体" w:hAnsi="宋体" w:cs="Arial" w:hint="eastAsia"/>
          <w:color w:val="000000"/>
          <w:kern w:val="0"/>
          <w:sz w:val="24"/>
          <w:szCs w:val="24"/>
        </w:rPr>
        <w:t>备查文件目录</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9.1 </w:t>
      </w:r>
      <w:r w:rsidRPr="00511B6A">
        <w:rPr>
          <w:rFonts w:ascii="宋体" w:hAnsi="宋体" w:hint="eastAsia"/>
          <w:b/>
          <w:color w:val="000000"/>
          <w:sz w:val="24"/>
        </w:rPr>
        <w:t>备查文件目录</w:t>
      </w:r>
    </w:p>
    <w:p w:rsidR="00A9050D" w:rsidRDefault="00896817">
      <w:pPr>
        <w:spacing w:line="360" w:lineRule="auto"/>
        <w:ind w:firstLineChars="200" w:firstLine="480"/>
        <w:rPr>
          <w:color w:val="000000"/>
          <w:sz w:val="24"/>
        </w:rPr>
      </w:pPr>
      <w:r>
        <w:rPr>
          <w:color w:val="000000"/>
          <w:sz w:val="24"/>
        </w:rPr>
        <w:t>1</w:t>
      </w:r>
      <w:r>
        <w:rPr>
          <w:color w:val="000000"/>
          <w:sz w:val="24"/>
        </w:rPr>
        <w:t>、中国证监会准予交银施罗德创业板</w:t>
      </w:r>
      <w:r>
        <w:rPr>
          <w:color w:val="000000"/>
          <w:sz w:val="24"/>
        </w:rPr>
        <w:t>50</w:t>
      </w:r>
      <w:r>
        <w:rPr>
          <w:color w:val="000000"/>
          <w:sz w:val="24"/>
        </w:rPr>
        <w:t>指数型证券投资基金募集注册的文件；</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2</w:t>
      </w:r>
      <w:r>
        <w:rPr>
          <w:color w:val="000000"/>
          <w:sz w:val="24"/>
        </w:rPr>
        <w:t>、《交银施罗德创业板</w:t>
      </w:r>
      <w:r>
        <w:rPr>
          <w:color w:val="000000"/>
          <w:sz w:val="24"/>
        </w:rPr>
        <w:t>50</w:t>
      </w:r>
      <w:r>
        <w:rPr>
          <w:color w:val="000000"/>
          <w:sz w:val="24"/>
        </w:rPr>
        <w:t>指数型证券投资基金基金合同》；</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3</w:t>
      </w:r>
      <w:r>
        <w:rPr>
          <w:color w:val="000000"/>
          <w:sz w:val="24"/>
        </w:rPr>
        <w:t>、《交银施罗德创业板</w:t>
      </w:r>
      <w:r>
        <w:rPr>
          <w:color w:val="000000"/>
          <w:sz w:val="24"/>
        </w:rPr>
        <w:t>50</w:t>
      </w:r>
      <w:r>
        <w:rPr>
          <w:color w:val="000000"/>
          <w:sz w:val="24"/>
        </w:rPr>
        <w:t>指数型证券投资基金招募说明书》；</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4</w:t>
      </w:r>
      <w:r>
        <w:rPr>
          <w:color w:val="000000"/>
          <w:sz w:val="24"/>
        </w:rPr>
        <w:t>、《交银施罗德创业板</w:t>
      </w:r>
      <w:r>
        <w:rPr>
          <w:color w:val="000000"/>
          <w:sz w:val="24"/>
        </w:rPr>
        <w:t>50</w:t>
      </w:r>
      <w:r>
        <w:rPr>
          <w:color w:val="000000"/>
          <w:sz w:val="24"/>
        </w:rPr>
        <w:t>指数型证券投资基金托管协议》；</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5</w:t>
      </w:r>
      <w:r>
        <w:rPr>
          <w:color w:val="000000"/>
          <w:sz w:val="24"/>
        </w:rPr>
        <w:t>、关于申请募集注册交银施罗德创业板</w:t>
      </w:r>
      <w:r>
        <w:rPr>
          <w:color w:val="000000"/>
          <w:sz w:val="24"/>
        </w:rPr>
        <w:t>50</w:t>
      </w:r>
      <w:r>
        <w:rPr>
          <w:color w:val="000000"/>
          <w:sz w:val="24"/>
        </w:rPr>
        <w:t>指数型证券投资基金的法律意见书；</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A9050D" w:rsidRDefault="00896817">
      <w:pPr>
        <w:spacing w:line="360"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62673" w:rsidRPr="00C1648E" w:rsidRDefault="00A62673" w:rsidP="00C1648E">
      <w:pPr>
        <w:spacing w:line="360" w:lineRule="auto"/>
        <w:ind w:firstLineChars="200" w:firstLine="480"/>
        <w:rPr>
          <w:color w:val="000000"/>
          <w:sz w:val="24"/>
        </w:rPr>
      </w:pPr>
      <w:r w:rsidRPr="00DC315B">
        <w:rPr>
          <w:color w:val="000000"/>
          <w:sz w:val="24"/>
        </w:rPr>
        <w:t>8</w:t>
      </w:r>
      <w:r w:rsidRPr="00DC315B">
        <w:rPr>
          <w:color w:val="000000"/>
          <w:sz w:val="24"/>
        </w:rPr>
        <w:t>、报告期内交银施罗德创业板</w:t>
      </w:r>
      <w:r w:rsidRPr="00DC315B">
        <w:rPr>
          <w:color w:val="000000"/>
          <w:sz w:val="24"/>
        </w:rPr>
        <w:t>50</w:t>
      </w:r>
      <w:r w:rsidRPr="00DC315B">
        <w:rPr>
          <w:color w:val="000000"/>
          <w:sz w:val="24"/>
        </w:rPr>
        <w:t>指数型证券投资基金在指定报刊上各项公告的原稿。</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9.2 </w:t>
      </w:r>
      <w:r w:rsidRPr="00511B6A">
        <w:rPr>
          <w:rFonts w:ascii="宋体" w:hAnsi="宋体" w:hint="eastAsia"/>
          <w:b/>
          <w:color w:val="000000"/>
          <w:sz w:val="24"/>
        </w:rPr>
        <w:t>存放地点</w:t>
      </w:r>
    </w:p>
    <w:p w:rsidR="00A62673" w:rsidRPr="00C1648E" w:rsidRDefault="00A62673" w:rsidP="00C1648E">
      <w:pPr>
        <w:spacing w:line="360" w:lineRule="auto"/>
        <w:ind w:firstLineChars="200" w:firstLine="480"/>
        <w:rPr>
          <w:color w:val="000000"/>
          <w:sz w:val="24"/>
        </w:rPr>
      </w:pPr>
      <w:r w:rsidRPr="00DC315B">
        <w:rPr>
          <w:color w:val="000000"/>
          <w:sz w:val="24"/>
        </w:rPr>
        <w:t>备查文件存放于基金管理人的办公场所。</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9.3 </w:t>
      </w:r>
      <w:r w:rsidRPr="00511B6A">
        <w:rPr>
          <w:rFonts w:ascii="宋体" w:hAnsi="宋体" w:hint="eastAsia"/>
          <w:b/>
          <w:color w:val="000000"/>
          <w:sz w:val="24"/>
        </w:rPr>
        <w:t>查阅方式</w:t>
      </w:r>
    </w:p>
    <w:p w:rsidR="00A9050D" w:rsidRDefault="00896817">
      <w:pPr>
        <w:spacing w:line="360"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A62673" w:rsidRPr="00DC315B" w:rsidRDefault="00A62673" w:rsidP="005A2769">
      <w:pPr>
        <w:spacing w:line="360" w:lineRule="auto"/>
        <w:ind w:firstLineChars="200" w:firstLine="480"/>
        <w:rPr>
          <w:color w:val="000000"/>
          <w:sz w:val="24"/>
        </w:rPr>
      </w:pPr>
      <w:r w:rsidRPr="00DC315B">
        <w:rPr>
          <w:color w:val="000000"/>
          <w:sz w:val="24"/>
        </w:rPr>
        <w:t>投资者对本报告书如有疑问，可咨询本基金管理人交银施罗德基金管理有限公司。本公司客户服务中心电话：</w:t>
      </w:r>
      <w:r w:rsidRPr="00DC315B">
        <w:rPr>
          <w:color w:val="000000"/>
          <w:sz w:val="24"/>
        </w:rPr>
        <w:t>400-700-5000</w:t>
      </w:r>
      <w:r w:rsidRPr="00DC315B">
        <w:rPr>
          <w:color w:val="000000"/>
          <w:sz w:val="24"/>
        </w:rPr>
        <w:t>（免长途话费），</w:t>
      </w:r>
      <w:r w:rsidRPr="00DC315B">
        <w:rPr>
          <w:color w:val="000000"/>
          <w:sz w:val="24"/>
        </w:rPr>
        <w:t>021-61055000</w:t>
      </w:r>
      <w:r w:rsidRPr="00DC315B">
        <w:rPr>
          <w:color w:val="000000"/>
          <w:sz w:val="24"/>
        </w:rPr>
        <w:t>，电子邮件：</w:t>
      </w:r>
      <w:r w:rsidRPr="00DC315B">
        <w:rPr>
          <w:color w:val="000000"/>
          <w:sz w:val="24"/>
        </w:rPr>
        <w:t>services@jysld.com</w:t>
      </w:r>
      <w:r w:rsidRPr="00DC315B">
        <w:rPr>
          <w:color w:val="000000"/>
          <w:sz w:val="24"/>
        </w:rPr>
        <w:t>。</w:t>
      </w: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Pr="00EC5CE0" w:rsidRDefault="00A62673" w:rsidP="0019563C">
      <w:pPr>
        <w:spacing w:line="360" w:lineRule="auto"/>
        <w:ind w:left="840"/>
        <w:jc w:val="right"/>
        <w:rPr>
          <w:rFonts w:ascii="宋体"/>
          <w:color w:val="000000"/>
          <w:sz w:val="24"/>
        </w:rPr>
      </w:pPr>
    </w:p>
    <w:p w:rsidR="00A62673" w:rsidRPr="00EC5CE0" w:rsidRDefault="00A62673" w:rsidP="00D70274">
      <w:pPr>
        <w:spacing w:line="360" w:lineRule="auto"/>
        <w:ind w:firstLineChars="900" w:firstLine="2168"/>
        <w:jc w:val="right"/>
        <w:rPr>
          <w:rFonts w:ascii="宋体"/>
          <w:b/>
          <w:sz w:val="24"/>
        </w:rPr>
      </w:pPr>
    </w:p>
    <w:sectPr w:rsidR="00A62673" w:rsidRPr="00EC5CE0" w:rsidSect="00DB4450">
      <w:footerReference w:type="even" r:id="rId11"/>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74" w:rsidRDefault="002F1C74">
      <w:r>
        <w:separator/>
      </w:r>
    </w:p>
  </w:endnote>
  <w:endnote w:type="continuationSeparator" w:id="0">
    <w:p w:rsidR="002F1C74" w:rsidRDefault="002F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黑体"/>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TSong-Light">
    <w:altName w:val="Times New Roman"/>
    <w:panose1 w:val="00000000000000000000"/>
    <w:charset w:val="00"/>
    <w:family w:val="roman"/>
    <w:notTrueType/>
    <w:pitch w:val="default"/>
    <w:sig w:usb0="00000003" w:usb1="00000000" w:usb2="00000000" w:usb3="00000000" w:csb0="00000001" w:csb1="00000000"/>
  </w:font>
  <w:font w:name="方正仿宋简体">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Pr="001D0DB0" w:rsidRDefault="00AB077A" w:rsidP="00230A66">
    <w:pPr>
      <w:pStyle w:val="a6"/>
      <w:jc w:val="center"/>
    </w:pPr>
    <w:r>
      <w:rPr>
        <w:rFonts w:hint="eastAsia"/>
        <w:szCs w:val="21"/>
      </w:rPr>
      <w:t>第</w:t>
    </w:r>
    <w:r>
      <w:rPr>
        <w:szCs w:val="21"/>
      </w:rPr>
      <w:fldChar w:fldCharType="begin"/>
    </w:r>
    <w:r>
      <w:rPr>
        <w:szCs w:val="21"/>
      </w:rPr>
      <w:instrText xml:space="preserve"> PAGE </w:instrText>
    </w:r>
    <w:r>
      <w:rPr>
        <w:szCs w:val="21"/>
      </w:rPr>
      <w:fldChar w:fldCharType="separate"/>
    </w:r>
    <w:r w:rsidR="007E609E">
      <w:rPr>
        <w:noProof/>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sidR="007E609E">
      <w:rPr>
        <w:noProof/>
        <w:szCs w:val="21"/>
      </w:rPr>
      <w:t>15</w:t>
    </w:r>
    <w:r>
      <w:rPr>
        <w:szCs w:val="21"/>
      </w:rPr>
      <w:fldChar w:fldCharType="end"/>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Default="00AB07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077A" w:rsidRDefault="00AB07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Default="00AB07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609E">
      <w:rPr>
        <w:rStyle w:val="a7"/>
        <w:noProof/>
      </w:rPr>
      <w:t>8</w:t>
    </w:r>
    <w:r>
      <w:rPr>
        <w:rStyle w:val="a7"/>
      </w:rPr>
      <w:fldChar w:fldCharType="end"/>
    </w:r>
  </w:p>
  <w:p w:rsidR="00AB077A" w:rsidRDefault="00AB07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74" w:rsidRDefault="002F1C74">
      <w:r>
        <w:separator/>
      </w:r>
    </w:p>
  </w:footnote>
  <w:footnote w:type="continuationSeparator" w:id="0">
    <w:p w:rsidR="002F1C74" w:rsidRDefault="002F1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Pr="00977154" w:rsidRDefault="00AB077A" w:rsidP="005E491F">
    <w:pPr>
      <w:pStyle w:val="a9"/>
      <w:pBdr>
        <w:bottom w:val="single" w:sz="6" w:space="0" w:color="auto"/>
      </w:pBdr>
      <w:jc w:val="right"/>
    </w:pPr>
    <w:r w:rsidRPr="00977154">
      <w:t>交银施罗德创业板</w:t>
    </w:r>
    <w:r w:rsidRPr="00977154">
      <w:t>50</w:t>
    </w:r>
    <w:r w:rsidRPr="00977154">
      <w:t>指数型证券投资基金</w:t>
    </w:r>
    <w:r w:rsidRPr="00977154">
      <w:t>2020</w:t>
    </w:r>
    <w:r w:rsidRPr="00977154">
      <w:t>年第</w:t>
    </w:r>
    <w:r w:rsidRPr="00977154">
      <w:t>3</w:t>
    </w:r>
    <w:r w:rsidRPr="00977154">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2A56"/>
    <w:rsid w:val="000020BB"/>
    <w:rsid w:val="0000369F"/>
    <w:rsid w:val="0000403B"/>
    <w:rsid w:val="00005911"/>
    <w:rsid w:val="00010A83"/>
    <w:rsid w:val="00010A8E"/>
    <w:rsid w:val="00010AC3"/>
    <w:rsid w:val="000115A7"/>
    <w:rsid w:val="00011EB5"/>
    <w:rsid w:val="0001280C"/>
    <w:rsid w:val="00017581"/>
    <w:rsid w:val="00020583"/>
    <w:rsid w:val="00021DD4"/>
    <w:rsid w:val="00023BE7"/>
    <w:rsid w:val="00024709"/>
    <w:rsid w:val="00037FCF"/>
    <w:rsid w:val="000421B8"/>
    <w:rsid w:val="00043ABF"/>
    <w:rsid w:val="000445E4"/>
    <w:rsid w:val="00045BEC"/>
    <w:rsid w:val="000510AB"/>
    <w:rsid w:val="00055AF1"/>
    <w:rsid w:val="000625A6"/>
    <w:rsid w:val="00064AE3"/>
    <w:rsid w:val="0006511D"/>
    <w:rsid w:val="00066524"/>
    <w:rsid w:val="00070CD1"/>
    <w:rsid w:val="0007171B"/>
    <w:rsid w:val="00072E4F"/>
    <w:rsid w:val="00074E9F"/>
    <w:rsid w:val="000770DE"/>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D34E3"/>
    <w:rsid w:val="000E4456"/>
    <w:rsid w:val="000F175F"/>
    <w:rsid w:val="000F17D1"/>
    <w:rsid w:val="000F386F"/>
    <w:rsid w:val="000F60FF"/>
    <w:rsid w:val="000F635F"/>
    <w:rsid w:val="000F6C61"/>
    <w:rsid w:val="000F709D"/>
    <w:rsid w:val="00100C12"/>
    <w:rsid w:val="00101DBA"/>
    <w:rsid w:val="001049B6"/>
    <w:rsid w:val="001051C6"/>
    <w:rsid w:val="00107CB4"/>
    <w:rsid w:val="0011177A"/>
    <w:rsid w:val="00112E9B"/>
    <w:rsid w:val="00116E31"/>
    <w:rsid w:val="00122A26"/>
    <w:rsid w:val="0012304E"/>
    <w:rsid w:val="001248EF"/>
    <w:rsid w:val="001257C7"/>
    <w:rsid w:val="00126DDF"/>
    <w:rsid w:val="001270BF"/>
    <w:rsid w:val="00127BAC"/>
    <w:rsid w:val="0013360F"/>
    <w:rsid w:val="00141121"/>
    <w:rsid w:val="001421A1"/>
    <w:rsid w:val="00142A56"/>
    <w:rsid w:val="00144DF5"/>
    <w:rsid w:val="00145A97"/>
    <w:rsid w:val="00146485"/>
    <w:rsid w:val="00150AD6"/>
    <w:rsid w:val="001526F9"/>
    <w:rsid w:val="00153B40"/>
    <w:rsid w:val="00154ADA"/>
    <w:rsid w:val="0015531A"/>
    <w:rsid w:val="001600E8"/>
    <w:rsid w:val="00163B27"/>
    <w:rsid w:val="00165317"/>
    <w:rsid w:val="00165A09"/>
    <w:rsid w:val="00171BAD"/>
    <w:rsid w:val="0017347D"/>
    <w:rsid w:val="001744B4"/>
    <w:rsid w:val="001756A1"/>
    <w:rsid w:val="001761EE"/>
    <w:rsid w:val="0017659B"/>
    <w:rsid w:val="00176EAA"/>
    <w:rsid w:val="0017725A"/>
    <w:rsid w:val="001779ED"/>
    <w:rsid w:val="00177C4B"/>
    <w:rsid w:val="00182635"/>
    <w:rsid w:val="0018325A"/>
    <w:rsid w:val="00185053"/>
    <w:rsid w:val="00186199"/>
    <w:rsid w:val="001928F7"/>
    <w:rsid w:val="00194537"/>
    <w:rsid w:val="0019563C"/>
    <w:rsid w:val="00195F18"/>
    <w:rsid w:val="001968CE"/>
    <w:rsid w:val="00196E83"/>
    <w:rsid w:val="001A0A1E"/>
    <w:rsid w:val="001A21A9"/>
    <w:rsid w:val="001A59D8"/>
    <w:rsid w:val="001A5FA6"/>
    <w:rsid w:val="001A6A3B"/>
    <w:rsid w:val="001A6F8A"/>
    <w:rsid w:val="001B0A62"/>
    <w:rsid w:val="001B2F0C"/>
    <w:rsid w:val="001C13C9"/>
    <w:rsid w:val="001C37F6"/>
    <w:rsid w:val="001C6288"/>
    <w:rsid w:val="001D0DB0"/>
    <w:rsid w:val="001D0F6A"/>
    <w:rsid w:val="001D21BC"/>
    <w:rsid w:val="001D2FA5"/>
    <w:rsid w:val="001D35E0"/>
    <w:rsid w:val="001D3711"/>
    <w:rsid w:val="001D3CDF"/>
    <w:rsid w:val="001D5045"/>
    <w:rsid w:val="001D5A44"/>
    <w:rsid w:val="001D63BB"/>
    <w:rsid w:val="001D724B"/>
    <w:rsid w:val="001E11D3"/>
    <w:rsid w:val="001E2A6A"/>
    <w:rsid w:val="001E3742"/>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170E"/>
    <w:rsid w:val="002517C2"/>
    <w:rsid w:val="0025281A"/>
    <w:rsid w:val="00253D3C"/>
    <w:rsid w:val="00255292"/>
    <w:rsid w:val="00257D8C"/>
    <w:rsid w:val="00257F8D"/>
    <w:rsid w:val="00260200"/>
    <w:rsid w:val="00263563"/>
    <w:rsid w:val="002648D8"/>
    <w:rsid w:val="00264E55"/>
    <w:rsid w:val="00267B74"/>
    <w:rsid w:val="00270548"/>
    <w:rsid w:val="00273F86"/>
    <w:rsid w:val="002774F0"/>
    <w:rsid w:val="00283272"/>
    <w:rsid w:val="0028459B"/>
    <w:rsid w:val="00284C5F"/>
    <w:rsid w:val="002873F0"/>
    <w:rsid w:val="00287AC3"/>
    <w:rsid w:val="0029046D"/>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4578"/>
    <w:rsid w:val="002C5777"/>
    <w:rsid w:val="002D32E3"/>
    <w:rsid w:val="002D7B86"/>
    <w:rsid w:val="002E0FEB"/>
    <w:rsid w:val="002E300D"/>
    <w:rsid w:val="002F0F79"/>
    <w:rsid w:val="002F1C74"/>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0C1E"/>
    <w:rsid w:val="00321E8C"/>
    <w:rsid w:val="00322A86"/>
    <w:rsid w:val="00323AE8"/>
    <w:rsid w:val="00324548"/>
    <w:rsid w:val="003251F4"/>
    <w:rsid w:val="003303E3"/>
    <w:rsid w:val="00331FA4"/>
    <w:rsid w:val="003329EA"/>
    <w:rsid w:val="003347EF"/>
    <w:rsid w:val="00337293"/>
    <w:rsid w:val="003407A5"/>
    <w:rsid w:val="00341188"/>
    <w:rsid w:val="0034147B"/>
    <w:rsid w:val="00345AA8"/>
    <w:rsid w:val="00350238"/>
    <w:rsid w:val="0035109C"/>
    <w:rsid w:val="00351F0A"/>
    <w:rsid w:val="0035432B"/>
    <w:rsid w:val="00357172"/>
    <w:rsid w:val="0035753B"/>
    <w:rsid w:val="003613A8"/>
    <w:rsid w:val="00361E7E"/>
    <w:rsid w:val="0036360E"/>
    <w:rsid w:val="00364504"/>
    <w:rsid w:val="00364559"/>
    <w:rsid w:val="00370AA4"/>
    <w:rsid w:val="00371FF4"/>
    <w:rsid w:val="00375F3B"/>
    <w:rsid w:val="00376C39"/>
    <w:rsid w:val="00377520"/>
    <w:rsid w:val="003802CC"/>
    <w:rsid w:val="00380D36"/>
    <w:rsid w:val="003822D3"/>
    <w:rsid w:val="0038237A"/>
    <w:rsid w:val="003834E0"/>
    <w:rsid w:val="00384C43"/>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23CB"/>
    <w:rsid w:val="003D6F64"/>
    <w:rsid w:val="003D78B5"/>
    <w:rsid w:val="003E244F"/>
    <w:rsid w:val="003E62A6"/>
    <w:rsid w:val="003E688B"/>
    <w:rsid w:val="003E68A0"/>
    <w:rsid w:val="003E695F"/>
    <w:rsid w:val="003E6C9B"/>
    <w:rsid w:val="003E709C"/>
    <w:rsid w:val="003E7B89"/>
    <w:rsid w:val="003F4241"/>
    <w:rsid w:val="003F7040"/>
    <w:rsid w:val="003F7C45"/>
    <w:rsid w:val="0040132C"/>
    <w:rsid w:val="00405085"/>
    <w:rsid w:val="00405481"/>
    <w:rsid w:val="004066FC"/>
    <w:rsid w:val="00407C10"/>
    <w:rsid w:val="004103DF"/>
    <w:rsid w:val="00410E6E"/>
    <w:rsid w:val="004113B4"/>
    <w:rsid w:val="00413689"/>
    <w:rsid w:val="004143D6"/>
    <w:rsid w:val="00414827"/>
    <w:rsid w:val="00416C10"/>
    <w:rsid w:val="00420355"/>
    <w:rsid w:val="00421E6B"/>
    <w:rsid w:val="00424EF3"/>
    <w:rsid w:val="004268BB"/>
    <w:rsid w:val="00431047"/>
    <w:rsid w:val="004318F0"/>
    <w:rsid w:val="00431B86"/>
    <w:rsid w:val="00435368"/>
    <w:rsid w:val="004408EC"/>
    <w:rsid w:val="004419E2"/>
    <w:rsid w:val="00441E6A"/>
    <w:rsid w:val="0044398D"/>
    <w:rsid w:val="00443C8F"/>
    <w:rsid w:val="00447C82"/>
    <w:rsid w:val="00450215"/>
    <w:rsid w:val="00452481"/>
    <w:rsid w:val="00457251"/>
    <w:rsid w:val="004575E9"/>
    <w:rsid w:val="004576F2"/>
    <w:rsid w:val="00457804"/>
    <w:rsid w:val="004646BF"/>
    <w:rsid w:val="00464744"/>
    <w:rsid w:val="004665E3"/>
    <w:rsid w:val="00467683"/>
    <w:rsid w:val="004731F1"/>
    <w:rsid w:val="00480BC8"/>
    <w:rsid w:val="00481265"/>
    <w:rsid w:val="004814BF"/>
    <w:rsid w:val="0048587E"/>
    <w:rsid w:val="00487C2B"/>
    <w:rsid w:val="00490626"/>
    <w:rsid w:val="00491631"/>
    <w:rsid w:val="0049297D"/>
    <w:rsid w:val="004929F2"/>
    <w:rsid w:val="00494E27"/>
    <w:rsid w:val="00495A03"/>
    <w:rsid w:val="004967FC"/>
    <w:rsid w:val="00497079"/>
    <w:rsid w:val="004976EE"/>
    <w:rsid w:val="004A00BD"/>
    <w:rsid w:val="004A1A57"/>
    <w:rsid w:val="004A1BBA"/>
    <w:rsid w:val="004A29E5"/>
    <w:rsid w:val="004A3E3C"/>
    <w:rsid w:val="004B0E4B"/>
    <w:rsid w:val="004B0E6D"/>
    <w:rsid w:val="004B16E8"/>
    <w:rsid w:val="004B2DB9"/>
    <w:rsid w:val="004B5E54"/>
    <w:rsid w:val="004B6250"/>
    <w:rsid w:val="004B76B1"/>
    <w:rsid w:val="004C0057"/>
    <w:rsid w:val="004C03A7"/>
    <w:rsid w:val="004C0541"/>
    <w:rsid w:val="004C2C46"/>
    <w:rsid w:val="004C5189"/>
    <w:rsid w:val="004C7235"/>
    <w:rsid w:val="004C7955"/>
    <w:rsid w:val="004D047F"/>
    <w:rsid w:val="004D1930"/>
    <w:rsid w:val="004D1A45"/>
    <w:rsid w:val="004D3D96"/>
    <w:rsid w:val="004D5C1F"/>
    <w:rsid w:val="004D650F"/>
    <w:rsid w:val="004E2133"/>
    <w:rsid w:val="004E5AB9"/>
    <w:rsid w:val="004E60FB"/>
    <w:rsid w:val="004F4EA9"/>
    <w:rsid w:val="004F779C"/>
    <w:rsid w:val="004F7846"/>
    <w:rsid w:val="005000D4"/>
    <w:rsid w:val="0050069E"/>
    <w:rsid w:val="005009C0"/>
    <w:rsid w:val="00500F1D"/>
    <w:rsid w:val="0050148E"/>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4EC3"/>
    <w:rsid w:val="00525E59"/>
    <w:rsid w:val="005318CC"/>
    <w:rsid w:val="00531D1B"/>
    <w:rsid w:val="005349B1"/>
    <w:rsid w:val="005374BC"/>
    <w:rsid w:val="00543188"/>
    <w:rsid w:val="00543367"/>
    <w:rsid w:val="00543BFA"/>
    <w:rsid w:val="00547D9C"/>
    <w:rsid w:val="00547DA1"/>
    <w:rsid w:val="00551CED"/>
    <w:rsid w:val="00554EAB"/>
    <w:rsid w:val="0055513C"/>
    <w:rsid w:val="00560C94"/>
    <w:rsid w:val="00560F37"/>
    <w:rsid w:val="0056291C"/>
    <w:rsid w:val="00565A63"/>
    <w:rsid w:val="00566588"/>
    <w:rsid w:val="00570B1A"/>
    <w:rsid w:val="00572736"/>
    <w:rsid w:val="0057275D"/>
    <w:rsid w:val="005800A9"/>
    <w:rsid w:val="00580488"/>
    <w:rsid w:val="0058074D"/>
    <w:rsid w:val="00580FD1"/>
    <w:rsid w:val="0058111B"/>
    <w:rsid w:val="00582FAD"/>
    <w:rsid w:val="00583489"/>
    <w:rsid w:val="00583A98"/>
    <w:rsid w:val="00584D71"/>
    <w:rsid w:val="005858C4"/>
    <w:rsid w:val="00590FE4"/>
    <w:rsid w:val="00591D9C"/>
    <w:rsid w:val="00597057"/>
    <w:rsid w:val="00597D8B"/>
    <w:rsid w:val="005A1C30"/>
    <w:rsid w:val="005A2769"/>
    <w:rsid w:val="005A2DCB"/>
    <w:rsid w:val="005A3295"/>
    <w:rsid w:val="005A46FF"/>
    <w:rsid w:val="005A6166"/>
    <w:rsid w:val="005B011E"/>
    <w:rsid w:val="005B1C7D"/>
    <w:rsid w:val="005B1DEC"/>
    <w:rsid w:val="005B2E84"/>
    <w:rsid w:val="005B53CA"/>
    <w:rsid w:val="005B5A04"/>
    <w:rsid w:val="005B7B0E"/>
    <w:rsid w:val="005C0A04"/>
    <w:rsid w:val="005C5409"/>
    <w:rsid w:val="005C69AC"/>
    <w:rsid w:val="005C722E"/>
    <w:rsid w:val="005C7380"/>
    <w:rsid w:val="005D01A4"/>
    <w:rsid w:val="005D14DE"/>
    <w:rsid w:val="005D3F12"/>
    <w:rsid w:val="005D44E4"/>
    <w:rsid w:val="005D45B3"/>
    <w:rsid w:val="005D4CEB"/>
    <w:rsid w:val="005E491F"/>
    <w:rsid w:val="005E58CE"/>
    <w:rsid w:val="005E59E9"/>
    <w:rsid w:val="005F04E6"/>
    <w:rsid w:val="005F23CA"/>
    <w:rsid w:val="005F43B9"/>
    <w:rsid w:val="005F68CB"/>
    <w:rsid w:val="005F6A4A"/>
    <w:rsid w:val="005F7D6F"/>
    <w:rsid w:val="00602154"/>
    <w:rsid w:val="006033E3"/>
    <w:rsid w:val="00604FE3"/>
    <w:rsid w:val="0061321C"/>
    <w:rsid w:val="00620DB0"/>
    <w:rsid w:val="0062386E"/>
    <w:rsid w:val="00623D9A"/>
    <w:rsid w:val="00623F01"/>
    <w:rsid w:val="006242FB"/>
    <w:rsid w:val="00626E2D"/>
    <w:rsid w:val="00627D94"/>
    <w:rsid w:val="00630B42"/>
    <w:rsid w:val="00636CDE"/>
    <w:rsid w:val="00637BA7"/>
    <w:rsid w:val="00640ACD"/>
    <w:rsid w:val="00642072"/>
    <w:rsid w:val="00643330"/>
    <w:rsid w:val="006440ED"/>
    <w:rsid w:val="00645293"/>
    <w:rsid w:val="00647C64"/>
    <w:rsid w:val="00651B78"/>
    <w:rsid w:val="00652263"/>
    <w:rsid w:val="00652881"/>
    <w:rsid w:val="00661974"/>
    <w:rsid w:val="00664551"/>
    <w:rsid w:val="00664E44"/>
    <w:rsid w:val="00665677"/>
    <w:rsid w:val="0066704D"/>
    <w:rsid w:val="006676A0"/>
    <w:rsid w:val="00670857"/>
    <w:rsid w:val="00671124"/>
    <w:rsid w:val="006727B0"/>
    <w:rsid w:val="0067307E"/>
    <w:rsid w:val="00677AC6"/>
    <w:rsid w:val="00687AD5"/>
    <w:rsid w:val="006908F6"/>
    <w:rsid w:val="00691AFA"/>
    <w:rsid w:val="0069335C"/>
    <w:rsid w:val="00695251"/>
    <w:rsid w:val="00695ADE"/>
    <w:rsid w:val="00695C0D"/>
    <w:rsid w:val="00696356"/>
    <w:rsid w:val="006A72C6"/>
    <w:rsid w:val="006B02DA"/>
    <w:rsid w:val="006B2065"/>
    <w:rsid w:val="006B315F"/>
    <w:rsid w:val="006B3940"/>
    <w:rsid w:val="006C168D"/>
    <w:rsid w:val="006C1D5C"/>
    <w:rsid w:val="006C3C80"/>
    <w:rsid w:val="006C3F43"/>
    <w:rsid w:val="006C642C"/>
    <w:rsid w:val="006C6FC6"/>
    <w:rsid w:val="006D1831"/>
    <w:rsid w:val="006D442E"/>
    <w:rsid w:val="006D6A40"/>
    <w:rsid w:val="006D6F20"/>
    <w:rsid w:val="006D7693"/>
    <w:rsid w:val="006E231B"/>
    <w:rsid w:val="006E346E"/>
    <w:rsid w:val="006E34B7"/>
    <w:rsid w:val="006F0F87"/>
    <w:rsid w:val="006F2F3E"/>
    <w:rsid w:val="006F4CD8"/>
    <w:rsid w:val="006F53D9"/>
    <w:rsid w:val="006F6A94"/>
    <w:rsid w:val="007004DC"/>
    <w:rsid w:val="00701575"/>
    <w:rsid w:val="00701A03"/>
    <w:rsid w:val="00703E8A"/>
    <w:rsid w:val="00711522"/>
    <w:rsid w:val="007124FE"/>
    <w:rsid w:val="00712EE5"/>
    <w:rsid w:val="00713186"/>
    <w:rsid w:val="00713757"/>
    <w:rsid w:val="0071379B"/>
    <w:rsid w:val="0071497D"/>
    <w:rsid w:val="00717772"/>
    <w:rsid w:val="0072122C"/>
    <w:rsid w:val="00721AF1"/>
    <w:rsid w:val="0072280F"/>
    <w:rsid w:val="00722B5E"/>
    <w:rsid w:val="00723309"/>
    <w:rsid w:val="00723845"/>
    <w:rsid w:val="0072708F"/>
    <w:rsid w:val="007323FB"/>
    <w:rsid w:val="00732D1D"/>
    <w:rsid w:val="00736034"/>
    <w:rsid w:val="0073681C"/>
    <w:rsid w:val="00741EBE"/>
    <w:rsid w:val="00746130"/>
    <w:rsid w:val="007467A8"/>
    <w:rsid w:val="00746A40"/>
    <w:rsid w:val="007479DC"/>
    <w:rsid w:val="00750358"/>
    <w:rsid w:val="00755CDF"/>
    <w:rsid w:val="00757A4C"/>
    <w:rsid w:val="0076110A"/>
    <w:rsid w:val="00764A94"/>
    <w:rsid w:val="00764DC3"/>
    <w:rsid w:val="007651E5"/>
    <w:rsid w:val="007670DC"/>
    <w:rsid w:val="00767239"/>
    <w:rsid w:val="0077111A"/>
    <w:rsid w:val="00772272"/>
    <w:rsid w:val="00774C7D"/>
    <w:rsid w:val="007756ED"/>
    <w:rsid w:val="007869A0"/>
    <w:rsid w:val="00786A23"/>
    <w:rsid w:val="007870FC"/>
    <w:rsid w:val="00787CD0"/>
    <w:rsid w:val="00791053"/>
    <w:rsid w:val="00791A3A"/>
    <w:rsid w:val="00794196"/>
    <w:rsid w:val="00797637"/>
    <w:rsid w:val="007A2E54"/>
    <w:rsid w:val="007A3680"/>
    <w:rsid w:val="007A59B8"/>
    <w:rsid w:val="007B2862"/>
    <w:rsid w:val="007B662A"/>
    <w:rsid w:val="007B6FEC"/>
    <w:rsid w:val="007C1A93"/>
    <w:rsid w:val="007C751E"/>
    <w:rsid w:val="007D021A"/>
    <w:rsid w:val="007D28C9"/>
    <w:rsid w:val="007D3CC8"/>
    <w:rsid w:val="007D62F9"/>
    <w:rsid w:val="007D63A4"/>
    <w:rsid w:val="007E1AA2"/>
    <w:rsid w:val="007E4C1F"/>
    <w:rsid w:val="007E609E"/>
    <w:rsid w:val="007F0746"/>
    <w:rsid w:val="007F0759"/>
    <w:rsid w:val="007F25C0"/>
    <w:rsid w:val="007F456A"/>
    <w:rsid w:val="007F4C9B"/>
    <w:rsid w:val="007F5F52"/>
    <w:rsid w:val="007F77C6"/>
    <w:rsid w:val="007F77D8"/>
    <w:rsid w:val="008003A1"/>
    <w:rsid w:val="008006B7"/>
    <w:rsid w:val="00800FDB"/>
    <w:rsid w:val="00802081"/>
    <w:rsid w:val="008020B5"/>
    <w:rsid w:val="008021E8"/>
    <w:rsid w:val="008034CF"/>
    <w:rsid w:val="00803F15"/>
    <w:rsid w:val="008063D8"/>
    <w:rsid w:val="00806461"/>
    <w:rsid w:val="00806722"/>
    <w:rsid w:val="0081096D"/>
    <w:rsid w:val="00810EAD"/>
    <w:rsid w:val="00811833"/>
    <w:rsid w:val="008174D4"/>
    <w:rsid w:val="00820FE6"/>
    <w:rsid w:val="00821A66"/>
    <w:rsid w:val="00822476"/>
    <w:rsid w:val="00822882"/>
    <w:rsid w:val="0082435E"/>
    <w:rsid w:val="00824CB2"/>
    <w:rsid w:val="00825F68"/>
    <w:rsid w:val="008273D3"/>
    <w:rsid w:val="00835408"/>
    <w:rsid w:val="008359DA"/>
    <w:rsid w:val="00837CEF"/>
    <w:rsid w:val="00840035"/>
    <w:rsid w:val="00840220"/>
    <w:rsid w:val="008419D5"/>
    <w:rsid w:val="00841B65"/>
    <w:rsid w:val="008428A9"/>
    <w:rsid w:val="00844112"/>
    <w:rsid w:val="008444F2"/>
    <w:rsid w:val="008456C9"/>
    <w:rsid w:val="0084611D"/>
    <w:rsid w:val="00847BEF"/>
    <w:rsid w:val="00847D9E"/>
    <w:rsid w:val="00850C62"/>
    <w:rsid w:val="008624F9"/>
    <w:rsid w:val="00863011"/>
    <w:rsid w:val="00865075"/>
    <w:rsid w:val="00866F96"/>
    <w:rsid w:val="0086748F"/>
    <w:rsid w:val="00872CE4"/>
    <w:rsid w:val="00874F4B"/>
    <w:rsid w:val="0087539B"/>
    <w:rsid w:val="00877B62"/>
    <w:rsid w:val="00880199"/>
    <w:rsid w:val="00881015"/>
    <w:rsid w:val="008810B0"/>
    <w:rsid w:val="008813D6"/>
    <w:rsid w:val="008819B6"/>
    <w:rsid w:val="00881AAC"/>
    <w:rsid w:val="008836B7"/>
    <w:rsid w:val="008841D3"/>
    <w:rsid w:val="0088709F"/>
    <w:rsid w:val="00887DE6"/>
    <w:rsid w:val="00894C2A"/>
    <w:rsid w:val="00896817"/>
    <w:rsid w:val="00897708"/>
    <w:rsid w:val="00897D88"/>
    <w:rsid w:val="008A2F16"/>
    <w:rsid w:val="008B1823"/>
    <w:rsid w:val="008B203C"/>
    <w:rsid w:val="008B6E16"/>
    <w:rsid w:val="008B7110"/>
    <w:rsid w:val="008C2029"/>
    <w:rsid w:val="008C61D6"/>
    <w:rsid w:val="008C64F1"/>
    <w:rsid w:val="008D1531"/>
    <w:rsid w:val="008D1BB0"/>
    <w:rsid w:val="008D20FF"/>
    <w:rsid w:val="008D2265"/>
    <w:rsid w:val="008D3DE6"/>
    <w:rsid w:val="008D4223"/>
    <w:rsid w:val="008D44CC"/>
    <w:rsid w:val="008D46E3"/>
    <w:rsid w:val="008D6709"/>
    <w:rsid w:val="008D7EF7"/>
    <w:rsid w:val="008E083A"/>
    <w:rsid w:val="008E1338"/>
    <w:rsid w:val="008E2450"/>
    <w:rsid w:val="008E2983"/>
    <w:rsid w:val="008E6038"/>
    <w:rsid w:val="008E7896"/>
    <w:rsid w:val="008F2477"/>
    <w:rsid w:val="008F2F2B"/>
    <w:rsid w:val="008F385C"/>
    <w:rsid w:val="008F3EF6"/>
    <w:rsid w:val="008F4AAB"/>
    <w:rsid w:val="008F60C5"/>
    <w:rsid w:val="00900A07"/>
    <w:rsid w:val="009010F0"/>
    <w:rsid w:val="00901162"/>
    <w:rsid w:val="0090223A"/>
    <w:rsid w:val="009028E2"/>
    <w:rsid w:val="009135C1"/>
    <w:rsid w:val="00914EAB"/>
    <w:rsid w:val="00916597"/>
    <w:rsid w:val="00922D49"/>
    <w:rsid w:val="009259CF"/>
    <w:rsid w:val="00925E37"/>
    <w:rsid w:val="00925EDD"/>
    <w:rsid w:val="00927D0E"/>
    <w:rsid w:val="009309DA"/>
    <w:rsid w:val="00936688"/>
    <w:rsid w:val="00937CFA"/>
    <w:rsid w:val="009406B3"/>
    <w:rsid w:val="00942DF0"/>
    <w:rsid w:val="00945CF5"/>
    <w:rsid w:val="009500A1"/>
    <w:rsid w:val="0095037E"/>
    <w:rsid w:val="00950845"/>
    <w:rsid w:val="00952AAD"/>
    <w:rsid w:val="00954567"/>
    <w:rsid w:val="009547A9"/>
    <w:rsid w:val="009548FE"/>
    <w:rsid w:val="00956F0B"/>
    <w:rsid w:val="00957466"/>
    <w:rsid w:val="0096260B"/>
    <w:rsid w:val="009664D5"/>
    <w:rsid w:val="00970C69"/>
    <w:rsid w:val="00971DF7"/>
    <w:rsid w:val="00971F1C"/>
    <w:rsid w:val="0097211D"/>
    <w:rsid w:val="00972E10"/>
    <w:rsid w:val="009746CA"/>
    <w:rsid w:val="00974975"/>
    <w:rsid w:val="00974EA8"/>
    <w:rsid w:val="00975555"/>
    <w:rsid w:val="00977154"/>
    <w:rsid w:val="00981963"/>
    <w:rsid w:val="00983C82"/>
    <w:rsid w:val="00984520"/>
    <w:rsid w:val="0098545C"/>
    <w:rsid w:val="00992BA2"/>
    <w:rsid w:val="00992F83"/>
    <w:rsid w:val="0099508A"/>
    <w:rsid w:val="009974EB"/>
    <w:rsid w:val="009A037F"/>
    <w:rsid w:val="009A1126"/>
    <w:rsid w:val="009A552C"/>
    <w:rsid w:val="009A63AC"/>
    <w:rsid w:val="009B1584"/>
    <w:rsid w:val="009B1B32"/>
    <w:rsid w:val="009B21CA"/>
    <w:rsid w:val="009B2648"/>
    <w:rsid w:val="009B2EE9"/>
    <w:rsid w:val="009C03E5"/>
    <w:rsid w:val="009C0C11"/>
    <w:rsid w:val="009C3730"/>
    <w:rsid w:val="009C37BD"/>
    <w:rsid w:val="009C3AAC"/>
    <w:rsid w:val="009C4D19"/>
    <w:rsid w:val="009C5FDB"/>
    <w:rsid w:val="009C6493"/>
    <w:rsid w:val="009C693E"/>
    <w:rsid w:val="009C70CB"/>
    <w:rsid w:val="009D021F"/>
    <w:rsid w:val="009D1EA4"/>
    <w:rsid w:val="009D27AA"/>
    <w:rsid w:val="009D38BA"/>
    <w:rsid w:val="009D4991"/>
    <w:rsid w:val="009D5BB5"/>
    <w:rsid w:val="009D696D"/>
    <w:rsid w:val="009D6ED2"/>
    <w:rsid w:val="009D7F16"/>
    <w:rsid w:val="009E0F1A"/>
    <w:rsid w:val="009E140D"/>
    <w:rsid w:val="009E348F"/>
    <w:rsid w:val="009E4465"/>
    <w:rsid w:val="009E4DF2"/>
    <w:rsid w:val="009E6401"/>
    <w:rsid w:val="009E6C54"/>
    <w:rsid w:val="009F2261"/>
    <w:rsid w:val="009F2A25"/>
    <w:rsid w:val="009F5235"/>
    <w:rsid w:val="009F531A"/>
    <w:rsid w:val="009F6550"/>
    <w:rsid w:val="009F786E"/>
    <w:rsid w:val="00A00902"/>
    <w:rsid w:val="00A039FF"/>
    <w:rsid w:val="00A0522C"/>
    <w:rsid w:val="00A05ACE"/>
    <w:rsid w:val="00A078CB"/>
    <w:rsid w:val="00A125F9"/>
    <w:rsid w:val="00A14AE3"/>
    <w:rsid w:val="00A16675"/>
    <w:rsid w:val="00A22CD6"/>
    <w:rsid w:val="00A234EC"/>
    <w:rsid w:val="00A2417A"/>
    <w:rsid w:val="00A26668"/>
    <w:rsid w:val="00A27804"/>
    <w:rsid w:val="00A3489D"/>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2673"/>
    <w:rsid w:val="00A63284"/>
    <w:rsid w:val="00A64CB8"/>
    <w:rsid w:val="00A67018"/>
    <w:rsid w:val="00A672F3"/>
    <w:rsid w:val="00A673DC"/>
    <w:rsid w:val="00A677FA"/>
    <w:rsid w:val="00A7076E"/>
    <w:rsid w:val="00A709BE"/>
    <w:rsid w:val="00A7162E"/>
    <w:rsid w:val="00A7195A"/>
    <w:rsid w:val="00A72D71"/>
    <w:rsid w:val="00A75705"/>
    <w:rsid w:val="00A77C69"/>
    <w:rsid w:val="00A829DE"/>
    <w:rsid w:val="00A83953"/>
    <w:rsid w:val="00A84113"/>
    <w:rsid w:val="00A85AF5"/>
    <w:rsid w:val="00A869F6"/>
    <w:rsid w:val="00A903B6"/>
    <w:rsid w:val="00A9050D"/>
    <w:rsid w:val="00A90F4F"/>
    <w:rsid w:val="00A92C40"/>
    <w:rsid w:val="00A947AA"/>
    <w:rsid w:val="00AA0AC5"/>
    <w:rsid w:val="00AA19FE"/>
    <w:rsid w:val="00AA1B53"/>
    <w:rsid w:val="00AA3556"/>
    <w:rsid w:val="00AA35FD"/>
    <w:rsid w:val="00AA38A5"/>
    <w:rsid w:val="00AA3ADC"/>
    <w:rsid w:val="00AA3DB7"/>
    <w:rsid w:val="00AA6B2E"/>
    <w:rsid w:val="00AB077A"/>
    <w:rsid w:val="00AB3012"/>
    <w:rsid w:val="00AB321C"/>
    <w:rsid w:val="00AB5B99"/>
    <w:rsid w:val="00AB688F"/>
    <w:rsid w:val="00AB75EA"/>
    <w:rsid w:val="00AB7AA2"/>
    <w:rsid w:val="00AC44D9"/>
    <w:rsid w:val="00AC4BC1"/>
    <w:rsid w:val="00AC6FFD"/>
    <w:rsid w:val="00AD04BD"/>
    <w:rsid w:val="00AD25F6"/>
    <w:rsid w:val="00AD67CB"/>
    <w:rsid w:val="00AD7214"/>
    <w:rsid w:val="00AE1066"/>
    <w:rsid w:val="00AE4518"/>
    <w:rsid w:val="00AE5D7F"/>
    <w:rsid w:val="00AE79F0"/>
    <w:rsid w:val="00AE7FCD"/>
    <w:rsid w:val="00AF0030"/>
    <w:rsid w:val="00AF2DAE"/>
    <w:rsid w:val="00AF5585"/>
    <w:rsid w:val="00AF6EC1"/>
    <w:rsid w:val="00B00331"/>
    <w:rsid w:val="00B01A80"/>
    <w:rsid w:val="00B03EF2"/>
    <w:rsid w:val="00B07C27"/>
    <w:rsid w:val="00B10017"/>
    <w:rsid w:val="00B10DE1"/>
    <w:rsid w:val="00B10FF8"/>
    <w:rsid w:val="00B203C4"/>
    <w:rsid w:val="00B22E81"/>
    <w:rsid w:val="00B23996"/>
    <w:rsid w:val="00B23CB2"/>
    <w:rsid w:val="00B2561A"/>
    <w:rsid w:val="00B25A64"/>
    <w:rsid w:val="00B329F8"/>
    <w:rsid w:val="00B32AB3"/>
    <w:rsid w:val="00B34E7C"/>
    <w:rsid w:val="00B368EA"/>
    <w:rsid w:val="00B37EEF"/>
    <w:rsid w:val="00B51D20"/>
    <w:rsid w:val="00B5298E"/>
    <w:rsid w:val="00B54370"/>
    <w:rsid w:val="00B54B5F"/>
    <w:rsid w:val="00B55185"/>
    <w:rsid w:val="00B60BF3"/>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07B5"/>
    <w:rsid w:val="00BB1EB3"/>
    <w:rsid w:val="00BB22CA"/>
    <w:rsid w:val="00BB2678"/>
    <w:rsid w:val="00BB3E96"/>
    <w:rsid w:val="00BC013A"/>
    <w:rsid w:val="00BC2343"/>
    <w:rsid w:val="00BC23F8"/>
    <w:rsid w:val="00BD30C8"/>
    <w:rsid w:val="00BD3EB4"/>
    <w:rsid w:val="00BD5C65"/>
    <w:rsid w:val="00BD7DB4"/>
    <w:rsid w:val="00BE1A80"/>
    <w:rsid w:val="00BE2F07"/>
    <w:rsid w:val="00BE6018"/>
    <w:rsid w:val="00BF0F8F"/>
    <w:rsid w:val="00BF18E8"/>
    <w:rsid w:val="00BF1F57"/>
    <w:rsid w:val="00BF4086"/>
    <w:rsid w:val="00BF426C"/>
    <w:rsid w:val="00BF47C9"/>
    <w:rsid w:val="00BF4E32"/>
    <w:rsid w:val="00BF58D0"/>
    <w:rsid w:val="00BF7D6A"/>
    <w:rsid w:val="00C013E1"/>
    <w:rsid w:val="00C01611"/>
    <w:rsid w:val="00C02D59"/>
    <w:rsid w:val="00C030B6"/>
    <w:rsid w:val="00C03284"/>
    <w:rsid w:val="00C050D7"/>
    <w:rsid w:val="00C05B5F"/>
    <w:rsid w:val="00C104CC"/>
    <w:rsid w:val="00C152FE"/>
    <w:rsid w:val="00C1648E"/>
    <w:rsid w:val="00C16739"/>
    <w:rsid w:val="00C21C43"/>
    <w:rsid w:val="00C22C7D"/>
    <w:rsid w:val="00C22CCE"/>
    <w:rsid w:val="00C231D6"/>
    <w:rsid w:val="00C23BA2"/>
    <w:rsid w:val="00C32AF2"/>
    <w:rsid w:val="00C33204"/>
    <w:rsid w:val="00C338EB"/>
    <w:rsid w:val="00C3465D"/>
    <w:rsid w:val="00C36ACD"/>
    <w:rsid w:val="00C379E9"/>
    <w:rsid w:val="00C439FB"/>
    <w:rsid w:val="00C43F23"/>
    <w:rsid w:val="00C47790"/>
    <w:rsid w:val="00C50011"/>
    <w:rsid w:val="00C5274B"/>
    <w:rsid w:val="00C55A77"/>
    <w:rsid w:val="00C55B19"/>
    <w:rsid w:val="00C645E6"/>
    <w:rsid w:val="00C64D82"/>
    <w:rsid w:val="00C64FBC"/>
    <w:rsid w:val="00C65A83"/>
    <w:rsid w:val="00C72C6F"/>
    <w:rsid w:val="00C76CF1"/>
    <w:rsid w:val="00C80F23"/>
    <w:rsid w:val="00C81151"/>
    <w:rsid w:val="00C82CC6"/>
    <w:rsid w:val="00C850A3"/>
    <w:rsid w:val="00C85C32"/>
    <w:rsid w:val="00C85F94"/>
    <w:rsid w:val="00C87568"/>
    <w:rsid w:val="00C90DA7"/>
    <w:rsid w:val="00C90DB6"/>
    <w:rsid w:val="00C9394F"/>
    <w:rsid w:val="00C93B1A"/>
    <w:rsid w:val="00C96A14"/>
    <w:rsid w:val="00C96F5F"/>
    <w:rsid w:val="00CA21B5"/>
    <w:rsid w:val="00CA5927"/>
    <w:rsid w:val="00CA79EC"/>
    <w:rsid w:val="00CB26A5"/>
    <w:rsid w:val="00CB39C2"/>
    <w:rsid w:val="00CB4664"/>
    <w:rsid w:val="00CB4C8C"/>
    <w:rsid w:val="00CB5BFD"/>
    <w:rsid w:val="00CB6782"/>
    <w:rsid w:val="00CC080A"/>
    <w:rsid w:val="00CC52E1"/>
    <w:rsid w:val="00CD319D"/>
    <w:rsid w:val="00CD6BC3"/>
    <w:rsid w:val="00CD72D0"/>
    <w:rsid w:val="00CE3519"/>
    <w:rsid w:val="00CE5277"/>
    <w:rsid w:val="00CE6358"/>
    <w:rsid w:val="00CE743F"/>
    <w:rsid w:val="00CF2D54"/>
    <w:rsid w:val="00CF3CDE"/>
    <w:rsid w:val="00CF6570"/>
    <w:rsid w:val="00D03538"/>
    <w:rsid w:val="00D049B8"/>
    <w:rsid w:val="00D0516C"/>
    <w:rsid w:val="00D05EE7"/>
    <w:rsid w:val="00D068D0"/>
    <w:rsid w:val="00D078D1"/>
    <w:rsid w:val="00D129A8"/>
    <w:rsid w:val="00D12FB9"/>
    <w:rsid w:val="00D200BD"/>
    <w:rsid w:val="00D22399"/>
    <w:rsid w:val="00D26460"/>
    <w:rsid w:val="00D3268B"/>
    <w:rsid w:val="00D33751"/>
    <w:rsid w:val="00D33924"/>
    <w:rsid w:val="00D36F6E"/>
    <w:rsid w:val="00D37343"/>
    <w:rsid w:val="00D4205E"/>
    <w:rsid w:val="00D42507"/>
    <w:rsid w:val="00D50E63"/>
    <w:rsid w:val="00D5574C"/>
    <w:rsid w:val="00D61982"/>
    <w:rsid w:val="00D6267A"/>
    <w:rsid w:val="00D67D12"/>
    <w:rsid w:val="00D70274"/>
    <w:rsid w:val="00D7585A"/>
    <w:rsid w:val="00D80618"/>
    <w:rsid w:val="00D81A17"/>
    <w:rsid w:val="00D82494"/>
    <w:rsid w:val="00D84A4B"/>
    <w:rsid w:val="00D8681D"/>
    <w:rsid w:val="00D92168"/>
    <w:rsid w:val="00D940A9"/>
    <w:rsid w:val="00D940B5"/>
    <w:rsid w:val="00D95CB0"/>
    <w:rsid w:val="00D977C0"/>
    <w:rsid w:val="00DA00A3"/>
    <w:rsid w:val="00DA13F3"/>
    <w:rsid w:val="00DA2DE3"/>
    <w:rsid w:val="00DA7146"/>
    <w:rsid w:val="00DA716A"/>
    <w:rsid w:val="00DB1F4F"/>
    <w:rsid w:val="00DB37EE"/>
    <w:rsid w:val="00DB4450"/>
    <w:rsid w:val="00DB4A22"/>
    <w:rsid w:val="00DB7B69"/>
    <w:rsid w:val="00DC02EC"/>
    <w:rsid w:val="00DC234A"/>
    <w:rsid w:val="00DC315B"/>
    <w:rsid w:val="00DC41E4"/>
    <w:rsid w:val="00DC5116"/>
    <w:rsid w:val="00DC77DD"/>
    <w:rsid w:val="00DC7C77"/>
    <w:rsid w:val="00DD2417"/>
    <w:rsid w:val="00DD51D8"/>
    <w:rsid w:val="00DD7EA2"/>
    <w:rsid w:val="00DE00F2"/>
    <w:rsid w:val="00DE117F"/>
    <w:rsid w:val="00DE401C"/>
    <w:rsid w:val="00DE4CDE"/>
    <w:rsid w:val="00DF1ED6"/>
    <w:rsid w:val="00DF63FA"/>
    <w:rsid w:val="00E00A1C"/>
    <w:rsid w:val="00E012CC"/>
    <w:rsid w:val="00E02B71"/>
    <w:rsid w:val="00E02DEB"/>
    <w:rsid w:val="00E042A1"/>
    <w:rsid w:val="00E04CE6"/>
    <w:rsid w:val="00E062A5"/>
    <w:rsid w:val="00E07355"/>
    <w:rsid w:val="00E104FA"/>
    <w:rsid w:val="00E1082A"/>
    <w:rsid w:val="00E11166"/>
    <w:rsid w:val="00E13182"/>
    <w:rsid w:val="00E15383"/>
    <w:rsid w:val="00E1738C"/>
    <w:rsid w:val="00E22D28"/>
    <w:rsid w:val="00E230E3"/>
    <w:rsid w:val="00E23611"/>
    <w:rsid w:val="00E24B4A"/>
    <w:rsid w:val="00E25852"/>
    <w:rsid w:val="00E30EDF"/>
    <w:rsid w:val="00E31FBA"/>
    <w:rsid w:val="00E36AAE"/>
    <w:rsid w:val="00E41773"/>
    <w:rsid w:val="00E427F2"/>
    <w:rsid w:val="00E513F6"/>
    <w:rsid w:val="00E52F3B"/>
    <w:rsid w:val="00E53D94"/>
    <w:rsid w:val="00E53DEA"/>
    <w:rsid w:val="00E55094"/>
    <w:rsid w:val="00E55A61"/>
    <w:rsid w:val="00E57F92"/>
    <w:rsid w:val="00E616DB"/>
    <w:rsid w:val="00E627A4"/>
    <w:rsid w:val="00E630ED"/>
    <w:rsid w:val="00E70C95"/>
    <w:rsid w:val="00E72A13"/>
    <w:rsid w:val="00E74E84"/>
    <w:rsid w:val="00E74EC5"/>
    <w:rsid w:val="00E75FDC"/>
    <w:rsid w:val="00E76B86"/>
    <w:rsid w:val="00E8342F"/>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576"/>
    <w:rsid w:val="00EB1F02"/>
    <w:rsid w:val="00EB5BC5"/>
    <w:rsid w:val="00EB74C2"/>
    <w:rsid w:val="00EC086C"/>
    <w:rsid w:val="00EC42D0"/>
    <w:rsid w:val="00EC5CE0"/>
    <w:rsid w:val="00EC638F"/>
    <w:rsid w:val="00ED48AC"/>
    <w:rsid w:val="00EE224C"/>
    <w:rsid w:val="00EE4874"/>
    <w:rsid w:val="00EE4A8C"/>
    <w:rsid w:val="00EE674E"/>
    <w:rsid w:val="00EE79A6"/>
    <w:rsid w:val="00EF2689"/>
    <w:rsid w:val="00EF454D"/>
    <w:rsid w:val="00EF4FFA"/>
    <w:rsid w:val="00EF6111"/>
    <w:rsid w:val="00F005A0"/>
    <w:rsid w:val="00F06616"/>
    <w:rsid w:val="00F11352"/>
    <w:rsid w:val="00F1498D"/>
    <w:rsid w:val="00F14DDF"/>
    <w:rsid w:val="00F152AD"/>
    <w:rsid w:val="00F20DFE"/>
    <w:rsid w:val="00F2285F"/>
    <w:rsid w:val="00F23155"/>
    <w:rsid w:val="00F24236"/>
    <w:rsid w:val="00F24E0E"/>
    <w:rsid w:val="00F26693"/>
    <w:rsid w:val="00F3366A"/>
    <w:rsid w:val="00F36130"/>
    <w:rsid w:val="00F40444"/>
    <w:rsid w:val="00F40868"/>
    <w:rsid w:val="00F423BD"/>
    <w:rsid w:val="00F432FF"/>
    <w:rsid w:val="00F4715C"/>
    <w:rsid w:val="00F54869"/>
    <w:rsid w:val="00F556B2"/>
    <w:rsid w:val="00F5754B"/>
    <w:rsid w:val="00F576DE"/>
    <w:rsid w:val="00F63BF7"/>
    <w:rsid w:val="00F65617"/>
    <w:rsid w:val="00F710BE"/>
    <w:rsid w:val="00F729DC"/>
    <w:rsid w:val="00F736D2"/>
    <w:rsid w:val="00F7564C"/>
    <w:rsid w:val="00F76220"/>
    <w:rsid w:val="00F769BE"/>
    <w:rsid w:val="00F76A67"/>
    <w:rsid w:val="00F82E6B"/>
    <w:rsid w:val="00F97B71"/>
    <w:rsid w:val="00FA0209"/>
    <w:rsid w:val="00FA1EC5"/>
    <w:rsid w:val="00FA2DDA"/>
    <w:rsid w:val="00FA34CA"/>
    <w:rsid w:val="00FA4A55"/>
    <w:rsid w:val="00FA4D4F"/>
    <w:rsid w:val="00FA54E8"/>
    <w:rsid w:val="00FA7193"/>
    <w:rsid w:val="00FA7EC0"/>
    <w:rsid w:val="00FB2D17"/>
    <w:rsid w:val="00FB2F69"/>
    <w:rsid w:val="00FB368B"/>
    <w:rsid w:val="00FB45FF"/>
    <w:rsid w:val="00FB5D97"/>
    <w:rsid w:val="00FC1BE5"/>
    <w:rsid w:val="00FC1CA5"/>
    <w:rsid w:val="00FC2979"/>
    <w:rsid w:val="00FD1C3C"/>
    <w:rsid w:val="00FD38A8"/>
    <w:rsid w:val="00FD4622"/>
    <w:rsid w:val="00FD5477"/>
    <w:rsid w:val="00FD6AC8"/>
    <w:rsid w:val="00FD7C9C"/>
    <w:rsid w:val="00FE2D29"/>
    <w:rsid w:val="00FE3EA1"/>
    <w:rsid w:val="00FE4818"/>
    <w:rsid w:val="00FE5D80"/>
    <w:rsid w:val="00FF157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15:docId w15:val="{812D561D-5794-471E-A3B0-0176AE5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337293"/>
    <w:pPr>
      <w:keepNext/>
      <w:keepLines/>
      <w:spacing w:before="260" w:after="260" w:line="360"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F4EA9"/>
    <w:rPr>
      <w:rFonts w:cs="Times New Roman"/>
      <w:b/>
      <w:bCs/>
      <w:kern w:val="44"/>
      <w:sz w:val="44"/>
      <w:szCs w:val="44"/>
    </w:rPr>
  </w:style>
  <w:style w:type="character" w:customStyle="1" w:styleId="2Char">
    <w:name w:val="标题 2 Char"/>
    <w:link w:val="2"/>
    <w:uiPriority w:val="99"/>
    <w:semiHidden/>
    <w:locked/>
    <w:rsid w:val="00F76A67"/>
    <w:rPr>
      <w:rFonts w:ascii="Cambria" w:eastAsia="宋体" w:hAnsi="Cambria" w:cs="Times New Roman"/>
      <w:b/>
      <w:bCs/>
      <w:sz w:val="32"/>
      <w:szCs w:val="32"/>
    </w:rPr>
  </w:style>
  <w:style w:type="paragraph" w:styleId="a0">
    <w:name w:val="Normal Indent"/>
    <w:basedOn w:val="a"/>
    <w:uiPriority w:val="99"/>
    <w:rsid w:val="00337293"/>
    <w:pPr>
      <w:ind w:firstLineChars="200" w:firstLine="420"/>
    </w:pPr>
  </w:style>
  <w:style w:type="paragraph" w:styleId="a4">
    <w:name w:val="Body Text Indent"/>
    <w:basedOn w:val="a"/>
    <w:link w:val="Char"/>
    <w:uiPriority w:val="99"/>
    <w:rsid w:val="00337293"/>
    <w:pPr>
      <w:widowControl/>
      <w:spacing w:before="100" w:beforeAutospacing="1" w:after="100" w:afterAutospacing="1"/>
      <w:jc w:val="left"/>
    </w:pPr>
    <w:rPr>
      <w:kern w:val="0"/>
      <w:sz w:val="24"/>
    </w:rPr>
  </w:style>
  <w:style w:type="character" w:customStyle="1" w:styleId="Char">
    <w:name w:val="正文文本缩进 Char"/>
    <w:link w:val="a4"/>
    <w:uiPriority w:val="99"/>
    <w:semiHidden/>
    <w:locked/>
    <w:rsid w:val="00F76A67"/>
    <w:rPr>
      <w:rFonts w:cs="Times New Roman"/>
      <w:sz w:val="24"/>
      <w:szCs w:val="24"/>
    </w:rPr>
  </w:style>
  <w:style w:type="paragraph" w:styleId="a5">
    <w:name w:val="Plain Text"/>
    <w:basedOn w:val="a"/>
    <w:link w:val="Char0"/>
    <w:uiPriority w:val="99"/>
    <w:rsid w:val="00337293"/>
    <w:rPr>
      <w:rFonts w:ascii="宋体" w:hAnsi="Courier New"/>
      <w:szCs w:val="20"/>
    </w:rPr>
  </w:style>
  <w:style w:type="character" w:customStyle="1" w:styleId="Char0">
    <w:name w:val="纯文本 Char"/>
    <w:link w:val="a5"/>
    <w:uiPriority w:val="99"/>
    <w:locked/>
    <w:rsid w:val="00CE3519"/>
    <w:rPr>
      <w:rFonts w:ascii="宋体" w:hAnsi="Courier New" w:cs="Times New Roman"/>
      <w:kern w:val="2"/>
      <w:sz w:val="21"/>
    </w:rPr>
  </w:style>
  <w:style w:type="paragraph" w:styleId="20">
    <w:name w:val="Body Text Indent 2"/>
    <w:basedOn w:val="a"/>
    <w:link w:val="2Char0"/>
    <w:uiPriority w:val="99"/>
    <w:rsid w:val="00337293"/>
    <w:pPr>
      <w:spacing w:line="560" w:lineRule="exact"/>
      <w:ind w:firstLineChars="200" w:firstLine="480"/>
    </w:pPr>
    <w:rPr>
      <w:kern w:val="0"/>
      <w:sz w:val="24"/>
    </w:rPr>
  </w:style>
  <w:style w:type="character" w:customStyle="1" w:styleId="2Char0">
    <w:name w:val="正文文本缩进 2 Char"/>
    <w:link w:val="20"/>
    <w:uiPriority w:val="99"/>
    <w:semiHidden/>
    <w:locked/>
    <w:rsid w:val="00F76A67"/>
    <w:rPr>
      <w:rFonts w:cs="Times New Roman"/>
      <w:sz w:val="24"/>
      <w:szCs w:val="24"/>
    </w:rPr>
  </w:style>
  <w:style w:type="paragraph" w:styleId="a6">
    <w:name w:val="footer"/>
    <w:basedOn w:val="a"/>
    <w:link w:val="Char1"/>
    <w:uiPriority w:val="99"/>
    <w:rsid w:val="00337293"/>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F76A67"/>
    <w:rPr>
      <w:rFonts w:cs="Times New Roman"/>
      <w:sz w:val="18"/>
      <w:szCs w:val="18"/>
    </w:rPr>
  </w:style>
  <w:style w:type="character" w:styleId="a7">
    <w:name w:val="page number"/>
    <w:uiPriority w:val="99"/>
    <w:rsid w:val="00337293"/>
    <w:rPr>
      <w:rFonts w:cs="Times New Roman"/>
    </w:rPr>
  </w:style>
  <w:style w:type="character" w:styleId="a8">
    <w:name w:val="Hyperlink"/>
    <w:uiPriority w:val="99"/>
    <w:rsid w:val="00337293"/>
    <w:rPr>
      <w:rFonts w:cs="Times New Roman"/>
      <w:color w:val="0000FF"/>
      <w:u w:val="single"/>
    </w:rPr>
  </w:style>
  <w:style w:type="paragraph" w:styleId="3">
    <w:name w:val="Body Text Indent 3"/>
    <w:basedOn w:val="a"/>
    <w:link w:val="3Char"/>
    <w:uiPriority w:val="99"/>
    <w:rsid w:val="00337293"/>
    <w:pPr>
      <w:spacing w:line="560" w:lineRule="exact"/>
      <w:ind w:firstLineChars="200" w:firstLine="420"/>
    </w:pPr>
    <w:rPr>
      <w:kern w:val="0"/>
      <w:sz w:val="16"/>
      <w:szCs w:val="16"/>
    </w:rPr>
  </w:style>
  <w:style w:type="character" w:customStyle="1" w:styleId="3Char">
    <w:name w:val="正文文本缩进 3 Char"/>
    <w:link w:val="3"/>
    <w:uiPriority w:val="99"/>
    <w:semiHidden/>
    <w:locked/>
    <w:rsid w:val="00F76A67"/>
    <w:rPr>
      <w:rFonts w:cs="Times New Roman"/>
      <w:sz w:val="16"/>
      <w:szCs w:val="16"/>
    </w:rPr>
  </w:style>
  <w:style w:type="paragraph" w:styleId="a9">
    <w:name w:val="header"/>
    <w:basedOn w:val="a"/>
    <w:link w:val="Char2"/>
    <w:uiPriority w:val="99"/>
    <w:rsid w:val="0033729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5E491F"/>
    <w:rPr>
      <w:rFonts w:cs="Times New Roman"/>
      <w:kern w:val="2"/>
      <w:sz w:val="18"/>
      <w:szCs w:val="18"/>
    </w:rPr>
  </w:style>
  <w:style w:type="character" w:styleId="aa">
    <w:name w:val="FollowedHyperlink"/>
    <w:uiPriority w:val="99"/>
    <w:rsid w:val="00337293"/>
    <w:rPr>
      <w:rFonts w:cs="Times New Roman"/>
      <w:color w:val="800080"/>
      <w:u w:val="single"/>
    </w:rPr>
  </w:style>
  <w:style w:type="paragraph" w:styleId="ab">
    <w:name w:val="List"/>
    <w:basedOn w:val="ac"/>
    <w:uiPriority w:val="99"/>
    <w:rsid w:val="00337293"/>
    <w:pPr>
      <w:spacing w:after="220" w:line="220" w:lineRule="atLeast"/>
      <w:ind w:left="1440" w:hanging="360"/>
    </w:pPr>
    <w:rPr>
      <w:szCs w:val="20"/>
    </w:rPr>
  </w:style>
  <w:style w:type="paragraph" w:styleId="ac">
    <w:name w:val="Body Text"/>
    <w:basedOn w:val="a"/>
    <w:link w:val="Char3"/>
    <w:uiPriority w:val="99"/>
    <w:rsid w:val="00337293"/>
    <w:pPr>
      <w:spacing w:after="120"/>
    </w:pPr>
    <w:rPr>
      <w:kern w:val="0"/>
      <w:sz w:val="24"/>
    </w:rPr>
  </w:style>
  <w:style w:type="character" w:customStyle="1" w:styleId="Char3">
    <w:name w:val="正文文本 Char"/>
    <w:link w:val="ac"/>
    <w:uiPriority w:val="99"/>
    <w:semiHidden/>
    <w:locked/>
    <w:rsid w:val="00F76A67"/>
    <w:rPr>
      <w:rFonts w:cs="Times New Roman"/>
      <w:sz w:val="24"/>
      <w:szCs w:val="24"/>
    </w:rPr>
  </w:style>
  <w:style w:type="paragraph" w:styleId="ad">
    <w:name w:val="Date"/>
    <w:basedOn w:val="a"/>
    <w:next w:val="a"/>
    <w:link w:val="Char4"/>
    <w:uiPriority w:val="99"/>
    <w:rsid w:val="00337293"/>
    <w:rPr>
      <w:sz w:val="24"/>
      <w:szCs w:val="20"/>
    </w:rPr>
  </w:style>
  <w:style w:type="character" w:customStyle="1" w:styleId="Char4">
    <w:name w:val="日期 Char"/>
    <w:link w:val="ad"/>
    <w:uiPriority w:val="99"/>
    <w:locked/>
    <w:rsid w:val="005B1DEC"/>
    <w:rPr>
      <w:rFonts w:cs="Times New Roman"/>
      <w:kern w:val="2"/>
      <w:sz w:val="24"/>
    </w:rPr>
  </w:style>
  <w:style w:type="character" w:customStyle="1" w:styleId="c1">
    <w:name w:val="c1"/>
    <w:uiPriority w:val="99"/>
    <w:rsid w:val="00337293"/>
    <w:rPr>
      <w:rFonts w:cs="Times New Roman"/>
      <w:color w:val="000000"/>
      <w:sz w:val="18"/>
      <w:szCs w:val="18"/>
    </w:rPr>
  </w:style>
  <w:style w:type="paragraph" w:styleId="10">
    <w:name w:val="index 1"/>
    <w:basedOn w:val="a"/>
    <w:next w:val="a"/>
    <w:autoRedefine/>
    <w:uiPriority w:val="99"/>
    <w:semiHidden/>
    <w:rsid w:val="00337293"/>
    <w:pPr>
      <w:jc w:val="right"/>
    </w:pPr>
    <w:rPr>
      <w:color w:val="008000"/>
    </w:rPr>
  </w:style>
  <w:style w:type="paragraph" w:customStyle="1" w:styleId="font5">
    <w:name w:val="font5"/>
    <w:basedOn w:val="a"/>
    <w:uiPriority w:val="99"/>
    <w:rsid w:val="0033729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337293"/>
    <w:rPr>
      <w:kern w:val="0"/>
      <w:sz w:val="2"/>
      <w:szCs w:val="20"/>
    </w:rPr>
  </w:style>
  <w:style w:type="character" w:customStyle="1" w:styleId="Char5">
    <w:name w:val="批注框文本 Char"/>
    <w:link w:val="ae"/>
    <w:uiPriority w:val="99"/>
    <w:semiHidden/>
    <w:locked/>
    <w:rsid w:val="00F76A67"/>
    <w:rPr>
      <w:rFonts w:cs="Times New Roman"/>
      <w:sz w:val="2"/>
    </w:rPr>
  </w:style>
  <w:style w:type="character" w:styleId="af">
    <w:name w:val="annotation reference"/>
    <w:uiPriority w:val="99"/>
    <w:semiHidden/>
    <w:rsid w:val="00337293"/>
    <w:rPr>
      <w:rFonts w:cs="Times New Roman"/>
      <w:sz w:val="21"/>
      <w:szCs w:val="21"/>
    </w:rPr>
  </w:style>
  <w:style w:type="paragraph" w:styleId="af0">
    <w:name w:val="annotation text"/>
    <w:basedOn w:val="a"/>
    <w:link w:val="Char6"/>
    <w:uiPriority w:val="99"/>
    <w:semiHidden/>
    <w:rsid w:val="00337293"/>
    <w:pPr>
      <w:jc w:val="left"/>
    </w:pPr>
    <w:rPr>
      <w:kern w:val="0"/>
      <w:sz w:val="24"/>
    </w:rPr>
  </w:style>
  <w:style w:type="character" w:customStyle="1" w:styleId="Char6">
    <w:name w:val="批注文字 Char"/>
    <w:link w:val="af0"/>
    <w:uiPriority w:val="99"/>
    <w:semiHidden/>
    <w:locked/>
    <w:rsid w:val="00F76A67"/>
    <w:rPr>
      <w:rFonts w:cs="Times New Roman"/>
      <w:sz w:val="24"/>
      <w:szCs w:val="24"/>
    </w:rPr>
  </w:style>
  <w:style w:type="paragraph" w:styleId="af1">
    <w:name w:val="annotation subject"/>
    <w:basedOn w:val="af0"/>
    <w:next w:val="af0"/>
    <w:link w:val="Char7"/>
    <w:uiPriority w:val="99"/>
    <w:semiHidden/>
    <w:rsid w:val="00337293"/>
    <w:rPr>
      <w:b/>
      <w:bCs/>
    </w:rPr>
  </w:style>
  <w:style w:type="character" w:customStyle="1" w:styleId="Char7">
    <w:name w:val="批注主题 Char"/>
    <w:link w:val="af1"/>
    <w:uiPriority w:val="99"/>
    <w:semiHidden/>
    <w:locked/>
    <w:rsid w:val="00F76A67"/>
    <w:rPr>
      <w:rFonts w:cs="Times New Roman"/>
      <w:b/>
      <w:bCs/>
      <w:sz w:val="24"/>
      <w:szCs w:val="24"/>
    </w:rPr>
  </w:style>
  <w:style w:type="paragraph" w:customStyle="1" w:styleId="Char8">
    <w:name w:val="Char"/>
    <w:basedOn w:val="a"/>
    <w:uiPriority w:val="99"/>
    <w:rsid w:val="00337293"/>
  </w:style>
  <w:style w:type="paragraph" w:styleId="af2">
    <w:name w:val="Document Map"/>
    <w:basedOn w:val="a"/>
    <w:link w:val="Char9"/>
    <w:uiPriority w:val="99"/>
    <w:semiHidden/>
    <w:rsid w:val="000A549A"/>
    <w:pPr>
      <w:shd w:val="clear" w:color="auto" w:fill="000080"/>
    </w:pPr>
    <w:rPr>
      <w:kern w:val="0"/>
      <w:sz w:val="2"/>
      <w:szCs w:val="20"/>
    </w:rPr>
  </w:style>
  <w:style w:type="character" w:customStyle="1" w:styleId="Char9">
    <w:name w:val="文档结构图 Char"/>
    <w:link w:val="af2"/>
    <w:uiPriority w:val="99"/>
    <w:semiHidden/>
    <w:locked/>
    <w:rsid w:val="00F76A67"/>
    <w:rPr>
      <w:rFonts w:cs="Times New Roman"/>
      <w:sz w:val="2"/>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kern w:val="0"/>
      <w:sz w:val="18"/>
      <w:szCs w:val="18"/>
    </w:rPr>
  </w:style>
  <w:style w:type="character" w:customStyle="1" w:styleId="Chara">
    <w:name w:val="脚注文本 Char"/>
    <w:link w:val="af4"/>
    <w:uiPriority w:val="99"/>
    <w:semiHidden/>
    <w:locked/>
    <w:rsid w:val="00F76A67"/>
    <w:rPr>
      <w:rFonts w:cs="Times New Roman"/>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295C5D"/>
    <w:pPr>
      <w:widowControl w:val="0"/>
      <w:autoSpaceDE w:val="0"/>
      <w:autoSpaceDN w:val="0"/>
      <w:adjustRightInd w:val="0"/>
    </w:pPr>
    <w:rPr>
      <w:rFonts w:ascii="FangSong" w:hAnsi="FangSong" w:cs="FangSong"/>
      <w:color w:val="000000"/>
      <w:sz w:val="24"/>
      <w:szCs w:val="24"/>
    </w:rPr>
  </w:style>
  <w:style w:type="character" w:styleId="af8">
    <w:name w:val="Strong"/>
    <w:uiPriority w:val="22"/>
    <w:qFormat/>
    <w:locked/>
    <w:rsid w:val="0045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5524">
      <w:marLeft w:val="0"/>
      <w:marRight w:val="0"/>
      <w:marTop w:val="0"/>
      <w:marBottom w:val="0"/>
      <w:divBdr>
        <w:top w:val="none" w:sz="0" w:space="0" w:color="auto"/>
        <w:left w:val="none" w:sz="0" w:space="0" w:color="auto"/>
        <w:bottom w:val="none" w:sz="0" w:space="0" w:color="auto"/>
        <w:right w:val="none" w:sz="0" w:space="0" w:color="auto"/>
      </w:divBdr>
    </w:div>
    <w:div w:id="1863275525">
      <w:marLeft w:val="0"/>
      <w:marRight w:val="0"/>
      <w:marTop w:val="0"/>
      <w:marBottom w:val="0"/>
      <w:divBdr>
        <w:top w:val="none" w:sz="0" w:space="0" w:color="auto"/>
        <w:left w:val="none" w:sz="0" w:space="0" w:color="auto"/>
        <w:bottom w:val="none" w:sz="0" w:space="0" w:color="auto"/>
        <w:right w:val="none" w:sz="0" w:space="0" w:color="auto"/>
      </w:divBdr>
    </w:div>
    <w:div w:id="1863275526">
      <w:marLeft w:val="0"/>
      <w:marRight w:val="0"/>
      <w:marTop w:val="0"/>
      <w:marBottom w:val="0"/>
      <w:divBdr>
        <w:top w:val="none" w:sz="0" w:space="0" w:color="auto"/>
        <w:left w:val="none" w:sz="0" w:space="0" w:color="auto"/>
        <w:bottom w:val="none" w:sz="0" w:space="0" w:color="auto"/>
        <w:right w:val="none" w:sz="0" w:space="0" w:color="auto"/>
      </w:divBdr>
    </w:div>
    <w:div w:id="1863275527">
      <w:marLeft w:val="0"/>
      <w:marRight w:val="0"/>
      <w:marTop w:val="0"/>
      <w:marBottom w:val="0"/>
      <w:divBdr>
        <w:top w:val="none" w:sz="0" w:space="0" w:color="auto"/>
        <w:left w:val="none" w:sz="0" w:space="0" w:color="auto"/>
        <w:bottom w:val="none" w:sz="0" w:space="0" w:color="auto"/>
        <w:right w:val="none" w:sz="0" w:space="0" w:color="auto"/>
      </w:divBdr>
    </w:div>
    <w:div w:id="1863275528">
      <w:marLeft w:val="0"/>
      <w:marRight w:val="0"/>
      <w:marTop w:val="0"/>
      <w:marBottom w:val="0"/>
      <w:divBdr>
        <w:top w:val="none" w:sz="0" w:space="0" w:color="auto"/>
        <w:left w:val="none" w:sz="0" w:space="0" w:color="auto"/>
        <w:bottom w:val="none" w:sz="0" w:space="0" w:color="auto"/>
        <w:right w:val="none" w:sz="0" w:space="0" w:color="auto"/>
      </w:divBdr>
    </w:div>
    <w:div w:id="1863275529">
      <w:marLeft w:val="0"/>
      <w:marRight w:val="0"/>
      <w:marTop w:val="0"/>
      <w:marBottom w:val="0"/>
      <w:divBdr>
        <w:top w:val="none" w:sz="0" w:space="0" w:color="auto"/>
        <w:left w:val="none" w:sz="0" w:space="0" w:color="auto"/>
        <w:bottom w:val="none" w:sz="0" w:space="0" w:color="auto"/>
        <w:right w:val="none" w:sz="0" w:space="0" w:color="auto"/>
      </w:divBdr>
    </w:div>
    <w:div w:id="1863275530">
      <w:marLeft w:val="0"/>
      <w:marRight w:val="0"/>
      <w:marTop w:val="0"/>
      <w:marBottom w:val="0"/>
      <w:divBdr>
        <w:top w:val="none" w:sz="0" w:space="0" w:color="auto"/>
        <w:left w:val="none" w:sz="0" w:space="0" w:color="auto"/>
        <w:bottom w:val="none" w:sz="0" w:space="0" w:color="auto"/>
        <w:right w:val="none" w:sz="0" w:space="0" w:color="auto"/>
      </w:divBdr>
    </w:div>
    <w:div w:id="1863275531">
      <w:marLeft w:val="0"/>
      <w:marRight w:val="0"/>
      <w:marTop w:val="0"/>
      <w:marBottom w:val="0"/>
      <w:divBdr>
        <w:top w:val="none" w:sz="0" w:space="0" w:color="auto"/>
        <w:left w:val="none" w:sz="0" w:space="0" w:color="auto"/>
        <w:bottom w:val="none" w:sz="0" w:space="0" w:color="auto"/>
        <w:right w:val="none" w:sz="0" w:space="0" w:color="auto"/>
      </w:divBdr>
    </w:div>
    <w:div w:id="1863275532">
      <w:marLeft w:val="0"/>
      <w:marRight w:val="0"/>
      <w:marTop w:val="0"/>
      <w:marBottom w:val="0"/>
      <w:divBdr>
        <w:top w:val="none" w:sz="0" w:space="0" w:color="auto"/>
        <w:left w:val="none" w:sz="0" w:space="0" w:color="auto"/>
        <w:bottom w:val="none" w:sz="0" w:space="0" w:color="auto"/>
        <w:right w:val="none" w:sz="0" w:space="0" w:color="auto"/>
      </w:divBdr>
    </w:div>
    <w:div w:id="1863275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15</Pages>
  <Words>1284</Words>
  <Characters>7322</Characters>
  <Application>Microsoft Office Word</Application>
  <DocSecurity>0</DocSecurity>
  <Lines>61</Lines>
  <Paragraphs>17</Paragraphs>
  <ScaleCrop>false</ScaleCrop>
  <Company>TRT. Ltd. Co.</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206</cp:revision>
  <cp:lastPrinted>2007-07-19T00:46:00Z</cp:lastPrinted>
  <dcterms:created xsi:type="dcterms:W3CDTF">2012-11-21T04:46:00Z</dcterms:created>
  <dcterms:modified xsi:type="dcterms:W3CDTF">2020-10-26T02:44:00Z</dcterms:modified>
</cp:coreProperties>
</file>