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交银施罗德安享稳健养老目标一年持有期混合型基金中基金（FOF）</w:t>
      </w:r>
    </w:p>
    <w:p w:rsidP="00C15CAC" w:rsidR="002279D3" w:rsidRDefault="002279D3" w:rsidRPr="0081286B">
      <w:pPr>
        <w:spacing w:before="29" w:line="288" w:lineRule="auto"/>
        <w:jc w:val="center"/>
        <w:rPr>
          <w:b/>
          <w:sz w:val="36"/>
          <w:szCs w:val="36"/>
        </w:rPr>
      </w:pPr>
      <w:r w:rsidRPr="0081286B">
        <w:rPr>
          <w:b/>
          <w:sz w:val="36"/>
          <w:szCs w:val="36"/>
        </w:rPr>
        <w:t>2020年第3季度报告</w:t>
      </w:r>
    </w:p>
    <w:p w:rsidP="00C15CAC" w:rsidR="004061AC" w:rsidRDefault="00655CD8" w:rsidRPr="0081286B">
      <w:pPr>
        <w:spacing w:before="29" w:line="288" w:lineRule="auto"/>
        <w:jc w:val="center"/>
        <w:rPr>
          <w:b/>
          <w:sz w:val="36"/>
          <w:szCs w:val="36"/>
        </w:rPr>
      </w:pPr>
      <w:r w:rsidRPr="0081286B">
        <w:rPr>
          <w:b/>
          <w:sz w:val="36"/>
          <w:szCs w:val="36"/>
        </w:rPr>
        <w:t>2020年9月30日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二〇二〇年十月二十八日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基金托管人中国农业银行股份有限公司根据本基金合同规定，于2020年10月27日复核了本报告中的财务指标、净值表现和投资组合报告等内容，保证复核内容不存在虚假记载、误导性陈述或者重大遗漏。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本报告期自2020年7月1日起至9月30日止。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交银安享稳健养老一年</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006880</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006880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2019年5月30日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8,479,878,439.60</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本基金主要投资于经中国证监会依法核准或注册的公开募集证券投资基金的基金份额，在控制风险并保持基金资产良好的流动性的前提下，力争实现基金资产的长期稳健增值，满足养老资金理财需求。</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pPr>
              <w:adjustRightInd w:val="0"/>
              <w:spacing w:before="29" w:line="288" w:lineRule="auto"/>
              <w:ind w:left="17"/>
              <w:jc w:val="left"/>
              <w:rPr>
                <w:color w:val="000000"/>
                <w:sz w:val="24"/>
                <w:szCs w:val="24"/>
              </w:rPr>
            </w:pPr>
            <w:r>
              <w:rPr>
                <w:color w:val="000000"/>
                <w:kern w:val="0"/>
                <w:sz w:val="24"/>
                <w:szCs w:val="24"/>
              </w:rPr>
              <w:t>本基金主要采用目标风险策略来进行投资品种的大类资产配置。本基金根据特定的风险偏好设定权益类资产、非权益资产的基准配置比例，并采取有效措施控制基金组合风险。在基于目标风险策略应用过程中，本基金根据既定的风险预算对投资组合进行目标约束，并根据该风险预算目标来调整组合中各类资产的配置比例，将整个投资组合维持在相对稳定的市场风险暴露。</w:t>
            </w:r>
          </w:p>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基于本基金管理人绩效评估系统对备选基金的评估分析，在有效控制风险的前提下，通过定量和定性相结合的方法，精选具有不同风险收益特征及投资业绩比较优势的基金确定本基金配置组合。本基金的绩效评估系统分析主要包括业绩指标分析、业绩归因分析以及基金管理人综合评估等。</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80%×中债综合全价指数收益率+20%×沪深300指数收益率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为混合型基金中基金，由于本基金主要投资于公开募集证券投资基金的基金份额，持有基金的预期风险和预期收益间接成为本基金的预期风险和预期收益。本基金的预期风险与预期收益高于债券型基金、债券型基金中基金、货币市场基金和货币型基金中基金，低于股票型基金和股票型基金中基金。</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(2020年7月1日-2020年9月30日)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104,996,131.53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188,127,817.63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0.0288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9,476,480,536.56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1.1175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3.48%</w:t>
            </w:r>
          </w:p>
        </w:tc>
        <w:tc>
          <w:tcPr>
            <w:vAlign w:val="center"/>
          </w:tcPr>
          <w:p>
            <w:pPr>
              <w:jc w:val="center"/>
            </w:pPr>
            <w:r>
              <w:rPr>
                <w:color w:val="000000"/>
                <w:sz w:val="24"/>
                <w:szCs w:val="24"/>
              </w:rPr>
              <w:t>0.23%</w:t>
            </w:r>
          </w:p>
        </w:tc>
        <w:tc>
          <w:tcPr>
            <w:vAlign w:val="center"/>
          </w:tcPr>
          <w:p>
            <w:pPr>
              <w:jc w:val="center"/>
            </w:pPr>
            <w:r>
              <w:rPr>
                <w:color w:val="000000"/>
                <w:sz w:val="24"/>
                <w:szCs w:val="24"/>
              </w:rPr>
              <w:t>0.89%</w:t>
            </w:r>
          </w:p>
        </w:tc>
        <w:tc>
          <w:tcPr>
            <w:vAlign w:val="center"/>
          </w:tcPr>
          <w:p>
            <w:pPr>
              <w:jc w:val="center"/>
            </w:pPr>
            <w:r>
              <w:rPr>
                <w:color w:val="000000"/>
                <w:sz w:val="24"/>
                <w:szCs w:val="24"/>
              </w:rPr>
              <w:t>0.30%</w:t>
            </w:r>
          </w:p>
        </w:tc>
        <w:tc>
          <w:tcPr>
            <w:vAlign w:val="center"/>
          </w:tcPr>
          <w:p>
            <w:pPr>
              <w:jc w:val="center"/>
            </w:pPr>
            <w:r>
              <w:rPr>
                <w:color w:val="000000"/>
                <w:sz w:val="24"/>
                <w:szCs w:val="24"/>
              </w:rPr>
              <w:t>2.59%</w:t>
            </w:r>
          </w:p>
        </w:tc>
        <w:tc>
          <w:tcPr>
            <w:vAlign w:val="center"/>
          </w:tcPr>
          <w:p>
            <w:pPr>
              <w:jc w:val="center"/>
            </w:pPr>
            <w:r>
              <w:rPr>
                <w:color w:val="000000"/>
                <w:sz w:val="24"/>
                <w:szCs w:val="24"/>
              </w:rPr>
              <w:t>-0.07%</w:t>
            </w:r>
          </w:p>
        </w:tc>
      </w:tr>
      <w:tr>
        <w:tc>
          <w:tcPr>
            <w:vAlign w:val="center"/>
          </w:tcPr>
          <w:p>
            <w:pPr>
              <w:jc w:val="left"/>
            </w:pPr>
            <w:r>
              <w:rPr>
                <w:color w:val="000000"/>
                <w:sz w:val="24"/>
                <w:szCs w:val="24"/>
              </w:rPr>
              <w:t>过去六个月</w:t>
            </w:r>
          </w:p>
        </w:tc>
        <w:tc>
          <w:tcPr>
            <w:vAlign w:val="center"/>
          </w:tcPr>
          <w:p>
            <w:pPr>
              <w:jc w:val="center"/>
            </w:pPr>
            <w:r>
              <w:rPr>
                <w:color w:val="000000"/>
                <w:sz w:val="24"/>
                <w:szCs w:val="24"/>
              </w:rPr>
              <w:t>6.03%</w:t>
            </w:r>
          </w:p>
        </w:tc>
        <w:tc>
          <w:tcPr>
            <w:vAlign w:val="center"/>
          </w:tcPr>
          <w:p>
            <w:pPr>
              <w:jc w:val="center"/>
            </w:pPr>
            <w:r>
              <w:rPr>
                <w:color w:val="000000"/>
                <w:sz w:val="24"/>
                <w:szCs w:val="24"/>
              </w:rPr>
              <w:t>0.19%</w:t>
            </w:r>
          </w:p>
        </w:tc>
        <w:tc>
          <w:tcPr>
            <w:vAlign w:val="center"/>
          </w:tcPr>
          <w:p>
            <w:pPr>
              <w:jc w:val="center"/>
            </w:pPr>
            <w:r>
              <w:rPr>
                <w:color w:val="000000"/>
                <w:sz w:val="24"/>
                <w:szCs w:val="24"/>
              </w:rPr>
              <w:t>2.57%</w:t>
            </w:r>
          </w:p>
        </w:tc>
        <w:tc>
          <w:tcPr>
            <w:vAlign w:val="center"/>
          </w:tcPr>
          <w:p>
            <w:pPr>
              <w:jc w:val="center"/>
            </w:pPr>
            <w:r>
              <w:rPr>
                <w:color w:val="000000"/>
                <w:sz w:val="24"/>
                <w:szCs w:val="24"/>
              </w:rPr>
              <w:t>0.26%</w:t>
            </w:r>
          </w:p>
        </w:tc>
        <w:tc>
          <w:tcPr>
            <w:vAlign w:val="center"/>
          </w:tcPr>
          <w:p>
            <w:pPr>
              <w:jc w:val="center"/>
            </w:pPr>
            <w:r>
              <w:rPr>
                <w:color w:val="000000"/>
                <w:sz w:val="24"/>
                <w:szCs w:val="24"/>
              </w:rPr>
              <w:t>3.46%</w:t>
            </w:r>
          </w:p>
        </w:tc>
        <w:tc>
          <w:tcPr>
            <w:vAlign w:val="center"/>
          </w:tcPr>
          <w:p>
            <w:pPr>
              <w:jc w:val="center"/>
            </w:pPr>
            <w:r>
              <w:rPr>
                <w:color w:val="000000"/>
                <w:sz w:val="24"/>
                <w:szCs w:val="24"/>
              </w:rPr>
              <w:t>-0.07%</w:t>
            </w:r>
          </w:p>
        </w:tc>
      </w:tr>
      <w:tr>
        <w:tc>
          <w:tcPr>
            <w:vAlign w:val="center"/>
          </w:tcPr>
          <w:p>
            <w:pPr>
              <w:jc w:val="left"/>
            </w:pPr>
            <w:r>
              <w:rPr>
                <w:color w:val="000000"/>
                <w:sz w:val="24"/>
                <w:szCs w:val="24"/>
              </w:rPr>
              <w:t>过去一年</w:t>
            </w:r>
          </w:p>
        </w:tc>
        <w:tc>
          <w:tcPr>
            <w:vAlign w:val="center"/>
          </w:tcPr>
          <w:p>
            <w:pPr>
              <w:jc w:val="center"/>
            </w:pPr>
            <w:r>
              <w:rPr>
                <w:color w:val="000000"/>
                <w:sz w:val="24"/>
                <w:szCs w:val="24"/>
              </w:rPr>
              <w:t>9.54%</w:t>
            </w:r>
          </w:p>
        </w:tc>
        <w:tc>
          <w:tcPr>
            <w:vAlign w:val="center"/>
          </w:tcPr>
          <w:p>
            <w:pPr>
              <w:jc w:val="center"/>
            </w:pPr>
            <w:r>
              <w:rPr>
                <w:color w:val="000000"/>
                <w:sz w:val="24"/>
                <w:szCs w:val="24"/>
              </w:rPr>
              <w:t>0.18%</w:t>
            </w:r>
          </w:p>
        </w:tc>
        <w:tc>
          <w:tcPr>
            <w:vAlign w:val="center"/>
          </w:tcPr>
          <w:p>
            <w:pPr>
              <w:jc w:val="center"/>
            </w:pPr>
            <w:r>
              <w:rPr>
                <w:color w:val="000000"/>
                <w:sz w:val="24"/>
                <w:szCs w:val="24"/>
              </w:rPr>
              <w:t>4.11%</w:t>
            </w:r>
          </w:p>
        </w:tc>
        <w:tc>
          <w:tcPr>
            <w:vAlign w:val="center"/>
          </w:tcPr>
          <w:p>
            <w:pPr>
              <w:jc w:val="center"/>
            </w:pPr>
            <w:r>
              <w:rPr>
                <w:color w:val="000000"/>
                <w:sz w:val="24"/>
                <w:szCs w:val="24"/>
              </w:rPr>
              <w:t>0.26%</w:t>
            </w:r>
          </w:p>
        </w:tc>
        <w:tc>
          <w:tcPr>
            <w:vAlign w:val="center"/>
          </w:tcPr>
          <w:p>
            <w:pPr>
              <w:jc w:val="center"/>
            </w:pPr>
            <w:r>
              <w:rPr>
                <w:color w:val="000000"/>
                <w:sz w:val="24"/>
                <w:szCs w:val="24"/>
              </w:rPr>
              <w:t>5.43%</w:t>
            </w:r>
          </w:p>
        </w:tc>
        <w:tc>
          <w:tcPr>
            <w:vAlign w:val="center"/>
          </w:tcPr>
          <w:p>
            <w:pPr>
              <w:jc w:val="center"/>
            </w:pPr>
            <w:r>
              <w:rPr>
                <w:color w:val="000000"/>
                <w:sz w:val="24"/>
                <w:szCs w:val="24"/>
              </w:rPr>
              <w:t>-0.08%</w:t>
            </w:r>
          </w:p>
        </w:tc>
      </w:tr>
      <w:tr>
        <w:tc>
          <w:tcPr>
            <w:vAlign w:val="center"/>
          </w:tcPr>
          <w:p>
            <w:pPr>
              <w:jc w:val="left"/>
            </w:pPr>
            <w:r>
              <w:rPr>
                <w:color w:val="000000"/>
                <w:sz w:val="24"/>
                <w:szCs w:val="24"/>
              </w:rPr>
              <w:t>自基金合同生效起至今</w:t>
            </w:r>
          </w:p>
        </w:tc>
        <w:tc>
          <w:tcPr>
            <w:vAlign w:val="center"/>
          </w:tcPr>
          <w:p>
            <w:pPr>
              <w:jc w:val="center"/>
            </w:pPr>
            <w:r>
              <w:rPr>
                <w:color w:val="000000"/>
                <w:sz w:val="24"/>
                <w:szCs w:val="24"/>
              </w:rPr>
              <w:t>11.75%</w:t>
            </w:r>
          </w:p>
        </w:tc>
        <w:tc>
          <w:tcPr>
            <w:vAlign w:val="center"/>
          </w:tcPr>
          <w:p>
            <w:pPr>
              <w:jc w:val="center"/>
            </w:pPr>
            <w:r>
              <w:rPr>
                <w:color w:val="000000"/>
                <w:sz w:val="24"/>
                <w:szCs w:val="24"/>
              </w:rPr>
              <w:t>0.16%</w:t>
            </w:r>
          </w:p>
        </w:tc>
        <w:tc>
          <w:tcPr>
            <w:vAlign w:val="center"/>
          </w:tcPr>
          <w:p>
            <w:pPr>
              <w:jc w:val="center"/>
            </w:pPr>
            <w:r>
              <w:rPr>
                <w:color w:val="000000"/>
                <w:sz w:val="24"/>
                <w:szCs w:val="24"/>
              </w:rPr>
              <w:t>5.67%</w:t>
            </w:r>
          </w:p>
        </w:tc>
        <w:tc>
          <w:tcPr>
            <w:vAlign w:val="center"/>
          </w:tcPr>
          <w:p>
            <w:pPr>
              <w:jc w:val="center"/>
            </w:pPr>
            <w:r>
              <w:rPr>
                <w:color w:val="000000"/>
                <w:sz w:val="24"/>
                <w:szCs w:val="24"/>
              </w:rPr>
              <w:t>0.24%</w:t>
            </w:r>
          </w:p>
        </w:tc>
        <w:tc>
          <w:tcPr>
            <w:vAlign w:val="center"/>
          </w:tcPr>
          <w:p>
            <w:pPr>
              <w:jc w:val="center"/>
            </w:pPr>
            <w:r>
              <w:rPr>
                <w:color w:val="000000"/>
                <w:sz w:val="24"/>
                <w:szCs w:val="24"/>
              </w:rPr>
              <w:t>6.08%</w:t>
            </w:r>
          </w:p>
        </w:tc>
        <w:tc>
          <w:tcPr>
            <w:vAlign w:val="center"/>
          </w:tcPr>
          <w:p>
            <w:pPr>
              <w:jc w:val="center"/>
            </w:pPr>
            <w:r>
              <w:rPr>
                <w:color w:val="000000"/>
                <w:sz w:val="24"/>
                <w:szCs w:val="24"/>
              </w:rPr>
              <w:t>-0.08%</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交银施罗德安享稳健养老目标一年持有期混合型基金中基金（FOF）</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2019年5月30日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2020年9月30日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基金合同生效日为2019年5月30日，截至报告期期末，本基金已完成建仓但报告期期末距建仓结束未满一年。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杨喆</w:t>
            </w:r>
          </w:p>
        </w:tc>
        <w:tc>
          <w:tcPr>
            <w:vAlign w:val="center"/>
          </w:tcPr>
          <w:p>
            <w:pPr>
              <w:jc w:val="center"/>
            </w:pPr>
            <w:r>
              <w:rPr>
                <w:color w:val="000000"/>
                <w:sz w:val="24"/>
                <w:szCs w:val="24"/>
              </w:rPr>
              <w:t>交银安享稳健养老一年、交银养老2035三年的基金经理，公司多元资产管理副总监。</w:t>
            </w:r>
          </w:p>
        </w:tc>
        <w:tc>
          <w:tcPr>
            <w:vAlign w:val="center"/>
          </w:tcPr>
          <w:p>
            <w:pPr>
              <w:jc w:val="center"/>
            </w:pPr>
            <w:r>
              <w:rPr>
                <w:color w:val="000000"/>
                <w:sz w:val="24"/>
                <w:szCs w:val="24"/>
              </w:rPr>
              <w:t>2019-05-30</w:t>
            </w:r>
          </w:p>
        </w:tc>
        <w:tc>
          <w:tcPr>
            <w:vAlign w:val="center"/>
          </w:tcPr>
          <w:p>
            <w:pPr>
              <w:jc w:val="center"/>
            </w:pPr>
            <w:r>
              <w:rPr>
                <w:color w:val="000000"/>
                <w:sz w:val="24"/>
                <w:szCs w:val="24"/>
              </w:rPr>
              <w:t>-</w:t>
            </w:r>
          </w:p>
        </w:tc>
        <w:tc>
          <w:tcPr>
            <w:vAlign w:val="center"/>
          </w:tcPr>
          <w:p>
            <w:pPr>
              <w:jc w:val="center"/>
            </w:pPr>
            <w:r>
              <w:rPr>
                <w:color w:val="000000"/>
                <w:sz w:val="24"/>
                <w:szCs w:val="24"/>
              </w:rPr>
              <w:t>12年</w:t>
            </w:r>
          </w:p>
        </w:tc>
        <w:tc>
          <w:tcPr>
            <w:vAlign w:val="center"/>
          </w:tcPr>
          <w:p>
            <w:pPr>
              <w:jc w:val="both"/>
            </w:pPr>
            <w:r>
              <w:rPr>
                <w:color w:val="000000"/>
                <w:sz w:val="24"/>
                <w:szCs w:val="24"/>
              </w:rPr>
              <w:t>杨喆女士，同济大学金融学硕士。曾任国泰君安证券有限公司研究所金融工程与衍生品研究员。2013年加入交银施罗德基金管理有限公司。</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2020年三季度，国内经济动能不断修复，工业生产持续向好，市场需求继续恢复，一个以国内循环为主、国际国内互促的双循环发展的新格局正在形成。货币政策继续推进正常化并留有政策空间，社融增速在政府债发行的支撑下稳中有升，债券收益率中枢逐步抬升。国外宏观环境的不确定性较多，世界经济多元化格局依旧在发展中。与此同时，国内外市场投资环境仍处于高波动态势，新的挑战不断涌现。</w:t>
      </w:r>
    </w:p>
    <w:p>
      <w:pPr>
        <w:spacing w:before="29" w:line="288" w:lineRule="auto"/>
        <w:ind w:firstLine="480" w:firstLineChars="200"/>
        <w:rPr>
          <w:color w:val="000000"/>
          <w:sz w:val="24"/>
          <w:szCs w:val="24"/>
        </w:rPr>
      </w:pPr>
      <w:r>
        <w:rPr>
          <w:color w:val="000000"/>
          <w:sz w:val="24"/>
          <w:szCs w:val="24"/>
        </w:rPr>
        <w:t>报告期内，考虑到债券资产和权益资产的波动都在变大，本基金在综合分析各类资产最新风险情况和组合风险承受水平的基础上，精选中长期超额收益明显并且业绩稳健的优质基金加以配置，灵活调整债券资产和权益资产的仓位，以应对市场波动。</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四季度，全球经济形式总体呈复苏态势，但各国节奏有所不同，美欧面临疫情二次爆发的冲击，在逆全球化、低利润率、低利率、长期通胀上升、政府债务增加和居民财富的配置需求提升的趋势下，仍需坚持多元组合的资产配置策略。我们将持续关注海内外风险、中美关系和政策走向，做好大类资产配置，深入挖掘优质投资标的。</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141,143,924.69</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1.49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141,143,924.69</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1.49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7,999,195,076.57</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84.32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251,469,000.00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2.65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251,469,000.00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2.65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1,046,842,565.00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11.03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48,096,300.25</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0.51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9,486,746,866.51</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3,421,645.00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0.04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2,280,913.00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88,054,641.13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0.93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1,543,951.12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268,504.03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998,135.36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3,522,952.53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33,020,058.70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0.35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1,186,983.00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1,850,402.00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1,078,127.40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15,348.36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3,857,129.80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45,133.26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141,143,924.69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1.49</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600519</w:t>
            </w:r>
          </w:p>
        </w:tc>
        <w:tc>
          <w:tcPr>
            <w:vAlign w:val="center"/>
          </w:tcPr>
          <w:p>
            <w:pPr>
              <w:jc w:val="center"/>
            </w:pPr>
            <w:r>
              <w:rPr>
                <w:color w:val="000000"/>
                <w:sz w:val="24"/>
                <w:szCs w:val="24"/>
              </w:rPr>
              <w:t>贵州茅台</w:t>
            </w:r>
          </w:p>
        </w:tc>
        <w:tc>
          <w:tcPr>
            <w:vAlign w:val="center"/>
          </w:tcPr>
          <w:p>
            <w:pPr>
              <w:jc w:val="right"/>
            </w:pPr>
            <w:r>
              <w:rPr>
                <w:color w:val="000000"/>
                <w:sz w:val="24"/>
                <w:szCs w:val="24"/>
              </w:rPr>
              <w:t>5,200</w:t>
            </w:r>
          </w:p>
        </w:tc>
        <w:tc>
          <w:tcPr>
            <w:vAlign w:val="center"/>
          </w:tcPr>
          <w:p>
            <w:pPr>
              <w:jc w:val="right"/>
            </w:pPr>
            <w:r>
              <w:rPr>
                <w:color w:val="000000"/>
                <w:sz w:val="24"/>
                <w:szCs w:val="24"/>
              </w:rPr>
              <w:t>8,676,200.00</w:t>
            </w:r>
          </w:p>
        </w:tc>
        <w:tc>
          <w:tcPr>
            <w:vAlign w:val="center"/>
          </w:tcPr>
          <w:p>
            <w:pPr>
              <w:jc w:val="right"/>
            </w:pPr>
            <w:r>
              <w:rPr>
                <w:color w:val="000000"/>
                <w:sz w:val="24"/>
                <w:szCs w:val="24"/>
              </w:rPr>
              <w:t>0.09</w:t>
            </w:r>
          </w:p>
        </w:tc>
      </w:tr>
      <w:tr>
        <w:tc>
          <w:tcPr>
            <w:vAlign w:val="center"/>
          </w:tcPr>
          <w:p>
            <w:pPr>
              <w:jc w:val="center"/>
            </w:pPr>
            <w:r>
              <w:rPr>
                <w:color w:val="000000"/>
                <w:sz w:val="24"/>
                <w:szCs w:val="24"/>
              </w:rPr>
              <w:t>2</w:t>
            </w:r>
          </w:p>
        </w:tc>
        <w:tc>
          <w:tcPr>
            <w:vAlign w:val="center"/>
          </w:tcPr>
          <w:p>
            <w:pPr>
              <w:jc w:val="center"/>
            </w:pPr>
            <w:r>
              <w:rPr>
                <w:color w:val="000000"/>
                <w:sz w:val="24"/>
                <w:szCs w:val="24"/>
              </w:rPr>
              <w:t>601318</w:t>
            </w:r>
          </w:p>
        </w:tc>
        <w:tc>
          <w:tcPr>
            <w:vAlign w:val="center"/>
          </w:tcPr>
          <w:p>
            <w:pPr>
              <w:jc w:val="center"/>
            </w:pPr>
            <w:r>
              <w:rPr>
                <w:color w:val="000000"/>
                <w:sz w:val="24"/>
                <w:szCs w:val="24"/>
              </w:rPr>
              <w:t>中国平安</w:t>
            </w:r>
          </w:p>
        </w:tc>
        <w:tc>
          <w:tcPr>
            <w:vAlign w:val="center"/>
          </w:tcPr>
          <w:p>
            <w:pPr>
              <w:jc w:val="right"/>
            </w:pPr>
            <w:r>
              <w:rPr>
                <w:color w:val="000000"/>
                <w:sz w:val="24"/>
                <w:szCs w:val="24"/>
              </w:rPr>
              <w:t>112,529</w:t>
            </w:r>
          </w:p>
        </w:tc>
        <w:tc>
          <w:tcPr>
            <w:vAlign w:val="center"/>
          </w:tcPr>
          <w:p>
            <w:pPr>
              <w:jc w:val="right"/>
            </w:pPr>
            <w:r>
              <w:rPr>
                <w:color w:val="000000"/>
                <w:sz w:val="24"/>
                <w:szCs w:val="24"/>
              </w:rPr>
              <w:t>8,581,461.54</w:t>
            </w:r>
          </w:p>
        </w:tc>
        <w:tc>
          <w:tcPr>
            <w:vAlign w:val="center"/>
          </w:tcPr>
          <w:p>
            <w:pPr>
              <w:jc w:val="right"/>
            </w:pPr>
            <w:r>
              <w:rPr>
                <w:color w:val="000000"/>
                <w:sz w:val="24"/>
                <w:szCs w:val="24"/>
              </w:rPr>
              <w:t>0.09</w:t>
            </w:r>
          </w:p>
        </w:tc>
      </w:tr>
      <w:tr>
        <w:tc>
          <w:tcPr>
            <w:vAlign w:val="center"/>
          </w:tcPr>
          <w:p>
            <w:pPr>
              <w:jc w:val="center"/>
            </w:pPr>
            <w:r>
              <w:rPr>
                <w:color w:val="000000"/>
                <w:sz w:val="24"/>
                <w:szCs w:val="24"/>
              </w:rPr>
              <w:t>3</w:t>
            </w:r>
          </w:p>
        </w:tc>
        <w:tc>
          <w:tcPr>
            <w:vAlign w:val="center"/>
          </w:tcPr>
          <w:p>
            <w:pPr>
              <w:jc w:val="center"/>
            </w:pPr>
            <w:r>
              <w:rPr>
                <w:color w:val="000000"/>
                <w:sz w:val="24"/>
                <w:szCs w:val="24"/>
              </w:rPr>
              <w:t>000858</w:t>
            </w:r>
          </w:p>
        </w:tc>
        <w:tc>
          <w:tcPr>
            <w:vAlign w:val="center"/>
          </w:tcPr>
          <w:p>
            <w:pPr>
              <w:jc w:val="center"/>
            </w:pPr>
            <w:r>
              <w:rPr>
                <w:color w:val="000000"/>
                <w:sz w:val="24"/>
                <w:szCs w:val="24"/>
              </w:rPr>
              <w:t>五粮液</w:t>
            </w:r>
          </w:p>
        </w:tc>
        <w:tc>
          <w:tcPr>
            <w:vAlign w:val="center"/>
          </w:tcPr>
          <w:p>
            <w:pPr>
              <w:jc w:val="right"/>
            </w:pPr>
            <w:r>
              <w:rPr>
                <w:color w:val="000000"/>
                <w:sz w:val="24"/>
                <w:szCs w:val="24"/>
              </w:rPr>
              <w:t>32,300</w:t>
            </w:r>
          </w:p>
        </w:tc>
        <w:tc>
          <w:tcPr>
            <w:vAlign w:val="center"/>
          </w:tcPr>
          <w:p>
            <w:pPr>
              <w:jc w:val="right"/>
            </w:pPr>
            <w:r>
              <w:rPr>
                <w:color w:val="000000"/>
                <w:sz w:val="24"/>
                <w:szCs w:val="24"/>
              </w:rPr>
              <w:t>7,138,300.00</w:t>
            </w:r>
          </w:p>
        </w:tc>
        <w:tc>
          <w:tcPr>
            <w:vAlign w:val="center"/>
          </w:tcPr>
          <w:p>
            <w:pPr>
              <w:jc w:val="right"/>
            </w:pPr>
            <w:r>
              <w:rPr>
                <w:color w:val="000000"/>
                <w:sz w:val="24"/>
                <w:szCs w:val="24"/>
              </w:rPr>
              <w:t>0.08</w:t>
            </w:r>
          </w:p>
        </w:tc>
      </w:tr>
      <w:tr>
        <w:tc>
          <w:tcPr>
            <w:vAlign w:val="center"/>
          </w:tcPr>
          <w:p>
            <w:pPr>
              <w:jc w:val="center"/>
            </w:pPr>
            <w:r>
              <w:rPr>
                <w:color w:val="000000"/>
                <w:sz w:val="24"/>
                <w:szCs w:val="24"/>
              </w:rPr>
              <w:t>4</w:t>
            </w:r>
          </w:p>
        </w:tc>
        <w:tc>
          <w:tcPr>
            <w:vAlign w:val="center"/>
          </w:tcPr>
          <w:p>
            <w:pPr>
              <w:jc w:val="center"/>
            </w:pPr>
            <w:r>
              <w:rPr>
                <w:color w:val="000000"/>
                <w:sz w:val="24"/>
                <w:szCs w:val="24"/>
              </w:rPr>
              <w:t>002475</w:t>
            </w:r>
          </w:p>
        </w:tc>
        <w:tc>
          <w:tcPr>
            <w:vAlign w:val="center"/>
          </w:tcPr>
          <w:p>
            <w:pPr>
              <w:jc w:val="center"/>
            </w:pPr>
            <w:r>
              <w:rPr>
                <w:color w:val="000000"/>
                <w:sz w:val="24"/>
                <w:szCs w:val="24"/>
              </w:rPr>
              <w:t>立讯精密</w:t>
            </w:r>
          </w:p>
        </w:tc>
        <w:tc>
          <w:tcPr>
            <w:vAlign w:val="center"/>
          </w:tcPr>
          <w:p>
            <w:pPr>
              <w:jc w:val="right"/>
            </w:pPr>
            <w:r>
              <w:rPr>
                <w:color w:val="000000"/>
                <w:sz w:val="24"/>
                <w:szCs w:val="24"/>
              </w:rPr>
              <w:t>115,092</w:t>
            </w:r>
          </w:p>
        </w:tc>
        <w:tc>
          <w:tcPr>
            <w:vAlign w:val="center"/>
          </w:tcPr>
          <w:p>
            <w:pPr>
              <w:jc w:val="right"/>
            </w:pPr>
            <w:r>
              <w:rPr>
                <w:color w:val="000000"/>
                <w:sz w:val="24"/>
                <w:szCs w:val="24"/>
              </w:rPr>
              <w:t>6,575,205.96</w:t>
            </w:r>
          </w:p>
        </w:tc>
        <w:tc>
          <w:tcPr>
            <w:vAlign w:val="center"/>
          </w:tcPr>
          <w:p>
            <w:pPr>
              <w:jc w:val="right"/>
            </w:pPr>
            <w:r>
              <w:rPr>
                <w:color w:val="000000"/>
                <w:sz w:val="24"/>
                <w:szCs w:val="24"/>
              </w:rPr>
              <w:t>0.07</w:t>
            </w:r>
          </w:p>
        </w:tc>
      </w:tr>
      <w:tr>
        <w:tc>
          <w:tcPr>
            <w:vAlign w:val="center"/>
          </w:tcPr>
          <w:p>
            <w:pPr>
              <w:jc w:val="center"/>
            </w:pPr>
            <w:r>
              <w:rPr>
                <w:color w:val="000000"/>
                <w:sz w:val="24"/>
                <w:szCs w:val="24"/>
              </w:rPr>
              <w:t>5</w:t>
            </w:r>
          </w:p>
        </w:tc>
        <w:tc>
          <w:tcPr>
            <w:vAlign w:val="center"/>
          </w:tcPr>
          <w:p>
            <w:pPr>
              <w:jc w:val="center"/>
            </w:pPr>
            <w:r>
              <w:rPr>
                <w:color w:val="000000"/>
                <w:sz w:val="24"/>
                <w:szCs w:val="24"/>
              </w:rPr>
              <w:t>002415</w:t>
            </w:r>
          </w:p>
        </w:tc>
        <w:tc>
          <w:tcPr>
            <w:vAlign w:val="center"/>
          </w:tcPr>
          <w:p>
            <w:pPr>
              <w:jc w:val="center"/>
            </w:pPr>
            <w:r>
              <w:rPr>
                <w:color w:val="000000"/>
                <w:sz w:val="24"/>
                <w:szCs w:val="24"/>
              </w:rPr>
              <w:t>海康威视</w:t>
            </w:r>
          </w:p>
        </w:tc>
        <w:tc>
          <w:tcPr>
            <w:vAlign w:val="center"/>
          </w:tcPr>
          <w:p>
            <w:pPr>
              <w:jc w:val="right"/>
            </w:pPr>
            <w:r>
              <w:rPr>
                <w:color w:val="000000"/>
                <w:sz w:val="24"/>
                <w:szCs w:val="24"/>
              </w:rPr>
              <w:t>150,000</w:t>
            </w:r>
          </w:p>
        </w:tc>
        <w:tc>
          <w:tcPr>
            <w:vAlign w:val="center"/>
          </w:tcPr>
          <w:p>
            <w:pPr>
              <w:jc w:val="right"/>
            </w:pPr>
            <w:r>
              <w:rPr>
                <w:color w:val="000000"/>
                <w:sz w:val="24"/>
                <w:szCs w:val="24"/>
              </w:rPr>
              <w:t>5,716,500.00</w:t>
            </w:r>
          </w:p>
        </w:tc>
        <w:tc>
          <w:tcPr>
            <w:vAlign w:val="center"/>
          </w:tcPr>
          <w:p>
            <w:pPr>
              <w:jc w:val="right"/>
            </w:pPr>
            <w:r>
              <w:rPr>
                <w:color w:val="000000"/>
                <w:sz w:val="24"/>
                <w:szCs w:val="24"/>
              </w:rPr>
              <w:t>0.06</w:t>
            </w:r>
          </w:p>
        </w:tc>
      </w:tr>
      <w:tr>
        <w:tc>
          <w:tcPr>
            <w:vAlign w:val="center"/>
          </w:tcPr>
          <w:p>
            <w:pPr>
              <w:jc w:val="center"/>
            </w:pPr>
            <w:r>
              <w:rPr>
                <w:color w:val="000000"/>
                <w:sz w:val="24"/>
                <w:szCs w:val="24"/>
              </w:rPr>
              <w:t>6</w:t>
            </w:r>
          </w:p>
        </w:tc>
        <w:tc>
          <w:tcPr>
            <w:vAlign w:val="center"/>
          </w:tcPr>
          <w:p>
            <w:pPr>
              <w:jc w:val="center"/>
            </w:pPr>
            <w:r>
              <w:rPr>
                <w:color w:val="000000"/>
                <w:sz w:val="24"/>
                <w:szCs w:val="24"/>
              </w:rPr>
              <w:t>300760</w:t>
            </w:r>
          </w:p>
        </w:tc>
        <w:tc>
          <w:tcPr>
            <w:vAlign w:val="center"/>
          </w:tcPr>
          <w:p>
            <w:pPr>
              <w:jc w:val="center"/>
            </w:pPr>
            <w:r>
              <w:rPr>
                <w:color w:val="000000"/>
                <w:sz w:val="24"/>
                <w:szCs w:val="24"/>
              </w:rPr>
              <w:t>迈瑞医疗</w:t>
            </w:r>
          </w:p>
        </w:tc>
        <w:tc>
          <w:tcPr>
            <w:vAlign w:val="center"/>
          </w:tcPr>
          <w:p>
            <w:pPr>
              <w:jc w:val="right"/>
            </w:pPr>
            <w:r>
              <w:rPr>
                <w:color w:val="000000"/>
                <w:sz w:val="24"/>
                <w:szCs w:val="24"/>
              </w:rPr>
              <w:t>16,200</w:t>
            </w:r>
          </w:p>
        </w:tc>
        <w:tc>
          <w:tcPr>
            <w:vAlign w:val="center"/>
          </w:tcPr>
          <w:p>
            <w:pPr>
              <w:jc w:val="right"/>
            </w:pPr>
            <w:r>
              <w:rPr>
                <w:color w:val="000000"/>
                <w:sz w:val="24"/>
                <w:szCs w:val="24"/>
              </w:rPr>
              <w:t>5,637,600.00</w:t>
            </w:r>
          </w:p>
        </w:tc>
        <w:tc>
          <w:tcPr>
            <w:vAlign w:val="center"/>
          </w:tcPr>
          <w:p>
            <w:pPr>
              <w:jc w:val="right"/>
            </w:pPr>
            <w:r>
              <w:rPr>
                <w:color w:val="000000"/>
                <w:sz w:val="24"/>
                <w:szCs w:val="24"/>
              </w:rPr>
              <w:t>0.06</w:t>
            </w:r>
          </w:p>
        </w:tc>
      </w:tr>
      <w:tr>
        <w:tc>
          <w:tcPr>
            <w:vAlign w:val="center"/>
          </w:tcPr>
          <w:p>
            <w:pPr>
              <w:jc w:val="center"/>
            </w:pPr>
            <w:r>
              <w:rPr>
                <w:color w:val="000000"/>
                <w:sz w:val="24"/>
                <w:szCs w:val="24"/>
              </w:rPr>
              <w:t>7</w:t>
            </w:r>
          </w:p>
        </w:tc>
        <w:tc>
          <w:tcPr>
            <w:vAlign w:val="center"/>
          </w:tcPr>
          <w:p>
            <w:pPr>
              <w:jc w:val="center"/>
            </w:pPr>
            <w:r>
              <w:rPr>
                <w:color w:val="000000"/>
                <w:sz w:val="24"/>
                <w:szCs w:val="24"/>
              </w:rPr>
              <w:t>600036</w:t>
            </w:r>
          </w:p>
        </w:tc>
        <w:tc>
          <w:tcPr>
            <w:vAlign w:val="center"/>
          </w:tcPr>
          <w:p>
            <w:pPr>
              <w:jc w:val="center"/>
            </w:pPr>
            <w:r>
              <w:rPr>
                <w:color w:val="000000"/>
                <w:sz w:val="24"/>
                <w:szCs w:val="24"/>
              </w:rPr>
              <w:t>招商银行</w:t>
            </w:r>
          </w:p>
        </w:tc>
        <w:tc>
          <w:tcPr>
            <w:vAlign w:val="center"/>
          </w:tcPr>
          <w:p>
            <w:pPr>
              <w:jc w:val="right"/>
            </w:pPr>
            <w:r>
              <w:rPr>
                <w:color w:val="000000"/>
                <w:sz w:val="24"/>
                <w:szCs w:val="24"/>
              </w:rPr>
              <w:t>112,500</w:t>
            </w:r>
          </w:p>
        </w:tc>
        <w:tc>
          <w:tcPr>
            <w:vAlign w:val="center"/>
          </w:tcPr>
          <w:p>
            <w:pPr>
              <w:jc w:val="right"/>
            </w:pPr>
            <w:r>
              <w:rPr>
                <w:color w:val="000000"/>
                <w:sz w:val="24"/>
                <w:szCs w:val="24"/>
              </w:rPr>
              <w:t>4,050,000.00</w:t>
            </w:r>
          </w:p>
        </w:tc>
        <w:tc>
          <w:tcPr>
            <w:vAlign w:val="center"/>
          </w:tcPr>
          <w:p>
            <w:pPr>
              <w:jc w:val="right"/>
            </w:pPr>
            <w:r>
              <w:rPr>
                <w:color w:val="000000"/>
                <w:sz w:val="24"/>
                <w:szCs w:val="24"/>
              </w:rPr>
              <w:t>0.04</w:t>
            </w:r>
          </w:p>
        </w:tc>
      </w:tr>
      <w:tr>
        <w:tc>
          <w:tcPr>
            <w:vAlign w:val="center"/>
          </w:tcPr>
          <w:p>
            <w:pPr>
              <w:jc w:val="center"/>
            </w:pPr>
            <w:r>
              <w:rPr>
                <w:color w:val="000000"/>
                <w:sz w:val="24"/>
                <w:szCs w:val="24"/>
              </w:rPr>
              <w:t>8</w:t>
            </w:r>
          </w:p>
        </w:tc>
        <w:tc>
          <w:tcPr>
            <w:vAlign w:val="center"/>
          </w:tcPr>
          <w:p>
            <w:pPr>
              <w:jc w:val="center"/>
            </w:pPr>
            <w:r>
              <w:rPr>
                <w:color w:val="000000"/>
                <w:sz w:val="24"/>
                <w:szCs w:val="24"/>
              </w:rPr>
              <w:t>600276</w:t>
            </w:r>
          </w:p>
        </w:tc>
        <w:tc>
          <w:tcPr>
            <w:vAlign w:val="center"/>
          </w:tcPr>
          <w:p>
            <w:pPr>
              <w:jc w:val="center"/>
            </w:pPr>
            <w:r>
              <w:rPr>
                <w:color w:val="000000"/>
                <w:sz w:val="24"/>
                <w:szCs w:val="24"/>
              </w:rPr>
              <w:t>恒瑞医药</w:t>
            </w:r>
          </w:p>
        </w:tc>
        <w:tc>
          <w:tcPr>
            <w:vAlign w:val="center"/>
          </w:tcPr>
          <w:p>
            <w:pPr>
              <w:jc w:val="right"/>
            </w:pPr>
            <w:r>
              <w:rPr>
                <w:color w:val="000000"/>
                <w:sz w:val="24"/>
                <w:szCs w:val="24"/>
              </w:rPr>
              <w:t>40,440</w:t>
            </w:r>
          </w:p>
        </w:tc>
        <w:tc>
          <w:tcPr>
            <w:vAlign w:val="center"/>
          </w:tcPr>
          <w:p>
            <w:pPr>
              <w:jc w:val="right"/>
            </w:pPr>
            <w:r>
              <w:rPr>
                <w:color w:val="000000"/>
                <w:sz w:val="24"/>
                <w:szCs w:val="24"/>
              </w:rPr>
              <w:t>3,632,320.80</w:t>
            </w:r>
          </w:p>
        </w:tc>
        <w:tc>
          <w:tcPr>
            <w:vAlign w:val="center"/>
          </w:tcPr>
          <w:p>
            <w:pPr>
              <w:jc w:val="right"/>
            </w:pPr>
            <w:r>
              <w:rPr>
                <w:color w:val="000000"/>
                <w:sz w:val="24"/>
                <w:szCs w:val="24"/>
              </w:rPr>
              <w:t>0.04</w:t>
            </w:r>
          </w:p>
        </w:tc>
      </w:tr>
      <w:tr>
        <w:tc>
          <w:tcPr>
            <w:vAlign w:val="center"/>
          </w:tcPr>
          <w:p>
            <w:pPr>
              <w:jc w:val="center"/>
            </w:pPr>
            <w:r>
              <w:rPr>
                <w:color w:val="000000"/>
                <w:sz w:val="24"/>
                <w:szCs w:val="24"/>
              </w:rPr>
              <w:t>9</w:t>
            </w:r>
          </w:p>
        </w:tc>
        <w:tc>
          <w:tcPr>
            <w:vAlign w:val="center"/>
          </w:tcPr>
          <w:p>
            <w:pPr>
              <w:jc w:val="center"/>
            </w:pPr>
            <w:r>
              <w:rPr>
                <w:color w:val="000000"/>
                <w:sz w:val="24"/>
                <w:szCs w:val="24"/>
              </w:rPr>
              <w:t>300999</w:t>
            </w:r>
          </w:p>
        </w:tc>
        <w:tc>
          <w:tcPr>
            <w:vAlign w:val="center"/>
          </w:tcPr>
          <w:p>
            <w:pPr>
              <w:jc w:val="center"/>
            </w:pPr>
            <w:r>
              <w:rPr>
                <w:color w:val="000000"/>
                <w:sz w:val="24"/>
                <w:szCs w:val="24"/>
              </w:rPr>
              <w:t>金龙鱼</w:t>
            </w:r>
          </w:p>
        </w:tc>
        <w:tc>
          <w:tcPr>
            <w:vAlign w:val="center"/>
          </w:tcPr>
          <w:p>
            <w:pPr>
              <w:jc w:val="right"/>
            </w:pPr>
            <w:r>
              <w:rPr>
                <w:color w:val="000000"/>
                <w:sz w:val="24"/>
                <w:szCs w:val="24"/>
              </w:rPr>
              <w:t>121,132</w:t>
            </w:r>
          </w:p>
        </w:tc>
        <w:tc>
          <w:tcPr>
            <w:vAlign w:val="center"/>
          </w:tcPr>
          <w:p>
            <w:pPr>
              <w:jc w:val="right"/>
            </w:pPr>
            <w:r>
              <w:rPr>
                <w:color w:val="000000"/>
                <w:sz w:val="24"/>
                <w:szCs w:val="24"/>
              </w:rPr>
              <w:t>3,113,092.40</w:t>
            </w:r>
          </w:p>
        </w:tc>
        <w:tc>
          <w:tcPr>
            <w:vAlign w:val="center"/>
          </w:tcPr>
          <w:p>
            <w:pPr>
              <w:jc w:val="right"/>
            </w:pPr>
            <w:r>
              <w:rPr>
                <w:color w:val="000000"/>
                <w:sz w:val="24"/>
                <w:szCs w:val="24"/>
              </w:rPr>
              <w:t>0.03</w:t>
            </w:r>
          </w:p>
        </w:tc>
      </w:tr>
      <w:tr>
        <w:tc>
          <w:tcPr>
            <w:vAlign w:val="center"/>
          </w:tcPr>
          <w:p>
            <w:pPr>
              <w:jc w:val="center"/>
            </w:pPr>
            <w:r>
              <w:rPr>
                <w:color w:val="000000"/>
                <w:sz w:val="24"/>
                <w:szCs w:val="24"/>
              </w:rPr>
              <w:t>10</w:t>
            </w:r>
          </w:p>
        </w:tc>
        <w:tc>
          <w:tcPr>
            <w:vAlign w:val="center"/>
          </w:tcPr>
          <w:p>
            <w:pPr>
              <w:jc w:val="center"/>
            </w:pPr>
            <w:r>
              <w:rPr>
                <w:color w:val="000000"/>
                <w:sz w:val="24"/>
                <w:szCs w:val="24"/>
              </w:rPr>
              <w:t>002714</w:t>
            </w:r>
          </w:p>
        </w:tc>
        <w:tc>
          <w:tcPr>
            <w:vAlign w:val="center"/>
          </w:tcPr>
          <w:p>
            <w:pPr>
              <w:jc w:val="center"/>
            </w:pPr>
            <w:r>
              <w:rPr>
                <w:color w:val="000000"/>
                <w:sz w:val="24"/>
                <w:szCs w:val="24"/>
              </w:rPr>
              <w:t>牧原股份</w:t>
            </w:r>
          </w:p>
        </w:tc>
        <w:tc>
          <w:tcPr>
            <w:vAlign w:val="center"/>
          </w:tcPr>
          <w:p>
            <w:pPr>
              <w:jc w:val="right"/>
            </w:pPr>
            <w:r>
              <w:rPr>
                <w:color w:val="000000"/>
                <w:sz w:val="24"/>
                <w:szCs w:val="24"/>
              </w:rPr>
              <w:t>40,300</w:t>
            </w:r>
          </w:p>
        </w:tc>
        <w:tc>
          <w:tcPr>
            <w:vAlign w:val="center"/>
          </w:tcPr>
          <w:p>
            <w:pPr>
              <w:jc w:val="right"/>
            </w:pPr>
            <w:r>
              <w:rPr>
                <w:color w:val="000000"/>
                <w:sz w:val="24"/>
                <w:szCs w:val="24"/>
              </w:rPr>
              <w:t>2,982,200.00</w:t>
            </w:r>
          </w:p>
        </w:tc>
        <w:tc>
          <w:tcPr>
            <w:vAlign w:val="center"/>
          </w:tcPr>
          <w:p>
            <w:pPr>
              <w:jc w:val="right"/>
            </w:pPr>
            <w:r>
              <w:rPr>
                <w:color w:val="000000"/>
                <w:sz w:val="24"/>
                <w:szCs w:val="24"/>
              </w:rPr>
              <w:t>0.03</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251,469,000.00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2.65</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251,469,000.00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2.65</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251,469,000.00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2.65</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180203</w:t>
            </w:r>
          </w:p>
        </w:tc>
        <w:tc>
          <w:tcPr>
            <w:vAlign w:val="center"/>
          </w:tcPr>
          <w:p>
            <w:pPr>
              <w:jc w:val="center"/>
            </w:pPr>
            <w:r>
              <w:rPr>
                <w:color w:val="000000"/>
                <w:sz w:val="24"/>
                <w:szCs w:val="24"/>
              </w:rPr>
              <w:t>18国开03</w:t>
            </w:r>
          </w:p>
        </w:tc>
        <w:tc>
          <w:tcPr>
            <w:vAlign w:val="center"/>
          </w:tcPr>
          <w:p>
            <w:pPr>
              <w:jc w:val="right"/>
            </w:pPr>
            <w:r>
              <w:rPr>
                <w:color w:val="000000"/>
                <w:sz w:val="24"/>
                <w:szCs w:val="24"/>
              </w:rPr>
              <w:t>1,000,000</w:t>
            </w:r>
          </w:p>
        </w:tc>
        <w:tc>
          <w:tcPr>
            <w:vAlign w:val="center"/>
          </w:tcPr>
          <w:p>
            <w:pPr>
              <w:jc w:val="right"/>
            </w:pPr>
            <w:r>
              <w:rPr>
                <w:color w:val="000000"/>
                <w:sz w:val="24"/>
                <w:szCs w:val="24"/>
              </w:rPr>
              <w:t>100,780,000.00</w:t>
            </w:r>
          </w:p>
        </w:tc>
        <w:tc>
          <w:tcPr>
            <w:vAlign w:val="center"/>
          </w:tcPr>
          <w:p>
            <w:pPr>
              <w:jc w:val="right"/>
            </w:pPr>
            <w:r>
              <w:rPr>
                <w:color w:val="000000"/>
                <w:sz w:val="24"/>
                <w:szCs w:val="24"/>
              </w:rPr>
              <w:t>1.06</w:t>
            </w:r>
          </w:p>
        </w:tc>
      </w:tr>
      <w:tr>
        <w:tc>
          <w:tcPr>
            <w:vAlign w:val="center"/>
          </w:tcPr>
          <w:p>
            <w:pPr>
              <w:jc w:val="center"/>
            </w:pPr>
            <w:r>
              <w:rPr>
                <w:color w:val="000000"/>
                <w:sz w:val="24"/>
                <w:szCs w:val="24"/>
              </w:rPr>
              <w:t>2</w:t>
            </w:r>
          </w:p>
        </w:tc>
        <w:tc>
          <w:tcPr>
            <w:vAlign w:val="center"/>
          </w:tcPr>
          <w:p>
            <w:pPr>
              <w:jc w:val="center"/>
            </w:pPr>
            <w:r>
              <w:rPr>
                <w:color w:val="000000"/>
                <w:sz w:val="24"/>
                <w:szCs w:val="24"/>
              </w:rPr>
              <w:t>180402</w:t>
            </w:r>
          </w:p>
        </w:tc>
        <w:tc>
          <w:tcPr>
            <w:vAlign w:val="center"/>
          </w:tcPr>
          <w:p>
            <w:pPr>
              <w:jc w:val="center"/>
            </w:pPr>
            <w:r>
              <w:rPr>
                <w:color w:val="000000"/>
                <w:sz w:val="24"/>
                <w:szCs w:val="24"/>
              </w:rPr>
              <w:t>18农发02</w:t>
            </w:r>
          </w:p>
        </w:tc>
        <w:tc>
          <w:tcPr>
            <w:vAlign w:val="center"/>
          </w:tcPr>
          <w:p>
            <w:pPr>
              <w:jc w:val="right"/>
            </w:pPr>
            <w:r>
              <w:rPr>
                <w:color w:val="000000"/>
                <w:sz w:val="24"/>
                <w:szCs w:val="24"/>
              </w:rPr>
              <w:t>600,000</w:t>
            </w:r>
          </w:p>
        </w:tc>
        <w:tc>
          <w:tcPr>
            <w:vAlign w:val="center"/>
          </w:tcPr>
          <w:p>
            <w:pPr>
              <w:jc w:val="right"/>
            </w:pPr>
            <w:r>
              <w:rPr>
                <w:color w:val="000000"/>
                <w:sz w:val="24"/>
                <w:szCs w:val="24"/>
              </w:rPr>
              <w:t>60,390,000.00</w:t>
            </w:r>
          </w:p>
        </w:tc>
        <w:tc>
          <w:tcPr>
            <w:vAlign w:val="center"/>
          </w:tcPr>
          <w:p>
            <w:pPr>
              <w:jc w:val="right"/>
            </w:pPr>
            <w:r>
              <w:rPr>
                <w:color w:val="000000"/>
                <w:sz w:val="24"/>
                <w:szCs w:val="24"/>
              </w:rPr>
              <w:t>0.64</w:t>
            </w:r>
          </w:p>
        </w:tc>
      </w:tr>
      <w:tr>
        <w:tc>
          <w:tcPr>
            <w:vAlign w:val="center"/>
          </w:tcPr>
          <w:p>
            <w:pPr>
              <w:jc w:val="center"/>
            </w:pPr>
            <w:r>
              <w:rPr>
                <w:color w:val="000000"/>
                <w:sz w:val="24"/>
                <w:szCs w:val="24"/>
              </w:rPr>
              <w:t>3</w:t>
            </w:r>
          </w:p>
        </w:tc>
        <w:tc>
          <w:tcPr>
            <w:vAlign w:val="center"/>
          </w:tcPr>
          <w:p>
            <w:pPr>
              <w:jc w:val="center"/>
            </w:pPr>
            <w:r>
              <w:rPr>
                <w:color w:val="000000"/>
                <w:sz w:val="24"/>
                <w:szCs w:val="24"/>
              </w:rPr>
              <w:t>180208</w:t>
            </w:r>
          </w:p>
        </w:tc>
        <w:tc>
          <w:tcPr>
            <w:vAlign w:val="center"/>
          </w:tcPr>
          <w:p>
            <w:pPr>
              <w:jc w:val="center"/>
            </w:pPr>
            <w:r>
              <w:rPr>
                <w:color w:val="000000"/>
                <w:sz w:val="24"/>
                <w:szCs w:val="24"/>
              </w:rPr>
              <w:t>18国开08</w:t>
            </w:r>
          </w:p>
        </w:tc>
        <w:tc>
          <w:tcPr>
            <w:vAlign w:val="center"/>
          </w:tcPr>
          <w:p>
            <w:pPr>
              <w:jc w:val="right"/>
            </w:pPr>
            <w:r>
              <w:rPr>
                <w:color w:val="000000"/>
                <w:sz w:val="24"/>
                <w:szCs w:val="24"/>
              </w:rPr>
              <w:t>500,000</w:t>
            </w:r>
          </w:p>
        </w:tc>
        <w:tc>
          <w:tcPr>
            <w:vAlign w:val="center"/>
          </w:tcPr>
          <w:p>
            <w:pPr>
              <w:jc w:val="right"/>
            </w:pPr>
            <w:r>
              <w:rPr>
                <w:color w:val="000000"/>
                <w:sz w:val="24"/>
                <w:szCs w:val="24"/>
              </w:rPr>
              <w:t>50,335,000.00</w:t>
            </w:r>
          </w:p>
        </w:tc>
        <w:tc>
          <w:tcPr>
            <w:vAlign w:val="center"/>
          </w:tcPr>
          <w:p>
            <w:pPr>
              <w:jc w:val="right"/>
            </w:pPr>
            <w:r>
              <w:rPr>
                <w:color w:val="000000"/>
                <w:sz w:val="24"/>
                <w:szCs w:val="24"/>
              </w:rPr>
              <w:t>0.53</w:t>
            </w:r>
          </w:p>
        </w:tc>
      </w:tr>
      <w:tr>
        <w:tc>
          <w:tcPr>
            <w:vAlign w:val="center"/>
          </w:tcPr>
          <w:p>
            <w:pPr>
              <w:jc w:val="center"/>
            </w:pPr>
            <w:r>
              <w:rPr>
                <w:color w:val="000000"/>
                <w:sz w:val="24"/>
                <w:szCs w:val="24"/>
              </w:rPr>
              <w:t>4</w:t>
            </w:r>
          </w:p>
        </w:tc>
        <w:tc>
          <w:tcPr>
            <w:vAlign w:val="center"/>
          </w:tcPr>
          <w:p>
            <w:pPr>
              <w:jc w:val="center"/>
            </w:pPr>
            <w:r>
              <w:rPr>
                <w:color w:val="000000"/>
                <w:sz w:val="24"/>
                <w:szCs w:val="24"/>
              </w:rPr>
              <w:t>200401</w:t>
            </w:r>
          </w:p>
        </w:tc>
        <w:tc>
          <w:tcPr>
            <w:vAlign w:val="center"/>
          </w:tcPr>
          <w:p>
            <w:pPr>
              <w:jc w:val="center"/>
            </w:pPr>
            <w:r>
              <w:rPr>
                <w:color w:val="000000"/>
                <w:sz w:val="24"/>
                <w:szCs w:val="24"/>
              </w:rPr>
              <w:t>20农发01</w:t>
            </w:r>
          </w:p>
        </w:tc>
        <w:tc>
          <w:tcPr>
            <w:vAlign w:val="center"/>
          </w:tcPr>
          <w:p>
            <w:pPr>
              <w:jc w:val="right"/>
            </w:pPr>
            <w:r>
              <w:rPr>
                <w:color w:val="000000"/>
                <w:sz w:val="24"/>
                <w:szCs w:val="24"/>
              </w:rPr>
              <w:t>400,000</w:t>
            </w:r>
          </w:p>
        </w:tc>
        <w:tc>
          <w:tcPr>
            <w:vAlign w:val="center"/>
          </w:tcPr>
          <w:p>
            <w:pPr>
              <w:jc w:val="right"/>
            </w:pPr>
            <w:r>
              <w:rPr>
                <w:color w:val="000000"/>
                <w:sz w:val="24"/>
                <w:szCs w:val="24"/>
              </w:rPr>
              <w:t>39,964,000.00</w:t>
            </w:r>
          </w:p>
        </w:tc>
        <w:tc>
          <w:tcPr>
            <w:vAlign w:val="center"/>
          </w:tcPr>
          <w:p>
            <w:pPr>
              <w:jc w:val="right"/>
            </w:pPr>
            <w:r>
              <w:rPr>
                <w:color w:val="000000"/>
                <w:sz w:val="24"/>
                <w:szCs w:val="24"/>
              </w:rPr>
              <w:t>0.42</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58,066.83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179,788.34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279,187.10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6,363,553.64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41,147,693.24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68,011.10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48,096,300.25</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066A97" w:rsidR="00066A97" w:rsidRDefault="00066A97"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129"/>
        <w:gridCol w:w="1356"/>
        <w:gridCol w:w="1355"/>
        <w:gridCol w:w="1880"/>
        <w:gridCol w:w="1724"/>
        <w:gridCol w:w="1424"/>
      </w:tblGrid>
      <w:tr w:rsidR="003E62FB" w:rsidRPr="00414345" w:rsidTr="00BC216C">
        <w:trPr>
          <w:jc w:val="center"/>
        </w:trPr>
        <w:tc>
          <w:tcPr>
            <w:tcW w:type="dxa" w:w="1083"/>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302"/>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股票代码</w:t>
            </w:r>
          </w:p>
        </w:tc>
        <w:tc>
          <w:tcPr>
            <w:tcW w:type="dxa" w:w="13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股票名称</w:t>
            </w:r>
          </w:p>
        </w:tc>
        <w:tc>
          <w:tcPr>
            <w:tcW w:type="dxa" w:w="1805"/>
            <w:vAlign w:val="center"/>
          </w:tcPr>
          <w:p w:rsidP="00C15CAC" w:rsidR="003E62FB" w:rsidRDefault="003E62FB" w:rsidRPr="005F1F22">
            <w:pPr>
              <w:spacing w:before="29" w:line="288" w:lineRule="auto"/>
              <w:ind w:left="17"/>
              <w:jc w:val="center"/>
              <w:rPr>
                <w:color w:val="000000"/>
                <w:sz w:val="24"/>
                <w:szCs w:val="24"/>
              </w:rPr>
            </w:pPr>
            <w:r w:rsidRPr="00414345">
              <w:rPr>
                <w:color w:val="000000"/>
                <w:sz w:val="24"/>
                <w:szCs w:val="24"/>
              </w:rPr>
              <w:t>流通受限部分的公允价值</w:t>
            </w:r>
          </w:p>
        </w:tc>
        <w:tc>
          <w:tcPr>
            <w:tcW w:type="dxa" w:w="165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type="dxa" w:w="136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流通受限情况说明</w:t>
            </w:r>
          </w:p>
        </w:tc>
      </w:tr>
      <w:tr>
        <w:tc>
          <w:tcPr>
            <w:vAlign w:val="center"/>
          </w:tcPr>
          <w:p>
            <w:pPr>
              <w:jc w:val="center"/>
            </w:pPr>
            <w:r>
              <w:rPr>
                <w:color w:val="000000"/>
                <w:sz w:val="24"/>
                <w:szCs w:val="24"/>
              </w:rPr>
              <w:t>1</w:t>
            </w:r>
          </w:p>
        </w:tc>
        <w:tc>
          <w:tcPr>
            <w:vAlign w:val="center"/>
          </w:tcPr>
          <w:p>
            <w:pPr>
              <w:jc w:val="center"/>
            </w:pPr>
            <w:r>
              <w:rPr>
                <w:color w:val="000000"/>
                <w:sz w:val="24"/>
                <w:szCs w:val="24"/>
              </w:rPr>
              <w:t>300999</w:t>
            </w:r>
          </w:p>
        </w:tc>
        <w:tc>
          <w:tcPr>
            <w:vAlign w:val="center"/>
          </w:tcPr>
          <w:p>
            <w:pPr>
              <w:jc w:val="center"/>
            </w:pPr>
            <w:r>
              <w:rPr>
                <w:color w:val="000000"/>
                <w:sz w:val="24"/>
                <w:szCs w:val="24"/>
              </w:rPr>
              <w:t>金龙鱼</w:t>
            </w:r>
          </w:p>
        </w:tc>
        <w:tc>
          <w:tcPr>
            <w:vAlign w:val="center"/>
          </w:tcPr>
          <w:p>
            <w:pPr>
              <w:jc w:val="right"/>
            </w:pPr>
            <w:r>
              <w:rPr>
                <w:color w:val="000000"/>
                <w:sz w:val="24"/>
                <w:szCs w:val="24"/>
              </w:rPr>
              <w:t>3,113,092.40</w:t>
            </w:r>
          </w:p>
        </w:tc>
        <w:tc>
          <w:tcPr>
            <w:vAlign w:val="center"/>
          </w:tcPr>
          <w:p>
            <w:pPr>
              <w:jc w:val="right"/>
            </w:pPr>
            <w:r>
              <w:rPr>
                <w:color w:val="000000"/>
                <w:sz w:val="24"/>
                <w:szCs w:val="24"/>
              </w:rPr>
              <w:t>0.03</w:t>
            </w:r>
          </w:p>
        </w:tc>
        <w:tc>
          <w:tcPr>
            <w:vAlign w:val="center"/>
          </w:tcPr>
          <w:p>
            <w:pPr>
              <w:jc w:val="right"/>
            </w:pPr>
            <w:r>
              <w:rPr>
                <w:color w:val="000000"/>
                <w:sz w:val="24"/>
                <w:szCs w:val="24"/>
              </w:rPr>
              <w:t>新股未上市</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4046D7" w:rsidR="004046D7" w:rsidRDefault="004046D7" w:rsidRPr="00575270">
      <w:pPr>
        <w:pStyle w:val="1"/>
        <w:spacing w:after="312" w:afterLines="100" w:before="312" w:beforeLines="100" w:line="360" w:lineRule="auto"/>
        <w:jc w:val="center"/>
        <w:rPr>
          <w:rFonts w:eastAsiaTheme="minorEastAsia"/>
          <w:color w:themeColor="text1" w:val="000000"/>
          <w:kern w:val="0"/>
          <w:sz w:val="24"/>
          <w:szCs w:val="24"/>
        </w:rPr>
      </w:pPr>
      <w:r w:rsidRPr="00575270">
        <w:rPr>
          <w:rFonts w:eastAsiaTheme="minorEastAsia"/>
          <w:color w:themeColor="text1" w:val="000000"/>
          <w:kern w:val="0"/>
          <w:sz w:val="24"/>
          <w:szCs w:val="24"/>
        </w:rPr>
        <w:t>§6</w:t>
      </w:r>
      <w:r w:rsidRPr="00575270">
        <w:rPr>
          <w:rFonts w:eastAsiaTheme="minorEastAsia" w:hint="eastAsia"/>
          <w:color w:themeColor="text1" w:val="000000"/>
          <w:kern w:val="0"/>
          <w:sz w:val="24"/>
          <w:szCs w:val="24"/>
        </w:rPr>
        <w:t xml:space="preserve">  </w:t>
      </w:r>
      <w:r w:rsidRPr="00575270">
        <w:rPr>
          <w:rFonts w:eastAsiaTheme="minorEastAsia" w:hint="eastAsia"/>
          <w:color w:themeColor="text1" w:val="000000"/>
          <w:kern w:val="0"/>
          <w:sz w:val="24"/>
          <w:szCs w:val="24"/>
        </w:rPr>
        <w:t>基金中基金</w:t>
      </w:r>
    </w:p>
    <w:p w:rsidP="004046D7" w:rsidR="004046D7" w:rsidRDefault="004046D7" w:rsidRPr="00575270">
      <w:pPr>
        <w:adjustRightInd w:val="0"/>
        <w:snapToGrid w:val="0"/>
        <w:spacing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1</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报告期末按公允价值占基金资产净值比例大小排序的前十名基金投资明细</w:t>
      </w:r>
    </w:p>
    <w:tbl>
      <w:tblPr>
        <w:tblStyle w:val="af7"/>
        <w:tblW w:type="pct" w:w="5000"/>
        <w:tblLayout w:type="fixed"/>
        <w:tblLook w:firstColumn="1" w:firstRow="1" w:lastColumn="0" w:lastRow="0" w:noHBand="0" w:noVBand="1" w:val="04A0"/>
      </w:tblPr>
      <w:tblGrid>
        <w:gridCol w:w="835"/>
        <w:gridCol w:w="1159"/>
        <w:gridCol w:w="1161"/>
        <w:gridCol w:w="1161"/>
        <w:gridCol w:w="1159"/>
        <w:gridCol w:w="1305"/>
        <w:gridCol w:w="1161"/>
        <w:gridCol w:w="1301"/>
      </w:tblGrid>
      <w:tr w:rsidR="004046D7" w:rsidRPr="00575270" w:rsidTr="00B32CA0">
        <w:tc>
          <w:tcPr>
            <w:tcW w:type="pct" w:w="452"/>
            <w:vAlign w:val="center"/>
          </w:tcPr>
          <w:p w:rsidP="00F8289A" w:rsidR="004046D7" w:rsidRDefault="004046D7" w:rsidRPr="00575270">
            <w:pPr>
              <w:pStyle w:val="Default"/>
              <w:spacing w:line="276" w:lineRule="auto"/>
              <w:jc w:val="center"/>
              <w:rPr>
                <w:rFonts w:ascii="Times New Roman" w:cs="Times New Roman" w:hAnsi="Times New Roman"/>
              </w:rPr>
            </w:pPr>
            <w:r w:rsidRPr="00575270">
              <w:rPr>
                <w:rFonts w:ascii="Times New Roman" w:cs="Times New Roman" w:hAnsi="Times New Roman"/>
              </w:rPr>
              <w:t>序号</w:t>
            </w:r>
            <w:r w:rsidRPr="00575270">
              <w:rPr>
                <w:rFonts w:ascii="Times New Roman" w:cs="Times New Roman" w:eastAsiaTheme="minorEastAsia" w:hAnsi="Times New Roman"/>
                <w:color w:themeColor="text1" w:val="000000"/>
              </w:rPr>
              <w:t/>
            </w:r>
            <w:bookmarkStart w:id="2" w:name="_GoBack"/>
            <w:bookmarkEnd w:id="2"/>
          </w:p>
        </w:tc>
        <w:tc>
          <w:tcPr>
            <w:tcW w:type="pct" w:w="627"/>
            <w:vAlign w:val="center"/>
          </w:tcPr>
          <w:p w:rsidP="00B32CA0" w:rsidR="004046D7" w:rsidRDefault="004046D7" w:rsidRPr="00575270">
            <w:pPr>
              <w:pStyle w:val="Default"/>
              <w:spacing w:line="276" w:lineRule="auto"/>
              <w:jc w:val="center"/>
              <w:rPr>
                <w:rFonts w:ascii="Times New Roman" w:cs="Times New Roman" w:hAnsi="Times New Roman"/>
              </w:rPr>
            </w:pPr>
            <w:r w:rsidRPr="00575270">
              <w:rPr>
                <w:rFonts w:ascii="Times New Roman" w:cs="Times New Roman" w:hAnsi="Times New Roman"/>
              </w:rPr>
              <w:t>基金代码</w:t>
            </w:r>
          </w:p>
        </w:tc>
        <w:tc>
          <w:tcPr>
            <w:tcW w:type="pct" w:w="628"/>
            <w:vAlign w:val="center"/>
          </w:tcPr>
          <w:p w:rsidP="00B32CA0" w:rsidR="004046D7" w:rsidRDefault="004046D7" w:rsidRPr="00575270">
            <w:pPr>
              <w:pStyle w:val="Default"/>
              <w:spacing w:line="276" w:lineRule="auto"/>
              <w:jc w:val="center"/>
              <w:rPr>
                <w:rFonts w:ascii="Times New Roman" w:cs="Times New Roman" w:hAnsi="Times New Roman"/>
              </w:rPr>
            </w:pPr>
            <w:r w:rsidRPr="00575270">
              <w:rPr>
                <w:rFonts w:ascii="Times New Roman" w:cs="Times New Roman" w:hAnsi="Times New Roman"/>
              </w:rPr>
              <w:t>基金名称</w:t>
            </w:r>
          </w:p>
        </w:tc>
        <w:tc>
          <w:tcPr>
            <w:tcW w:type="pct" w:w="628"/>
            <w:vAlign w:val="center"/>
          </w:tcPr>
          <w:p w:rsidP="00B32CA0" w:rsidR="004046D7" w:rsidRDefault="004046D7" w:rsidRPr="00575270">
            <w:pPr>
              <w:pStyle w:val="Default"/>
              <w:spacing w:line="276" w:lineRule="auto"/>
              <w:jc w:val="center"/>
              <w:rPr>
                <w:rFonts w:ascii="Times New Roman" w:cs="Times New Roman" w:hAnsi="Times New Roman"/>
              </w:rPr>
            </w:pPr>
            <w:r w:rsidRPr="00575270">
              <w:rPr>
                <w:rFonts w:ascii="Times New Roman" w:cs="Times New Roman" w:hAnsi="Times New Roman"/>
              </w:rPr>
              <w:t>运作方式</w:t>
            </w:r>
          </w:p>
        </w:tc>
        <w:tc>
          <w:tcPr>
            <w:tcW w:type="pct" w:w="627"/>
            <w:vAlign w:val="center"/>
          </w:tcPr>
          <w:p w:rsidP="00B32CA0" w:rsidR="004046D7" w:rsidRDefault="004046D7" w:rsidRPr="00575270">
            <w:pPr>
              <w:pStyle w:val="Default"/>
              <w:spacing w:line="276" w:lineRule="auto"/>
              <w:jc w:val="center"/>
              <w:rPr>
                <w:rFonts w:ascii="Times New Roman" w:cs="Times New Roman" w:hAnsi="Times New Roman"/>
              </w:rPr>
            </w:pPr>
            <w:r w:rsidRPr="00575270">
              <w:rPr>
                <w:rFonts w:ascii="Times New Roman" w:cs="Times New Roman" w:hAnsi="Times New Roman"/>
              </w:rPr>
              <w:t>持有份额（份）</w:t>
            </w:r>
          </w:p>
        </w:tc>
        <w:tc>
          <w:tcPr>
            <w:tcW w:type="pct" w:w="706"/>
            <w:vAlign w:val="center"/>
          </w:tcPr>
          <w:p w:rsidP="00B32CA0" w:rsidR="004046D7" w:rsidRDefault="004046D7" w:rsidRPr="00575270">
            <w:pPr>
              <w:pStyle w:val="Default"/>
              <w:spacing w:line="276" w:lineRule="auto"/>
              <w:jc w:val="center"/>
              <w:rPr>
                <w:rFonts w:ascii="Times New Roman" w:cs="Times New Roman" w:hAnsi="Times New Roman"/>
              </w:rPr>
            </w:pPr>
            <w:r w:rsidRPr="00575270">
              <w:rPr>
                <w:rFonts w:ascii="Times New Roman" w:cs="Times New Roman" w:hAnsi="Times New Roman"/>
              </w:rPr>
              <w:t>公允价值（元）</w:t>
            </w:r>
          </w:p>
        </w:tc>
        <w:tc>
          <w:tcPr>
            <w:tcW w:type="pct" w:w="628"/>
            <w:vAlign w:val="center"/>
          </w:tcPr>
          <w:p w:rsidP="00B32CA0" w:rsidR="004046D7" w:rsidRDefault="004046D7" w:rsidRPr="00575270">
            <w:pPr>
              <w:pStyle w:val="Default"/>
              <w:spacing w:line="276" w:lineRule="auto"/>
              <w:rPr>
                <w:rFonts w:ascii="Times New Roman" w:cs="Times New Roman" w:hAnsi="Times New Roman"/>
              </w:rPr>
            </w:pPr>
            <w:r w:rsidRPr="00575270">
              <w:rPr>
                <w:rFonts w:ascii="Times New Roman" w:cs="Times New Roman" w:hAnsi="Times New Roman"/>
              </w:rPr>
              <w:t>占基金资产净值比例</w:t>
            </w:r>
            <w:r w:rsidR="004E5CD0">
              <w:rPr>
                <w:rFonts w:ascii="Times New Roman" w:cs="Times New Roman" w:hAnsi="Times New Roman"/>
              </w:rPr>
              <w:t>（</w:t>
            </w:r>
            <w:r w:rsidR="004E5CD0">
              <w:rPr>
                <w:rFonts w:ascii="Times New Roman" w:cs="Times New Roman" w:hAnsi="Times New Roman" w:hint="eastAsia"/>
              </w:rPr>
              <w:t>%</w:t>
            </w:r>
            <w:r w:rsidR="004E5CD0" w:rsidRPr="00575270">
              <w:rPr>
                <w:rFonts w:ascii="Times New Roman" w:cs="Times New Roman" w:hAnsi="Times New Roman"/>
              </w:rPr>
              <w:t>）</w:t>
            </w:r>
          </w:p>
        </w:tc>
        <w:tc>
          <w:tcPr>
            <w:tcW w:type="pct" w:w="704"/>
            <w:vAlign w:val="center"/>
          </w:tcPr>
          <w:p w:rsidP="00B32CA0" w:rsidR="004046D7" w:rsidRDefault="004046D7" w:rsidRPr="00575270">
            <w:pPr>
              <w:pStyle w:val="Default"/>
              <w:spacing w:line="276" w:lineRule="auto"/>
              <w:rPr>
                <w:rFonts w:ascii="Times New Roman" w:cs="Times New Roman" w:hAnsi="Times New Roman"/>
              </w:rPr>
            </w:pPr>
            <w:r w:rsidRPr="00575270">
              <w:rPr>
                <w:rFonts w:ascii="Times New Roman" w:cs="Times New Roman" w:hAnsi="Times New Roman"/>
              </w:rPr>
              <w:t>是否属于基金管理人及管理人关联方所管理的基金</w:t>
            </w:r>
          </w:p>
        </w:tc>
      </w:tr>
      <w:tr>
        <w:tc>
          <w:tcPr>
            <w:vAlign w:val="center"/>
          </w:tcPr>
          <w:p>
            <w:pPr>
              <w:jc w:val="center"/>
            </w:pPr>
            <w:r>
              <w:rPr>
                <w:sz w:val="24"/>
                <w:szCs w:val="24"/>
              </w:rPr>
              <w:t>1</w:t>
            </w:r>
          </w:p>
        </w:tc>
        <w:tc>
          <w:tcPr>
            <w:vAlign w:val="center"/>
          </w:tcPr>
          <w:p>
            <w:pPr>
              <w:jc w:val="center"/>
            </w:pPr>
            <w:r>
              <w:rPr>
                <w:sz w:val="24"/>
                <w:szCs w:val="24"/>
              </w:rPr>
              <w:t>519718</w:t>
            </w:r>
          </w:p>
        </w:tc>
        <w:tc>
          <w:tcPr>
            <w:vAlign w:val="center"/>
          </w:tcPr>
          <w:p>
            <w:pPr>
              <w:jc w:val="center"/>
            </w:pPr>
            <w:r>
              <w:rPr>
                <w:sz w:val="24"/>
                <w:szCs w:val="24"/>
              </w:rPr>
              <w:t>交银纯债债券发起A/B</w:t>
            </w:r>
          </w:p>
        </w:tc>
        <w:tc>
          <w:tcPr>
            <w:vAlign w:val="center"/>
          </w:tcPr>
          <w:p>
            <w:pPr>
              <w:jc w:val="center"/>
            </w:pPr>
            <w:r>
              <w:rPr>
                <w:sz w:val="24"/>
                <w:szCs w:val="24"/>
              </w:rPr>
              <w:t>契约型开放式</w:t>
            </w:r>
          </w:p>
        </w:tc>
        <w:tc>
          <w:tcPr>
            <w:vAlign w:val="center"/>
          </w:tcPr>
          <w:p>
            <w:pPr>
              <w:jc w:val="center"/>
            </w:pPr>
            <w:r>
              <w:rPr>
                <w:sz w:val="24"/>
                <w:szCs w:val="24"/>
              </w:rPr>
              <w:t>681,278,218.39</w:t>
            </w:r>
          </w:p>
        </w:tc>
        <w:tc>
          <w:tcPr>
            <w:vAlign w:val="center"/>
          </w:tcPr>
          <w:p>
            <w:pPr>
              <w:jc w:val="center"/>
            </w:pPr>
            <w:r>
              <w:rPr>
                <w:sz w:val="24"/>
                <w:szCs w:val="24"/>
              </w:rPr>
              <w:t>725,970,069.52</w:t>
            </w:r>
          </w:p>
        </w:tc>
        <w:tc>
          <w:tcPr>
            <w:vAlign w:val="center"/>
          </w:tcPr>
          <w:p>
            <w:pPr>
              <w:jc w:val="center"/>
            </w:pPr>
            <w:r>
              <w:rPr>
                <w:sz w:val="24"/>
                <w:szCs w:val="24"/>
              </w:rPr>
              <w:t>7.66</w:t>
            </w:r>
          </w:p>
        </w:tc>
        <w:tc>
          <w:tcPr>
            <w:vAlign w:val="center"/>
          </w:tcPr>
          <w:p>
            <w:pPr>
              <w:jc w:val="center"/>
            </w:pPr>
            <w:r>
              <w:rPr>
                <w:sz w:val="24"/>
                <w:szCs w:val="24"/>
              </w:rPr>
              <w:t>是</w:t>
            </w:r>
          </w:p>
        </w:tc>
      </w:tr>
      <w:tr>
        <w:tc>
          <w:tcPr>
            <w:vAlign w:val="center"/>
          </w:tcPr>
          <w:p>
            <w:pPr>
              <w:jc w:val="center"/>
            </w:pPr>
            <w:r>
              <w:rPr>
                <w:sz w:val="24"/>
                <w:szCs w:val="24"/>
              </w:rPr>
              <w:t>2</w:t>
            </w:r>
          </w:p>
        </w:tc>
        <w:tc>
          <w:tcPr>
            <w:vAlign w:val="center"/>
          </w:tcPr>
          <w:p>
            <w:pPr>
              <w:jc w:val="center"/>
            </w:pPr>
            <w:r>
              <w:rPr>
                <w:sz w:val="24"/>
                <w:szCs w:val="24"/>
              </w:rPr>
              <w:t>164902</w:t>
            </w:r>
          </w:p>
        </w:tc>
        <w:tc>
          <w:tcPr>
            <w:vAlign w:val="center"/>
          </w:tcPr>
          <w:p>
            <w:pPr>
              <w:jc w:val="center"/>
            </w:pPr>
            <w:r>
              <w:rPr>
                <w:sz w:val="24"/>
                <w:szCs w:val="24"/>
              </w:rPr>
              <w:t>交银信用添利债券(LOF)</w:t>
            </w:r>
          </w:p>
        </w:tc>
        <w:tc>
          <w:tcPr>
            <w:vAlign w:val="center"/>
          </w:tcPr>
          <w:p>
            <w:pPr>
              <w:jc w:val="center"/>
            </w:pPr>
            <w:r>
              <w:rPr>
                <w:sz w:val="24"/>
                <w:szCs w:val="24"/>
              </w:rPr>
              <w:t>契约型开放式（LOF）</w:t>
            </w:r>
          </w:p>
        </w:tc>
        <w:tc>
          <w:tcPr>
            <w:vAlign w:val="center"/>
          </w:tcPr>
          <w:p>
            <w:pPr>
              <w:jc w:val="center"/>
            </w:pPr>
            <w:r>
              <w:rPr>
                <w:sz w:val="24"/>
                <w:szCs w:val="24"/>
              </w:rPr>
              <w:t>475,033,090.89</w:t>
            </w:r>
          </w:p>
        </w:tc>
        <w:tc>
          <w:tcPr>
            <w:vAlign w:val="center"/>
          </w:tcPr>
          <w:p>
            <w:pPr>
              <w:jc w:val="center"/>
            </w:pPr>
            <w:r>
              <w:rPr>
                <w:sz w:val="24"/>
                <w:szCs w:val="24"/>
              </w:rPr>
              <w:t>554,221,107.14</w:t>
            </w:r>
          </w:p>
        </w:tc>
        <w:tc>
          <w:tcPr>
            <w:vAlign w:val="center"/>
          </w:tcPr>
          <w:p>
            <w:pPr>
              <w:jc w:val="center"/>
            </w:pPr>
            <w:r>
              <w:rPr>
                <w:sz w:val="24"/>
                <w:szCs w:val="24"/>
              </w:rPr>
              <w:t>5.85</w:t>
            </w:r>
          </w:p>
        </w:tc>
        <w:tc>
          <w:tcPr>
            <w:vAlign w:val="center"/>
          </w:tcPr>
          <w:p>
            <w:pPr>
              <w:jc w:val="center"/>
            </w:pPr>
            <w:r>
              <w:rPr>
                <w:sz w:val="24"/>
                <w:szCs w:val="24"/>
              </w:rPr>
              <w:t>是</w:t>
            </w:r>
          </w:p>
        </w:tc>
      </w:tr>
      <w:tr>
        <w:tc>
          <w:tcPr>
            <w:vAlign w:val="center"/>
          </w:tcPr>
          <w:p>
            <w:pPr>
              <w:jc w:val="center"/>
            </w:pPr>
            <w:r>
              <w:rPr>
                <w:sz w:val="24"/>
                <w:szCs w:val="24"/>
              </w:rPr>
              <w:t>3</w:t>
            </w:r>
          </w:p>
        </w:tc>
        <w:tc>
          <w:tcPr>
            <w:vAlign w:val="center"/>
          </w:tcPr>
          <w:p>
            <w:pPr>
              <w:jc w:val="center"/>
            </w:pPr>
            <w:r>
              <w:rPr>
                <w:sz w:val="24"/>
                <w:szCs w:val="24"/>
              </w:rPr>
              <w:t>519062</w:t>
            </w:r>
          </w:p>
        </w:tc>
        <w:tc>
          <w:tcPr>
            <w:vAlign w:val="center"/>
          </w:tcPr>
          <w:p>
            <w:pPr>
              <w:jc w:val="center"/>
            </w:pPr>
            <w:r>
              <w:rPr>
                <w:sz w:val="24"/>
                <w:szCs w:val="24"/>
              </w:rPr>
              <w:t>海富通阿尔法对冲混合A</w:t>
            </w:r>
          </w:p>
        </w:tc>
        <w:tc>
          <w:tcPr>
            <w:vAlign w:val="center"/>
          </w:tcPr>
          <w:p>
            <w:pPr>
              <w:jc w:val="center"/>
            </w:pPr>
            <w:r>
              <w:rPr>
                <w:sz w:val="24"/>
                <w:szCs w:val="24"/>
              </w:rPr>
              <w:t>契约型开放式</w:t>
            </w:r>
          </w:p>
        </w:tc>
        <w:tc>
          <w:tcPr>
            <w:vAlign w:val="center"/>
          </w:tcPr>
          <w:p>
            <w:pPr>
              <w:jc w:val="center"/>
            </w:pPr>
            <w:r>
              <w:rPr>
                <w:sz w:val="24"/>
                <w:szCs w:val="24"/>
              </w:rPr>
              <w:t>454,426,986.94</w:t>
            </w:r>
          </w:p>
        </w:tc>
        <w:tc>
          <w:tcPr>
            <w:vAlign w:val="center"/>
          </w:tcPr>
          <w:p>
            <w:pPr>
              <w:jc w:val="center"/>
            </w:pPr>
            <w:r>
              <w:rPr>
                <w:sz w:val="24"/>
                <w:szCs w:val="24"/>
              </w:rPr>
              <w:t>528,044,158.82</w:t>
            </w:r>
          </w:p>
        </w:tc>
        <w:tc>
          <w:tcPr>
            <w:vAlign w:val="center"/>
          </w:tcPr>
          <w:p>
            <w:pPr>
              <w:jc w:val="center"/>
            </w:pPr>
            <w:r>
              <w:rPr>
                <w:sz w:val="24"/>
                <w:szCs w:val="24"/>
              </w:rPr>
              <w:t>5.57</w:t>
            </w:r>
          </w:p>
        </w:tc>
        <w:tc>
          <w:tcPr>
            <w:vAlign w:val="center"/>
          </w:tcPr>
          <w:p>
            <w:pPr>
              <w:jc w:val="center"/>
            </w:pPr>
            <w:r>
              <w:rPr>
                <w:sz w:val="24"/>
                <w:szCs w:val="24"/>
              </w:rPr>
              <w:t>否</w:t>
            </w:r>
          </w:p>
        </w:tc>
      </w:tr>
      <w:tr>
        <w:tc>
          <w:tcPr>
            <w:vAlign w:val="center"/>
          </w:tcPr>
          <w:p>
            <w:pPr>
              <w:jc w:val="center"/>
            </w:pPr>
            <w:r>
              <w:rPr>
                <w:sz w:val="24"/>
                <w:szCs w:val="24"/>
              </w:rPr>
              <w:t>4</w:t>
            </w:r>
          </w:p>
        </w:tc>
        <w:tc>
          <w:tcPr>
            <w:vAlign w:val="center"/>
          </w:tcPr>
          <w:p>
            <w:pPr>
              <w:jc w:val="center"/>
            </w:pPr>
            <w:r>
              <w:rPr>
                <w:sz w:val="24"/>
                <w:szCs w:val="24"/>
              </w:rPr>
              <w:t>519723</w:t>
            </w:r>
          </w:p>
        </w:tc>
        <w:tc>
          <w:tcPr>
            <w:vAlign w:val="center"/>
          </w:tcPr>
          <w:p>
            <w:pPr>
              <w:jc w:val="center"/>
            </w:pPr>
            <w:r>
              <w:rPr>
                <w:sz w:val="24"/>
                <w:szCs w:val="24"/>
              </w:rPr>
              <w:t>交银双轮动债券A</w:t>
            </w:r>
          </w:p>
        </w:tc>
        <w:tc>
          <w:tcPr>
            <w:vAlign w:val="center"/>
          </w:tcPr>
          <w:p>
            <w:pPr>
              <w:jc w:val="center"/>
            </w:pPr>
            <w:r>
              <w:rPr>
                <w:sz w:val="24"/>
                <w:szCs w:val="24"/>
              </w:rPr>
              <w:t>契约型开放式</w:t>
            </w:r>
          </w:p>
        </w:tc>
        <w:tc>
          <w:tcPr>
            <w:vAlign w:val="center"/>
          </w:tcPr>
          <w:p>
            <w:pPr>
              <w:jc w:val="center"/>
            </w:pPr>
            <w:r>
              <w:rPr>
                <w:sz w:val="24"/>
                <w:szCs w:val="24"/>
              </w:rPr>
              <w:t>421,433,584.66</w:t>
            </w:r>
          </w:p>
        </w:tc>
        <w:tc>
          <w:tcPr>
            <w:vAlign w:val="center"/>
          </w:tcPr>
          <w:p>
            <w:pPr>
              <w:jc w:val="center"/>
            </w:pPr>
            <w:r>
              <w:rPr>
                <w:sz w:val="24"/>
                <w:szCs w:val="24"/>
              </w:rPr>
              <w:t>447,983,900.49</w:t>
            </w:r>
          </w:p>
        </w:tc>
        <w:tc>
          <w:tcPr>
            <w:vAlign w:val="center"/>
          </w:tcPr>
          <w:p>
            <w:pPr>
              <w:jc w:val="center"/>
            </w:pPr>
            <w:r>
              <w:rPr>
                <w:sz w:val="24"/>
                <w:szCs w:val="24"/>
              </w:rPr>
              <w:t>4.73</w:t>
            </w:r>
          </w:p>
        </w:tc>
        <w:tc>
          <w:tcPr>
            <w:vAlign w:val="center"/>
          </w:tcPr>
          <w:p>
            <w:pPr>
              <w:jc w:val="center"/>
            </w:pPr>
            <w:r>
              <w:rPr>
                <w:sz w:val="24"/>
                <w:szCs w:val="24"/>
              </w:rPr>
              <w:t>是</w:t>
            </w:r>
          </w:p>
        </w:tc>
      </w:tr>
      <w:tr>
        <w:tc>
          <w:tcPr>
            <w:vAlign w:val="center"/>
          </w:tcPr>
          <w:p>
            <w:pPr>
              <w:jc w:val="center"/>
            </w:pPr>
            <w:r>
              <w:rPr>
                <w:sz w:val="24"/>
                <w:szCs w:val="24"/>
              </w:rPr>
              <w:t>5</w:t>
            </w:r>
          </w:p>
        </w:tc>
        <w:tc>
          <w:tcPr>
            <w:vAlign w:val="center"/>
          </w:tcPr>
          <w:p>
            <w:pPr>
              <w:jc w:val="center"/>
            </w:pPr>
            <w:r>
              <w:rPr>
                <w:sz w:val="24"/>
                <w:szCs w:val="24"/>
              </w:rPr>
              <w:t>001963</w:t>
            </w:r>
          </w:p>
        </w:tc>
        <w:tc>
          <w:tcPr>
            <w:vAlign w:val="center"/>
          </w:tcPr>
          <w:p>
            <w:pPr>
              <w:jc w:val="center"/>
            </w:pPr>
            <w:r>
              <w:rPr>
                <w:sz w:val="24"/>
                <w:szCs w:val="24"/>
              </w:rPr>
              <w:t>中欧天禧债券</w:t>
            </w:r>
          </w:p>
        </w:tc>
        <w:tc>
          <w:tcPr>
            <w:vAlign w:val="center"/>
          </w:tcPr>
          <w:p>
            <w:pPr>
              <w:jc w:val="center"/>
            </w:pPr>
            <w:r>
              <w:rPr>
                <w:sz w:val="24"/>
                <w:szCs w:val="24"/>
              </w:rPr>
              <w:t>契约型开放式</w:t>
            </w:r>
          </w:p>
        </w:tc>
        <w:tc>
          <w:tcPr>
            <w:vAlign w:val="center"/>
          </w:tcPr>
          <w:p>
            <w:pPr>
              <w:jc w:val="center"/>
            </w:pPr>
            <w:r>
              <w:rPr>
                <w:sz w:val="24"/>
                <w:szCs w:val="24"/>
              </w:rPr>
              <w:t>346,528,946.77</w:t>
            </w:r>
          </w:p>
        </w:tc>
        <w:tc>
          <w:tcPr>
            <w:vAlign w:val="center"/>
          </w:tcPr>
          <w:p>
            <w:pPr>
              <w:jc w:val="center"/>
            </w:pPr>
            <w:r>
              <w:rPr>
                <w:sz w:val="24"/>
                <w:szCs w:val="24"/>
              </w:rPr>
              <w:t>401,315,173.25</w:t>
            </w:r>
          </w:p>
        </w:tc>
        <w:tc>
          <w:tcPr>
            <w:vAlign w:val="center"/>
          </w:tcPr>
          <w:p>
            <w:pPr>
              <w:jc w:val="center"/>
            </w:pPr>
            <w:r>
              <w:rPr>
                <w:sz w:val="24"/>
                <w:szCs w:val="24"/>
              </w:rPr>
              <w:t>4.23</w:t>
            </w:r>
          </w:p>
        </w:tc>
        <w:tc>
          <w:tcPr>
            <w:vAlign w:val="center"/>
          </w:tcPr>
          <w:p>
            <w:pPr>
              <w:jc w:val="center"/>
            </w:pPr>
            <w:r>
              <w:rPr>
                <w:sz w:val="24"/>
                <w:szCs w:val="24"/>
              </w:rPr>
              <w:t>否</w:t>
            </w:r>
          </w:p>
        </w:tc>
      </w:tr>
      <w:tr>
        <w:tc>
          <w:tcPr>
            <w:vAlign w:val="center"/>
          </w:tcPr>
          <w:p>
            <w:pPr>
              <w:jc w:val="center"/>
            </w:pPr>
            <w:r>
              <w:rPr>
                <w:sz w:val="24"/>
                <w:szCs w:val="24"/>
              </w:rPr>
              <w:t>6</w:t>
            </w:r>
          </w:p>
        </w:tc>
        <w:tc>
          <w:tcPr>
            <w:vAlign w:val="center"/>
          </w:tcPr>
          <w:p>
            <w:pPr>
              <w:jc w:val="center"/>
            </w:pPr>
            <w:r>
              <w:rPr>
                <w:sz w:val="24"/>
                <w:szCs w:val="24"/>
              </w:rPr>
              <w:t>519783</w:t>
            </w:r>
          </w:p>
        </w:tc>
        <w:tc>
          <w:tcPr>
            <w:vAlign w:val="center"/>
          </w:tcPr>
          <w:p>
            <w:pPr>
              <w:jc w:val="center"/>
            </w:pPr>
            <w:r>
              <w:rPr>
                <w:sz w:val="24"/>
                <w:szCs w:val="24"/>
              </w:rPr>
              <w:t>交银裕隆纯债债券C</w:t>
            </w:r>
          </w:p>
        </w:tc>
        <w:tc>
          <w:tcPr>
            <w:vAlign w:val="center"/>
          </w:tcPr>
          <w:p>
            <w:pPr>
              <w:jc w:val="center"/>
            </w:pPr>
            <w:r>
              <w:rPr>
                <w:sz w:val="24"/>
                <w:szCs w:val="24"/>
              </w:rPr>
              <w:t>契约型开放式</w:t>
            </w:r>
          </w:p>
        </w:tc>
        <w:tc>
          <w:tcPr>
            <w:vAlign w:val="center"/>
          </w:tcPr>
          <w:p>
            <w:pPr>
              <w:jc w:val="center"/>
            </w:pPr>
            <w:r>
              <w:rPr>
                <w:sz w:val="24"/>
                <w:szCs w:val="24"/>
              </w:rPr>
              <w:t>236,204,875.34</w:t>
            </w:r>
          </w:p>
        </w:tc>
        <w:tc>
          <w:tcPr>
            <w:vAlign w:val="center"/>
          </w:tcPr>
          <w:p>
            <w:pPr>
              <w:jc w:val="center"/>
            </w:pPr>
            <w:r>
              <w:rPr>
                <w:sz w:val="24"/>
                <w:szCs w:val="24"/>
              </w:rPr>
              <w:t>283,469,470.90</w:t>
            </w:r>
          </w:p>
        </w:tc>
        <w:tc>
          <w:tcPr>
            <w:vAlign w:val="center"/>
          </w:tcPr>
          <w:p>
            <w:pPr>
              <w:jc w:val="center"/>
            </w:pPr>
            <w:r>
              <w:rPr>
                <w:sz w:val="24"/>
                <w:szCs w:val="24"/>
              </w:rPr>
              <w:t>2.99</w:t>
            </w:r>
          </w:p>
        </w:tc>
        <w:tc>
          <w:tcPr>
            <w:vAlign w:val="center"/>
          </w:tcPr>
          <w:p>
            <w:pPr>
              <w:jc w:val="center"/>
            </w:pPr>
            <w:r>
              <w:rPr>
                <w:sz w:val="24"/>
                <w:szCs w:val="24"/>
              </w:rPr>
              <w:t>是</w:t>
            </w:r>
          </w:p>
        </w:tc>
      </w:tr>
      <w:tr>
        <w:tc>
          <w:tcPr>
            <w:vAlign w:val="center"/>
          </w:tcPr>
          <w:p>
            <w:pPr>
              <w:jc w:val="center"/>
            </w:pPr>
            <w:r>
              <w:rPr>
                <w:sz w:val="24"/>
                <w:szCs w:val="24"/>
              </w:rPr>
              <w:t>7</w:t>
            </w:r>
          </w:p>
        </w:tc>
        <w:tc>
          <w:tcPr>
            <w:vAlign w:val="center"/>
          </w:tcPr>
          <w:p>
            <w:pPr>
              <w:jc w:val="center"/>
            </w:pPr>
            <w:r>
              <w:rPr>
                <w:sz w:val="24"/>
                <w:szCs w:val="24"/>
              </w:rPr>
              <w:t>110037</w:t>
            </w:r>
          </w:p>
        </w:tc>
        <w:tc>
          <w:tcPr>
            <w:vAlign w:val="center"/>
          </w:tcPr>
          <w:p>
            <w:pPr>
              <w:jc w:val="center"/>
            </w:pPr>
            <w:r>
              <w:rPr>
                <w:sz w:val="24"/>
                <w:szCs w:val="24"/>
              </w:rPr>
              <w:t>易方达纯债债券A</w:t>
            </w:r>
          </w:p>
        </w:tc>
        <w:tc>
          <w:tcPr>
            <w:vAlign w:val="center"/>
          </w:tcPr>
          <w:p>
            <w:pPr>
              <w:jc w:val="center"/>
            </w:pPr>
            <w:r>
              <w:rPr>
                <w:sz w:val="24"/>
                <w:szCs w:val="24"/>
              </w:rPr>
              <w:t>契约型开放式</w:t>
            </w:r>
          </w:p>
        </w:tc>
        <w:tc>
          <w:tcPr>
            <w:vAlign w:val="center"/>
          </w:tcPr>
          <w:p>
            <w:pPr>
              <w:jc w:val="center"/>
            </w:pPr>
            <w:r>
              <w:rPr>
                <w:sz w:val="24"/>
                <w:szCs w:val="24"/>
              </w:rPr>
              <w:t>246,510,293.71</w:t>
            </w:r>
          </w:p>
        </w:tc>
        <w:tc>
          <w:tcPr>
            <w:vAlign w:val="center"/>
          </w:tcPr>
          <w:p>
            <w:pPr>
              <w:jc w:val="center"/>
            </w:pPr>
            <w:r>
              <w:rPr>
                <w:sz w:val="24"/>
                <w:szCs w:val="24"/>
              </w:rPr>
              <w:t>270,668,302.49</w:t>
            </w:r>
          </w:p>
        </w:tc>
        <w:tc>
          <w:tcPr>
            <w:vAlign w:val="center"/>
          </w:tcPr>
          <w:p>
            <w:pPr>
              <w:jc w:val="center"/>
            </w:pPr>
            <w:r>
              <w:rPr>
                <w:sz w:val="24"/>
                <w:szCs w:val="24"/>
              </w:rPr>
              <w:t>2.86</w:t>
            </w:r>
          </w:p>
        </w:tc>
        <w:tc>
          <w:tcPr>
            <w:vAlign w:val="center"/>
          </w:tcPr>
          <w:p>
            <w:pPr>
              <w:jc w:val="center"/>
            </w:pPr>
            <w:r>
              <w:rPr>
                <w:sz w:val="24"/>
                <w:szCs w:val="24"/>
              </w:rPr>
              <w:t>否</w:t>
            </w:r>
          </w:p>
        </w:tc>
      </w:tr>
      <w:tr>
        <w:tc>
          <w:tcPr>
            <w:vAlign w:val="center"/>
          </w:tcPr>
          <w:p>
            <w:pPr>
              <w:jc w:val="center"/>
            </w:pPr>
            <w:r>
              <w:rPr>
                <w:sz w:val="24"/>
                <w:szCs w:val="24"/>
              </w:rPr>
              <w:t>8</w:t>
            </w:r>
          </w:p>
        </w:tc>
        <w:tc>
          <w:tcPr>
            <w:vAlign w:val="center"/>
          </w:tcPr>
          <w:p>
            <w:pPr>
              <w:jc w:val="center"/>
            </w:pPr>
            <w:r>
              <w:rPr>
                <w:sz w:val="24"/>
                <w:szCs w:val="24"/>
              </w:rPr>
              <w:t>000191</w:t>
            </w:r>
          </w:p>
        </w:tc>
        <w:tc>
          <w:tcPr>
            <w:vAlign w:val="center"/>
          </w:tcPr>
          <w:p>
            <w:pPr>
              <w:jc w:val="center"/>
            </w:pPr>
            <w:r>
              <w:rPr>
                <w:sz w:val="24"/>
                <w:szCs w:val="24"/>
              </w:rPr>
              <w:t>富国信用债债券A</w:t>
            </w:r>
          </w:p>
        </w:tc>
        <w:tc>
          <w:tcPr>
            <w:vAlign w:val="center"/>
          </w:tcPr>
          <w:p>
            <w:pPr>
              <w:jc w:val="center"/>
            </w:pPr>
            <w:r>
              <w:rPr>
                <w:sz w:val="24"/>
                <w:szCs w:val="24"/>
              </w:rPr>
              <w:t>契约型开放式</w:t>
            </w:r>
          </w:p>
        </w:tc>
        <w:tc>
          <w:tcPr>
            <w:vAlign w:val="center"/>
          </w:tcPr>
          <w:p>
            <w:pPr>
              <w:jc w:val="center"/>
            </w:pPr>
            <w:r>
              <w:rPr>
                <w:sz w:val="24"/>
                <w:szCs w:val="24"/>
              </w:rPr>
              <w:t>199,531,991.39</w:t>
            </w:r>
          </w:p>
        </w:tc>
        <w:tc>
          <w:tcPr>
            <w:vAlign w:val="center"/>
          </w:tcPr>
          <w:p>
            <w:pPr>
              <w:jc w:val="center"/>
            </w:pPr>
            <w:r>
              <w:rPr>
                <w:sz w:val="24"/>
                <w:szCs w:val="24"/>
              </w:rPr>
              <w:t>221,061,493.26</w:t>
            </w:r>
          </w:p>
        </w:tc>
        <w:tc>
          <w:tcPr>
            <w:vAlign w:val="center"/>
          </w:tcPr>
          <w:p>
            <w:pPr>
              <w:jc w:val="center"/>
            </w:pPr>
            <w:r>
              <w:rPr>
                <w:sz w:val="24"/>
                <w:szCs w:val="24"/>
              </w:rPr>
              <w:t>2.33</w:t>
            </w:r>
          </w:p>
        </w:tc>
        <w:tc>
          <w:tcPr>
            <w:vAlign w:val="center"/>
          </w:tcPr>
          <w:p>
            <w:pPr>
              <w:jc w:val="center"/>
            </w:pPr>
            <w:r>
              <w:rPr>
                <w:sz w:val="24"/>
                <w:szCs w:val="24"/>
              </w:rPr>
              <w:t>否</w:t>
            </w:r>
          </w:p>
        </w:tc>
      </w:tr>
      <w:tr>
        <w:tc>
          <w:tcPr>
            <w:vAlign w:val="center"/>
          </w:tcPr>
          <w:p>
            <w:pPr>
              <w:jc w:val="center"/>
            </w:pPr>
            <w:r>
              <w:rPr>
                <w:sz w:val="24"/>
                <w:szCs w:val="24"/>
              </w:rPr>
              <w:t>9</w:t>
            </w:r>
          </w:p>
        </w:tc>
        <w:tc>
          <w:tcPr>
            <w:vAlign w:val="center"/>
          </w:tcPr>
          <w:p>
            <w:pPr>
              <w:jc w:val="center"/>
            </w:pPr>
            <w:r>
              <w:rPr>
                <w:sz w:val="24"/>
                <w:szCs w:val="24"/>
              </w:rPr>
              <w:t>003949</w:t>
            </w:r>
          </w:p>
        </w:tc>
        <w:tc>
          <w:tcPr>
            <w:vAlign w:val="center"/>
          </w:tcPr>
          <w:p>
            <w:pPr>
              <w:jc w:val="center"/>
            </w:pPr>
            <w:r>
              <w:rPr>
                <w:sz w:val="24"/>
                <w:szCs w:val="24"/>
              </w:rPr>
              <w:t>兴全稳泰债券A</w:t>
            </w:r>
          </w:p>
        </w:tc>
        <w:tc>
          <w:tcPr>
            <w:vAlign w:val="center"/>
          </w:tcPr>
          <w:p>
            <w:pPr>
              <w:jc w:val="center"/>
            </w:pPr>
            <w:r>
              <w:rPr>
                <w:sz w:val="24"/>
                <w:szCs w:val="24"/>
              </w:rPr>
              <w:t>契约型开放式</w:t>
            </w:r>
          </w:p>
        </w:tc>
        <w:tc>
          <w:tcPr>
            <w:vAlign w:val="center"/>
          </w:tcPr>
          <w:p>
            <w:pPr>
              <w:jc w:val="center"/>
            </w:pPr>
            <w:r>
              <w:rPr>
                <w:sz w:val="24"/>
                <w:szCs w:val="24"/>
              </w:rPr>
              <w:t>194,843,912.15</w:t>
            </w:r>
          </w:p>
        </w:tc>
        <w:tc>
          <w:tcPr>
            <w:vAlign w:val="center"/>
          </w:tcPr>
          <w:p>
            <w:pPr>
              <w:jc w:val="center"/>
            </w:pPr>
            <w:r>
              <w:rPr>
                <w:sz w:val="24"/>
                <w:szCs w:val="24"/>
              </w:rPr>
              <w:t>201,332,214.42</w:t>
            </w:r>
          </w:p>
        </w:tc>
        <w:tc>
          <w:tcPr>
            <w:vAlign w:val="center"/>
          </w:tcPr>
          <w:p>
            <w:pPr>
              <w:jc w:val="center"/>
            </w:pPr>
            <w:r>
              <w:rPr>
                <w:sz w:val="24"/>
                <w:szCs w:val="24"/>
              </w:rPr>
              <w:t>2.12</w:t>
            </w:r>
          </w:p>
        </w:tc>
        <w:tc>
          <w:tcPr>
            <w:vAlign w:val="center"/>
          </w:tcPr>
          <w:p>
            <w:pPr>
              <w:jc w:val="center"/>
            </w:pPr>
            <w:r>
              <w:rPr>
                <w:sz w:val="24"/>
                <w:szCs w:val="24"/>
              </w:rPr>
              <w:t>否</w:t>
            </w:r>
          </w:p>
        </w:tc>
      </w:tr>
      <w:tr>
        <w:tc>
          <w:tcPr>
            <w:vAlign w:val="center"/>
          </w:tcPr>
          <w:p>
            <w:pPr>
              <w:jc w:val="center"/>
            </w:pPr>
            <w:r>
              <w:rPr>
                <w:sz w:val="24"/>
                <w:szCs w:val="24"/>
              </w:rPr>
              <w:t>10</w:t>
            </w:r>
          </w:p>
        </w:tc>
        <w:tc>
          <w:tcPr>
            <w:vAlign w:val="center"/>
          </w:tcPr>
          <w:p>
            <w:pPr>
              <w:jc w:val="center"/>
            </w:pPr>
            <w:r>
              <w:rPr>
                <w:sz w:val="24"/>
                <w:szCs w:val="24"/>
              </w:rPr>
              <w:t>000305</w:t>
            </w:r>
          </w:p>
        </w:tc>
        <w:tc>
          <w:tcPr>
            <w:vAlign w:val="center"/>
          </w:tcPr>
          <w:p>
            <w:pPr>
              <w:jc w:val="center"/>
            </w:pPr>
            <w:r>
              <w:rPr>
                <w:sz w:val="24"/>
                <w:szCs w:val="24"/>
              </w:rPr>
              <w:t>中银中高等级债券A</w:t>
            </w:r>
          </w:p>
        </w:tc>
        <w:tc>
          <w:tcPr>
            <w:vAlign w:val="center"/>
          </w:tcPr>
          <w:p>
            <w:pPr>
              <w:jc w:val="center"/>
            </w:pPr>
            <w:r>
              <w:rPr>
                <w:sz w:val="24"/>
                <w:szCs w:val="24"/>
              </w:rPr>
              <w:t>契约型开放式</w:t>
            </w:r>
          </w:p>
        </w:tc>
        <w:tc>
          <w:tcPr>
            <w:vAlign w:val="center"/>
          </w:tcPr>
          <w:p>
            <w:pPr>
              <w:jc w:val="center"/>
            </w:pPr>
            <w:r>
              <w:rPr>
                <w:sz w:val="24"/>
                <w:szCs w:val="24"/>
              </w:rPr>
              <w:t>191,936,837.04</w:t>
            </w:r>
          </w:p>
        </w:tc>
        <w:tc>
          <w:tcPr>
            <w:vAlign w:val="center"/>
          </w:tcPr>
          <w:p>
            <w:pPr>
              <w:jc w:val="center"/>
            </w:pPr>
            <w:r>
              <w:rPr>
                <w:sz w:val="24"/>
                <w:szCs w:val="24"/>
              </w:rPr>
              <w:t>200,765,931.54</w:t>
            </w:r>
          </w:p>
        </w:tc>
        <w:tc>
          <w:tcPr>
            <w:vAlign w:val="center"/>
          </w:tcPr>
          <w:p>
            <w:pPr>
              <w:jc w:val="center"/>
            </w:pPr>
            <w:r>
              <w:rPr>
                <w:sz w:val="24"/>
                <w:szCs w:val="24"/>
              </w:rPr>
              <w:t>2.12</w:t>
            </w:r>
          </w:p>
        </w:tc>
        <w:tc>
          <w:tcPr>
            <w:vAlign w:val="center"/>
          </w:tcPr>
          <w:p>
            <w:pPr>
              <w:jc w:val="center"/>
            </w:pPr>
            <w:r>
              <w:rPr>
                <w:sz w:val="24"/>
                <w:szCs w:val="24"/>
              </w:rPr>
              <w:t>否</w:t>
            </w:r>
          </w:p>
        </w:tc>
      </w:tr>
    </w:tbl>
    <w:p w:rsidP="004046D7" w:rsidR="00484942" w:rsidRDefault="00484942" w:rsidRPr="00575270">
      <w:pPr>
        <w:autoSpaceDE w:val="0"/>
        <w:autoSpaceDN w:val="0"/>
        <w:adjustRightInd w:val="0"/>
        <w:spacing w:line="360" w:lineRule="auto"/>
        <w:ind w:firstLine="480" w:firstLineChars="200"/>
        <w:jc w:val="left"/>
        <w:rPr>
          <w:rFonts w:eastAsiaTheme="minorEastAsia"/>
          <w:color w:themeColor="text1" w:val="000000"/>
          <w:sz w:val="24"/>
          <w:szCs w:val="24"/>
        </w:rPr>
      </w:pPr>
    </w:p>
    <w:p w:rsidP="004046D7" w:rsidR="004046D7" w:rsidRDefault="004046D7" w:rsidRPr="00575270">
      <w:pPr>
        <w:adjustRightInd w:val="0"/>
        <w:snapToGrid w:val="0"/>
        <w:spacing w:before="156"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2</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当期交易及持有基金产生的费用</w:t>
      </w:r>
    </w:p>
    <w:tbl>
      <w:tblPr>
        <w:tblStyle w:val="af7"/>
        <w:tblW w:type="auto" w:w="0"/>
        <w:tblLayout w:type="fixed"/>
        <w:tblLook w:firstColumn="1" w:firstRow="1" w:lastColumn="0" w:lastRow="0" w:noHBand="0" w:noVBand="1" w:val="04A0"/>
      </w:tblPr>
      <w:tblGrid>
        <w:gridCol w:w="3012"/>
        <w:gridCol w:w="3012"/>
        <w:gridCol w:w="3012"/>
      </w:tblGrid>
      <w:tr w:rsidR="004046D7" w:rsidRPr="00575270" w:rsidTr="00B32CA0">
        <w:tc>
          <w:tcPr>
            <w:tcW w:type="dxa" w:w="3012"/>
            <w:vAlign w:val="center"/>
          </w:tcPr>
          <w:p w:rsidP="00374293" w:rsidR="004046D7" w:rsidRDefault="004046D7" w:rsidRPr="00575270">
            <w:pPr>
              <w:adjustRightInd w:val="0"/>
              <w:snapToGrid w:val="0"/>
              <w:spacing w:before="156" w:beforeLines="50" w:line="276" w:lineRule="auto"/>
              <w:jc w:val="center"/>
              <w:rPr>
                <w:rFonts w:eastAsiaTheme="minorEastAsia"/>
                <w:color w:themeColor="text1" w:val="000000"/>
                <w:sz w:val="24"/>
                <w:szCs w:val="24"/>
              </w:rPr>
            </w:pPr>
            <w:r w:rsidRPr="00575270">
              <w:rPr>
                <w:sz w:val="24"/>
                <w:szCs w:val="24"/>
              </w:rPr>
              <w:t>项目</w:t>
            </w:r>
          </w:p>
        </w:tc>
        <w:tc>
          <w:tcPr>
            <w:tcW w:type="dxa" w:w="3012"/>
            <w:vAlign w:val="center"/>
          </w:tcPr>
          <w:p w:rsidP="00B32CA0" w:rsidR="004046D7" w:rsidRDefault="004046D7" w:rsidRPr="00575270">
            <w:pPr>
              <w:spacing w:line="276" w:lineRule="auto"/>
              <w:jc w:val="center"/>
              <w:rPr>
                <w:sz w:val="24"/>
                <w:szCs w:val="24"/>
              </w:rPr>
            </w:pPr>
            <w:r w:rsidRPr="00575270">
              <w:rPr>
                <w:sz w:val="24"/>
                <w:szCs w:val="24"/>
              </w:rPr>
              <w:t>本期费用</w:t>
            </w:r>
          </w:p>
        </w:tc>
        <w:tc>
          <w:tcPr>
            <w:tcW w:type="dxa" w:w="3012"/>
            <w:vAlign w:val="center"/>
          </w:tcPr>
          <w:p w:rsidP="00B32CA0" w:rsidR="004046D7" w:rsidRDefault="004046D7" w:rsidRPr="00575270">
            <w:pPr>
              <w:spacing w:line="276" w:lineRule="auto"/>
              <w:jc w:val="center"/>
              <w:rPr>
                <w:sz w:val="24"/>
                <w:szCs w:val="24"/>
              </w:rPr>
            </w:pPr>
            <w:r w:rsidRPr="00575270">
              <w:rPr>
                <w:sz w:val="24"/>
                <w:szCs w:val="24"/>
              </w:rPr>
              <w:t>其中：交易及持有基金管理人以及管理人关联方所管理基金产生的费用</w:t>
            </w:r>
          </w:p>
        </w:tc>
      </w:tr>
      <w:tr w:rsidR="004046D7" w:rsidRPr="00575270" w:rsidTr="00B32CA0">
        <w:tc>
          <w:tcPr>
            <w:tcW w:type="dxa" w:w="3012"/>
            <w:vAlign w:val="center"/>
          </w:tcPr>
          <w:p w:rsidP="00B32CA0" w:rsidR="004046D7" w:rsidRDefault="004046D7" w:rsidRPr="00575270">
            <w:pPr>
              <w:adjustRightInd w:val="0"/>
              <w:snapToGrid w:val="0"/>
              <w:spacing w:before="156" w:beforeLines="50" w:line="276" w:lineRule="auto"/>
              <w:rPr>
                <w:rFonts w:eastAsiaTheme="minorEastAsia"/>
                <w:color w:themeColor="text1" w:val="000000"/>
                <w:sz w:val="24"/>
                <w:szCs w:val="24"/>
              </w:rPr>
            </w:pPr>
            <w:r w:rsidRPr="00575270">
              <w:rPr>
                <w:sz w:val="24"/>
                <w:szCs w:val="24"/>
              </w:rPr>
              <w:t>当期交易基金产生的申购费</w:t>
            </w:r>
            <w:r w:rsidR="004C4960" w:rsidRPr="00575270">
              <w:rPr>
                <w:sz w:val="24"/>
                <w:szCs w:val="24"/>
              </w:rPr>
              <w:t>（元）</w:t>
            </w:r>
          </w:p>
        </w:tc>
        <w:tc>
          <w:tcPr>
            <w:tcW w:type="dxa" w:w="3012"/>
            <w:vAlign w:val="center"/>
          </w:tcPr>
          <w:p w:rsidP="00B32CA0" w:rsidR="004046D7" w:rsidRDefault="004046D7" w:rsidRPr="00575270">
            <w:pPr>
              <w:adjustRightInd w:val="0"/>
              <w:snapToGrid w:val="0"/>
              <w:spacing w:before="156" w:beforeLines="50" w:line="276" w:lineRule="auto"/>
              <w:jc w:val="right"/>
              <w:rPr>
                <w:rFonts w:eastAsiaTheme="minorEastAsia"/>
                <w:color w:themeColor="text1" w:val="000000"/>
                <w:sz w:val="24"/>
                <w:szCs w:val="24"/>
              </w:rPr>
            </w:pP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31,274.27</w:t>
            </w:r>
          </w:p>
        </w:tc>
        <w:tc>
          <w:tcPr>
            <w:tcW w:type="dxa" w:w="3012"/>
            <w:vAlign w:val="center"/>
          </w:tcPr>
          <w:p w:rsidP="00B32CA0" w:rsidR="004046D7" w:rsidRDefault="004046D7" w:rsidRPr="00575270">
            <w:pPr>
              <w:adjustRightInd w:val="0"/>
              <w:snapToGrid w:val="0"/>
              <w:spacing w:before="156" w:beforeLines="50" w:line="276" w:lineRule="auto"/>
              <w:jc w:val="right"/>
              <w:rPr>
                <w:rFonts w:eastAsiaTheme="minorEastAsia"/>
                <w:color w:themeColor="text1" w:val="000000"/>
                <w:sz w:val="24"/>
                <w:szCs w:val="24"/>
              </w:rPr>
            </w:pP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color w:themeColor="text1" w:val="000000"/>
                <w:sz w:val="24"/>
                <w:szCs w:val="24"/>
              </w:rPr>
              <w:lastRenderedPageBreak/>
              <w:t/>
            </w:r>
            <w:r w:rsidRPr="00575270">
              <w:rPr>
                <w:rFonts w:eastAsiaTheme="minorEastAsia" w:hint="eastAsia"/>
                <w:color w:themeColor="text1" w:val="000000"/>
                <w:sz w:val="24"/>
                <w:szCs w:val="24"/>
              </w:rPr>
              <w:t>-</w:t>
            </w:r>
          </w:p>
        </w:tc>
      </w:tr>
      <w:tr w:rsidR="004046D7" w:rsidRPr="00575270" w:rsidTr="00B32CA0">
        <w:tc>
          <w:tcPr>
            <w:tcW w:type="dxa" w:w="3012"/>
            <w:vAlign w:val="center"/>
          </w:tcPr>
          <w:p w:rsidP="00B32CA0" w:rsidR="004046D7" w:rsidRDefault="004046D7" w:rsidRPr="00575270">
            <w:pPr>
              <w:adjustRightInd w:val="0"/>
              <w:snapToGrid w:val="0"/>
              <w:spacing w:before="156" w:beforeLines="50" w:line="276" w:lineRule="auto"/>
              <w:rPr>
                <w:rFonts w:eastAsiaTheme="minorEastAsia"/>
                <w:color w:themeColor="text1" w:val="000000"/>
                <w:sz w:val="24"/>
                <w:szCs w:val="24"/>
              </w:rPr>
            </w:pPr>
            <w:r w:rsidRPr="00575270">
              <w:rPr>
                <w:sz w:val="24"/>
                <w:szCs w:val="24"/>
              </w:rPr>
              <w:lastRenderedPageBreak/>
              <w:t>当期交易基金产生的赎回费（元）</w:t>
            </w:r>
          </w:p>
        </w:tc>
        <w:tc>
          <w:tcPr>
            <w:tcW w:type="dxa" w:w="3012"/>
            <w:vAlign w:val="center"/>
          </w:tcPr>
          <w:p w:rsidP="00B32CA0" w:rsidR="004046D7" w:rsidRDefault="004046D7" w:rsidRPr="00575270">
            <w:pPr>
              <w:adjustRightInd w:val="0"/>
              <w:snapToGrid w:val="0"/>
              <w:spacing w:before="156" w:beforeLines="50" w:line="276" w:lineRule="auto"/>
              <w:jc w:val="right"/>
              <w:rPr>
                <w:rFonts w:eastAsiaTheme="minorEastAsia"/>
                <w:color w:themeColor="text1" w:val="000000"/>
                <w:sz w:val="24"/>
                <w:szCs w:val="24"/>
              </w:rPr>
            </w:pP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490,805.86</w:t>
            </w:r>
          </w:p>
        </w:tc>
        <w:tc>
          <w:tcPr>
            <w:tcW w:type="dxa" w:w="3012"/>
            <w:vAlign w:val="center"/>
          </w:tcPr>
          <w:p w:rsidP="00B32CA0" w:rsidR="004046D7" w:rsidRDefault="004046D7" w:rsidRPr="00575270">
            <w:pPr>
              <w:adjustRightInd w:val="0"/>
              <w:snapToGrid w:val="0"/>
              <w:spacing w:before="156" w:beforeLines="50" w:line="276" w:lineRule="auto"/>
              <w:jc w:val="right"/>
              <w:rPr>
                <w:rFonts w:eastAsiaTheme="minorEastAsia"/>
                <w:color w:themeColor="text1" w:val="000000"/>
                <w:sz w:val="24"/>
                <w:szCs w:val="24"/>
              </w:rPr>
            </w:pP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102,308.09</w:t>
            </w:r>
          </w:p>
        </w:tc>
      </w:tr>
      <w:tr w:rsidR="004046D7" w:rsidRPr="00575270" w:rsidTr="00B32CA0">
        <w:tc>
          <w:tcPr>
            <w:tcW w:type="dxa" w:w="3012"/>
            <w:vAlign w:val="center"/>
          </w:tcPr>
          <w:p w:rsidP="00B32CA0" w:rsidR="004046D7" w:rsidRDefault="004046D7" w:rsidRPr="00575270">
            <w:pPr>
              <w:adjustRightInd w:val="0"/>
              <w:snapToGrid w:val="0"/>
              <w:spacing w:before="156" w:beforeLines="50" w:line="276" w:lineRule="auto"/>
              <w:rPr>
                <w:rFonts w:eastAsiaTheme="minorEastAsia"/>
                <w:color w:themeColor="text1" w:val="000000"/>
                <w:sz w:val="24"/>
                <w:szCs w:val="24"/>
              </w:rPr>
            </w:pPr>
            <w:r w:rsidRPr="00575270">
              <w:rPr>
                <w:sz w:val="24"/>
                <w:szCs w:val="24"/>
              </w:rPr>
              <w:t>当期持有基金产生的应支付销售服务费（元）</w:t>
            </w:r>
          </w:p>
        </w:tc>
        <w:tc>
          <w:tcPr>
            <w:tcW w:type="dxa" w:w="3012"/>
            <w:vAlign w:val="center"/>
          </w:tcPr>
          <w:p w:rsidP="00B32CA0" w:rsidR="004046D7" w:rsidRDefault="004046D7" w:rsidRPr="00575270">
            <w:pPr>
              <w:adjustRightInd w:val="0"/>
              <w:snapToGrid w:val="0"/>
              <w:spacing w:before="156" w:beforeLines="50" w:line="276" w:lineRule="auto"/>
              <w:jc w:val="right"/>
              <w:rPr>
                <w:rFonts w:eastAsiaTheme="minorEastAsia"/>
                <w:color w:themeColor="text1" w:val="000000"/>
                <w:sz w:val="24"/>
                <w:szCs w:val="24"/>
              </w:rPr>
            </w:pP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639,624.07</w:t>
            </w:r>
          </w:p>
        </w:tc>
        <w:tc>
          <w:tcPr>
            <w:tcW w:type="dxa" w:w="3012"/>
            <w:vAlign w:val="center"/>
          </w:tcPr>
          <w:p w:rsidP="00B32CA0" w:rsidR="004046D7" w:rsidRDefault="004046D7" w:rsidRPr="00575270">
            <w:pPr>
              <w:adjustRightInd w:val="0"/>
              <w:snapToGrid w:val="0"/>
              <w:spacing w:before="156" w:beforeLines="50" w:line="276" w:lineRule="auto"/>
              <w:jc w:val="right"/>
              <w:rPr>
                <w:rFonts w:eastAsiaTheme="minorEastAsia"/>
                <w:color w:themeColor="text1" w:val="000000"/>
                <w:sz w:val="24"/>
                <w:szCs w:val="24"/>
              </w:rPr>
            </w:pP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150,601.44</w:t>
            </w:r>
          </w:p>
        </w:tc>
      </w:tr>
      <w:tr w:rsidR="004046D7" w:rsidRPr="00575270" w:rsidTr="00B32CA0">
        <w:tc>
          <w:tcPr>
            <w:tcW w:type="dxa" w:w="3012"/>
            <w:vAlign w:val="center"/>
          </w:tcPr>
          <w:p w:rsidP="00B32CA0" w:rsidR="004046D7" w:rsidRDefault="004046D7" w:rsidRPr="00575270">
            <w:pPr>
              <w:adjustRightInd w:val="0"/>
              <w:snapToGrid w:val="0"/>
              <w:spacing w:before="156" w:beforeLines="50" w:line="276" w:lineRule="auto"/>
              <w:rPr>
                <w:rFonts w:eastAsiaTheme="minorEastAsia"/>
                <w:color w:themeColor="text1" w:val="000000"/>
                <w:sz w:val="24"/>
                <w:szCs w:val="24"/>
              </w:rPr>
            </w:pPr>
            <w:r w:rsidRPr="00575270">
              <w:rPr>
                <w:sz w:val="24"/>
                <w:szCs w:val="24"/>
              </w:rPr>
              <w:t>当期持有基金产生的应支付管理费（元）</w:t>
            </w:r>
          </w:p>
        </w:tc>
        <w:tc>
          <w:tcPr>
            <w:tcW w:type="dxa" w:w="3012"/>
            <w:vAlign w:val="center"/>
          </w:tcPr>
          <w:p w:rsidP="00B32CA0" w:rsidR="004046D7" w:rsidRDefault="004046D7" w:rsidRPr="00575270">
            <w:pPr>
              <w:adjustRightInd w:val="0"/>
              <w:snapToGrid w:val="0"/>
              <w:spacing w:before="156" w:beforeLines="50" w:line="276" w:lineRule="auto"/>
              <w:jc w:val="right"/>
              <w:rPr>
                <w:rFonts w:eastAsiaTheme="minorEastAsia"/>
                <w:color w:themeColor="text1" w:val="000000"/>
                <w:sz w:val="24"/>
                <w:szCs w:val="24"/>
              </w:rPr>
            </w:pP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10,144,854.53</w:t>
            </w:r>
          </w:p>
        </w:tc>
        <w:tc>
          <w:tcPr>
            <w:tcW w:type="dxa" w:w="3012"/>
            <w:vAlign w:val="center"/>
          </w:tcPr>
          <w:p w:rsidP="00B32CA0" w:rsidR="004046D7" w:rsidRDefault="004046D7" w:rsidRPr="00575270">
            <w:pPr>
              <w:adjustRightInd w:val="0"/>
              <w:snapToGrid w:val="0"/>
              <w:spacing w:before="156" w:beforeLines="50" w:line="276" w:lineRule="auto"/>
              <w:jc w:val="right"/>
              <w:rPr>
                <w:rFonts w:eastAsiaTheme="minorEastAsia"/>
                <w:color w:themeColor="text1" w:val="000000"/>
                <w:sz w:val="24"/>
                <w:szCs w:val="24"/>
              </w:rPr>
            </w:pP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4,037,578.38</w:t>
            </w:r>
          </w:p>
        </w:tc>
      </w:tr>
      <w:tr w:rsidR="004046D7" w:rsidRPr="00575270" w:rsidTr="00B32CA0">
        <w:tc>
          <w:tcPr>
            <w:tcW w:type="dxa" w:w="3012"/>
            <w:vAlign w:val="center"/>
          </w:tcPr>
          <w:p w:rsidP="00B32CA0" w:rsidR="004046D7" w:rsidRDefault="004046D7" w:rsidRPr="00575270">
            <w:pPr>
              <w:adjustRightInd w:val="0"/>
              <w:snapToGrid w:val="0"/>
              <w:spacing w:before="156" w:beforeLines="50" w:line="276" w:lineRule="auto"/>
              <w:rPr>
                <w:rFonts w:eastAsiaTheme="minorEastAsia"/>
                <w:color w:themeColor="text1" w:val="000000"/>
                <w:sz w:val="24"/>
                <w:szCs w:val="24"/>
              </w:rPr>
            </w:pPr>
            <w:r w:rsidRPr="00575270">
              <w:rPr>
                <w:sz w:val="24"/>
                <w:szCs w:val="24"/>
              </w:rPr>
              <w:t>当期持有基金产生的应支付托管费（元）</w:t>
            </w:r>
          </w:p>
        </w:tc>
        <w:tc>
          <w:tcPr>
            <w:tcW w:type="dxa" w:w="3012"/>
            <w:vAlign w:val="center"/>
          </w:tcPr>
          <w:p w:rsidP="00B32CA0" w:rsidR="004046D7" w:rsidRDefault="004046D7" w:rsidRPr="00575270">
            <w:pPr>
              <w:adjustRightInd w:val="0"/>
              <w:snapToGrid w:val="0"/>
              <w:spacing w:before="156" w:beforeLines="50" w:line="276" w:lineRule="auto"/>
              <w:jc w:val="right"/>
              <w:rPr>
                <w:rFonts w:eastAsiaTheme="minorEastAsia"/>
                <w:color w:themeColor="text1" w:val="000000"/>
                <w:sz w:val="24"/>
                <w:szCs w:val="24"/>
              </w:rPr>
            </w:pP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2,440,033.95</w:t>
            </w:r>
          </w:p>
        </w:tc>
        <w:tc>
          <w:tcPr>
            <w:tcW w:type="dxa" w:w="3012"/>
            <w:vAlign w:val="center"/>
          </w:tcPr>
          <w:p w:rsidP="00B32CA0" w:rsidR="004046D7" w:rsidRDefault="004046D7" w:rsidRPr="00575270">
            <w:pPr>
              <w:adjustRightInd w:val="0"/>
              <w:snapToGrid w:val="0"/>
              <w:spacing w:before="156" w:beforeLines="50" w:line="276" w:lineRule="auto"/>
              <w:jc w:val="right"/>
              <w:rPr>
                <w:rFonts w:eastAsiaTheme="minorEastAsia"/>
                <w:color w:themeColor="text1" w:val="000000"/>
                <w:sz w:val="24"/>
                <w:szCs w:val="24"/>
              </w:rPr>
            </w:pP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1,055,139.36</w:t>
            </w:r>
          </w:p>
        </w:tc>
      </w:tr>
    </w:tbl>
    <w:p>
      <w:pPr>
        <w:autoSpaceDE w:val="0"/>
        <w:autoSpaceDN w:val="0"/>
        <w:adjustRightInd w:val="0"/>
        <w:spacing w:line="360" w:lineRule="auto"/>
        <w:ind w:firstLine="480" w:firstLineChars="200"/>
        <w:jc w:val="left"/>
        <w:rPr>
          <w:rFonts w:eastAsiaTheme="minorEastAsia"/>
          <w:color w:themeColor="text1" w:val="000000"/>
          <w:sz w:val="24"/>
          <w:szCs w:val="24"/>
        </w:rPr>
      </w:pPr>
      <w:r>
        <w:rPr>
          <w:rFonts w:eastAsiaTheme="minorEastAsia"/>
          <w:color w:themeColor="text1" w:val="000000"/>
          <w:sz w:val="24"/>
          <w:szCs w:val="24"/>
        </w:rPr>
        <w:t>注：上述当期持有基金产生的应支付销售服务费、当期持有基金产生的应支付管理费、当期持有基金产生的应支付托管费，是根据被投资基金的实际持仓情况和被投资基金的基金合同约定费率估算得出。该三项费用根据被投资基金的基金合同约定已经作为费用计入被投资基金的基金份额净值，已在本基金所持有基金的净值中体现，不构成本基金的费用。</w:t>
      </w:r>
    </w:p>
    <w:p w:rsidP="004046D7" w:rsidR="004046D7" w:rsidRDefault="004046D7">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根据相关法律法规及本基金合同的约定，基金管理人不得对基金中基金财产中持有的自身管理的基金部分收取基金中基金的管理费，基金托管人不得对基金中基金财产中持有的自身托管的基金部分收取基金中基金的托管费。基金管理人运用本基金财产申购自身管理的其他基金的（ETF除外），应当通过直销渠道申购且不收取申购费、赎回费（按照相关法规、基金招募说明书约定应当收取，并计入基金资产的赎回费用除外）、销售服务费等销售费用，其中申购费、赎回费在实际申购、赎回时按上述规定执行，销售服务费由本基金管理人从被投资基金收取后返还至本基金基金资产。</w:t>
      </w:r>
    </w:p>
    <w:p w:rsidP="004046D7" w:rsidR="00484942" w:rsidRDefault="00484942" w:rsidRPr="00575270">
      <w:pPr>
        <w:autoSpaceDE w:val="0"/>
        <w:autoSpaceDN w:val="0"/>
        <w:adjustRightInd w:val="0"/>
        <w:spacing w:line="360" w:lineRule="auto"/>
        <w:ind w:firstLine="480" w:firstLineChars="200"/>
        <w:jc w:val="left"/>
        <w:rPr>
          <w:rFonts w:eastAsiaTheme="minorEastAsia"/>
          <w:color w:themeColor="text1" w:val="000000"/>
          <w:sz w:val="24"/>
          <w:szCs w:val="24"/>
        </w:rPr>
      </w:pPr>
    </w:p>
    <w:p w:rsidP="004046D7" w:rsidR="004046D7" w:rsidRDefault="004046D7" w:rsidRPr="00575270">
      <w:pPr>
        <w:adjustRightInd w:val="0"/>
        <w:snapToGrid w:val="0"/>
        <w:spacing w:before="156"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3</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本报告期持有的基金发生的重大影响事件</w:t>
      </w:r>
    </w:p>
    <w:tbl>
      <w:tblPr>
        <w:tblStyle w:val="af7"/>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9242"/>
      </w:tblGrid>
      <w:tr w:rsidR="004046D7" w:rsidRPr="00575270" w:rsidTr="00B32CA0">
        <w:tc>
          <w:tcPr>
            <w:tcW w:type="dxa" w:w="9036"/>
          </w:tcPr>
          <w:p w:rsidP="00B32CA0" w:rsidR="004046D7" w:rsidRDefault="004046D7"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
            </w: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无。</w:t>
            </w:r>
          </w:p>
        </w:tc>
      </w:tr>
    </w:tbl>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lastRenderedPageBreak/>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7</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4,659,695,211.65</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4,012,350,812.56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192,167,584.61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8,479,878,439.60</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8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8.1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lastRenderedPageBreak/>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1、中国证监会准予交银施罗德安享稳健养老目标一年持有期混合型基金中基金（FOF）募集注册的文件； </w:t>
      </w:r>
    </w:p>
    <w:p>
      <w:pPr>
        <w:spacing w:before="29" w:line="288" w:lineRule="auto"/>
        <w:ind w:firstLine="480" w:firstLineChars="200"/>
        <w:rPr>
          <w:color w:val="000000"/>
          <w:sz w:val="24"/>
          <w:szCs w:val="24"/>
        </w:rPr>
      </w:pPr>
      <w:r>
        <w:rPr>
          <w:color w:val="000000"/>
          <w:sz w:val="24"/>
          <w:szCs w:val="24"/>
        </w:rPr>
        <w:t xml:space="preserve">2、《交银施罗德安享稳健养老目标一年持有期混合型基金中基金（FOF）基金合同》； </w:t>
      </w:r>
    </w:p>
    <w:p>
      <w:pPr>
        <w:spacing w:before="29" w:line="288" w:lineRule="auto"/>
        <w:ind w:firstLine="480" w:firstLineChars="200"/>
        <w:rPr>
          <w:color w:val="000000"/>
          <w:sz w:val="24"/>
          <w:szCs w:val="24"/>
        </w:rPr>
      </w:pPr>
      <w:r>
        <w:rPr>
          <w:color w:val="000000"/>
          <w:sz w:val="24"/>
          <w:szCs w:val="24"/>
        </w:rPr>
        <w:t xml:space="preserve">3、《交银施罗德安享稳健养老目标一年持有期混合型基金中基金（FOF）招募说明书》； </w:t>
      </w:r>
    </w:p>
    <w:p>
      <w:pPr>
        <w:spacing w:before="29" w:line="288" w:lineRule="auto"/>
        <w:ind w:firstLine="480" w:firstLineChars="200"/>
        <w:rPr>
          <w:color w:val="000000"/>
          <w:sz w:val="24"/>
          <w:szCs w:val="24"/>
        </w:rPr>
      </w:pPr>
      <w:r>
        <w:rPr>
          <w:color w:val="000000"/>
          <w:sz w:val="24"/>
          <w:szCs w:val="24"/>
        </w:rPr>
        <w:t xml:space="preserve">4、《交银施罗德安享稳健养老目标一年持有期混合型基金中基金（FOF）托管协议》；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5、关于申请募集注册交银施罗德安享稳健养老目标一年持有期混合型基金中基金（FOF）的法律意见书；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8、报告期内交银施罗德安享稳健养老目标一年持有期混合型基金中基金（FOF）在指定报刊上各项公告的原稿。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C3F" w:rsidRDefault="009A4C3F" w:rsidP="00876D65">
      <w:r>
        <w:separator/>
      </w:r>
    </w:p>
  </w:endnote>
  <w:endnote w:type="continuationSeparator" w:id="0">
    <w:p w:rsidR="009A4C3F" w:rsidRDefault="009A4C3F"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F8289A">
      <w:rPr>
        <w:noProof/>
        <w:kern w:val="0"/>
        <w:szCs w:val="21"/>
      </w:rPr>
      <w:t>19</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F8289A">
      <w:rPr>
        <w:noProof/>
        <w:kern w:val="0"/>
        <w:szCs w:val="21"/>
      </w:rPr>
      <w:t>26</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9A4C3F" w:rsidRDefault="009A4C3F">
      <w:r>
        <w:separator/>
      </w:r>
    </w:p>
  </w:footnote>
  <w:footnote w:id="0" w:type="continuationSeparator">
    <w:p w:rsidP="00876D65" w:rsidR="009A4C3F" w:rsidRDefault="009A4C3F">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交银施罗德安享稳健养老目标一年持有期混合型基金中基金（FOF）2020年第3季度报告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0CC"/>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74293"/>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46D7"/>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4942"/>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4960"/>
    <w:rsid w:val="004C702F"/>
    <w:rsid w:val="004D340C"/>
    <w:rsid w:val="004D495A"/>
    <w:rsid w:val="004E5975"/>
    <w:rsid w:val="004E5CD0"/>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02EC"/>
    <w:rsid w:val="00604E50"/>
    <w:rsid w:val="006054CF"/>
    <w:rsid w:val="006066D2"/>
    <w:rsid w:val="006075E6"/>
    <w:rsid w:val="006076AE"/>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C3F"/>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0A87"/>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0E54"/>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289A"/>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614A0-9906-4AE9-AE37-52BEDB7C4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1992</TotalTime>
  <Pages>26</Pages>
  <Words>4165</Words>
  <Characters>23744</Characters>
  <Application>Microsoft Office Word</Application>
  <DocSecurity>0</DocSecurity>
  <Lines>197</Lines>
  <Paragraphs>55</Paragraphs>
  <ScaleCrop>false</ScaleCrop>
  <Company/>
  <LinksUpToDate>false</LinksUpToDate>
  <CharactersWithSpaces>27854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2019-11-29T02:14:00Z</dcterms:modified>
  <cp:revision>604</cp:revision>
</cp:coreProperties>
</file>