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交银施罗德核心资产混合型证券投资基金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42870" w:rsidRDefault="00A32E9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交银核</w:t>
            </w:r>
            <w:proofErr w:type="gramStart"/>
            <w:r w:rsidRPr="00414345">
              <w:rPr>
                <w:color w:val="000000"/>
                <w:kern w:val="0"/>
                <w:sz w:val="24"/>
                <w:szCs w:val="24"/>
              </w:rPr>
              <w:t>心资产</w:t>
            </w:r>
            <w:proofErr w:type="gramEnd"/>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52,286,914.94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本基金主要投资于具有核心资产的上市公司，在合理控制风险并保持基金资产良好流动性的前提下，力争实现基金资产的长期稳定增值。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542870" w:rsidRDefault="00A32E92">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508FB" w:rsidRPr="00414345" w:rsidTr="00C508F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508FB" w:rsidRPr="00414345" w:rsidTr="00C508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12,129,203.20</w:t>
            </w:r>
          </w:p>
        </w:tc>
      </w:tr>
      <w:tr w:rsidR="00C508FB" w:rsidRPr="00414345" w:rsidTr="00C508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5,754,489.63</w:t>
            </w:r>
          </w:p>
        </w:tc>
      </w:tr>
      <w:tr w:rsidR="00C508FB" w:rsidRPr="00414345" w:rsidTr="00C508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0.1060</w:t>
            </w:r>
          </w:p>
        </w:tc>
      </w:tr>
      <w:tr w:rsidR="00C508FB" w:rsidRPr="00414345" w:rsidTr="00C508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86,484,097.72</w:t>
            </w:r>
          </w:p>
        </w:tc>
      </w:tr>
      <w:tr w:rsidR="00C508FB" w:rsidRPr="00414345" w:rsidTr="00C508F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1.6540</w:t>
            </w:r>
          </w:p>
        </w:tc>
      </w:tr>
    </w:tbl>
    <w:p w:rsidR="00542870" w:rsidRDefault="00A32E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542870" w:rsidRDefault="00A32E92">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42870">
        <w:trPr>
          <w:jc w:val="center"/>
        </w:trPr>
        <w:tc>
          <w:tcPr>
            <w:tcW w:w="1701" w:type="dxa"/>
            <w:vAlign w:val="center"/>
          </w:tcPr>
          <w:p w:rsidR="00542870" w:rsidRDefault="00A32E92">
            <w:pPr>
              <w:jc w:val="left"/>
            </w:pPr>
            <w:r>
              <w:rPr>
                <w:color w:val="000000"/>
                <w:sz w:val="24"/>
                <w:szCs w:val="24"/>
              </w:rPr>
              <w:t>过去三个月</w:t>
            </w:r>
          </w:p>
        </w:tc>
        <w:tc>
          <w:tcPr>
            <w:tcW w:w="1045" w:type="dxa"/>
            <w:vAlign w:val="center"/>
          </w:tcPr>
          <w:p w:rsidR="00542870" w:rsidRDefault="00A32E92">
            <w:pPr>
              <w:jc w:val="center"/>
            </w:pPr>
            <w:r>
              <w:rPr>
                <w:color w:val="000000"/>
                <w:sz w:val="24"/>
                <w:szCs w:val="24"/>
              </w:rPr>
              <w:t>6.77%</w:t>
            </w:r>
          </w:p>
        </w:tc>
        <w:tc>
          <w:tcPr>
            <w:tcW w:w="1344" w:type="dxa"/>
            <w:vAlign w:val="center"/>
          </w:tcPr>
          <w:p w:rsidR="00542870" w:rsidRDefault="00A32E92">
            <w:pPr>
              <w:jc w:val="center"/>
            </w:pPr>
            <w:r>
              <w:rPr>
                <w:color w:val="000000"/>
                <w:sz w:val="24"/>
                <w:szCs w:val="24"/>
              </w:rPr>
              <w:t>1.65%</w:t>
            </w:r>
          </w:p>
        </w:tc>
        <w:tc>
          <w:tcPr>
            <w:tcW w:w="1194" w:type="dxa"/>
            <w:vAlign w:val="center"/>
          </w:tcPr>
          <w:p w:rsidR="00542870" w:rsidRDefault="00A32E92">
            <w:pPr>
              <w:jc w:val="center"/>
            </w:pPr>
            <w:r>
              <w:rPr>
                <w:color w:val="000000"/>
                <w:sz w:val="24"/>
                <w:szCs w:val="24"/>
              </w:rPr>
              <w:t>3.79%</w:t>
            </w:r>
          </w:p>
        </w:tc>
        <w:tc>
          <w:tcPr>
            <w:tcW w:w="1492" w:type="dxa"/>
            <w:vAlign w:val="center"/>
          </w:tcPr>
          <w:p w:rsidR="00542870" w:rsidRDefault="00A32E92">
            <w:pPr>
              <w:jc w:val="center"/>
            </w:pPr>
            <w:r>
              <w:rPr>
                <w:color w:val="000000"/>
                <w:sz w:val="24"/>
                <w:szCs w:val="24"/>
              </w:rPr>
              <w:t>1.06%</w:t>
            </w:r>
          </w:p>
        </w:tc>
        <w:tc>
          <w:tcPr>
            <w:tcW w:w="1194" w:type="dxa"/>
            <w:vAlign w:val="center"/>
          </w:tcPr>
          <w:p w:rsidR="00542870" w:rsidRDefault="00A32E92">
            <w:pPr>
              <w:jc w:val="center"/>
            </w:pPr>
            <w:r>
              <w:rPr>
                <w:color w:val="000000"/>
                <w:sz w:val="24"/>
                <w:szCs w:val="24"/>
              </w:rPr>
              <w:t>2.98%</w:t>
            </w:r>
          </w:p>
        </w:tc>
        <w:tc>
          <w:tcPr>
            <w:tcW w:w="898" w:type="dxa"/>
            <w:vAlign w:val="center"/>
          </w:tcPr>
          <w:p w:rsidR="00542870" w:rsidRDefault="00A32E92">
            <w:pPr>
              <w:jc w:val="center"/>
            </w:pPr>
            <w:r>
              <w:rPr>
                <w:color w:val="000000"/>
                <w:sz w:val="24"/>
                <w:szCs w:val="24"/>
              </w:rPr>
              <w:t>0.59%</w:t>
            </w:r>
          </w:p>
        </w:tc>
      </w:tr>
      <w:tr w:rsidR="00542870">
        <w:trPr>
          <w:jc w:val="center"/>
        </w:trPr>
        <w:tc>
          <w:tcPr>
            <w:tcW w:w="1701" w:type="dxa"/>
            <w:vAlign w:val="center"/>
          </w:tcPr>
          <w:p w:rsidR="00542870" w:rsidRDefault="00A32E92">
            <w:pPr>
              <w:jc w:val="left"/>
            </w:pPr>
            <w:r>
              <w:rPr>
                <w:color w:val="000000"/>
                <w:sz w:val="24"/>
                <w:szCs w:val="24"/>
              </w:rPr>
              <w:t>过去六个月</w:t>
            </w:r>
          </w:p>
        </w:tc>
        <w:tc>
          <w:tcPr>
            <w:tcW w:w="1045" w:type="dxa"/>
            <w:vAlign w:val="center"/>
          </w:tcPr>
          <w:p w:rsidR="00542870" w:rsidRDefault="00A32E92">
            <w:pPr>
              <w:jc w:val="center"/>
            </w:pPr>
            <w:r>
              <w:rPr>
                <w:color w:val="000000"/>
                <w:sz w:val="24"/>
                <w:szCs w:val="24"/>
              </w:rPr>
              <w:t>39.70%</w:t>
            </w:r>
          </w:p>
        </w:tc>
        <w:tc>
          <w:tcPr>
            <w:tcW w:w="1344" w:type="dxa"/>
            <w:vAlign w:val="center"/>
          </w:tcPr>
          <w:p w:rsidR="00542870" w:rsidRDefault="00A32E92">
            <w:pPr>
              <w:jc w:val="center"/>
            </w:pPr>
            <w:r>
              <w:rPr>
                <w:color w:val="000000"/>
                <w:sz w:val="24"/>
                <w:szCs w:val="24"/>
              </w:rPr>
              <w:t>1.48%</w:t>
            </w:r>
          </w:p>
        </w:tc>
        <w:tc>
          <w:tcPr>
            <w:tcW w:w="1194" w:type="dxa"/>
            <w:vAlign w:val="center"/>
          </w:tcPr>
          <w:p w:rsidR="00542870" w:rsidRDefault="00A32E92">
            <w:pPr>
              <w:jc w:val="center"/>
            </w:pPr>
            <w:r>
              <w:rPr>
                <w:color w:val="000000"/>
                <w:sz w:val="24"/>
                <w:szCs w:val="24"/>
              </w:rPr>
              <w:t>11.52%</w:t>
            </w:r>
          </w:p>
        </w:tc>
        <w:tc>
          <w:tcPr>
            <w:tcW w:w="1492" w:type="dxa"/>
            <w:vAlign w:val="center"/>
          </w:tcPr>
          <w:p w:rsidR="00542870" w:rsidRDefault="00A32E92">
            <w:pPr>
              <w:jc w:val="center"/>
            </w:pPr>
            <w:r>
              <w:rPr>
                <w:color w:val="000000"/>
                <w:sz w:val="24"/>
                <w:szCs w:val="24"/>
              </w:rPr>
              <w:t>0.97%</w:t>
            </w:r>
          </w:p>
        </w:tc>
        <w:tc>
          <w:tcPr>
            <w:tcW w:w="1194" w:type="dxa"/>
            <w:vAlign w:val="center"/>
          </w:tcPr>
          <w:p w:rsidR="00542870" w:rsidRDefault="00A32E92">
            <w:pPr>
              <w:jc w:val="center"/>
            </w:pPr>
            <w:r>
              <w:rPr>
                <w:color w:val="000000"/>
                <w:sz w:val="24"/>
                <w:szCs w:val="24"/>
              </w:rPr>
              <w:t>28.18%</w:t>
            </w:r>
          </w:p>
        </w:tc>
        <w:tc>
          <w:tcPr>
            <w:tcW w:w="898" w:type="dxa"/>
            <w:vAlign w:val="center"/>
          </w:tcPr>
          <w:p w:rsidR="00542870" w:rsidRDefault="00A32E92">
            <w:pPr>
              <w:jc w:val="center"/>
            </w:pPr>
            <w:r>
              <w:rPr>
                <w:color w:val="000000"/>
                <w:sz w:val="24"/>
                <w:szCs w:val="24"/>
              </w:rPr>
              <w:t>0.51%</w:t>
            </w:r>
          </w:p>
        </w:tc>
      </w:tr>
      <w:tr w:rsidR="00542870">
        <w:trPr>
          <w:jc w:val="center"/>
        </w:trPr>
        <w:tc>
          <w:tcPr>
            <w:tcW w:w="1701" w:type="dxa"/>
            <w:vAlign w:val="center"/>
          </w:tcPr>
          <w:p w:rsidR="00542870" w:rsidRDefault="00A32E92">
            <w:pPr>
              <w:jc w:val="left"/>
            </w:pPr>
            <w:r>
              <w:rPr>
                <w:color w:val="000000"/>
                <w:sz w:val="24"/>
                <w:szCs w:val="24"/>
              </w:rPr>
              <w:t>过去一年</w:t>
            </w:r>
          </w:p>
        </w:tc>
        <w:tc>
          <w:tcPr>
            <w:tcW w:w="1045" w:type="dxa"/>
            <w:vAlign w:val="center"/>
          </w:tcPr>
          <w:p w:rsidR="00542870" w:rsidRDefault="00A32E92">
            <w:pPr>
              <w:jc w:val="center"/>
            </w:pPr>
            <w:r>
              <w:rPr>
                <w:color w:val="000000"/>
                <w:sz w:val="24"/>
                <w:szCs w:val="24"/>
              </w:rPr>
              <w:t>44.54%</w:t>
            </w:r>
          </w:p>
        </w:tc>
        <w:tc>
          <w:tcPr>
            <w:tcW w:w="1344" w:type="dxa"/>
            <w:vAlign w:val="center"/>
          </w:tcPr>
          <w:p w:rsidR="00542870" w:rsidRDefault="00A32E92">
            <w:pPr>
              <w:jc w:val="center"/>
            </w:pPr>
            <w:r>
              <w:rPr>
                <w:color w:val="000000"/>
                <w:sz w:val="24"/>
                <w:szCs w:val="24"/>
              </w:rPr>
              <w:t>1.55%</w:t>
            </w:r>
          </w:p>
        </w:tc>
        <w:tc>
          <w:tcPr>
            <w:tcW w:w="1194" w:type="dxa"/>
            <w:vAlign w:val="center"/>
          </w:tcPr>
          <w:p w:rsidR="00542870" w:rsidRDefault="00A32E92">
            <w:pPr>
              <w:jc w:val="center"/>
            </w:pPr>
            <w:r>
              <w:rPr>
                <w:color w:val="000000"/>
                <w:sz w:val="24"/>
                <w:szCs w:val="24"/>
              </w:rPr>
              <w:t>7.53%</w:t>
            </w:r>
          </w:p>
        </w:tc>
        <w:tc>
          <w:tcPr>
            <w:tcW w:w="1492" w:type="dxa"/>
            <w:vAlign w:val="center"/>
          </w:tcPr>
          <w:p w:rsidR="00542870" w:rsidRDefault="00A32E92">
            <w:pPr>
              <w:jc w:val="center"/>
            </w:pPr>
            <w:r>
              <w:rPr>
                <w:color w:val="000000"/>
                <w:sz w:val="24"/>
                <w:szCs w:val="24"/>
              </w:rPr>
              <w:t>1.06%</w:t>
            </w:r>
          </w:p>
        </w:tc>
        <w:tc>
          <w:tcPr>
            <w:tcW w:w="1194" w:type="dxa"/>
            <w:vAlign w:val="center"/>
          </w:tcPr>
          <w:p w:rsidR="00542870" w:rsidRDefault="00A32E92">
            <w:pPr>
              <w:jc w:val="center"/>
            </w:pPr>
            <w:r>
              <w:rPr>
                <w:color w:val="000000"/>
                <w:sz w:val="24"/>
                <w:szCs w:val="24"/>
              </w:rPr>
              <w:t>37.01%</w:t>
            </w:r>
          </w:p>
        </w:tc>
        <w:tc>
          <w:tcPr>
            <w:tcW w:w="898" w:type="dxa"/>
            <w:vAlign w:val="center"/>
          </w:tcPr>
          <w:p w:rsidR="00542870" w:rsidRDefault="00A32E92">
            <w:pPr>
              <w:jc w:val="center"/>
            </w:pPr>
            <w:r>
              <w:rPr>
                <w:color w:val="000000"/>
                <w:sz w:val="24"/>
                <w:szCs w:val="24"/>
              </w:rPr>
              <w:t>0.49%</w:t>
            </w:r>
          </w:p>
        </w:tc>
      </w:tr>
      <w:tr w:rsidR="00542870">
        <w:trPr>
          <w:jc w:val="center"/>
        </w:trPr>
        <w:tc>
          <w:tcPr>
            <w:tcW w:w="1701" w:type="dxa"/>
            <w:vAlign w:val="center"/>
          </w:tcPr>
          <w:p w:rsidR="00542870" w:rsidRDefault="00A32E92">
            <w:pPr>
              <w:jc w:val="left"/>
            </w:pPr>
            <w:r>
              <w:rPr>
                <w:color w:val="000000"/>
                <w:sz w:val="24"/>
                <w:szCs w:val="24"/>
              </w:rPr>
              <w:t>自基金合同生效至今</w:t>
            </w:r>
          </w:p>
        </w:tc>
        <w:tc>
          <w:tcPr>
            <w:tcW w:w="1045" w:type="dxa"/>
            <w:vAlign w:val="center"/>
          </w:tcPr>
          <w:p w:rsidR="00542870" w:rsidRDefault="00A32E92">
            <w:pPr>
              <w:jc w:val="center"/>
            </w:pPr>
            <w:r>
              <w:rPr>
                <w:color w:val="000000"/>
                <w:sz w:val="24"/>
                <w:szCs w:val="24"/>
              </w:rPr>
              <w:t>65.40%</w:t>
            </w:r>
          </w:p>
        </w:tc>
        <w:tc>
          <w:tcPr>
            <w:tcW w:w="1344" w:type="dxa"/>
            <w:vAlign w:val="center"/>
          </w:tcPr>
          <w:p w:rsidR="00542870" w:rsidRDefault="00A32E92">
            <w:pPr>
              <w:jc w:val="center"/>
            </w:pPr>
            <w:r>
              <w:rPr>
                <w:color w:val="000000"/>
                <w:sz w:val="24"/>
                <w:szCs w:val="24"/>
              </w:rPr>
              <w:t>1.36%</w:t>
            </w:r>
          </w:p>
        </w:tc>
        <w:tc>
          <w:tcPr>
            <w:tcW w:w="1194" w:type="dxa"/>
            <w:vAlign w:val="center"/>
          </w:tcPr>
          <w:p w:rsidR="00542870" w:rsidRDefault="00A32E92">
            <w:pPr>
              <w:jc w:val="center"/>
            </w:pPr>
            <w:r>
              <w:rPr>
                <w:color w:val="000000"/>
                <w:sz w:val="24"/>
                <w:szCs w:val="24"/>
              </w:rPr>
              <w:t>19.21%</w:t>
            </w:r>
          </w:p>
        </w:tc>
        <w:tc>
          <w:tcPr>
            <w:tcW w:w="1492" w:type="dxa"/>
            <w:vAlign w:val="center"/>
          </w:tcPr>
          <w:p w:rsidR="00542870" w:rsidRDefault="00A32E92">
            <w:pPr>
              <w:jc w:val="center"/>
            </w:pPr>
            <w:r>
              <w:rPr>
                <w:color w:val="000000"/>
                <w:sz w:val="24"/>
                <w:szCs w:val="24"/>
              </w:rPr>
              <w:t>1.00%</w:t>
            </w:r>
          </w:p>
        </w:tc>
        <w:tc>
          <w:tcPr>
            <w:tcW w:w="1194" w:type="dxa"/>
            <w:vAlign w:val="center"/>
          </w:tcPr>
          <w:p w:rsidR="00542870" w:rsidRDefault="00A32E92">
            <w:pPr>
              <w:jc w:val="center"/>
            </w:pPr>
            <w:r>
              <w:rPr>
                <w:color w:val="000000"/>
                <w:sz w:val="24"/>
                <w:szCs w:val="24"/>
              </w:rPr>
              <w:t>46.19%</w:t>
            </w:r>
          </w:p>
        </w:tc>
        <w:tc>
          <w:tcPr>
            <w:tcW w:w="898" w:type="dxa"/>
            <w:vAlign w:val="center"/>
          </w:tcPr>
          <w:p w:rsidR="00542870" w:rsidRDefault="00A32E92">
            <w:pPr>
              <w:jc w:val="center"/>
            </w:pPr>
            <w:r>
              <w:rPr>
                <w:color w:val="000000"/>
                <w:sz w:val="24"/>
                <w:szCs w:val="24"/>
              </w:rPr>
              <w:t>0.36%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交银施罗德核心资产混合型证券投资基金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42870">
        <w:trPr>
          <w:jc w:val="center"/>
        </w:trPr>
        <w:tc>
          <w:tcPr>
            <w:tcW w:w="846" w:type="dxa"/>
            <w:vAlign w:val="center"/>
          </w:tcPr>
          <w:p w:rsidR="00542870" w:rsidRDefault="00A32E92">
            <w:pPr>
              <w:jc w:val="center"/>
            </w:pPr>
            <w:r>
              <w:rPr>
                <w:color w:val="000000"/>
                <w:sz w:val="24"/>
                <w:szCs w:val="24"/>
              </w:rPr>
              <w:t>陈俊华</w:t>
            </w:r>
          </w:p>
        </w:tc>
        <w:tc>
          <w:tcPr>
            <w:tcW w:w="845" w:type="dxa"/>
            <w:vAlign w:val="center"/>
          </w:tcPr>
          <w:p w:rsidR="00542870" w:rsidRDefault="00A32E92">
            <w:pPr>
              <w:jc w:val="center"/>
            </w:pPr>
            <w:r>
              <w:rPr>
                <w:color w:val="000000"/>
                <w:sz w:val="24"/>
                <w:szCs w:val="24"/>
              </w:rPr>
              <w:t>交银环球精选混合</w:t>
            </w:r>
            <w:r>
              <w:rPr>
                <w:color w:val="000000"/>
                <w:sz w:val="24"/>
                <w:szCs w:val="24"/>
              </w:rPr>
              <w:t>(QDII)</w:t>
            </w:r>
            <w:r>
              <w:rPr>
                <w:color w:val="000000"/>
                <w:sz w:val="24"/>
                <w:szCs w:val="24"/>
              </w:rPr>
              <w:t>、交</w:t>
            </w:r>
            <w:proofErr w:type="gramStart"/>
            <w:r>
              <w:rPr>
                <w:color w:val="000000"/>
                <w:sz w:val="24"/>
                <w:szCs w:val="24"/>
              </w:rPr>
              <w:t>银沪港深价值</w:t>
            </w:r>
            <w:proofErr w:type="gramEnd"/>
            <w:r>
              <w:rPr>
                <w:color w:val="000000"/>
                <w:sz w:val="24"/>
                <w:szCs w:val="24"/>
              </w:rPr>
              <w:t>精选混合、交银核</w:t>
            </w:r>
            <w:proofErr w:type="gramStart"/>
            <w:r>
              <w:rPr>
                <w:color w:val="000000"/>
                <w:sz w:val="24"/>
                <w:szCs w:val="24"/>
              </w:rPr>
              <w:t>心资产</w:t>
            </w:r>
            <w:proofErr w:type="gramEnd"/>
            <w:r>
              <w:rPr>
                <w:color w:val="000000"/>
                <w:sz w:val="24"/>
                <w:szCs w:val="24"/>
              </w:rPr>
              <w:t>混合的基金经理，公司跨境投资副总监</w:t>
            </w:r>
          </w:p>
        </w:tc>
        <w:tc>
          <w:tcPr>
            <w:tcW w:w="1549" w:type="dxa"/>
            <w:vAlign w:val="center"/>
          </w:tcPr>
          <w:p w:rsidR="00542870" w:rsidRDefault="00A32E92">
            <w:pPr>
              <w:jc w:val="center"/>
            </w:pPr>
            <w:r>
              <w:rPr>
                <w:color w:val="000000"/>
                <w:sz w:val="24"/>
                <w:szCs w:val="24"/>
              </w:rPr>
              <w:t>2019-01-18</w:t>
            </w:r>
          </w:p>
        </w:tc>
        <w:tc>
          <w:tcPr>
            <w:tcW w:w="1548" w:type="dxa"/>
            <w:vAlign w:val="center"/>
          </w:tcPr>
          <w:p w:rsidR="00542870" w:rsidRDefault="00A32E92">
            <w:pPr>
              <w:jc w:val="center"/>
            </w:pPr>
            <w:r>
              <w:rPr>
                <w:color w:val="000000"/>
                <w:sz w:val="24"/>
                <w:szCs w:val="24"/>
              </w:rPr>
              <w:t>-</w:t>
            </w:r>
          </w:p>
        </w:tc>
        <w:tc>
          <w:tcPr>
            <w:tcW w:w="1407" w:type="dxa"/>
            <w:vAlign w:val="center"/>
          </w:tcPr>
          <w:p w:rsidR="00542870" w:rsidRDefault="00A32E92">
            <w:pPr>
              <w:jc w:val="center"/>
            </w:pPr>
            <w:r>
              <w:rPr>
                <w:color w:val="000000"/>
                <w:sz w:val="24"/>
                <w:szCs w:val="24"/>
              </w:rPr>
              <w:t>15</w:t>
            </w:r>
            <w:r>
              <w:rPr>
                <w:color w:val="000000"/>
                <w:sz w:val="24"/>
                <w:szCs w:val="24"/>
              </w:rPr>
              <w:t>年</w:t>
            </w:r>
          </w:p>
        </w:tc>
        <w:tc>
          <w:tcPr>
            <w:tcW w:w="2673" w:type="dxa"/>
            <w:vAlign w:val="center"/>
          </w:tcPr>
          <w:p w:rsidR="00542870" w:rsidRDefault="00A32E92">
            <w:r>
              <w:rPr>
                <w:color w:val="000000"/>
                <w:sz w:val="24"/>
                <w:szCs w:val="24"/>
              </w:rPr>
              <w:t>陈俊华女士，中国国籍，上海交通大学金融学硕士。</w:t>
            </w:r>
            <w:proofErr w:type="gramStart"/>
            <w:r>
              <w:rPr>
                <w:color w:val="000000"/>
                <w:sz w:val="24"/>
                <w:szCs w:val="24"/>
              </w:rPr>
              <w:t>历任国</w:t>
            </w:r>
            <w:proofErr w:type="gramEnd"/>
            <w:r>
              <w:rPr>
                <w:color w:val="000000"/>
                <w:sz w:val="24"/>
                <w:szCs w:val="24"/>
              </w:rPr>
              <w:t>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42870" w:rsidRDefault="00A32E9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42870" w:rsidRDefault="00A32E92">
      <w:pPr>
        <w:spacing w:before="29" w:line="288" w:lineRule="auto"/>
        <w:ind w:firstLineChars="200" w:firstLine="480"/>
        <w:rPr>
          <w:color w:val="000000"/>
          <w:sz w:val="24"/>
          <w:szCs w:val="24"/>
        </w:rPr>
      </w:pPr>
      <w:r>
        <w:rPr>
          <w:color w:val="000000"/>
          <w:sz w:val="24"/>
          <w:szCs w:val="24"/>
        </w:rPr>
        <w:t>公司建立</w:t>
      </w:r>
      <w:r>
        <w:rPr>
          <w:color w:val="000000"/>
          <w:sz w:val="24"/>
          <w:szCs w:val="24"/>
        </w:rPr>
        <w:t>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42870" w:rsidRDefault="00A32E9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w:t>
      </w:r>
      <w:r>
        <w:rPr>
          <w:color w:val="000000"/>
          <w:sz w:val="24"/>
          <w:szCs w:val="24"/>
        </w:rPr>
        <w:t>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42870" w:rsidRDefault="00A32E92">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年三季度，市场交易活跃。七月，投资者延续了对于经济恢复的乐观预期，加之创业</w:t>
      </w:r>
      <w:proofErr w:type="gramStart"/>
      <w:r>
        <w:rPr>
          <w:color w:val="000000"/>
          <w:sz w:val="24"/>
          <w:szCs w:val="24"/>
        </w:rPr>
        <w:t>板注册</w:t>
      </w:r>
      <w:proofErr w:type="gramEnd"/>
      <w:r>
        <w:rPr>
          <w:color w:val="000000"/>
          <w:sz w:val="24"/>
          <w:szCs w:val="24"/>
        </w:rPr>
        <w:t>制的启动，投资者风险偏好提升，</w:t>
      </w:r>
      <w:r>
        <w:rPr>
          <w:color w:val="000000"/>
          <w:sz w:val="24"/>
          <w:szCs w:val="24"/>
        </w:rPr>
        <w:t>A</w:t>
      </w:r>
      <w:r>
        <w:rPr>
          <w:color w:val="000000"/>
          <w:sz w:val="24"/>
          <w:szCs w:val="24"/>
        </w:rPr>
        <w:t>股涨幅位居全球前列。八、九月，伴随中报公布，各行业的上市公司给出不同的业绩指引，投资者的偏好发生分歧，市场呈现震荡走势。股票供给方面，三季度</w:t>
      </w:r>
      <w:r>
        <w:rPr>
          <w:color w:val="000000"/>
          <w:sz w:val="24"/>
          <w:szCs w:val="24"/>
        </w:rPr>
        <w:t>IPO</w:t>
      </w:r>
      <w:r>
        <w:rPr>
          <w:color w:val="000000"/>
          <w:sz w:val="24"/>
          <w:szCs w:val="24"/>
        </w:rPr>
        <w:t>和增发累计募集资金超</w:t>
      </w:r>
      <w:r>
        <w:rPr>
          <w:color w:val="000000"/>
          <w:sz w:val="24"/>
          <w:szCs w:val="24"/>
        </w:rPr>
        <w:t>5000</w:t>
      </w:r>
      <w:r>
        <w:rPr>
          <w:color w:val="000000"/>
          <w:sz w:val="24"/>
          <w:szCs w:val="24"/>
        </w:rPr>
        <w:t>亿元；港股亦有消费龙头</w:t>
      </w:r>
      <w:r>
        <w:rPr>
          <w:color w:val="000000"/>
          <w:sz w:val="24"/>
          <w:szCs w:val="24"/>
        </w:rPr>
        <w:t>IPO</w:t>
      </w:r>
      <w:r>
        <w:rPr>
          <w:color w:val="000000"/>
          <w:sz w:val="24"/>
          <w:szCs w:val="24"/>
        </w:rPr>
        <w:t>并迅速进</w:t>
      </w:r>
      <w:proofErr w:type="gramStart"/>
      <w:r>
        <w:rPr>
          <w:color w:val="000000"/>
          <w:sz w:val="24"/>
          <w:szCs w:val="24"/>
        </w:rPr>
        <w:t>入港股通投资</w:t>
      </w:r>
      <w:proofErr w:type="gramEnd"/>
      <w:r>
        <w:rPr>
          <w:color w:val="000000"/>
          <w:sz w:val="24"/>
          <w:szCs w:val="24"/>
        </w:rPr>
        <w:t>范围，共同为二级市场提供了更多的投资候选标的。整体而言，市场在三季度仍然录得了正收益。</w:t>
      </w:r>
    </w:p>
    <w:p w:rsidR="00542870" w:rsidRDefault="00A32E92">
      <w:pPr>
        <w:spacing w:before="29" w:line="288" w:lineRule="auto"/>
        <w:ind w:firstLineChars="200" w:firstLine="480"/>
        <w:rPr>
          <w:color w:val="000000"/>
          <w:sz w:val="24"/>
          <w:szCs w:val="24"/>
        </w:rPr>
      </w:pPr>
      <w:r>
        <w:rPr>
          <w:color w:val="000000"/>
          <w:sz w:val="24"/>
          <w:szCs w:val="24"/>
        </w:rPr>
        <w:t>回顾我们的操作，总体为投资人带来正贡献。我们的操作围绕基本面出发：行业需求是否开始恢复？企业护城河边际是否在变宽？基于这两个因素，我们进行了研究、筛选和</w:t>
      </w:r>
      <w:proofErr w:type="gramStart"/>
      <w:r>
        <w:rPr>
          <w:color w:val="000000"/>
          <w:sz w:val="24"/>
          <w:szCs w:val="24"/>
        </w:rPr>
        <w:t>仓位</w:t>
      </w:r>
      <w:proofErr w:type="gramEnd"/>
      <w:r>
        <w:rPr>
          <w:color w:val="000000"/>
          <w:sz w:val="24"/>
          <w:szCs w:val="24"/>
        </w:rPr>
        <w:t>调整：增加了消费服务、电子制造板块的</w:t>
      </w:r>
      <w:proofErr w:type="gramStart"/>
      <w:r>
        <w:rPr>
          <w:color w:val="000000"/>
          <w:sz w:val="24"/>
          <w:szCs w:val="24"/>
        </w:rPr>
        <w:t>仓位</w:t>
      </w:r>
      <w:proofErr w:type="gramEnd"/>
      <w:r>
        <w:rPr>
          <w:color w:val="000000"/>
          <w:sz w:val="24"/>
          <w:szCs w:val="24"/>
        </w:rPr>
        <w:t>，减少医药、软件板块的持仓。总体而言，我们维持中高</w:t>
      </w:r>
      <w:proofErr w:type="gramStart"/>
      <w:r>
        <w:rPr>
          <w:color w:val="000000"/>
          <w:sz w:val="24"/>
          <w:szCs w:val="24"/>
        </w:rPr>
        <w:t>仓位</w:t>
      </w:r>
      <w:proofErr w:type="gramEnd"/>
      <w:r>
        <w:rPr>
          <w:color w:val="000000"/>
          <w:sz w:val="24"/>
          <w:szCs w:val="24"/>
        </w:rPr>
        <w:t>运行。其中，</w:t>
      </w:r>
      <w:r>
        <w:rPr>
          <w:color w:val="000000"/>
          <w:sz w:val="24"/>
          <w:szCs w:val="24"/>
        </w:rPr>
        <w:t>A</w:t>
      </w:r>
      <w:r>
        <w:rPr>
          <w:color w:val="000000"/>
          <w:sz w:val="24"/>
          <w:szCs w:val="24"/>
        </w:rPr>
        <w:t>股占比超过</w:t>
      </w:r>
      <w:r>
        <w:rPr>
          <w:color w:val="000000"/>
          <w:sz w:val="24"/>
          <w:szCs w:val="24"/>
        </w:rPr>
        <w:t>50%</w:t>
      </w:r>
      <w:r>
        <w:rPr>
          <w:color w:val="000000"/>
          <w:sz w:val="24"/>
          <w:szCs w:val="24"/>
        </w:rPr>
        <w:t>，其余为港股</w:t>
      </w:r>
      <w:proofErr w:type="gramStart"/>
      <w:r>
        <w:rPr>
          <w:color w:val="000000"/>
          <w:sz w:val="24"/>
          <w:szCs w:val="24"/>
        </w:rPr>
        <w:t>仓位</w:t>
      </w:r>
      <w:proofErr w:type="gramEnd"/>
      <w:r>
        <w:rPr>
          <w:color w:val="000000"/>
          <w:sz w:val="24"/>
          <w:szCs w:val="24"/>
        </w:rPr>
        <w:t>，个股持仓更加集中。我们希望通过深入、细致的个股选择来为投资人赚取超额收益。</w:t>
      </w:r>
    </w:p>
    <w:p w:rsidR="00542870" w:rsidRDefault="00A32E92">
      <w:pPr>
        <w:spacing w:before="29" w:line="288" w:lineRule="auto"/>
        <w:ind w:firstLineChars="200" w:firstLine="480"/>
        <w:rPr>
          <w:color w:val="000000"/>
          <w:sz w:val="24"/>
          <w:szCs w:val="24"/>
        </w:rPr>
      </w:pPr>
      <w:r>
        <w:rPr>
          <w:color w:val="000000"/>
          <w:sz w:val="24"/>
          <w:szCs w:val="24"/>
        </w:rPr>
        <w:t>展望</w:t>
      </w:r>
      <w:r>
        <w:rPr>
          <w:color w:val="000000"/>
          <w:sz w:val="24"/>
          <w:szCs w:val="24"/>
        </w:rPr>
        <w:t>2020</w:t>
      </w:r>
      <w:r>
        <w:rPr>
          <w:color w:val="000000"/>
          <w:sz w:val="24"/>
          <w:szCs w:val="24"/>
        </w:rPr>
        <w:t>年四季度，我们仍然聚焦</w:t>
      </w:r>
      <w:r>
        <w:rPr>
          <w:color w:val="000000"/>
          <w:sz w:val="24"/>
          <w:szCs w:val="24"/>
        </w:rPr>
        <w:t>“</w:t>
      </w:r>
      <w:r>
        <w:rPr>
          <w:color w:val="000000"/>
          <w:sz w:val="24"/>
          <w:szCs w:val="24"/>
        </w:rPr>
        <w:t>成长力</w:t>
      </w:r>
      <w:r>
        <w:rPr>
          <w:color w:val="000000"/>
          <w:sz w:val="24"/>
          <w:szCs w:val="24"/>
        </w:rPr>
        <w:t>”</w:t>
      </w:r>
      <w:r>
        <w:rPr>
          <w:color w:val="000000"/>
          <w:sz w:val="24"/>
          <w:szCs w:val="24"/>
        </w:rPr>
        <w:t>。与投资者分享以下几方面的投资心得：</w:t>
      </w:r>
      <w:r>
        <w:rPr>
          <w:color w:val="000000"/>
          <w:sz w:val="24"/>
          <w:szCs w:val="24"/>
        </w:rPr>
        <w:t>1</w:t>
      </w:r>
      <w:r>
        <w:rPr>
          <w:color w:val="000000"/>
          <w:sz w:val="24"/>
          <w:szCs w:val="24"/>
        </w:rPr>
        <w:t>）从全球比较的视角，我们拥有最大的消费市场和最全的工业制</w:t>
      </w:r>
      <w:r>
        <w:rPr>
          <w:color w:val="000000"/>
          <w:sz w:val="24"/>
          <w:szCs w:val="24"/>
        </w:rPr>
        <w:t>造供应链体系，我们将更聚焦于消费品、消费服务和工业制造，筛选</w:t>
      </w:r>
      <w:r>
        <w:rPr>
          <w:color w:val="000000"/>
          <w:sz w:val="24"/>
          <w:szCs w:val="24"/>
        </w:rPr>
        <w:t>A</w:t>
      </w:r>
      <w:r>
        <w:rPr>
          <w:color w:val="000000"/>
          <w:sz w:val="24"/>
          <w:szCs w:val="24"/>
        </w:rPr>
        <w:t>股和港股的相关龙头，作为我们的投资标的。</w:t>
      </w:r>
      <w:r>
        <w:rPr>
          <w:color w:val="000000"/>
          <w:sz w:val="24"/>
          <w:szCs w:val="24"/>
        </w:rPr>
        <w:t>2</w:t>
      </w:r>
      <w:r>
        <w:rPr>
          <w:color w:val="000000"/>
          <w:sz w:val="24"/>
          <w:szCs w:val="24"/>
        </w:rPr>
        <w:t>）疫情对于经济的影响是深远而复杂的。横向来看：各行业复苏、消费复苏都有不同的节奏，我们会精心筛选复苏相对确定的领域。纵向来看：疫情不仅带来需求节奏的变化、催生新的需求；还带来供给侧的变化，即是行业内竞争结构改变，这亦会对留存下来的企业产生正面推动。我们需要寻找竞争力提升的企业。对企业竞争力提升的判断，不仅要关注企业当期资产负债、盈利能力以及现金流等结果指标。更要关注企业的组织结构、管理智能化水平以及销售网</w:t>
      </w:r>
      <w:r>
        <w:rPr>
          <w:color w:val="000000"/>
          <w:sz w:val="24"/>
          <w:szCs w:val="24"/>
        </w:rPr>
        <w:t>络体系的变化，看其是否足以应对未来市场的变化。总体而言，我们关注</w:t>
      </w:r>
      <w:r>
        <w:rPr>
          <w:color w:val="000000"/>
          <w:sz w:val="24"/>
          <w:szCs w:val="24"/>
        </w:rPr>
        <w:t xml:space="preserve">to C </w:t>
      </w:r>
      <w:r>
        <w:rPr>
          <w:color w:val="000000"/>
          <w:sz w:val="24"/>
          <w:szCs w:val="24"/>
        </w:rPr>
        <w:t>和</w:t>
      </w:r>
      <w:r>
        <w:rPr>
          <w:color w:val="000000"/>
          <w:sz w:val="24"/>
          <w:szCs w:val="24"/>
        </w:rPr>
        <w:t>to B</w:t>
      </w:r>
      <w:r>
        <w:rPr>
          <w:color w:val="000000"/>
          <w:sz w:val="24"/>
          <w:szCs w:val="24"/>
        </w:rPr>
        <w:t>领域的消费和制造，最为看好</w:t>
      </w:r>
      <w:r>
        <w:rPr>
          <w:color w:val="000000"/>
          <w:sz w:val="24"/>
          <w:szCs w:val="24"/>
        </w:rPr>
        <w:t>to C</w:t>
      </w:r>
      <w:r>
        <w:rPr>
          <w:color w:val="000000"/>
          <w:sz w:val="24"/>
          <w:szCs w:val="24"/>
        </w:rPr>
        <w:t>领域的相关标的；</w:t>
      </w:r>
      <w:r>
        <w:rPr>
          <w:color w:val="000000"/>
          <w:sz w:val="24"/>
          <w:szCs w:val="24"/>
        </w:rPr>
        <w:t>to B</w:t>
      </w:r>
      <w:r>
        <w:rPr>
          <w:color w:val="000000"/>
          <w:sz w:val="24"/>
          <w:szCs w:val="24"/>
        </w:rPr>
        <w:t>领域，不仅要</w:t>
      </w:r>
      <w:proofErr w:type="gramStart"/>
      <w:r>
        <w:rPr>
          <w:color w:val="000000"/>
          <w:sz w:val="24"/>
          <w:szCs w:val="24"/>
        </w:rPr>
        <w:t>考量</w:t>
      </w:r>
      <w:proofErr w:type="gramEnd"/>
      <w:r>
        <w:rPr>
          <w:color w:val="000000"/>
          <w:sz w:val="24"/>
          <w:szCs w:val="24"/>
        </w:rPr>
        <w:t>企业自身竞争力，还需关注整个产业链的匹配情况。</w:t>
      </w:r>
      <w:r>
        <w:rPr>
          <w:color w:val="000000"/>
          <w:sz w:val="24"/>
          <w:szCs w:val="24"/>
        </w:rPr>
        <w:t>3</w:t>
      </w:r>
      <w:r>
        <w:rPr>
          <w:color w:val="000000"/>
          <w:sz w:val="24"/>
          <w:szCs w:val="24"/>
        </w:rPr>
        <w:t>）四季度，海外仍有不确定因素，可能会造成市场短期波动。可能的扰动因素包括：美国大选、贸易摩擦以及疫情是否会反复等。我们认为这些是短期扰动，或难以持续。毕竟，经济恢复是全球各经济体的共同诉求，也是资金逐利的主要来源。寻找具有</w:t>
      </w:r>
      <w:r>
        <w:rPr>
          <w:color w:val="000000"/>
          <w:sz w:val="24"/>
          <w:szCs w:val="24"/>
        </w:rPr>
        <w:t>“</w:t>
      </w:r>
      <w:r>
        <w:rPr>
          <w:color w:val="000000"/>
          <w:sz w:val="24"/>
          <w:szCs w:val="24"/>
        </w:rPr>
        <w:t>成长力</w:t>
      </w:r>
      <w:r>
        <w:rPr>
          <w:color w:val="000000"/>
          <w:sz w:val="24"/>
          <w:szCs w:val="24"/>
        </w:rPr>
        <w:t>”</w:t>
      </w:r>
      <w:r>
        <w:rPr>
          <w:color w:val="000000"/>
          <w:sz w:val="24"/>
          <w:szCs w:val="24"/>
        </w:rPr>
        <w:t>的投资标的，仍是我们</w:t>
      </w:r>
      <w:proofErr w:type="gramStart"/>
      <w:r>
        <w:rPr>
          <w:color w:val="000000"/>
          <w:sz w:val="24"/>
          <w:szCs w:val="24"/>
        </w:rPr>
        <w:t>最</w:t>
      </w:r>
      <w:proofErr w:type="gramEnd"/>
      <w:r>
        <w:rPr>
          <w:color w:val="000000"/>
          <w:sz w:val="24"/>
          <w:szCs w:val="24"/>
        </w:rPr>
        <w:t>核心的任务。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综上，我们的投资方向和思路更加的具体和明晰，有机会也有挑战。我们将一如既往的做好研究，主动管理风险，努力为投资人赚取回报。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75,320,970.20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86.73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75,320,970.20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86.73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11,449,025.84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13.18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80,037.96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86,850,034.00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35,938,438.35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7,298.72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16,793.79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607,916.68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47,585,447.54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55.02</w:t>
            </w:r>
          </w:p>
        </w:tc>
      </w:tr>
    </w:tbl>
    <w:p w:rsidR="00C508FB" w:rsidRDefault="00C508F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542870">
        <w:trPr>
          <w:jc w:val="center"/>
        </w:trPr>
        <w:tc>
          <w:tcPr>
            <w:tcW w:w="2397" w:type="dxa"/>
            <w:vAlign w:val="center"/>
          </w:tcPr>
          <w:p w:rsidR="00542870" w:rsidRDefault="00A32E92">
            <w:pPr>
              <w:jc w:val="center"/>
            </w:pPr>
            <w:r>
              <w:rPr>
                <w:color w:val="000000"/>
                <w:sz w:val="24"/>
              </w:rPr>
              <w:t>非日常生活消费品</w:t>
            </w:r>
          </w:p>
        </w:tc>
        <w:tc>
          <w:tcPr>
            <w:tcW w:w="3119" w:type="dxa"/>
            <w:vAlign w:val="center"/>
          </w:tcPr>
          <w:p w:rsidR="00542870" w:rsidRDefault="00A32E92">
            <w:pPr>
              <w:jc w:val="center"/>
            </w:pPr>
            <w:r>
              <w:rPr>
                <w:color w:val="000000"/>
                <w:sz w:val="24"/>
              </w:rPr>
              <w:t>11,498,051.20</w:t>
            </w:r>
          </w:p>
        </w:tc>
        <w:tc>
          <w:tcPr>
            <w:tcW w:w="3118" w:type="dxa"/>
            <w:vAlign w:val="center"/>
          </w:tcPr>
          <w:p w:rsidR="00542870" w:rsidRDefault="00A32E92">
            <w:pPr>
              <w:jc w:val="center"/>
            </w:pPr>
            <w:r>
              <w:rPr>
                <w:color w:val="000000"/>
                <w:sz w:val="24"/>
              </w:rPr>
              <w:t>13.30</w:t>
            </w:r>
          </w:p>
        </w:tc>
      </w:tr>
      <w:tr w:rsidR="00542870">
        <w:trPr>
          <w:jc w:val="center"/>
        </w:trPr>
        <w:tc>
          <w:tcPr>
            <w:tcW w:w="2397" w:type="dxa"/>
            <w:vAlign w:val="center"/>
          </w:tcPr>
          <w:p w:rsidR="00542870" w:rsidRDefault="00A32E92">
            <w:pPr>
              <w:jc w:val="center"/>
            </w:pPr>
            <w:r>
              <w:rPr>
                <w:color w:val="000000"/>
                <w:sz w:val="24"/>
              </w:rPr>
              <w:t>通讯服务</w:t>
            </w:r>
          </w:p>
        </w:tc>
        <w:tc>
          <w:tcPr>
            <w:tcW w:w="3119" w:type="dxa"/>
            <w:vAlign w:val="center"/>
          </w:tcPr>
          <w:p w:rsidR="00542870" w:rsidRDefault="00A32E92">
            <w:pPr>
              <w:jc w:val="center"/>
            </w:pPr>
            <w:r>
              <w:rPr>
                <w:color w:val="000000"/>
                <w:sz w:val="24"/>
              </w:rPr>
              <w:t>7,157,174.40</w:t>
            </w:r>
          </w:p>
        </w:tc>
        <w:tc>
          <w:tcPr>
            <w:tcW w:w="3118" w:type="dxa"/>
            <w:vAlign w:val="center"/>
          </w:tcPr>
          <w:p w:rsidR="00542870" w:rsidRDefault="00A32E92">
            <w:pPr>
              <w:jc w:val="center"/>
            </w:pPr>
            <w:r>
              <w:rPr>
                <w:color w:val="000000"/>
                <w:sz w:val="24"/>
              </w:rPr>
              <w:t>8.28</w:t>
            </w:r>
          </w:p>
        </w:tc>
      </w:tr>
      <w:tr w:rsidR="00542870">
        <w:trPr>
          <w:jc w:val="center"/>
        </w:trPr>
        <w:tc>
          <w:tcPr>
            <w:tcW w:w="2397" w:type="dxa"/>
            <w:vAlign w:val="center"/>
          </w:tcPr>
          <w:p w:rsidR="00542870" w:rsidRDefault="00A32E92">
            <w:pPr>
              <w:jc w:val="center"/>
            </w:pPr>
            <w:r>
              <w:rPr>
                <w:color w:val="000000"/>
                <w:sz w:val="24"/>
              </w:rPr>
              <w:t>信息技术</w:t>
            </w:r>
          </w:p>
        </w:tc>
        <w:tc>
          <w:tcPr>
            <w:tcW w:w="3119" w:type="dxa"/>
            <w:vAlign w:val="center"/>
          </w:tcPr>
          <w:p w:rsidR="00542870" w:rsidRDefault="00A32E92">
            <w:pPr>
              <w:jc w:val="center"/>
            </w:pPr>
            <w:r>
              <w:rPr>
                <w:color w:val="000000"/>
                <w:sz w:val="24"/>
              </w:rPr>
              <w:t>5,319,375.46</w:t>
            </w:r>
          </w:p>
        </w:tc>
        <w:tc>
          <w:tcPr>
            <w:tcW w:w="3118" w:type="dxa"/>
            <w:vAlign w:val="center"/>
          </w:tcPr>
          <w:p w:rsidR="00542870" w:rsidRDefault="00A32E92">
            <w:pPr>
              <w:jc w:val="center"/>
            </w:pPr>
            <w:r>
              <w:rPr>
                <w:color w:val="000000"/>
                <w:sz w:val="24"/>
              </w:rPr>
              <w:t>6.15</w:t>
            </w:r>
          </w:p>
        </w:tc>
      </w:tr>
      <w:tr w:rsidR="00542870">
        <w:trPr>
          <w:jc w:val="center"/>
        </w:trPr>
        <w:tc>
          <w:tcPr>
            <w:tcW w:w="2397" w:type="dxa"/>
            <w:vAlign w:val="center"/>
          </w:tcPr>
          <w:p w:rsidR="00542870" w:rsidRDefault="00A32E92">
            <w:pPr>
              <w:jc w:val="center"/>
            </w:pPr>
            <w:r>
              <w:rPr>
                <w:color w:val="000000"/>
                <w:sz w:val="24"/>
              </w:rPr>
              <w:t>工业</w:t>
            </w:r>
          </w:p>
        </w:tc>
        <w:tc>
          <w:tcPr>
            <w:tcW w:w="3119" w:type="dxa"/>
            <w:vAlign w:val="center"/>
          </w:tcPr>
          <w:p w:rsidR="00542870" w:rsidRDefault="00A32E92">
            <w:pPr>
              <w:jc w:val="center"/>
            </w:pPr>
            <w:r>
              <w:rPr>
                <w:color w:val="000000"/>
                <w:sz w:val="24"/>
              </w:rPr>
              <w:t>3,760,921.60</w:t>
            </w:r>
          </w:p>
        </w:tc>
        <w:tc>
          <w:tcPr>
            <w:tcW w:w="3118" w:type="dxa"/>
            <w:vAlign w:val="center"/>
          </w:tcPr>
          <w:p w:rsidR="00542870" w:rsidRDefault="00A32E92">
            <w:pPr>
              <w:jc w:val="center"/>
            </w:pPr>
            <w:r>
              <w:rPr>
                <w:color w:val="000000"/>
                <w:sz w:val="24"/>
              </w:rPr>
              <w:t>4.35</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27,735,522.66</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32.07</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42870">
        <w:trPr>
          <w:jc w:val="center"/>
        </w:trPr>
        <w:tc>
          <w:tcPr>
            <w:tcW w:w="855" w:type="dxa"/>
            <w:vAlign w:val="center"/>
          </w:tcPr>
          <w:p w:rsidR="00542870" w:rsidRDefault="00A32E92">
            <w:pPr>
              <w:jc w:val="center"/>
            </w:pPr>
            <w:r>
              <w:rPr>
                <w:color w:val="000000"/>
                <w:sz w:val="24"/>
                <w:szCs w:val="24"/>
              </w:rPr>
              <w:t>1</w:t>
            </w:r>
          </w:p>
        </w:tc>
        <w:tc>
          <w:tcPr>
            <w:tcW w:w="1334" w:type="dxa"/>
            <w:vAlign w:val="center"/>
          </w:tcPr>
          <w:p w:rsidR="00542870" w:rsidRDefault="00A32E92">
            <w:pPr>
              <w:jc w:val="center"/>
            </w:pPr>
            <w:r>
              <w:rPr>
                <w:color w:val="000000"/>
                <w:sz w:val="24"/>
                <w:szCs w:val="24"/>
              </w:rPr>
              <w:t>00700.HK</w:t>
            </w:r>
          </w:p>
        </w:tc>
        <w:tc>
          <w:tcPr>
            <w:tcW w:w="1777" w:type="dxa"/>
            <w:vAlign w:val="center"/>
          </w:tcPr>
          <w:p w:rsidR="00542870" w:rsidRDefault="00A32E92">
            <w:pPr>
              <w:jc w:val="center"/>
            </w:pPr>
            <w:proofErr w:type="gramStart"/>
            <w:r>
              <w:rPr>
                <w:color w:val="000000"/>
                <w:sz w:val="24"/>
                <w:szCs w:val="24"/>
              </w:rPr>
              <w:t>腾讯控股</w:t>
            </w:r>
            <w:proofErr w:type="gramEnd"/>
          </w:p>
        </w:tc>
        <w:tc>
          <w:tcPr>
            <w:tcW w:w="1334" w:type="dxa"/>
            <w:vAlign w:val="center"/>
          </w:tcPr>
          <w:p w:rsidR="00542870" w:rsidRDefault="00A32E92">
            <w:pPr>
              <w:jc w:val="right"/>
            </w:pPr>
            <w:r>
              <w:rPr>
                <w:color w:val="000000"/>
                <w:sz w:val="24"/>
                <w:szCs w:val="24"/>
              </w:rPr>
              <w:t>12,000</w:t>
            </w:r>
          </w:p>
        </w:tc>
        <w:tc>
          <w:tcPr>
            <w:tcW w:w="1924" w:type="dxa"/>
            <w:vAlign w:val="center"/>
          </w:tcPr>
          <w:p w:rsidR="00542870" w:rsidRDefault="00A32E92">
            <w:pPr>
              <w:jc w:val="right"/>
            </w:pPr>
            <w:r>
              <w:rPr>
                <w:color w:val="000000"/>
                <w:sz w:val="24"/>
                <w:szCs w:val="24"/>
              </w:rPr>
              <w:t>5,393,583.36</w:t>
            </w:r>
          </w:p>
        </w:tc>
        <w:tc>
          <w:tcPr>
            <w:tcW w:w="1644" w:type="dxa"/>
            <w:vAlign w:val="center"/>
          </w:tcPr>
          <w:p w:rsidR="00542870" w:rsidRDefault="00A32E92">
            <w:pPr>
              <w:jc w:val="right"/>
            </w:pPr>
            <w:r>
              <w:rPr>
                <w:color w:val="000000"/>
                <w:sz w:val="24"/>
                <w:szCs w:val="24"/>
              </w:rPr>
              <w:t>6.24</w:t>
            </w:r>
          </w:p>
        </w:tc>
      </w:tr>
      <w:tr w:rsidR="00542870">
        <w:trPr>
          <w:jc w:val="center"/>
        </w:trPr>
        <w:tc>
          <w:tcPr>
            <w:tcW w:w="855" w:type="dxa"/>
            <w:vAlign w:val="center"/>
          </w:tcPr>
          <w:p w:rsidR="00542870" w:rsidRDefault="00A32E92">
            <w:pPr>
              <w:jc w:val="center"/>
            </w:pPr>
            <w:r>
              <w:rPr>
                <w:color w:val="000000"/>
                <w:sz w:val="24"/>
                <w:szCs w:val="24"/>
              </w:rPr>
              <w:t>2</w:t>
            </w:r>
          </w:p>
        </w:tc>
        <w:tc>
          <w:tcPr>
            <w:tcW w:w="1334" w:type="dxa"/>
            <w:vAlign w:val="center"/>
          </w:tcPr>
          <w:p w:rsidR="00542870" w:rsidRDefault="00A32E92">
            <w:pPr>
              <w:jc w:val="center"/>
            </w:pPr>
            <w:r>
              <w:rPr>
                <w:color w:val="000000"/>
                <w:sz w:val="24"/>
                <w:szCs w:val="24"/>
              </w:rPr>
              <w:t>600519</w:t>
            </w:r>
          </w:p>
        </w:tc>
        <w:tc>
          <w:tcPr>
            <w:tcW w:w="1777" w:type="dxa"/>
            <w:vAlign w:val="center"/>
          </w:tcPr>
          <w:p w:rsidR="00542870" w:rsidRDefault="00A32E92">
            <w:pPr>
              <w:jc w:val="center"/>
            </w:pPr>
            <w:r>
              <w:rPr>
                <w:color w:val="000000"/>
                <w:sz w:val="24"/>
                <w:szCs w:val="24"/>
              </w:rPr>
              <w:t>贵州茅台</w:t>
            </w:r>
          </w:p>
        </w:tc>
        <w:tc>
          <w:tcPr>
            <w:tcW w:w="1334" w:type="dxa"/>
            <w:vAlign w:val="center"/>
          </w:tcPr>
          <w:p w:rsidR="00542870" w:rsidRDefault="00A32E92">
            <w:pPr>
              <w:jc w:val="right"/>
            </w:pPr>
            <w:r>
              <w:rPr>
                <w:color w:val="000000"/>
                <w:sz w:val="24"/>
                <w:szCs w:val="24"/>
              </w:rPr>
              <w:t>3,000</w:t>
            </w:r>
          </w:p>
        </w:tc>
        <w:tc>
          <w:tcPr>
            <w:tcW w:w="1924" w:type="dxa"/>
            <w:vAlign w:val="center"/>
          </w:tcPr>
          <w:p w:rsidR="00542870" w:rsidRDefault="00A32E92">
            <w:pPr>
              <w:jc w:val="right"/>
            </w:pPr>
            <w:r>
              <w:rPr>
                <w:color w:val="000000"/>
                <w:sz w:val="24"/>
                <w:szCs w:val="24"/>
              </w:rPr>
              <w:t>5,005,500.00</w:t>
            </w:r>
          </w:p>
        </w:tc>
        <w:tc>
          <w:tcPr>
            <w:tcW w:w="1644" w:type="dxa"/>
            <w:vAlign w:val="center"/>
          </w:tcPr>
          <w:p w:rsidR="00542870" w:rsidRDefault="00A32E92">
            <w:pPr>
              <w:jc w:val="right"/>
            </w:pPr>
            <w:r>
              <w:rPr>
                <w:color w:val="000000"/>
                <w:sz w:val="24"/>
                <w:szCs w:val="24"/>
              </w:rPr>
              <w:t>5.79</w:t>
            </w:r>
          </w:p>
        </w:tc>
      </w:tr>
      <w:tr w:rsidR="00542870">
        <w:trPr>
          <w:jc w:val="center"/>
        </w:trPr>
        <w:tc>
          <w:tcPr>
            <w:tcW w:w="855" w:type="dxa"/>
            <w:vAlign w:val="center"/>
          </w:tcPr>
          <w:p w:rsidR="00542870" w:rsidRDefault="00A32E92">
            <w:pPr>
              <w:jc w:val="center"/>
            </w:pPr>
            <w:r>
              <w:rPr>
                <w:color w:val="000000"/>
                <w:sz w:val="24"/>
                <w:szCs w:val="24"/>
              </w:rPr>
              <w:t>3</w:t>
            </w:r>
          </w:p>
        </w:tc>
        <w:tc>
          <w:tcPr>
            <w:tcW w:w="1334" w:type="dxa"/>
            <w:vAlign w:val="center"/>
          </w:tcPr>
          <w:p w:rsidR="00542870" w:rsidRDefault="00A32E92">
            <w:pPr>
              <w:jc w:val="center"/>
            </w:pPr>
            <w:r>
              <w:rPr>
                <w:color w:val="000000"/>
                <w:sz w:val="24"/>
                <w:szCs w:val="24"/>
              </w:rPr>
              <w:t>002475</w:t>
            </w:r>
          </w:p>
        </w:tc>
        <w:tc>
          <w:tcPr>
            <w:tcW w:w="1777" w:type="dxa"/>
            <w:vAlign w:val="center"/>
          </w:tcPr>
          <w:p w:rsidR="00542870" w:rsidRDefault="00A32E92">
            <w:pPr>
              <w:jc w:val="center"/>
            </w:pPr>
            <w:r>
              <w:rPr>
                <w:color w:val="000000"/>
                <w:sz w:val="24"/>
                <w:szCs w:val="24"/>
              </w:rPr>
              <w:t>立讯精密</w:t>
            </w:r>
          </w:p>
        </w:tc>
        <w:tc>
          <w:tcPr>
            <w:tcW w:w="1334" w:type="dxa"/>
            <w:vAlign w:val="center"/>
          </w:tcPr>
          <w:p w:rsidR="00542870" w:rsidRDefault="00A32E92">
            <w:pPr>
              <w:jc w:val="right"/>
            </w:pPr>
            <w:r>
              <w:rPr>
                <w:color w:val="000000"/>
                <w:sz w:val="24"/>
                <w:szCs w:val="24"/>
              </w:rPr>
              <w:t>77,998</w:t>
            </w:r>
          </w:p>
        </w:tc>
        <w:tc>
          <w:tcPr>
            <w:tcW w:w="1924" w:type="dxa"/>
            <w:vAlign w:val="center"/>
          </w:tcPr>
          <w:p w:rsidR="00542870" w:rsidRDefault="00A32E92">
            <w:pPr>
              <w:jc w:val="right"/>
            </w:pPr>
            <w:r>
              <w:rPr>
                <w:color w:val="000000"/>
                <w:sz w:val="24"/>
                <w:szCs w:val="24"/>
              </w:rPr>
              <w:t>4,456,025.74</w:t>
            </w:r>
          </w:p>
        </w:tc>
        <w:tc>
          <w:tcPr>
            <w:tcW w:w="1644" w:type="dxa"/>
            <w:vAlign w:val="center"/>
          </w:tcPr>
          <w:p w:rsidR="00542870" w:rsidRDefault="00A32E92">
            <w:pPr>
              <w:jc w:val="right"/>
            </w:pPr>
            <w:r>
              <w:rPr>
                <w:color w:val="000000"/>
                <w:sz w:val="24"/>
                <w:szCs w:val="24"/>
              </w:rPr>
              <w:t>5.15</w:t>
            </w:r>
          </w:p>
        </w:tc>
      </w:tr>
      <w:tr w:rsidR="00542870">
        <w:trPr>
          <w:jc w:val="center"/>
        </w:trPr>
        <w:tc>
          <w:tcPr>
            <w:tcW w:w="855" w:type="dxa"/>
            <w:vAlign w:val="center"/>
          </w:tcPr>
          <w:p w:rsidR="00542870" w:rsidRDefault="00A32E92">
            <w:pPr>
              <w:jc w:val="center"/>
            </w:pPr>
            <w:r>
              <w:rPr>
                <w:color w:val="000000"/>
                <w:sz w:val="24"/>
                <w:szCs w:val="24"/>
              </w:rPr>
              <w:t>4</w:t>
            </w:r>
          </w:p>
        </w:tc>
        <w:tc>
          <w:tcPr>
            <w:tcW w:w="1334" w:type="dxa"/>
            <w:vAlign w:val="center"/>
          </w:tcPr>
          <w:p w:rsidR="00542870" w:rsidRDefault="00A32E92">
            <w:pPr>
              <w:jc w:val="center"/>
            </w:pPr>
            <w:r>
              <w:rPr>
                <w:color w:val="000000"/>
                <w:sz w:val="24"/>
                <w:szCs w:val="24"/>
              </w:rPr>
              <w:t>03690.HK</w:t>
            </w:r>
          </w:p>
        </w:tc>
        <w:tc>
          <w:tcPr>
            <w:tcW w:w="1777" w:type="dxa"/>
            <w:vAlign w:val="center"/>
          </w:tcPr>
          <w:p w:rsidR="00542870" w:rsidRDefault="00A32E92">
            <w:pPr>
              <w:jc w:val="center"/>
            </w:pPr>
            <w:proofErr w:type="gramStart"/>
            <w:r>
              <w:rPr>
                <w:color w:val="000000"/>
                <w:sz w:val="24"/>
                <w:szCs w:val="24"/>
              </w:rPr>
              <w:t>美团点评</w:t>
            </w:r>
            <w:proofErr w:type="gramEnd"/>
            <w:r>
              <w:rPr>
                <w:color w:val="000000"/>
                <w:sz w:val="24"/>
                <w:szCs w:val="24"/>
              </w:rPr>
              <w:t>－Ｗ</w:t>
            </w:r>
          </w:p>
        </w:tc>
        <w:tc>
          <w:tcPr>
            <w:tcW w:w="1334" w:type="dxa"/>
            <w:vAlign w:val="center"/>
          </w:tcPr>
          <w:p w:rsidR="00542870" w:rsidRDefault="00A32E92">
            <w:pPr>
              <w:jc w:val="right"/>
            </w:pPr>
            <w:r>
              <w:rPr>
                <w:color w:val="000000"/>
                <w:sz w:val="24"/>
                <w:szCs w:val="24"/>
              </w:rPr>
              <w:t>20,000</w:t>
            </w:r>
          </w:p>
        </w:tc>
        <w:tc>
          <w:tcPr>
            <w:tcW w:w="1924" w:type="dxa"/>
            <w:vAlign w:val="center"/>
          </w:tcPr>
          <w:p w:rsidR="00542870" w:rsidRDefault="00A32E92">
            <w:pPr>
              <w:jc w:val="right"/>
            </w:pPr>
            <w:r>
              <w:rPr>
                <w:color w:val="000000"/>
                <w:sz w:val="24"/>
                <w:szCs w:val="24"/>
              </w:rPr>
              <w:t>4,249,489.92</w:t>
            </w:r>
          </w:p>
        </w:tc>
        <w:tc>
          <w:tcPr>
            <w:tcW w:w="1644" w:type="dxa"/>
            <w:vAlign w:val="center"/>
          </w:tcPr>
          <w:p w:rsidR="00542870" w:rsidRDefault="00A32E92">
            <w:pPr>
              <w:jc w:val="right"/>
            </w:pPr>
            <w:r>
              <w:rPr>
                <w:color w:val="000000"/>
                <w:sz w:val="24"/>
                <w:szCs w:val="24"/>
              </w:rPr>
              <w:t>4.91</w:t>
            </w:r>
          </w:p>
        </w:tc>
      </w:tr>
      <w:tr w:rsidR="00542870">
        <w:trPr>
          <w:jc w:val="center"/>
        </w:trPr>
        <w:tc>
          <w:tcPr>
            <w:tcW w:w="855" w:type="dxa"/>
            <w:vAlign w:val="center"/>
          </w:tcPr>
          <w:p w:rsidR="00542870" w:rsidRDefault="00A32E92">
            <w:pPr>
              <w:jc w:val="center"/>
            </w:pPr>
            <w:r>
              <w:rPr>
                <w:color w:val="000000"/>
                <w:sz w:val="24"/>
                <w:szCs w:val="24"/>
              </w:rPr>
              <w:t>5</w:t>
            </w:r>
          </w:p>
        </w:tc>
        <w:tc>
          <w:tcPr>
            <w:tcW w:w="1334" w:type="dxa"/>
            <w:vAlign w:val="center"/>
          </w:tcPr>
          <w:p w:rsidR="00542870" w:rsidRDefault="00A32E92">
            <w:pPr>
              <w:jc w:val="center"/>
            </w:pPr>
            <w:r>
              <w:rPr>
                <w:color w:val="000000"/>
                <w:sz w:val="24"/>
                <w:szCs w:val="24"/>
              </w:rPr>
              <w:t>00881.HK</w:t>
            </w:r>
          </w:p>
        </w:tc>
        <w:tc>
          <w:tcPr>
            <w:tcW w:w="1777" w:type="dxa"/>
            <w:vAlign w:val="center"/>
          </w:tcPr>
          <w:p w:rsidR="00542870" w:rsidRDefault="00A32E92">
            <w:pPr>
              <w:jc w:val="center"/>
            </w:pPr>
            <w:r>
              <w:rPr>
                <w:color w:val="000000"/>
                <w:sz w:val="24"/>
                <w:szCs w:val="24"/>
              </w:rPr>
              <w:t>中升控股</w:t>
            </w:r>
          </w:p>
        </w:tc>
        <w:tc>
          <w:tcPr>
            <w:tcW w:w="1334" w:type="dxa"/>
            <w:vAlign w:val="center"/>
          </w:tcPr>
          <w:p w:rsidR="00542870" w:rsidRDefault="00A32E92">
            <w:pPr>
              <w:jc w:val="right"/>
            </w:pPr>
            <w:r>
              <w:rPr>
                <w:color w:val="000000"/>
                <w:sz w:val="24"/>
                <w:szCs w:val="24"/>
              </w:rPr>
              <w:t>100,000</w:t>
            </w:r>
          </w:p>
        </w:tc>
        <w:tc>
          <w:tcPr>
            <w:tcW w:w="1924" w:type="dxa"/>
            <w:vAlign w:val="center"/>
          </w:tcPr>
          <w:p w:rsidR="00542870" w:rsidRDefault="00A32E92">
            <w:pPr>
              <w:jc w:val="right"/>
            </w:pPr>
            <w:r>
              <w:rPr>
                <w:color w:val="000000"/>
                <w:sz w:val="24"/>
                <w:szCs w:val="24"/>
              </w:rPr>
              <w:t>4,248,611.20</w:t>
            </w:r>
          </w:p>
        </w:tc>
        <w:tc>
          <w:tcPr>
            <w:tcW w:w="1644" w:type="dxa"/>
            <w:vAlign w:val="center"/>
          </w:tcPr>
          <w:p w:rsidR="00542870" w:rsidRDefault="00A32E92">
            <w:pPr>
              <w:jc w:val="right"/>
            </w:pPr>
            <w:r>
              <w:rPr>
                <w:color w:val="000000"/>
                <w:sz w:val="24"/>
                <w:szCs w:val="24"/>
              </w:rPr>
              <w:t>4.91</w:t>
            </w:r>
          </w:p>
        </w:tc>
      </w:tr>
      <w:tr w:rsidR="00542870">
        <w:trPr>
          <w:jc w:val="center"/>
        </w:trPr>
        <w:tc>
          <w:tcPr>
            <w:tcW w:w="855" w:type="dxa"/>
            <w:vAlign w:val="center"/>
          </w:tcPr>
          <w:p w:rsidR="00542870" w:rsidRDefault="00A32E92">
            <w:pPr>
              <w:jc w:val="center"/>
            </w:pPr>
            <w:r>
              <w:rPr>
                <w:color w:val="000000"/>
                <w:sz w:val="24"/>
                <w:szCs w:val="24"/>
              </w:rPr>
              <w:t>6</w:t>
            </w:r>
          </w:p>
        </w:tc>
        <w:tc>
          <w:tcPr>
            <w:tcW w:w="1334" w:type="dxa"/>
            <w:vAlign w:val="center"/>
          </w:tcPr>
          <w:p w:rsidR="00542870" w:rsidRDefault="00A32E92">
            <w:pPr>
              <w:jc w:val="center"/>
            </w:pPr>
            <w:r>
              <w:rPr>
                <w:color w:val="000000"/>
                <w:sz w:val="24"/>
                <w:szCs w:val="24"/>
              </w:rPr>
              <w:t>01308.HK</w:t>
            </w:r>
          </w:p>
        </w:tc>
        <w:tc>
          <w:tcPr>
            <w:tcW w:w="1777" w:type="dxa"/>
            <w:vAlign w:val="center"/>
          </w:tcPr>
          <w:p w:rsidR="00542870" w:rsidRDefault="00A32E92">
            <w:pPr>
              <w:jc w:val="center"/>
            </w:pPr>
            <w:r>
              <w:rPr>
                <w:color w:val="000000"/>
                <w:sz w:val="24"/>
                <w:szCs w:val="24"/>
              </w:rPr>
              <w:t>海丰国际</w:t>
            </w:r>
          </w:p>
        </w:tc>
        <w:tc>
          <w:tcPr>
            <w:tcW w:w="1334" w:type="dxa"/>
            <w:vAlign w:val="center"/>
          </w:tcPr>
          <w:p w:rsidR="00542870" w:rsidRDefault="00A32E92">
            <w:pPr>
              <w:jc w:val="right"/>
            </w:pPr>
            <w:r>
              <w:rPr>
                <w:color w:val="000000"/>
                <w:sz w:val="24"/>
                <w:szCs w:val="24"/>
              </w:rPr>
              <w:t>400,000</w:t>
            </w:r>
          </w:p>
        </w:tc>
        <w:tc>
          <w:tcPr>
            <w:tcW w:w="1924" w:type="dxa"/>
            <w:vAlign w:val="center"/>
          </w:tcPr>
          <w:p w:rsidR="00542870" w:rsidRDefault="00A32E92">
            <w:pPr>
              <w:jc w:val="right"/>
            </w:pPr>
            <w:r>
              <w:rPr>
                <w:color w:val="000000"/>
                <w:sz w:val="24"/>
                <w:szCs w:val="24"/>
              </w:rPr>
              <w:t>3,760,921.60</w:t>
            </w:r>
          </w:p>
        </w:tc>
        <w:tc>
          <w:tcPr>
            <w:tcW w:w="1644" w:type="dxa"/>
            <w:vAlign w:val="center"/>
          </w:tcPr>
          <w:p w:rsidR="00542870" w:rsidRDefault="00A32E92">
            <w:pPr>
              <w:jc w:val="right"/>
            </w:pPr>
            <w:r>
              <w:rPr>
                <w:color w:val="000000"/>
                <w:sz w:val="24"/>
                <w:szCs w:val="24"/>
              </w:rPr>
              <w:t>4.35</w:t>
            </w:r>
          </w:p>
        </w:tc>
      </w:tr>
      <w:tr w:rsidR="00542870">
        <w:trPr>
          <w:jc w:val="center"/>
        </w:trPr>
        <w:tc>
          <w:tcPr>
            <w:tcW w:w="855" w:type="dxa"/>
            <w:vAlign w:val="center"/>
          </w:tcPr>
          <w:p w:rsidR="00542870" w:rsidRDefault="00A32E92">
            <w:pPr>
              <w:jc w:val="center"/>
            </w:pPr>
            <w:r>
              <w:rPr>
                <w:color w:val="000000"/>
                <w:sz w:val="24"/>
                <w:szCs w:val="24"/>
              </w:rPr>
              <w:t>7</w:t>
            </w:r>
          </w:p>
        </w:tc>
        <w:tc>
          <w:tcPr>
            <w:tcW w:w="1334" w:type="dxa"/>
            <w:vAlign w:val="center"/>
          </w:tcPr>
          <w:p w:rsidR="00542870" w:rsidRDefault="00A32E92">
            <w:pPr>
              <w:jc w:val="center"/>
            </w:pPr>
            <w:r>
              <w:rPr>
                <w:color w:val="000000"/>
                <w:sz w:val="24"/>
                <w:szCs w:val="24"/>
              </w:rPr>
              <w:t>300207</w:t>
            </w:r>
          </w:p>
        </w:tc>
        <w:tc>
          <w:tcPr>
            <w:tcW w:w="1777" w:type="dxa"/>
            <w:vAlign w:val="center"/>
          </w:tcPr>
          <w:p w:rsidR="00542870" w:rsidRDefault="00A32E92">
            <w:pPr>
              <w:jc w:val="center"/>
            </w:pPr>
            <w:proofErr w:type="gramStart"/>
            <w:r>
              <w:rPr>
                <w:color w:val="000000"/>
                <w:sz w:val="24"/>
                <w:szCs w:val="24"/>
              </w:rPr>
              <w:t>欣旺达</w:t>
            </w:r>
            <w:proofErr w:type="gramEnd"/>
          </w:p>
        </w:tc>
        <w:tc>
          <w:tcPr>
            <w:tcW w:w="1334" w:type="dxa"/>
            <w:vAlign w:val="center"/>
          </w:tcPr>
          <w:p w:rsidR="00542870" w:rsidRDefault="00A32E92">
            <w:pPr>
              <w:jc w:val="right"/>
            </w:pPr>
            <w:r>
              <w:rPr>
                <w:color w:val="000000"/>
                <w:sz w:val="24"/>
                <w:szCs w:val="24"/>
              </w:rPr>
              <w:t>130,000</w:t>
            </w:r>
          </w:p>
        </w:tc>
        <w:tc>
          <w:tcPr>
            <w:tcW w:w="1924" w:type="dxa"/>
            <w:vAlign w:val="center"/>
          </w:tcPr>
          <w:p w:rsidR="00542870" w:rsidRDefault="00A32E92">
            <w:pPr>
              <w:jc w:val="right"/>
            </w:pPr>
            <w:r>
              <w:rPr>
                <w:color w:val="000000"/>
                <w:sz w:val="24"/>
                <w:szCs w:val="24"/>
              </w:rPr>
              <w:t>3,521,700.00</w:t>
            </w:r>
          </w:p>
        </w:tc>
        <w:tc>
          <w:tcPr>
            <w:tcW w:w="1644" w:type="dxa"/>
            <w:vAlign w:val="center"/>
          </w:tcPr>
          <w:p w:rsidR="00542870" w:rsidRDefault="00A32E92">
            <w:pPr>
              <w:jc w:val="right"/>
            </w:pPr>
            <w:r>
              <w:rPr>
                <w:color w:val="000000"/>
                <w:sz w:val="24"/>
                <w:szCs w:val="24"/>
              </w:rPr>
              <w:t>4.07</w:t>
            </w:r>
          </w:p>
        </w:tc>
      </w:tr>
      <w:tr w:rsidR="00542870">
        <w:trPr>
          <w:jc w:val="center"/>
        </w:trPr>
        <w:tc>
          <w:tcPr>
            <w:tcW w:w="855" w:type="dxa"/>
            <w:vAlign w:val="center"/>
          </w:tcPr>
          <w:p w:rsidR="00542870" w:rsidRDefault="00A32E92">
            <w:pPr>
              <w:jc w:val="center"/>
            </w:pPr>
            <w:r>
              <w:rPr>
                <w:color w:val="000000"/>
                <w:sz w:val="24"/>
                <w:szCs w:val="24"/>
              </w:rPr>
              <w:t>8</w:t>
            </w:r>
          </w:p>
        </w:tc>
        <w:tc>
          <w:tcPr>
            <w:tcW w:w="1334" w:type="dxa"/>
            <w:vAlign w:val="center"/>
          </w:tcPr>
          <w:p w:rsidR="00542870" w:rsidRDefault="00A32E92">
            <w:pPr>
              <w:jc w:val="center"/>
            </w:pPr>
            <w:r>
              <w:rPr>
                <w:color w:val="000000"/>
                <w:sz w:val="24"/>
                <w:szCs w:val="24"/>
              </w:rPr>
              <w:t>300760</w:t>
            </w:r>
          </w:p>
        </w:tc>
        <w:tc>
          <w:tcPr>
            <w:tcW w:w="1777" w:type="dxa"/>
            <w:vAlign w:val="center"/>
          </w:tcPr>
          <w:p w:rsidR="00542870" w:rsidRDefault="00A32E92">
            <w:pPr>
              <w:jc w:val="center"/>
            </w:pPr>
            <w:r>
              <w:rPr>
                <w:color w:val="000000"/>
                <w:sz w:val="24"/>
                <w:szCs w:val="24"/>
              </w:rPr>
              <w:t>迈瑞医疗</w:t>
            </w:r>
          </w:p>
        </w:tc>
        <w:tc>
          <w:tcPr>
            <w:tcW w:w="1334" w:type="dxa"/>
            <w:vAlign w:val="center"/>
          </w:tcPr>
          <w:p w:rsidR="00542870" w:rsidRDefault="00A32E92">
            <w:pPr>
              <w:jc w:val="right"/>
            </w:pPr>
            <w:r>
              <w:rPr>
                <w:color w:val="000000"/>
                <w:sz w:val="24"/>
                <w:szCs w:val="24"/>
              </w:rPr>
              <w:t>10,000</w:t>
            </w:r>
          </w:p>
        </w:tc>
        <w:tc>
          <w:tcPr>
            <w:tcW w:w="1924" w:type="dxa"/>
            <w:vAlign w:val="center"/>
          </w:tcPr>
          <w:p w:rsidR="00542870" w:rsidRDefault="00A32E92">
            <w:pPr>
              <w:jc w:val="right"/>
            </w:pPr>
            <w:r>
              <w:rPr>
                <w:color w:val="000000"/>
                <w:sz w:val="24"/>
                <w:szCs w:val="24"/>
              </w:rPr>
              <w:t>3,480,000.00</w:t>
            </w:r>
          </w:p>
        </w:tc>
        <w:tc>
          <w:tcPr>
            <w:tcW w:w="1644" w:type="dxa"/>
            <w:vAlign w:val="center"/>
          </w:tcPr>
          <w:p w:rsidR="00542870" w:rsidRDefault="00A32E92">
            <w:pPr>
              <w:jc w:val="right"/>
            </w:pPr>
            <w:r>
              <w:rPr>
                <w:color w:val="000000"/>
                <w:sz w:val="24"/>
                <w:szCs w:val="24"/>
              </w:rPr>
              <w:t>4.02</w:t>
            </w:r>
          </w:p>
        </w:tc>
      </w:tr>
      <w:tr w:rsidR="00542870">
        <w:trPr>
          <w:jc w:val="center"/>
        </w:trPr>
        <w:tc>
          <w:tcPr>
            <w:tcW w:w="855" w:type="dxa"/>
            <w:vAlign w:val="center"/>
          </w:tcPr>
          <w:p w:rsidR="00542870" w:rsidRDefault="00A32E92">
            <w:pPr>
              <w:jc w:val="center"/>
            </w:pPr>
            <w:r>
              <w:rPr>
                <w:color w:val="000000"/>
                <w:sz w:val="24"/>
                <w:szCs w:val="24"/>
              </w:rPr>
              <w:t>9</w:t>
            </w:r>
          </w:p>
        </w:tc>
        <w:tc>
          <w:tcPr>
            <w:tcW w:w="1334" w:type="dxa"/>
            <w:vAlign w:val="center"/>
          </w:tcPr>
          <w:p w:rsidR="00542870" w:rsidRDefault="00A32E92">
            <w:pPr>
              <w:jc w:val="center"/>
            </w:pPr>
            <w:r>
              <w:rPr>
                <w:color w:val="000000"/>
                <w:sz w:val="24"/>
                <w:szCs w:val="24"/>
              </w:rPr>
              <w:t>03888.HK</w:t>
            </w:r>
          </w:p>
        </w:tc>
        <w:tc>
          <w:tcPr>
            <w:tcW w:w="1777" w:type="dxa"/>
            <w:vAlign w:val="center"/>
          </w:tcPr>
          <w:p w:rsidR="00542870" w:rsidRDefault="00A32E92">
            <w:pPr>
              <w:jc w:val="center"/>
            </w:pPr>
            <w:r>
              <w:rPr>
                <w:color w:val="000000"/>
                <w:sz w:val="24"/>
                <w:szCs w:val="24"/>
              </w:rPr>
              <w:t>金山软件</w:t>
            </w:r>
          </w:p>
        </w:tc>
        <w:tc>
          <w:tcPr>
            <w:tcW w:w="1334" w:type="dxa"/>
            <w:vAlign w:val="center"/>
          </w:tcPr>
          <w:p w:rsidR="00542870" w:rsidRDefault="00A32E92">
            <w:pPr>
              <w:jc w:val="right"/>
            </w:pPr>
            <w:r>
              <w:rPr>
                <w:color w:val="000000"/>
                <w:sz w:val="24"/>
                <w:szCs w:val="24"/>
              </w:rPr>
              <w:t>100,000</w:t>
            </w:r>
          </w:p>
        </w:tc>
        <w:tc>
          <w:tcPr>
            <w:tcW w:w="1924" w:type="dxa"/>
            <w:vAlign w:val="center"/>
          </w:tcPr>
          <w:p w:rsidR="00542870" w:rsidRDefault="00A32E92">
            <w:pPr>
              <w:jc w:val="right"/>
            </w:pPr>
            <w:r>
              <w:rPr>
                <w:color w:val="000000"/>
                <w:sz w:val="24"/>
                <w:szCs w:val="24"/>
              </w:rPr>
              <w:t>3,396,252.80</w:t>
            </w:r>
          </w:p>
        </w:tc>
        <w:tc>
          <w:tcPr>
            <w:tcW w:w="1644" w:type="dxa"/>
            <w:vAlign w:val="center"/>
          </w:tcPr>
          <w:p w:rsidR="00542870" w:rsidRDefault="00A32E92">
            <w:pPr>
              <w:jc w:val="right"/>
            </w:pPr>
            <w:r>
              <w:rPr>
                <w:color w:val="000000"/>
                <w:sz w:val="24"/>
                <w:szCs w:val="24"/>
              </w:rPr>
              <w:t>3.93</w:t>
            </w:r>
          </w:p>
        </w:tc>
      </w:tr>
      <w:tr w:rsidR="00542870">
        <w:trPr>
          <w:jc w:val="center"/>
        </w:trPr>
        <w:tc>
          <w:tcPr>
            <w:tcW w:w="855" w:type="dxa"/>
            <w:vAlign w:val="center"/>
          </w:tcPr>
          <w:p w:rsidR="00542870" w:rsidRDefault="00A32E92">
            <w:pPr>
              <w:jc w:val="center"/>
            </w:pPr>
            <w:r>
              <w:rPr>
                <w:color w:val="000000"/>
                <w:sz w:val="24"/>
                <w:szCs w:val="24"/>
              </w:rPr>
              <w:t>10</w:t>
            </w:r>
          </w:p>
        </w:tc>
        <w:tc>
          <w:tcPr>
            <w:tcW w:w="1334" w:type="dxa"/>
            <w:vAlign w:val="center"/>
          </w:tcPr>
          <w:p w:rsidR="00542870" w:rsidRDefault="00A32E92">
            <w:pPr>
              <w:jc w:val="center"/>
            </w:pPr>
            <w:r>
              <w:rPr>
                <w:color w:val="000000"/>
                <w:sz w:val="24"/>
                <w:szCs w:val="24"/>
              </w:rPr>
              <w:t>002050</w:t>
            </w:r>
          </w:p>
        </w:tc>
        <w:tc>
          <w:tcPr>
            <w:tcW w:w="1777" w:type="dxa"/>
            <w:vAlign w:val="center"/>
          </w:tcPr>
          <w:p w:rsidR="00542870" w:rsidRDefault="00A32E92">
            <w:pPr>
              <w:jc w:val="center"/>
            </w:pPr>
            <w:r>
              <w:rPr>
                <w:color w:val="000000"/>
                <w:sz w:val="24"/>
                <w:szCs w:val="24"/>
              </w:rPr>
              <w:t>三</w:t>
            </w:r>
            <w:proofErr w:type="gramStart"/>
            <w:r>
              <w:rPr>
                <w:color w:val="000000"/>
                <w:sz w:val="24"/>
                <w:szCs w:val="24"/>
              </w:rPr>
              <w:t>花智控</w:t>
            </w:r>
            <w:proofErr w:type="gramEnd"/>
          </w:p>
        </w:tc>
        <w:tc>
          <w:tcPr>
            <w:tcW w:w="1334" w:type="dxa"/>
            <w:vAlign w:val="center"/>
          </w:tcPr>
          <w:p w:rsidR="00542870" w:rsidRDefault="00A32E92">
            <w:pPr>
              <w:jc w:val="right"/>
            </w:pPr>
            <w:r>
              <w:rPr>
                <w:color w:val="000000"/>
                <w:sz w:val="24"/>
                <w:szCs w:val="24"/>
              </w:rPr>
              <w:t>150,000</w:t>
            </w:r>
          </w:p>
        </w:tc>
        <w:tc>
          <w:tcPr>
            <w:tcW w:w="1924" w:type="dxa"/>
            <w:vAlign w:val="center"/>
          </w:tcPr>
          <w:p w:rsidR="00542870" w:rsidRDefault="00A32E92">
            <w:pPr>
              <w:jc w:val="right"/>
            </w:pPr>
            <w:r>
              <w:rPr>
                <w:color w:val="000000"/>
                <w:sz w:val="24"/>
                <w:szCs w:val="24"/>
              </w:rPr>
              <w:t>3,330,000.00</w:t>
            </w:r>
          </w:p>
        </w:tc>
        <w:tc>
          <w:tcPr>
            <w:tcW w:w="1644" w:type="dxa"/>
            <w:vAlign w:val="center"/>
          </w:tcPr>
          <w:p w:rsidR="00542870" w:rsidRDefault="00A32E92">
            <w:pPr>
              <w:jc w:val="right"/>
            </w:pPr>
            <w:r>
              <w:rPr>
                <w:color w:val="000000"/>
                <w:sz w:val="24"/>
                <w:szCs w:val="24"/>
              </w:rPr>
              <w:t>3.85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A32E92" w:rsidRDefault="00A32E92"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A32E92" w:rsidRDefault="00A32E92"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32E92" w:rsidRDefault="00A32E92"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19,358.77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58,283.61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2,395.58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80,037.96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bookmarkStart w:id="0" w:name="_GoBack"/>
      <w:bookmarkEnd w:id="0"/>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54,795,328.96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15,096,744.44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17,605,158.46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52,286,914.94</w:t>
            </w:r>
          </w:p>
        </w:tc>
      </w:tr>
    </w:tbl>
    <w:p w:rsidR="00542870" w:rsidRDefault="00A32E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 xml:space="preserve"> </w:t>
      </w: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42870" w:rsidRDefault="00A32E9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、中国证监会准予交银施罗德核心资产混合型证券投资基金募集注册的文件；</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、《交银施罗德核心资产混合型证券投资基金基金合同》；</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、《交银施罗德核心资产混合型证券投资基金招募说明书》；</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、《交银施罗德核心资产混合型证券投资基金托管协议》；</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、关于申请募集注册交银施罗德核心资产混合型证券投资基金的法律意见书；</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42870" w:rsidRDefault="00A32E9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、报告期内交银施罗德核心资产混合型证券投资基金在指定报刊上各项公告的原稿。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42870" w:rsidRDefault="00A32E9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32E92">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32E92">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交银施罗德核心资产混合型证券投资基金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2870"/>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2E92"/>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08FB"/>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1ACE-8576-469D-9230-8AD27667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12</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曹国良</cp:lastModifiedBy>
  <cp:revision>602</cp:revision>
  <dcterms:created xsi:type="dcterms:W3CDTF">2012-10-16T06:07:00Z</dcterms:created>
  <dcterms:modified xsi:type="dcterms:W3CDTF">2020-10-19T07:29:00Z</dcterms:modified>
</cp:coreProperties>
</file>