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交银施罗德品质升级混合型证券投资基金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交银品质升级混合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005004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005004</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2018年2月8日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303,174,815.76</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本基金在有效控制投资风险的前提下，聚焦居民生活品质升级的方向和趋势，通过把握消费成长领域的投资机会，力争为基金份额持有人获得超越业绩比较基准的收益。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87,296,434.27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69,960,116.13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0.2576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510,822,084.27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1.6849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20.26%</w:t>
            </w:r>
          </w:p>
        </w:tc>
        <w:tc>
          <w:tcPr>
            <w:vAlign w:val="center"/>
          </w:tcPr>
          <w:p>
            <w:pPr>
              <w:jc w:val="center"/>
            </w:pPr>
            <w:r>
              <w:rPr>
                <w:color w:val="000000"/>
                <w:sz w:val="24"/>
                <w:szCs w:val="24"/>
              </w:rPr>
              <w:t>1.55%</w:t>
            </w:r>
          </w:p>
        </w:tc>
        <w:tc>
          <w:tcPr>
            <w:vAlign w:val="center"/>
          </w:tcPr>
          <w:p>
            <w:pPr>
              <w:jc w:val="center"/>
            </w:pPr>
            <w:r>
              <w:rPr>
                <w:color w:val="000000"/>
                <w:sz w:val="24"/>
                <w:szCs w:val="24"/>
              </w:rPr>
              <w:t>5.96%</w:t>
            </w:r>
          </w:p>
        </w:tc>
        <w:tc>
          <w:tcPr>
            <w:vAlign w:val="center"/>
          </w:tcPr>
          <w:p>
            <w:pPr>
              <w:jc w:val="center"/>
            </w:pPr>
            <w:r>
              <w:rPr>
                <w:color w:val="000000"/>
                <w:sz w:val="24"/>
                <w:szCs w:val="24"/>
              </w:rPr>
              <w:t>0.96%</w:t>
            </w:r>
          </w:p>
        </w:tc>
        <w:tc>
          <w:tcPr>
            <w:vAlign w:val="center"/>
          </w:tcPr>
          <w:p>
            <w:pPr>
              <w:jc w:val="center"/>
            </w:pPr>
            <w:r>
              <w:rPr>
                <w:color w:val="000000"/>
                <w:sz w:val="24"/>
                <w:szCs w:val="24"/>
              </w:rPr>
              <w:t>14.30%</w:t>
            </w:r>
          </w:p>
        </w:tc>
        <w:tc>
          <w:tcPr>
            <w:vAlign w:val="center"/>
          </w:tcPr>
          <w:p>
            <w:pPr>
              <w:jc w:val="center"/>
            </w:pPr>
            <w:r>
              <w:rPr>
                <w:color w:val="000000"/>
                <w:sz w:val="24"/>
                <w:szCs w:val="24"/>
              </w:rPr>
              <w:t>0.59%</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66.51%</w:t>
            </w:r>
          </w:p>
        </w:tc>
        <w:tc>
          <w:tcPr>
            <w:vAlign w:val="center"/>
          </w:tcPr>
          <w:p>
            <w:pPr>
              <w:jc w:val="center"/>
            </w:pPr>
            <w:r>
              <w:rPr>
                <w:color w:val="000000"/>
                <w:sz w:val="24"/>
                <w:szCs w:val="24"/>
              </w:rPr>
              <w:t>1.38%</w:t>
            </w:r>
          </w:p>
        </w:tc>
        <w:tc>
          <w:tcPr>
            <w:vAlign w:val="center"/>
          </w:tcPr>
          <w:p>
            <w:pPr>
              <w:jc w:val="center"/>
            </w:pPr>
            <w:r>
              <w:rPr>
                <w:color w:val="000000"/>
                <w:sz w:val="24"/>
                <w:szCs w:val="24"/>
              </w:rPr>
              <w:t>13.95%</w:t>
            </w:r>
          </w:p>
        </w:tc>
        <w:tc>
          <w:tcPr>
            <w:vAlign w:val="center"/>
          </w:tcPr>
          <w:p>
            <w:pPr>
              <w:jc w:val="center"/>
            </w:pPr>
            <w:r>
              <w:rPr>
                <w:color w:val="000000"/>
                <w:sz w:val="24"/>
                <w:szCs w:val="24"/>
              </w:rPr>
              <w:t>0.79%</w:t>
            </w:r>
          </w:p>
        </w:tc>
        <w:tc>
          <w:tcPr>
            <w:vAlign w:val="center"/>
          </w:tcPr>
          <w:p>
            <w:pPr>
              <w:jc w:val="center"/>
            </w:pPr>
            <w:r>
              <w:rPr>
                <w:color w:val="000000"/>
                <w:sz w:val="24"/>
                <w:szCs w:val="24"/>
              </w:rPr>
              <w:t>52.56%</w:t>
            </w:r>
          </w:p>
        </w:tc>
        <w:tc>
          <w:tcPr>
            <w:vAlign w:val="center"/>
          </w:tcPr>
          <w:p>
            <w:pPr>
              <w:jc w:val="center"/>
            </w:pPr>
            <w:r>
              <w:rPr>
                <w:color w:val="000000"/>
                <w:sz w:val="24"/>
                <w:szCs w:val="24"/>
              </w:rPr>
              <w:t>0.59%</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65.32%</w:t>
            </w:r>
          </w:p>
        </w:tc>
        <w:tc>
          <w:tcPr>
            <w:vAlign w:val="center"/>
          </w:tcPr>
          <w:p>
            <w:pPr>
              <w:jc w:val="center"/>
            </w:pPr>
            <w:r>
              <w:rPr>
                <w:color w:val="000000"/>
                <w:sz w:val="24"/>
                <w:szCs w:val="24"/>
              </w:rPr>
              <w:t>1.47%</w:t>
            </w:r>
          </w:p>
        </w:tc>
        <w:tc>
          <w:tcPr>
            <w:vAlign w:val="center"/>
          </w:tcPr>
          <w:p>
            <w:pPr>
              <w:jc w:val="center"/>
            </w:pPr>
            <w:r>
              <w:rPr>
                <w:color w:val="000000"/>
                <w:sz w:val="24"/>
                <w:szCs w:val="24"/>
              </w:rPr>
              <w:t>13.70%</w:t>
            </w:r>
          </w:p>
        </w:tc>
        <w:tc>
          <w:tcPr>
            <w:vAlign w:val="center"/>
          </w:tcPr>
          <w:p>
            <w:pPr>
              <w:jc w:val="center"/>
            </w:pPr>
            <w:r>
              <w:rPr>
                <w:color w:val="000000"/>
                <w:sz w:val="24"/>
                <w:szCs w:val="24"/>
              </w:rPr>
              <w:t>0.83%</w:t>
            </w:r>
          </w:p>
        </w:tc>
        <w:tc>
          <w:tcPr>
            <w:vAlign w:val="center"/>
          </w:tcPr>
          <w:p>
            <w:pPr>
              <w:jc w:val="center"/>
            </w:pPr>
            <w:r>
              <w:rPr>
                <w:color w:val="000000"/>
                <w:sz w:val="24"/>
                <w:szCs w:val="24"/>
              </w:rPr>
              <w:t>51.62%</w:t>
            </w:r>
          </w:p>
        </w:tc>
        <w:tc>
          <w:tcPr>
            <w:vAlign w:val="center"/>
          </w:tcPr>
          <w:p>
            <w:pPr>
              <w:jc w:val="center"/>
            </w:pPr>
            <w:r>
              <w:rPr>
                <w:color w:val="000000"/>
                <w:sz w:val="24"/>
                <w:szCs w:val="24"/>
              </w:rPr>
              <w:t>0.64%</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68.49%</w:t>
            </w:r>
          </w:p>
        </w:tc>
        <w:tc>
          <w:tcPr>
            <w:vAlign w:val="center"/>
          </w:tcPr>
          <w:p>
            <w:pPr>
              <w:jc w:val="center"/>
            </w:pPr>
            <w:r>
              <w:rPr>
                <w:color w:val="000000"/>
                <w:sz w:val="24"/>
                <w:szCs w:val="24"/>
              </w:rPr>
              <w:t>1.49%</w:t>
            </w:r>
          </w:p>
        </w:tc>
        <w:tc>
          <w:tcPr>
            <w:vAlign w:val="center"/>
          </w:tcPr>
          <w:p>
            <w:pPr>
              <w:jc w:val="center"/>
            </w:pPr>
            <w:r>
              <w:rPr>
                <w:color w:val="000000"/>
                <w:sz w:val="24"/>
                <w:szCs w:val="24"/>
              </w:rPr>
              <w:t>15.52%</w:t>
            </w:r>
          </w:p>
        </w:tc>
        <w:tc>
          <w:tcPr>
            <w:vAlign w:val="center"/>
          </w:tcPr>
          <w:p>
            <w:pPr>
              <w:jc w:val="center"/>
            </w:pPr>
            <w:r>
              <w:rPr>
                <w:color w:val="000000"/>
                <w:sz w:val="24"/>
                <w:szCs w:val="24"/>
              </w:rPr>
              <w:t>0.82%</w:t>
            </w:r>
          </w:p>
        </w:tc>
        <w:tc>
          <w:tcPr>
            <w:vAlign w:val="center"/>
          </w:tcPr>
          <w:p>
            <w:pPr>
              <w:jc w:val="center"/>
            </w:pPr>
            <w:r>
              <w:rPr>
                <w:color w:val="000000"/>
                <w:sz w:val="24"/>
                <w:szCs w:val="24"/>
              </w:rPr>
              <w:t>52.97%</w:t>
            </w:r>
          </w:p>
        </w:tc>
        <w:tc>
          <w:tcPr>
            <w:vAlign w:val="center"/>
          </w:tcPr>
          <w:p>
            <w:pPr>
              <w:jc w:val="center"/>
            </w:pPr>
            <w:r>
              <w:rPr>
                <w:color w:val="000000"/>
                <w:sz w:val="24"/>
                <w:szCs w:val="24"/>
              </w:rPr>
              <w:t>0.67%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交银施罗德品质升级混合型证券投资基金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2018年2月8日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交银策略回报灵活配置混合、交银消费新驱动股票、交银股息优化混合、交银品质升级混合的基金经理</w:t>
            </w:r>
          </w:p>
        </w:tc>
        <w:tc>
          <w:tcPr>
            <w:vAlign w:val="center"/>
          </w:tcPr>
          <w:p>
            <w:pPr>
              <w:jc w:val="center"/>
            </w:pPr>
            <w:r>
              <w:rPr>
                <w:color w:val="000000"/>
                <w:sz w:val="24"/>
                <w:szCs w:val="24"/>
              </w:rPr>
              <w:t>2018-02-08</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三季度，国内疫情基本上已得到控制，整个经济活动开始明显复苏。全球流动性泛滥，导致全球资本市场溢价率快速提升。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三季度仍然主要以消费白马配置为主，主要增加了一些上半年疫情受损后出现明显复苏的行业和个股，如区域白酒、酒店旅游以及医疗服务等，减持了疫情受益的品种。国内消费行业有望迎来全面复苏，全年绝对收益或将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国庆中秋消费复苏比较明显，明年春节可能会更加明显，在假设国内疫情不出现大幅反复的背景下，预计整个吃喝玩乐以及医疗服务等行业或在未来三到四个季度出现比较明显的环比改善和高增长。</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460,810,179.00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460,810,179.00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59,103,994.92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11.32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2,401,764.94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0.46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522,315,938.86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338,188,184.06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66.20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13,029.12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28,264.03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16,266,580.66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25,502,083.47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4.99</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12,298,826.08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25,114,326.00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21,024,298.40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728,898.05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21,623,892.49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21,796.64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460,810,179.00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90.21</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27,531</w:t>
            </w:r>
          </w:p>
        </w:tc>
        <w:tc>
          <w:tcPr>
            <w:vAlign w:val="center"/>
          </w:tcPr>
          <w:p>
            <w:pPr>
              <w:jc w:val="right"/>
            </w:pPr>
            <w:r>
              <w:rPr>
                <w:color w:val="000000"/>
                <w:sz w:val="24"/>
                <w:szCs w:val="24"/>
              </w:rPr>
              <w:t>45,935,473.50</w:t>
            </w:r>
          </w:p>
        </w:tc>
        <w:tc>
          <w:tcPr>
            <w:vAlign w:val="center"/>
          </w:tcPr>
          <w:p>
            <w:pPr>
              <w:jc w:val="right"/>
            </w:pPr>
            <w:r>
              <w:rPr>
                <w:color w:val="000000"/>
                <w:sz w:val="24"/>
                <w:szCs w:val="24"/>
              </w:rPr>
              <w:t>8.99</w:t>
            </w:r>
          </w:p>
        </w:tc>
      </w:tr>
      <w:tr>
        <w:tc>
          <w:tcPr>
            <w:vAlign w:val="center"/>
          </w:tcPr>
          <w:p>
            <w:pPr>
              <w:jc w:val="center"/>
            </w:pPr>
            <w:r>
              <w:rPr>
                <w:color w:val="000000"/>
                <w:sz w:val="24"/>
                <w:szCs w:val="24"/>
              </w:rPr>
              <w:t>2</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355,626</w:t>
            </w:r>
          </w:p>
        </w:tc>
        <w:tc>
          <w:tcPr>
            <w:vAlign w:val="center"/>
          </w:tcPr>
          <w:p>
            <w:pPr>
              <w:jc w:val="right"/>
            </w:pPr>
            <w:r>
              <w:rPr>
                <w:color w:val="000000"/>
                <w:sz w:val="24"/>
                <w:szCs w:val="24"/>
              </w:rPr>
              <w:t>44,449,693.74</w:t>
            </w:r>
          </w:p>
        </w:tc>
        <w:tc>
          <w:tcPr>
            <w:vAlign w:val="center"/>
          </w:tcPr>
          <w:p>
            <w:pPr>
              <w:jc w:val="right"/>
            </w:pPr>
            <w:r>
              <w:rPr>
                <w:color w:val="000000"/>
                <w:sz w:val="24"/>
                <w:szCs w:val="24"/>
              </w:rPr>
              <w:t>8.70</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183,545</w:t>
            </w:r>
          </w:p>
        </w:tc>
        <w:tc>
          <w:tcPr>
            <w:vAlign w:val="center"/>
          </w:tcPr>
          <w:p>
            <w:pPr>
              <w:jc w:val="right"/>
            </w:pPr>
            <w:r>
              <w:rPr>
                <w:color w:val="000000"/>
                <w:sz w:val="24"/>
                <w:szCs w:val="24"/>
              </w:rPr>
              <w:t>40,563,445.00</w:t>
            </w:r>
          </w:p>
        </w:tc>
        <w:tc>
          <w:tcPr>
            <w:vAlign w:val="center"/>
          </w:tcPr>
          <w:p>
            <w:pPr>
              <w:jc w:val="right"/>
            </w:pPr>
            <w:r>
              <w:rPr>
                <w:color w:val="000000"/>
                <w:sz w:val="24"/>
                <w:szCs w:val="24"/>
              </w:rPr>
              <w:t>7.94</w:t>
            </w:r>
          </w:p>
        </w:tc>
      </w:tr>
      <w:tr>
        <w:tc>
          <w:tcPr>
            <w:vAlign w:val="center"/>
          </w:tcPr>
          <w:p>
            <w:pPr>
              <w:jc w:val="center"/>
            </w:pPr>
            <w:r>
              <w:rPr>
                <w:color w:val="000000"/>
                <w:sz w:val="24"/>
                <w:szCs w:val="24"/>
              </w:rPr>
              <w:t>4</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1,404,162</w:t>
            </w:r>
          </w:p>
        </w:tc>
        <w:tc>
          <w:tcPr>
            <w:vAlign w:val="center"/>
          </w:tcPr>
          <w:p>
            <w:pPr>
              <w:jc w:val="right"/>
            </w:pPr>
            <w:r>
              <w:rPr>
                <w:color w:val="000000"/>
                <w:sz w:val="24"/>
                <w:szCs w:val="24"/>
              </w:rPr>
              <w:t>29,501,443.62</w:t>
            </w:r>
          </w:p>
        </w:tc>
        <w:tc>
          <w:tcPr>
            <w:vAlign w:val="center"/>
          </w:tcPr>
          <w:p>
            <w:pPr>
              <w:jc w:val="right"/>
            </w:pPr>
            <w:r>
              <w:rPr>
                <w:color w:val="000000"/>
                <w:sz w:val="24"/>
                <w:szCs w:val="24"/>
              </w:rPr>
              <w:t>5.78</w:t>
            </w:r>
          </w:p>
        </w:tc>
      </w:tr>
      <w:tr>
        <w:tc>
          <w:tcPr>
            <w:vAlign w:val="center"/>
          </w:tcPr>
          <w:p>
            <w:pPr>
              <w:jc w:val="center"/>
            </w:pPr>
            <w:r>
              <w:rPr>
                <w:color w:val="000000"/>
                <w:sz w:val="24"/>
                <w:szCs w:val="24"/>
              </w:rPr>
              <w:t>5</w:t>
            </w:r>
          </w:p>
        </w:tc>
        <w:tc>
          <w:tcPr>
            <w:vAlign w:val="center"/>
          </w:tcPr>
          <w:p>
            <w:pPr>
              <w:jc w:val="center"/>
            </w:pPr>
            <w:r>
              <w:rPr>
                <w:color w:val="000000"/>
                <w:sz w:val="24"/>
                <w:szCs w:val="24"/>
              </w:rPr>
              <w:t>600779</w:t>
            </w:r>
          </w:p>
        </w:tc>
        <w:tc>
          <w:tcPr>
            <w:vAlign w:val="center"/>
          </w:tcPr>
          <w:p>
            <w:pPr>
              <w:jc w:val="center"/>
            </w:pPr>
            <w:r>
              <w:rPr>
                <w:color w:val="000000"/>
                <w:sz w:val="24"/>
                <w:szCs w:val="24"/>
              </w:rPr>
              <w:t>水井坊</w:t>
            </w:r>
          </w:p>
        </w:tc>
        <w:tc>
          <w:tcPr>
            <w:vAlign w:val="center"/>
          </w:tcPr>
          <w:p>
            <w:pPr>
              <w:jc w:val="right"/>
            </w:pPr>
            <w:r>
              <w:rPr>
                <w:color w:val="000000"/>
                <w:sz w:val="24"/>
                <w:szCs w:val="24"/>
              </w:rPr>
              <w:t>396,054</w:t>
            </w:r>
          </w:p>
        </w:tc>
        <w:tc>
          <w:tcPr>
            <w:vAlign w:val="center"/>
          </w:tcPr>
          <w:p>
            <w:pPr>
              <w:jc w:val="right"/>
            </w:pPr>
            <w:r>
              <w:rPr>
                <w:color w:val="000000"/>
                <w:sz w:val="24"/>
                <w:szCs w:val="24"/>
              </w:rPr>
              <w:t>25,545,483.00</w:t>
            </w:r>
          </w:p>
        </w:tc>
        <w:tc>
          <w:tcPr>
            <w:vAlign w:val="center"/>
          </w:tcPr>
          <w:p>
            <w:pPr>
              <w:jc w:val="right"/>
            </w:pPr>
            <w:r>
              <w:rPr>
                <w:color w:val="000000"/>
                <w:sz w:val="24"/>
                <w:szCs w:val="24"/>
              </w:rPr>
              <w:t>5.00</w:t>
            </w:r>
          </w:p>
        </w:tc>
      </w:tr>
      <w:tr>
        <w:tc>
          <w:tcPr>
            <w:vAlign w:val="center"/>
          </w:tcPr>
          <w:p>
            <w:pPr>
              <w:jc w:val="center"/>
            </w:pPr>
            <w:r>
              <w:rPr>
                <w:color w:val="000000"/>
                <w:sz w:val="24"/>
                <w:szCs w:val="24"/>
              </w:rPr>
              <w:t>6</w:t>
            </w:r>
          </w:p>
        </w:tc>
        <w:tc>
          <w:tcPr>
            <w:vAlign w:val="center"/>
          </w:tcPr>
          <w:p>
            <w:pPr>
              <w:jc w:val="center"/>
            </w:pPr>
            <w:r>
              <w:rPr>
                <w:color w:val="000000"/>
                <w:sz w:val="24"/>
                <w:szCs w:val="24"/>
              </w:rPr>
              <w:t>600754</w:t>
            </w:r>
          </w:p>
        </w:tc>
        <w:tc>
          <w:tcPr>
            <w:vAlign w:val="center"/>
          </w:tcPr>
          <w:p>
            <w:pPr>
              <w:jc w:val="center"/>
            </w:pPr>
            <w:r>
              <w:rPr>
                <w:color w:val="000000"/>
                <w:sz w:val="24"/>
                <w:szCs w:val="24"/>
              </w:rPr>
              <w:t>锦江酒店</w:t>
            </w:r>
          </w:p>
        </w:tc>
        <w:tc>
          <w:tcPr>
            <w:vAlign w:val="center"/>
          </w:tcPr>
          <w:p>
            <w:pPr>
              <w:jc w:val="right"/>
            </w:pPr>
            <w:r>
              <w:rPr>
                <w:color w:val="000000"/>
                <w:sz w:val="24"/>
                <w:szCs w:val="24"/>
              </w:rPr>
              <w:t>625,511</w:t>
            </w:r>
          </w:p>
        </w:tc>
        <w:tc>
          <w:tcPr>
            <w:vAlign w:val="center"/>
          </w:tcPr>
          <w:p>
            <w:pPr>
              <w:jc w:val="right"/>
            </w:pPr>
            <w:r>
              <w:rPr>
                <w:color w:val="000000"/>
                <w:sz w:val="24"/>
                <w:szCs w:val="24"/>
              </w:rPr>
              <w:t>25,502,083.47</w:t>
            </w:r>
          </w:p>
        </w:tc>
        <w:tc>
          <w:tcPr>
            <w:vAlign w:val="center"/>
          </w:tcPr>
          <w:p>
            <w:pPr>
              <w:jc w:val="right"/>
            </w:pPr>
            <w:r>
              <w:rPr>
                <w:color w:val="000000"/>
                <w:sz w:val="24"/>
                <w:szCs w:val="24"/>
              </w:rPr>
              <w:t>4.99</w:t>
            </w:r>
          </w:p>
        </w:tc>
      </w:tr>
      <w:tr>
        <w:tc>
          <w:tcPr>
            <w:vAlign w:val="center"/>
          </w:tcPr>
          <w:p>
            <w:pPr>
              <w:jc w:val="center"/>
            </w:pPr>
            <w:r>
              <w:rPr>
                <w:color w:val="000000"/>
                <w:sz w:val="24"/>
                <w:szCs w:val="24"/>
              </w:rPr>
              <w:t>7</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306,200</w:t>
            </w:r>
          </w:p>
        </w:tc>
        <w:tc>
          <w:tcPr>
            <w:vAlign w:val="center"/>
          </w:tcPr>
          <w:p>
            <w:pPr>
              <w:jc w:val="right"/>
            </w:pPr>
            <w:r>
              <w:rPr>
                <w:color w:val="000000"/>
                <w:sz w:val="24"/>
                <w:szCs w:val="24"/>
              </w:rPr>
              <w:t>25,215,570.00</w:t>
            </w:r>
          </w:p>
        </w:tc>
        <w:tc>
          <w:tcPr>
            <w:vAlign w:val="center"/>
          </w:tcPr>
          <w:p>
            <w:pPr>
              <w:jc w:val="right"/>
            </w:pPr>
            <w:r>
              <w:rPr>
                <w:color w:val="000000"/>
                <w:sz w:val="24"/>
                <w:szCs w:val="24"/>
              </w:rPr>
              <w:t>4.94</w:t>
            </w:r>
          </w:p>
        </w:tc>
      </w:tr>
      <w:tr>
        <w:tc>
          <w:tcPr>
            <w:vAlign w:val="center"/>
          </w:tcPr>
          <w:p>
            <w:pPr>
              <w:jc w:val="center"/>
            </w:pPr>
            <w:r>
              <w:rPr>
                <w:color w:val="000000"/>
                <w:sz w:val="24"/>
                <w:szCs w:val="24"/>
              </w:rPr>
              <w:t>8</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896,300</w:t>
            </w:r>
          </w:p>
        </w:tc>
        <w:tc>
          <w:tcPr>
            <w:vAlign w:val="center"/>
          </w:tcPr>
          <w:p>
            <w:pPr>
              <w:jc w:val="right"/>
            </w:pPr>
            <w:r>
              <w:rPr>
                <w:color w:val="000000"/>
                <w:sz w:val="24"/>
                <w:szCs w:val="24"/>
              </w:rPr>
              <w:t>25,114,326.00</w:t>
            </w:r>
          </w:p>
        </w:tc>
        <w:tc>
          <w:tcPr>
            <w:vAlign w:val="center"/>
          </w:tcPr>
          <w:p>
            <w:pPr>
              <w:jc w:val="right"/>
            </w:pPr>
            <w:r>
              <w:rPr>
                <w:color w:val="000000"/>
                <w:sz w:val="24"/>
                <w:szCs w:val="24"/>
              </w:rPr>
              <w:t>4.92</w:t>
            </w:r>
          </w:p>
        </w:tc>
      </w:tr>
      <w:tr>
        <w:tc>
          <w:tcPr>
            <w:vAlign w:val="center"/>
          </w:tcPr>
          <w:p>
            <w:pPr>
              <w:jc w:val="center"/>
            </w:pPr>
            <w:r>
              <w:rPr>
                <w:color w:val="000000"/>
                <w:sz w:val="24"/>
                <w:szCs w:val="24"/>
              </w:rPr>
              <w:t>9</w:t>
            </w:r>
          </w:p>
        </w:tc>
        <w:tc>
          <w:tcPr>
            <w:vAlign w:val="center"/>
          </w:tcPr>
          <w:p>
            <w:pPr>
              <w:jc w:val="center"/>
            </w:pPr>
            <w:r>
              <w:rPr>
                <w:color w:val="000000"/>
                <w:sz w:val="24"/>
                <w:szCs w:val="24"/>
              </w:rPr>
              <w:t>603259</w:t>
            </w:r>
          </w:p>
        </w:tc>
        <w:tc>
          <w:tcPr>
            <w:vAlign w:val="center"/>
          </w:tcPr>
          <w:p>
            <w:pPr>
              <w:jc w:val="center"/>
            </w:pPr>
            <w:r>
              <w:rPr>
                <w:color w:val="000000"/>
                <w:sz w:val="24"/>
                <w:szCs w:val="24"/>
              </w:rPr>
              <w:t>药明康德</w:t>
            </w:r>
          </w:p>
        </w:tc>
        <w:tc>
          <w:tcPr>
            <w:vAlign w:val="center"/>
          </w:tcPr>
          <w:p>
            <w:pPr>
              <w:jc w:val="right"/>
            </w:pPr>
            <w:r>
              <w:rPr>
                <w:color w:val="000000"/>
                <w:sz w:val="24"/>
                <w:szCs w:val="24"/>
              </w:rPr>
              <w:t>206,990</w:t>
            </w:r>
          </w:p>
        </w:tc>
        <w:tc>
          <w:tcPr>
            <w:vAlign w:val="center"/>
          </w:tcPr>
          <w:p>
            <w:pPr>
              <w:jc w:val="right"/>
            </w:pPr>
            <w:r>
              <w:rPr>
                <w:color w:val="000000"/>
                <w:sz w:val="24"/>
                <w:szCs w:val="24"/>
              </w:rPr>
              <w:t>21,009,485.00</w:t>
            </w:r>
          </w:p>
        </w:tc>
        <w:tc>
          <w:tcPr>
            <w:vAlign w:val="center"/>
          </w:tcPr>
          <w:p>
            <w:pPr>
              <w:jc w:val="right"/>
            </w:pPr>
            <w:r>
              <w:rPr>
                <w:color w:val="000000"/>
                <w:sz w:val="24"/>
                <w:szCs w:val="24"/>
              </w:rPr>
              <w:t>4.11</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381,700</w:t>
            </w:r>
          </w:p>
        </w:tc>
        <w:tc>
          <w:tcPr>
            <w:vAlign w:val="center"/>
          </w:tcPr>
          <w:p>
            <w:pPr>
              <w:jc w:val="right"/>
            </w:pPr>
            <w:r>
              <w:rPr>
                <w:color w:val="000000"/>
                <w:sz w:val="24"/>
                <w:szCs w:val="24"/>
              </w:rPr>
              <w:t>20,573,630.00</w:t>
            </w:r>
          </w:p>
        </w:tc>
        <w:tc>
          <w:tcPr>
            <w:vAlign w:val="center"/>
          </w:tcPr>
          <w:p>
            <w:pPr>
              <w:jc w:val="right"/>
            </w:pPr>
            <w:r>
              <w:rPr>
                <w:color w:val="000000"/>
                <w:sz w:val="24"/>
                <w:szCs w:val="24"/>
              </w:rPr>
              <w:t>4.03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264,879.14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10,323.36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2,126,562.44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2,401,764.94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261,627,700.41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176,897,672.69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135,350,557.34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303,174,815.76</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1、中国证监会准予交银施罗德品质升级混合型证券投资基金募集注册的文件；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2、《交银施罗德品质升级混合型证券投资基金基金合同》；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3、《交银施罗德品质升级混合型证券投资基金招募说明书》；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4、《交银施罗德品质升级混合型证券投资基金托管协议》；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5、关于申请募集注册交银施罗德品质升级混合型证券投资基金的法律意见书；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8、报告期内交银施罗德品质升级混合型证券投资基金在指定报刊上各项公告的原稿。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交银施罗德品质升级混合型证券投资基金2020年第3季度报告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