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交银施罗德医药创新股票型证券投资基金</w:t>
      </w:r>
    </w:p>
    <w:p w:rsidR="002279D3" w:rsidRPr="0081286B" w:rsidRDefault="002279D3" w:rsidP="00C15CAC">
      <w:pPr>
        <w:spacing w:before="29" w:line="288" w:lineRule="auto"/>
        <w:jc w:val="center"/>
        <w:rPr>
          <w:b/>
          <w:sz w:val="36"/>
          <w:szCs w:val="36"/>
        </w:rPr>
      </w:pPr>
      <w:r w:rsidRPr="0081286B">
        <w:rPr>
          <w:b/>
          <w:sz w:val="36"/>
          <w:szCs w:val="36"/>
        </w:rPr>
        <w:t>2020</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2020</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二〇二〇年十月二十八日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6E4B32" w:rsidRDefault="00825D77">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6E4B32" w:rsidRDefault="00825D77">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2020</w:t>
      </w:r>
      <w:r>
        <w:rPr>
          <w:color w:val="000000"/>
          <w:sz w:val="24"/>
          <w:szCs w:val="24"/>
        </w:rPr>
        <w:t>年</w:t>
      </w:r>
      <w:r>
        <w:rPr>
          <w:color w:val="000000"/>
          <w:sz w:val="24"/>
          <w:szCs w:val="24"/>
        </w:rPr>
        <w:t>10</w:t>
      </w:r>
      <w:r>
        <w:rPr>
          <w:color w:val="000000"/>
          <w:sz w:val="24"/>
          <w:szCs w:val="24"/>
        </w:rPr>
        <w:t>月</w:t>
      </w:r>
      <w:r>
        <w:rPr>
          <w:color w:val="000000"/>
          <w:sz w:val="24"/>
          <w:szCs w:val="24"/>
        </w:rPr>
        <w:t>27</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6E4B32" w:rsidRDefault="00825D77">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6E4B32" w:rsidRDefault="00825D77">
      <w:pPr>
        <w:spacing w:before="29" w:line="288" w:lineRule="auto"/>
        <w:ind w:firstLineChars="200" w:firstLine="480"/>
        <w:rPr>
          <w:color w:val="000000"/>
          <w:sz w:val="24"/>
          <w:szCs w:val="24"/>
        </w:rPr>
      </w:pPr>
      <w:r>
        <w:rPr>
          <w:color w:val="000000"/>
          <w:sz w:val="24"/>
          <w:szCs w:val="24"/>
        </w:rPr>
        <w:t>基金的过往业绩并不代表其未来表现。投资有</w:t>
      </w:r>
      <w:r>
        <w:rPr>
          <w:color w:val="000000"/>
          <w:sz w:val="24"/>
          <w:szCs w:val="24"/>
        </w:rPr>
        <w:t>风险，投资者在作出投资决策前应仔细阅读本基金的招募说明书。</w:t>
      </w:r>
      <w:r>
        <w:rPr>
          <w:color w:val="000000"/>
          <w:sz w:val="24"/>
          <w:szCs w:val="24"/>
        </w:rPr>
        <w:t xml:space="preserve"> </w:t>
      </w:r>
    </w:p>
    <w:p w:rsidR="006E4B32" w:rsidRDefault="00825D77">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2020</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交银医药创新股票</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004075</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004075</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2017</w:t>
            </w:r>
            <w:r w:rsidRPr="00414345">
              <w:rPr>
                <w:color w:val="000000"/>
                <w:kern w:val="0"/>
                <w:sz w:val="24"/>
                <w:szCs w:val="24"/>
              </w:rPr>
              <w:t>年</w:t>
            </w:r>
            <w:r w:rsidRPr="00414345">
              <w:rPr>
                <w:color w:val="000000"/>
                <w:kern w:val="0"/>
                <w:sz w:val="24"/>
                <w:szCs w:val="24"/>
              </w:rPr>
              <w:t>3</w:t>
            </w:r>
            <w:r w:rsidRPr="00414345">
              <w:rPr>
                <w:color w:val="000000"/>
                <w:kern w:val="0"/>
                <w:sz w:val="24"/>
                <w:szCs w:val="24"/>
              </w:rPr>
              <w:t>月</w:t>
            </w:r>
            <w:r w:rsidRPr="00414345">
              <w:rPr>
                <w:color w:val="000000"/>
                <w:kern w:val="0"/>
                <w:sz w:val="24"/>
                <w:szCs w:val="24"/>
              </w:rPr>
              <w:t>23</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847,675,588.49</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本基金将深度挖掘医药创新过程中产业的各类投资机会，精选医药创新主题的优质上市公司，在控制风险并保持基金资产良好的流动性的前提下，谋求基金资产的长期、稳定增值。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研究优势，将严谨、规范化的选股方法与积极主动的投资风格相结合，在经济转型大背景下，深入研究医药创新行业的发展趋势，积极挖掘不同子行业和子行业景气度新变化下的个股投资机会，通过团队对个股深入的基本面研究和细致的实地调研，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85%×</w:t>
            </w:r>
            <w:r w:rsidRPr="00414345">
              <w:rPr>
                <w:color w:val="000000"/>
                <w:kern w:val="0"/>
                <w:sz w:val="24"/>
                <w:szCs w:val="24"/>
              </w:rPr>
              <w:t>中证医药卫生指数收益率</w:t>
            </w:r>
            <w:r w:rsidRPr="00414345">
              <w:rPr>
                <w:color w:val="000000"/>
                <w:kern w:val="0"/>
                <w:sz w:val="24"/>
                <w:szCs w:val="24"/>
              </w:rPr>
              <w:t>+15%×</w:t>
            </w:r>
            <w:r w:rsidRPr="00414345">
              <w:rPr>
                <w:color w:val="000000"/>
                <w:kern w:val="0"/>
                <w:sz w:val="24"/>
                <w:szCs w:val="24"/>
              </w:rPr>
              <w:t>中证综合债券指数收益率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本基金是一只股票型基金，其预期风险与预期收益高于混合型基金、债券型基金和货币市场基金，属于承担较高预期风险、预期收益较高的证券投资基金品种。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825D77" w:rsidRPr="00414345" w:rsidTr="00825D77">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(2020</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-2020</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825D77" w:rsidRPr="00414345" w:rsidTr="00825D7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270,161,690.40</w:t>
            </w:r>
          </w:p>
        </w:tc>
      </w:tr>
      <w:tr w:rsidR="00825D77" w:rsidRPr="00414345" w:rsidTr="00825D7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108,426,983.20</w:t>
            </w:r>
          </w:p>
        </w:tc>
      </w:tr>
      <w:tr w:rsidR="00825D77" w:rsidRPr="00414345" w:rsidTr="00825D7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0.1301</w:t>
            </w:r>
          </w:p>
        </w:tc>
      </w:tr>
      <w:tr w:rsidR="00825D77" w:rsidRPr="00414345" w:rsidTr="00825D77">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2,596,987,712.63</w:t>
            </w:r>
          </w:p>
        </w:tc>
      </w:tr>
      <w:tr w:rsidR="00825D77" w:rsidRPr="00414345" w:rsidTr="00825D77">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3.0637</w:t>
            </w:r>
          </w:p>
        </w:tc>
      </w:tr>
    </w:tbl>
    <w:p w:rsidR="006E4B32" w:rsidRDefault="00825D7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f2"/>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6E4B32">
        <w:trPr>
          <w:jc w:val="center"/>
        </w:trPr>
        <w:tc>
          <w:tcPr>
            <w:tcW w:w="1701" w:type="dxa"/>
            <w:vAlign w:val="center"/>
          </w:tcPr>
          <w:p w:rsidR="006E4B32" w:rsidRDefault="00825D77">
            <w:pPr>
              <w:jc w:val="left"/>
            </w:pPr>
            <w:r>
              <w:rPr>
                <w:color w:val="000000"/>
                <w:sz w:val="24"/>
                <w:szCs w:val="24"/>
              </w:rPr>
              <w:t>过去三个月</w:t>
            </w:r>
          </w:p>
        </w:tc>
        <w:tc>
          <w:tcPr>
            <w:tcW w:w="1045" w:type="dxa"/>
            <w:vAlign w:val="center"/>
          </w:tcPr>
          <w:p w:rsidR="006E4B32" w:rsidRDefault="00825D77">
            <w:pPr>
              <w:jc w:val="center"/>
            </w:pPr>
            <w:r>
              <w:rPr>
                <w:color w:val="000000"/>
                <w:sz w:val="24"/>
                <w:szCs w:val="24"/>
              </w:rPr>
              <w:t>5.94%</w:t>
            </w:r>
          </w:p>
        </w:tc>
        <w:tc>
          <w:tcPr>
            <w:tcW w:w="1344" w:type="dxa"/>
            <w:vAlign w:val="center"/>
          </w:tcPr>
          <w:p w:rsidR="006E4B32" w:rsidRDefault="00825D77">
            <w:pPr>
              <w:jc w:val="center"/>
            </w:pPr>
            <w:r>
              <w:rPr>
                <w:color w:val="000000"/>
                <w:sz w:val="24"/>
                <w:szCs w:val="24"/>
              </w:rPr>
              <w:t>2.01%</w:t>
            </w:r>
          </w:p>
        </w:tc>
        <w:tc>
          <w:tcPr>
            <w:tcW w:w="1194" w:type="dxa"/>
            <w:vAlign w:val="center"/>
          </w:tcPr>
          <w:p w:rsidR="006E4B32" w:rsidRDefault="00825D77">
            <w:pPr>
              <w:jc w:val="center"/>
            </w:pPr>
            <w:r>
              <w:rPr>
                <w:color w:val="000000"/>
                <w:sz w:val="24"/>
                <w:szCs w:val="24"/>
              </w:rPr>
              <w:t>2.26%</w:t>
            </w:r>
          </w:p>
        </w:tc>
        <w:tc>
          <w:tcPr>
            <w:tcW w:w="1492" w:type="dxa"/>
            <w:vAlign w:val="center"/>
          </w:tcPr>
          <w:p w:rsidR="006E4B32" w:rsidRDefault="00825D77">
            <w:pPr>
              <w:jc w:val="center"/>
            </w:pPr>
            <w:r>
              <w:rPr>
                <w:color w:val="000000"/>
                <w:sz w:val="24"/>
                <w:szCs w:val="24"/>
              </w:rPr>
              <w:t>1.79%</w:t>
            </w:r>
          </w:p>
        </w:tc>
        <w:tc>
          <w:tcPr>
            <w:tcW w:w="1194" w:type="dxa"/>
            <w:vAlign w:val="center"/>
          </w:tcPr>
          <w:p w:rsidR="006E4B32" w:rsidRDefault="00825D77">
            <w:pPr>
              <w:jc w:val="center"/>
            </w:pPr>
            <w:r>
              <w:rPr>
                <w:color w:val="000000"/>
                <w:sz w:val="24"/>
                <w:szCs w:val="24"/>
              </w:rPr>
              <w:t>3.68%</w:t>
            </w:r>
          </w:p>
        </w:tc>
        <w:tc>
          <w:tcPr>
            <w:tcW w:w="898" w:type="dxa"/>
            <w:vAlign w:val="center"/>
          </w:tcPr>
          <w:p w:rsidR="006E4B32" w:rsidRDefault="00825D77">
            <w:pPr>
              <w:jc w:val="center"/>
            </w:pPr>
            <w:r>
              <w:rPr>
                <w:color w:val="000000"/>
                <w:sz w:val="24"/>
                <w:szCs w:val="24"/>
              </w:rPr>
              <w:t>0.22%</w:t>
            </w:r>
          </w:p>
        </w:tc>
      </w:tr>
      <w:tr w:rsidR="006E4B32">
        <w:trPr>
          <w:jc w:val="center"/>
        </w:trPr>
        <w:tc>
          <w:tcPr>
            <w:tcW w:w="1701" w:type="dxa"/>
            <w:vAlign w:val="center"/>
          </w:tcPr>
          <w:p w:rsidR="006E4B32" w:rsidRDefault="00825D77">
            <w:pPr>
              <w:jc w:val="left"/>
            </w:pPr>
            <w:r>
              <w:rPr>
                <w:color w:val="000000"/>
                <w:sz w:val="24"/>
                <w:szCs w:val="24"/>
              </w:rPr>
              <w:t>过去六个月</w:t>
            </w:r>
          </w:p>
        </w:tc>
        <w:tc>
          <w:tcPr>
            <w:tcW w:w="1045" w:type="dxa"/>
            <w:vAlign w:val="center"/>
          </w:tcPr>
          <w:p w:rsidR="006E4B32" w:rsidRDefault="00825D77">
            <w:pPr>
              <w:jc w:val="center"/>
            </w:pPr>
            <w:r>
              <w:rPr>
                <w:color w:val="000000"/>
                <w:sz w:val="24"/>
                <w:szCs w:val="24"/>
              </w:rPr>
              <w:t>55.95%</w:t>
            </w:r>
          </w:p>
        </w:tc>
        <w:tc>
          <w:tcPr>
            <w:tcW w:w="1344" w:type="dxa"/>
            <w:vAlign w:val="center"/>
          </w:tcPr>
          <w:p w:rsidR="006E4B32" w:rsidRDefault="00825D77">
            <w:pPr>
              <w:jc w:val="center"/>
            </w:pPr>
            <w:r>
              <w:rPr>
                <w:color w:val="000000"/>
                <w:sz w:val="24"/>
                <w:szCs w:val="24"/>
              </w:rPr>
              <w:t>1.86%</w:t>
            </w:r>
          </w:p>
        </w:tc>
        <w:tc>
          <w:tcPr>
            <w:tcW w:w="1194" w:type="dxa"/>
            <w:vAlign w:val="center"/>
          </w:tcPr>
          <w:p w:rsidR="006E4B32" w:rsidRDefault="00825D77">
            <w:pPr>
              <w:jc w:val="center"/>
            </w:pPr>
            <w:r>
              <w:rPr>
                <w:color w:val="000000"/>
                <w:sz w:val="24"/>
                <w:szCs w:val="24"/>
              </w:rPr>
              <w:t>28.07%</w:t>
            </w:r>
          </w:p>
        </w:tc>
        <w:tc>
          <w:tcPr>
            <w:tcW w:w="1492" w:type="dxa"/>
            <w:vAlign w:val="center"/>
          </w:tcPr>
          <w:p w:rsidR="006E4B32" w:rsidRDefault="00825D77">
            <w:pPr>
              <w:jc w:val="center"/>
            </w:pPr>
            <w:r>
              <w:rPr>
                <w:color w:val="000000"/>
                <w:sz w:val="24"/>
                <w:szCs w:val="24"/>
              </w:rPr>
              <w:t>1.54%</w:t>
            </w:r>
          </w:p>
        </w:tc>
        <w:tc>
          <w:tcPr>
            <w:tcW w:w="1194" w:type="dxa"/>
            <w:vAlign w:val="center"/>
          </w:tcPr>
          <w:p w:rsidR="006E4B32" w:rsidRDefault="00825D77">
            <w:pPr>
              <w:jc w:val="center"/>
            </w:pPr>
            <w:r>
              <w:rPr>
                <w:color w:val="000000"/>
                <w:sz w:val="24"/>
                <w:szCs w:val="24"/>
              </w:rPr>
              <w:t>27.88%</w:t>
            </w:r>
          </w:p>
        </w:tc>
        <w:tc>
          <w:tcPr>
            <w:tcW w:w="898" w:type="dxa"/>
            <w:vAlign w:val="center"/>
          </w:tcPr>
          <w:p w:rsidR="006E4B32" w:rsidRDefault="00825D77">
            <w:pPr>
              <w:jc w:val="center"/>
            </w:pPr>
            <w:r>
              <w:rPr>
                <w:color w:val="000000"/>
                <w:sz w:val="24"/>
                <w:szCs w:val="24"/>
              </w:rPr>
              <w:t>0.32%</w:t>
            </w:r>
          </w:p>
        </w:tc>
      </w:tr>
      <w:tr w:rsidR="006E4B32">
        <w:trPr>
          <w:jc w:val="center"/>
        </w:trPr>
        <w:tc>
          <w:tcPr>
            <w:tcW w:w="1701" w:type="dxa"/>
            <w:vAlign w:val="center"/>
          </w:tcPr>
          <w:p w:rsidR="006E4B32" w:rsidRDefault="00825D77">
            <w:pPr>
              <w:jc w:val="left"/>
            </w:pPr>
            <w:r>
              <w:rPr>
                <w:color w:val="000000"/>
                <w:sz w:val="24"/>
                <w:szCs w:val="24"/>
              </w:rPr>
              <w:t>过去一年</w:t>
            </w:r>
          </w:p>
        </w:tc>
        <w:tc>
          <w:tcPr>
            <w:tcW w:w="1045" w:type="dxa"/>
            <w:vAlign w:val="center"/>
          </w:tcPr>
          <w:p w:rsidR="006E4B32" w:rsidRDefault="00825D77">
            <w:pPr>
              <w:jc w:val="center"/>
            </w:pPr>
            <w:r>
              <w:rPr>
                <w:color w:val="000000"/>
                <w:sz w:val="24"/>
                <w:szCs w:val="24"/>
              </w:rPr>
              <w:t>87.13%</w:t>
            </w:r>
          </w:p>
        </w:tc>
        <w:tc>
          <w:tcPr>
            <w:tcW w:w="1344" w:type="dxa"/>
            <w:vAlign w:val="center"/>
          </w:tcPr>
          <w:p w:rsidR="006E4B32" w:rsidRDefault="00825D77">
            <w:pPr>
              <w:jc w:val="center"/>
            </w:pPr>
            <w:r>
              <w:rPr>
                <w:color w:val="000000"/>
                <w:sz w:val="24"/>
                <w:szCs w:val="24"/>
              </w:rPr>
              <w:t>1.76%</w:t>
            </w:r>
          </w:p>
        </w:tc>
        <w:tc>
          <w:tcPr>
            <w:tcW w:w="1194" w:type="dxa"/>
            <w:vAlign w:val="center"/>
          </w:tcPr>
          <w:p w:rsidR="006E4B32" w:rsidRDefault="00825D77">
            <w:pPr>
              <w:jc w:val="center"/>
            </w:pPr>
            <w:r>
              <w:rPr>
                <w:color w:val="000000"/>
                <w:sz w:val="24"/>
                <w:szCs w:val="24"/>
              </w:rPr>
              <w:t>42.07%</w:t>
            </w:r>
          </w:p>
        </w:tc>
        <w:tc>
          <w:tcPr>
            <w:tcW w:w="1492" w:type="dxa"/>
            <w:vAlign w:val="center"/>
          </w:tcPr>
          <w:p w:rsidR="006E4B32" w:rsidRDefault="00825D77">
            <w:pPr>
              <w:jc w:val="center"/>
            </w:pPr>
            <w:r>
              <w:rPr>
                <w:color w:val="000000"/>
                <w:sz w:val="24"/>
                <w:szCs w:val="24"/>
              </w:rPr>
              <w:t>1.42%</w:t>
            </w:r>
          </w:p>
        </w:tc>
        <w:tc>
          <w:tcPr>
            <w:tcW w:w="1194" w:type="dxa"/>
            <w:vAlign w:val="center"/>
          </w:tcPr>
          <w:p w:rsidR="006E4B32" w:rsidRDefault="00825D77">
            <w:pPr>
              <w:jc w:val="center"/>
            </w:pPr>
            <w:r>
              <w:rPr>
                <w:color w:val="000000"/>
                <w:sz w:val="24"/>
                <w:szCs w:val="24"/>
              </w:rPr>
              <w:t>45.06%</w:t>
            </w:r>
          </w:p>
        </w:tc>
        <w:tc>
          <w:tcPr>
            <w:tcW w:w="898" w:type="dxa"/>
            <w:vAlign w:val="center"/>
          </w:tcPr>
          <w:p w:rsidR="006E4B32" w:rsidRDefault="00825D77">
            <w:pPr>
              <w:jc w:val="center"/>
            </w:pPr>
            <w:r>
              <w:rPr>
                <w:color w:val="000000"/>
                <w:sz w:val="24"/>
                <w:szCs w:val="24"/>
              </w:rPr>
              <w:t>0.34%</w:t>
            </w:r>
          </w:p>
        </w:tc>
      </w:tr>
      <w:tr w:rsidR="006E4B32">
        <w:trPr>
          <w:jc w:val="center"/>
        </w:trPr>
        <w:tc>
          <w:tcPr>
            <w:tcW w:w="1701" w:type="dxa"/>
            <w:vAlign w:val="center"/>
          </w:tcPr>
          <w:p w:rsidR="006E4B32" w:rsidRDefault="00825D77">
            <w:pPr>
              <w:jc w:val="left"/>
            </w:pPr>
            <w:r>
              <w:rPr>
                <w:color w:val="000000"/>
                <w:sz w:val="24"/>
                <w:szCs w:val="24"/>
              </w:rPr>
              <w:t>过去三年</w:t>
            </w:r>
          </w:p>
        </w:tc>
        <w:tc>
          <w:tcPr>
            <w:tcW w:w="1045" w:type="dxa"/>
            <w:vAlign w:val="center"/>
          </w:tcPr>
          <w:p w:rsidR="006E4B32" w:rsidRDefault="00825D77">
            <w:pPr>
              <w:jc w:val="center"/>
            </w:pPr>
            <w:r>
              <w:rPr>
                <w:color w:val="000000"/>
                <w:sz w:val="24"/>
                <w:szCs w:val="24"/>
              </w:rPr>
              <w:t>192.09%</w:t>
            </w:r>
          </w:p>
        </w:tc>
        <w:tc>
          <w:tcPr>
            <w:tcW w:w="1344" w:type="dxa"/>
            <w:vAlign w:val="center"/>
          </w:tcPr>
          <w:p w:rsidR="006E4B32" w:rsidRDefault="00825D77">
            <w:pPr>
              <w:jc w:val="center"/>
            </w:pPr>
            <w:r>
              <w:rPr>
                <w:color w:val="000000"/>
                <w:sz w:val="24"/>
                <w:szCs w:val="24"/>
              </w:rPr>
              <w:t>1.53%</w:t>
            </w:r>
          </w:p>
        </w:tc>
        <w:tc>
          <w:tcPr>
            <w:tcW w:w="1194" w:type="dxa"/>
            <w:vAlign w:val="center"/>
          </w:tcPr>
          <w:p w:rsidR="006E4B32" w:rsidRDefault="00825D77">
            <w:pPr>
              <w:jc w:val="center"/>
            </w:pPr>
            <w:r>
              <w:rPr>
                <w:color w:val="000000"/>
                <w:sz w:val="24"/>
                <w:szCs w:val="24"/>
              </w:rPr>
              <w:t>43.37%</w:t>
            </w:r>
          </w:p>
        </w:tc>
        <w:tc>
          <w:tcPr>
            <w:tcW w:w="1492" w:type="dxa"/>
            <w:vAlign w:val="center"/>
          </w:tcPr>
          <w:p w:rsidR="006E4B32" w:rsidRDefault="00825D77">
            <w:pPr>
              <w:jc w:val="center"/>
            </w:pPr>
            <w:r>
              <w:rPr>
                <w:color w:val="000000"/>
                <w:sz w:val="24"/>
                <w:szCs w:val="24"/>
              </w:rPr>
              <w:t>1.36%</w:t>
            </w:r>
          </w:p>
        </w:tc>
        <w:tc>
          <w:tcPr>
            <w:tcW w:w="1194" w:type="dxa"/>
            <w:vAlign w:val="center"/>
          </w:tcPr>
          <w:p w:rsidR="006E4B32" w:rsidRDefault="00825D77">
            <w:pPr>
              <w:jc w:val="center"/>
            </w:pPr>
            <w:r>
              <w:rPr>
                <w:color w:val="000000"/>
                <w:sz w:val="24"/>
                <w:szCs w:val="24"/>
              </w:rPr>
              <w:t>148.72%</w:t>
            </w:r>
          </w:p>
        </w:tc>
        <w:tc>
          <w:tcPr>
            <w:tcW w:w="898" w:type="dxa"/>
            <w:vAlign w:val="center"/>
          </w:tcPr>
          <w:p w:rsidR="006E4B32" w:rsidRDefault="00825D77">
            <w:pPr>
              <w:jc w:val="center"/>
            </w:pPr>
            <w:r>
              <w:rPr>
                <w:color w:val="000000"/>
                <w:sz w:val="24"/>
                <w:szCs w:val="24"/>
              </w:rPr>
              <w:t>0.17%</w:t>
            </w:r>
          </w:p>
        </w:tc>
      </w:tr>
      <w:tr w:rsidR="006E4B32">
        <w:trPr>
          <w:jc w:val="center"/>
        </w:trPr>
        <w:tc>
          <w:tcPr>
            <w:tcW w:w="1701" w:type="dxa"/>
            <w:vAlign w:val="center"/>
          </w:tcPr>
          <w:p w:rsidR="006E4B32" w:rsidRDefault="00825D77">
            <w:pPr>
              <w:jc w:val="left"/>
            </w:pPr>
            <w:r>
              <w:rPr>
                <w:color w:val="000000"/>
                <w:sz w:val="24"/>
                <w:szCs w:val="24"/>
              </w:rPr>
              <w:t>自基金合同生效起至今</w:t>
            </w:r>
          </w:p>
        </w:tc>
        <w:tc>
          <w:tcPr>
            <w:tcW w:w="1045" w:type="dxa"/>
            <w:vAlign w:val="center"/>
          </w:tcPr>
          <w:p w:rsidR="006E4B32" w:rsidRDefault="00825D77">
            <w:pPr>
              <w:jc w:val="center"/>
            </w:pPr>
            <w:r>
              <w:rPr>
                <w:color w:val="000000"/>
                <w:sz w:val="24"/>
                <w:szCs w:val="24"/>
              </w:rPr>
              <w:t>206.37%</w:t>
            </w:r>
          </w:p>
        </w:tc>
        <w:tc>
          <w:tcPr>
            <w:tcW w:w="1344" w:type="dxa"/>
            <w:vAlign w:val="center"/>
          </w:tcPr>
          <w:p w:rsidR="006E4B32" w:rsidRDefault="00825D77">
            <w:pPr>
              <w:jc w:val="center"/>
            </w:pPr>
            <w:r>
              <w:rPr>
                <w:color w:val="000000"/>
                <w:sz w:val="24"/>
                <w:szCs w:val="24"/>
              </w:rPr>
              <w:t>1.42%</w:t>
            </w:r>
          </w:p>
        </w:tc>
        <w:tc>
          <w:tcPr>
            <w:tcW w:w="1194" w:type="dxa"/>
            <w:vAlign w:val="center"/>
          </w:tcPr>
          <w:p w:rsidR="006E4B32" w:rsidRDefault="00825D77">
            <w:pPr>
              <w:jc w:val="center"/>
            </w:pPr>
            <w:r>
              <w:rPr>
                <w:color w:val="000000"/>
                <w:sz w:val="24"/>
                <w:szCs w:val="24"/>
              </w:rPr>
              <w:t>43.66%</w:t>
            </w:r>
          </w:p>
        </w:tc>
        <w:tc>
          <w:tcPr>
            <w:tcW w:w="1492" w:type="dxa"/>
            <w:vAlign w:val="center"/>
          </w:tcPr>
          <w:p w:rsidR="006E4B32" w:rsidRDefault="00825D77">
            <w:pPr>
              <w:jc w:val="center"/>
            </w:pPr>
            <w:r>
              <w:rPr>
                <w:color w:val="000000"/>
                <w:sz w:val="24"/>
                <w:szCs w:val="24"/>
              </w:rPr>
              <w:t>1.27%</w:t>
            </w:r>
          </w:p>
        </w:tc>
        <w:tc>
          <w:tcPr>
            <w:tcW w:w="1194" w:type="dxa"/>
            <w:vAlign w:val="center"/>
          </w:tcPr>
          <w:p w:rsidR="006E4B32" w:rsidRDefault="00825D77">
            <w:pPr>
              <w:jc w:val="center"/>
            </w:pPr>
            <w:r>
              <w:rPr>
                <w:color w:val="000000"/>
                <w:sz w:val="24"/>
                <w:szCs w:val="24"/>
              </w:rPr>
              <w:t>162.71%</w:t>
            </w:r>
          </w:p>
        </w:tc>
        <w:tc>
          <w:tcPr>
            <w:tcW w:w="898" w:type="dxa"/>
            <w:vAlign w:val="center"/>
          </w:tcPr>
          <w:p w:rsidR="006E4B32" w:rsidRDefault="00825D77">
            <w:pPr>
              <w:jc w:val="center"/>
            </w:pPr>
            <w:r>
              <w:rPr>
                <w:color w:val="000000"/>
                <w:sz w:val="24"/>
                <w:szCs w:val="24"/>
              </w:rPr>
              <w:t>0.15%</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交银施罗德医药创新股票型证券投资基金</w:t>
      </w:r>
    </w:p>
    <w:p w:rsidR="004061AC" w:rsidRPr="00414345" w:rsidRDefault="00B56F53"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6"/>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2017</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3</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23</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2020</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9</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6"/>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6E4B32">
        <w:trPr>
          <w:jc w:val="center"/>
        </w:trPr>
        <w:tc>
          <w:tcPr>
            <w:tcW w:w="846" w:type="dxa"/>
            <w:vAlign w:val="center"/>
          </w:tcPr>
          <w:p w:rsidR="006E4B32" w:rsidRDefault="00825D77">
            <w:pPr>
              <w:jc w:val="center"/>
            </w:pPr>
            <w:r>
              <w:rPr>
                <w:color w:val="000000"/>
                <w:sz w:val="24"/>
                <w:szCs w:val="24"/>
              </w:rPr>
              <w:t>楼慧源</w:t>
            </w:r>
          </w:p>
        </w:tc>
        <w:tc>
          <w:tcPr>
            <w:tcW w:w="845" w:type="dxa"/>
            <w:vAlign w:val="center"/>
          </w:tcPr>
          <w:p w:rsidR="006E4B32" w:rsidRDefault="00825D77">
            <w:pPr>
              <w:jc w:val="center"/>
            </w:pPr>
            <w:r>
              <w:rPr>
                <w:color w:val="000000"/>
                <w:sz w:val="24"/>
                <w:szCs w:val="24"/>
              </w:rPr>
              <w:t>交银医药创新股票、交银启汇混合</w:t>
            </w:r>
            <w:r>
              <w:rPr>
                <w:color w:val="000000"/>
                <w:sz w:val="24"/>
                <w:szCs w:val="24"/>
              </w:rPr>
              <w:lastRenderedPageBreak/>
              <w:t>的基金经理</w:t>
            </w:r>
          </w:p>
        </w:tc>
        <w:tc>
          <w:tcPr>
            <w:tcW w:w="1549" w:type="dxa"/>
            <w:vAlign w:val="center"/>
          </w:tcPr>
          <w:p w:rsidR="006E4B32" w:rsidRDefault="00825D77">
            <w:pPr>
              <w:jc w:val="center"/>
            </w:pPr>
            <w:r>
              <w:rPr>
                <w:color w:val="000000"/>
                <w:sz w:val="24"/>
                <w:szCs w:val="24"/>
              </w:rPr>
              <w:lastRenderedPageBreak/>
              <w:t>2018-09-12</w:t>
            </w:r>
          </w:p>
        </w:tc>
        <w:tc>
          <w:tcPr>
            <w:tcW w:w="1548" w:type="dxa"/>
            <w:vAlign w:val="center"/>
          </w:tcPr>
          <w:p w:rsidR="006E4B32" w:rsidRDefault="00825D77">
            <w:pPr>
              <w:jc w:val="center"/>
            </w:pPr>
            <w:r>
              <w:rPr>
                <w:color w:val="000000"/>
                <w:sz w:val="24"/>
                <w:szCs w:val="24"/>
              </w:rPr>
              <w:t>-</w:t>
            </w:r>
          </w:p>
        </w:tc>
        <w:tc>
          <w:tcPr>
            <w:tcW w:w="1407" w:type="dxa"/>
            <w:vAlign w:val="center"/>
          </w:tcPr>
          <w:p w:rsidR="006E4B32" w:rsidRDefault="00825D77">
            <w:pPr>
              <w:jc w:val="center"/>
            </w:pPr>
            <w:r>
              <w:rPr>
                <w:color w:val="000000"/>
                <w:sz w:val="24"/>
                <w:szCs w:val="24"/>
              </w:rPr>
              <w:t>6</w:t>
            </w:r>
            <w:r>
              <w:rPr>
                <w:color w:val="000000"/>
                <w:sz w:val="24"/>
                <w:szCs w:val="24"/>
              </w:rPr>
              <w:t>年</w:t>
            </w:r>
          </w:p>
        </w:tc>
        <w:tc>
          <w:tcPr>
            <w:tcW w:w="2673" w:type="dxa"/>
            <w:vAlign w:val="center"/>
          </w:tcPr>
          <w:p w:rsidR="006E4B32" w:rsidRDefault="00825D77">
            <w:r>
              <w:rPr>
                <w:color w:val="000000"/>
                <w:sz w:val="24"/>
                <w:szCs w:val="24"/>
              </w:rPr>
              <w:t>楼慧源女士，复旦大学金融学硕士、浙江大学应用生物科学学士。</w:t>
            </w:r>
            <w:r>
              <w:rPr>
                <w:color w:val="000000"/>
                <w:sz w:val="24"/>
                <w:szCs w:val="24"/>
              </w:rPr>
              <w:t>2014</w:t>
            </w:r>
            <w:r>
              <w:rPr>
                <w:color w:val="000000"/>
                <w:sz w:val="24"/>
                <w:szCs w:val="24"/>
              </w:rPr>
              <w:t>年至</w:t>
            </w:r>
            <w:r>
              <w:rPr>
                <w:color w:val="000000"/>
                <w:sz w:val="24"/>
                <w:szCs w:val="24"/>
              </w:rPr>
              <w:t>2015</w:t>
            </w:r>
            <w:r>
              <w:rPr>
                <w:color w:val="000000"/>
                <w:sz w:val="24"/>
                <w:szCs w:val="24"/>
              </w:rPr>
              <w:t>年任中国国际金融有限公司研究员。</w:t>
            </w:r>
            <w:r>
              <w:rPr>
                <w:color w:val="000000"/>
                <w:sz w:val="24"/>
                <w:szCs w:val="24"/>
              </w:rPr>
              <w:t>2015</w:t>
            </w:r>
            <w:r>
              <w:rPr>
                <w:color w:val="000000"/>
                <w:sz w:val="24"/>
                <w:szCs w:val="24"/>
              </w:rPr>
              <w:t>年加入交银施罗德基金管理有限公</w:t>
            </w:r>
            <w:r>
              <w:rPr>
                <w:color w:val="000000"/>
                <w:sz w:val="24"/>
                <w:szCs w:val="24"/>
              </w:rPr>
              <w:lastRenderedPageBreak/>
              <w:t>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6E4B32" w:rsidRDefault="00825D77">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6E4B32" w:rsidRDefault="00825D77">
      <w:pPr>
        <w:spacing w:before="29" w:line="288" w:lineRule="auto"/>
        <w:ind w:firstLineChars="200" w:firstLine="480"/>
        <w:rPr>
          <w:color w:val="000000"/>
          <w:sz w:val="24"/>
          <w:szCs w:val="24"/>
        </w:rPr>
      </w:pPr>
      <w:r>
        <w:rPr>
          <w:color w:val="000000"/>
          <w:sz w:val="24"/>
          <w:szCs w:val="24"/>
        </w:rPr>
        <w:t>公司建立资源共享的投资研究信息平台，确保各投资组合在获</w:t>
      </w:r>
      <w:r>
        <w:rPr>
          <w:color w:val="000000"/>
          <w:sz w:val="24"/>
          <w:szCs w:val="24"/>
        </w:rPr>
        <w:t>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6E4B32" w:rsidRDefault="00825D77">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w:t>
      </w:r>
      <w:r>
        <w:rPr>
          <w:color w:val="000000"/>
          <w:sz w:val="24"/>
          <w:szCs w:val="24"/>
        </w:rPr>
        <w:t>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6E4B32" w:rsidRDefault="00825D77">
      <w:pPr>
        <w:spacing w:before="29" w:line="288" w:lineRule="auto"/>
        <w:ind w:firstLineChars="200" w:firstLine="480"/>
        <w:rPr>
          <w:color w:val="000000"/>
          <w:sz w:val="24"/>
          <w:szCs w:val="24"/>
        </w:rPr>
      </w:pPr>
      <w:r>
        <w:rPr>
          <w:color w:val="000000"/>
          <w:sz w:val="24"/>
          <w:szCs w:val="24"/>
        </w:rPr>
        <w:t>回顾</w:t>
      </w:r>
      <w:r>
        <w:rPr>
          <w:color w:val="000000"/>
          <w:sz w:val="24"/>
          <w:szCs w:val="24"/>
        </w:rPr>
        <w:t>2020</w:t>
      </w:r>
      <w:r>
        <w:rPr>
          <w:color w:val="000000"/>
          <w:sz w:val="24"/>
          <w:szCs w:val="24"/>
        </w:rPr>
        <w:t>年</w:t>
      </w:r>
      <w:r>
        <w:rPr>
          <w:color w:val="000000"/>
          <w:sz w:val="24"/>
          <w:szCs w:val="24"/>
        </w:rPr>
        <w:t>1-7</w:t>
      </w:r>
      <w:r>
        <w:rPr>
          <w:color w:val="000000"/>
          <w:sz w:val="24"/>
          <w:szCs w:val="24"/>
        </w:rPr>
        <w:t>月，疫情给医药板块带来贝塔，受益于防疫的个股表现尤其突出。</w:t>
      </w:r>
      <w:r>
        <w:rPr>
          <w:color w:val="000000"/>
          <w:sz w:val="24"/>
          <w:szCs w:val="24"/>
        </w:rPr>
        <w:lastRenderedPageBreak/>
        <w:t>医药板块超额收益明显，一大批长期确定性高的中长期品种同样被估值充分。因此</w:t>
      </w:r>
      <w:r>
        <w:rPr>
          <w:color w:val="000000"/>
          <w:sz w:val="24"/>
          <w:szCs w:val="24"/>
        </w:rPr>
        <w:t>8-9</w:t>
      </w:r>
      <w:r>
        <w:rPr>
          <w:color w:val="000000"/>
          <w:sz w:val="24"/>
          <w:szCs w:val="24"/>
        </w:rPr>
        <w:t>月，随着市场的回落，医药板块有了较明显的调整。我们认为，经过近期的调整，目前医药板块估值还处于历史偏上的水平，接下来具备以时间换空间的可能。科创板和创业板新股中，逐步涌现出质地不错的公司。之前在上涨阶段、这批新公司并没有合适的买点，未来随着标的的不断扩容，我们认为新股不会再过度溢价、估值水平有望趋向于合理，我们会密切关注</w:t>
      </w:r>
      <w:r>
        <w:rPr>
          <w:color w:val="000000"/>
          <w:sz w:val="24"/>
          <w:szCs w:val="24"/>
        </w:rPr>
        <w:t>优质的新股标的、进行配置。</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医药行业长期还是继续看好四类赛道，受益于消费升级的品质医疗服务和医药消费品，受益于技术驱动、治疗范式升级的创新药和创新器械，受益于国产替代的高性价比药械和诊断产品，以及受益于人才红利的承接全球需求的医药制造</w:t>
      </w:r>
      <w:r w:rsidRPr="00414345">
        <w:rPr>
          <w:color w:val="000000"/>
          <w:sz w:val="24"/>
          <w:szCs w:val="24"/>
        </w:rPr>
        <w:t>/</w:t>
      </w:r>
      <w:r w:rsidRPr="00414345">
        <w:rPr>
          <w:color w:val="000000"/>
          <w:sz w:val="24"/>
          <w:szCs w:val="24"/>
        </w:rPr>
        <w:t>研发服务。</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“3.1</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 xml:space="preserve">“3.2.1 </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f2"/>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18138B">
              <w:rPr>
                <w:rFonts w:eastAsiaTheme="minorEastAsia" w:hint="eastAsia"/>
                <w:color w:val="000000" w:themeColor="text1"/>
                <w:sz w:val="24"/>
                <w:szCs w:val="24"/>
              </w:rPr>
              <w:t>(</w:t>
            </w:r>
            <w:r w:rsidR="0018138B">
              <w:rPr>
                <w:rFonts w:eastAsiaTheme="minorEastAsia"/>
                <w:color w:val="000000" w:themeColor="text1"/>
                <w:sz w:val="24"/>
                <w:szCs w:val="24"/>
              </w:rPr>
              <w:t>%</w:t>
            </w:r>
            <w:r w:rsidR="0018138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2,300,680,487.93</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84.08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2,300,680,487.93</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84.08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104,000,000.00</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3.80</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w:t>
            </w:r>
            <w:r w:rsidRPr="007B5F21">
              <w:rPr>
                <w:rFonts w:eastAsiaTheme="minorEastAsia"/>
                <w:color w:val="000000" w:themeColor="text1"/>
                <w:sz w:val="24"/>
                <w:szCs w:val="24"/>
              </w:rPr>
              <w:lastRenderedPageBreak/>
              <w:t>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lastRenderedPageBreak/>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325,823,206.48</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11.91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5,688,847.64</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0.21</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2,736,192,542.05</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1,533,853,022.22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59.06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13,029.12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121,981,115.43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4.70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18,653.36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191,825.31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243,503,413.90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9.38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70,328.62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401,003,966.71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15.44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45,133.26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2,300,680,487.93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88.59</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f2"/>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6E4B32">
        <w:trPr>
          <w:jc w:val="center"/>
        </w:trPr>
        <w:tc>
          <w:tcPr>
            <w:tcW w:w="855" w:type="dxa"/>
            <w:vAlign w:val="center"/>
          </w:tcPr>
          <w:p w:rsidR="006E4B32" w:rsidRDefault="00825D77">
            <w:pPr>
              <w:jc w:val="center"/>
            </w:pPr>
            <w:r>
              <w:rPr>
                <w:color w:val="000000"/>
                <w:sz w:val="24"/>
                <w:szCs w:val="24"/>
              </w:rPr>
              <w:t>1</w:t>
            </w:r>
          </w:p>
        </w:tc>
        <w:tc>
          <w:tcPr>
            <w:tcW w:w="1334" w:type="dxa"/>
            <w:vAlign w:val="center"/>
          </w:tcPr>
          <w:p w:rsidR="006E4B32" w:rsidRDefault="00825D77">
            <w:pPr>
              <w:jc w:val="center"/>
            </w:pPr>
            <w:r>
              <w:rPr>
                <w:color w:val="000000"/>
                <w:sz w:val="24"/>
                <w:szCs w:val="24"/>
              </w:rPr>
              <w:t>300760</w:t>
            </w:r>
          </w:p>
        </w:tc>
        <w:tc>
          <w:tcPr>
            <w:tcW w:w="1777" w:type="dxa"/>
            <w:vAlign w:val="center"/>
          </w:tcPr>
          <w:p w:rsidR="006E4B32" w:rsidRDefault="00825D77">
            <w:pPr>
              <w:jc w:val="center"/>
            </w:pPr>
            <w:r>
              <w:rPr>
                <w:color w:val="000000"/>
                <w:sz w:val="24"/>
                <w:szCs w:val="24"/>
              </w:rPr>
              <w:t>迈瑞医疗</w:t>
            </w:r>
          </w:p>
        </w:tc>
        <w:tc>
          <w:tcPr>
            <w:tcW w:w="1334" w:type="dxa"/>
            <w:vAlign w:val="center"/>
          </w:tcPr>
          <w:p w:rsidR="006E4B32" w:rsidRDefault="00825D77">
            <w:pPr>
              <w:jc w:val="right"/>
            </w:pPr>
            <w:r>
              <w:rPr>
                <w:color w:val="000000"/>
                <w:sz w:val="24"/>
                <w:szCs w:val="24"/>
              </w:rPr>
              <w:t>543,439</w:t>
            </w:r>
          </w:p>
        </w:tc>
        <w:tc>
          <w:tcPr>
            <w:tcW w:w="1924" w:type="dxa"/>
            <w:vAlign w:val="center"/>
          </w:tcPr>
          <w:p w:rsidR="006E4B32" w:rsidRDefault="00825D77">
            <w:pPr>
              <w:jc w:val="right"/>
            </w:pPr>
            <w:r>
              <w:rPr>
                <w:color w:val="000000"/>
                <w:sz w:val="24"/>
                <w:szCs w:val="24"/>
              </w:rPr>
              <w:t>189,116,772.00</w:t>
            </w:r>
          </w:p>
        </w:tc>
        <w:tc>
          <w:tcPr>
            <w:tcW w:w="1644" w:type="dxa"/>
            <w:vAlign w:val="center"/>
          </w:tcPr>
          <w:p w:rsidR="006E4B32" w:rsidRDefault="00825D77">
            <w:pPr>
              <w:jc w:val="right"/>
            </w:pPr>
            <w:r>
              <w:rPr>
                <w:color w:val="000000"/>
                <w:sz w:val="24"/>
                <w:szCs w:val="24"/>
              </w:rPr>
              <w:t>7.28</w:t>
            </w:r>
          </w:p>
        </w:tc>
      </w:tr>
      <w:tr w:rsidR="006E4B32">
        <w:trPr>
          <w:jc w:val="center"/>
        </w:trPr>
        <w:tc>
          <w:tcPr>
            <w:tcW w:w="855" w:type="dxa"/>
            <w:vAlign w:val="center"/>
          </w:tcPr>
          <w:p w:rsidR="006E4B32" w:rsidRDefault="00825D77">
            <w:pPr>
              <w:jc w:val="center"/>
            </w:pPr>
            <w:r>
              <w:rPr>
                <w:color w:val="000000"/>
                <w:sz w:val="24"/>
                <w:szCs w:val="24"/>
              </w:rPr>
              <w:t>2</w:t>
            </w:r>
          </w:p>
        </w:tc>
        <w:tc>
          <w:tcPr>
            <w:tcW w:w="1334" w:type="dxa"/>
            <w:vAlign w:val="center"/>
          </w:tcPr>
          <w:p w:rsidR="006E4B32" w:rsidRDefault="00825D77">
            <w:pPr>
              <w:jc w:val="center"/>
            </w:pPr>
            <w:r>
              <w:rPr>
                <w:color w:val="000000"/>
                <w:sz w:val="24"/>
                <w:szCs w:val="24"/>
              </w:rPr>
              <w:t>603259</w:t>
            </w:r>
          </w:p>
        </w:tc>
        <w:tc>
          <w:tcPr>
            <w:tcW w:w="1777" w:type="dxa"/>
            <w:vAlign w:val="center"/>
          </w:tcPr>
          <w:p w:rsidR="006E4B32" w:rsidRDefault="00825D77">
            <w:pPr>
              <w:jc w:val="center"/>
            </w:pPr>
            <w:r>
              <w:rPr>
                <w:color w:val="000000"/>
                <w:sz w:val="24"/>
                <w:szCs w:val="24"/>
              </w:rPr>
              <w:t>药明康德</w:t>
            </w:r>
          </w:p>
        </w:tc>
        <w:tc>
          <w:tcPr>
            <w:tcW w:w="1334" w:type="dxa"/>
            <w:vAlign w:val="center"/>
          </w:tcPr>
          <w:p w:rsidR="006E4B32" w:rsidRDefault="00825D77">
            <w:pPr>
              <w:jc w:val="right"/>
            </w:pPr>
            <w:r>
              <w:rPr>
                <w:color w:val="000000"/>
                <w:sz w:val="24"/>
                <w:szCs w:val="24"/>
              </w:rPr>
              <w:t>1,836,792</w:t>
            </w:r>
          </w:p>
        </w:tc>
        <w:tc>
          <w:tcPr>
            <w:tcW w:w="1924" w:type="dxa"/>
            <w:vAlign w:val="center"/>
          </w:tcPr>
          <w:p w:rsidR="006E4B32" w:rsidRDefault="00825D77">
            <w:pPr>
              <w:jc w:val="right"/>
            </w:pPr>
            <w:r>
              <w:rPr>
                <w:color w:val="000000"/>
                <w:sz w:val="24"/>
                <w:szCs w:val="24"/>
              </w:rPr>
              <w:t>186,434,388.00</w:t>
            </w:r>
          </w:p>
        </w:tc>
        <w:tc>
          <w:tcPr>
            <w:tcW w:w="1644" w:type="dxa"/>
            <w:vAlign w:val="center"/>
          </w:tcPr>
          <w:p w:rsidR="006E4B32" w:rsidRDefault="00825D77">
            <w:pPr>
              <w:jc w:val="right"/>
            </w:pPr>
            <w:r>
              <w:rPr>
                <w:color w:val="000000"/>
                <w:sz w:val="24"/>
                <w:szCs w:val="24"/>
              </w:rPr>
              <w:t>7.18</w:t>
            </w:r>
          </w:p>
        </w:tc>
      </w:tr>
      <w:tr w:rsidR="006E4B32">
        <w:trPr>
          <w:jc w:val="center"/>
        </w:trPr>
        <w:tc>
          <w:tcPr>
            <w:tcW w:w="855" w:type="dxa"/>
            <w:vAlign w:val="center"/>
          </w:tcPr>
          <w:p w:rsidR="006E4B32" w:rsidRDefault="00825D77">
            <w:pPr>
              <w:jc w:val="center"/>
            </w:pPr>
            <w:r>
              <w:rPr>
                <w:color w:val="000000"/>
                <w:sz w:val="24"/>
                <w:szCs w:val="24"/>
              </w:rPr>
              <w:t>3</w:t>
            </w:r>
          </w:p>
        </w:tc>
        <w:tc>
          <w:tcPr>
            <w:tcW w:w="1334" w:type="dxa"/>
            <w:vAlign w:val="center"/>
          </w:tcPr>
          <w:p w:rsidR="006E4B32" w:rsidRDefault="00825D77">
            <w:pPr>
              <w:jc w:val="center"/>
            </w:pPr>
            <w:r>
              <w:rPr>
                <w:color w:val="000000"/>
                <w:sz w:val="24"/>
                <w:szCs w:val="24"/>
              </w:rPr>
              <w:t>600276</w:t>
            </w:r>
          </w:p>
        </w:tc>
        <w:tc>
          <w:tcPr>
            <w:tcW w:w="1777" w:type="dxa"/>
            <w:vAlign w:val="center"/>
          </w:tcPr>
          <w:p w:rsidR="006E4B32" w:rsidRDefault="00825D77">
            <w:pPr>
              <w:jc w:val="center"/>
            </w:pPr>
            <w:r>
              <w:rPr>
                <w:color w:val="000000"/>
                <w:sz w:val="24"/>
                <w:szCs w:val="24"/>
              </w:rPr>
              <w:t>恒瑞医药</w:t>
            </w:r>
          </w:p>
        </w:tc>
        <w:tc>
          <w:tcPr>
            <w:tcW w:w="1334" w:type="dxa"/>
            <w:vAlign w:val="center"/>
          </w:tcPr>
          <w:p w:rsidR="006E4B32" w:rsidRDefault="00825D77">
            <w:pPr>
              <w:jc w:val="right"/>
            </w:pPr>
            <w:r>
              <w:rPr>
                <w:color w:val="000000"/>
                <w:sz w:val="24"/>
                <w:szCs w:val="24"/>
              </w:rPr>
              <w:t>1,923,408</w:t>
            </w:r>
          </w:p>
        </w:tc>
        <w:tc>
          <w:tcPr>
            <w:tcW w:w="1924" w:type="dxa"/>
            <w:vAlign w:val="center"/>
          </w:tcPr>
          <w:p w:rsidR="006E4B32" w:rsidRDefault="00825D77">
            <w:pPr>
              <w:jc w:val="right"/>
            </w:pPr>
            <w:r>
              <w:rPr>
                <w:color w:val="000000"/>
                <w:sz w:val="24"/>
                <w:szCs w:val="24"/>
              </w:rPr>
              <w:t>172,760,506.56</w:t>
            </w:r>
          </w:p>
        </w:tc>
        <w:tc>
          <w:tcPr>
            <w:tcW w:w="1644" w:type="dxa"/>
            <w:vAlign w:val="center"/>
          </w:tcPr>
          <w:p w:rsidR="006E4B32" w:rsidRDefault="00825D77">
            <w:pPr>
              <w:jc w:val="right"/>
            </w:pPr>
            <w:r>
              <w:rPr>
                <w:color w:val="000000"/>
                <w:sz w:val="24"/>
                <w:szCs w:val="24"/>
              </w:rPr>
              <w:t>6.65</w:t>
            </w:r>
          </w:p>
        </w:tc>
      </w:tr>
      <w:tr w:rsidR="006E4B32">
        <w:trPr>
          <w:jc w:val="center"/>
        </w:trPr>
        <w:tc>
          <w:tcPr>
            <w:tcW w:w="855" w:type="dxa"/>
            <w:vAlign w:val="center"/>
          </w:tcPr>
          <w:p w:rsidR="006E4B32" w:rsidRDefault="00825D77">
            <w:pPr>
              <w:jc w:val="center"/>
            </w:pPr>
            <w:r>
              <w:rPr>
                <w:color w:val="000000"/>
                <w:sz w:val="24"/>
                <w:szCs w:val="24"/>
              </w:rPr>
              <w:t>4</w:t>
            </w:r>
          </w:p>
        </w:tc>
        <w:tc>
          <w:tcPr>
            <w:tcW w:w="1334" w:type="dxa"/>
            <w:vAlign w:val="center"/>
          </w:tcPr>
          <w:p w:rsidR="006E4B32" w:rsidRDefault="00825D77">
            <w:pPr>
              <w:jc w:val="center"/>
            </w:pPr>
            <w:r>
              <w:rPr>
                <w:color w:val="000000"/>
                <w:sz w:val="24"/>
                <w:szCs w:val="24"/>
              </w:rPr>
              <w:t>300015</w:t>
            </w:r>
          </w:p>
        </w:tc>
        <w:tc>
          <w:tcPr>
            <w:tcW w:w="1777" w:type="dxa"/>
            <w:vAlign w:val="center"/>
          </w:tcPr>
          <w:p w:rsidR="006E4B32" w:rsidRDefault="00825D77">
            <w:pPr>
              <w:jc w:val="center"/>
            </w:pPr>
            <w:r>
              <w:rPr>
                <w:color w:val="000000"/>
                <w:sz w:val="24"/>
                <w:szCs w:val="24"/>
              </w:rPr>
              <w:t>爱尔眼科</w:t>
            </w:r>
          </w:p>
        </w:tc>
        <w:tc>
          <w:tcPr>
            <w:tcW w:w="1334" w:type="dxa"/>
            <w:vAlign w:val="center"/>
          </w:tcPr>
          <w:p w:rsidR="006E4B32" w:rsidRDefault="00825D77">
            <w:pPr>
              <w:jc w:val="right"/>
            </w:pPr>
            <w:r>
              <w:rPr>
                <w:color w:val="000000"/>
                <w:sz w:val="24"/>
                <w:szCs w:val="24"/>
              </w:rPr>
              <w:t>2,965,762</w:t>
            </w:r>
          </w:p>
        </w:tc>
        <w:tc>
          <w:tcPr>
            <w:tcW w:w="1924" w:type="dxa"/>
            <w:vAlign w:val="center"/>
          </w:tcPr>
          <w:p w:rsidR="006E4B32" w:rsidRDefault="00825D77">
            <w:pPr>
              <w:jc w:val="right"/>
            </w:pPr>
            <w:r>
              <w:rPr>
                <w:color w:val="000000"/>
                <w:sz w:val="24"/>
                <w:szCs w:val="24"/>
              </w:rPr>
              <w:t>152,499,482.04</w:t>
            </w:r>
          </w:p>
        </w:tc>
        <w:tc>
          <w:tcPr>
            <w:tcW w:w="1644" w:type="dxa"/>
            <w:vAlign w:val="center"/>
          </w:tcPr>
          <w:p w:rsidR="006E4B32" w:rsidRDefault="00825D77">
            <w:pPr>
              <w:jc w:val="right"/>
            </w:pPr>
            <w:r>
              <w:rPr>
                <w:color w:val="000000"/>
                <w:sz w:val="24"/>
                <w:szCs w:val="24"/>
              </w:rPr>
              <w:t>5.87</w:t>
            </w:r>
          </w:p>
        </w:tc>
      </w:tr>
      <w:tr w:rsidR="006E4B32">
        <w:trPr>
          <w:jc w:val="center"/>
        </w:trPr>
        <w:tc>
          <w:tcPr>
            <w:tcW w:w="855" w:type="dxa"/>
            <w:vAlign w:val="center"/>
          </w:tcPr>
          <w:p w:rsidR="006E4B32" w:rsidRDefault="00825D77">
            <w:pPr>
              <w:jc w:val="center"/>
            </w:pPr>
            <w:r>
              <w:rPr>
                <w:color w:val="000000"/>
                <w:sz w:val="24"/>
                <w:szCs w:val="24"/>
              </w:rPr>
              <w:t>5</w:t>
            </w:r>
          </w:p>
        </w:tc>
        <w:tc>
          <w:tcPr>
            <w:tcW w:w="1334" w:type="dxa"/>
            <w:vAlign w:val="center"/>
          </w:tcPr>
          <w:p w:rsidR="006E4B32" w:rsidRDefault="00825D77">
            <w:pPr>
              <w:jc w:val="center"/>
            </w:pPr>
            <w:r>
              <w:rPr>
                <w:color w:val="000000"/>
                <w:sz w:val="24"/>
                <w:szCs w:val="24"/>
              </w:rPr>
              <w:t>002821</w:t>
            </w:r>
          </w:p>
        </w:tc>
        <w:tc>
          <w:tcPr>
            <w:tcW w:w="1777" w:type="dxa"/>
            <w:vAlign w:val="center"/>
          </w:tcPr>
          <w:p w:rsidR="006E4B32" w:rsidRDefault="00825D77">
            <w:pPr>
              <w:jc w:val="center"/>
            </w:pPr>
            <w:r>
              <w:rPr>
                <w:color w:val="000000"/>
                <w:sz w:val="24"/>
                <w:szCs w:val="24"/>
              </w:rPr>
              <w:t>凯莱英</w:t>
            </w:r>
          </w:p>
        </w:tc>
        <w:tc>
          <w:tcPr>
            <w:tcW w:w="1334" w:type="dxa"/>
            <w:vAlign w:val="center"/>
          </w:tcPr>
          <w:p w:rsidR="006E4B32" w:rsidRDefault="00825D77">
            <w:pPr>
              <w:jc w:val="right"/>
            </w:pPr>
            <w:r>
              <w:rPr>
                <w:color w:val="000000"/>
                <w:sz w:val="24"/>
                <w:szCs w:val="24"/>
              </w:rPr>
              <w:t>405,755</w:t>
            </w:r>
          </w:p>
        </w:tc>
        <w:tc>
          <w:tcPr>
            <w:tcW w:w="1924" w:type="dxa"/>
            <w:vAlign w:val="center"/>
          </w:tcPr>
          <w:p w:rsidR="006E4B32" w:rsidRDefault="00825D77">
            <w:pPr>
              <w:jc w:val="right"/>
            </w:pPr>
            <w:r>
              <w:rPr>
                <w:color w:val="000000"/>
                <w:sz w:val="24"/>
                <w:szCs w:val="24"/>
              </w:rPr>
              <w:t>106,912,384.95</w:t>
            </w:r>
          </w:p>
        </w:tc>
        <w:tc>
          <w:tcPr>
            <w:tcW w:w="1644" w:type="dxa"/>
            <w:vAlign w:val="center"/>
          </w:tcPr>
          <w:p w:rsidR="006E4B32" w:rsidRDefault="00825D77">
            <w:pPr>
              <w:jc w:val="right"/>
            </w:pPr>
            <w:r>
              <w:rPr>
                <w:color w:val="000000"/>
                <w:sz w:val="24"/>
                <w:szCs w:val="24"/>
              </w:rPr>
              <w:t>4.12</w:t>
            </w:r>
          </w:p>
        </w:tc>
      </w:tr>
      <w:tr w:rsidR="006E4B32">
        <w:trPr>
          <w:jc w:val="center"/>
        </w:trPr>
        <w:tc>
          <w:tcPr>
            <w:tcW w:w="855" w:type="dxa"/>
            <w:vAlign w:val="center"/>
          </w:tcPr>
          <w:p w:rsidR="006E4B32" w:rsidRDefault="00825D77">
            <w:pPr>
              <w:jc w:val="center"/>
            </w:pPr>
            <w:r>
              <w:rPr>
                <w:color w:val="000000"/>
                <w:sz w:val="24"/>
                <w:szCs w:val="24"/>
              </w:rPr>
              <w:t>6</w:t>
            </w:r>
          </w:p>
        </w:tc>
        <w:tc>
          <w:tcPr>
            <w:tcW w:w="1334" w:type="dxa"/>
            <w:vAlign w:val="center"/>
          </w:tcPr>
          <w:p w:rsidR="006E4B32" w:rsidRDefault="00825D77">
            <w:pPr>
              <w:jc w:val="center"/>
            </w:pPr>
            <w:r>
              <w:rPr>
                <w:color w:val="000000"/>
                <w:sz w:val="24"/>
                <w:szCs w:val="24"/>
              </w:rPr>
              <w:t>300463</w:t>
            </w:r>
          </w:p>
        </w:tc>
        <w:tc>
          <w:tcPr>
            <w:tcW w:w="1777" w:type="dxa"/>
            <w:vAlign w:val="center"/>
          </w:tcPr>
          <w:p w:rsidR="006E4B32" w:rsidRDefault="00825D77">
            <w:pPr>
              <w:jc w:val="center"/>
            </w:pPr>
            <w:r>
              <w:rPr>
                <w:color w:val="000000"/>
                <w:sz w:val="24"/>
                <w:szCs w:val="24"/>
              </w:rPr>
              <w:t>迈克生物</w:t>
            </w:r>
          </w:p>
        </w:tc>
        <w:tc>
          <w:tcPr>
            <w:tcW w:w="1334" w:type="dxa"/>
            <w:vAlign w:val="center"/>
          </w:tcPr>
          <w:p w:rsidR="006E4B32" w:rsidRDefault="00825D77">
            <w:pPr>
              <w:jc w:val="right"/>
            </w:pPr>
            <w:r>
              <w:rPr>
                <w:color w:val="000000"/>
                <w:sz w:val="24"/>
                <w:szCs w:val="24"/>
              </w:rPr>
              <w:t>1,884,324</w:t>
            </w:r>
          </w:p>
        </w:tc>
        <w:tc>
          <w:tcPr>
            <w:tcW w:w="1924" w:type="dxa"/>
            <w:vAlign w:val="center"/>
          </w:tcPr>
          <w:p w:rsidR="006E4B32" w:rsidRDefault="00825D77">
            <w:pPr>
              <w:jc w:val="right"/>
            </w:pPr>
            <w:r>
              <w:rPr>
                <w:color w:val="000000"/>
                <w:sz w:val="24"/>
                <w:szCs w:val="24"/>
              </w:rPr>
              <w:t>99,831,485.52</w:t>
            </w:r>
          </w:p>
        </w:tc>
        <w:tc>
          <w:tcPr>
            <w:tcW w:w="1644" w:type="dxa"/>
            <w:vAlign w:val="center"/>
          </w:tcPr>
          <w:p w:rsidR="006E4B32" w:rsidRDefault="00825D77">
            <w:pPr>
              <w:jc w:val="right"/>
            </w:pPr>
            <w:r>
              <w:rPr>
                <w:color w:val="000000"/>
                <w:sz w:val="24"/>
                <w:szCs w:val="24"/>
              </w:rPr>
              <w:t>3.84</w:t>
            </w:r>
          </w:p>
        </w:tc>
      </w:tr>
      <w:tr w:rsidR="006E4B32">
        <w:trPr>
          <w:jc w:val="center"/>
        </w:trPr>
        <w:tc>
          <w:tcPr>
            <w:tcW w:w="855" w:type="dxa"/>
            <w:vAlign w:val="center"/>
          </w:tcPr>
          <w:p w:rsidR="006E4B32" w:rsidRDefault="00825D77">
            <w:pPr>
              <w:jc w:val="center"/>
            </w:pPr>
            <w:r>
              <w:rPr>
                <w:color w:val="000000"/>
                <w:sz w:val="24"/>
                <w:szCs w:val="24"/>
              </w:rPr>
              <w:t>7</w:t>
            </w:r>
          </w:p>
        </w:tc>
        <w:tc>
          <w:tcPr>
            <w:tcW w:w="1334" w:type="dxa"/>
            <w:vAlign w:val="center"/>
          </w:tcPr>
          <w:p w:rsidR="006E4B32" w:rsidRDefault="00825D77">
            <w:pPr>
              <w:jc w:val="center"/>
            </w:pPr>
            <w:r>
              <w:rPr>
                <w:color w:val="000000"/>
                <w:sz w:val="24"/>
                <w:szCs w:val="24"/>
              </w:rPr>
              <w:t>300122</w:t>
            </w:r>
          </w:p>
        </w:tc>
        <w:tc>
          <w:tcPr>
            <w:tcW w:w="1777" w:type="dxa"/>
            <w:vAlign w:val="center"/>
          </w:tcPr>
          <w:p w:rsidR="006E4B32" w:rsidRDefault="00825D77">
            <w:pPr>
              <w:jc w:val="center"/>
            </w:pPr>
            <w:r>
              <w:rPr>
                <w:color w:val="000000"/>
                <w:sz w:val="24"/>
                <w:szCs w:val="24"/>
              </w:rPr>
              <w:t>智飞生物</w:t>
            </w:r>
          </w:p>
        </w:tc>
        <w:tc>
          <w:tcPr>
            <w:tcW w:w="1334" w:type="dxa"/>
            <w:vAlign w:val="center"/>
          </w:tcPr>
          <w:p w:rsidR="006E4B32" w:rsidRDefault="00825D77">
            <w:pPr>
              <w:jc w:val="right"/>
            </w:pPr>
            <w:r>
              <w:rPr>
                <w:color w:val="000000"/>
                <w:sz w:val="24"/>
                <w:szCs w:val="24"/>
              </w:rPr>
              <w:t>712,135</w:t>
            </w:r>
          </w:p>
        </w:tc>
        <w:tc>
          <w:tcPr>
            <w:tcW w:w="1924" w:type="dxa"/>
            <w:vAlign w:val="center"/>
          </w:tcPr>
          <w:p w:rsidR="006E4B32" w:rsidRDefault="00825D77">
            <w:pPr>
              <w:jc w:val="right"/>
            </w:pPr>
            <w:r>
              <w:rPr>
                <w:color w:val="000000"/>
                <w:sz w:val="24"/>
                <w:szCs w:val="24"/>
              </w:rPr>
              <w:t>99,207,526.85</w:t>
            </w:r>
          </w:p>
        </w:tc>
        <w:tc>
          <w:tcPr>
            <w:tcW w:w="1644" w:type="dxa"/>
            <w:vAlign w:val="center"/>
          </w:tcPr>
          <w:p w:rsidR="006E4B32" w:rsidRDefault="00825D77">
            <w:pPr>
              <w:jc w:val="right"/>
            </w:pPr>
            <w:r>
              <w:rPr>
                <w:color w:val="000000"/>
                <w:sz w:val="24"/>
                <w:szCs w:val="24"/>
              </w:rPr>
              <w:t>3.82</w:t>
            </w:r>
          </w:p>
        </w:tc>
      </w:tr>
      <w:tr w:rsidR="006E4B32">
        <w:trPr>
          <w:jc w:val="center"/>
        </w:trPr>
        <w:tc>
          <w:tcPr>
            <w:tcW w:w="855" w:type="dxa"/>
            <w:vAlign w:val="center"/>
          </w:tcPr>
          <w:p w:rsidR="006E4B32" w:rsidRDefault="00825D77">
            <w:pPr>
              <w:jc w:val="center"/>
            </w:pPr>
            <w:r>
              <w:rPr>
                <w:color w:val="000000"/>
                <w:sz w:val="24"/>
                <w:szCs w:val="24"/>
              </w:rPr>
              <w:t>8</w:t>
            </w:r>
          </w:p>
        </w:tc>
        <w:tc>
          <w:tcPr>
            <w:tcW w:w="1334" w:type="dxa"/>
            <w:vAlign w:val="center"/>
          </w:tcPr>
          <w:p w:rsidR="006E4B32" w:rsidRDefault="00825D77">
            <w:pPr>
              <w:jc w:val="center"/>
            </w:pPr>
            <w:r>
              <w:rPr>
                <w:color w:val="000000"/>
                <w:sz w:val="24"/>
                <w:szCs w:val="24"/>
              </w:rPr>
              <w:t>600763</w:t>
            </w:r>
          </w:p>
        </w:tc>
        <w:tc>
          <w:tcPr>
            <w:tcW w:w="1777" w:type="dxa"/>
            <w:vAlign w:val="center"/>
          </w:tcPr>
          <w:p w:rsidR="006E4B32" w:rsidRDefault="00825D77">
            <w:pPr>
              <w:jc w:val="center"/>
            </w:pPr>
            <w:r>
              <w:rPr>
                <w:color w:val="000000"/>
                <w:sz w:val="24"/>
                <w:szCs w:val="24"/>
              </w:rPr>
              <w:t>通策医疗</w:t>
            </w:r>
          </w:p>
        </w:tc>
        <w:tc>
          <w:tcPr>
            <w:tcW w:w="1334" w:type="dxa"/>
            <w:vAlign w:val="center"/>
          </w:tcPr>
          <w:p w:rsidR="006E4B32" w:rsidRDefault="00825D77">
            <w:pPr>
              <w:jc w:val="right"/>
            </w:pPr>
            <w:r>
              <w:rPr>
                <w:color w:val="000000"/>
                <w:sz w:val="24"/>
                <w:szCs w:val="24"/>
              </w:rPr>
              <w:t>411,878</w:t>
            </w:r>
          </w:p>
        </w:tc>
        <w:tc>
          <w:tcPr>
            <w:tcW w:w="1924" w:type="dxa"/>
            <w:vAlign w:val="center"/>
          </w:tcPr>
          <w:p w:rsidR="006E4B32" w:rsidRDefault="00825D77">
            <w:pPr>
              <w:jc w:val="right"/>
            </w:pPr>
            <w:r>
              <w:rPr>
                <w:color w:val="000000"/>
                <w:sz w:val="24"/>
                <w:szCs w:val="24"/>
              </w:rPr>
              <w:t>88,018,328.60</w:t>
            </w:r>
          </w:p>
        </w:tc>
        <w:tc>
          <w:tcPr>
            <w:tcW w:w="1644" w:type="dxa"/>
            <w:vAlign w:val="center"/>
          </w:tcPr>
          <w:p w:rsidR="006E4B32" w:rsidRDefault="00825D77">
            <w:pPr>
              <w:jc w:val="right"/>
            </w:pPr>
            <w:r>
              <w:rPr>
                <w:color w:val="000000"/>
                <w:sz w:val="24"/>
                <w:szCs w:val="24"/>
              </w:rPr>
              <w:t>3.39</w:t>
            </w:r>
          </w:p>
        </w:tc>
      </w:tr>
      <w:tr w:rsidR="006E4B32">
        <w:trPr>
          <w:jc w:val="center"/>
        </w:trPr>
        <w:tc>
          <w:tcPr>
            <w:tcW w:w="855" w:type="dxa"/>
            <w:vAlign w:val="center"/>
          </w:tcPr>
          <w:p w:rsidR="006E4B32" w:rsidRDefault="00825D77">
            <w:pPr>
              <w:jc w:val="center"/>
            </w:pPr>
            <w:r>
              <w:rPr>
                <w:color w:val="000000"/>
                <w:sz w:val="24"/>
                <w:szCs w:val="24"/>
              </w:rPr>
              <w:t>9</w:t>
            </w:r>
          </w:p>
        </w:tc>
        <w:tc>
          <w:tcPr>
            <w:tcW w:w="1334" w:type="dxa"/>
            <w:vAlign w:val="center"/>
          </w:tcPr>
          <w:p w:rsidR="006E4B32" w:rsidRDefault="00825D77">
            <w:pPr>
              <w:jc w:val="center"/>
            </w:pPr>
            <w:r>
              <w:rPr>
                <w:color w:val="000000"/>
                <w:sz w:val="24"/>
                <w:szCs w:val="24"/>
              </w:rPr>
              <w:t>603658</w:t>
            </w:r>
          </w:p>
        </w:tc>
        <w:tc>
          <w:tcPr>
            <w:tcW w:w="1777" w:type="dxa"/>
            <w:vAlign w:val="center"/>
          </w:tcPr>
          <w:p w:rsidR="006E4B32" w:rsidRDefault="00825D77">
            <w:pPr>
              <w:jc w:val="center"/>
            </w:pPr>
            <w:r>
              <w:rPr>
                <w:color w:val="000000"/>
                <w:sz w:val="24"/>
                <w:szCs w:val="24"/>
              </w:rPr>
              <w:t>安图生物</w:t>
            </w:r>
          </w:p>
        </w:tc>
        <w:tc>
          <w:tcPr>
            <w:tcW w:w="1334" w:type="dxa"/>
            <w:vAlign w:val="center"/>
          </w:tcPr>
          <w:p w:rsidR="006E4B32" w:rsidRDefault="00825D77">
            <w:pPr>
              <w:jc w:val="right"/>
            </w:pPr>
            <w:r>
              <w:rPr>
                <w:color w:val="000000"/>
                <w:sz w:val="24"/>
                <w:szCs w:val="24"/>
              </w:rPr>
              <w:t>535,292</w:t>
            </w:r>
          </w:p>
        </w:tc>
        <w:tc>
          <w:tcPr>
            <w:tcW w:w="1924" w:type="dxa"/>
            <w:vAlign w:val="center"/>
          </w:tcPr>
          <w:p w:rsidR="006E4B32" w:rsidRDefault="00825D77">
            <w:pPr>
              <w:jc w:val="right"/>
            </w:pPr>
            <w:r>
              <w:rPr>
                <w:color w:val="000000"/>
                <w:sz w:val="24"/>
                <w:szCs w:val="24"/>
              </w:rPr>
              <w:t>85,577,305.44</w:t>
            </w:r>
          </w:p>
        </w:tc>
        <w:tc>
          <w:tcPr>
            <w:tcW w:w="1644" w:type="dxa"/>
            <w:vAlign w:val="center"/>
          </w:tcPr>
          <w:p w:rsidR="006E4B32" w:rsidRDefault="00825D77">
            <w:pPr>
              <w:jc w:val="right"/>
            </w:pPr>
            <w:r>
              <w:rPr>
                <w:color w:val="000000"/>
                <w:sz w:val="24"/>
                <w:szCs w:val="24"/>
              </w:rPr>
              <w:t>3.30</w:t>
            </w:r>
          </w:p>
        </w:tc>
      </w:tr>
      <w:tr w:rsidR="006E4B32">
        <w:trPr>
          <w:jc w:val="center"/>
        </w:trPr>
        <w:tc>
          <w:tcPr>
            <w:tcW w:w="855" w:type="dxa"/>
            <w:vAlign w:val="center"/>
          </w:tcPr>
          <w:p w:rsidR="006E4B32" w:rsidRDefault="00825D77">
            <w:pPr>
              <w:jc w:val="center"/>
            </w:pPr>
            <w:r>
              <w:rPr>
                <w:color w:val="000000"/>
                <w:sz w:val="24"/>
                <w:szCs w:val="24"/>
              </w:rPr>
              <w:t>10</w:t>
            </w:r>
          </w:p>
        </w:tc>
        <w:tc>
          <w:tcPr>
            <w:tcW w:w="1334" w:type="dxa"/>
            <w:vAlign w:val="center"/>
          </w:tcPr>
          <w:p w:rsidR="006E4B32" w:rsidRDefault="00825D77">
            <w:pPr>
              <w:jc w:val="center"/>
            </w:pPr>
            <w:r>
              <w:rPr>
                <w:color w:val="000000"/>
                <w:sz w:val="24"/>
                <w:szCs w:val="24"/>
              </w:rPr>
              <w:t>300347</w:t>
            </w:r>
          </w:p>
        </w:tc>
        <w:tc>
          <w:tcPr>
            <w:tcW w:w="1777" w:type="dxa"/>
            <w:vAlign w:val="center"/>
          </w:tcPr>
          <w:p w:rsidR="006E4B32" w:rsidRDefault="00825D77">
            <w:pPr>
              <w:jc w:val="center"/>
            </w:pPr>
            <w:r>
              <w:rPr>
                <w:color w:val="000000"/>
                <w:sz w:val="24"/>
                <w:szCs w:val="24"/>
              </w:rPr>
              <w:t>泰格医药</w:t>
            </w:r>
          </w:p>
        </w:tc>
        <w:tc>
          <w:tcPr>
            <w:tcW w:w="1334" w:type="dxa"/>
            <w:vAlign w:val="center"/>
          </w:tcPr>
          <w:p w:rsidR="006E4B32" w:rsidRDefault="00825D77">
            <w:pPr>
              <w:jc w:val="right"/>
            </w:pPr>
            <w:r>
              <w:rPr>
                <w:color w:val="000000"/>
                <w:sz w:val="24"/>
                <w:szCs w:val="24"/>
              </w:rPr>
              <w:t>776,116</w:t>
            </w:r>
          </w:p>
        </w:tc>
        <w:tc>
          <w:tcPr>
            <w:tcW w:w="1924" w:type="dxa"/>
            <w:vAlign w:val="center"/>
          </w:tcPr>
          <w:p w:rsidR="006E4B32" w:rsidRDefault="00825D77">
            <w:pPr>
              <w:jc w:val="right"/>
            </w:pPr>
            <w:r>
              <w:rPr>
                <w:color w:val="000000"/>
                <w:sz w:val="24"/>
                <w:szCs w:val="24"/>
              </w:rPr>
              <w:t>79,901,142.20</w:t>
            </w:r>
          </w:p>
        </w:tc>
        <w:tc>
          <w:tcPr>
            <w:tcW w:w="1644" w:type="dxa"/>
            <w:vAlign w:val="center"/>
          </w:tcPr>
          <w:p w:rsidR="006E4B32" w:rsidRDefault="00825D77">
            <w:pPr>
              <w:jc w:val="right"/>
            </w:pPr>
            <w:r>
              <w:rPr>
                <w:color w:val="000000"/>
                <w:sz w:val="24"/>
                <w:szCs w:val="24"/>
              </w:rPr>
              <w:t>3.08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34FB5" w:rsidRDefault="00BE5388" w:rsidP="00E40D31">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AA3969" w:rsidRDefault="00BE5388" w:rsidP="00E40D31">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r w:rsidRPr="00AA3969">
        <w:rPr>
          <w:bCs/>
          <w:color w:val="000000"/>
          <w:kern w:val="0"/>
          <w:sz w:val="24"/>
          <w:szCs w:val="24"/>
        </w:rPr>
        <w:t>本基金投资的前十名股票中，没有超出基金合同规定的备选股票库之外的股票。</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R="00DD7A00" w:rsidRPr="00414345" w:rsidRDefault="004A0AA9" w:rsidP="00DD7A00">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金额单位：人民币元</w:t>
      </w:r>
    </w:p>
    <w:tbl>
      <w:tblPr>
        <w:tblStyle w:val="aff2"/>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425,290.55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33,829.15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5,229,727.94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5,688,847.64</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R="00066A97" w:rsidRPr="00414345" w:rsidRDefault="00066A97" w:rsidP="00066A97">
      <w:pPr>
        <w:autoSpaceDE w:val="0"/>
        <w:autoSpaceDN w:val="0"/>
        <w:adjustRightInd w:val="0"/>
        <w:spacing w:before="29" w:line="288" w:lineRule="auto"/>
        <w:jc w:val="right"/>
        <w:rPr>
          <w:bCs/>
          <w:color w:val="000000"/>
          <w:kern w:val="0"/>
          <w:sz w:val="24"/>
          <w:szCs w:val="24"/>
        </w:rPr>
      </w:pPr>
      <w:r w:rsidRPr="00173B44">
        <w:rPr>
          <w:rFonts w:hint="eastAsia"/>
          <w:bCs/>
          <w:color w:val="000000"/>
          <w:kern w:val="0"/>
          <w:sz w:val="24"/>
          <w:szCs w:val="24"/>
        </w:rPr>
        <w:t>金额单位：人民币元</w:t>
      </w:r>
    </w:p>
    <w:tbl>
      <w:tblPr>
        <w:tblStyle w:val="aff2"/>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5F1F22"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5F1F22">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6E4B32">
        <w:trPr>
          <w:jc w:val="center"/>
        </w:trPr>
        <w:tc>
          <w:tcPr>
            <w:tcW w:w="1129" w:type="dxa"/>
            <w:vAlign w:val="center"/>
          </w:tcPr>
          <w:p w:rsidR="006E4B32" w:rsidRDefault="00825D77">
            <w:pPr>
              <w:jc w:val="center"/>
            </w:pPr>
            <w:r>
              <w:rPr>
                <w:color w:val="000000"/>
                <w:sz w:val="24"/>
                <w:szCs w:val="24"/>
              </w:rPr>
              <w:t>1</w:t>
            </w:r>
          </w:p>
        </w:tc>
        <w:tc>
          <w:tcPr>
            <w:tcW w:w="1356" w:type="dxa"/>
            <w:vAlign w:val="center"/>
          </w:tcPr>
          <w:p w:rsidR="006E4B32" w:rsidRDefault="00825D77">
            <w:pPr>
              <w:jc w:val="center"/>
            </w:pPr>
            <w:r>
              <w:rPr>
                <w:color w:val="000000"/>
                <w:sz w:val="24"/>
                <w:szCs w:val="24"/>
              </w:rPr>
              <w:t>603658</w:t>
            </w:r>
          </w:p>
        </w:tc>
        <w:tc>
          <w:tcPr>
            <w:tcW w:w="1355" w:type="dxa"/>
            <w:vAlign w:val="center"/>
          </w:tcPr>
          <w:p w:rsidR="006E4B32" w:rsidRDefault="00825D77">
            <w:pPr>
              <w:jc w:val="center"/>
            </w:pPr>
            <w:r>
              <w:rPr>
                <w:color w:val="000000"/>
                <w:sz w:val="24"/>
                <w:szCs w:val="24"/>
              </w:rPr>
              <w:t>安图生物</w:t>
            </w:r>
          </w:p>
        </w:tc>
        <w:tc>
          <w:tcPr>
            <w:tcW w:w="1880" w:type="dxa"/>
            <w:vAlign w:val="center"/>
          </w:tcPr>
          <w:p w:rsidR="006E4B32" w:rsidRDefault="00825D77">
            <w:pPr>
              <w:jc w:val="right"/>
            </w:pPr>
            <w:r>
              <w:rPr>
                <w:color w:val="000000"/>
                <w:sz w:val="24"/>
                <w:szCs w:val="24"/>
              </w:rPr>
              <w:t>15,356,000.00</w:t>
            </w:r>
          </w:p>
        </w:tc>
        <w:tc>
          <w:tcPr>
            <w:tcW w:w="1724" w:type="dxa"/>
            <w:vAlign w:val="center"/>
          </w:tcPr>
          <w:p w:rsidR="006E4B32" w:rsidRDefault="00825D77">
            <w:pPr>
              <w:jc w:val="right"/>
            </w:pPr>
            <w:r>
              <w:rPr>
                <w:color w:val="000000"/>
                <w:sz w:val="24"/>
                <w:szCs w:val="24"/>
              </w:rPr>
              <w:t>0.59</w:t>
            </w:r>
          </w:p>
        </w:tc>
        <w:tc>
          <w:tcPr>
            <w:tcW w:w="1424" w:type="dxa"/>
            <w:vAlign w:val="center"/>
          </w:tcPr>
          <w:p w:rsidR="006E4B32" w:rsidRPr="00825D77" w:rsidRDefault="00825D77" w:rsidP="00825D77">
            <w:pPr>
              <w:jc w:val="center"/>
              <w:rPr>
                <w:color w:val="000000"/>
                <w:sz w:val="24"/>
                <w:szCs w:val="24"/>
              </w:rPr>
            </w:pPr>
            <w:r w:rsidRPr="00825D77">
              <w:rPr>
                <w:rFonts w:hint="eastAsia"/>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6B0D08" w:rsidRDefault="003259C8" w:rsidP="00C15CAC">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bookmarkStart w:id="0" w:name="_GoBack"/>
      <w:bookmarkEnd w:id="0"/>
    </w:p>
    <w:p w:rsidR="006B2FF6" w:rsidRDefault="006B2FF6" w:rsidP="00C15CAC">
      <w:pPr>
        <w:spacing w:before="29" w:line="288" w:lineRule="auto"/>
        <w:ind w:firstLineChars="200" w:firstLine="480"/>
        <w:rPr>
          <w:color w:val="000000"/>
          <w:sz w:val="24"/>
          <w:szCs w:val="24"/>
        </w:rPr>
      </w:pPr>
    </w:p>
    <w:p w:rsidR="001F3E2A" w:rsidRDefault="001F3E2A" w:rsidP="00C15CAC">
      <w:pPr>
        <w:spacing w:before="29" w:line="288" w:lineRule="auto"/>
        <w:ind w:firstLineChars="200" w:firstLine="480"/>
        <w:rPr>
          <w:color w:val="000000"/>
          <w:sz w:val="24"/>
          <w:szCs w:val="24"/>
        </w:rPr>
      </w:pP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781,293,867.75</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602,699,943.00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536,318,222.26</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847,675,588.49</w:t>
            </w:r>
          </w:p>
        </w:tc>
      </w:tr>
    </w:tbl>
    <w:p w:rsidR="006E4B32" w:rsidRDefault="00825D77">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6E4B32" w:rsidRDefault="00825D77">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、中国证监会准予交银施罗德医药创新股票型证券投资基金募集注册的文件；</w:t>
      </w:r>
      <w:r>
        <w:rPr>
          <w:color w:val="000000"/>
          <w:sz w:val="24"/>
          <w:szCs w:val="24"/>
        </w:rPr>
        <w:t xml:space="preserve"> </w:t>
      </w:r>
    </w:p>
    <w:p w:rsidR="006E4B32" w:rsidRDefault="00825D77">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、《交银施罗德医药创新股票型证券投资基金基金合同》；</w:t>
      </w:r>
      <w:r>
        <w:rPr>
          <w:color w:val="000000"/>
          <w:sz w:val="24"/>
          <w:szCs w:val="24"/>
        </w:rPr>
        <w:t xml:space="preserve"> </w:t>
      </w:r>
    </w:p>
    <w:p w:rsidR="006E4B32" w:rsidRDefault="00825D77">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、《交银施罗德医药创新股票型证券投资基金招募说明书》；</w:t>
      </w:r>
      <w:r>
        <w:rPr>
          <w:color w:val="000000"/>
          <w:sz w:val="24"/>
          <w:szCs w:val="24"/>
        </w:rPr>
        <w:t xml:space="preserve"> </w:t>
      </w:r>
    </w:p>
    <w:p w:rsidR="006E4B32" w:rsidRDefault="00825D77">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、《交银施罗德医药创新股票型证券投资基金托管协议》；</w:t>
      </w:r>
      <w:r>
        <w:rPr>
          <w:color w:val="000000"/>
          <w:sz w:val="24"/>
          <w:szCs w:val="24"/>
        </w:rPr>
        <w:t xml:space="preserve"> </w:t>
      </w:r>
    </w:p>
    <w:p w:rsidR="006E4B32" w:rsidRDefault="00825D77">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、关于申请募集注册交银施罗德医药创新股票型证券投资基金的法律意见书；</w:t>
      </w:r>
      <w:r>
        <w:rPr>
          <w:color w:val="000000"/>
          <w:sz w:val="24"/>
          <w:szCs w:val="24"/>
        </w:rPr>
        <w:t xml:space="preserve"> </w:t>
      </w:r>
    </w:p>
    <w:p w:rsidR="006E4B32" w:rsidRDefault="00825D77">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6E4B32" w:rsidRDefault="00825D77">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lastRenderedPageBreak/>
        <w:t>8</w:t>
      </w:r>
      <w:r w:rsidRPr="00414345">
        <w:rPr>
          <w:color w:val="000000"/>
          <w:sz w:val="24"/>
          <w:szCs w:val="24"/>
        </w:rPr>
        <w:t>、报告期内交银施罗德医药创新股票型证券投资基金在指定报刊上各项公告的原稿。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6E4B32" w:rsidRDefault="00825D77">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FangSong">
    <w:altName w:val="黑体"/>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3A" w:rsidRDefault="00D9393A">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340C" w:rsidRPr="001D0DB0" w:rsidRDefault="004D340C" w:rsidP="004D340C">
    <w:pPr>
      <w:pStyle w:val="a8"/>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825D77">
      <w:rPr>
        <w:noProof/>
        <w:kern w:val="0"/>
        <w:szCs w:val="21"/>
      </w:rPr>
      <w:t>9</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825D77">
      <w:rPr>
        <w:noProof/>
        <w:kern w:val="0"/>
        <w:szCs w:val="21"/>
      </w:rPr>
      <w:t>11</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3A" w:rsidRDefault="00D9393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1AA1" w:rsidRDefault="00C11AA1" w:rsidP="00876D65">
      <w:r>
        <w:separator/>
      </w:r>
    </w:p>
  </w:footnote>
  <w:footnote w:type="continuationSeparator" w:id="0">
    <w:p w:rsidR="00C11AA1" w:rsidRDefault="00C11AA1" w:rsidP="00876D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3A" w:rsidRDefault="00D9393A">
    <w:pPr>
      <w:pStyle w:val="ac"/>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1EF0" w:rsidRPr="00DC456F" w:rsidRDefault="00DC456F" w:rsidP="00090A26">
    <w:pPr>
      <w:pStyle w:val="ac"/>
      <w:pBdr>
        <w:bottom w:val="single" w:sz="6" w:space="0" w:color="auto"/>
      </w:pBdr>
      <w:jc w:val="right"/>
      <w:rPr>
        <w:sz w:val="24"/>
        <w:szCs w:val="24"/>
      </w:rPr>
    </w:pPr>
    <w:r w:rsidRPr="003E676C">
      <w:rPr>
        <w:sz w:val="24"/>
        <w:szCs w:val="24"/>
      </w:rPr>
      <w:t>交银施罗德医药创新股票型证券投资基金</w:t>
    </w:r>
    <w:r w:rsidRPr="003E676C">
      <w:rPr>
        <w:sz w:val="24"/>
        <w:szCs w:val="24"/>
      </w:rPr>
      <w:t>2020</w:t>
    </w:r>
    <w:r w:rsidRPr="003E676C">
      <w:rPr>
        <w:sz w:val="24"/>
        <w:szCs w:val="24"/>
      </w:rPr>
      <w:t>年第</w:t>
    </w:r>
    <w:r w:rsidRPr="003E676C">
      <w:rPr>
        <w:sz w:val="24"/>
        <w:szCs w:val="24"/>
      </w:rPr>
      <w:t>3</w:t>
    </w:r>
    <w:r w:rsidRPr="003E676C">
      <w:rPr>
        <w:sz w:val="24"/>
        <w:szCs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393A" w:rsidRDefault="00D9393A">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4B32"/>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5D77"/>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0"/>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0"/>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0"/>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99"/>
    <w:rsid w:val="004061AC"/>
    <w:rPr>
      <w:rFonts w:ascii="Times New Roman" w:eastAsia="宋体" w:hAnsi="Times New Roman" w:cs="Times New Roman"/>
      <w:b/>
      <w:bCs/>
      <w:kern w:val="44"/>
      <w:sz w:val="44"/>
      <w:szCs w:val="44"/>
    </w:rPr>
  </w:style>
  <w:style w:type="character" w:customStyle="1" w:styleId="20">
    <w:name w:val="标题 2 字符"/>
    <w:basedOn w:val="a1"/>
    <w:link w:val="2"/>
    <w:uiPriority w:val="99"/>
    <w:rsid w:val="004061AC"/>
    <w:rPr>
      <w:rFonts w:ascii="Arial" w:eastAsia="宋体" w:hAnsi="Arial" w:cs="Arial"/>
      <w:b/>
      <w:bCs/>
      <w:sz w:val="24"/>
      <w:szCs w:val="24"/>
    </w:rPr>
  </w:style>
  <w:style w:type="character" w:customStyle="1" w:styleId="30">
    <w:name w:val="标题 3 字符"/>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a5"/>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a5">
    <w:name w:val="正文文本缩进 字符"/>
    <w:basedOn w:val="a1"/>
    <w:link w:val="a4"/>
    <w:uiPriority w:val="99"/>
    <w:rsid w:val="004061AC"/>
    <w:rPr>
      <w:rFonts w:ascii="Arial Unicode MS" w:eastAsia="Arial Unicode MS" w:hAnsi="Arial Unicode MS" w:cs="Arial Unicode MS"/>
      <w:kern w:val="0"/>
      <w:sz w:val="24"/>
      <w:szCs w:val="24"/>
    </w:rPr>
  </w:style>
  <w:style w:type="paragraph" w:styleId="a6">
    <w:name w:val="Plain Text"/>
    <w:basedOn w:val="a"/>
    <w:link w:val="a7"/>
    <w:uiPriority w:val="99"/>
    <w:rsid w:val="004061AC"/>
    <w:rPr>
      <w:rFonts w:ascii="宋体" w:hAnsi="Courier New" w:cs="宋体"/>
    </w:rPr>
  </w:style>
  <w:style w:type="character" w:customStyle="1" w:styleId="a7">
    <w:name w:val="纯文本 字符"/>
    <w:basedOn w:val="a1"/>
    <w:link w:val="a6"/>
    <w:uiPriority w:val="99"/>
    <w:rsid w:val="004061AC"/>
    <w:rPr>
      <w:rFonts w:ascii="宋体" w:eastAsia="宋体" w:hAnsi="Courier New" w:cs="宋体"/>
      <w:szCs w:val="21"/>
    </w:rPr>
  </w:style>
  <w:style w:type="paragraph" w:styleId="21">
    <w:name w:val="Body Text Indent 2"/>
    <w:basedOn w:val="a"/>
    <w:link w:val="22"/>
    <w:uiPriority w:val="99"/>
    <w:rsid w:val="004061AC"/>
    <w:pPr>
      <w:spacing w:line="560" w:lineRule="exact"/>
      <w:ind w:firstLineChars="200" w:firstLine="480"/>
    </w:pPr>
    <w:rPr>
      <w:rFonts w:ascii="宋体" w:hAnsi="宋体" w:cs="宋体"/>
      <w:color w:val="FF0000"/>
      <w:sz w:val="24"/>
      <w:szCs w:val="24"/>
    </w:rPr>
  </w:style>
  <w:style w:type="character" w:customStyle="1" w:styleId="22">
    <w:name w:val="正文文本缩进 2 字符"/>
    <w:basedOn w:val="a1"/>
    <w:link w:val="21"/>
    <w:uiPriority w:val="99"/>
    <w:rsid w:val="004061AC"/>
    <w:rPr>
      <w:rFonts w:ascii="宋体" w:eastAsia="宋体" w:hAnsi="宋体" w:cs="宋体"/>
      <w:color w:val="FF0000"/>
      <w:sz w:val="24"/>
      <w:szCs w:val="24"/>
    </w:rPr>
  </w:style>
  <w:style w:type="paragraph" w:styleId="a8">
    <w:name w:val="footer"/>
    <w:basedOn w:val="a"/>
    <w:link w:val="a9"/>
    <w:rsid w:val="004061AC"/>
    <w:pPr>
      <w:tabs>
        <w:tab w:val="center" w:pos="4153"/>
        <w:tab w:val="right" w:pos="8306"/>
      </w:tabs>
      <w:snapToGrid w:val="0"/>
      <w:jc w:val="left"/>
    </w:pPr>
    <w:rPr>
      <w:sz w:val="18"/>
      <w:szCs w:val="18"/>
    </w:rPr>
  </w:style>
  <w:style w:type="character" w:customStyle="1" w:styleId="a9">
    <w:name w:val="页脚 字符"/>
    <w:basedOn w:val="a1"/>
    <w:link w:val="a8"/>
    <w:uiPriority w:val="99"/>
    <w:rsid w:val="004061AC"/>
    <w:rPr>
      <w:rFonts w:ascii="Times New Roman" w:eastAsia="宋体" w:hAnsi="Times New Roman" w:cs="Times New Roman"/>
      <w:sz w:val="18"/>
      <w:szCs w:val="18"/>
    </w:rPr>
  </w:style>
  <w:style w:type="character" w:styleId="aa">
    <w:name w:val="page number"/>
    <w:basedOn w:val="a1"/>
    <w:uiPriority w:val="99"/>
    <w:rsid w:val="004061AC"/>
  </w:style>
  <w:style w:type="character" w:styleId="ab">
    <w:name w:val="Hyperlink"/>
    <w:basedOn w:val="a1"/>
    <w:uiPriority w:val="99"/>
    <w:rsid w:val="004061AC"/>
    <w:rPr>
      <w:color w:val="0000FF"/>
      <w:u w:val="single"/>
    </w:rPr>
  </w:style>
  <w:style w:type="paragraph" w:styleId="31">
    <w:name w:val="Body Text Indent 3"/>
    <w:basedOn w:val="a"/>
    <w:link w:val="32"/>
    <w:uiPriority w:val="99"/>
    <w:rsid w:val="004061AC"/>
    <w:pPr>
      <w:spacing w:line="560" w:lineRule="exact"/>
      <w:ind w:firstLineChars="200" w:firstLine="420"/>
    </w:pPr>
    <w:rPr>
      <w:rFonts w:ascii="Arial" w:hAnsi="Arial" w:cs="Arial"/>
      <w:color w:val="FF0000"/>
    </w:rPr>
  </w:style>
  <w:style w:type="character" w:customStyle="1" w:styleId="32">
    <w:name w:val="正文文本缩进 3 字符"/>
    <w:basedOn w:val="a1"/>
    <w:link w:val="31"/>
    <w:uiPriority w:val="99"/>
    <w:rsid w:val="004061AC"/>
    <w:rPr>
      <w:rFonts w:ascii="Arial" w:eastAsia="宋体" w:hAnsi="Arial" w:cs="Arial"/>
      <w:color w:val="FF0000"/>
      <w:szCs w:val="21"/>
    </w:rPr>
  </w:style>
  <w:style w:type="paragraph" w:styleId="ac">
    <w:name w:val="header"/>
    <w:basedOn w:val="a"/>
    <w:link w:val="ad"/>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ad">
    <w:name w:val="页眉 字符"/>
    <w:basedOn w:val="a1"/>
    <w:link w:val="ac"/>
    <w:uiPriority w:val="99"/>
    <w:rsid w:val="004061AC"/>
    <w:rPr>
      <w:rFonts w:ascii="Times New Roman" w:eastAsia="宋体" w:hAnsi="Times New Roman" w:cs="Times New Roman"/>
      <w:sz w:val="18"/>
      <w:szCs w:val="18"/>
    </w:rPr>
  </w:style>
  <w:style w:type="character" w:styleId="ae">
    <w:name w:val="FollowedHyperlink"/>
    <w:basedOn w:val="a1"/>
    <w:uiPriority w:val="99"/>
    <w:rsid w:val="004061AC"/>
    <w:rPr>
      <w:color w:val="800080"/>
      <w:u w:val="single"/>
    </w:rPr>
  </w:style>
  <w:style w:type="paragraph" w:styleId="af">
    <w:name w:val="List"/>
    <w:basedOn w:val="af0"/>
    <w:uiPriority w:val="99"/>
    <w:rsid w:val="004061AC"/>
    <w:pPr>
      <w:spacing w:after="220" w:line="220" w:lineRule="atLeast"/>
      <w:ind w:left="1440" w:hanging="360"/>
    </w:pPr>
  </w:style>
  <w:style w:type="paragraph" w:styleId="af0">
    <w:name w:val="Body Text"/>
    <w:basedOn w:val="a"/>
    <w:link w:val="af1"/>
    <w:uiPriority w:val="99"/>
    <w:rsid w:val="004061AC"/>
    <w:pPr>
      <w:spacing w:after="120"/>
    </w:pPr>
  </w:style>
  <w:style w:type="character" w:customStyle="1" w:styleId="af1">
    <w:name w:val="正文文本 字符"/>
    <w:basedOn w:val="a1"/>
    <w:link w:val="af0"/>
    <w:uiPriority w:val="99"/>
    <w:rsid w:val="004061AC"/>
    <w:rPr>
      <w:rFonts w:ascii="Times New Roman" w:eastAsia="宋体" w:hAnsi="Times New Roman" w:cs="Times New Roman"/>
      <w:szCs w:val="21"/>
    </w:rPr>
  </w:style>
  <w:style w:type="paragraph" w:styleId="af2">
    <w:name w:val="Date"/>
    <w:basedOn w:val="a"/>
    <w:next w:val="a"/>
    <w:link w:val="af3"/>
    <w:rsid w:val="004061AC"/>
    <w:rPr>
      <w:sz w:val="24"/>
      <w:szCs w:val="24"/>
    </w:rPr>
  </w:style>
  <w:style w:type="character" w:customStyle="1" w:styleId="af3">
    <w:name w:val="日期 字符"/>
    <w:basedOn w:val="a1"/>
    <w:link w:val="af2"/>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1">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f4">
    <w:name w:val="Balloon Text"/>
    <w:basedOn w:val="a"/>
    <w:link w:val="af5"/>
    <w:uiPriority w:val="99"/>
    <w:semiHidden/>
    <w:rsid w:val="004061AC"/>
    <w:rPr>
      <w:sz w:val="18"/>
      <w:szCs w:val="18"/>
    </w:rPr>
  </w:style>
  <w:style w:type="character" w:customStyle="1" w:styleId="af5">
    <w:name w:val="批注框文本 字符"/>
    <w:basedOn w:val="a1"/>
    <w:link w:val="af4"/>
    <w:uiPriority w:val="99"/>
    <w:semiHidden/>
    <w:rsid w:val="004061AC"/>
    <w:rPr>
      <w:rFonts w:ascii="Times New Roman" w:eastAsia="宋体" w:hAnsi="Times New Roman" w:cs="Times New Roman"/>
      <w:sz w:val="18"/>
      <w:szCs w:val="18"/>
    </w:rPr>
  </w:style>
  <w:style w:type="character" w:styleId="af6">
    <w:name w:val="annotation reference"/>
    <w:basedOn w:val="a1"/>
    <w:uiPriority w:val="99"/>
    <w:semiHidden/>
    <w:rsid w:val="004061AC"/>
    <w:rPr>
      <w:sz w:val="21"/>
      <w:szCs w:val="21"/>
    </w:rPr>
  </w:style>
  <w:style w:type="paragraph" w:styleId="af7">
    <w:name w:val="annotation text"/>
    <w:basedOn w:val="a"/>
    <w:link w:val="af8"/>
    <w:uiPriority w:val="99"/>
    <w:semiHidden/>
    <w:rsid w:val="004061AC"/>
    <w:pPr>
      <w:jc w:val="left"/>
    </w:pPr>
  </w:style>
  <w:style w:type="character" w:customStyle="1" w:styleId="af8">
    <w:name w:val="批注文字 字符"/>
    <w:basedOn w:val="a1"/>
    <w:link w:val="af7"/>
    <w:uiPriority w:val="99"/>
    <w:semiHidden/>
    <w:rsid w:val="004061AC"/>
    <w:rPr>
      <w:rFonts w:ascii="Times New Roman" w:eastAsia="宋体" w:hAnsi="Times New Roman" w:cs="Times New Roman"/>
      <w:szCs w:val="21"/>
    </w:rPr>
  </w:style>
  <w:style w:type="paragraph" w:styleId="af9">
    <w:name w:val="annotation subject"/>
    <w:basedOn w:val="af7"/>
    <w:next w:val="af7"/>
    <w:link w:val="afa"/>
    <w:uiPriority w:val="99"/>
    <w:semiHidden/>
    <w:rsid w:val="004061AC"/>
    <w:rPr>
      <w:b/>
      <w:bCs/>
    </w:rPr>
  </w:style>
  <w:style w:type="character" w:customStyle="1" w:styleId="afa">
    <w:name w:val="批注主题 字符"/>
    <w:basedOn w:val="af8"/>
    <w:link w:val="af9"/>
    <w:uiPriority w:val="99"/>
    <w:semiHidden/>
    <w:rsid w:val="004061AC"/>
    <w:rPr>
      <w:rFonts w:ascii="Times New Roman" w:eastAsia="宋体" w:hAnsi="Times New Roman" w:cs="Times New Roman"/>
      <w:b/>
      <w:bCs/>
      <w:szCs w:val="21"/>
    </w:rPr>
  </w:style>
  <w:style w:type="paragraph" w:customStyle="1" w:styleId="Char">
    <w:name w:val="Char"/>
    <w:basedOn w:val="a"/>
    <w:uiPriority w:val="99"/>
    <w:rsid w:val="004061AC"/>
  </w:style>
  <w:style w:type="paragraph" w:styleId="afb">
    <w:name w:val="Document Map"/>
    <w:basedOn w:val="a"/>
    <w:link w:val="afc"/>
    <w:uiPriority w:val="99"/>
    <w:semiHidden/>
    <w:rsid w:val="004061AC"/>
    <w:pPr>
      <w:shd w:val="clear" w:color="auto" w:fill="000080"/>
    </w:pPr>
  </w:style>
  <w:style w:type="character" w:customStyle="1" w:styleId="afc">
    <w:name w:val="文档结构图 字符"/>
    <w:basedOn w:val="a1"/>
    <w:link w:val="afb"/>
    <w:uiPriority w:val="99"/>
    <w:semiHidden/>
    <w:rsid w:val="004061AC"/>
    <w:rPr>
      <w:rFonts w:ascii="Times New Roman" w:eastAsia="宋体" w:hAnsi="Times New Roman" w:cs="Times New Roman"/>
      <w:szCs w:val="21"/>
      <w:shd w:val="clear" w:color="auto" w:fill="000080"/>
    </w:rPr>
  </w:style>
  <w:style w:type="paragraph" w:customStyle="1" w:styleId="afd">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e">
    <w:name w:val="footnote text"/>
    <w:basedOn w:val="a"/>
    <w:link w:val="aff"/>
    <w:rsid w:val="004061AC"/>
    <w:pPr>
      <w:snapToGrid w:val="0"/>
      <w:jc w:val="left"/>
    </w:pPr>
    <w:rPr>
      <w:sz w:val="18"/>
      <w:szCs w:val="18"/>
    </w:rPr>
  </w:style>
  <w:style w:type="character" w:customStyle="1" w:styleId="aff">
    <w:name w:val="脚注文本 字符"/>
    <w:basedOn w:val="a1"/>
    <w:link w:val="afe"/>
    <w:rsid w:val="004061AC"/>
    <w:rPr>
      <w:rFonts w:ascii="Times New Roman" w:eastAsia="宋体" w:hAnsi="Times New Roman" w:cs="Times New Roman"/>
      <w:sz w:val="18"/>
      <w:szCs w:val="18"/>
    </w:rPr>
  </w:style>
  <w:style w:type="character" w:styleId="aff0">
    <w:name w:val="footnote reference"/>
    <w:basedOn w:val="a1"/>
    <w:rsid w:val="004061AC"/>
    <w:rPr>
      <w:vertAlign w:val="superscript"/>
    </w:rPr>
  </w:style>
  <w:style w:type="paragraph" w:styleId="aff1">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f2">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3">
    <w:name w:val="Title"/>
    <w:basedOn w:val="a"/>
    <w:next w:val="a"/>
    <w:link w:val="aff4"/>
    <w:uiPriority w:val="99"/>
    <w:qFormat/>
    <w:rsid w:val="004061AC"/>
    <w:pPr>
      <w:spacing w:before="240" w:after="60"/>
      <w:jc w:val="center"/>
      <w:outlineLvl w:val="0"/>
    </w:pPr>
    <w:rPr>
      <w:rFonts w:ascii="Cambria" w:hAnsi="Cambria" w:cs="Cambria"/>
      <w:b/>
      <w:bCs/>
      <w:sz w:val="32"/>
      <w:szCs w:val="32"/>
    </w:rPr>
  </w:style>
  <w:style w:type="character" w:customStyle="1" w:styleId="aff4">
    <w:name w:val="标题 字符"/>
    <w:basedOn w:val="a1"/>
    <w:link w:val="aff3"/>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f5">
    <w:name w:val="No Spacing"/>
    <w:link w:val="aff6"/>
    <w:uiPriority w:val="1"/>
    <w:qFormat/>
    <w:rsid w:val="004061AC"/>
    <w:rPr>
      <w:rFonts w:ascii="Calibri" w:eastAsia="宋体" w:hAnsi="Calibri" w:cs="Calibri"/>
      <w:kern w:val="0"/>
      <w:sz w:val="22"/>
    </w:rPr>
  </w:style>
  <w:style w:type="character" w:customStyle="1" w:styleId="aff6">
    <w:name w:val="无间隔 字符"/>
    <w:basedOn w:val="a1"/>
    <w:link w:val="aff5"/>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f7">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f8">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96FF6B-0240-410F-AEC9-2DC13FCB60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1829</TotalTime>
  <Pages>11</Pages>
  <Words>972</Words>
  <Characters>5542</Characters>
  <Application>Microsoft Office Word</Application>
  <DocSecurity>0</DocSecurity>
  <Lines>46</Lines>
  <Paragraphs>13</Paragraphs>
  <ScaleCrop>false</ScaleCrop>
  <Company/>
  <LinksUpToDate>false</LinksUpToDate>
  <CharactersWithSpaces>6501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汪亚中</cp:lastModifiedBy>
  <cp:revision>601</cp:revision>
  <dcterms:created xsi:type="dcterms:W3CDTF">2012-10-16T06:07:00Z</dcterms:created>
  <dcterms:modified xsi:type="dcterms:W3CDTF">2020-10-19T10:44:00Z</dcterms:modified>
</cp:coreProperties>
</file>