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2D556" w14:textId="510C95E7" w:rsidR="00BB3501" w:rsidRPr="00025BDA" w:rsidRDefault="00C70D8D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C70D8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 w:rsidRPr="00C70D8D">
        <w:rPr>
          <w:rFonts w:ascii="仿宋" w:eastAsia="仿宋" w:hAnsi="仿宋" w:hint="eastAsia"/>
          <w:b/>
          <w:color w:val="000000" w:themeColor="text1"/>
          <w:sz w:val="32"/>
          <w:szCs w:val="32"/>
        </w:rPr>
        <w:t>德致远</w:t>
      </w:r>
      <w:proofErr w:type="gramStart"/>
      <w:r w:rsidRPr="00C70D8D">
        <w:rPr>
          <w:rFonts w:ascii="仿宋" w:eastAsia="仿宋" w:hAnsi="仿宋" w:hint="eastAsia"/>
          <w:b/>
          <w:color w:val="000000" w:themeColor="text1"/>
          <w:sz w:val="32"/>
          <w:szCs w:val="32"/>
        </w:rPr>
        <w:t>量化智投策略</w:t>
      </w:r>
      <w:proofErr w:type="gramEnd"/>
      <w:r w:rsidRPr="00C70D8D">
        <w:rPr>
          <w:rFonts w:ascii="仿宋" w:eastAsia="仿宋" w:hAnsi="仿宋" w:hint="eastAsia"/>
          <w:b/>
          <w:color w:val="000000" w:themeColor="text1"/>
          <w:sz w:val="32"/>
          <w:szCs w:val="32"/>
        </w:rPr>
        <w:t>定期开放混合型证券投资基金清算报告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16989F77" w:rsidR="00BB3501" w:rsidRPr="00B17C02" w:rsidRDefault="00767B5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767B51"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 w:rsidRPr="00767B51">
        <w:rPr>
          <w:rFonts w:ascii="仿宋" w:eastAsia="仿宋" w:hAnsi="仿宋" w:hint="eastAsia"/>
          <w:color w:val="000000" w:themeColor="text1"/>
          <w:sz w:val="32"/>
          <w:szCs w:val="32"/>
        </w:rPr>
        <w:t>德致远</w:t>
      </w:r>
      <w:proofErr w:type="gramStart"/>
      <w:r w:rsidRPr="00767B51">
        <w:rPr>
          <w:rFonts w:ascii="仿宋" w:eastAsia="仿宋" w:hAnsi="仿宋" w:hint="eastAsia"/>
          <w:color w:val="000000" w:themeColor="text1"/>
          <w:sz w:val="32"/>
          <w:szCs w:val="32"/>
        </w:rPr>
        <w:t>量化智投策略</w:t>
      </w:r>
      <w:proofErr w:type="gramEnd"/>
      <w:r w:rsidRPr="00767B51">
        <w:rPr>
          <w:rFonts w:ascii="仿宋" w:eastAsia="仿宋" w:hAnsi="仿宋" w:hint="eastAsia"/>
          <w:color w:val="000000" w:themeColor="text1"/>
          <w:sz w:val="32"/>
          <w:szCs w:val="32"/>
        </w:rPr>
        <w:t>定期开放混合型证券投资基金</w:t>
      </w:r>
      <w:r w:rsidR="00C70D8D" w:rsidRPr="00C70D8D">
        <w:rPr>
          <w:rFonts w:ascii="仿宋" w:eastAsia="仿宋" w:hAnsi="仿宋" w:hint="eastAsia"/>
          <w:color w:val="000000" w:themeColor="text1"/>
          <w:sz w:val="32"/>
          <w:szCs w:val="32"/>
        </w:rPr>
        <w:t>自2020年6月3日起进入清算期。清算报告全文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C70D8D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557AAD"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770168A3" w:rsidR="00BB3501" w:rsidRPr="00B17C02" w:rsidRDefault="001042AC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C70D8D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26D29"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089CE" w14:textId="77777777" w:rsidR="00E006B1" w:rsidRDefault="00E006B1" w:rsidP="009A149B">
      <w:r>
        <w:separator/>
      </w:r>
    </w:p>
  </w:endnote>
  <w:endnote w:type="continuationSeparator" w:id="0">
    <w:p w14:paraId="031BAC1F" w14:textId="77777777" w:rsidR="00E006B1" w:rsidRDefault="00E006B1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0C009FB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090E" w:rsidRPr="0041090E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2A38A0" w14:textId="77777777" w:rsidR="00E006B1" w:rsidRDefault="00E006B1" w:rsidP="009A149B">
      <w:r>
        <w:separator/>
      </w:r>
    </w:p>
  </w:footnote>
  <w:footnote w:type="continuationSeparator" w:id="0">
    <w:p w14:paraId="40BB3960" w14:textId="77777777" w:rsidR="00E006B1" w:rsidRDefault="00E006B1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23CD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57AAD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67B51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3F8A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26D29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0D8D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006B1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96B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FB83B-B150-4421-BB90-102E0AB1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26</cp:revision>
  <cp:lastPrinted>2019-08-07T06:37:00Z</cp:lastPrinted>
  <dcterms:created xsi:type="dcterms:W3CDTF">2019-10-10T03:01:00Z</dcterms:created>
  <dcterms:modified xsi:type="dcterms:W3CDTF">2020-07-14T06:12:00Z</dcterms:modified>
</cp:coreProperties>
</file>