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交银施罗德基金管理有限公司关于增聘交银施罗德稳固收益债券型证券投资基金基金经理的公告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2020年7月14日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交银施罗德稳固收益债券型证券投资基金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交银稳固收益债券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2020年7月14日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2008年至2010年担任渣打银行环球企业部助理客户经理，2010年至2012年担任平安资产管理公司信用分析员。2012年加入交银施罗德基金管理有限公司，曾任固定收益部研究员，现任固定收益部基金经理。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164902</w:t>
            </w:r>
          </w:p>
        </w:tc>
        <w:tc>
          <w:tcPr>
            <w:vAlign w:val="center"/>
          </w:tcPr>
          <w:p>
            <w:pPr>
              <w:jc w:val="center"/>
            </w:pPr>
            <w:r>
              <w:rPr>
                <w:rFonts w:asciiTheme="minorEastAsia" w:eastAsiaTheme="minorEastAsia" w:hAnsiTheme="minorEastAsia"/>
                <w:color w:val="000000"/>
                <w:sz w:val="24"/>
                <w:szCs w:val="24"/>
              </w:rPr>
              <w:t>交银施罗德信用添利债券证券投资基金(LOF)</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519723</w:t>
            </w:r>
          </w:p>
        </w:tc>
        <w:tc>
          <w:tcPr>
            <w:vAlign w:val="center"/>
          </w:tcPr>
          <w:p>
            <w:pPr>
              <w:jc w:val="center"/>
            </w:pPr>
            <w:r>
              <w:rPr>
                <w:rFonts w:asciiTheme="minorEastAsia" w:eastAsiaTheme="minorEastAsia" w:hAnsiTheme="minorEastAsia"/>
                <w:color w:val="000000"/>
                <w:sz w:val="24"/>
                <w:szCs w:val="24"/>
              </w:rPr>
              <w:t>交银施罗德双轮动债券型证券投资基金</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519683</w:t>
            </w:r>
          </w:p>
        </w:tc>
        <w:tc>
          <w:tcPr>
            <w:vAlign w:val="center"/>
          </w:tcPr>
          <w:p>
            <w:pPr>
              <w:jc w:val="center"/>
            </w:pPr>
            <w:r>
              <w:rPr>
                <w:rFonts w:asciiTheme="minorEastAsia" w:eastAsiaTheme="minorEastAsia" w:hAnsiTheme="minorEastAsia"/>
                <w:color w:val="000000"/>
                <w:sz w:val="24"/>
                <w:szCs w:val="24"/>
              </w:rPr>
              <w:t>交银施罗德双利债券证券投资基金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2019-12-14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519762</w:t>
            </w:r>
          </w:p>
        </w:tc>
        <w:tc>
          <w:tcPr>
            <w:vAlign w:val="center"/>
          </w:tcPr>
          <w:p>
            <w:pPr>
              <w:jc w:val="center"/>
            </w:pPr>
            <w:r>
              <w:rPr>
                <w:rFonts w:asciiTheme="minorEastAsia" w:eastAsiaTheme="minorEastAsia" w:hAnsiTheme="minorEastAsia"/>
                <w:color w:val="000000"/>
                <w:sz w:val="24"/>
                <w:szCs w:val="24"/>
              </w:rPr>
              <w:t>交银施罗德裕通纯债债券型证券投资基金</w:t>
            </w:r>
          </w:p>
        </w:tc>
        <w:tc>
          <w:tcPr>
            <w:vAlign w:val="center"/>
          </w:tcPr>
          <w:p>
            <w:pPr>
              <w:jc w:val="center"/>
            </w:pPr>
            <w:r>
              <w:rPr>
                <w:rFonts w:asciiTheme="minorEastAsia" w:eastAsiaTheme="minorEastAsia" w:hAnsiTheme="minorEastAsia"/>
                <w:color w:val="000000"/>
                <w:sz w:val="24"/>
                <w:szCs w:val="24"/>
              </w:rPr>
              <w:t>2017-03-31</w:t>
            </w:r>
          </w:p>
        </w:tc>
        <w:tc>
          <w:tcPr>
            <w:vAlign w:val="center"/>
          </w:tcPr>
          <w:p>
            <w:pPr>
              <w:jc w:val="center"/>
            </w:pPr>
            <w:r>
              <w:rPr>
                <w:rFonts w:asciiTheme="minorEastAsia" w:eastAsiaTheme="minorEastAsia" w:hAnsiTheme="minorEastAsia"/>
                <w:color w:val="000000"/>
                <w:sz w:val="24"/>
                <w:szCs w:val="24"/>
              </w:rPr>
              <w:t>2019-10-24</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因工作需要，经交银施罗德基金管理有限公司领导办公会议审议通过，增聘唐赟先生担任交银施罗德稳固收益债券型证券投资基金基金经理。上述事项已在中国证券投资基金业协会完成变更登记手续。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