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交银施罗德基金管理有限公司关于增聘交银施罗德多策略回报灵活配置混合型证券投资基金基金经理的公告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2020年7月9日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交银施罗德多策略回报灵活配置混合型证券投资基金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交银多策略回报灵活配置混合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519755</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王艺伟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李娜、凌超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王艺伟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2020年7月9日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8</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2012年至2014年任光大证券研究所宏观分析师。2014年加入交银施罗德基金管理有限公司，曾任研究员、研究部助理总经理，现任固定收益部基金经理。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2019-11-28</w:t>
            </w:r>
          </w:p>
        </w:tc>
        <w:tc>
          <w:tcPr>
            <w:vAlign w:val="center"/>
          </w:tcPr>
          <w:p>
            <w:pPr>
              <w:jc w:val="center"/>
            </w:pPr>
            <w:r>
              <w:rPr>
                <w:rFonts w:asciiTheme="minorEastAsia"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王艺伟女士担任交银施罗德多策略回报灵活配置混合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