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交银施罗德基金管理有限公司关于交银施罗德趋势优先混合型证券投资基金基金经理变更的公告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2020年5月27日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交银施罗德趋势优先混合型证券投资基金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交银趋势混合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杨金金</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韩威俊</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韩威俊</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2020年5月27日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因工作需要，经交银施罗德基金管理有限公司领导办公会议审议通过，韩威俊先生不再担任交银施罗德趋势优先混合型证券投资基金基金经理。上述事项已在中国证券投资基金业协会完成变更登记手续。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