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交银施罗德基金管理有限公司关于增聘交银施罗德趋势优先混合型证券投资基金基金经理的公告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2020年5月6日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交银施罗德趋势优先混合型证券投资基金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交银趋势混合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519702</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基金前端交易代码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519702</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基金后端交易代码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519703</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新任基金经理姓名</w:t>
            </w:r>
          </w:p>
        </w:tc>
        <w:tc>
          <w:tcPr>
            <w:vAlign w:val="center"/>
          </w:tcPr>
          <w:p>
            <w:pPr>
              <w:jc w:val="left"/>
            </w:pPr>
            <w:r>
              <w:rPr>
                <w:rFonts w:asciiTheme="minorEastAsia" w:eastAsiaTheme="minorEastAsia" w:hAnsiTheme="minorEastAsia"/>
                <w:sz w:val="24"/>
                <w:szCs w:val="24"/>
              </w:rPr>
              <w:t>杨金金</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韩威俊</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杨金金</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2020年5月6日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6</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6</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历任长江证券研究部高级分析师，华泰柏瑞基金管理有限公司研究员。2017年加入交银施罗德基金管理有限公司，担任行业分析师。</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因工作需要，经交银施罗德基金管理有限公司领导办公会议审议通过，增聘杨金金先生担任交银施罗德趋势优先混合型证券投资基金基金经理。上述事项已在中国证券投资基金业协会完成注册手续。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