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交银施罗德基金管理有限公司关于增聘交银施罗德趋势优先混合型证券投资基金基金经理的公告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2020年5月6日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交银施罗德趋势优先混合型证券投资基金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交银趋势混合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519702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519703</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杨金金</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韩威俊</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杨金金</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2020年5月6日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6</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历任长江证券研究部高级分析师，华泰柏瑞基金管理有限公司研究员。2017年加入交银施罗德基金管理有限公司，担任行业分析师。</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因工作需要，经交银施罗德基金管理有限公司领导办公会议审议通过，增聘杨金金先生担任交银施罗德趋势优先混合型证券投资基金基金经理。上述事项已在中国证券投资基金业协会完成注册手续。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