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DB" w:rsidRPr="00567DDA" w:rsidRDefault="008472DB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交银施罗德基金管理有限公司关于交银施罗德</w:t>
      </w:r>
      <w:r w:rsidR="004F1076">
        <w:rPr>
          <w:rFonts w:eastAsiaTheme="minorEastAsia" w:hAnsiTheme="minorEastAsia"/>
          <w:b/>
          <w:kern w:val="0"/>
          <w:sz w:val="30"/>
          <w:szCs w:val="30"/>
        </w:rPr>
        <w:t>恒益灵活配置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混合型证券投资基金暂停大额申购、定期定额投资</w:t>
      </w:r>
      <w:r w:rsidR="004F1076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3527A7">
        <w:rPr>
          <w:rFonts w:eastAsiaTheme="minorEastAsia"/>
          <w:b/>
          <w:bCs/>
          <w:sz w:val="24"/>
          <w:szCs w:val="24"/>
        </w:rPr>
        <w:t>2020</w:t>
      </w:r>
      <w:r w:rsidR="003527A7">
        <w:rPr>
          <w:rFonts w:eastAsiaTheme="minorEastAsia"/>
          <w:b/>
          <w:bCs/>
          <w:sz w:val="24"/>
          <w:szCs w:val="24"/>
        </w:rPr>
        <w:t>年</w:t>
      </w:r>
      <w:r w:rsidR="003527A7">
        <w:rPr>
          <w:rFonts w:eastAsiaTheme="minorEastAsia"/>
          <w:b/>
          <w:bCs/>
          <w:sz w:val="24"/>
          <w:szCs w:val="24"/>
        </w:rPr>
        <w:t>4</w:t>
      </w:r>
      <w:r w:rsidR="00652FD1">
        <w:rPr>
          <w:rFonts w:eastAsiaTheme="minorEastAsia"/>
          <w:b/>
          <w:bCs/>
          <w:sz w:val="24"/>
          <w:szCs w:val="24"/>
        </w:rPr>
        <w:t>月</w:t>
      </w:r>
      <w:r w:rsidR="003527A7">
        <w:rPr>
          <w:rFonts w:eastAsiaTheme="minorEastAsia"/>
          <w:b/>
          <w:bCs/>
          <w:sz w:val="24"/>
          <w:szCs w:val="24"/>
        </w:rPr>
        <w:t>21</w:t>
      </w:r>
      <w:r w:rsidR="00652FD1">
        <w:rPr>
          <w:rFonts w:eastAsia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2894"/>
        <w:gridCol w:w="3686"/>
        <w:gridCol w:w="6"/>
      </w:tblGrid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472DB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</w:t>
            </w:r>
            <w:r w:rsidR="004F1076">
              <w:rPr>
                <w:rFonts w:eastAsiaTheme="minorEastAsia" w:hAnsiTheme="minorEastAsia"/>
                <w:sz w:val="24"/>
                <w:szCs w:val="24"/>
              </w:rPr>
              <w:t>恒益灵活配置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混合型证券投资基金</w:t>
            </w:r>
          </w:p>
        </w:tc>
      </w:tr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472DB" w:rsidP="00FE41E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</w:t>
            </w:r>
            <w:r w:rsidR="004F1076">
              <w:rPr>
                <w:rFonts w:eastAsiaTheme="minorEastAsia" w:hAnsiTheme="minorEastAsia" w:hint="eastAsia"/>
                <w:sz w:val="24"/>
                <w:szCs w:val="24"/>
              </w:rPr>
              <w:t>恒益灵活配置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</w:t>
            </w:r>
          </w:p>
        </w:tc>
      </w:tr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4F1076" w:rsidP="00473FE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004975</w:t>
            </w:r>
          </w:p>
        </w:tc>
      </w:tr>
      <w:tr w:rsidR="008472DB" w:rsidRPr="00567DDA" w:rsidTr="001D3B58">
        <w:trPr>
          <w:jc w:val="center"/>
        </w:trPr>
        <w:tc>
          <w:tcPr>
            <w:tcW w:w="3053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:rsidTr="001D3B58">
        <w:trPr>
          <w:jc w:val="center"/>
        </w:trPr>
        <w:tc>
          <w:tcPr>
            <w:tcW w:w="3053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《交银施罗德</w:t>
            </w:r>
            <w:r w:rsidR="004F1076">
              <w:rPr>
                <w:rFonts w:eastAsiaTheme="minorEastAsia" w:hAnsiTheme="minorEastAsia"/>
                <w:sz w:val="24"/>
                <w:szCs w:val="24"/>
              </w:rPr>
              <w:t>恒益灵活配置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混合型证券投资基金基金合同》、《交银施罗德</w:t>
            </w:r>
            <w:r w:rsidR="004F1076">
              <w:rPr>
                <w:rFonts w:eastAsiaTheme="minorEastAsia" w:hAnsiTheme="minorEastAsia"/>
                <w:sz w:val="24"/>
                <w:szCs w:val="24"/>
              </w:rPr>
              <w:t>恒益灵活配置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混合型证券投资基金招募说明书》等</w:t>
            </w:r>
          </w:p>
        </w:tc>
      </w:tr>
      <w:tr w:rsidR="00C569C3" w:rsidRPr="00567DDA" w:rsidTr="001D3B58">
        <w:trPr>
          <w:jc w:val="center"/>
        </w:trPr>
        <w:tc>
          <w:tcPr>
            <w:tcW w:w="3053" w:type="dxa"/>
            <w:vMerge w:val="restart"/>
            <w:vAlign w:val="center"/>
          </w:tcPr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765496"/>
        </w:tc>
        <w:tc>
          <w:tcPr>
            <w:tcW w:w="2894" w:type="dxa"/>
          </w:tcPr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692" w:type="dxa"/>
            <w:gridSpan w:val="2"/>
            <w:vAlign w:val="center"/>
          </w:tcPr>
          <w:p w:rsidR="00C569C3" w:rsidRPr="00567DDA" w:rsidRDefault="003527A7" w:rsidP="003527A7">
            <w:pPr>
              <w:rPr>
                <w:rFonts w:eastAsiaTheme="minorEastAsia"/>
                <w:sz w:val="24"/>
                <w:szCs w:val="24"/>
              </w:rPr>
            </w:pPr>
            <w:r w:rsidRPr="00652FD1">
              <w:rPr>
                <w:rFonts w:eastAsiaTheme="minorEastAsia" w:hint="eastAsia"/>
                <w:sz w:val="24"/>
                <w:szCs w:val="24"/>
              </w:rPr>
              <w:t>2020</w:t>
            </w:r>
            <w:r w:rsidRPr="00652FD1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4</w:t>
            </w:r>
            <w:r w:rsidR="00652FD1" w:rsidRPr="00652FD1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22</w:t>
            </w:r>
            <w:r w:rsidR="00652FD1" w:rsidRPr="00652FD1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C569C3" w:rsidRPr="00567DDA" w:rsidTr="001D3B58">
        <w:trPr>
          <w:jc w:val="center"/>
        </w:trPr>
        <w:tc>
          <w:tcPr>
            <w:tcW w:w="3053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 w:rsidP="00567DDA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</w:t>
            </w:r>
            <w:r w:rsidR="00567DD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定期定额投资起始日</w:t>
            </w:r>
          </w:p>
        </w:tc>
        <w:tc>
          <w:tcPr>
            <w:tcW w:w="3692" w:type="dxa"/>
            <w:gridSpan w:val="2"/>
            <w:vAlign w:val="center"/>
          </w:tcPr>
          <w:p w:rsidR="00C569C3" w:rsidRPr="00567DDA" w:rsidRDefault="003527A7" w:rsidP="003527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652FD1">
              <w:rPr>
                <w:rFonts w:eastAsiaTheme="minorEastAsia" w:hint="eastAsia"/>
                <w:sz w:val="24"/>
                <w:szCs w:val="24"/>
              </w:rPr>
              <w:t>2020</w:t>
            </w:r>
            <w:r w:rsidRPr="00652FD1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4</w:t>
            </w:r>
            <w:r w:rsidR="00652FD1" w:rsidRPr="00652FD1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22</w:t>
            </w:r>
            <w:r w:rsidR="00652FD1" w:rsidRPr="00652FD1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C569C3" w:rsidRPr="00567DDA" w:rsidTr="001D3B58">
        <w:trPr>
          <w:jc w:val="center"/>
        </w:trPr>
        <w:tc>
          <w:tcPr>
            <w:tcW w:w="3053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 w:rsidP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申购金额（单位：元</w:t>
            </w:r>
            <w:r w:rsidRPr="00567DDA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692" w:type="dxa"/>
            <w:gridSpan w:val="2"/>
            <w:vAlign w:val="center"/>
          </w:tcPr>
          <w:p w:rsidR="00C569C3" w:rsidRPr="00567DDA" w:rsidRDefault="00652FD1" w:rsidP="00567DDA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100,000</w:t>
            </w:r>
          </w:p>
        </w:tc>
      </w:tr>
      <w:tr w:rsidR="00567DDA" w:rsidRPr="00567DDA" w:rsidTr="000411A5">
        <w:trPr>
          <w:jc w:val="center"/>
        </w:trPr>
        <w:tc>
          <w:tcPr>
            <w:tcW w:w="3053" w:type="dxa"/>
            <w:vMerge/>
          </w:tcPr>
          <w:p w:rsidR="00567DDA" w:rsidRPr="00567DDA" w:rsidRDefault="00567DDA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567DDA" w:rsidRPr="00567DDA" w:rsidRDefault="00567DDA" w:rsidP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692" w:type="dxa"/>
            <w:gridSpan w:val="2"/>
          </w:tcPr>
          <w:p w:rsidR="00567DDA" w:rsidRPr="00567DDA" w:rsidRDefault="00652FD1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100,000</w:t>
            </w:r>
          </w:p>
        </w:tc>
      </w:tr>
      <w:tr w:rsidR="00567DDA" w:rsidRPr="00567DDA" w:rsidTr="001D3B58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:rsidR="00567DDA" w:rsidRPr="00567DDA" w:rsidRDefault="00567DDA"/>
        </w:tc>
        <w:tc>
          <w:tcPr>
            <w:tcW w:w="2894" w:type="dxa"/>
          </w:tcPr>
          <w:p w:rsidR="00567DDA" w:rsidRPr="00567DDA" w:rsidRDefault="00567DDA" w:rsidP="004F1076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暂停大额申购、定期定额投资的原因说明</w:t>
            </w:r>
          </w:p>
        </w:tc>
        <w:tc>
          <w:tcPr>
            <w:tcW w:w="3686" w:type="dxa"/>
          </w:tcPr>
          <w:p w:rsidR="00567DDA" w:rsidRPr="00567DDA" w:rsidRDefault="00567DDA" w:rsidP="00567DDA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</w:tbl>
    <w:p w:rsidR="00D327FA" w:rsidRPr="00567DDA" w:rsidRDefault="0036784E" w:rsidP="0055497B">
      <w:pPr>
        <w:spacing w:line="360" w:lineRule="auto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注：除了对单笔金额在人民币</w:t>
      </w:r>
      <w:r w:rsidR="00652FD1">
        <w:rPr>
          <w:rFonts w:eastAsiaTheme="minorEastAsia"/>
          <w:sz w:val="24"/>
          <w:szCs w:val="24"/>
        </w:rPr>
        <w:t>10</w:t>
      </w:r>
      <w:r w:rsidRPr="00567DDA">
        <w:rPr>
          <w:rFonts w:eastAsiaTheme="minorEastAsia" w:hAnsiTheme="minorEastAsia"/>
          <w:sz w:val="24"/>
          <w:szCs w:val="24"/>
        </w:rPr>
        <w:t>万元以上</w:t>
      </w:r>
      <w:r w:rsidRPr="00567DDA">
        <w:rPr>
          <w:rFonts w:eastAsiaTheme="minorEastAsia"/>
          <w:sz w:val="24"/>
          <w:szCs w:val="24"/>
        </w:rPr>
        <w:t>(</w:t>
      </w:r>
      <w:r w:rsidRPr="00567DDA">
        <w:rPr>
          <w:rFonts w:eastAsiaTheme="minorEastAsia" w:hAnsiTheme="minorEastAsia"/>
          <w:sz w:val="24"/>
          <w:szCs w:val="24"/>
        </w:rPr>
        <w:t>不含</w:t>
      </w:r>
      <w:r w:rsidR="00652FD1">
        <w:rPr>
          <w:rFonts w:eastAsiaTheme="minorEastAsia"/>
          <w:sz w:val="24"/>
          <w:szCs w:val="24"/>
        </w:rPr>
        <w:t>10</w:t>
      </w:r>
      <w:r w:rsidRPr="00567DDA">
        <w:rPr>
          <w:rFonts w:eastAsiaTheme="minorEastAsia" w:hAnsiTheme="minorEastAsia"/>
          <w:sz w:val="24"/>
          <w:szCs w:val="24"/>
        </w:rPr>
        <w:t>万元</w:t>
      </w:r>
      <w:r w:rsidRPr="00567DDA">
        <w:rPr>
          <w:rFonts w:eastAsiaTheme="minorEastAsia"/>
          <w:sz w:val="24"/>
          <w:szCs w:val="24"/>
        </w:rPr>
        <w:t>)</w:t>
      </w:r>
      <w:r w:rsidRPr="00567DDA">
        <w:rPr>
          <w:rFonts w:eastAsiaTheme="minorEastAsia" w:hAnsiTheme="minorEastAsia"/>
          <w:sz w:val="24"/>
          <w:szCs w:val="24"/>
        </w:rPr>
        <w:t>的申购申请（含定期定额投资业务发起的申购申请）进行限制外，对于当日单个基金账户累计申购金额在人民币</w:t>
      </w:r>
      <w:r w:rsidR="00652FD1">
        <w:rPr>
          <w:rFonts w:eastAsiaTheme="minorEastAsia"/>
          <w:sz w:val="24"/>
          <w:szCs w:val="24"/>
        </w:rPr>
        <w:t>10</w:t>
      </w:r>
      <w:r w:rsidRPr="00567DDA">
        <w:rPr>
          <w:rFonts w:eastAsiaTheme="minorEastAsia" w:hAnsiTheme="minorEastAsia"/>
          <w:sz w:val="24"/>
          <w:szCs w:val="24"/>
        </w:rPr>
        <w:t>万元以上（不含</w:t>
      </w:r>
      <w:r w:rsidR="00652FD1">
        <w:rPr>
          <w:rFonts w:eastAsiaTheme="minorEastAsia"/>
          <w:sz w:val="24"/>
          <w:szCs w:val="24"/>
        </w:rPr>
        <w:t>10</w:t>
      </w:r>
      <w:r w:rsidRPr="00567DDA">
        <w:rPr>
          <w:rFonts w:eastAsiaTheme="minorEastAsia" w:hAnsiTheme="minorEastAsia"/>
          <w:sz w:val="24"/>
          <w:szCs w:val="24"/>
        </w:rPr>
        <w:t>万元）的申购申请（含定期定额投资业务发起的申购申请），本基金管理人也有权拒绝，不予确认。</w:t>
      </w: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1</w:t>
      </w:r>
      <w:r w:rsidRPr="00567DDA">
        <w:rPr>
          <w:rFonts w:eastAsiaTheme="minorEastAsia" w:hAnsiTheme="minorEastAsia"/>
          <w:sz w:val="24"/>
          <w:szCs w:val="24"/>
        </w:rPr>
        <w:t>）在本基金上述暂停大额申购、定期定额投资业务期间，本基金的赎回业务正常进行。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lastRenderedPageBreak/>
        <w:t>（</w:t>
      </w:r>
      <w:r w:rsidRPr="00567DDA">
        <w:rPr>
          <w:rFonts w:eastAsiaTheme="minorEastAsia"/>
          <w:sz w:val="24"/>
          <w:szCs w:val="24"/>
        </w:rPr>
        <w:t>2</w:t>
      </w:r>
      <w:r w:rsidRPr="00567DDA">
        <w:rPr>
          <w:rFonts w:eastAsiaTheme="minorEastAsia" w:hAnsiTheme="minorEastAsia"/>
          <w:sz w:val="24"/>
          <w:szCs w:val="24"/>
        </w:rPr>
        <w:t>）关于取消上述暂停大额申购、定期定额投资业务限制的时间，本基金管理人将另行公告。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3</w:t>
      </w:r>
      <w:r w:rsidRPr="00567DDA">
        <w:rPr>
          <w:rFonts w:eastAsiaTheme="minorEastAsia" w:hAnsiTheme="minorEastAsia"/>
          <w:sz w:val="24"/>
          <w:szCs w:val="24"/>
        </w:rPr>
        <w:t>）投资者可以登录本公司网站（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p w:rsidR="00364C2A" w:rsidRPr="00567DDA" w:rsidRDefault="00A21EFA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FA" w:rsidRDefault="00A21EFA" w:rsidP="00D327FA">
      <w:r>
        <w:separator/>
      </w:r>
    </w:p>
  </w:endnote>
  <w:endnote w:type="continuationSeparator" w:id="0">
    <w:p w:rsidR="00A21EFA" w:rsidRDefault="00A21EFA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FA" w:rsidRDefault="00A21EFA" w:rsidP="00D327FA">
      <w:r>
        <w:separator/>
      </w:r>
    </w:p>
  </w:footnote>
  <w:footnote w:type="continuationSeparator" w:id="0">
    <w:p w:rsidR="00A21EFA" w:rsidRDefault="00A21EFA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411A5"/>
    <w:rsid w:val="00041353"/>
    <w:rsid w:val="00095A80"/>
    <w:rsid w:val="000D472C"/>
    <w:rsid w:val="000E4CBF"/>
    <w:rsid w:val="000F55E1"/>
    <w:rsid w:val="0013025A"/>
    <w:rsid w:val="00160DAE"/>
    <w:rsid w:val="00172472"/>
    <w:rsid w:val="00180DA3"/>
    <w:rsid w:val="001B4F9F"/>
    <w:rsid w:val="001D3B58"/>
    <w:rsid w:val="001D736A"/>
    <w:rsid w:val="002241A8"/>
    <w:rsid w:val="00245724"/>
    <w:rsid w:val="00285347"/>
    <w:rsid w:val="002935EF"/>
    <w:rsid w:val="00297148"/>
    <w:rsid w:val="002A6277"/>
    <w:rsid w:val="002B3273"/>
    <w:rsid w:val="002C1251"/>
    <w:rsid w:val="002D475A"/>
    <w:rsid w:val="002F7241"/>
    <w:rsid w:val="003139AF"/>
    <w:rsid w:val="00327DA7"/>
    <w:rsid w:val="0033476C"/>
    <w:rsid w:val="003527A7"/>
    <w:rsid w:val="0036784E"/>
    <w:rsid w:val="003753B6"/>
    <w:rsid w:val="00375F57"/>
    <w:rsid w:val="003D0DCF"/>
    <w:rsid w:val="003D3818"/>
    <w:rsid w:val="00473FE4"/>
    <w:rsid w:val="004966BA"/>
    <w:rsid w:val="004B1D96"/>
    <w:rsid w:val="004D6346"/>
    <w:rsid w:val="004F0521"/>
    <w:rsid w:val="004F1076"/>
    <w:rsid w:val="004F51E8"/>
    <w:rsid w:val="004F61D5"/>
    <w:rsid w:val="00511D6C"/>
    <w:rsid w:val="00536E8E"/>
    <w:rsid w:val="0055497B"/>
    <w:rsid w:val="00567DDA"/>
    <w:rsid w:val="005F2DBE"/>
    <w:rsid w:val="00603A93"/>
    <w:rsid w:val="00633C51"/>
    <w:rsid w:val="00646522"/>
    <w:rsid w:val="00652FD1"/>
    <w:rsid w:val="00663031"/>
    <w:rsid w:val="006A0A5E"/>
    <w:rsid w:val="006B6C4C"/>
    <w:rsid w:val="0073228C"/>
    <w:rsid w:val="00753E39"/>
    <w:rsid w:val="00762FED"/>
    <w:rsid w:val="00770DB7"/>
    <w:rsid w:val="007B0250"/>
    <w:rsid w:val="007B1D31"/>
    <w:rsid w:val="00837E48"/>
    <w:rsid w:val="008472DB"/>
    <w:rsid w:val="008712F5"/>
    <w:rsid w:val="008C5FBB"/>
    <w:rsid w:val="008D65EE"/>
    <w:rsid w:val="008D6773"/>
    <w:rsid w:val="008E2A7E"/>
    <w:rsid w:val="00956B0F"/>
    <w:rsid w:val="00981679"/>
    <w:rsid w:val="009A0237"/>
    <w:rsid w:val="009C5858"/>
    <w:rsid w:val="00A21EFA"/>
    <w:rsid w:val="00A2638C"/>
    <w:rsid w:val="00A428CE"/>
    <w:rsid w:val="00A5414E"/>
    <w:rsid w:val="00AC0E51"/>
    <w:rsid w:val="00AD4FCC"/>
    <w:rsid w:val="00AD7BDD"/>
    <w:rsid w:val="00AF024E"/>
    <w:rsid w:val="00B101F7"/>
    <w:rsid w:val="00B13FDA"/>
    <w:rsid w:val="00B872E5"/>
    <w:rsid w:val="00BD545A"/>
    <w:rsid w:val="00BD601B"/>
    <w:rsid w:val="00C569C3"/>
    <w:rsid w:val="00C70EDA"/>
    <w:rsid w:val="00CD74DC"/>
    <w:rsid w:val="00D114B7"/>
    <w:rsid w:val="00D1480F"/>
    <w:rsid w:val="00D327FA"/>
    <w:rsid w:val="00D95A18"/>
    <w:rsid w:val="00DA085F"/>
    <w:rsid w:val="00DD22A8"/>
    <w:rsid w:val="00DF159B"/>
    <w:rsid w:val="00E3565A"/>
    <w:rsid w:val="00E414B0"/>
    <w:rsid w:val="00E63200"/>
    <w:rsid w:val="00E714AE"/>
    <w:rsid w:val="00E830A4"/>
    <w:rsid w:val="00EA7B49"/>
    <w:rsid w:val="00EC47F6"/>
    <w:rsid w:val="00EE1823"/>
    <w:rsid w:val="00EF6D2E"/>
    <w:rsid w:val="00F15B17"/>
    <w:rsid w:val="00F64447"/>
    <w:rsid w:val="00F92B6D"/>
    <w:rsid w:val="00FD6EF4"/>
    <w:rsid w:val="00FE41E3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C45CB-D69C-4B02-9824-9529429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124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</cp:lastModifiedBy>
  <cp:revision>62</cp:revision>
  <dcterms:created xsi:type="dcterms:W3CDTF">2013-07-19T07:53:00Z</dcterms:created>
  <dcterms:modified xsi:type="dcterms:W3CDTF">2020-04-20T07:42:00Z</dcterms:modified>
</cp:coreProperties>
</file>