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交银施罗德策略回报灵活配置混合型证券投资基金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2019</w:t>
      </w:r>
      <w:r w:rsidRPr="0081286B">
        <w:rPr>
          <w:b/>
          <w:sz w:val="36"/>
          <w:szCs w:val="36"/>
        </w:rPr>
        <w:t>年第</w:t>
      </w:r>
      <w:r w:rsidRPr="0081286B">
        <w:rPr>
          <w:b/>
          <w:sz w:val="36"/>
          <w:szCs w:val="36"/>
        </w:rPr>
        <w:t>4</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2019</w:t>
      </w:r>
      <w:r w:rsidRPr="0081286B">
        <w:rPr>
          <w:b/>
          <w:sz w:val="36"/>
          <w:szCs w:val="36"/>
        </w:rPr>
        <w:t>年</w:t>
      </w:r>
      <w:r w:rsidRPr="0081286B">
        <w:rPr>
          <w:b/>
          <w:sz w:val="36"/>
          <w:szCs w:val="36"/>
        </w:rPr>
        <w:t>12</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基金托管人：中信银行股份有限公司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二〇二〇年一月二十一日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8F6FDE" w:rsidRDefault="00AF4807">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8F6FDE" w:rsidRDefault="00AF4807">
      <w:pPr>
        <w:spacing w:before="29" w:line="288" w:lineRule="auto"/>
        <w:ind w:firstLineChars="200" w:firstLine="480"/>
        <w:rPr>
          <w:color w:val="000000"/>
          <w:sz w:val="24"/>
          <w:szCs w:val="24"/>
        </w:rPr>
      </w:pPr>
      <w:r>
        <w:rPr>
          <w:color w:val="000000"/>
          <w:sz w:val="24"/>
          <w:szCs w:val="24"/>
        </w:rPr>
        <w:t>基金托管人中信银行股份有限公司根据本基金合同规定，于</w:t>
      </w:r>
      <w:r>
        <w:rPr>
          <w:color w:val="000000"/>
          <w:sz w:val="24"/>
          <w:szCs w:val="24"/>
        </w:rPr>
        <w:t>2020</w:t>
      </w:r>
      <w:r>
        <w:rPr>
          <w:color w:val="000000"/>
          <w:sz w:val="24"/>
          <w:szCs w:val="24"/>
        </w:rPr>
        <w:t>年</w:t>
      </w:r>
      <w:r>
        <w:rPr>
          <w:color w:val="000000"/>
          <w:sz w:val="24"/>
          <w:szCs w:val="24"/>
        </w:rPr>
        <w:t>1</w:t>
      </w:r>
      <w:r>
        <w:rPr>
          <w:color w:val="000000"/>
          <w:sz w:val="24"/>
          <w:szCs w:val="24"/>
        </w:rPr>
        <w:t>月</w:t>
      </w:r>
      <w:r>
        <w:rPr>
          <w:color w:val="000000"/>
          <w:sz w:val="24"/>
          <w:szCs w:val="24"/>
        </w:rPr>
        <w:t>20</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8F6FDE" w:rsidRDefault="00AF4807">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8F6FDE" w:rsidRDefault="00AF4807">
      <w:pPr>
        <w:spacing w:before="29" w:line="288" w:lineRule="auto"/>
        <w:ind w:firstLineChars="200" w:firstLine="480"/>
        <w:rPr>
          <w:color w:val="000000"/>
          <w:sz w:val="24"/>
          <w:szCs w:val="24"/>
        </w:rPr>
      </w:pPr>
      <w:r>
        <w:rPr>
          <w:color w:val="000000"/>
          <w:sz w:val="24"/>
          <w:szCs w:val="24"/>
        </w:rPr>
        <w:t>基金的过往业绩并不代表其未来表现。投资有风险，投资者在</w:t>
      </w:r>
      <w:proofErr w:type="gramStart"/>
      <w:r>
        <w:rPr>
          <w:color w:val="000000"/>
          <w:sz w:val="24"/>
          <w:szCs w:val="24"/>
        </w:rPr>
        <w:t>作出</w:t>
      </w:r>
      <w:proofErr w:type="gramEnd"/>
      <w:r>
        <w:rPr>
          <w:color w:val="000000"/>
          <w:sz w:val="24"/>
          <w:szCs w:val="24"/>
        </w:rPr>
        <w:t>投资决策前应仔细阅读本基金的招募说明书。</w:t>
      </w:r>
      <w:r>
        <w:rPr>
          <w:color w:val="000000"/>
          <w:sz w:val="24"/>
          <w:szCs w:val="24"/>
        </w:rPr>
        <w:t xml:space="preserve"> </w:t>
      </w:r>
    </w:p>
    <w:p w:rsidR="008F6FDE" w:rsidRDefault="00AF4807">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2019</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交银策略回报灵活配置混合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519710</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519710</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2015</w:t>
            </w:r>
            <w:r w:rsidRPr="00414345">
              <w:rPr>
                <w:color w:val="000000"/>
                <w:kern w:val="0"/>
                <w:sz w:val="24"/>
                <w:szCs w:val="24"/>
              </w:rPr>
              <w:t>年</w:t>
            </w:r>
            <w:r w:rsidRPr="00414345">
              <w:rPr>
                <w:color w:val="000000"/>
                <w:kern w:val="0"/>
                <w:sz w:val="24"/>
                <w:szCs w:val="24"/>
              </w:rPr>
              <w:t>6</w:t>
            </w:r>
            <w:r w:rsidRPr="00414345">
              <w:rPr>
                <w:color w:val="000000"/>
                <w:kern w:val="0"/>
                <w:sz w:val="24"/>
                <w:szCs w:val="24"/>
              </w:rPr>
              <w:t>月</w:t>
            </w:r>
            <w:r w:rsidRPr="00414345">
              <w:rPr>
                <w:color w:val="000000"/>
                <w:kern w:val="0"/>
                <w:sz w:val="24"/>
                <w:szCs w:val="24"/>
              </w:rPr>
              <w:t>27</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601,998,566.11</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本基金根据对宏观经济周期和市场环境的分析研究，自上而下配置资产，并通过对类属资产灵活运用多种投资策略，力争实现基金资产的长期稳定增值。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本基金将通过</w:t>
            </w:r>
            <w:r w:rsidRPr="00414345">
              <w:rPr>
                <w:color w:val="000000"/>
                <w:kern w:val="0"/>
                <w:sz w:val="24"/>
                <w:szCs w:val="24"/>
              </w:rPr>
              <w:t>“</w:t>
            </w:r>
            <w:r w:rsidRPr="00414345">
              <w:rPr>
                <w:color w:val="000000"/>
                <w:kern w:val="0"/>
                <w:sz w:val="24"/>
                <w:szCs w:val="24"/>
              </w:rPr>
              <w:t>自上而下</w:t>
            </w:r>
            <w:r w:rsidRPr="00414345">
              <w:rPr>
                <w:color w:val="000000"/>
                <w:kern w:val="0"/>
                <w:sz w:val="24"/>
                <w:szCs w:val="24"/>
              </w:rPr>
              <w:t>”</w:t>
            </w:r>
            <w:r w:rsidRPr="00414345">
              <w:rPr>
                <w:color w:val="000000"/>
                <w:kern w:val="0"/>
                <w:sz w:val="24"/>
                <w:szCs w:val="24"/>
              </w:rPr>
              <w:t>的定性分析和定量分析相结合以实现大类资产的灵活配置。本基金首先利用经济周期理论，对宏观经济的经济周期进行预测，在此基础上形成对不同资产市场表现的预测和判断，确定基金资产在各类别资产间的分配比例，并随着各类证券风险收益特征的相对变化，动态调整组合中各类资产的比例，以规避或分散市场风险，提高基金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60%×</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+40%×</w:t>
            </w:r>
            <w:r w:rsidRPr="00414345">
              <w:rPr>
                <w:color w:val="000000"/>
                <w:kern w:val="0"/>
                <w:sz w:val="24"/>
                <w:szCs w:val="24"/>
              </w:rPr>
              <w:t>中证综合债券指数收益率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本基金为混合型证券投资基金，其预期收益和风险高于货币市场基金、债券型基金，而低于股票型基金，属于证券投资基金中的中高风险品种。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中信银行股份有限公司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AF4807" w:rsidRPr="00414345" w:rsidTr="00AF4807">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(2019</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-2019</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AF4807" w:rsidRPr="00414345" w:rsidTr="00AF4807">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7,641,093.30</w:t>
            </w:r>
          </w:p>
        </w:tc>
      </w:tr>
      <w:tr w:rsidR="00AF4807" w:rsidRPr="00414345" w:rsidTr="00AF4807">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20,400,699.47</w:t>
            </w:r>
          </w:p>
        </w:tc>
      </w:tr>
      <w:tr w:rsidR="00AF4807" w:rsidRPr="00414345" w:rsidTr="00AF4807">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0.0318</w:t>
            </w:r>
          </w:p>
        </w:tc>
      </w:tr>
      <w:tr w:rsidR="00AF4807" w:rsidRPr="00414345" w:rsidTr="00AF4807">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662,629,962.46</w:t>
            </w:r>
          </w:p>
        </w:tc>
      </w:tr>
      <w:tr w:rsidR="00AF4807" w:rsidRPr="00414345" w:rsidTr="00AF4807">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1.101</w:t>
            </w:r>
          </w:p>
        </w:tc>
      </w:tr>
    </w:tbl>
    <w:p w:rsidR="008F6FDE" w:rsidRDefault="00AF4807">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w:t>
      </w:r>
      <w:proofErr w:type="gramStart"/>
      <w:r w:rsidRPr="00414345">
        <w:rPr>
          <w:b/>
          <w:bCs/>
          <w:color w:val="000000"/>
          <w:kern w:val="0"/>
          <w:sz w:val="24"/>
          <w:szCs w:val="24"/>
        </w:rPr>
        <w:t>期基金</w:t>
      </w:r>
      <w:proofErr w:type="gramEnd"/>
      <w:r w:rsidRPr="00414345">
        <w:rPr>
          <w:b/>
          <w:bCs/>
          <w:color w:val="000000"/>
          <w:kern w:val="0"/>
          <w:sz w:val="24"/>
          <w:szCs w:val="24"/>
        </w:rPr>
        <w:t>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8F6FDE">
        <w:trPr>
          <w:jc w:val="center"/>
        </w:trPr>
        <w:tc>
          <w:tcPr>
            <w:tcW w:w="1701" w:type="dxa"/>
            <w:vAlign w:val="center"/>
          </w:tcPr>
          <w:p w:rsidR="008F6FDE" w:rsidRDefault="00AF4807">
            <w:pPr>
              <w:jc w:val="left"/>
            </w:pPr>
            <w:r>
              <w:rPr>
                <w:color w:val="000000"/>
                <w:sz w:val="24"/>
                <w:szCs w:val="24"/>
              </w:rPr>
              <w:t>过去三个月</w:t>
            </w:r>
          </w:p>
        </w:tc>
        <w:tc>
          <w:tcPr>
            <w:tcW w:w="1045" w:type="dxa"/>
            <w:vAlign w:val="center"/>
          </w:tcPr>
          <w:p w:rsidR="008F6FDE" w:rsidRDefault="00AF4807">
            <w:pPr>
              <w:jc w:val="center"/>
            </w:pPr>
            <w:r>
              <w:rPr>
                <w:color w:val="000000"/>
                <w:sz w:val="24"/>
                <w:szCs w:val="24"/>
              </w:rPr>
              <w:t>2.88%</w:t>
            </w:r>
          </w:p>
        </w:tc>
        <w:tc>
          <w:tcPr>
            <w:tcW w:w="1344" w:type="dxa"/>
            <w:vAlign w:val="center"/>
          </w:tcPr>
          <w:p w:rsidR="008F6FDE" w:rsidRDefault="00AF4807">
            <w:pPr>
              <w:jc w:val="center"/>
            </w:pPr>
            <w:r>
              <w:rPr>
                <w:color w:val="000000"/>
                <w:sz w:val="24"/>
                <w:szCs w:val="24"/>
              </w:rPr>
              <w:t>0.71%</w:t>
            </w:r>
          </w:p>
        </w:tc>
        <w:tc>
          <w:tcPr>
            <w:tcW w:w="1194" w:type="dxa"/>
            <w:vAlign w:val="center"/>
          </w:tcPr>
          <w:p w:rsidR="008F6FDE" w:rsidRDefault="00AF4807">
            <w:pPr>
              <w:jc w:val="center"/>
            </w:pPr>
            <w:r>
              <w:rPr>
                <w:color w:val="000000"/>
                <w:sz w:val="24"/>
                <w:szCs w:val="24"/>
              </w:rPr>
              <w:t>4.92%</w:t>
            </w:r>
          </w:p>
        </w:tc>
        <w:tc>
          <w:tcPr>
            <w:tcW w:w="1492" w:type="dxa"/>
            <w:vAlign w:val="center"/>
          </w:tcPr>
          <w:p w:rsidR="008F6FDE" w:rsidRDefault="00AF4807">
            <w:pPr>
              <w:jc w:val="center"/>
            </w:pPr>
            <w:r>
              <w:rPr>
                <w:color w:val="000000"/>
                <w:sz w:val="24"/>
                <w:szCs w:val="24"/>
              </w:rPr>
              <w:t>0.44%</w:t>
            </w:r>
          </w:p>
        </w:tc>
        <w:tc>
          <w:tcPr>
            <w:tcW w:w="1194" w:type="dxa"/>
            <w:vAlign w:val="center"/>
          </w:tcPr>
          <w:p w:rsidR="008F6FDE" w:rsidRDefault="00AF4807">
            <w:pPr>
              <w:jc w:val="center"/>
            </w:pPr>
            <w:r>
              <w:rPr>
                <w:color w:val="000000"/>
                <w:sz w:val="24"/>
                <w:szCs w:val="24"/>
              </w:rPr>
              <w:t>-2.04%</w:t>
            </w:r>
          </w:p>
        </w:tc>
        <w:tc>
          <w:tcPr>
            <w:tcW w:w="898" w:type="dxa"/>
            <w:vAlign w:val="center"/>
          </w:tcPr>
          <w:p w:rsidR="008F6FDE" w:rsidRDefault="00AF4807">
            <w:pPr>
              <w:jc w:val="center"/>
            </w:pPr>
            <w:r>
              <w:rPr>
                <w:color w:val="000000"/>
                <w:sz w:val="24"/>
                <w:szCs w:val="24"/>
              </w:rPr>
              <w:t>0.27%</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“60%×</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+40%×</w:t>
      </w:r>
      <w:r w:rsidRPr="00414345">
        <w:rPr>
          <w:color w:val="000000"/>
          <w:sz w:val="24"/>
          <w:szCs w:val="24"/>
        </w:rPr>
        <w:t>中信标普全债指数收益率</w:t>
      </w:r>
      <w:r w:rsidRPr="00414345">
        <w:rPr>
          <w:color w:val="000000"/>
          <w:sz w:val="24"/>
          <w:szCs w:val="24"/>
        </w:rPr>
        <w:t>”</w:t>
      </w:r>
      <w:r w:rsidRPr="00414345">
        <w:rPr>
          <w:color w:val="000000"/>
          <w:sz w:val="24"/>
          <w:szCs w:val="24"/>
        </w:rPr>
        <w:t>变更为</w:t>
      </w:r>
      <w:r w:rsidRPr="00414345">
        <w:rPr>
          <w:color w:val="000000"/>
          <w:sz w:val="24"/>
          <w:szCs w:val="24"/>
        </w:rPr>
        <w:t>“60%×</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+40%×</w:t>
      </w:r>
      <w:r w:rsidRPr="00414345">
        <w:rPr>
          <w:color w:val="000000"/>
          <w:sz w:val="24"/>
          <w:szCs w:val="24"/>
        </w:rPr>
        <w:t>中证综合债券指数收益率</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3.2.2</w:t>
      </w:r>
      <w:r w:rsidR="000824E7" w:rsidRPr="00F81917">
        <w:rPr>
          <w:rFonts w:hint="eastAsia"/>
          <w:b/>
          <w:bCs/>
          <w:color w:val="000000"/>
          <w:kern w:val="0"/>
          <w:sz w:val="24"/>
          <w:szCs w:val="24"/>
        </w:rPr>
        <w:t>自基金转型以来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交银施罗德策略回报灵活配置混合型证券投资基金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2015</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6</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27</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2019</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12</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6E2E2C" w:rsidP="00C15CAC">
      <w:pPr>
        <w:pStyle w:val="a5"/>
        <w:snapToGrid w:val="0"/>
        <w:spacing w:before="29" w:line="288" w:lineRule="auto"/>
        <w:jc w:val="center"/>
        <w:rPr>
          <w:rFonts w:ascii="Times New Roman" w:hAnsi="Times New Roman" w:cs="Times New Roman"/>
          <w:color w:val="000000"/>
          <w:sz w:val="24"/>
          <w:szCs w:val="24"/>
        </w:rPr>
      </w:pPr>
      <w:r>
        <w:rPr>
          <w:rFonts w:asciiTheme="minorEastAsia" w:eastAsiaTheme="minorEastAsia" w:hAnsiTheme="minorEastAsia"/>
          <w:noProof/>
          <w:color w:val="000000"/>
        </w:rPr>
        <w:drawing>
          <wp:inline distT="0" distB="0" distL="0" distR="0" wp14:anchorId="5A43F27C" wp14:editId="7BBA6C84">
            <wp:extent cx="5731510" cy="3356125"/>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3356125"/>
                    </a:xfrm>
                    <a:prstGeom prst="rect">
                      <a:avLst/>
                    </a:prstGeom>
                    <a:noFill/>
                    <a:ln>
                      <a:noFill/>
                    </a:ln>
                  </pic:spPr>
                </pic:pic>
              </a:graphicData>
            </a:graphic>
          </wp:inline>
        </w:drawing>
      </w:r>
      <w:bookmarkStart w:id="0" w:name="_GoBack"/>
      <w:bookmarkEnd w:id="0"/>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注：本基金由交银</w:t>
      </w:r>
      <w:proofErr w:type="gramStart"/>
      <w:r w:rsidRPr="00414345">
        <w:rPr>
          <w:color w:val="000000"/>
          <w:sz w:val="24"/>
          <w:szCs w:val="24"/>
        </w:rPr>
        <w:t>施罗德荣安保本</w:t>
      </w:r>
      <w:proofErr w:type="gramEnd"/>
      <w:r w:rsidRPr="00414345">
        <w:rPr>
          <w:color w:val="000000"/>
          <w:sz w:val="24"/>
          <w:szCs w:val="24"/>
        </w:rPr>
        <w:t>混合型证券投资基金转型而来。基金</w:t>
      </w:r>
      <w:proofErr w:type="gramStart"/>
      <w:r w:rsidRPr="00414345">
        <w:rPr>
          <w:color w:val="000000"/>
          <w:sz w:val="24"/>
          <w:szCs w:val="24"/>
        </w:rPr>
        <w:t>转型日</w:t>
      </w:r>
      <w:proofErr w:type="gramEnd"/>
      <w:r w:rsidRPr="00414345">
        <w:rPr>
          <w:color w:val="000000"/>
          <w:sz w:val="24"/>
          <w:szCs w:val="24"/>
        </w:rPr>
        <w:t>为</w:t>
      </w:r>
      <w:r w:rsidRPr="00414345">
        <w:rPr>
          <w:color w:val="000000"/>
          <w:sz w:val="24"/>
          <w:szCs w:val="24"/>
        </w:rPr>
        <w:t>2015</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27</w:t>
      </w:r>
      <w:r w:rsidRPr="00414345">
        <w:rPr>
          <w:color w:val="000000"/>
          <w:sz w:val="24"/>
          <w:szCs w:val="24"/>
        </w:rPr>
        <w:t>日。本基金的投资转型期为交银</w:t>
      </w:r>
      <w:proofErr w:type="gramStart"/>
      <w:r w:rsidRPr="00414345">
        <w:rPr>
          <w:color w:val="000000"/>
          <w:sz w:val="24"/>
          <w:szCs w:val="24"/>
        </w:rPr>
        <w:t>施罗德荣安保本</w:t>
      </w:r>
      <w:proofErr w:type="gramEnd"/>
      <w:r w:rsidRPr="00414345">
        <w:rPr>
          <w:color w:val="000000"/>
          <w:sz w:val="24"/>
          <w:szCs w:val="24"/>
        </w:rPr>
        <w:t>混合型证券投资基金保本周期到期选择期截止日次日（即</w:t>
      </w:r>
      <w:r w:rsidRPr="00414345">
        <w:rPr>
          <w:color w:val="000000"/>
          <w:sz w:val="24"/>
          <w:szCs w:val="24"/>
        </w:rPr>
        <w:t>2015</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27</w:t>
      </w:r>
      <w:r w:rsidRPr="00414345">
        <w:rPr>
          <w:color w:val="000000"/>
          <w:sz w:val="24"/>
          <w:szCs w:val="24"/>
        </w:rPr>
        <w:t>日）起的</w:t>
      </w:r>
      <w:r w:rsidRPr="00414345">
        <w:rPr>
          <w:color w:val="000000"/>
          <w:sz w:val="24"/>
          <w:szCs w:val="24"/>
        </w:rPr>
        <w:t>3</w:t>
      </w:r>
      <w:r w:rsidRPr="00414345">
        <w:rPr>
          <w:color w:val="000000"/>
          <w:sz w:val="24"/>
          <w:szCs w:val="24"/>
        </w:rPr>
        <w:t>个月。截至投资转型期结束，本基金各项资产配置比例符合基金合同及招募说明书有关投资比例的约定。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proofErr w:type="gramStart"/>
            <w:r w:rsidRPr="00414345">
              <w:rPr>
                <w:color w:val="000000"/>
                <w:kern w:val="0"/>
                <w:sz w:val="24"/>
                <w:szCs w:val="24"/>
              </w:rPr>
              <w:t>任本基金</w:t>
            </w:r>
            <w:proofErr w:type="gramEnd"/>
            <w:r w:rsidRPr="00414345">
              <w:rPr>
                <w:color w:val="000000"/>
                <w:kern w:val="0"/>
                <w:sz w:val="24"/>
                <w:szCs w:val="24"/>
              </w:rPr>
              <w:t>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8F6FDE">
        <w:trPr>
          <w:jc w:val="center"/>
        </w:trPr>
        <w:tc>
          <w:tcPr>
            <w:tcW w:w="846" w:type="dxa"/>
            <w:vAlign w:val="center"/>
          </w:tcPr>
          <w:p w:rsidR="008F6FDE" w:rsidRDefault="00AF4807">
            <w:pPr>
              <w:jc w:val="center"/>
            </w:pPr>
            <w:proofErr w:type="gramStart"/>
            <w:r>
              <w:rPr>
                <w:color w:val="000000"/>
                <w:sz w:val="24"/>
                <w:szCs w:val="24"/>
              </w:rPr>
              <w:t>韩威俊</w:t>
            </w:r>
            <w:proofErr w:type="gramEnd"/>
          </w:p>
        </w:tc>
        <w:tc>
          <w:tcPr>
            <w:tcW w:w="845" w:type="dxa"/>
            <w:vAlign w:val="center"/>
          </w:tcPr>
          <w:p w:rsidR="008F6FDE" w:rsidRDefault="00AF4807">
            <w:pPr>
              <w:jc w:val="center"/>
            </w:pPr>
            <w:r>
              <w:rPr>
                <w:color w:val="000000"/>
                <w:sz w:val="24"/>
                <w:szCs w:val="24"/>
              </w:rPr>
              <w:t>交</w:t>
            </w:r>
            <w:proofErr w:type="gramStart"/>
            <w:r>
              <w:rPr>
                <w:color w:val="000000"/>
                <w:sz w:val="24"/>
                <w:szCs w:val="24"/>
              </w:rPr>
              <w:t>银趋势</w:t>
            </w:r>
            <w:proofErr w:type="gramEnd"/>
            <w:r>
              <w:rPr>
                <w:color w:val="000000"/>
                <w:sz w:val="24"/>
                <w:szCs w:val="24"/>
              </w:rPr>
              <w:t>混合、交银策略回报</w:t>
            </w:r>
            <w:r>
              <w:rPr>
                <w:color w:val="000000"/>
                <w:sz w:val="24"/>
                <w:szCs w:val="24"/>
              </w:rPr>
              <w:lastRenderedPageBreak/>
              <w:t>灵活配置混合、交</w:t>
            </w:r>
            <w:proofErr w:type="gramStart"/>
            <w:r>
              <w:rPr>
                <w:color w:val="000000"/>
                <w:sz w:val="24"/>
                <w:szCs w:val="24"/>
              </w:rPr>
              <w:t>银消费</w:t>
            </w:r>
            <w:proofErr w:type="gramEnd"/>
            <w:r>
              <w:rPr>
                <w:color w:val="000000"/>
                <w:sz w:val="24"/>
                <w:szCs w:val="24"/>
              </w:rPr>
              <w:t>新驱动股票、交银股息优化混合、交银品质升级混合的基金经理</w:t>
            </w:r>
          </w:p>
        </w:tc>
        <w:tc>
          <w:tcPr>
            <w:tcW w:w="1549" w:type="dxa"/>
            <w:vAlign w:val="center"/>
          </w:tcPr>
          <w:p w:rsidR="008F6FDE" w:rsidRDefault="00AF4807">
            <w:pPr>
              <w:jc w:val="center"/>
            </w:pPr>
            <w:r>
              <w:rPr>
                <w:color w:val="000000"/>
                <w:sz w:val="24"/>
                <w:szCs w:val="24"/>
              </w:rPr>
              <w:lastRenderedPageBreak/>
              <w:t>2016-01-20</w:t>
            </w:r>
          </w:p>
        </w:tc>
        <w:tc>
          <w:tcPr>
            <w:tcW w:w="1548" w:type="dxa"/>
            <w:vAlign w:val="center"/>
          </w:tcPr>
          <w:p w:rsidR="008F6FDE" w:rsidRDefault="00AF4807">
            <w:pPr>
              <w:jc w:val="center"/>
            </w:pPr>
            <w:r>
              <w:rPr>
                <w:color w:val="000000"/>
                <w:sz w:val="24"/>
                <w:szCs w:val="24"/>
              </w:rPr>
              <w:t>-</w:t>
            </w:r>
          </w:p>
        </w:tc>
        <w:tc>
          <w:tcPr>
            <w:tcW w:w="1407" w:type="dxa"/>
            <w:vAlign w:val="center"/>
          </w:tcPr>
          <w:p w:rsidR="008F6FDE" w:rsidRDefault="00AF4807">
            <w:pPr>
              <w:jc w:val="center"/>
            </w:pPr>
            <w:r>
              <w:rPr>
                <w:color w:val="000000"/>
                <w:sz w:val="24"/>
                <w:szCs w:val="24"/>
              </w:rPr>
              <w:t>13</w:t>
            </w:r>
            <w:r>
              <w:rPr>
                <w:color w:val="000000"/>
                <w:sz w:val="24"/>
                <w:szCs w:val="24"/>
              </w:rPr>
              <w:t>年</w:t>
            </w:r>
          </w:p>
        </w:tc>
        <w:tc>
          <w:tcPr>
            <w:tcW w:w="2673" w:type="dxa"/>
            <w:vAlign w:val="center"/>
          </w:tcPr>
          <w:p w:rsidR="008F6FDE" w:rsidRDefault="00AF4807">
            <w:r>
              <w:rPr>
                <w:color w:val="000000"/>
                <w:sz w:val="24"/>
                <w:szCs w:val="24"/>
              </w:rPr>
              <w:t>韩威俊先生，上海财经大学金融学硕士。历任申银万国证券研究所助理分析师、北京鼎天资产管理有限公司董事助理、申银万国证券研究</w:t>
            </w:r>
            <w:r>
              <w:rPr>
                <w:color w:val="000000"/>
                <w:sz w:val="24"/>
                <w:szCs w:val="24"/>
              </w:rPr>
              <w:lastRenderedPageBreak/>
              <w:t>所行业分析师、信</w:t>
            </w:r>
            <w:proofErr w:type="gramStart"/>
            <w:r>
              <w:rPr>
                <w:color w:val="000000"/>
                <w:sz w:val="24"/>
                <w:szCs w:val="24"/>
              </w:rPr>
              <w:t>诚基金</w:t>
            </w:r>
            <w:proofErr w:type="gramEnd"/>
            <w:r>
              <w:rPr>
                <w:color w:val="000000"/>
                <w:sz w:val="24"/>
                <w:szCs w:val="24"/>
              </w:rPr>
              <w:t>管理有限公司投资分析师。</w:t>
            </w:r>
            <w:r>
              <w:rPr>
                <w:color w:val="000000"/>
                <w:sz w:val="24"/>
                <w:szCs w:val="24"/>
              </w:rPr>
              <w:t>2013</w:t>
            </w:r>
            <w:r>
              <w:rPr>
                <w:color w:val="000000"/>
                <w:sz w:val="24"/>
                <w:szCs w:val="24"/>
              </w:rPr>
              <w:t>年加入交银施罗德基金管理有限公司，历任行业分析师。</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8F6FDE" w:rsidRDefault="00AF4807">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8F6FDE" w:rsidRDefault="00AF4807">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8F6FDE" w:rsidRDefault="00AF4807">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w:t>
      </w:r>
      <w:r>
        <w:rPr>
          <w:color w:val="000000"/>
          <w:sz w:val="24"/>
          <w:szCs w:val="24"/>
        </w:rPr>
        <w:lastRenderedPageBreak/>
        <w:t>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8F6FDE" w:rsidRDefault="00AF4807">
      <w:pPr>
        <w:spacing w:before="29" w:line="288" w:lineRule="auto"/>
        <w:ind w:firstLineChars="200" w:firstLine="480"/>
        <w:rPr>
          <w:color w:val="000000"/>
          <w:sz w:val="24"/>
          <w:szCs w:val="24"/>
        </w:rPr>
      </w:pPr>
      <w:r>
        <w:rPr>
          <w:color w:val="000000"/>
          <w:sz w:val="24"/>
          <w:szCs w:val="24"/>
        </w:rPr>
        <w:t>回顾</w:t>
      </w:r>
      <w:r>
        <w:rPr>
          <w:color w:val="000000"/>
          <w:sz w:val="24"/>
          <w:szCs w:val="24"/>
        </w:rPr>
        <w:t>2019</w:t>
      </w:r>
      <w:r>
        <w:rPr>
          <w:color w:val="000000"/>
          <w:sz w:val="24"/>
          <w:szCs w:val="24"/>
        </w:rPr>
        <w:t>年四季度，中美贸易</w:t>
      </w:r>
      <w:proofErr w:type="gramStart"/>
      <w:r>
        <w:rPr>
          <w:color w:val="000000"/>
          <w:sz w:val="24"/>
          <w:szCs w:val="24"/>
        </w:rPr>
        <w:t>战暂已告一段落</w:t>
      </w:r>
      <w:proofErr w:type="gramEnd"/>
      <w:r>
        <w:rPr>
          <w:color w:val="000000"/>
          <w:sz w:val="24"/>
          <w:szCs w:val="24"/>
        </w:rPr>
        <w:t>，也没有出现更为严峻的趋势。利率市场化以后，整个长</w:t>
      </w:r>
      <w:proofErr w:type="gramStart"/>
      <w:r>
        <w:rPr>
          <w:color w:val="000000"/>
          <w:sz w:val="24"/>
          <w:szCs w:val="24"/>
        </w:rPr>
        <w:t>端利率</w:t>
      </w:r>
      <w:proofErr w:type="gramEnd"/>
      <w:r>
        <w:rPr>
          <w:color w:val="000000"/>
          <w:sz w:val="24"/>
          <w:szCs w:val="24"/>
        </w:rPr>
        <w:t>水平开始出现下行趋势，市场风险偏好明显提升。随着中国市场逐步纳入</w:t>
      </w:r>
      <w:r>
        <w:rPr>
          <w:color w:val="000000"/>
          <w:sz w:val="24"/>
          <w:szCs w:val="24"/>
        </w:rPr>
        <w:t>MSCI</w:t>
      </w:r>
      <w:r>
        <w:rPr>
          <w:color w:val="000000"/>
          <w:sz w:val="24"/>
          <w:szCs w:val="24"/>
        </w:rPr>
        <w:t>，外资整体占比快速提升，国内股票市场的定价方法和估值水平受到了较大的影响，后续的变化也是国内投资者更为重视的环节。</w:t>
      </w:r>
      <w:r>
        <w:rPr>
          <w:color w:val="000000"/>
          <w:sz w:val="24"/>
          <w:szCs w:val="24"/>
        </w:rPr>
        <w:t>2019</w:t>
      </w:r>
      <w:r>
        <w:rPr>
          <w:color w:val="000000"/>
          <w:sz w:val="24"/>
          <w:szCs w:val="24"/>
        </w:rPr>
        <w:t>年</w:t>
      </w:r>
      <w:r>
        <w:rPr>
          <w:color w:val="000000"/>
          <w:sz w:val="24"/>
          <w:szCs w:val="24"/>
        </w:rPr>
        <w:t>12</w:t>
      </w:r>
      <w:r>
        <w:rPr>
          <w:color w:val="000000"/>
          <w:sz w:val="24"/>
          <w:szCs w:val="24"/>
        </w:rPr>
        <w:t>月以来，金融创新逐渐加大，对冲机制、注册制以及国有企业股权改革等相关创新手段的逐步完善，海外价值投资和对冲基金还将进一步增加中国资产的投资。</w:t>
      </w:r>
    </w:p>
    <w:p w:rsidR="008F6FDE" w:rsidRDefault="00AF4807">
      <w:pPr>
        <w:spacing w:before="29" w:line="288" w:lineRule="auto"/>
        <w:ind w:firstLineChars="200" w:firstLine="480"/>
        <w:rPr>
          <w:color w:val="000000"/>
          <w:sz w:val="24"/>
          <w:szCs w:val="24"/>
        </w:rPr>
      </w:pPr>
      <w:r>
        <w:rPr>
          <w:color w:val="000000"/>
          <w:sz w:val="24"/>
          <w:szCs w:val="24"/>
        </w:rPr>
        <w:t>本基金在</w:t>
      </w:r>
      <w:r>
        <w:rPr>
          <w:color w:val="000000"/>
          <w:sz w:val="24"/>
          <w:szCs w:val="24"/>
        </w:rPr>
        <w:t>2019</w:t>
      </w:r>
      <w:r>
        <w:rPr>
          <w:color w:val="000000"/>
          <w:sz w:val="24"/>
          <w:szCs w:val="24"/>
        </w:rPr>
        <w:t>年四季度主要以消费白马龙头作为底仓的配置思路，个股集中度依然维持在较高水平。重仓股做了适当的调整，增持了啤酒、医药创新和地产行业的相关个股，获得一定绝对收益，但相对收益不明显。</w:t>
      </w:r>
    </w:p>
    <w:p w:rsidR="008F6FDE" w:rsidRDefault="00AF4807">
      <w:pPr>
        <w:spacing w:before="29" w:line="288" w:lineRule="auto"/>
        <w:ind w:firstLineChars="200" w:firstLine="480"/>
        <w:rPr>
          <w:color w:val="000000"/>
          <w:sz w:val="24"/>
          <w:szCs w:val="24"/>
        </w:rPr>
      </w:pPr>
      <w:r>
        <w:rPr>
          <w:color w:val="000000"/>
          <w:sz w:val="24"/>
          <w:szCs w:val="24"/>
        </w:rPr>
        <w:t>展望</w:t>
      </w:r>
      <w:r>
        <w:rPr>
          <w:color w:val="000000"/>
          <w:sz w:val="24"/>
          <w:szCs w:val="24"/>
        </w:rPr>
        <w:t>2020</w:t>
      </w:r>
      <w:r>
        <w:rPr>
          <w:color w:val="000000"/>
          <w:sz w:val="24"/>
          <w:szCs w:val="24"/>
        </w:rPr>
        <w:t>年一季度，</w:t>
      </w:r>
      <w:proofErr w:type="gramStart"/>
      <w:r>
        <w:rPr>
          <w:color w:val="000000"/>
          <w:sz w:val="24"/>
          <w:szCs w:val="24"/>
        </w:rPr>
        <w:t>随着长端利率</w:t>
      </w:r>
      <w:proofErr w:type="gramEnd"/>
      <w:r>
        <w:rPr>
          <w:color w:val="000000"/>
          <w:sz w:val="24"/>
          <w:szCs w:val="24"/>
        </w:rPr>
        <w:t>进一步下行，外资配置比例提高，整个市场的流动性会继续改善，未来市场或将进入稳定的长期上涨周期。但是，由于宏观经济增速放缓，各个行业的增速也出现比较明显的放缓，个股基本面分化会更加明显，市场波动率会进一步加大。整个市场风险目前已上升到较高水平，同时部分行业和公司在</w:t>
      </w:r>
      <w:r>
        <w:rPr>
          <w:color w:val="000000"/>
          <w:sz w:val="24"/>
          <w:szCs w:val="24"/>
        </w:rPr>
        <w:t>2019</w:t>
      </w:r>
      <w:r>
        <w:rPr>
          <w:color w:val="000000"/>
          <w:sz w:val="24"/>
          <w:szCs w:val="24"/>
        </w:rPr>
        <w:t>年估值水平上升比较明显，我们将关注一季度整体高估值行业的风险。</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本基金在</w:t>
      </w:r>
      <w:r w:rsidRPr="00414345">
        <w:rPr>
          <w:color w:val="000000"/>
          <w:sz w:val="24"/>
          <w:szCs w:val="24"/>
        </w:rPr>
        <w:t>2020</w:t>
      </w:r>
      <w:r w:rsidRPr="00414345">
        <w:rPr>
          <w:color w:val="000000"/>
          <w:sz w:val="24"/>
          <w:szCs w:val="24"/>
        </w:rPr>
        <w:t>年一季度将保持消费白马和地产作为底仓的配置思路，择机适度增加银行、地产以及医药的配置比例。</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“3.1</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 xml:space="preserve">“3.2.1 </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lastRenderedPageBreak/>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p w:rsidR="006B5F69" w:rsidRPr="007B5F21" w:rsidRDefault="009C1009" w:rsidP="009C1009">
      <w:pPr>
        <w:autoSpaceDE w:val="0"/>
        <w:autoSpaceDN w:val="0"/>
        <w:adjustRightInd w:val="0"/>
        <w:spacing w:line="360" w:lineRule="auto"/>
        <w:jc w:val="right"/>
        <w:rPr>
          <w:rFonts w:eastAsiaTheme="minorEastAsia"/>
          <w:b/>
          <w:color w:val="000000" w:themeColor="text1"/>
          <w:kern w:val="0"/>
          <w:sz w:val="24"/>
          <w:szCs w:val="24"/>
        </w:rPr>
      </w:pPr>
      <w:r w:rsidRPr="009C1009">
        <w:rPr>
          <w:rFonts w:hint="eastAsia"/>
          <w:color w:val="000000"/>
          <w:kern w:val="0"/>
        </w:rPr>
        <w:t>金额单位：人民币元</w:t>
      </w:r>
    </w:p>
    <w:tbl>
      <w:tblPr>
        <w:tblStyle w:val="af7"/>
        <w:tblW w:w="8897" w:type="dxa"/>
        <w:tblInd w:w="108" w:type="dxa"/>
        <w:tblLayout w:type="fixed"/>
        <w:tblLook w:val="04A0" w:firstRow="1" w:lastRow="0" w:firstColumn="1" w:lastColumn="0" w:noHBand="0" w:noVBand="1"/>
      </w:tblPr>
      <w:tblGrid>
        <w:gridCol w:w="720"/>
        <w:gridCol w:w="2682"/>
        <w:gridCol w:w="2552"/>
        <w:gridCol w:w="2943"/>
      </w:tblGrid>
      <w:tr w:rsidR="00BF0019" w:rsidRPr="007B5F21" w:rsidTr="00487A40">
        <w:tc>
          <w:tcPr>
            <w:tcW w:w="720" w:type="dxa"/>
            <w:vAlign w:val="center"/>
          </w:tcPr>
          <w:p w:rsidR="00BF0019" w:rsidRPr="007B5F21" w:rsidRDefault="00BF0019" w:rsidP="00AF4807">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682" w:type="dxa"/>
            <w:vAlign w:val="center"/>
          </w:tcPr>
          <w:p w:rsidR="00BF0019" w:rsidRPr="007B5F21" w:rsidRDefault="00BF0019" w:rsidP="00AF4807">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AF4807">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p>
        </w:tc>
        <w:tc>
          <w:tcPr>
            <w:tcW w:w="2943" w:type="dxa"/>
            <w:vAlign w:val="center"/>
          </w:tcPr>
          <w:p w:rsidR="00BF0019" w:rsidRPr="007B5F21" w:rsidRDefault="00BF0019" w:rsidP="00AF4807">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0018138B">
              <w:rPr>
                <w:rFonts w:eastAsiaTheme="minorEastAsia" w:hint="eastAsia"/>
                <w:color w:val="000000" w:themeColor="text1"/>
                <w:sz w:val="24"/>
                <w:szCs w:val="24"/>
              </w:rPr>
              <w:t>(</w:t>
            </w:r>
            <w:r w:rsidR="0018138B">
              <w:rPr>
                <w:rFonts w:eastAsiaTheme="minorEastAsia"/>
                <w:color w:val="000000" w:themeColor="text1"/>
                <w:sz w:val="24"/>
                <w:szCs w:val="24"/>
              </w:rPr>
              <w:t>%</w:t>
            </w:r>
            <w:r w:rsidR="0018138B">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AF4807">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682" w:type="dxa"/>
            <w:vAlign w:val="center"/>
          </w:tcPr>
          <w:p w:rsidR="00BF0019" w:rsidRPr="007B5F21" w:rsidRDefault="00BF0019" w:rsidP="00AF4807">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AF4807">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529,012,592.35</w:t>
            </w:r>
          </w:p>
        </w:tc>
        <w:tc>
          <w:tcPr>
            <w:tcW w:w="2943" w:type="dxa"/>
            <w:vAlign w:val="center"/>
          </w:tcPr>
          <w:p w:rsidR="00BF0019" w:rsidRPr="007B5F21" w:rsidRDefault="00BF0019" w:rsidP="00AF4807">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79.09</w:t>
            </w:r>
          </w:p>
        </w:tc>
      </w:tr>
      <w:tr w:rsidR="00BF0019" w:rsidRPr="007B5F21" w:rsidTr="00487A40">
        <w:tc>
          <w:tcPr>
            <w:tcW w:w="720" w:type="dxa"/>
            <w:vAlign w:val="center"/>
          </w:tcPr>
          <w:p w:rsidR="00BF0019" w:rsidRPr="007B5F21" w:rsidRDefault="00BF0019" w:rsidP="00AF4807">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AF4807">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AF4807">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529,012,592.35</w:t>
            </w:r>
          </w:p>
        </w:tc>
        <w:tc>
          <w:tcPr>
            <w:tcW w:w="2943" w:type="dxa"/>
            <w:vAlign w:val="center"/>
          </w:tcPr>
          <w:p w:rsidR="00BF0019" w:rsidRPr="007B5F21" w:rsidRDefault="00BF0019" w:rsidP="00AF4807">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79.09</w:t>
            </w:r>
          </w:p>
        </w:tc>
      </w:tr>
      <w:tr w:rsidR="00BF0019" w:rsidRPr="007B5F21" w:rsidTr="00487A40">
        <w:tc>
          <w:tcPr>
            <w:tcW w:w="720" w:type="dxa"/>
            <w:vAlign w:val="center"/>
          </w:tcPr>
          <w:p w:rsidR="00BF0019" w:rsidRPr="007B5F21" w:rsidRDefault="00BF0019" w:rsidP="00AF4807">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682" w:type="dxa"/>
            <w:vAlign w:val="center"/>
          </w:tcPr>
          <w:p w:rsidR="00BF0019" w:rsidRPr="007B5F21" w:rsidRDefault="00BF0019" w:rsidP="00AF4807">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AF4807">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943" w:type="dxa"/>
            <w:vAlign w:val="center"/>
          </w:tcPr>
          <w:p w:rsidR="00BF0019" w:rsidRPr="007B5F21" w:rsidRDefault="00BF0019" w:rsidP="00AF4807">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AF4807">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682" w:type="dxa"/>
            <w:vAlign w:val="center"/>
          </w:tcPr>
          <w:p w:rsidR="00BF0019" w:rsidRPr="007B5F21" w:rsidRDefault="00BF0019" w:rsidP="00AF4807">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AF4807">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AF4807">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AF4807">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AF4807">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AF4807">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AF4807">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AF4807">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AF4807">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AF4807">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AF4807">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682" w:type="dxa"/>
            <w:vAlign w:val="center"/>
          </w:tcPr>
          <w:p w:rsidR="00BF0019" w:rsidRPr="007B5F21" w:rsidRDefault="00BF0019" w:rsidP="00AF4807">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AF4807">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AF4807">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AF4807">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682" w:type="dxa"/>
            <w:vAlign w:val="center"/>
          </w:tcPr>
          <w:p w:rsidR="00BF0019" w:rsidRPr="007B5F21" w:rsidRDefault="00BF0019" w:rsidP="00AF4807">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w:t>
            </w:r>
            <w:proofErr w:type="gramStart"/>
            <w:r w:rsidRPr="007B5F21">
              <w:rPr>
                <w:rFonts w:eastAsiaTheme="minorEastAsia"/>
                <w:color w:val="000000" w:themeColor="text1"/>
                <w:sz w:val="24"/>
                <w:szCs w:val="24"/>
              </w:rPr>
              <w:t>品投资</w:t>
            </w:r>
            <w:proofErr w:type="gramEnd"/>
          </w:p>
        </w:tc>
        <w:tc>
          <w:tcPr>
            <w:tcW w:w="2552" w:type="dxa"/>
            <w:vAlign w:val="center"/>
          </w:tcPr>
          <w:p w:rsidR="00BF0019" w:rsidRPr="007B5F21" w:rsidRDefault="00BF0019" w:rsidP="00AF4807">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AF4807">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AF4807">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682" w:type="dxa"/>
            <w:vAlign w:val="center"/>
          </w:tcPr>
          <w:p w:rsidR="00BF0019" w:rsidRPr="007B5F21" w:rsidRDefault="00BF0019" w:rsidP="00AF4807">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AF4807">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AF4807">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AF4807">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AF4807">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AF4807">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AF4807">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AF4807">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682" w:type="dxa"/>
            <w:vAlign w:val="center"/>
          </w:tcPr>
          <w:p w:rsidR="00BF0019" w:rsidRPr="007B5F21" w:rsidRDefault="00BF0019" w:rsidP="00AF4807">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AF4807">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133,896,175.11</w:t>
            </w:r>
          </w:p>
        </w:tc>
        <w:tc>
          <w:tcPr>
            <w:tcW w:w="2943" w:type="dxa"/>
            <w:vAlign w:val="center"/>
          </w:tcPr>
          <w:p w:rsidR="00BF0019" w:rsidRPr="007B5F21" w:rsidRDefault="00BF0019" w:rsidP="00AF4807">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20.02</w:t>
            </w:r>
          </w:p>
        </w:tc>
      </w:tr>
      <w:tr w:rsidR="00BF0019" w:rsidRPr="007B5F21" w:rsidTr="00487A40">
        <w:tc>
          <w:tcPr>
            <w:tcW w:w="720" w:type="dxa"/>
            <w:vAlign w:val="center"/>
          </w:tcPr>
          <w:p w:rsidR="00BF0019" w:rsidRPr="007B5F21" w:rsidRDefault="00BF0019" w:rsidP="00AF4807">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682" w:type="dxa"/>
            <w:vAlign w:val="center"/>
          </w:tcPr>
          <w:p w:rsidR="00BF0019" w:rsidRPr="007B5F21" w:rsidRDefault="00BF0019" w:rsidP="00AF4807">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AF4807">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5,927,529.72</w:t>
            </w:r>
          </w:p>
        </w:tc>
        <w:tc>
          <w:tcPr>
            <w:tcW w:w="2943" w:type="dxa"/>
            <w:vAlign w:val="center"/>
          </w:tcPr>
          <w:p w:rsidR="00BF0019" w:rsidRPr="007B5F21" w:rsidRDefault="00BF0019" w:rsidP="00AF4807">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0.89</w:t>
            </w:r>
          </w:p>
        </w:tc>
      </w:tr>
      <w:tr w:rsidR="00BF0019" w:rsidRPr="007B5F21" w:rsidTr="00487A40">
        <w:tc>
          <w:tcPr>
            <w:tcW w:w="720" w:type="dxa"/>
            <w:vAlign w:val="center"/>
          </w:tcPr>
          <w:p w:rsidR="00BF0019" w:rsidRPr="007B5F21" w:rsidRDefault="00BF0019" w:rsidP="00AF4807">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682" w:type="dxa"/>
            <w:vAlign w:val="center"/>
          </w:tcPr>
          <w:p w:rsidR="00BF0019" w:rsidRPr="007B5F21" w:rsidRDefault="00BF0019" w:rsidP="00AF4807">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AF4807">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668,836,297.18</w:t>
            </w:r>
          </w:p>
        </w:tc>
        <w:tc>
          <w:tcPr>
            <w:tcW w:w="2943" w:type="dxa"/>
            <w:vAlign w:val="center"/>
          </w:tcPr>
          <w:p w:rsidR="00BF0019" w:rsidRPr="007B5F21" w:rsidRDefault="00BF0019" w:rsidP="00AF4807">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Default="00F51C4E" w:rsidP="00F51C4E">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7B2639" w:rsidRPr="007B2639" w:rsidRDefault="009C1009" w:rsidP="009C1009">
      <w:pPr>
        <w:jc w:val="right"/>
        <w:rPr>
          <w:sz w:val="24"/>
        </w:rPr>
      </w:pPr>
      <w:r w:rsidRPr="009C1009">
        <w:rPr>
          <w:rFonts w:eastAsiaTheme="minorEastAsia" w:hint="eastAsia"/>
          <w:color w:val="000000" w:themeColor="text1"/>
          <w:kern w:val="0"/>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B11F31" w:rsidP="00C15CAC">
            <w:pPr>
              <w:adjustRightInd w:val="0"/>
              <w:snapToGrid w:val="0"/>
              <w:spacing w:before="29" w:line="288" w:lineRule="auto"/>
              <w:jc w:val="center"/>
              <w:rPr>
                <w:sz w:val="24"/>
                <w:szCs w:val="24"/>
              </w:rPr>
            </w:pPr>
            <w:r>
              <w:rPr>
                <w:sz w:val="24"/>
                <w:szCs w:val="24"/>
              </w:rPr>
              <w:t>公允价值</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440,715,845.53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66.51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lastRenderedPageBreak/>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16,395,480.00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2.47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59,769,691.78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9.02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5,831,105.28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0.88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6,300,469.76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0.95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529,012,592.35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79.84</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8F6FDE">
        <w:trPr>
          <w:jc w:val="center"/>
        </w:trPr>
        <w:tc>
          <w:tcPr>
            <w:tcW w:w="855" w:type="dxa"/>
            <w:vAlign w:val="center"/>
          </w:tcPr>
          <w:p w:rsidR="008F6FDE" w:rsidRDefault="00AF4807">
            <w:pPr>
              <w:jc w:val="center"/>
            </w:pPr>
            <w:r>
              <w:rPr>
                <w:color w:val="000000"/>
                <w:sz w:val="24"/>
                <w:szCs w:val="24"/>
              </w:rPr>
              <w:t>1</w:t>
            </w:r>
          </w:p>
        </w:tc>
        <w:tc>
          <w:tcPr>
            <w:tcW w:w="1334" w:type="dxa"/>
            <w:vAlign w:val="center"/>
          </w:tcPr>
          <w:p w:rsidR="008F6FDE" w:rsidRDefault="00AF4807">
            <w:pPr>
              <w:jc w:val="center"/>
            </w:pPr>
            <w:r>
              <w:rPr>
                <w:color w:val="000000"/>
                <w:sz w:val="24"/>
                <w:szCs w:val="24"/>
              </w:rPr>
              <w:t>600519</w:t>
            </w:r>
          </w:p>
        </w:tc>
        <w:tc>
          <w:tcPr>
            <w:tcW w:w="1777" w:type="dxa"/>
            <w:vAlign w:val="center"/>
          </w:tcPr>
          <w:p w:rsidR="008F6FDE" w:rsidRDefault="00AF4807">
            <w:pPr>
              <w:jc w:val="center"/>
            </w:pPr>
            <w:r>
              <w:rPr>
                <w:color w:val="000000"/>
                <w:sz w:val="24"/>
                <w:szCs w:val="24"/>
              </w:rPr>
              <w:t>贵州茅台</w:t>
            </w:r>
          </w:p>
        </w:tc>
        <w:tc>
          <w:tcPr>
            <w:tcW w:w="1334" w:type="dxa"/>
            <w:vAlign w:val="center"/>
          </w:tcPr>
          <w:p w:rsidR="008F6FDE" w:rsidRDefault="00AF4807">
            <w:pPr>
              <w:jc w:val="right"/>
            </w:pPr>
            <w:r>
              <w:rPr>
                <w:color w:val="000000"/>
                <w:sz w:val="24"/>
                <w:szCs w:val="24"/>
              </w:rPr>
              <w:t>51,593</w:t>
            </w:r>
          </w:p>
        </w:tc>
        <w:tc>
          <w:tcPr>
            <w:tcW w:w="1924" w:type="dxa"/>
            <w:vAlign w:val="center"/>
          </w:tcPr>
          <w:p w:rsidR="008F6FDE" w:rsidRDefault="00AF4807">
            <w:pPr>
              <w:jc w:val="right"/>
            </w:pPr>
            <w:r>
              <w:rPr>
                <w:color w:val="000000"/>
                <w:sz w:val="24"/>
                <w:szCs w:val="24"/>
              </w:rPr>
              <w:t>61,034,519.00</w:t>
            </w:r>
          </w:p>
        </w:tc>
        <w:tc>
          <w:tcPr>
            <w:tcW w:w="1644" w:type="dxa"/>
            <w:vAlign w:val="center"/>
          </w:tcPr>
          <w:p w:rsidR="008F6FDE" w:rsidRDefault="00AF4807">
            <w:pPr>
              <w:jc w:val="right"/>
            </w:pPr>
            <w:r>
              <w:rPr>
                <w:color w:val="000000"/>
                <w:sz w:val="24"/>
                <w:szCs w:val="24"/>
              </w:rPr>
              <w:t>9.21</w:t>
            </w:r>
          </w:p>
        </w:tc>
      </w:tr>
      <w:tr w:rsidR="008F6FDE">
        <w:trPr>
          <w:jc w:val="center"/>
        </w:trPr>
        <w:tc>
          <w:tcPr>
            <w:tcW w:w="855" w:type="dxa"/>
            <w:vAlign w:val="center"/>
          </w:tcPr>
          <w:p w:rsidR="008F6FDE" w:rsidRDefault="00AF4807">
            <w:pPr>
              <w:jc w:val="center"/>
            </w:pPr>
            <w:r>
              <w:rPr>
                <w:color w:val="000000"/>
                <w:sz w:val="24"/>
                <w:szCs w:val="24"/>
              </w:rPr>
              <w:t>2</w:t>
            </w:r>
          </w:p>
        </w:tc>
        <w:tc>
          <w:tcPr>
            <w:tcW w:w="1334" w:type="dxa"/>
            <w:vAlign w:val="center"/>
          </w:tcPr>
          <w:p w:rsidR="008F6FDE" w:rsidRDefault="00AF4807">
            <w:pPr>
              <w:jc w:val="center"/>
            </w:pPr>
            <w:r>
              <w:rPr>
                <w:color w:val="000000"/>
                <w:sz w:val="24"/>
                <w:szCs w:val="24"/>
              </w:rPr>
              <w:t>300146</w:t>
            </w:r>
          </w:p>
        </w:tc>
        <w:tc>
          <w:tcPr>
            <w:tcW w:w="1777" w:type="dxa"/>
            <w:vAlign w:val="center"/>
          </w:tcPr>
          <w:p w:rsidR="008F6FDE" w:rsidRDefault="00AF4807">
            <w:pPr>
              <w:jc w:val="center"/>
            </w:pPr>
            <w:r>
              <w:rPr>
                <w:color w:val="000000"/>
                <w:sz w:val="24"/>
                <w:szCs w:val="24"/>
              </w:rPr>
              <w:t>汤臣</w:t>
            </w:r>
            <w:proofErr w:type="gramStart"/>
            <w:r>
              <w:rPr>
                <w:color w:val="000000"/>
                <w:sz w:val="24"/>
                <w:szCs w:val="24"/>
              </w:rPr>
              <w:t>倍</w:t>
            </w:r>
            <w:proofErr w:type="gramEnd"/>
            <w:r>
              <w:rPr>
                <w:color w:val="000000"/>
                <w:sz w:val="24"/>
                <w:szCs w:val="24"/>
              </w:rPr>
              <w:t>健</w:t>
            </w:r>
          </w:p>
        </w:tc>
        <w:tc>
          <w:tcPr>
            <w:tcW w:w="1334" w:type="dxa"/>
            <w:vAlign w:val="center"/>
          </w:tcPr>
          <w:p w:rsidR="008F6FDE" w:rsidRDefault="00AF4807">
            <w:pPr>
              <w:jc w:val="right"/>
            </w:pPr>
            <w:r>
              <w:rPr>
                <w:color w:val="000000"/>
                <w:sz w:val="24"/>
                <w:szCs w:val="24"/>
              </w:rPr>
              <w:t>3,663,406</w:t>
            </w:r>
          </w:p>
        </w:tc>
        <w:tc>
          <w:tcPr>
            <w:tcW w:w="1924" w:type="dxa"/>
            <w:vAlign w:val="center"/>
          </w:tcPr>
          <w:p w:rsidR="008F6FDE" w:rsidRDefault="00AF4807">
            <w:pPr>
              <w:jc w:val="right"/>
            </w:pPr>
            <w:r>
              <w:rPr>
                <w:color w:val="000000"/>
                <w:sz w:val="24"/>
                <w:szCs w:val="24"/>
              </w:rPr>
              <w:t>59,676,883.74</w:t>
            </w:r>
          </w:p>
        </w:tc>
        <w:tc>
          <w:tcPr>
            <w:tcW w:w="1644" w:type="dxa"/>
            <w:vAlign w:val="center"/>
          </w:tcPr>
          <w:p w:rsidR="008F6FDE" w:rsidRDefault="00AF4807">
            <w:pPr>
              <w:jc w:val="right"/>
            </w:pPr>
            <w:r>
              <w:rPr>
                <w:color w:val="000000"/>
                <w:sz w:val="24"/>
                <w:szCs w:val="24"/>
              </w:rPr>
              <w:t>9.01</w:t>
            </w:r>
          </w:p>
        </w:tc>
      </w:tr>
      <w:tr w:rsidR="008F6FDE">
        <w:trPr>
          <w:jc w:val="center"/>
        </w:trPr>
        <w:tc>
          <w:tcPr>
            <w:tcW w:w="855" w:type="dxa"/>
            <w:vAlign w:val="center"/>
          </w:tcPr>
          <w:p w:rsidR="008F6FDE" w:rsidRDefault="00AF4807">
            <w:pPr>
              <w:jc w:val="center"/>
            </w:pPr>
            <w:r>
              <w:rPr>
                <w:color w:val="000000"/>
                <w:sz w:val="24"/>
                <w:szCs w:val="24"/>
              </w:rPr>
              <w:t>3</w:t>
            </w:r>
          </w:p>
        </w:tc>
        <w:tc>
          <w:tcPr>
            <w:tcW w:w="1334" w:type="dxa"/>
            <w:vAlign w:val="center"/>
          </w:tcPr>
          <w:p w:rsidR="008F6FDE" w:rsidRDefault="00AF4807">
            <w:pPr>
              <w:jc w:val="center"/>
            </w:pPr>
            <w:r>
              <w:rPr>
                <w:color w:val="000000"/>
                <w:sz w:val="24"/>
                <w:szCs w:val="24"/>
              </w:rPr>
              <w:t>000858</w:t>
            </w:r>
          </w:p>
        </w:tc>
        <w:tc>
          <w:tcPr>
            <w:tcW w:w="1777" w:type="dxa"/>
            <w:vAlign w:val="center"/>
          </w:tcPr>
          <w:p w:rsidR="008F6FDE" w:rsidRDefault="00AF4807">
            <w:pPr>
              <w:jc w:val="center"/>
            </w:pPr>
            <w:r>
              <w:rPr>
                <w:color w:val="000000"/>
                <w:sz w:val="24"/>
                <w:szCs w:val="24"/>
              </w:rPr>
              <w:t>五粮液</w:t>
            </w:r>
          </w:p>
        </w:tc>
        <w:tc>
          <w:tcPr>
            <w:tcW w:w="1334" w:type="dxa"/>
            <w:vAlign w:val="center"/>
          </w:tcPr>
          <w:p w:rsidR="008F6FDE" w:rsidRDefault="00AF4807">
            <w:pPr>
              <w:jc w:val="right"/>
            </w:pPr>
            <w:r>
              <w:rPr>
                <w:color w:val="000000"/>
                <w:sz w:val="24"/>
                <w:szCs w:val="24"/>
              </w:rPr>
              <w:t>447,675</w:t>
            </w:r>
          </w:p>
        </w:tc>
        <w:tc>
          <w:tcPr>
            <w:tcW w:w="1924" w:type="dxa"/>
            <w:vAlign w:val="center"/>
          </w:tcPr>
          <w:p w:rsidR="008F6FDE" w:rsidRDefault="00AF4807">
            <w:pPr>
              <w:jc w:val="right"/>
            </w:pPr>
            <w:r>
              <w:rPr>
                <w:color w:val="000000"/>
                <w:sz w:val="24"/>
                <w:szCs w:val="24"/>
              </w:rPr>
              <w:t>59,545,251.75</w:t>
            </w:r>
          </w:p>
        </w:tc>
        <w:tc>
          <w:tcPr>
            <w:tcW w:w="1644" w:type="dxa"/>
            <w:vAlign w:val="center"/>
          </w:tcPr>
          <w:p w:rsidR="008F6FDE" w:rsidRDefault="00AF4807">
            <w:pPr>
              <w:jc w:val="right"/>
            </w:pPr>
            <w:r>
              <w:rPr>
                <w:color w:val="000000"/>
                <w:sz w:val="24"/>
                <w:szCs w:val="24"/>
              </w:rPr>
              <w:t>8.99</w:t>
            </w:r>
          </w:p>
        </w:tc>
      </w:tr>
      <w:tr w:rsidR="008F6FDE">
        <w:trPr>
          <w:jc w:val="center"/>
        </w:trPr>
        <w:tc>
          <w:tcPr>
            <w:tcW w:w="855" w:type="dxa"/>
            <w:vAlign w:val="center"/>
          </w:tcPr>
          <w:p w:rsidR="008F6FDE" w:rsidRDefault="00AF4807">
            <w:pPr>
              <w:jc w:val="center"/>
            </w:pPr>
            <w:r>
              <w:rPr>
                <w:color w:val="000000"/>
                <w:sz w:val="24"/>
                <w:szCs w:val="24"/>
              </w:rPr>
              <w:t>4</w:t>
            </w:r>
          </w:p>
        </w:tc>
        <w:tc>
          <w:tcPr>
            <w:tcW w:w="1334" w:type="dxa"/>
            <w:vAlign w:val="center"/>
          </w:tcPr>
          <w:p w:rsidR="008F6FDE" w:rsidRDefault="00AF4807">
            <w:pPr>
              <w:jc w:val="center"/>
            </w:pPr>
            <w:r>
              <w:rPr>
                <w:color w:val="000000"/>
                <w:sz w:val="24"/>
                <w:szCs w:val="24"/>
              </w:rPr>
              <w:t>603369</w:t>
            </w:r>
          </w:p>
        </w:tc>
        <w:tc>
          <w:tcPr>
            <w:tcW w:w="1777" w:type="dxa"/>
            <w:vAlign w:val="center"/>
          </w:tcPr>
          <w:p w:rsidR="008F6FDE" w:rsidRDefault="00AF4807">
            <w:pPr>
              <w:jc w:val="center"/>
            </w:pPr>
            <w:r>
              <w:rPr>
                <w:color w:val="000000"/>
                <w:sz w:val="24"/>
                <w:szCs w:val="24"/>
              </w:rPr>
              <w:t>今世缘</w:t>
            </w:r>
          </w:p>
        </w:tc>
        <w:tc>
          <w:tcPr>
            <w:tcW w:w="1334" w:type="dxa"/>
            <w:vAlign w:val="center"/>
          </w:tcPr>
          <w:p w:rsidR="008F6FDE" w:rsidRDefault="00AF4807">
            <w:pPr>
              <w:jc w:val="right"/>
            </w:pPr>
            <w:r>
              <w:rPr>
                <w:color w:val="000000"/>
                <w:sz w:val="24"/>
                <w:szCs w:val="24"/>
              </w:rPr>
              <w:t>1,756,479</w:t>
            </w:r>
          </w:p>
        </w:tc>
        <w:tc>
          <w:tcPr>
            <w:tcW w:w="1924" w:type="dxa"/>
            <w:vAlign w:val="center"/>
          </w:tcPr>
          <w:p w:rsidR="008F6FDE" w:rsidRDefault="00AF4807">
            <w:pPr>
              <w:jc w:val="right"/>
            </w:pPr>
            <w:r>
              <w:rPr>
                <w:color w:val="000000"/>
                <w:sz w:val="24"/>
                <w:szCs w:val="24"/>
              </w:rPr>
              <w:t>57,471,992.88</w:t>
            </w:r>
          </w:p>
        </w:tc>
        <w:tc>
          <w:tcPr>
            <w:tcW w:w="1644" w:type="dxa"/>
            <w:vAlign w:val="center"/>
          </w:tcPr>
          <w:p w:rsidR="008F6FDE" w:rsidRDefault="00AF4807">
            <w:pPr>
              <w:jc w:val="right"/>
            </w:pPr>
            <w:r>
              <w:rPr>
                <w:color w:val="000000"/>
                <w:sz w:val="24"/>
                <w:szCs w:val="24"/>
              </w:rPr>
              <w:t>8.67</w:t>
            </w:r>
          </w:p>
        </w:tc>
      </w:tr>
      <w:tr w:rsidR="008F6FDE">
        <w:trPr>
          <w:jc w:val="center"/>
        </w:trPr>
        <w:tc>
          <w:tcPr>
            <w:tcW w:w="855" w:type="dxa"/>
            <w:vAlign w:val="center"/>
          </w:tcPr>
          <w:p w:rsidR="008F6FDE" w:rsidRDefault="00AF4807">
            <w:pPr>
              <w:jc w:val="center"/>
            </w:pPr>
            <w:r>
              <w:rPr>
                <w:color w:val="000000"/>
                <w:sz w:val="24"/>
                <w:szCs w:val="24"/>
              </w:rPr>
              <w:t>5</w:t>
            </w:r>
          </w:p>
        </w:tc>
        <w:tc>
          <w:tcPr>
            <w:tcW w:w="1334" w:type="dxa"/>
            <w:vAlign w:val="center"/>
          </w:tcPr>
          <w:p w:rsidR="008F6FDE" w:rsidRDefault="00AF4807">
            <w:pPr>
              <w:jc w:val="center"/>
            </w:pPr>
            <w:r>
              <w:rPr>
                <w:color w:val="000000"/>
                <w:sz w:val="24"/>
                <w:szCs w:val="24"/>
              </w:rPr>
              <w:t>600132</w:t>
            </w:r>
          </w:p>
        </w:tc>
        <w:tc>
          <w:tcPr>
            <w:tcW w:w="1777" w:type="dxa"/>
            <w:vAlign w:val="center"/>
          </w:tcPr>
          <w:p w:rsidR="008F6FDE" w:rsidRDefault="00AF4807">
            <w:pPr>
              <w:jc w:val="center"/>
            </w:pPr>
            <w:r>
              <w:rPr>
                <w:color w:val="000000"/>
                <w:sz w:val="24"/>
                <w:szCs w:val="24"/>
              </w:rPr>
              <w:t>重庆啤酒</w:t>
            </w:r>
          </w:p>
        </w:tc>
        <w:tc>
          <w:tcPr>
            <w:tcW w:w="1334" w:type="dxa"/>
            <w:vAlign w:val="center"/>
          </w:tcPr>
          <w:p w:rsidR="008F6FDE" w:rsidRDefault="00AF4807">
            <w:pPr>
              <w:jc w:val="right"/>
            </w:pPr>
            <w:r>
              <w:rPr>
                <w:color w:val="000000"/>
                <w:sz w:val="24"/>
                <w:szCs w:val="24"/>
              </w:rPr>
              <w:t>769,208</w:t>
            </w:r>
          </w:p>
        </w:tc>
        <w:tc>
          <w:tcPr>
            <w:tcW w:w="1924" w:type="dxa"/>
            <w:vAlign w:val="center"/>
          </w:tcPr>
          <w:p w:rsidR="008F6FDE" w:rsidRDefault="00AF4807">
            <w:pPr>
              <w:jc w:val="right"/>
            </w:pPr>
            <w:r>
              <w:rPr>
                <w:color w:val="000000"/>
                <w:sz w:val="24"/>
                <w:szCs w:val="24"/>
              </w:rPr>
              <w:t>39,968,047.68</w:t>
            </w:r>
          </w:p>
        </w:tc>
        <w:tc>
          <w:tcPr>
            <w:tcW w:w="1644" w:type="dxa"/>
            <w:vAlign w:val="center"/>
          </w:tcPr>
          <w:p w:rsidR="008F6FDE" w:rsidRDefault="00AF4807">
            <w:pPr>
              <w:jc w:val="right"/>
            </w:pPr>
            <w:r>
              <w:rPr>
                <w:color w:val="000000"/>
                <w:sz w:val="24"/>
                <w:szCs w:val="24"/>
              </w:rPr>
              <w:t>6.03</w:t>
            </w:r>
          </w:p>
        </w:tc>
      </w:tr>
      <w:tr w:rsidR="008F6FDE">
        <w:trPr>
          <w:jc w:val="center"/>
        </w:trPr>
        <w:tc>
          <w:tcPr>
            <w:tcW w:w="855" w:type="dxa"/>
            <w:vAlign w:val="center"/>
          </w:tcPr>
          <w:p w:rsidR="008F6FDE" w:rsidRDefault="00AF4807">
            <w:pPr>
              <w:jc w:val="center"/>
            </w:pPr>
            <w:r>
              <w:rPr>
                <w:color w:val="000000"/>
                <w:sz w:val="24"/>
                <w:szCs w:val="24"/>
              </w:rPr>
              <w:t>6</w:t>
            </w:r>
          </w:p>
        </w:tc>
        <w:tc>
          <w:tcPr>
            <w:tcW w:w="1334" w:type="dxa"/>
            <w:vAlign w:val="center"/>
          </w:tcPr>
          <w:p w:rsidR="008F6FDE" w:rsidRDefault="00AF4807">
            <w:pPr>
              <w:jc w:val="center"/>
            </w:pPr>
            <w:r>
              <w:rPr>
                <w:color w:val="000000"/>
                <w:sz w:val="24"/>
                <w:szCs w:val="24"/>
              </w:rPr>
              <w:t>002461</w:t>
            </w:r>
          </w:p>
        </w:tc>
        <w:tc>
          <w:tcPr>
            <w:tcW w:w="1777" w:type="dxa"/>
            <w:vAlign w:val="center"/>
          </w:tcPr>
          <w:p w:rsidR="008F6FDE" w:rsidRDefault="00AF4807">
            <w:pPr>
              <w:jc w:val="center"/>
            </w:pPr>
            <w:r>
              <w:rPr>
                <w:color w:val="000000"/>
                <w:sz w:val="24"/>
                <w:szCs w:val="24"/>
              </w:rPr>
              <w:t>珠江啤酒</w:t>
            </w:r>
          </w:p>
        </w:tc>
        <w:tc>
          <w:tcPr>
            <w:tcW w:w="1334" w:type="dxa"/>
            <w:vAlign w:val="center"/>
          </w:tcPr>
          <w:p w:rsidR="008F6FDE" w:rsidRDefault="00AF4807">
            <w:pPr>
              <w:jc w:val="right"/>
            </w:pPr>
            <w:r>
              <w:rPr>
                <w:color w:val="000000"/>
                <w:sz w:val="24"/>
                <w:szCs w:val="24"/>
              </w:rPr>
              <w:t>4,629,706</w:t>
            </w:r>
          </w:p>
        </w:tc>
        <w:tc>
          <w:tcPr>
            <w:tcW w:w="1924" w:type="dxa"/>
            <w:vAlign w:val="center"/>
          </w:tcPr>
          <w:p w:rsidR="008F6FDE" w:rsidRDefault="00AF4807">
            <w:pPr>
              <w:jc w:val="right"/>
            </w:pPr>
            <w:r>
              <w:rPr>
                <w:color w:val="000000"/>
                <w:sz w:val="24"/>
                <w:szCs w:val="24"/>
              </w:rPr>
              <w:t>33,056,100.84</w:t>
            </w:r>
          </w:p>
        </w:tc>
        <w:tc>
          <w:tcPr>
            <w:tcW w:w="1644" w:type="dxa"/>
            <w:vAlign w:val="center"/>
          </w:tcPr>
          <w:p w:rsidR="008F6FDE" w:rsidRDefault="00AF4807">
            <w:pPr>
              <w:jc w:val="right"/>
            </w:pPr>
            <w:r>
              <w:rPr>
                <w:color w:val="000000"/>
                <w:sz w:val="24"/>
                <w:szCs w:val="24"/>
              </w:rPr>
              <w:t>4.99</w:t>
            </w:r>
          </w:p>
        </w:tc>
      </w:tr>
      <w:tr w:rsidR="008F6FDE">
        <w:trPr>
          <w:jc w:val="center"/>
        </w:trPr>
        <w:tc>
          <w:tcPr>
            <w:tcW w:w="855" w:type="dxa"/>
            <w:vAlign w:val="center"/>
          </w:tcPr>
          <w:p w:rsidR="008F6FDE" w:rsidRDefault="00AF4807">
            <w:pPr>
              <w:jc w:val="center"/>
            </w:pPr>
            <w:r>
              <w:rPr>
                <w:color w:val="000000"/>
                <w:sz w:val="24"/>
                <w:szCs w:val="24"/>
              </w:rPr>
              <w:lastRenderedPageBreak/>
              <w:t>7</w:t>
            </w:r>
          </w:p>
        </w:tc>
        <w:tc>
          <w:tcPr>
            <w:tcW w:w="1334" w:type="dxa"/>
            <w:vAlign w:val="center"/>
          </w:tcPr>
          <w:p w:rsidR="008F6FDE" w:rsidRDefault="00AF4807">
            <w:pPr>
              <w:jc w:val="center"/>
            </w:pPr>
            <w:r>
              <w:rPr>
                <w:color w:val="000000"/>
                <w:sz w:val="24"/>
                <w:szCs w:val="24"/>
              </w:rPr>
              <w:t>000651</w:t>
            </w:r>
          </w:p>
        </w:tc>
        <w:tc>
          <w:tcPr>
            <w:tcW w:w="1777" w:type="dxa"/>
            <w:vAlign w:val="center"/>
          </w:tcPr>
          <w:p w:rsidR="008F6FDE" w:rsidRDefault="00AF4807">
            <w:pPr>
              <w:jc w:val="center"/>
            </w:pPr>
            <w:r>
              <w:rPr>
                <w:color w:val="000000"/>
                <w:sz w:val="24"/>
                <w:szCs w:val="24"/>
              </w:rPr>
              <w:t>格力电器</w:t>
            </w:r>
          </w:p>
        </w:tc>
        <w:tc>
          <w:tcPr>
            <w:tcW w:w="1334" w:type="dxa"/>
            <w:vAlign w:val="center"/>
          </w:tcPr>
          <w:p w:rsidR="008F6FDE" w:rsidRDefault="00AF4807">
            <w:pPr>
              <w:jc w:val="right"/>
            </w:pPr>
            <w:r>
              <w:rPr>
                <w:color w:val="000000"/>
                <w:sz w:val="24"/>
                <w:szCs w:val="24"/>
              </w:rPr>
              <w:t>498,088</w:t>
            </w:r>
          </w:p>
        </w:tc>
        <w:tc>
          <w:tcPr>
            <w:tcW w:w="1924" w:type="dxa"/>
            <w:vAlign w:val="center"/>
          </w:tcPr>
          <w:p w:rsidR="008F6FDE" w:rsidRDefault="00AF4807">
            <w:pPr>
              <w:jc w:val="right"/>
            </w:pPr>
            <w:r>
              <w:rPr>
                <w:color w:val="000000"/>
                <w:sz w:val="24"/>
                <w:szCs w:val="24"/>
              </w:rPr>
              <w:t>32,664,611.04</w:t>
            </w:r>
          </w:p>
        </w:tc>
        <w:tc>
          <w:tcPr>
            <w:tcW w:w="1644" w:type="dxa"/>
            <w:vAlign w:val="center"/>
          </w:tcPr>
          <w:p w:rsidR="008F6FDE" w:rsidRDefault="00AF4807">
            <w:pPr>
              <w:jc w:val="right"/>
            </w:pPr>
            <w:r>
              <w:rPr>
                <w:color w:val="000000"/>
                <w:sz w:val="24"/>
                <w:szCs w:val="24"/>
              </w:rPr>
              <w:t>4.93</w:t>
            </w:r>
          </w:p>
        </w:tc>
      </w:tr>
      <w:tr w:rsidR="008F6FDE">
        <w:trPr>
          <w:jc w:val="center"/>
        </w:trPr>
        <w:tc>
          <w:tcPr>
            <w:tcW w:w="855" w:type="dxa"/>
            <w:vAlign w:val="center"/>
          </w:tcPr>
          <w:p w:rsidR="008F6FDE" w:rsidRDefault="00AF4807">
            <w:pPr>
              <w:jc w:val="center"/>
            </w:pPr>
            <w:r>
              <w:rPr>
                <w:color w:val="000000"/>
                <w:sz w:val="24"/>
                <w:szCs w:val="24"/>
              </w:rPr>
              <w:t>8</w:t>
            </w:r>
          </w:p>
        </w:tc>
        <w:tc>
          <w:tcPr>
            <w:tcW w:w="1334" w:type="dxa"/>
            <w:vAlign w:val="center"/>
          </w:tcPr>
          <w:p w:rsidR="008F6FDE" w:rsidRDefault="00AF4807">
            <w:pPr>
              <w:jc w:val="center"/>
            </w:pPr>
            <w:r>
              <w:rPr>
                <w:color w:val="000000"/>
                <w:sz w:val="24"/>
                <w:szCs w:val="24"/>
              </w:rPr>
              <w:t>600887</w:t>
            </w:r>
          </w:p>
        </w:tc>
        <w:tc>
          <w:tcPr>
            <w:tcW w:w="1777" w:type="dxa"/>
            <w:vAlign w:val="center"/>
          </w:tcPr>
          <w:p w:rsidR="008F6FDE" w:rsidRDefault="00AF4807">
            <w:pPr>
              <w:jc w:val="center"/>
            </w:pPr>
            <w:r>
              <w:rPr>
                <w:color w:val="000000"/>
                <w:sz w:val="24"/>
                <w:szCs w:val="24"/>
              </w:rPr>
              <w:t>伊利股份</w:t>
            </w:r>
          </w:p>
        </w:tc>
        <w:tc>
          <w:tcPr>
            <w:tcW w:w="1334" w:type="dxa"/>
            <w:vAlign w:val="center"/>
          </w:tcPr>
          <w:p w:rsidR="008F6FDE" w:rsidRDefault="00AF4807">
            <w:pPr>
              <w:jc w:val="right"/>
            </w:pPr>
            <w:r>
              <w:rPr>
                <w:color w:val="000000"/>
                <w:sz w:val="24"/>
                <w:szCs w:val="24"/>
              </w:rPr>
              <w:t>921,493</w:t>
            </w:r>
          </w:p>
        </w:tc>
        <w:tc>
          <w:tcPr>
            <w:tcW w:w="1924" w:type="dxa"/>
            <w:vAlign w:val="center"/>
          </w:tcPr>
          <w:p w:rsidR="008F6FDE" w:rsidRDefault="00AF4807">
            <w:pPr>
              <w:jc w:val="right"/>
            </w:pPr>
            <w:r>
              <w:rPr>
                <w:color w:val="000000"/>
                <w:sz w:val="24"/>
                <w:szCs w:val="24"/>
              </w:rPr>
              <w:t>28,510,993.42</w:t>
            </w:r>
          </w:p>
        </w:tc>
        <w:tc>
          <w:tcPr>
            <w:tcW w:w="1644" w:type="dxa"/>
            <w:vAlign w:val="center"/>
          </w:tcPr>
          <w:p w:rsidR="008F6FDE" w:rsidRDefault="00AF4807">
            <w:pPr>
              <w:jc w:val="right"/>
            </w:pPr>
            <w:r>
              <w:rPr>
                <w:color w:val="000000"/>
                <w:sz w:val="24"/>
                <w:szCs w:val="24"/>
              </w:rPr>
              <w:t>4.30</w:t>
            </w:r>
          </w:p>
        </w:tc>
      </w:tr>
      <w:tr w:rsidR="008F6FDE">
        <w:trPr>
          <w:jc w:val="center"/>
        </w:trPr>
        <w:tc>
          <w:tcPr>
            <w:tcW w:w="855" w:type="dxa"/>
            <w:vAlign w:val="center"/>
          </w:tcPr>
          <w:p w:rsidR="008F6FDE" w:rsidRDefault="00AF4807">
            <w:pPr>
              <w:jc w:val="center"/>
            </w:pPr>
            <w:r>
              <w:rPr>
                <w:color w:val="000000"/>
                <w:sz w:val="24"/>
                <w:szCs w:val="24"/>
              </w:rPr>
              <w:t>9</w:t>
            </w:r>
          </w:p>
        </w:tc>
        <w:tc>
          <w:tcPr>
            <w:tcW w:w="1334" w:type="dxa"/>
            <w:vAlign w:val="center"/>
          </w:tcPr>
          <w:p w:rsidR="008F6FDE" w:rsidRDefault="00AF4807">
            <w:pPr>
              <w:jc w:val="center"/>
            </w:pPr>
            <w:r>
              <w:rPr>
                <w:color w:val="000000"/>
                <w:sz w:val="24"/>
                <w:szCs w:val="24"/>
              </w:rPr>
              <w:t>600600</w:t>
            </w:r>
          </w:p>
        </w:tc>
        <w:tc>
          <w:tcPr>
            <w:tcW w:w="1777" w:type="dxa"/>
            <w:vAlign w:val="center"/>
          </w:tcPr>
          <w:p w:rsidR="008F6FDE" w:rsidRDefault="00AF4807">
            <w:pPr>
              <w:jc w:val="center"/>
            </w:pPr>
            <w:r>
              <w:rPr>
                <w:color w:val="000000"/>
                <w:sz w:val="24"/>
                <w:szCs w:val="24"/>
              </w:rPr>
              <w:t>青岛啤酒</w:t>
            </w:r>
          </w:p>
        </w:tc>
        <w:tc>
          <w:tcPr>
            <w:tcW w:w="1334" w:type="dxa"/>
            <w:vAlign w:val="center"/>
          </w:tcPr>
          <w:p w:rsidR="008F6FDE" w:rsidRDefault="00AF4807">
            <w:pPr>
              <w:jc w:val="right"/>
            </w:pPr>
            <w:r>
              <w:rPr>
                <w:color w:val="000000"/>
                <w:sz w:val="24"/>
                <w:szCs w:val="24"/>
              </w:rPr>
              <w:t>558,800</w:t>
            </w:r>
          </w:p>
        </w:tc>
        <w:tc>
          <w:tcPr>
            <w:tcW w:w="1924" w:type="dxa"/>
            <w:vAlign w:val="center"/>
          </w:tcPr>
          <w:p w:rsidR="008F6FDE" w:rsidRDefault="00AF4807">
            <w:pPr>
              <w:jc w:val="right"/>
            </w:pPr>
            <w:r>
              <w:rPr>
                <w:color w:val="000000"/>
                <w:sz w:val="24"/>
                <w:szCs w:val="24"/>
              </w:rPr>
              <w:t>28,498,800.00</w:t>
            </w:r>
          </w:p>
        </w:tc>
        <w:tc>
          <w:tcPr>
            <w:tcW w:w="1644" w:type="dxa"/>
            <w:vAlign w:val="center"/>
          </w:tcPr>
          <w:p w:rsidR="008F6FDE" w:rsidRDefault="00AF4807">
            <w:pPr>
              <w:jc w:val="right"/>
            </w:pPr>
            <w:r>
              <w:rPr>
                <w:color w:val="000000"/>
                <w:sz w:val="24"/>
                <w:szCs w:val="24"/>
              </w:rPr>
              <w:t>4.30</w:t>
            </w:r>
          </w:p>
        </w:tc>
      </w:tr>
      <w:tr w:rsidR="008F6FDE">
        <w:trPr>
          <w:jc w:val="center"/>
        </w:trPr>
        <w:tc>
          <w:tcPr>
            <w:tcW w:w="855" w:type="dxa"/>
            <w:vAlign w:val="center"/>
          </w:tcPr>
          <w:p w:rsidR="008F6FDE" w:rsidRDefault="00AF4807">
            <w:pPr>
              <w:jc w:val="center"/>
            </w:pPr>
            <w:r>
              <w:rPr>
                <w:color w:val="000000"/>
                <w:sz w:val="24"/>
                <w:szCs w:val="24"/>
              </w:rPr>
              <w:t>10</w:t>
            </w:r>
          </w:p>
        </w:tc>
        <w:tc>
          <w:tcPr>
            <w:tcW w:w="1334" w:type="dxa"/>
            <w:vAlign w:val="center"/>
          </w:tcPr>
          <w:p w:rsidR="008F6FDE" w:rsidRDefault="00AF4807">
            <w:pPr>
              <w:jc w:val="center"/>
            </w:pPr>
            <w:r>
              <w:rPr>
                <w:color w:val="000000"/>
                <w:sz w:val="24"/>
                <w:szCs w:val="24"/>
              </w:rPr>
              <w:t>600529</w:t>
            </w:r>
          </w:p>
        </w:tc>
        <w:tc>
          <w:tcPr>
            <w:tcW w:w="1777" w:type="dxa"/>
            <w:vAlign w:val="center"/>
          </w:tcPr>
          <w:p w:rsidR="008F6FDE" w:rsidRDefault="00AF4807">
            <w:pPr>
              <w:jc w:val="center"/>
            </w:pPr>
            <w:r>
              <w:rPr>
                <w:color w:val="000000"/>
                <w:sz w:val="24"/>
                <w:szCs w:val="24"/>
              </w:rPr>
              <w:t>山东药</w:t>
            </w:r>
            <w:proofErr w:type="gramStart"/>
            <w:r>
              <w:rPr>
                <w:color w:val="000000"/>
                <w:sz w:val="24"/>
                <w:szCs w:val="24"/>
              </w:rPr>
              <w:t>玻</w:t>
            </w:r>
            <w:proofErr w:type="gramEnd"/>
          </w:p>
        </w:tc>
        <w:tc>
          <w:tcPr>
            <w:tcW w:w="1334" w:type="dxa"/>
            <w:vAlign w:val="center"/>
          </w:tcPr>
          <w:p w:rsidR="008F6FDE" w:rsidRDefault="00AF4807">
            <w:pPr>
              <w:jc w:val="right"/>
            </w:pPr>
            <w:r>
              <w:rPr>
                <w:color w:val="000000"/>
                <w:sz w:val="24"/>
                <w:szCs w:val="24"/>
              </w:rPr>
              <w:t>828,668</w:t>
            </w:r>
          </w:p>
        </w:tc>
        <w:tc>
          <w:tcPr>
            <w:tcW w:w="1924" w:type="dxa"/>
            <w:vAlign w:val="center"/>
          </w:tcPr>
          <w:p w:rsidR="008F6FDE" w:rsidRDefault="00AF4807">
            <w:pPr>
              <w:jc w:val="right"/>
            </w:pPr>
            <w:r>
              <w:rPr>
                <w:color w:val="000000"/>
                <w:sz w:val="24"/>
                <w:szCs w:val="24"/>
              </w:rPr>
              <w:t>22,904,383.52</w:t>
            </w:r>
          </w:p>
        </w:tc>
        <w:tc>
          <w:tcPr>
            <w:tcW w:w="1644" w:type="dxa"/>
            <w:vAlign w:val="center"/>
          </w:tcPr>
          <w:p w:rsidR="008F6FDE" w:rsidRDefault="00AF4807">
            <w:pPr>
              <w:jc w:val="right"/>
            </w:pPr>
            <w:r>
              <w:rPr>
                <w:color w:val="000000"/>
                <w:sz w:val="24"/>
                <w:szCs w:val="24"/>
              </w:rPr>
              <w:t>3.46</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R="00DD7A00" w:rsidRPr="00414345" w:rsidRDefault="004A0AA9" w:rsidP="00DD7A00">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金额单位：人民币元</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502,863.49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5,177,319.09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30,531.33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216,815.81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5,927,529.72</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w:t>
      </w:r>
      <w:proofErr w:type="gramStart"/>
      <w:r w:rsidR="004061AC" w:rsidRPr="006B0D08">
        <w:rPr>
          <w:b/>
          <w:bCs/>
          <w:color w:val="000000"/>
          <w:kern w:val="0"/>
          <w:sz w:val="24"/>
          <w:szCs w:val="24"/>
        </w:rPr>
        <w:t>期末前</w:t>
      </w:r>
      <w:proofErr w:type="gramEnd"/>
      <w:r w:rsidR="004061AC" w:rsidRPr="006B0D08">
        <w:rPr>
          <w:b/>
          <w:bCs/>
          <w:color w:val="000000"/>
          <w:kern w:val="0"/>
          <w:sz w:val="24"/>
          <w:szCs w:val="24"/>
        </w:rPr>
        <w:t>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w:t>
      </w:r>
      <w:proofErr w:type="gramStart"/>
      <w:r w:rsidRPr="00414345">
        <w:rPr>
          <w:color w:val="000000"/>
          <w:sz w:val="24"/>
          <w:szCs w:val="24"/>
        </w:rPr>
        <w:t>期末前</w:t>
      </w:r>
      <w:proofErr w:type="gramEnd"/>
      <w:r w:rsidRPr="00414345">
        <w:rPr>
          <w:color w:val="000000"/>
          <w:sz w:val="24"/>
          <w:szCs w:val="24"/>
        </w:rPr>
        <w:t>十名股票中不存在流通受限情况。</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6</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w:t>
            </w:r>
            <w:proofErr w:type="gramStart"/>
            <w:r w:rsidRPr="00414345">
              <w:rPr>
                <w:color w:val="000000"/>
                <w:kern w:val="0"/>
                <w:sz w:val="24"/>
                <w:szCs w:val="24"/>
              </w:rPr>
              <w:t>初基金</w:t>
            </w:r>
            <w:proofErr w:type="gramEnd"/>
            <w:r w:rsidRPr="00414345">
              <w:rPr>
                <w:color w:val="000000"/>
                <w:kern w:val="0"/>
                <w:sz w:val="24"/>
                <w:szCs w:val="24"/>
              </w:rPr>
              <w:t>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698,947,748.74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15,356,686.87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112,305,869.50</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601,998,566.11</w:t>
            </w:r>
          </w:p>
        </w:tc>
      </w:tr>
    </w:tbl>
    <w:p w:rsidR="008F6FDE" w:rsidRDefault="00AF4807">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w:t>
      </w: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w:t>
      </w:r>
      <w:proofErr w:type="gramStart"/>
      <w:r w:rsidR="00ED2620" w:rsidRPr="00ED2620">
        <w:rPr>
          <w:sz w:val="24"/>
          <w:szCs w:val="24"/>
        </w:rPr>
        <w:t>固有资金</w:t>
      </w:r>
      <w:proofErr w:type="gramEnd"/>
      <w:r w:rsidR="00ED2620" w:rsidRPr="00ED2620">
        <w:rPr>
          <w:sz w:val="24"/>
          <w:szCs w:val="24"/>
        </w:rPr>
        <w:t>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w:t>
      </w:r>
      <w:proofErr w:type="gramStart"/>
      <w:r w:rsidRPr="00ED2620">
        <w:rPr>
          <w:rFonts w:eastAsiaTheme="minorEastAsia"/>
          <w:color w:val="000000"/>
          <w:sz w:val="24"/>
        </w:rPr>
        <w:t>固有资金</w:t>
      </w:r>
      <w:proofErr w:type="gramEnd"/>
      <w:r w:rsidRPr="00ED2620">
        <w:rPr>
          <w:rFonts w:eastAsiaTheme="minorEastAsia"/>
          <w:color w:val="000000"/>
          <w:sz w:val="24"/>
        </w:rPr>
        <w:t>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w:t>
      </w:r>
      <w:proofErr w:type="gramStart"/>
      <w:r w:rsidRPr="00410630">
        <w:rPr>
          <w:rFonts w:hint="eastAsia"/>
          <w:b/>
          <w:sz w:val="24"/>
        </w:rPr>
        <w:t>固有资金</w:t>
      </w:r>
      <w:proofErr w:type="gramEnd"/>
      <w:r w:rsidRPr="00410630">
        <w:rPr>
          <w:rFonts w:hint="eastAsia"/>
          <w:b/>
          <w:sz w:val="24"/>
        </w:rPr>
        <w:t>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11537B">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§8</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bCs/>
          <w:color w:val="000000"/>
          <w:kern w:val="0"/>
          <w:sz w:val="24"/>
          <w:szCs w:val="24"/>
        </w:rPr>
        <w:t>8.</w:t>
      </w:r>
      <w:r w:rsidRPr="009A5C99">
        <w:rPr>
          <w:rFonts w:ascii="宋体" w:hAnsi="宋体" w:hint="eastAsia"/>
          <w:b/>
          <w:bCs/>
          <w:color w:val="000000"/>
          <w:kern w:val="0"/>
          <w:sz w:val="24"/>
          <w:szCs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C50AD" w:rsidRPr="004F4D27" w:rsidTr="00AF4807">
        <w:tc>
          <w:tcPr>
            <w:tcW w:w="993" w:type="dxa"/>
            <w:vMerge w:val="restart"/>
            <w:vAlign w:val="center"/>
          </w:tcPr>
          <w:p w:rsidR="003C50AD" w:rsidRPr="004F4D27" w:rsidRDefault="003C50AD" w:rsidP="00AF480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xml:space="preserve">  </w:t>
            </w:r>
          </w:p>
        </w:tc>
        <w:tc>
          <w:tcPr>
            <w:tcW w:w="5670" w:type="dxa"/>
            <w:gridSpan w:val="5"/>
            <w:vAlign w:val="center"/>
          </w:tcPr>
          <w:p w:rsidR="003C50AD" w:rsidRPr="004F4D27" w:rsidRDefault="003C50AD" w:rsidP="00AF480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报告期内持有基金份额变化情况</w:t>
            </w:r>
          </w:p>
        </w:tc>
        <w:tc>
          <w:tcPr>
            <w:tcW w:w="2549" w:type="dxa"/>
            <w:gridSpan w:val="2"/>
            <w:vAlign w:val="center"/>
          </w:tcPr>
          <w:p w:rsidR="003C50AD" w:rsidRPr="004F4D27" w:rsidRDefault="003C50AD" w:rsidP="00AF480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AF4807">
        <w:tc>
          <w:tcPr>
            <w:tcW w:w="993" w:type="dxa"/>
            <w:vMerge/>
            <w:vAlign w:val="center"/>
          </w:tcPr>
          <w:p w:rsidR="003C50AD" w:rsidRPr="004F4D27" w:rsidRDefault="003C50AD" w:rsidP="00AF4807">
            <w:pPr>
              <w:autoSpaceDE w:val="0"/>
              <w:autoSpaceDN w:val="0"/>
              <w:adjustRightInd w:val="0"/>
              <w:jc w:val="center"/>
              <w:rPr>
                <w:rFonts w:ascii="宋体" w:hAnsi="宋体"/>
                <w:b/>
                <w:bCs/>
                <w:color w:val="000000"/>
                <w:kern w:val="0"/>
              </w:rPr>
            </w:pPr>
          </w:p>
        </w:tc>
        <w:tc>
          <w:tcPr>
            <w:tcW w:w="992" w:type="dxa"/>
            <w:vAlign w:val="center"/>
          </w:tcPr>
          <w:p w:rsidR="003C50AD" w:rsidRPr="004F4D27" w:rsidRDefault="003C50AD" w:rsidP="00AF4807">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w="1843" w:type="dxa"/>
            <w:vAlign w:val="center"/>
          </w:tcPr>
          <w:p w:rsidR="003C50AD" w:rsidRPr="004F4D27" w:rsidRDefault="003C50AD" w:rsidP="00AF480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w="851" w:type="dxa"/>
            <w:vAlign w:val="center"/>
          </w:tcPr>
          <w:p w:rsidR="003C50AD" w:rsidRPr="004F4D27" w:rsidRDefault="003C50AD" w:rsidP="00AF4807">
            <w:pPr>
              <w:widowControl/>
              <w:jc w:val="center"/>
              <w:rPr>
                <w:rFonts w:ascii="宋体" w:hAnsi="宋体"/>
                <w:b/>
                <w:bCs/>
                <w:color w:val="000000"/>
                <w:kern w:val="0"/>
              </w:rPr>
            </w:pPr>
            <w:r w:rsidRPr="004F4D27">
              <w:rPr>
                <w:rFonts w:ascii="宋体" w:hAnsi="宋体" w:hint="eastAsia"/>
                <w:color w:val="000000"/>
                <w:kern w:val="0"/>
              </w:rPr>
              <w:t>期初份额</w:t>
            </w:r>
          </w:p>
        </w:tc>
        <w:tc>
          <w:tcPr>
            <w:tcW w:w="850" w:type="dxa"/>
            <w:vAlign w:val="center"/>
          </w:tcPr>
          <w:p w:rsidR="003C50AD" w:rsidRPr="004F4D27" w:rsidRDefault="003C50AD" w:rsidP="00AF4807">
            <w:pPr>
              <w:widowControl/>
              <w:jc w:val="center"/>
              <w:rPr>
                <w:rFonts w:ascii="宋体" w:hAnsi="宋体"/>
                <w:b/>
                <w:bCs/>
                <w:color w:val="000000"/>
                <w:kern w:val="0"/>
              </w:rPr>
            </w:pPr>
            <w:r w:rsidRPr="004F4D27">
              <w:rPr>
                <w:rFonts w:ascii="宋体" w:hAnsi="宋体" w:hint="eastAsia"/>
                <w:color w:val="000000"/>
                <w:kern w:val="0"/>
              </w:rPr>
              <w:t>申购份额</w:t>
            </w:r>
          </w:p>
        </w:tc>
        <w:tc>
          <w:tcPr>
            <w:tcW w:w="1134" w:type="dxa"/>
            <w:vAlign w:val="center"/>
          </w:tcPr>
          <w:p w:rsidR="003C50AD" w:rsidRPr="004F4D27" w:rsidRDefault="003C50AD" w:rsidP="00AF4807">
            <w:pPr>
              <w:widowControl/>
              <w:jc w:val="center"/>
              <w:rPr>
                <w:rFonts w:ascii="宋体" w:hAnsi="宋体"/>
                <w:b/>
                <w:bCs/>
                <w:color w:val="000000"/>
                <w:kern w:val="0"/>
              </w:rPr>
            </w:pPr>
            <w:r w:rsidRPr="004F4D27">
              <w:rPr>
                <w:rFonts w:ascii="宋体" w:hAnsi="宋体" w:hint="eastAsia"/>
                <w:color w:val="000000"/>
                <w:kern w:val="0"/>
              </w:rPr>
              <w:t>赎回份额</w:t>
            </w:r>
          </w:p>
        </w:tc>
        <w:tc>
          <w:tcPr>
            <w:tcW w:w="1419" w:type="dxa"/>
            <w:vAlign w:val="center"/>
          </w:tcPr>
          <w:p w:rsidR="003C50AD" w:rsidRPr="004F4D27" w:rsidRDefault="003C50AD" w:rsidP="00AF480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w="1130" w:type="dxa"/>
            <w:vAlign w:val="center"/>
          </w:tcPr>
          <w:p w:rsidR="003C50AD" w:rsidRPr="004F4D27" w:rsidRDefault="003C50AD" w:rsidP="00AF4807">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rsidR="008F6FDE">
        <w:tc>
          <w:tcPr>
            <w:tcW w:w="993" w:type="dxa"/>
            <w:vMerge w:val="restart"/>
          </w:tcPr>
          <w:p w:rsidR="008F6FDE" w:rsidRDefault="008F6FDE"/>
          <w:p w:rsidR="008F6FDE" w:rsidRDefault="00AF4807">
            <w:r>
              <w:rPr>
                <w:rFonts w:ascii="宋体" w:hAnsi="宋体" w:hint="eastAsia"/>
                <w:bCs/>
                <w:color w:val="000000"/>
                <w:kern w:val="0"/>
              </w:rPr>
              <w:t>机构</w:t>
            </w:r>
          </w:p>
        </w:tc>
        <w:tc>
          <w:tcPr>
            <w:tcW w:w="992" w:type="dxa"/>
            <w:vAlign w:val="center"/>
          </w:tcPr>
          <w:p w:rsidR="008F6FDE" w:rsidRDefault="00AF4807">
            <w:pPr>
              <w:jc w:val="center"/>
            </w:pPr>
            <w:r>
              <w:rPr>
                <w:rFonts w:ascii="宋体" w:hAnsi="宋体"/>
                <w:color w:val="000000"/>
                <w:kern w:val="0"/>
              </w:rPr>
              <w:t>1</w:t>
            </w:r>
          </w:p>
        </w:tc>
        <w:tc>
          <w:tcPr>
            <w:tcW w:w="1843" w:type="dxa"/>
            <w:vAlign w:val="center"/>
          </w:tcPr>
          <w:p w:rsidR="008F6FDE" w:rsidRDefault="00AF4807">
            <w:pPr>
              <w:jc w:val="center"/>
            </w:pPr>
            <w:r>
              <w:rPr>
                <w:rFonts w:ascii="宋体" w:hAnsi="宋体"/>
                <w:color w:val="000000"/>
                <w:kern w:val="0"/>
              </w:rPr>
              <w:t>2019/10/1-2019/12/31</w:t>
            </w:r>
          </w:p>
        </w:tc>
        <w:tc>
          <w:tcPr>
            <w:tcW w:w="851" w:type="dxa"/>
            <w:vAlign w:val="center"/>
          </w:tcPr>
          <w:p w:rsidR="008F6FDE" w:rsidRDefault="00AF4807">
            <w:pPr>
              <w:jc w:val="center"/>
            </w:pPr>
            <w:r>
              <w:rPr>
                <w:rFonts w:ascii="宋体" w:hAnsi="宋体"/>
                <w:color w:val="000000"/>
                <w:kern w:val="0"/>
              </w:rPr>
              <w:t>165,683,849.95</w:t>
            </w:r>
          </w:p>
        </w:tc>
        <w:tc>
          <w:tcPr>
            <w:tcW w:w="850" w:type="dxa"/>
            <w:vAlign w:val="center"/>
          </w:tcPr>
          <w:p w:rsidR="008F6FDE" w:rsidRDefault="00AF4807">
            <w:pPr>
              <w:jc w:val="center"/>
            </w:pPr>
            <w:r>
              <w:rPr>
                <w:rFonts w:ascii="宋体" w:hAnsi="宋体"/>
                <w:color w:val="000000"/>
                <w:kern w:val="0"/>
              </w:rPr>
              <w:t>-</w:t>
            </w:r>
          </w:p>
        </w:tc>
        <w:tc>
          <w:tcPr>
            <w:tcW w:w="1134" w:type="dxa"/>
            <w:vAlign w:val="center"/>
          </w:tcPr>
          <w:p w:rsidR="008F6FDE" w:rsidRDefault="00AF4807">
            <w:pPr>
              <w:jc w:val="center"/>
            </w:pPr>
            <w:r>
              <w:rPr>
                <w:rFonts w:ascii="宋体" w:hAnsi="宋体"/>
                <w:color w:val="000000"/>
                <w:kern w:val="0"/>
              </w:rPr>
              <w:t>70,000,000.00</w:t>
            </w:r>
          </w:p>
        </w:tc>
        <w:tc>
          <w:tcPr>
            <w:tcW w:w="1419" w:type="dxa"/>
            <w:vAlign w:val="center"/>
          </w:tcPr>
          <w:p w:rsidR="008F6FDE" w:rsidRDefault="00AF4807">
            <w:pPr>
              <w:jc w:val="center"/>
            </w:pPr>
            <w:r>
              <w:rPr>
                <w:rFonts w:ascii="宋体" w:hAnsi="宋体"/>
                <w:color w:val="000000"/>
                <w:kern w:val="0"/>
              </w:rPr>
              <w:t>95,683,849.95</w:t>
            </w:r>
          </w:p>
        </w:tc>
        <w:tc>
          <w:tcPr>
            <w:tcW w:w="1130" w:type="dxa"/>
            <w:vAlign w:val="center"/>
          </w:tcPr>
          <w:p w:rsidR="008F6FDE" w:rsidRDefault="00AF4807">
            <w:pPr>
              <w:jc w:val="center"/>
            </w:pPr>
            <w:r>
              <w:rPr>
                <w:rFonts w:ascii="宋体" w:hAnsi="宋体"/>
                <w:color w:val="000000"/>
                <w:kern w:val="0"/>
              </w:rPr>
              <w:t>15.89%</w:t>
            </w:r>
          </w:p>
        </w:tc>
      </w:tr>
      <w:tr w:rsidR="008F6FDE">
        <w:tc>
          <w:tcPr>
            <w:tcW w:w="993" w:type="dxa"/>
            <w:vMerge/>
          </w:tcPr>
          <w:p w:rsidR="008F6FDE" w:rsidRDefault="008F6FDE"/>
        </w:tc>
        <w:tc>
          <w:tcPr>
            <w:tcW w:w="992" w:type="dxa"/>
            <w:vAlign w:val="center"/>
          </w:tcPr>
          <w:p w:rsidR="008F6FDE" w:rsidRDefault="00AF4807">
            <w:pPr>
              <w:jc w:val="center"/>
            </w:pPr>
            <w:r>
              <w:rPr>
                <w:rFonts w:ascii="宋体" w:hAnsi="宋体"/>
                <w:color w:val="000000"/>
                <w:kern w:val="0"/>
              </w:rPr>
              <w:t>2</w:t>
            </w:r>
          </w:p>
        </w:tc>
        <w:tc>
          <w:tcPr>
            <w:tcW w:w="1843" w:type="dxa"/>
            <w:vAlign w:val="center"/>
          </w:tcPr>
          <w:p w:rsidR="008F6FDE" w:rsidRDefault="00AF4807">
            <w:pPr>
              <w:jc w:val="center"/>
            </w:pPr>
            <w:r>
              <w:rPr>
                <w:rFonts w:ascii="宋体" w:hAnsi="宋体"/>
                <w:color w:val="000000"/>
                <w:kern w:val="0"/>
              </w:rPr>
              <w:t>2019/10/1-2019/12/31</w:t>
            </w:r>
          </w:p>
        </w:tc>
        <w:tc>
          <w:tcPr>
            <w:tcW w:w="851" w:type="dxa"/>
            <w:vAlign w:val="center"/>
          </w:tcPr>
          <w:p w:rsidR="008F6FDE" w:rsidRDefault="00AF4807">
            <w:pPr>
              <w:jc w:val="center"/>
            </w:pPr>
            <w:r>
              <w:rPr>
                <w:rFonts w:ascii="宋体" w:hAnsi="宋体"/>
                <w:color w:val="000000"/>
                <w:kern w:val="0"/>
              </w:rPr>
              <w:t>183,557,147.72</w:t>
            </w:r>
          </w:p>
        </w:tc>
        <w:tc>
          <w:tcPr>
            <w:tcW w:w="850" w:type="dxa"/>
            <w:vAlign w:val="center"/>
          </w:tcPr>
          <w:p w:rsidR="008F6FDE" w:rsidRDefault="00AF4807">
            <w:pPr>
              <w:jc w:val="center"/>
            </w:pPr>
            <w:r>
              <w:rPr>
                <w:rFonts w:ascii="宋体" w:hAnsi="宋体"/>
                <w:color w:val="000000"/>
                <w:kern w:val="0"/>
              </w:rPr>
              <w:t>-</w:t>
            </w:r>
          </w:p>
        </w:tc>
        <w:tc>
          <w:tcPr>
            <w:tcW w:w="1134" w:type="dxa"/>
            <w:vAlign w:val="center"/>
          </w:tcPr>
          <w:p w:rsidR="008F6FDE" w:rsidRDefault="00AF4807">
            <w:pPr>
              <w:jc w:val="center"/>
            </w:pPr>
            <w:r>
              <w:rPr>
                <w:rFonts w:ascii="宋体" w:hAnsi="宋体"/>
                <w:color w:val="000000"/>
                <w:kern w:val="0"/>
              </w:rPr>
              <w:t>-</w:t>
            </w:r>
          </w:p>
        </w:tc>
        <w:tc>
          <w:tcPr>
            <w:tcW w:w="1419" w:type="dxa"/>
            <w:vAlign w:val="center"/>
          </w:tcPr>
          <w:p w:rsidR="008F6FDE" w:rsidRDefault="00AF4807">
            <w:pPr>
              <w:jc w:val="center"/>
            </w:pPr>
            <w:r>
              <w:rPr>
                <w:rFonts w:ascii="宋体" w:hAnsi="宋体"/>
                <w:color w:val="000000"/>
                <w:kern w:val="0"/>
              </w:rPr>
              <w:t>183,557,147.72</w:t>
            </w:r>
          </w:p>
        </w:tc>
        <w:tc>
          <w:tcPr>
            <w:tcW w:w="1130" w:type="dxa"/>
            <w:vAlign w:val="center"/>
          </w:tcPr>
          <w:p w:rsidR="008F6FDE" w:rsidRDefault="00AF4807">
            <w:pPr>
              <w:jc w:val="center"/>
            </w:pPr>
            <w:r>
              <w:rPr>
                <w:rFonts w:ascii="宋体" w:hAnsi="宋体"/>
                <w:color w:val="000000"/>
                <w:kern w:val="0"/>
              </w:rPr>
              <w:t>30.49%</w:t>
            </w:r>
          </w:p>
        </w:tc>
      </w:tr>
      <w:tr w:rsidR="003C50AD" w:rsidRPr="004F4D27" w:rsidTr="00AF4807">
        <w:tc>
          <w:tcPr>
            <w:tcW w:w="9212" w:type="dxa"/>
            <w:gridSpan w:val="8"/>
            <w:vAlign w:val="center"/>
          </w:tcPr>
          <w:p w:rsidR="003C50AD" w:rsidRPr="004F4D27" w:rsidRDefault="003C50AD" w:rsidP="00AF4807">
            <w:pPr>
              <w:autoSpaceDE w:val="0"/>
              <w:autoSpaceDN w:val="0"/>
              <w:adjustRightInd w:val="0"/>
              <w:jc w:val="center"/>
              <w:rPr>
                <w:rFonts w:ascii="宋体" w:hAnsi="宋体"/>
                <w:kern w:val="0"/>
              </w:rPr>
            </w:pPr>
            <w:r w:rsidRPr="004F4D27">
              <w:rPr>
                <w:rFonts w:ascii="宋体" w:hAnsi="宋体"/>
                <w:color w:val="000000"/>
                <w:kern w:val="0"/>
              </w:rPr>
              <w:t>产品特有风险</w:t>
            </w:r>
          </w:p>
        </w:tc>
      </w:tr>
      <w:tr w:rsidR="003C50AD" w:rsidRPr="004F4D27" w:rsidTr="00AF4807">
        <w:tc>
          <w:tcPr>
            <w:tcW w:w="9212" w:type="dxa"/>
            <w:gridSpan w:val="8"/>
            <w:vAlign w:val="center"/>
          </w:tcPr>
          <w:p w:rsidR="003C50AD" w:rsidRPr="004F4D27" w:rsidRDefault="003C50AD" w:rsidP="00AF4807">
            <w:pPr>
              <w:autoSpaceDE w:val="0"/>
              <w:autoSpaceDN w:val="0"/>
              <w:adjustRightInd w:val="0"/>
              <w:jc w:val="left"/>
              <w:rPr>
                <w:rFonts w:ascii="宋体" w:hAnsi="宋体"/>
                <w:kern w:val="0"/>
              </w:rPr>
            </w:pPr>
            <w:r w:rsidRPr="004F4D27">
              <w:rPr>
                <w:rFonts w:ascii="宋体" w:hAnsi="宋体" w:hint="eastAsia"/>
                <w:kern w:val="0"/>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hint="eastAsia"/>
          <w:b/>
          <w:bCs/>
          <w:color w:val="000000"/>
          <w:kern w:val="0"/>
          <w:sz w:val="24"/>
          <w:szCs w:val="24"/>
        </w:rPr>
        <w:t>8.2 影响投资者决策的其他重要信息</w:t>
      </w:r>
    </w:p>
    <w:p w:rsidR="003C50AD" w:rsidRPr="004F4D27" w:rsidRDefault="003C50AD" w:rsidP="003C50AD">
      <w:pPr>
        <w:spacing w:line="360" w:lineRule="auto"/>
        <w:ind w:firstLineChars="200" w:firstLine="420"/>
        <w:rPr>
          <w:rFonts w:ascii="宋体" w:hAnsi="宋体"/>
          <w:color w:val="000000"/>
        </w:rPr>
      </w:pPr>
      <w:r w:rsidRPr="004F4D27">
        <w:rPr>
          <w:rFonts w:ascii="宋体" w:hAnsi="宋体"/>
          <w:color w:val="000000"/>
        </w:rPr>
        <w:t>根据《公开募集证券投资基金信息披露管理办法》的有关规定及相关监管要求，经与基金托管人协商一致并报监管机构备案，基金管理人对本</w:t>
      </w:r>
      <w:proofErr w:type="gramStart"/>
      <w:r w:rsidRPr="004F4D27">
        <w:rPr>
          <w:rFonts w:ascii="宋体" w:hAnsi="宋体"/>
          <w:color w:val="000000"/>
        </w:rPr>
        <w:t>基金基金</w:t>
      </w:r>
      <w:proofErr w:type="gramEnd"/>
      <w:r w:rsidRPr="004F4D27">
        <w:rPr>
          <w:rFonts w:ascii="宋体" w:hAnsi="宋体"/>
          <w:color w:val="000000"/>
        </w:rPr>
        <w:t>合同等法律文件中信息披露相关规定作相应修改，欲知详情请查阅本基金管理人发布的最新法律文件。</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8F6FDE" w:rsidRDefault="00AF4807">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w:t>
      </w:r>
      <w:proofErr w:type="gramStart"/>
      <w:r>
        <w:rPr>
          <w:color w:val="000000"/>
          <w:sz w:val="24"/>
          <w:szCs w:val="24"/>
        </w:rPr>
        <w:t>施罗德荣安保本</w:t>
      </w:r>
      <w:proofErr w:type="gramEnd"/>
      <w:r>
        <w:rPr>
          <w:color w:val="000000"/>
          <w:sz w:val="24"/>
          <w:szCs w:val="24"/>
        </w:rPr>
        <w:t>混合型证券投资基金募集的文件；</w:t>
      </w:r>
    </w:p>
    <w:p w:rsidR="008F6FDE" w:rsidRDefault="00AF4807">
      <w:pPr>
        <w:spacing w:before="29" w:line="288" w:lineRule="auto"/>
        <w:ind w:firstLineChars="200" w:firstLine="480"/>
        <w:rPr>
          <w:color w:val="000000"/>
          <w:sz w:val="24"/>
          <w:szCs w:val="24"/>
        </w:rPr>
      </w:pPr>
      <w:r>
        <w:rPr>
          <w:color w:val="000000"/>
          <w:sz w:val="24"/>
          <w:szCs w:val="24"/>
        </w:rPr>
        <w:t>2</w:t>
      </w:r>
      <w:r>
        <w:rPr>
          <w:color w:val="000000"/>
          <w:sz w:val="24"/>
          <w:szCs w:val="24"/>
        </w:rPr>
        <w:t>、《交银施罗德策略回报灵活配置混合型证券投资基金基金合同》；</w:t>
      </w:r>
    </w:p>
    <w:p w:rsidR="008F6FDE" w:rsidRDefault="00AF4807">
      <w:pPr>
        <w:spacing w:before="29" w:line="288" w:lineRule="auto"/>
        <w:ind w:firstLineChars="200" w:firstLine="480"/>
        <w:rPr>
          <w:color w:val="000000"/>
          <w:sz w:val="24"/>
          <w:szCs w:val="24"/>
        </w:rPr>
      </w:pPr>
      <w:r>
        <w:rPr>
          <w:color w:val="000000"/>
          <w:sz w:val="24"/>
          <w:szCs w:val="24"/>
        </w:rPr>
        <w:t>3</w:t>
      </w:r>
      <w:r>
        <w:rPr>
          <w:color w:val="000000"/>
          <w:sz w:val="24"/>
          <w:szCs w:val="24"/>
        </w:rPr>
        <w:t>、《交银施罗德策略回报灵活配置混合型证券投资基金招募说明书》；</w:t>
      </w:r>
    </w:p>
    <w:p w:rsidR="008F6FDE" w:rsidRDefault="00AF4807">
      <w:pPr>
        <w:spacing w:before="29" w:line="288" w:lineRule="auto"/>
        <w:ind w:firstLineChars="200" w:firstLine="480"/>
        <w:rPr>
          <w:color w:val="000000"/>
          <w:sz w:val="24"/>
          <w:szCs w:val="24"/>
        </w:rPr>
      </w:pPr>
      <w:r>
        <w:rPr>
          <w:color w:val="000000"/>
          <w:sz w:val="24"/>
          <w:szCs w:val="24"/>
        </w:rPr>
        <w:t>4</w:t>
      </w:r>
      <w:r>
        <w:rPr>
          <w:color w:val="000000"/>
          <w:sz w:val="24"/>
          <w:szCs w:val="24"/>
        </w:rPr>
        <w:t>、《交银施罗德策略回报灵活配置混合型证券投资基金托管协议》；</w:t>
      </w:r>
    </w:p>
    <w:p w:rsidR="008F6FDE" w:rsidRDefault="00AF4807">
      <w:pPr>
        <w:spacing w:before="29" w:line="288" w:lineRule="auto"/>
        <w:ind w:firstLineChars="200" w:firstLine="480"/>
        <w:rPr>
          <w:color w:val="000000"/>
          <w:sz w:val="24"/>
          <w:szCs w:val="24"/>
        </w:rPr>
      </w:pPr>
      <w:r>
        <w:rPr>
          <w:color w:val="000000"/>
          <w:sz w:val="24"/>
          <w:szCs w:val="24"/>
        </w:rPr>
        <w:t>5</w:t>
      </w:r>
      <w:r>
        <w:rPr>
          <w:color w:val="000000"/>
          <w:sz w:val="24"/>
          <w:szCs w:val="24"/>
        </w:rPr>
        <w:t>、《交银施罗德荣安保本混合型证券投资基金基金合同》；</w:t>
      </w:r>
    </w:p>
    <w:p w:rsidR="008F6FDE" w:rsidRDefault="00AF4807">
      <w:pPr>
        <w:spacing w:before="29" w:line="288" w:lineRule="auto"/>
        <w:ind w:firstLineChars="200" w:firstLine="480"/>
        <w:rPr>
          <w:color w:val="000000"/>
          <w:sz w:val="24"/>
          <w:szCs w:val="24"/>
        </w:rPr>
      </w:pPr>
      <w:r>
        <w:rPr>
          <w:color w:val="000000"/>
          <w:sz w:val="24"/>
          <w:szCs w:val="24"/>
        </w:rPr>
        <w:t>6</w:t>
      </w:r>
      <w:r>
        <w:rPr>
          <w:color w:val="000000"/>
          <w:sz w:val="24"/>
          <w:szCs w:val="24"/>
        </w:rPr>
        <w:t>、《交银施罗德荣安保本混合型证券投资基金招募说明书》；</w:t>
      </w:r>
    </w:p>
    <w:p w:rsidR="008F6FDE" w:rsidRDefault="00AF4807">
      <w:pPr>
        <w:spacing w:before="29" w:line="288" w:lineRule="auto"/>
        <w:ind w:firstLineChars="200" w:firstLine="480"/>
        <w:rPr>
          <w:color w:val="000000"/>
          <w:sz w:val="24"/>
          <w:szCs w:val="24"/>
        </w:rPr>
      </w:pPr>
      <w:r>
        <w:rPr>
          <w:color w:val="000000"/>
          <w:sz w:val="24"/>
          <w:szCs w:val="24"/>
        </w:rPr>
        <w:lastRenderedPageBreak/>
        <w:t>7</w:t>
      </w:r>
      <w:r>
        <w:rPr>
          <w:color w:val="000000"/>
          <w:sz w:val="24"/>
          <w:szCs w:val="24"/>
        </w:rPr>
        <w:t>、《交银施罗德荣安保本混合型证券投资基金托管协议》；</w:t>
      </w:r>
    </w:p>
    <w:p w:rsidR="008F6FDE" w:rsidRDefault="00AF4807">
      <w:pPr>
        <w:spacing w:before="29" w:line="288" w:lineRule="auto"/>
        <w:ind w:firstLineChars="200" w:firstLine="480"/>
        <w:rPr>
          <w:color w:val="000000"/>
          <w:sz w:val="24"/>
          <w:szCs w:val="24"/>
        </w:rPr>
      </w:pPr>
      <w:r>
        <w:rPr>
          <w:color w:val="000000"/>
          <w:sz w:val="24"/>
          <w:szCs w:val="24"/>
        </w:rPr>
        <w:t>8</w:t>
      </w:r>
      <w:r>
        <w:rPr>
          <w:color w:val="000000"/>
          <w:sz w:val="24"/>
          <w:szCs w:val="24"/>
        </w:rPr>
        <w:t>、《交银施罗德荣安保本混合型证券投资基金保证合同》；</w:t>
      </w:r>
      <w:r>
        <w:rPr>
          <w:color w:val="000000"/>
          <w:sz w:val="24"/>
          <w:szCs w:val="24"/>
        </w:rPr>
        <w:t xml:space="preserve"> </w:t>
      </w:r>
    </w:p>
    <w:p w:rsidR="008F6FDE" w:rsidRDefault="00AF4807">
      <w:pPr>
        <w:spacing w:before="29" w:line="288" w:lineRule="auto"/>
        <w:ind w:firstLineChars="200" w:firstLine="480"/>
        <w:rPr>
          <w:color w:val="000000"/>
          <w:sz w:val="24"/>
          <w:szCs w:val="24"/>
        </w:rPr>
      </w:pPr>
      <w:r>
        <w:rPr>
          <w:color w:val="000000"/>
          <w:sz w:val="24"/>
          <w:szCs w:val="24"/>
        </w:rPr>
        <w:t>9</w:t>
      </w:r>
      <w:r>
        <w:rPr>
          <w:color w:val="000000"/>
          <w:sz w:val="24"/>
          <w:szCs w:val="24"/>
        </w:rPr>
        <w:t>、基金管理人业务资格批件、营业执照；</w:t>
      </w:r>
    </w:p>
    <w:p w:rsidR="008F6FDE" w:rsidRDefault="00AF4807">
      <w:pPr>
        <w:spacing w:before="29" w:line="288" w:lineRule="auto"/>
        <w:ind w:firstLineChars="200" w:firstLine="480"/>
        <w:rPr>
          <w:color w:val="000000"/>
          <w:sz w:val="24"/>
          <w:szCs w:val="24"/>
        </w:rPr>
      </w:pPr>
      <w:r>
        <w:rPr>
          <w:color w:val="000000"/>
          <w:sz w:val="24"/>
          <w:szCs w:val="24"/>
        </w:rPr>
        <w:t>10</w:t>
      </w:r>
      <w:r>
        <w:rPr>
          <w:color w:val="000000"/>
          <w:sz w:val="24"/>
          <w:szCs w:val="24"/>
        </w:rPr>
        <w:t>、基金托管人业务资格批件、营业执照；</w:t>
      </w:r>
    </w:p>
    <w:p w:rsidR="008F6FDE" w:rsidRDefault="00AF4807">
      <w:pPr>
        <w:spacing w:before="29" w:line="288" w:lineRule="auto"/>
        <w:ind w:firstLineChars="200" w:firstLine="480"/>
        <w:rPr>
          <w:color w:val="000000"/>
          <w:sz w:val="24"/>
          <w:szCs w:val="24"/>
        </w:rPr>
      </w:pPr>
      <w:r>
        <w:rPr>
          <w:color w:val="000000"/>
          <w:sz w:val="24"/>
          <w:szCs w:val="24"/>
        </w:rPr>
        <w:t>11</w:t>
      </w:r>
      <w:r>
        <w:rPr>
          <w:color w:val="000000"/>
          <w:sz w:val="24"/>
          <w:szCs w:val="24"/>
        </w:rPr>
        <w:t>、关于申请募集交银</w:t>
      </w:r>
      <w:proofErr w:type="gramStart"/>
      <w:r>
        <w:rPr>
          <w:color w:val="000000"/>
          <w:sz w:val="24"/>
          <w:szCs w:val="24"/>
        </w:rPr>
        <w:t>施罗德荣安保本</w:t>
      </w:r>
      <w:proofErr w:type="gramEnd"/>
      <w:r>
        <w:rPr>
          <w:color w:val="000000"/>
          <w:sz w:val="24"/>
          <w:szCs w:val="24"/>
        </w:rPr>
        <w:t>混合型证券投资基金之法律意见书；</w:t>
      </w:r>
    </w:p>
    <w:p w:rsidR="008F6FDE" w:rsidRDefault="00AF4807">
      <w:pPr>
        <w:spacing w:before="29" w:line="288" w:lineRule="auto"/>
        <w:ind w:firstLineChars="200" w:firstLine="480"/>
        <w:rPr>
          <w:color w:val="000000"/>
          <w:sz w:val="24"/>
          <w:szCs w:val="24"/>
        </w:rPr>
      </w:pPr>
      <w:r>
        <w:rPr>
          <w:color w:val="000000"/>
          <w:sz w:val="24"/>
          <w:szCs w:val="24"/>
        </w:rPr>
        <w:t>12</w:t>
      </w:r>
      <w:r>
        <w:rPr>
          <w:color w:val="000000"/>
          <w:sz w:val="24"/>
          <w:szCs w:val="24"/>
        </w:rPr>
        <w:t>、关于修改《交银施罗德荣安保本混合型证券投资基金基金合同》的法律意见；</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13</w:t>
      </w:r>
      <w:r w:rsidRPr="00414345">
        <w:rPr>
          <w:color w:val="000000"/>
          <w:sz w:val="24"/>
          <w:szCs w:val="24"/>
        </w:rPr>
        <w:t>、报告期内交银施罗德策略回报灵活配置混合型证券投资基金在指定报刊上各项公告的原稿。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8F6FDE" w:rsidRDefault="00AF4807">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2B30" w:rsidRDefault="00E12B30" w:rsidP="00876D65">
      <w:r>
        <w:separator/>
      </w:r>
    </w:p>
  </w:endnote>
  <w:endnote w:type="continuationSeparator" w:id="0">
    <w:p w:rsidR="00E12B30" w:rsidRDefault="00E12B30"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807" w:rsidRDefault="00AF480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807" w:rsidRPr="001D0DB0" w:rsidRDefault="00AF4807" w:rsidP="004D340C">
    <w:pPr>
      <w:pStyle w:val="a6"/>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6E2E2C">
      <w:rPr>
        <w:noProof/>
        <w:kern w:val="0"/>
        <w:szCs w:val="21"/>
      </w:rPr>
      <w:t>12</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sidR="006E2E2C">
      <w:rPr>
        <w:noProof/>
        <w:kern w:val="0"/>
        <w:szCs w:val="21"/>
      </w:rPr>
      <w:t>12</w:t>
    </w:r>
    <w:r>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807" w:rsidRDefault="00AF480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2B30" w:rsidRDefault="00E12B30" w:rsidP="00876D65">
      <w:r>
        <w:separator/>
      </w:r>
    </w:p>
  </w:footnote>
  <w:footnote w:type="continuationSeparator" w:id="0">
    <w:p w:rsidR="00E12B30" w:rsidRDefault="00E12B30"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807" w:rsidRDefault="00AF4807">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807" w:rsidRPr="00DC456F" w:rsidRDefault="00AF4807" w:rsidP="00090A26">
    <w:pPr>
      <w:pStyle w:val="a9"/>
      <w:pBdr>
        <w:bottom w:val="single" w:sz="6" w:space="0" w:color="auto"/>
      </w:pBdr>
      <w:jc w:val="right"/>
      <w:rPr>
        <w:sz w:val="24"/>
        <w:szCs w:val="24"/>
      </w:rPr>
    </w:pPr>
    <w:r w:rsidRPr="003E676C">
      <w:rPr>
        <w:sz w:val="24"/>
        <w:szCs w:val="24"/>
      </w:rPr>
      <w:t>交银施罗德策略回报灵活配置混合型证券投资基金</w:t>
    </w:r>
    <w:r w:rsidRPr="003E676C">
      <w:rPr>
        <w:sz w:val="24"/>
        <w:szCs w:val="24"/>
      </w:rPr>
      <w:t>2019</w:t>
    </w:r>
    <w:r w:rsidRPr="003E676C">
      <w:rPr>
        <w:sz w:val="24"/>
        <w:szCs w:val="24"/>
      </w:rPr>
      <w:t>年第</w:t>
    </w:r>
    <w:r w:rsidRPr="003E676C">
      <w:rPr>
        <w:sz w:val="24"/>
        <w:szCs w:val="24"/>
      </w:rPr>
      <w:t>4</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807" w:rsidRDefault="00AF480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2E2C"/>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8F6FDE"/>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4807"/>
    <w:rsid w:val="00AF6FFB"/>
    <w:rsid w:val="00B11A78"/>
    <w:rsid w:val="00B11BE5"/>
    <w:rsid w:val="00B11F31"/>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B30"/>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6ACBE-2800-4BA4-8A81-CD7FE22CF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1841</TotalTime>
  <Pages>12</Pages>
  <Words>1104</Words>
  <Characters>6293</Characters>
  <Application>Microsoft Office Word</Application>
  <DocSecurity>0</DocSecurity>
  <Lines>52</Lines>
  <Paragraphs>14</Paragraphs>
  <ScaleCrop>false</ScaleCrop>
  <Company/>
  <LinksUpToDate>false</LinksUpToDate>
  <CharactersWithSpaces>7383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祝妍</cp:lastModifiedBy>
  <cp:revision>598</cp:revision>
  <dcterms:created xsi:type="dcterms:W3CDTF">2012-10-16T06:07:00Z</dcterms:created>
  <dcterms:modified xsi:type="dcterms:W3CDTF">2020-03-31T05:42:00Z</dcterms:modified>
</cp:coreProperties>
</file>