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C51C77" w:rsidRDefault="001A59F9" w:rsidP="00026C9C">
      <w:pPr>
        <w:autoSpaceDE w:val="0"/>
        <w:autoSpaceDN w:val="0"/>
        <w:adjustRightInd w:val="0"/>
        <w:spacing w:line="360" w:lineRule="auto"/>
        <w:jc w:val="left"/>
        <w:rPr>
          <w:rFonts w:asciiTheme="minorEastAsia" w:eastAsiaTheme="minorEastAsia" w:hAnsiTheme="minorEastAsia"/>
          <w:color w:val="000000"/>
          <w:kern w:val="0"/>
          <w:szCs w:val="21"/>
        </w:rPr>
      </w:pPr>
    </w:p>
    <w:p w:rsidR="001A59F9" w:rsidRPr="00922D37" w:rsidRDefault="001A59F9" w:rsidP="00A66C69">
      <w:pPr>
        <w:spacing w:before="29" w:line="288" w:lineRule="auto"/>
        <w:jc w:val="center"/>
        <w:rPr>
          <w:b/>
          <w:sz w:val="36"/>
          <w:szCs w:val="36"/>
        </w:rPr>
      </w:pPr>
      <w:bookmarkStart w:id="0" w:name="_Toc361324840"/>
      <w:r w:rsidRPr="00922D37">
        <w:rPr>
          <w:b/>
          <w:sz w:val="36"/>
          <w:szCs w:val="36"/>
        </w:rPr>
        <w:t>交银施罗德策略回报灵活配置混合型证券投资基金</w:t>
      </w:r>
      <w:bookmarkEnd w:id="0"/>
    </w:p>
    <w:p w:rsidR="001A59F9" w:rsidRPr="00922D37" w:rsidRDefault="001A59F9" w:rsidP="00A66C69">
      <w:pPr>
        <w:spacing w:before="29" w:line="288" w:lineRule="auto"/>
        <w:jc w:val="center"/>
        <w:rPr>
          <w:b/>
          <w:sz w:val="36"/>
          <w:szCs w:val="36"/>
        </w:rPr>
      </w:pPr>
      <w:bookmarkStart w:id="1" w:name="_Toc361324841"/>
      <w:r w:rsidRPr="00922D37">
        <w:rPr>
          <w:b/>
          <w:sz w:val="36"/>
          <w:szCs w:val="36"/>
        </w:rPr>
        <w:t>2018</w:t>
      </w:r>
      <w:r w:rsidRPr="00922D37">
        <w:rPr>
          <w:b/>
          <w:sz w:val="36"/>
          <w:szCs w:val="36"/>
        </w:rPr>
        <w:t>年年度报告</w:t>
      </w:r>
      <w:bookmarkEnd w:id="1"/>
      <w:r w:rsidR="005961DD" w:rsidRPr="00922D37">
        <w:rPr>
          <w:rFonts w:hint="eastAsia"/>
          <w:b/>
          <w:sz w:val="36"/>
          <w:szCs w:val="36"/>
        </w:rPr>
        <w:t>摘要</w:t>
      </w:r>
    </w:p>
    <w:p w:rsidR="001A59F9" w:rsidRPr="00922D37" w:rsidRDefault="00F64FAD" w:rsidP="00A66C69">
      <w:pPr>
        <w:spacing w:before="29" w:line="288" w:lineRule="auto"/>
        <w:jc w:val="center"/>
        <w:rPr>
          <w:b/>
          <w:sz w:val="36"/>
          <w:szCs w:val="36"/>
        </w:rPr>
      </w:pPr>
      <w:r w:rsidRPr="00922D37">
        <w:rPr>
          <w:b/>
          <w:sz w:val="36"/>
          <w:szCs w:val="36"/>
        </w:rPr>
        <w:t>2018</w:t>
      </w:r>
      <w:r w:rsidRPr="00922D37">
        <w:rPr>
          <w:b/>
          <w:sz w:val="36"/>
          <w:szCs w:val="36"/>
        </w:rPr>
        <w:t>年</w:t>
      </w:r>
      <w:r w:rsidRPr="00922D37">
        <w:rPr>
          <w:b/>
          <w:sz w:val="36"/>
          <w:szCs w:val="36"/>
        </w:rPr>
        <w:t>12</w:t>
      </w:r>
      <w:r w:rsidRPr="00922D37">
        <w:rPr>
          <w:b/>
          <w:sz w:val="36"/>
          <w:szCs w:val="36"/>
        </w:rPr>
        <w:t>月</w:t>
      </w:r>
      <w:r w:rsidRPr="00922D37">
        <w:rPr>
          <w:b/>
          <w:sz w:val="36"/>
          <w:szCs w:val="36"/>
        </w:rPr>
        <w:t>31</w:t>
      </w:r>
      <w:r w:rsidRPr="00922D37">
        <w:rPr>
          <w:b/>
          <w:sz w:val="36"/>
          <w:szCs w:val="36"/>
        </w:rPr>
        <w:t>日</w:t>
      </w:r>
    </w:p>
    <w:p w:rsidR="001A59F9" w:rsidRPr="00C51C77" w:rsidRDefault="001A59F9" w:rsidP="00922D37">
      <w:pPr>
        <w:spacing w:before="29" w:line="288"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C51C77" w:rsidRDefault="001A59F9" w:rsidP="00026C9C">
      <w:pPr>
        <w:spacing w:line="360" w:lineRule="auto"/>
        <w:jc w:val="center"/>
        <w:rPr>
          <w:rFonts w:asciiTheme="minorEastAsia" w:eastAsiaTheme="minorEastAsia" w:hAnsiTheme="minorEastAsia"/>
          <w:b/>
          <w:color w:val="000000"/>
          <w:szCs w:val="21"/>
        </w:rPr>
      </w:pP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基金管理人：</w:t>
      </w:r>
      <w:r w:rsidRPr="00922D37">
        <w:rPr>
          <w:b/>
          <w:color w:val="000000"/>
          <w:sz w:val="24"/>
        </w:rPr>
        <w:t>交银施罗德基金管理有限公司</w:t>
      </w:r>
    </w:p>
    <w:p w:rsidR="001A59F9" w:rsidRPr="00922D37" w:rsidRDefault="001A59F9" w:rsidP="00922D37">
      <w:pPr>
        <w:spacing w:before="29" w:line="288" w:lineRule="auto"/>
        <w:ind w:firstLineChars="900" w:firstLine="2168"/>
        <w:rPr>
          <w:b/>
          <w:color w:val="000000"/>
          <w:sz w:val="24"/>
        </w:rPr>
      </w:pPr>
      <w:r w:rsidRPr="00922D37">
        <w:rPr>
          <w:rFonts w:hint="eastAsia"/>
          <w:b/>
          <w:color w:val="000000"/>
          <w:sz w:val="24"/>
        </w:rPr>
        <w:t>基金托管人：</w:t>
      </w:r>
      <w:r w:rsidRPr="00922D37">
        <w:rPr>
          <w:b/>
          <w:color w:val="000000"/>
          <w:sz w:val="24"/>
        </w:rPr>
        <w:t>中信银行股份有限公司</w:t>
      </w:r>
    </w:p>
    <w:p w:rsidR="001A59F9" w:rsidRPr="00922D37" w:rsidRDefault="001A59F9" w:rsidP="00922D37">
      <w:pPr>
        <w:spacing w:before="29" w:line="288" w:lineRule="auto"/>
        <w:ind w:firstLineChars="900" w:firstLine="2168"/>
        <w:rPr>
          <w:b/>
          <w:color w:val="000000"/>
          <w:sz w:val="24"/>
        </w:rPr>
        <w:sectPr w:rsidR="001A59F9" w:rsidRPr="00922D37" w:rsidSect="00477774">
          <w:headerReference w:type="even" r:id="rId7"/>
          <w:headerReference w:type="default" r:id="rId8"/>
          <w:footerReference w:type="even" r:id="rId9"/>
          <w:footerReference w:type="default" r:id="rId10"/>
          <w:headerReference w:type="first" r:id="rId11"/>
          <w:footerReference w:type="first" r:id="rId12"/>
          <w:pgSz w:w="11926" w:h="15840"/>
          <w:pgMar w:top="1418" w:right="1418" w:bottom="851" w:left="1418" w:header="851" w:footer="992" w:gutter="0"/>
          <w:cols w:space="720"/>
          <w:titlePg/>
          <w:docGrid w:linePitch="286"/>
        </w:sectPr>
      </w:pPr>
      <w:r w:rsidRPr="00922D37">
        <w:rPr>
          <w:rFonts w:hint="eastAsia"/>
          <w:b/>
          <w:color w:val="000000"/>
          <w:sz w:val="24"/>
        </w:rPr>
        <w:t>报告送出日期：</w:t>
      </w:r>
      <w:r w:rsidRPr="00922D37">
        <w:rPr>
          <w:b/>
          <w:color w:val="000000"/>
          <w:sz w:val="24"/>
        </w:rPr>
        <w:t>二〇一九年三月二十七日</w:t>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 w:name="_Toc225498243"/>
      <w:bookmarkStart w:id="3" w:name="_Toc361324842"/>
      <w:r w:rsidRPr="00FF0E34">
        <w:rPr>
          <w:rFonts w:hint="eastAsia"/>
          <w:b/>
          <w:bCs/>
          <w:szCs w:val="24"/>
          <w:lang w:val="en-US"/>
        </w:rPr>
        <w:lastRenderedPageBreak/>
        <w:t>§</w:t>
      </w:r>
      <w:r w:rsidRPr="00FF0E34">
        <w:rPr>
          <w:b/>
          <w:bCs/>
          <w:szCs w:val="24"/>
          <w:lang w:val="en-US"/>
        </w:rPr>
        <w:t xml:space="preserve">1  </w:t>
      </w:r>
      <w:r w:rsidRPr="00FF0E34">
        <w:rPr>
          <w:rFonts w:hint="eastAsia"/>
          <w:b/>
          <w:bCs/>
          <w:szCs w:val="24"/>
          <w:lang w:val="en-US"/>
        </w:rPr>
        <w:t>重要提示</w:t>
      </w:r>
      <w:bookmarkEnd w:id="2"/>
      <w:bookmarkEnd w:id="3"/>
    </w:p>
    <w:p w:rsidR="002546CC" w:rsidRPr="002546CC" w:rsidRDefault="002546CC" w:rsidP="002546CC"/>
    <w:p w:rsidR="000C58C9" w:rsidRPr="00FF0E34" w:rsidRDefault="001A59F9" w:rsidP="00FF0E34">
      <w:pPr>
        <w:pStyle w:val="20"/>
        <w:spacing w:before="29" w:after="0" w:line="288" w:lineRule="auto"/>
        <w:rPr>
          <w:rFonts w:ascii="Times New Roman" w:hAnsi="Times New Roman"/>
          <w:kern w:val="0"/>
          <w:szCs w:val="24"/>
        </w:rPr>
      </w:pPr>
      <w:bookmarkStart w:id="4" w:name="_Toc361324843"/>
      <w:r w:rsidRPr="00FF0E34">
        <w:rPr>
          <w:rFonts w:ascii="Times New Roman" w:hAnsi="Times New Roman"/>
          <w:kern w:val="0"/>
          <w:szCs w:val="24"/>
        </w:rPr>
        <w:t xml:space="preserve">1.1 </w:t>
      </w:r>
      <w:r w:rsidRPr="00FF0E34">
        <w:rPr>
          <w:rFonts w:ascii="Times New Roman" w:hAnsi="Times New Roman" w:hint="eastAsia"/>
          <w:kern w:val="0"/>
          <w:szCs w:val="24"/>
        </w:rPr>
        <w:t>重要提示</w:t>
      </w:r>
      <w:bookmarkEnd w:id="4"/>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的董事会、董事保证本报告所载资料不存在虚假记载、误导性陈述或重大遗漏，并对其内容的真实性、准确性和完整性承担个别及连带的法律责任。本年度报告已经三分之二以上独立董事签字同意，并由董事长签发。</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基金托管人</w:t>
      </w:r>
      <w:r w:rsidRPr="00FF0E34">
        <w:rPr>
          <w:color w:val="000000"/>
          <w:sz w:val="24"/>
        </w:rPr>
        <w:t>中信银行股份有限公司</w:t>
      </w:r>
      <w:r w:rsidR="00D91873">
        <w:rPr>
          <w:color w:val="000000"/>
          <w:sz w:val="24"/>
        </w:rPr>
        <w:t>(</w:t>
      </w:r>
      <w:r w:rsidR="00D91873">
        <w:rPr>
          <w:rFonts w:hint="eastAsia"/>
          <w:color w:val="000000"/>
          <w:sz w:val="24"/>
        </w:rPr>
        <w:t>以下简称“</w:t>
      </w:r>
      <w:r w:rsidR="00D91873">
        <w:rPr>
          <w:color w:val="000000"/>
          <w:sz w:val="24"/>
        </w:rPr>
        <w:t>中信银行</w:t>
      </w:r>
      <w:r w:rsidR="00D91873">
        <w:rPr>
          <w:rFonts w:hint="eastAsia"/>
          <w:color w:val="000000"/>
          <w:sz w:val="24"/>
        </w:rPr>
        <w:t>”</w:t>
      </w:r>
      <w:r w:rsidR="00D91873">
        <w:rPr>
          <w:color w:val="000000"/>
          <w:sz w:val="24"/>
        </w:rPr>
        <w:t>)</w:t>
      </w:r>
      <w:r w:rsidRPr="00FF0E34">
        <w:rPr>
          <w:rFonts w:hint="eastAsia"/>
          <w:color w:val="000000"/>
          <w:sz w:val="24"/>
        </w:rPr>
        <w:t>根据本基金合同规定，于</w:t>
      </w:r>
      <w:r w:rsidRPr="00FF0E34">
        <w:rPr>
          <w:color w:val="000000"/>
          <w:sz w:val="24"/>
        </w:rPr>
        <w:t>2019</w:t>
      </w:r>
      <w:r w:rsidRPr="00FF0E34">
        <w:rPr>
          <w:color w:val="000000"/>
          <w:sz w:val="24"/>
        </w:rPr>
        <w:t>年</w:t>
      </w:r>
      <w:r w:rsidRPr="00FF0E34">
        <w:rPr>
          <w:color w:val="000000"/>
          <w:sz w:val="24"/>
        </w:rPr>
        <w:t>3</w:t>
      </w:r>
      <w:r w:rsidRPr="00FF0E34">
        <w:rPr>
          <w:color w:val="000000"/>
          <w:sz w:val="24"/>
        </w:rPr>
        <w:t>月</w:t>
      </w:r>
      <w:r w:rsidRPr="00FF0E34">
        <w:rPr>
          <w:color w:val="000000"/>
          <w:sz w:val="24"/>
        </w:rPr>
        <w:t>26</w:t>
      </w:r>
      <w:r w:rsidRPr="00FF0E34">
        <w:rPr>
          <w:color w:val="000000"/>
          <w:sz w:val="24"/>
        </w:rPr>
        <w:t>日</w:t>
      </w:r>
      <w:r w:rsidRPr="00FF0E34">
        <w:rPr>
          <w:rFonts w:hint="eastAsia"/>
          <w:color w:val="000000"/>
          <w:sz w:val="24"/>
        </w:rPr>
        <w:t>复核了本报告中的财务指标、净值表现、利润分配情况、财务会计报告、投资组合报告等内容，保证复核内容不存在虚假记载、误导性陈述或者重大遗漏。</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基金管理人承诺以诚实信用、勤勉尽责的原则管理和运用基金资产，但不保证基金一定盈利。</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基金的过往业绩并不代表其未来表现。投资有风险，投资者在</w:t>
      </w:r>
      <w:r w:rsidR="009414BB" w:rsidRPr="00FF0E34">
        <w:rPr>
          <w:rFonts w:hint="eastAsia"/>
          <w:color w:val="000000"/>
          <w:sz w:val="24"/>
        </w:rPr>
        <w:t>作</w:t>
      </w:r>
      <w:r w:rsidRPr="00FF0E34">
        <w:rPr>
          <w:rFonts w:hint="eastAsia"/>
          <w:color w:val="000000"/>
          <w:sz w:val="24"/>
        </w:rPr>
        <w:t>出投资决策前应仔细阅读本基金的招募说明书及其更新。</w:t>
      </w:r>
    </w:p>
    <w:p w:rsidR="000C58C9" w:rsidRPr="00FF0E34" w:rsidRDefault="000C58C9" w:rsidP="00FF0E34">
      <w:pPr>
        <w:spacing w:before="29" w:line="288" w:lineRule="auto"/>
        <w:ind w:firstLineChars="200" w:firstLine="480"/>
        <w:rPr>
          <w:color w:val="000000"/>
          <w:sz w:val="24"/>
        </w:rPr>
      </w:pPr>
      <w:r w:rsidRPr="00FF0E34">
        <w:rPr>
          <w:rFonts w:hint="eastAsia"/>
          <w:color w:val="000000"/>
          <w:sz w:val="24"/>
        </w:rPr>
        <w:t>本年度报告摘要摘自年度报告正文，投资者欲了解详细内容，应阅读年度报告正文。</w:t>
      </w:r>
    </w:p>
    <w:p w:rsidR="00DA70F5" w:rsidRPr="00FF0E34" w:rsidRDefault="00DA70F5" w:rsidP="00FF0E34">
      <w:pPr>
        <w:spacing w:before="29" w:line="288" w:lineRule="auto"/>
        <w:ind w:firstLineChars="200" w:firstLine="480"/>
        <w:rPr>
          <w:color w:val="000000"/>
          <w:sz w:val="24"/>
        </w:rPr>
      </w:pPr>
      <w:r w:rsidRPr="00FF0E34">
        <w:rPr>
          <w:rFonts w:hint="eastAsia"/>
          <w:color w:val="000000"/>
          <w:sz w:val="24"/>
        </w:rPr>
        <w:t>本报告期自</w:t>
      </w:r>
      <w:r w:rsidRPr="00FF0E34">
        <w:rPr>
          <w:color w:val="000000"/>
          <w:sz w:val="24"/>
        </w:rPr>
        <w:t>2018</w:t>
      </w:r>
      <w:r w:rsidRPr="00FF0E34">
        <w:rPr>
          <w:color w:val="000000"/>
          <w:sz w:val="24"/>
        </w:rPr>
        <w:t>年</w:t>
      </w:r>
      <w:r w:rsidRPr="00FF0E34">
        <w:rPr>
          <w:color w:val="000000"/>
          <w:sz w:val="24"/>
        </w:rPr>
        <w:t>1</w:t>
      </w:r>
      <w:r w:rsidRPr="00FF0E34">
        <w:rPr>
          <w:color w:val="000000"/>
          <w:sz w:val="24"/>
        </w:rPr>
        <w:t>月</w:t>
      </w:r>
      <w:r w:rsidRPr="00FF0E34">
        <w:rPr>
          <w:color w:val="000000"/>
          <w:sz w:val="24"/>
        </w:rPr>
        <w:t>1</w:t>
      </w:r>
      <w:r w:rsidRPr="00FF0E34">
        <w:rPr>
          <w:color w:val="000000"/>
          <w:sz w:val="24"/>
        </w:rPr>
        <w:t>日</w:t>
      </w:r>
      <w:r w:rsidRPr="00FF0E34">
        <w:rPr>
          <w:rFonts w:hint="eastAsia"/>
          <w:color w:val="000000"/>
          <w:sz w:val="24"/>
        </w:rPr>
        <w:t>起至</w:t>
      </w:r>
      <w:r w:rsidRPr="00FF0E34">
        <w:rPr>
          <w:color w:val="000000"/>
          <w:sz w:val="24"/>
        </w:rPr>
        <w:t>12</w:t>
      </w:r>
      <w:r w:rsidRPr="00FF0E34">
        <w:rPr>
          <w:color w:val="000000"/>
          <w:sz w:val="24"/>
        </w:rPr>
        <w:t>月</w:t>
      </w:r>
      <w:r w:rsidRPr="00FF0E34">
        <w:rPr>
          <w:color w:val="000000"/>
          <w:sz w:val="24"/>
        </w:rPr>
        <w:t>31</w:t>
      </w:r>
      <w:r w:rsidRPr="00FF0E34">
        <w:rPr>
          <w:color w:val="000000"/>
          <w:sz w:val="24"/>
        </w:rPr>
        <w:t>日</w:t>
      </w:r>
      <w:r w:rsidRPr="00FF0E34">
        <w:rPr>
          <w:rFonts w:hint="eastAsia"/>
          <w:color w:val="000000"/>
          <w:sz w:val="24"/>
        </w:rPr>
        <w:t>止。</w:t>
      </w:r>
    </w:p>
    <w:p w:rsidR="00D35947" w:rsidRPr="00C51C77" w:rsidRDefault="001A59F9" w:rsidP="00D35947">
      <w:pPr>
        <w:spacing w:line="360" w:lineRule="auto"/>
        <w:rPr>
          <w:rFonts w:asciiTheme="minorEastAsia" w:eastAsiaTheme="minorEastAsia" w:hAnsiTheme="minorEastAsia"/>
          <w:b/>
          <w:color w:val="000000"/>
          <w:kern w:val="0"/>
          <w:szCs w:val="21"/>
        </w:rPr>
      </w:pPr>
      <w:r w:rsidRPr="00C51C77">
        <w:rPr>
          <w:rFonts w:asciiTheme="minorEastAsia" w:eastAsiaTheme="minorEastAsia" w:hAnsiTheme="minorEastAsia"/>
          <w:szCs w:val="21"/>
        </w:rPr>
        <w:br w:type="page"/>
      </w: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 w:name="_Toc225498244"/>
      <w:bookmarkStart w:id="6" w:name="_Toc361324844"/>
      <w:r w:rsidRPr="00176E90">
        <w:rPr>
          <w:rFonts w:hint="eastAsia"/>
          <w:b/>
          <w:bCs/>
          <w:szCs w:val="24"/>
          <w:lang w:val="en-US"/>
        </w:rPr>
        <w:lastRenderedPageBreak/>
        <w:t>§</w:t>
      </w:r>
      <w:r w:rsidRPr="00176E90">
        <w:rPr>
          <w:b/>
          <w:bCs/>
          <w:szCs w:val="24"/>
          <w:lang w:val="en-US"/>
        </w:rPr>
        <w:t xml:space="preserve">2  </w:t>
      </w:r>
      <w:r w:rsidRPr="00176E90">
        <w:rPr>
          <w:rFonts w:hint="eastAsia"/>
          <w:b/>
          <w:bCs/>
          <w:szCs w:val="24"/>
          <w:lang w:val="en-US"/>
        </w:rPr>
        <w:t>基金简介</w:t>
      </w:r>
      <w:bookmarkEnd w:id="5"/>
      <w:bookmarkEnd w:id="6"/>
    </w:p>
    <w:p w:rsidR="002546CC" w:rsidRPr="002546CC" w:rsidRDefault="002546CC" w:rsidP="002546CC"/>
    <w:p w:rsidR="001A59F9" w:rsidRPr="00701155" w:rsidRDefault="0040762F" w:rsidP="00701155">
      <w:pPr>
        <w:pStyle w:val="20"/>
        <w:spacing w:before="29" w:after="0" w:line="288" w:lineRule="auto"/>
        <w:rPr>
          <w:rFonts w:ascii="Times New Roman" w:hAnsi="Times New Roman"/>
          <w:kern w:val="0"/>
          <w:szCs w:val="24"/>
        </w:rPr>
      </w:pPr>
      <w:bookmarkStart w:id="7" w:name="_Toc361324845"/>
      <w:r w:rsidRPr="00701155">
        <w:rPr>
          <w:rFonts w:ascii="Times New Roman" w:hAnsi="Times New Roman"/>
          <w:kern w:val="0"/>
          <w:szCs w:val="24"/>
        </w:rPr>
        <w:t>2.1</w:t>
      </w:r>
      <w:r w:rsidR="00CE28F0" w:rsidRPr="00701155">
        <w:rPr>
          <w:rFonts w:ascii="Times New Roman" w:hAnsi="Times New Roman" w:hint="eastAsia"/>
          <w:kern w:val="0"/>
          <w:szCs w:val="24"/>
        </w:rPr>
        <w:t xml:space="preserve"> </w:t>
      </w:r>
      <w:r w:rsidR="001A59F9" w:rsidRPr="00701155">
        <w:rPr>
          <w:rFonts w:ascii="Times New Roman" w:hAnsi="Times New Roman" w:hint="eastAsia"/>
          <w:kern w:val="0"/>
          <w:szCs w:val="24"/>
        </w:rPr>
        <w:t>基金基本情况</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119"/>
        <w:gridCol w:w="5879"/>
      </w:tblGrid>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基金简称</w:t>
            </w:r>
          </w:p>
        </w:tc>
        <w:tc>
          <w:tcPr>
            <w:tcW w:w="5879" w:type="dxa"/>
            <w:vAlign w:val="center"/>
          </w:tcPr>
          <w:p w:rsidR="001A59F9" w:rsidRPr="00AF05D4" w:rsidRDefault="001A59F9" w:rsidP="00AF05D4">
            <w:pPr>
              <w:spacing w:before="29" w:line="288" w:lineRule="auto"/>
              <w:jc w:val="center"/>
              <w:rPr>
                <w:sz w:val="24"/>
              </w:rPr>
            </w:pPr>
            <w:r w:rsidRPr="00AF05D4">
              <w:rPr>
                <w:sz w:val="24"/>
              </w:rPr>
              <w:t>交银策略回报灵活配置混合</w:t>
            </w:r>
          </w:p>
        </w:tc>
      </w:tr>
      <w:tr w:rsidR="001A59F9" w:rsidRPr="00C51C77" w:rsidTr="00961313">
        <w:tc>
          <w:tcPr>
            <w:tcW w:w="3119" w:type="dxa"/>
            <w:vAlign w:val="center"/>
          </w:tcPr>
          <w:p w:rsidR="001A59F9" w:rsidRPr="00475872" w:rsidRDefault="001A59F9" w:rsidP="00475872">
            <w:pPr>
              <w:spacing w:before="29" w:line="288" w:lineRule="auto"/>
              <w:rPr>
                <w:sz w:val="24"/>
              </w:rPr>
            </w:pPr>
            <w:r w:rsidRPr="00475872">
              <w:rPr>
                <w:rFonts w:hint="eastAsia"/>
                <w:sz w:val="24"/>
              </w:rPr>
              <w:t>基金主代码</w:t>
            </w:r>
          </w:p>
        </w:tc>
        <w:tc>
          <w:tcPr>
            <w:tcW w:w="5879" w:type="dxa"/>
            <w:vAlign w:val="center"/>
          </w:tcPr>
          <w:p w:rsidR="001A59F9" w:rsidRPr="00AF05D4" w:rsidRDefault="001A59F9"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交易代码</w:t>
            </w:r>
          </w:p>
        </w:tc>
        <w:tc>
          <w:tcPr>
            <w:tcW w:w="5879" w:type="dxa"/>
            <w:vAlign w:val="center"/>
          </w:tcPr>
          <w:p w:rsidR="0040762F" w:rsidRPr="00AF05D4" w:rsidRDefault="0040762F" w:rsidP="00AF05D4">
            <w:pPr>
              <w:spacing w:before="29" w:line="288" w:lineRule="auto"/>
              <w:jc w:val="center"/>
              <w:rPr>
                <w:sz w:val="24"/>
              </w:rPr>
            </w:pPr>
            <w:r w:rsidRPr="00AF05D4">
              <w:rPr>
                <w:sz w:val="24"/>
              </w:rPr>
              <w:t>519710</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基金运作方式</w:t>
            </w:r>
          </w:p>
        </w:tc>
        <w:tc>
          <w:tcPr>
            <w:tcW w:w="5879" w:type="dxa"/>
            <w:vAlign w:val="center"/>
          </w:tcPr>
          <w:p w:rsidR="0040762F" w:rsidRPr="00AF05D4" w:rsidRDefault="0040762F" w:rsidP="00AF05D4">
            <w:pPr>
              <w:spacing w:before="29" w:line="288" w:lineRule="auto"/>
              <w:jc w:val="center"/>
              <w:rPr>
                <w:sz w:val="24"/>
              </w:rPr>
            </w:pPr>
            <w:r w:rsidRPr="00AF05D4">
              <w:rPr>
                <w:sz w:val="24"/>
              </w:rPr>
              <w:t>契约型开放式</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基金合同生效日</w:t>
            </w:r>
          </w:p>
        </w:tc>
        <w:tc>
          <w:tcPr>
            <w:tcW w:w="5879" w:type="dxa"/>
            <w:vAlign w:val="center"/>
          </w:tcPr>
          <w:p w:rsidR="0040762F" w:rsidRPr="00AF05D4" w:rsidRDefault="0040762F" w:rsidP="00AF05D4">
            <w:pPr>
              <w:spacing w:before="29" w:line="288" w:lineRule="auto"/>
              <w:jc w:val="center"/>
              <w:rPr>
                <w:sz w:val="24"/>
              </w:rPr>
            </w:pPr>
            <w:r w:rsidRPr="00AF05D4">
              <w:rPr>
                <w:sz w:val="24"/>
              </w:rPr>
              <w:t>2015</w:t>
            </w:r>
            <w:r w:rsidRPr="00AF05D4">
              <w:rPr>
                <w:sz w:val="24"/>
              </w:rPr>
              <w:t>年</w:t>
            </w:r>
            <w:r w:rsidRPr="00AF05D4">
              <w:rPr>
                <w:sz w:val="24"/>
              </w:rPr>
              <w:t>6</w:t>
            </w:r>
            <w:r w:rsidRPr="00AF05D4">
              <w:rPr>
                <w:sz w:val="24"/>
              </w:rPr>
              <w:t>月</w:t>
            </w:r>
            <w:r w:rsidRPr="00AF05D4">
              <w:rPr>
                <w:sz w:val="24"/>
              </w:rPr>
              <w:t>27</w:t>
            </w:r>
            <w:r w:rsidRPr="00AF05D4">
              <w:rPr>
                <w:sz w:val="24"/>
              </w:rPr>
              <w:t>日</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基金管理人</w:t>
            </w:r>
          </w:p>
        </w:tc>
        <w:tc>
          <w:tcPr>
            <w:tcW w:w="5879" w:type="dxa"/>
            <w:vAlign w:val="center"/>
          </w:tcPr>
          <w:p w:rsidR="0040762F" w:rsidRPr="00AF05D4" w:rsidRDefault="0040762F" w:rsidP="00AF05D4">
            <w:pPr>
              <w:spacing w:before="29" w:line="288" w:lineRule="auto"/>
              <w:jc w:val="center"/>
              <w:rPr>
                <w:sz w:val="24"/>
              </w:rPr>
            </w:pPr>
            <w:r w:rsidRPr="00AF05D4">
              <w:rPr>
                <w:sz w:val="24"/>
              </w:rPr>
              <w:t>交银施罗德基金管理有限公司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基金托管人</w:t>
            </w:r>
          </w:p>
        </w:tc>
        <w:tc>
          <w:tcPr>
            <w:tcW w:w="5879" w:type="dxa"/>
            <w:vAlign w:val="center"/>
          </w:tcPr>
          <w:p w:rsidR="0040762F" w:rsidRPr="00AF05D4" w:rsidRDefault="0040762F" w:rsidP="00AF05D4">
            <w:pPr>
              <w:spacing w:before="29" w:line="288" w:lineRule="auto"/>
              <w:jc w:val="center"/>
              <w:rPr>
                <w:sz w:val="24"/>
              </w:rPr>
            </w:pPr>
            <w:r w:rsidRPr="00AF05D4">
              <w:rPr>
                <w:sz w:val="24"/>
              </w:rPr>
              <w:t>中信银行股份有限公司</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报告期末基金份额总额</w:t>
            </w:r>
          </w:p>
        </w:tc>
        <w:tc>
          <w:tcPr>
            <w:tcW w:w="5879" w:type="dxa"/>
            <w:vAlign w:val="center"/>
          </w:tcPr>
          <w:p w:rsidR="0040762F" w:rsidRPr="00AF05D4" w:rsidRDefault="0040762F" w:rsidP="00AF05D4">
            <w:pPr>
              <w:spacing w:before="29" w:line="288" w:lineRule="auto"/>
              <w:jc w:val="center"/>
              <w:rPr>
                <w:sz w:val="24"/>
              </w:rPr>
            </w:pPr>
            <w:r w:rsidRPr="00AF05D4">
              <w:rPr>
                <w:sz w:val="24"/>
              </w:rPr>
              <w:t>1,004,733,126.78</w:t>
            </w:r>
            <w:r w:rsidRPr="00AF05D4">
              <w:rPr>
                <w:rFonts w:hint="eastAsia"/>
                <w:sz w:val="24"/>
              </w:rPr>
              <w:t>份</w:t>
            </w:r>
          </w:p>
        </w:tc>
      </w:tr>
      <w:tr w:rsidR="0040762F" w:rsidRPr="00C51C77" w:rsidTr="00961313">
        <w:tc>
          <w:tcPr>
            <w:tcW w:w="3119" w:type="dxa"/>
            <w:vAlign w:val="center"/>
          </w:tcPr>
          <w:p w:rsidR="0040762F" w:rsidRPr="00475872" w:rsidRDefault="0040762F" w:rsidP="00475872">
            <w:pPr>
              <w:spacing w:before="29" w:line="288" w:lineRule="auto"/>
              <w:rPr>
                <w:sz w:val="24"/>
              </w:rPr>
            </w:pPr>
            <w:r w:rsidRPr="00475872">
              <w:rPr>
                <w:rFonts w:hint="eastAsia"/>
                <w:sz w:val="24"/>
              </w:rPr>
              <w:t>基金合同存续期</w:t>
            </w:r>
          </w:p>
        </w:tc>
        <w:tc>
          <w:tcPr>
            <w:tcW w:w="5879" w:type="dxa"/>
            <w:vAlign w:val="center"/>
          </w:tcPr>
          <w:p w:rsidR="0040762F" w:rsidRPr="00AF05D4" w:rsidRDefault="0040762F" w:rsidP="00AF05D4">
            <w:pPr>
              <w:spacing w:before="29" w:line="288" w:lineRule="auto"/>
              <w:jc w:val="center"/>
              <w:rPr>
                <w:sz w:val="24"/>
              </w:rPr>
            </w:pPr>
            <w:r w:rsidRPr="00AF05D4">
              <w:rPr>
                <w:sz w:val="24"/>
              </w:rPr>
              <w:t>不定期</w:t>
            </w:r>
          </w:p>
        </w:tc>
      </w:tr>
    </w:tbl>
    <w:p w:rsidR="00F017B1" w:rsidRPr="00F017B1" w:rsidRDefault="001A59F9" w:rsidP="00E75ED1">
      <w:pPr>
        <w:spacing w:before="29" w:line="288" w:lineRule="auto"/>
        <w:jc w:val="left"/>
        <w:rPr>
          <w:kern w:val="0"/>
          <w:sz w:val="24"/>
        </w:rPr>
      </w:pPr>
      <w:r w:rsidRPr="00FF7B7E">
        <w:rPr>
          <w:kern w:val="0"/>
          <w:sz w:val="24"/>
        </w:rPr>
        <w:t>注：交银施罗德荣安保本混合型证券投资基金从</w:t>
      </w:r>
      <w:r w:rsidRPr="00FF7B7E">
        <w:rPr>
          <w:kern w:val="0"/>
          <w:sz w:val="24"/>
        </w:rPr>
        <w:t>2015</w:t>
      </w:r>
      <w:r w:rsidRPr="00FF7B7E">
        <w:rPr>
          <w:kern w:val="0"/>
          <w:sz w:val="24"/>
        </w:rPr>
        <w:t>年</w:t>
      </w:r>
      <w:r w:rsidRPr="00FF7B7E">
        <w:rPr>
          <w:kern w:val="0"/>
          <w:sz w:val="24"/>
        </w:rPr>
        <w:t>6</w:t>
      </w:r>
      <w:r w:rsidRPr="00FF7B7E">
        <w:rPr>
          <w:kern w:val="0"/>
          <w:sz w:val="24"/>
        </w:rPr>
        <w:t>月</w:t>
      </w:r>
      <w:r w:rsidRPr="00FF7B7E">
        <w:rPr>
          <w:kern w:val="0"/>
          <w:sz w:val="24"/>
        </w:rPr>
        <w:t>27</w:t>
      </w:r>
      <w:r w:rsidRPr="00FF7B7E">
        <w:rPr>
          <w:kern w:val="0"/>
          <w:sz w:val="24"/>
        </w:rPr>
        <w:t>日起正式转型为交银施罗德策略回报灵活配置混合型证券投资基金，本表列示的基金合同生效日及本报告列示的转型生效日均指</w:t>
      </w:r>
      <w:r w:rsidRPr="00FF7B7E">
        <w:rPr>
          <w:kern w:val="0"/>
          <w:sz w:val="24"/>
        </w:rPr>
        <w:t>2015</w:t>
      </w:r>
      <w:r w:rsidRPr="00FF7B7E">
        <w:rPr>
          <w:kern w:val="0"/>
          <w:sz w:val="24"/>
        </w:rPr>
        <w:t>年</w:t>
      </w:r>
      <w:r w:rsidRPr="00FF7B7E">
        <w:rPr>
          <w:kern w:val="0"/>
          <w:sz w:val="24"/>
        </w:rPr>
        <w:t>6</w:t>
      </w:r>
      <w:r w:rsidRPr="00FF7B7E">
        <w:rPr>
          <w:kern w:val="0"/>
          <w:sz w:val="24"/>
        </w:rPr>
        <w:t>月</w:t>
      </w:r>
      <w:r w:rsidRPr="00FF7B7E">
        <w:rPr>
          <w:kern w:val="0"/>
          <w:sz w:val="24"/>
        </w:rPr>
        <w:t>27</w:t>
      </w:r>
      <w:r w:rsidRPr="00FF7B7E">
        <w:rPr>
          <w:kern w:val="0"/>
          <w:sz w:val="24"/>
        </w:rPr>
        <w:t>日。</w:t>
      </w:r>
    </w:p>
    <w:p w:rsidR="00FF7B7E" w:rsidRPr="00F017B1" w:rsidRDefault="00FF7B7E" w:rsidP="00F017B1">
      <w:pPr>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8" w:name="_Toc361324846"/>
      <w:r w:rsidRPr="00701155">
        <w:rPr>
          <w:rFonts w:ascii="Times New Roman" w:hAnsi="Times New Roman"/>
          <w:kern w:val="0"/>
          <w:szCs w:val="24"/>
        </w:rPr>
        <w:t xml:space="preserve">2.2 </w:t>
      </w:r>
      <w:r w:rsidRPr="00701155">
        <w:rPr>
          <w:rFonts w:ascii="Times New Roman" w:hAnsi="Times New Roman" w:hint="eastAsia"/>
          <w:kern w:val="0"/>
          <w:szCs w:val="24"/>
        </w:rPr>
        <w:t>基金产品说明</w:t>
      </w:r>
      <w:bookmarkEnd w:id="8"/>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000"/>
        <w:gridCol w:w="5998"/>
      </w:tblGrid>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投资目标</w:t>
            </w:r>
          </w:p>
        </w:tc>
        <w:tc>
          <w:tcPr>
            <w:tcW w:w="5998" w:type="dxa"/>
            <w:vAlign w:val="center"/>
          </w:tcPr>
          <w:p w:rsidR="001A59F9" w:rsidRPr="00A57672" w:rsidRDefault="001A59F9" w:rsidP="00A57672">
            <w:pPr>
              <w:spacing w:before="29" w:line="288" w:lineRule="auto"/>
              <w:rPr>
                <w:sz w:val="24"/>
              </w:rPr>
            </w:pPr>
            <w:r w:rsidRPr="00A57672">
              <w:rPr>
                <w:sz w:val="24"/>
              </w:rPr>
              <w:t>本基金根据对宏观经济周期和市场环境的分析研究，自上而下配置资产，并通过对类属资产灵活运用多种投资策略，力争实现基金资产的长期稳定增值。</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投资策略</w:t>
            </w:r>
          </w:p>
        </w:tc>
        <w:tc>
          <w:tcPr>
            <w:tcW w:w="5998" w:type="dxa"/>
            <w:vAlign w:val="center"/>
          </w:tcPr>
          <w:p w:rsidR="001A59F9" w:rsidRPr="00A57672" w:rsidRDefault="001A59F9" w:rsidP="00A57672">
            <w:pPr>
              <w:spacing w:before="29" w:line="288" w:lineRule="auto"/>
              <w:rPr>
                <w:sz w:val="24"/>
              </w:rPr>
            </w:pPr>
            <w:r w:rsidRPr="00A57672">
              <w:rPr>
                <w:sz w:val="24"/>
              </w:rPr>
              <w:t>本基金将通过</w:t>
            </w:r>
            <w:r w:rsidRPr="00A57672">
              <w:rPr>
                <w:sz w:val="24"/>
              </w:rPr>
              <w:t>“</w:t>
            </w:r>
            <w:r w:rsidRPr="00A57672">
              <w:rPr>
                <w:sz w:val="24"/>
              </w:rPr>
              <w:t>自上而下</w:t>
            </w:r>
            <w:r w:rsidRPr="00A57672">
              <w:rPr>
                <w:sz w:val="24"/>
              </w:rPr>
              <w:t>”</w:t>
            </w:r>
            <w:r w:rsidRPr="00A57672">
              <w:rPr>
                <w:sz w:val="24"/>
              </w:rPr>
              <w:t>的定性分析和定量分析相结合以实现大类资产的灵活配置。本基金首先利用经济周期理论，对宏观经济的经济周期进行预测，在此基础上形成对不同资产市场表现的预测和判断，确定基金资产在各类别资产间的分配比例，并随着各类证券风险收益特征的相对变化，动态调整组合中各类资产的比例，以规避或分散市场风险，提高基金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业绩比较基准</w:t>
            </w:r>
          </w:p>
        </w:tc>
        <w:tc>
          <w:tcPr>
            <w:tcW w:w="5998" w:type="dxa"/>
            <w:vAlign w:val="center"/>
          </w:tcPr>
          <w:p w:rsidR="001A59F9" w:rsidRPr="00A57672" w:rsidRDefault="001A59F9" w:rsidP="00A57672">
            <w:pPr>
              <w:spacing w:before="29" w:line="288" w:lineRule="auto"/>
              <w:rPr>
                <w:sz w:val="24"/>
              </w:rPr>
            </w:pPr>
            <w:r w:rsidRPr="00A57672">
              <w:rPr>
                <w:sz w:val="24"/>
              </w:rPr>
              <w:t>60%×</w:t>
            </w:r>
            <w:r w:rsidRPr="00A57672">
              <w:rPr>
                <w:sz w:val="24"/>
              </w:rPr>
              <w:t>沪深</w:t>
            </w:r>
            <w:r w:rsidRPr="00A57672">
              <w:rPr>
                <w:sz w:val="24"/>
              </w:rPr>
              <w:t>300</w:t>
            </w:r>
            <w:r w:rsidRPr="00A57672">
              <w:rPr>
                <w:sz w:val="24"/>
              </w:rPr>
              <w:t>指数收益率</w:t>
            </w:r>
            <w:r w:rsidRPr="00A57672">
              <w:rPr>
                <w:sz w:val="24"/>
              </w:rPr>
              <w:t>+40%×</w:t>
            </w:r>
            <w:r w:rsidRPr="00A57672">
              <w:rPr>
                <w:sz w:val="24"/>
              </w:rPr>
              <w:t>中证综合债券指数收益率</w:t>
            </w:r>
          </w:p>
        </w:tc>
      </w:tr>
      <w:tr w:rsidR="001A59F9" w:rsidRPr="00C51C77" w:rsidTr="00961313">
        <w:tc>
          <w:tcPr>
            <w:tcW w:w="3000" w:type="dxa"/>
            <w:vAlign w:val="center"/>
          </w:tcPr>
          <w:p w:rsidR="001A59F9" w:rsidRPr="00475872" w:rsidRDefault="001A59F9" w:rsidP="00475872">
            <w:pPr>
              <w:spacing w:before="29" w:line="288" w:lineRule="auto"/>
              <w:rPr>
                <w:sz w:val="24"/>
              </w:rPr>
            </w:pPr>
            <w:r w:rsidRPr="00475872">
              <w:rPr>
                <w:rFonts w:hint="eastAsia"/>
                <w:sz w:val="24"/>
              </w:rPr>
              <w:t>风险收益特征</w:t>
            </w:r>
          </w:p>
        </w:tc>
        <w:tc>
          <w:tcPr>
            <w:tcW w:w="5998" w:type="dxa"/>
            <w:vAlign w:val="center"/>
          </w:tcPr>
          <w:p w:rsidR="001A59F9" w:rsidRPr="00A57672" w:rsidRDefault="001A59F9" w:rsidP="00A57672">
            <w:pPr>
              <w:spacing w:before="29" w:line="288" w:lineRule="auto"/>
              <w:rPr>
                <w:sz w:val="24"/>
              </w:rPr>
            </w:pPr>
            <w:r w:rsidRPr="00A57672">
              <w:rPr>
                <w:sz w:val="24"/>
              </w:rPr>
              <w:t>本基金为混合型证券投资基金，其预期收益和风险高于货币市场基金、债券型基金，而低于股票型基金，属于证券投资基金中的中高风险品种。</w:t>
            </w:r>
          </w:p>
        </w:tc>
      </w:tr>
    </w:tbl>
    <w:p w:rsidR="000F6F95" w:rsidRPr="001A20CE" w:rsidRDefault="000F6F95" w:rsidP="001A20CE">
      <w:pPr>
        <w:tabs>
          <w:tab w:val="left" w:pos="426"/>
        </w:tabs>
        <w:spacing w:before="29" w:line="288" w:lineRule="auto"/>
        <w:jc w:val="left"/>
        <w:rPr>
          <w:kern w:val="0"/>
          <w:sz w:val="24"/>
        </w:rPr>
      </w:pPr>
    </w:p>
    <w:p w:rsidR="001A59F9" w:rsidRPr="00701155" w:rsidRDefault="001A59F9" w:rsidP="00701155">
      <w:pPr>
        <w:pStyle w:val="20"/>
        <w:spacing w:before="29" w:after="0" w:line="288" w:lineRule="auto"/>
        <w:rPr>
          <w:rFonts w:ascii="Times New Roman" w:hAnsi="Times New Roman"/>
          <w:kern w:val="0"/>
          <w:szCs w:val="24"/>
        </w:rPr>
      </w:pPr>
      <w:bookmarkStart w:id="9" w:name="_Toc225498247"/>
      <w:bookmarkStart w:id="10" w:name="_Toc361324847"/>
      <w:r w:rsidRPr="00701155">
        <w:rPr>
          <w:rFonts w:ascii="Times New Roman" w:hAnsi="Times New Roman"/>
          <w:kern w:val="0"/>
          <w:szCs w:val="24"/>
        </w:rPr>
        <w:t xml:space="preserve">2.3 </w:t>
      </w:r>
      <w:r w:rsidRPr="00701155">
        <w:rPr>
          <w:rFonts w:ascii="Times New Roman" w:hAnsi="Times New Roman" w:hint="eastAsia"/>
          <w:kern w:val="0"/>
          <w:szCs w:val="24"/>
        </w:rPr>
        <w:t>基金管理人和基金托管人</w:t>
      </w:r>
      <w:bookmarkEnd w:id="9"/>
      <w:bookmarkEnd w:id="10"/>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76"/>
        <w:gridCol w:w="1276"/>
        <w:gridCol w:w="3118"/>
        <w:gridCol w:w="3328"/>
      </w:tblGrid>
      <w:tr w:rsidR="001A59F9" w:rsidRPr="00C51C77" w:rsidTr="00961313">
        <w:tc>
          <w:tcPr>
            <w:tcW w:w="2552" w:type="dxa"/>
            <w:gridSpan w:val="2"/>
            <w:vAlign w:val="center"/>
          </w:tcPr>
          <w:p w:rsidR="001A59F9" w:rsidRPr="00475872" w:rsidRDefault="001A59F9" w:rsidP="00475872">
            <w:pPr>
              <w:spacing w:before="29" w:line="288" w:lineRule="auto"/>
              <w:jc w:val="center"/>
              <w:rPr>
                <w:sz w:val="24"/>
              </w:rPr>
            </w:pPr>
            <w:r w:rsidRPr="00475872">
              <w:rPr>
                <w:rFonts w:hint="eastAsia"/>
                <w:sz w:val="24"/>
              </w:rPr>
              <w:t>项目</w:t>
            </w:r>
          </w:p>
        </w:tc>
        <w:tc>
          <w:tcPr>
            <w:tcW w:w="3118" w:type="dxa"/>
            <w:vAlign w:val="center"/>
          </w:tcPr>
          <w:p w:rsidR="001A59F9" w:rsidRPr="00475872" w:rsidRDefault="001A59F9" w:rsidP="00475872">
            <w:pPr>
              <w:spacing w:line="288" w:lineRule="auto"/>
              <w:jc w:val="center"/>
              <w:rPr>
                <w:sz w:val="24"/>
              </w:rPr>
            </w:pPr>
            <w:r w:rsidRPr="00475872">
              <w:rPr>
                <w:rFonts w:hint="eastAsia"/>
                <w:sz w:val="24"/>
              </w:rPr>
              <w:t>基金管理人</w:t>
            </w:r>
          </w:p>
        </w:tc>
        <w:tc>
          <w:tcPr>
            <w:tcW w:w="3328" w:type="dxa"/>
            <w:vAlign w:val="center"/>
          </w:tcPr>
          <w:p w:rsidR="001A59F9" w:rsidRPr="00475872" w:rsidRDefault="001A59F9" w:rsidP="00475872">
            <w:pPr>
              <w:spacing w:line="288" w:lineRule="auto"/>
              <w:jc w:val="center"/>
              <w:rPr>
                <w:sz w:val="24"/>
              </w:rPr>
            </w:pPr>
            <w:r w:rsidRPr="00475872">
              <w:rPr>
                <w:rFonts w:hint="eastAsia"/>
                <w:sz w:val="24"/>
              </w:rPr>
              <w:t>基金托管人</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lastRenderedPageBreak/>
              <w:t>名称</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交银施罗德基金管理有限公司</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中信银行股份有限公司</w:t>
            </w:r>
          </w:p>
        </w:tc>
      </w:tr>
      <w:tr w:rsidR="001A59F9" w:rsidRPr="00C51C77" w:rsidTr="00961313">
        <w:tc>
          <w:tcPr>
            <w:tcW w:w="1276" w:type="dxa"/>
            <w:vMerge w:val="restart"/>
            <w:vAlign w:val="center"/>
          </w:tcPr>
          <w:p w:rsidR="001A59F9" w:rsidRPr="00475872" w:rsidRDefault="001A59F9" w:rsidP="00475872">
            <w:pPr>
              <w:spacing w:before="29" w:line="288" w:lineRule="auto"/>
              <w:rPr>
                <w:sz w:val="24"/>
              </w:rPr>
            </w:pPr>
            <w:r w:rsidRPr="00475872">
              <w:rPr>
                <w:rFonts w:hint="eastAsia"/>
                <w:sz w:val="24"/>
              </w:rPr>
              <w:t>信息披露负责人</w:t>
            </w:r>
          </w:p>
        </w:tc>
        <w:tc>
          <w:tcPr>
            <w:tcW w:w="1276" w:type="dxa"/>
            <w:vAlign w:val="center"/>
          </w:tcPr>
          <w:p w:rsidR="001A59F9" w:rsidRPr="00475872" w:rsidRDefault="001A59F9" w:rsidP="00475872">
            <w:pPr>
              <w:spacing w:line="288" w:lineRule="auto"/>
              <w:jc w:val="center"/>
              <w:rPr>
                <w:sz w:val="24"/>
              </w:rPr>
            </w:pPr>
            <w:r w:rsidRPr="00475872">
              <w:rPr>
                <w:rFonts w:hint="eastAsia"/>
                <w:sz w:val="24"/>
              </w:rPr>
              <w:t>姓名</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王晚婷</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李修滨</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联系电话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4006800000</w:t>
            </w:r>
          </w:p>
        </w:tc>
      </w:tr>
      <w:tr w:rsidR="001A59F9" w:rsidRPr="00C51C77" w:rsidTr="00961313">
        <w:tc>
          <w:tcPr>
            <w:tcW w:w="1276" w:type="dxa"/>
            <w:vMerge/>
            <w:vAlign w:val="center"/>
          </w:tcPr>
          <w:p w:rsidR="001A59F9" w:rsidRPr="00475872" w:rsidRDefault="001A59F9" w:rsidP="00475872">
            <w:pPr>
              <w:spacing w:before="29" w:line="288" w:lineRule="auto"/>
              <w:rPr>
                <w:sz w:val="24"/>
              </w:rPr>
            </w:pPr>
          </w:p>
        </w:tc>
        <w:tc>
          <w:tcPr>
            <w:tcW w:w="1276" w:type="dxa"/>
            <w:vAlign w:val="center"/>
          </w:tcPr>
          <w:p w:rsidR="001A59F9" w:rsidRPr="00475872" w:rsidRDefault="001A59F9" w:rsidP="00475872">
            <w:pPr>
              <w:autoSpaceDE w:val="0"/>
              <w:autoSpaceDN w:val="0"/>
              <w:adjustRightInd w:val="0"/>
              <w:spacing w:before="29" w:line="288" w:lineRule="auto"/>
              <w:ind w:left="15"/>
              <w:rPr>
                <w:sz w:val="24"/>
              </w:rPr>
            </w:pPr>
            <w:r w:rsidRPr="00475872">
              <w:rPr>
                <w:rFonts w:hint="eastAsia"/>
                <w:sz w:val="24"/>
              </w:rPr>
              <w:t>电子邮箱</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xxpl@jysld.com,disclosure@jysld.com</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lixiubin@citicbank.com</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客户服务电话</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400-700-5000</w:t>
            </w:r>
            <w:r w:rsidRPr="00A57672">
              <w:rPr>
                <w:color w:val="000000"/>
                <w:kern w:val="0"/>
                <w:sz w:val="24"/>
              </w:rPr>
              <w:t>，</w:t>
            </w:r>
            <w:r w:rsidRPr="00A57672">
              <w:rPr>
                <w:color w:val="000000"/>
                <w:kern w:val="0"/>
                <w:sz w:val="24"/>
              </w:rPr>
              <w:t>021-61055000</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95558</w:t>
            </w:r>
          </w:p>
        </w:tc>
      </w:tr>
      <w:tr w:rsidR="001A59F9" w:rsidRPr="00C51C77" w:rsidTr="00961313">
        <w:tc>
          <w:tcPr>
            <w:tcW w:w="2552" w:type="dxa"/>
            <w:gridSpan w:val="2"/>
            <w:vAlign w:val="center"/>
          </w:tcPr>
          <w:p w:rsidR="001A59F9" w:rsidRPr="00475872" w:rsidRDefault="001A59F9" w:rsidP="00475872">
            <w:pPr>
              <w:spacing w:before="29" w:line="288" w:lineRule="auto"/>
              <w:rPr>
                <w:sz w:val="24"/>
              </w:rPr>
            </w:pPr>
            <w:r w:rsidRPr="00475872">
              <w:rPr>
                <w:rFonts w:hint="eastAsia"/>
                <w:sz w:val="24"/>
              </w:rPr>
              <w:t>传真</w:t>
            </w:r>
          </w:p>
        </w:tc>
        <w:tc>
          <w:tcPr>
            <w:tcW w:w="311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w:t>
            </w:r>
            <w:r w:rsidRPr="00A57672">
              <w:rPr>
                <w:color w:val="000000"/>
                <w:kern w:val="0"/>
                <w:sz w:val="24"/>
              </w:rPr>
              <w:t>021</w:t>
            </w:r>
            <w:r w:rsidRPr="00A57672">
              <w:rPr>
                <w:color w:val="000000"/>
                <w:kern w:val="0"/>
                <w:sz w:val="24"/>
              </w:rPr>
              <w:t>）</w:t>
            </w:r>
            <w:r w:rsidRPr="00A57672">
              <w:rPr>
                <w:color w:val="000000"/>
                <w:kern w:val="0"/>
                <w:sz w:val="24"/>
              </w:rPr>
              <w:t>61055054</w:t>
            </w:r>
          </w:p>
        </w:tc>
        <w:tc>
          <w:tcPr>
            <w:tcW w:w="3328" w:type="dxa"/>
            <w:vAlign w:val="center"/>
          </w:tcPr>
          <w:p w:rsidR="001A59F9" w:rsidRPr="00A57672" w:rsidRDefault="001A59F9" w:rsidP="00A57672">
            <w:pPr>
              <w:autoSpaceDE w:val="0"/>
              <w:autoSpaceDN w:val="0"/>
              <w:adjustRightInd w:val="0"/>
              <w:spacing w:before="29" w:line="288" w:lineRule="auto"/>
              <w:ind w:left="15"/>
              <w:jc w:val="center"/>
              <w:rPr>
                <w:color w:val="000000"/>
                <w:kern w:val="0"/>
                <w:sz w:val="24"/>
              </w:rPr>
            </w:pPr>
            <w:r w:rsidRPr="00A57672">
              <w:rPr>
                <w:color w:val="000000"/>
                <w:kern w:val="0"/>
                <w:sz w:val="24"/>
              </w:rPr>
              <w:t>010-85230024</w:t>
            </w:r>
          </w:p>
        </w:tc>
      </w:tr>
    </w:tbl>
    <w:p w:rsidR="001A59F9" w:rsidRPr="00C51C77" w:rsidRDefault="001A59F9" w:rsidP="00026C9C">
      <w:pPr>
        <w:tabs>
          <w:tab w:val="left" w:pos="1740"/>
        </w:tabs>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1" w:name="_Toc225498248"/>
      <w:bookmarkStart w:id="12" w:name="_Toc361324848"/>
      <w:r w:rsidRPr="00701155">
        <w:rPr>
          <w:rFonts w:ascii="Times New Roman" w:hAnsi="Times New Roman"/>
          <w:kern w:val="0"/>
          <w:szCs w:val="24"/>
        </w:rPr>
        <w:t xml:space="preserve">2.4 </w:t>
      </w:r>
      <w:r w:rsidRPr="00701155">
        <w:rPr>
          <w:rFonts w:ascii="Times New Roman" w:hAnsi="Times New Roman" w:hint="eastAsia"/>
          <w:kern w:val="0"/>
          <w:szCs w:val="24"/>
        </w:rPr>
        <w:t>信息披露方式</w:t>
      </w:r>
      <w:bookmarkEnd w:id="11"/>
      <w:bookmarkEnd w:id="12"/>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A59F9" w:rsidRPr="00C51C77" w:rsidTr="00E75ED1">
        <w:tc>
          <w:tcPr>
            <w:tcW w:w="3459" w:type="dxa"/>
            <w:vAlign w:val="center"/>
          </w:tcPr>
          <w:p w:rsidR="001A59F9" w:rsidRPr="009A3C12" w:rsidRDefault="00963D03" w:rsidP="009A3C12">
            <w:pPr>
              <w:autoSpaceDE w:val="0"/>
              <w:autoSpaceDN w:val="0"/>
              <w:adjustRightInd w:val="0"/>
              <w:spacing w:before="29" w:line="288" w:lineRule="auto"/>
              <w:ind w:left="15"/>
              <w:jc w:val="left"/>
              <w:rPr>
                <w:kern w:val="0"/>
                <w:sz w:val="24"/>
              </w:rPr>
            </w:pPr>
            <w:r w:rsidRPr="009A3C12">
              <w:rPr>
                <w:rFonts w:hint="eastAsia"/>
                <w:kern w:val="0"/>
                <w:sz w:val="24"/>
              </w:rPr>
              <w:t>登载基金年度报告</w:t>
            </w:r>
            <w:r w:rsidR="00AB0828">
              <w:rPr>
                <w:rFonts w:hint="eastAsia"/>
                <w:color w:val="000000"/>
                <w:sz w:val="24"/>
              </w:rPr>
              <w:t>正文</w:t>
            </w:r>
            <w:r w:rsidR="001A59F9" w:rsidRPr="009A3C12">
              <w:rPr>
                <w:rFonts w:hint="eastAsia"/>
                <w:kern w:val="0"/>
                <w:sz w:val="24"/>
              </w:rPr>
              <w:t>的管理人互联网网址</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www.fund001.com</w:t>
            </w:r>
          </w:p>
        </w:tc>
      </w:tr>
      <w:tr w:rsidR="001A59F9" w:rsidRPr="00C51C77" w:rsidTr="00E75ED1">
        <w:tc>
          <w:tcPr>
            <w:tcW w:w="3459" w:type="dxa"/>
            <w:vAlign w:val="center"/>
          </w:tcPr>
          <w:p w:rsidR="001A59F9" w:rsidRPr="009A3C12" w:rsidRDefault="001A59F9" w:rsidP="009A3C12">
            <w:pPr>
              <w:autoSpaceDE w:val="0"/>
              <w:autoSpaceDN w:val="0"/>
              <w:adjustRightInd w:val="0"/>
              <w:spacing w:before="29" w:line="288" w:lineRule="auto"/>
              <w:ind w:left="15"/>
              <w:jc w:val="left"/>
              <w:rPr>
                <w:kern w:val="0"/>
                <w:sz w:val="24"/>
              </w:rPr>
            </w:pPr>
            <w:r w:rsidRPr="009A3C12">
              <w:rPr>
                <w:rFonts w:hint="eastAsia"/>
                <w:kern w:val="0"/>
                <w:sz w:val="24"/>
              </w:rPr>
              <w:t>基金年度报告备置地点</w:t>
            </w:r>
          </w:p>
        </w:tc>
        <w:tc>
          <w:tcPr>
            <w:tcW w:w="3459" w:type="dxa"/>
            <w:vAlign w:val="center"/>
          </w:tcPr>
          <w:p w:rsidR="001A59F9" w:rsidRPr="00A57672" w:rsidRDefault="001A59F9" w:rsidP="00A57672">
            <w:pPr>
              <w:tabs>
                <w:tab w:val="left" w:pos="1740"/>
              </w:tabs>
              <w:spacing w:before="29" w:line="288" w:lineRule="auto"/>
              <w:rPr>
                <w:color w:val="000000"/>
                <w:sz w:val="24"/>
              </w:rPr>
            </w:pPr>
            <w:r w:rsidRPr="00A57672">
              <w:rPr>
                <w:color w:val="000000"/>
                <w:sz w:val="24"/>
              </w:rPr>
              <w:t>基金管理人的办公场所</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13" w:name="_Toc225498250"/>
      <w:bookmarkStart w:id="14" w:name="_Toc361324850"/>
      <w:bookmarkStart w:id="15" w:name="_Toc194312019"/>
      <w:bookmarkStart w:id="16" w:name="_Toc193947512"/>
      <w:r w:rsidRPr="0021360C">
        <w:rPr>
          <w:rFonts w:hint="eastAsia"/>
          <w:b/>
          <w:bCs/>
          <w:szCs w:val="24"/>
          <w:lang w:val="en-US"/>
        </w:rPr>
        <w:t>§</w:t>
      </w:r>
      <w:r w:rsidRPr="0021360C">
        <w:rPr>
          <w:b/>
          <w:bCs/>
          <w:szCs w:val="24"/>
          <w:lang w:val="en-US"/>
        </w:rPr>
        <w:t xml:space="preserve">3 </w:t>
      </w:r>
      <w:r w:rsidR="009153A3" w:rsidRPr="0021360C">
        <w:rPr>
          <w:rFonts w:hint="eastAsia"/>
          <w:b/>
          <w:bCs/>
          <w:szCs w:val="24"/>
          <w:lang w:val="en-US"/>
        </w:rPr>
        <w:t xml:space="preserve"> </w:t>
      </w:r>
      <w:r w:rsidRPr="0021360C">
        <w:rPr>
          <w:rFonts w:hint="eastAsia"/>
          <w:b/>
          <w:bCs/>
          <w:szCs w:val="24"/>
          <w:lang w:val="en-US"/>
        </w:rPr>
        <w:t>主要财务指标、基金净值表现</w:t>
      </w:r>
      <w:bookmarkEnd w:id="13"/>
      <w:r w:rsidRPr="0021360C">
        <w:rPr>
          <w:rFonts w:hint="eastAsia"/>
          <w:b/>
          <w:bCs/>
          <w:szCs w:val="24"/>
          <w:lang w:val="en-US"/>
        </w:rPr>
        <w:t>及利润分配情况</w:t>
      </w:r>
      <w:bookmarkEnd w:id="14"/>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17" w:name="_Toc286996129"/>
      <w:bookmarkStart w:id="18" w:name="_Toc361324851"/>
      <w:r w:rsidRPr="00701155">
        <w:rPr>
          <w:rFonts w:ascii="Times New Roman" w:hAnsi="Times New Roman"/>
          <w:kern w:val="0"/>
          <w:szCs w:val="24"/>
        </w:rPr>
        <w:t xml:space="preserve">3.1 </w:t>
      </w:r>
      <w:r w:rsidRPr="00701155">
        <w:rPr>
          <w:rFonts w:ascii="Times New Roman" w:hAnsi="Times New Roman" w:hint="eastAsia"/>
          <w:kern w:val="0"/>
          <w:szCs w:val="24"/>
        </w:rPr>
        <w:t>主要会计数据和财务指标</w:t>
      </w:r>
      <w:bookmarkEnd w:id="17"/>
      <w:bookmarkEnd w:id="18"/>
    </w:p>
    <w:p w:rsidR="001A59F9" w:rsidRPr="00A6320B" w:rsidRDefault="001A59F9" w:rsidP="00A6320B">
      <w:pPr>
        <w:autoSpaceDE w:val="0"/>
        <w:autoSpaceDN w:val="0"/>
        <w:adjustRightInd w:val="0"/>
        <w:spacing w:before="29" w:line="288" w:lineRule="auto"/>
        <w:ind w:left="15"/>
        <w:jc w:val="right"/>
        <w:rPr>
          <w:color w:val="000000"/>
          <w:kern w:val="0"/>
          <w:sz w:val="24"/>
        </w:rPr>
      </w:pPr>
      <w:r w:rsidRPr="00A6320B">
        <w:rPr>
          <w:rFonts w:hint="eastAsia"/>
          <w:color w:val="000000"/>
          <w:kern w:val="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50"/>
        <w:gridCol w:w="2286"/>
        <w:gridCol w:w="2268"/>
        <w:gridCol w:w="2194"/>
      </w:tblGrid>
      <w:tr w:rsidR="00501A91" w:rsidRPr="00931B45" w:rsidTr="00A6320B">
        <w:trPr>
          <w:trHeight w:val="487"/>
        </w:trPr>
        <w:tc>
          <w:tcPr>
            <w:tcW w:w="2250" w:type="dxa"/>
            <w:vAlign w:val="center"/>
          </w:tcPr>
          <w:bookmarkEnd w:id="15"/>
          <w:bookmarkEnd w:id="16"/>
          <w:p w:rsidR="00501A91" w:rsidRPr="00931B45" w:rsidRDefault="00501A91" w:rsidP="00D415F5">
            <w:pPr>
              <w:spacing w:before="29" w:line="288" w:lineRule="auto"/>
              <w:rPr>
                <w:b/>
                <w:szCs w:val="21"/>
              </w:rPr>
            </w:pPr>
            <w:r w:rsidRPr="00931B45">
              <w:rPr>
                <w:b/>
                <w:szCs w:val="21"/>
              </w:rPr>
              <w:t xml:space="preserve">3.1.1 </w:t>
            </w:r>
            <w:r w:rsidRPr="00931B45">
              <w:rPr>
                <w:rFonts w:hint="eastAsia"/>
                <w:b/>
                <w:szCs w:val="21"/>
              </w:rPr>
              <w:t>期间数据和指标</w:t>
            </w:r>
          </w:p>
        </w:tc>
        <w:tc>
          <w:tcPr>
            <w:tcW w:w="2286" w:type="dxa"/>
            <w:vAlign w:val="center"/>
          </w:tcPr>
          <w:p w:rsidR="00501A91" w:rsidRPr="00931B45" w:rsidRDefault="00501A91" w:rsidP="00D415F5">
            <w:pPr>
              <w:spacing w:before="29" w:line="288" w:lineRule="auto"/>
              <w:jc w:val="center"/>
              <w:rPr>
                <w:b/>
                <w:szCs w:val="21"/>
              </w:rPr>
            </w:pPr>
            <w:r w:rsidRPr="00931B45">
              <w:rPr>
                <w:b/>
                <w:szCs w:val="21"/>
              </w:rPr>
              <w:t>2018</w:t>
            </w:r>
            <w:r w:rsidRPr="00931B45">
              <w:rPr>
                <w:b/>
                <w:szCs w:val="21"/>
              </w:rPr>
              <w:t>年</w:t>
            </w:r>
          </w:p>
        </w:tc>
        <w:tc>
          <w:tcPr>
            <w:tcW w:w="2268" w:type="dxa"/>
            <w:vAlign w:val="center"/>
          </w:tcPr>
          <w:p w:rsidR="00501A91" w:rsidRPr="00931B45" w:rsidRDefault="00501A91" w:rsidP="00D415F5">
            <w:pPr>
              <w:spacing w:before="29" w:line="288" w:lineRule="auto"/>
              <w:jc w:val="center"/>
              <w:rPr>
                <w:b/>
                <w:szCs w:val="21"/>
              </w:rPr>
            </w:pPr>
            <w:r w:rsidRPr="00931B45">
              <w:rPr>
                <w:b/>
                <w:szCs w:val="21"/>
              </w:rPr>
              <w:t>2017</w:t>
            </w:r>
            <w:r w:rsidRPr="00931B45">
              <w:rPr>
                <w:b/>
                <w:szCs w:val="21"/>
              </w:rPr>
              <w:t>年</w:t>
            </w:r>
          </w:p>
        </w:tc>
        <w:tc>
          <w:tcPr>
            <w:tcW w:w="2194" w:type="dxa"/>
            <w:vAlign w:val="center"/>
          </w:tcPr>
          <w:p w:rsidR="00501A91" w:rsidRPr="00931B45" w:rsidRDefault="00501A91" w:rsidP="00D415F5">
            <w:pPr>
              <w:spacing w:before="29" w:line="288" w:lineRule="auto"/>
              <w:jc w:val="center"/>
              <w:rPr>
                <w:b/>
                <w:szCs w:val="21"/>
              </w:rPr>
            </w:pPr>
            <w:r w:rsidRPr="00931B45">
              <w:rPr>
                <w:b/>
                <w:szCs w:val="21"/>
              </w:rPr>
              <w:t>2016</w:t>
            </w:r>
            <w:r w:rsidRPr="00931B45">
              <w:rPr>
                <w:b/>
                <w:szCs w:val="21"/>
              </w:rPr>
              <w:t>年</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本期已实现收益</w:t>
            </w:r>
          </w:p>
        </w:tc>
        <w:tc>
          <w:tcPr>
            <w:tcW w:w="2286" w:type="dxa"/>
            <w:vAlign w:val="center"/>
          </w:tcPr>
          <w:p w:rsidR="00501A91" w:rsidRPr="00931B45" w:rsidRDefault="00501A91" w:rsidP="00D415F5">
            <w:pPr>
              <w:spacing w:before="29" w:line="288" w:lineRule="auto"/>
              <w:jc w:val="right"/>
              <w:rPr>
                <w:szCs w:val="21"/>
              </w:rPr>
            </w:pPr>
            <w:r w:rsidRPr="00931B45">
              <w:rPr>
                <w:szCs w:val="21"/>
              </w:rPr>
              <w:t>-37,811,625.48</w:t>
            </w:r>
          </w:p>
        </w:tc>
        <w:tc>
          <w:tcPr>
            <w:tcW w:w="2268" w:type="dxa"/>
            <w:vAlign w:val="center"/>
          </w:tcPr>
          <w:p w:rsidR="00501A91" w:rsidRPr="00931B45" w:rsidRDefault="00501A91" w:rsidP="00D415F5">
            <w:pPr>
              <w:spacing w:before="29" w:line="288" w:lineRule="auto"/>
              <w:jc w:val="right"/>
              <w:rPr>
                <w:szCs w:val="21"/>
              </w:rPr>
            </w:pPr>
            <w:r w:rsidRPr="00931B45">
              <w:rPr>
                <w:szCs w:val="21"/>
              </w:rPr>
              <w:t>170,207,717.43</w:t>
            </w:r>
          </w:p>
        </w:tc>
        <w:tc>
          <w:tcPr>
            <w:tcW w:w="2194" w:type="dxa"/>
            <w:vAlign w:val="center"/>
          </w:tcPr>
          <w:p w:rsidR="00501A91" w:rsidRPr="00931B45" w:rsidRDefault="00501A91" w:rsidP="00D415F5">
            <w:pPr>
              <w:spacing w:before="29" w:line="288" w:lineRule="auto"/>
              <w:jc w:val="right"/>
              <w:rPr>
                <w:szCs w:val="21"/>
              </w:rPr>
            </w:pPr>
            <w:r w:rsidRPr="00931B45">
              <w:rPr>
                <w:szCs w:val="21"/>
              </w:rPr>
              <w:t>18,735,232.86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-191,386,736.22</w:t>
            </w:r>
          </w:p>
        </w:tc>
        <w:tc>
          <w:tcPr>
            <w:tcW w:w="2268" w:type="dxa"/>
            <w:vAlign w:val="center"/>
          </w:tcPr>
          <w:p w:rsidR="00501A91" w:rsidRPr="00931B45" w:rsidRDefault="00501A91" w:rsidP="00D415F5">
            <w:pPr>
              <w:spacing w:before="29" w:line="288" w:lineRule="auto"/>
              <w:jc w:val="right"/>
              <w:rPr>
                <w:szCs w:val="21"/>
              </w:rPr>
            </w:pPr>
            <w:r w:rsidRPr="00931B45">
              <w:rPr>
                <w:szCs w:val="21"/>
              </w:rPr>
              <w:t>244,100,590.43</w:t>
            </w:r>
          </w:p>
        </w:tc>
        <w:tc>
          <w:tcPr>
            <w:tcW w:w="2194" w:type="dxa"/>
            <w:vAlign w:val="center"/>
          </w:tcPr>
          <w:p w:rsidR="00501A91" w:rsidRPr="00931B45" w:rsidRDefault="00501A91" w:rsidP="00D415F5">
            <w:pPr>
              <w:spacing w:before="29" w:line="288" w:lineRule="auto"/>
              <w:jc w:val="right"/>
              <w:rPr>
                <w:szCs w:val="21"/>
              </w:rPr>
            </w:pPr>
            <w:r w:rsidRPr="00931B45">
              <w:rPr>
                <w:szCs w:val="21"/>
              </w:rPr>
              <w:t>3,220,189.62</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加权平均基金份额本期利润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-0.2882</w:t>
            </w:r>
          </w:p>
        </w:tc>
        <w:tc>
          <w:tcPr>
            <w:tcW w:w="2268" w:type="dxa"/>
            <w:vAlign w:val="center"/>
          </w:tcPr>
          <w:p w:rsidR="00501A91" w:rsidRPr="00931B45" w:rsidRDefault="00501A91" w:rsidP="00D415F5">
            <w:pPr>
              <w:spacing w:before="29" w:line="288" w:lineRule="auto"/>
              <w:jc w:val="right"/>
              <w:rPr>
                <w:szCs w:val="21"/>
              </w:rPr>
            </w:pPr>
            <w:r w:rsidRPr="00931B45">
              <w:rPr>
                <w:szCs w:val="21"/>
              </w:rPr>
              <w:t>0.3837</w:t>
            </w:r>
          </w:p>
        </w:tc>
        <w:tc>
          <w:tcPr>
            <w:tcW w:w="2194" w:type="dxa"/>
            <w:vAlign w:val="center"/>
          </w:tcPr>
          <w:p w:rsidR="00501A91" w:rsidRPr="00931B45" w:rsidRDefault="00501A91" w:rsidP="00D415F5">
            <w:pPr>
              <w:spacing w:before="29" w:line="288" w:lineRule="auto"/>
              <w:jc w:val="right"/>
              <w:rPr>
                <w:szCs w:val="21"/>
              </w:rPr>
            </w:pPr>
            <w:r w:rsidRPr="00931B45">
              <w:rPr>
                <w:szCs w:val="21"/>
              </w:rPr>
              <w:t>0.0167</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本期基金份额净值增长率</w:t>
            </w:r>
          </w:p>
        </w:tc>
        <w:tc>
          <w:tcPr>
            <w:tcW w:w="2286" w:type="dxa"/>
            <w:vAlign w:val="center"/>
          </w:tcPr>
          <w:p w:rsidR="00501A91" w:rsidRPr="00931B45" w:rsidRDefault="00501A91" w:rsidP="00D415F5">
            <w:pPr>
              <w:spacing w:before="29" w:line="288" w:lineRule="auto"/>
              <w:jc w:val="right"/>
              <w:rPr>
                <w:szCs w:val="21"/>
              </w:rPr>
            </w:pPr>
            <w:r w:rsidRPr="00931B45">
              <w:rPr>
                <w:szCs w:val="21"/>
              </w:rPr>
              <w:t>-22.71%</w:t>
            </w:r>
          </w:p>
        </w:tc>
        <w:tc>
          <w:tcPr>
            <w:tcW w:w="2268" w:type="dxa"/>
            <w:vAlign w:val="center"/>
          </w:tcPr>
          <w:p w:rsidR="00501A91" w:rsidRPr="00931B45" w:rsidRDefault="00501A91" w:rsidP="00D415F5">
            <w:pPr>
              <w:spacing w:before="29" w:line="288" w:lineRule="auto"/>
              <w:jc w:val="right"/>
              <w:rPr>
                <w:szCs w:val="21"/>
              </w:rPr>
            </w:pPr>
            <w:r w:rsidRPr="00931B45">
              <w:rPr>
                <w:szCs w:val="21"/>
              </w:rPr>
              <w:t>39.50%</w:t>
            </w:r>
          </w:p>
        </w:tc>
        <w:tc>
          <w:tcPr>
            <w:tcW w:w="2194" w:type="dxa"/>
            <w:vAlign w:val="center"/>
          </w:tcPr>
          <w:p w:rsidR="00501A91" w:rsidRPr="00931B45" w:rsidRDefault="00501A91" w:rsidP="00D415F5">
            <w:pPr>
              <w:spacing w:before="29" w:line="288" w:lineRule="auto"/>
              <w:jc w:val="right"/>
              <w:rPr>
                <w:szCs w:val="21"/>
              </w:rPr>
            </w:pPr>
            <w:r w:rsidRPr="00931B45">
              <w:rPr>
                <w:szCs w:val="21"/>
              </w:rPr>
              <w:t>4.00%</w:t>
            </w:r>
          </w:p>
        </w:tc>
      </w:tr>
      <w:tr w:rsidR="00501A91" w:rsidRPr="00931B45" w:rsidTr="00A6320B">
        <w:tc>
          <w:tcPr>
            <w:tcW w:w="2250" w:type="dxa"/>
            <w:vAlign w:val="center"/>
          </w:tcPr>
          <w:p w:rsidR="00501A91" w:rsidRPr="00931B45" w:rsidRDefault="00501A91" w:rsidP="0050264A">
            <w:pPr>
              <w:spacing w:before="29" w:line="288" w:lineRule="auto"/>
              <w:rPr>
                <w:b/>
                <w:szCs w:val="21"/>
              </w:rPr>
            </w:pPr>
            <w:r w:rsidRPr="00931B45">
              <w:rPr>
                <w:b/>
                <w:szCs w:val="21"/>
              </w:rPr>
              <w:t xml:space="preserve">3.1.2 </w:t>
            </w:r>
            <w:r w:rsidRPr="00931B45">
              <w:rPr>
                <w:rFonts w:hint="eastAsia"/>
                <w:b/>
                <w:szCs w:val="21"/>
              </w:rPr>
              <w:t>期末数据和指标</w:t>
            </w:r>
          </w:p>
        </w:tc>
        <w:tc>
          <w:tcPr>
            <w:tcW w:w="2286" w:type="dxa"/>
            <w:vAlign w:val="center"/>
          </w:tcPr>
          <w:p w:rsidR="00501A91" w:rsidRPr="00931B45" w:rsidRDefault="00501A91" w:rsidP="0050264A">
            <w:pPr>
              <w:spacing w:before="29" w:line="288" w:lineRule="auto"/>
              <w:jc w:val="center"/>
              <w:rPr>
                <w:b/>
                <w:szCs w:val="21"/>
              </w:rPr>
            </w:pPr>
            <w:r w:rsidRPr="00931B45">
              <w:rPr>
                <w:b/>
                <w:szCs w:val="21"/>
              </w:rPr>
              <w:t>2018</w:t>
            </w:r>
            <w:r w:rsidRPr="00931B45">
              <w:rPr>
                <w:rFonts w:hint="eastAsia"/>
                <w:b/>
                <w:szCs w:val="21"/>
              </w:rPr>
              <w:t>年末</w:t>
            </w:r>
          </w:p>
        </w:tc>
        <w:tc>
          <w:tcPr>
            <w:tcW w:w="2268" w:type="dxa"/>
            <w:vAlign w:val="center"/>
          </w:tcPr>
          <w:p w:rsidR="00501A91" w:rsidRPr="00931B45" w:rsidRDefault="00501A91" w:rsidP="0050264A">
            <w:pPr>
              <w:spacing w:before="29" w:line="288" w:lineRule="auto"/>
              <w:jc w:val="center"/>
              <w:rPr>
                <w:b/>
                <w:szCs w:val="21"/>
              </w:rPr>
            </w:pPr>
            <w:r w:rsidRPr="00931B45">
              <w:rPr>
                <w:b/>
                <w:szCs w:val="21"/>
              </w:rPr>
              <w:t>2017</w:t>
            </w:r>
            <w:r w:rsidRPr="00931B45">
              <w:rPr>
                <w:rFonts w:hint="eastAsia"/>
                <w:b/>
                <w:szCs w:val="21"/>
              </w:rPr>
              <w:t>年末</w:t>
            </w:r>
          </w:p>
        </w:tc>
        <w:tc>
          <w:tcPr>
            <w:tcW w:w="2194" w:type="dxa"/>
            <w:vAlign w:val="center"/>
          </w:tcPr>
          <w:p w:rsidR="00501A91" w:rsidRPr="00931B45" w:rsidRDefault="00501A91" w:rsidP="0050264A">
            <w:pPr>
              <w:spacing w:before="29" w:line="288" w:lineRule="auto"/>
              <w:jc w:val="center"/>
              <w:rPr>
                <w:b/>
                <w:szCs w:val="21"/>
              </w:rPr>
            </w:pPr>
            <w:r w:rsidRPr="00931B45">
              <w:rPr>
                <w:b/>
                <w:szCs w:val="21"/>
              </w:rPr>
              <w:t>2016</w:t>
            </w:r>
            <w:r w:rsidRPr="00931B45">
              <w:rPr>
                <w:rFonts w:hint="eastAsia"/>
                <w:b/>
                <w:szCs w:val="21"/>
              </w:rPr>
              <w:t>年末</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期末可供分配基金份额利润</w:t>
            </w:r>
          </w:p>
        </w:tc>
        <w:tc>
          <w:tcPr>
            <w:tcW w:w="2286" w:type="dxa"/>
            <w:vAlign w:val="center"/>
          </w:tcPr>
          <w:p w:rsidR="00501A91" w:rsidRPr="00931B45" w:rsidRDefault="00501A91" w:rsidP="00D415F5">
            <w:pPr>
              <w:spacing w:before="29" w:line="288" w:lineRule="auto"/>
              <w:jc w:val="right"/>
              <w:rPr>
                <w:szCs w:val="21"/>
              </w:rPr>
            </w:pPr>
            <w:r w:rsidRPr="00931B45">
              <w:rPr>
                <w:szCs w:val="21"/>
              </w:rPr>
              <w:t>-0.025</w:t>
            </w:r>
          </w:p>
        </w:tc>
        <w:tc>
          <w:tcPr>
            <w:tcW w:w="2268" w:type="dxa"/>
            <w:vAlign w:val="center"/>
          </w:tcPr>
          <w:p w:rsidR="00501A91" w:rsidRPr="00931B45" w:rsidRDefault="00501A91" w:rsidP="00D415F5">
            <w:pPr>
              <w:spacing w:before="29" w:line="288" w:lineRule="auto"/>
              <w:jc w:val="right"/>
              <w:rPr>
                <w:szCs w:val="21"/>
              </w:rPr>
            </w:pPr>
            <w:r w:rsidRPr="00931B45">
              <w:rPr>
                <w:szCs w:val="21"/>
              </w:rPr>
              <w:t>0.243</w:t>
            </w:r>
          </w:p>
        </w:tc>
        <w:tc>
          <w:tcPr>
            <w:tcW w:w="2194" w:type="dxa"/>
            <w:vAlign w:val="center"/>
          </w:tcPr>
          <w:p w:rsidR="00501A91" w:rsidRPr="00931B45" w:rsidRDefault="00501A91" w:rsidP="00D415F5">
            <w:pPr>
              <w:spacing w:before="29" w:line="288" w:lineRule="auto"/>
              <w:jc w:val="right"/>
              <w:rPr>
                <w:szCs w:val="21"/>
              </w:rPr>
            </w:pPr>
            <w:r w:rsidRPr="00931B45">
              <w:rPr>
                <w:szCs w:val="21"/>
              </w:rPr>
              <w:t>0.145</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期末基金资产净值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979,350,832.40</w:t>
            </w:r>
          </w:p>
        </w:tc>
        <w:tc>
          <w:tcPr>
            <w:tcW w:w="2268" w:type="dxa"/>
            <w:vAlign w:val="center"/>
          </w:tcPr>
          <w:p w:rsidR="00501A91" w:rsidRPr="00931B45" w:rsidRDefault="00501A91" w:rsidP="00D415F5">
            <w:pPr>
              <w:spacing w:before="29" w:line="288" w:lineRule="auto"/>
              <w:jc w:val="right"/>
              <w:rPr>
                <w:szCs w:val="21"/>
              </w:rPr>
            </w:pPr>
            <w:r w:rsidRPr="00931B45">
              <w:rPr>
                <w:szCs w:val="21"/>
              </w:rPr>
              <w:t>757,835,585.19</w:t>
            </w:r>
          </w:p>
        </w:tc>
        <w:tc>
          <w:tcPr>
            <w:tcW w:w="2194" w:type="dxa"/>
            <w:vAlign w:val="center"/>
          </w:tcPr>
          <w:p w:rsidR="00501A91" w:rsidRPr="00931B45" w:rsidRDefault="00501A91" w:rsidP="00D415F5">
            <w:pPr>
              <w:spacing w:before="29" w:line="288" w:lineRule="auto"/>
              <w:jc w:val="right"/>
              <w:rPr>
                <w:szCs w:val="21"/>
              </w:rPr>
            </w:pPr>
            <w:r w:rsidRPr="00931B45">
              <w:rPr>
                <w:szCs w:val="21"/>
              </w:rPr>
              <w:t>308,434,294.46</w:t>
            </w:r>
          </w:p>
        </w:tc>
      </w:tr>
      <w:tr w:rsidR="00501A91" w:rsidRPr="00931B45" w:rsidTr="00A6320B">
        <w:tc>
          <w:tcPr>
            <w:tcW w:w="2250" w:type="dxa"/>
            <w:vAlign w:val="center"/>
          </w:tcPr>
          <w:p w:rsidR="00501A91" w:rsidRPr="00931B45" w:rsidRDefault="00501A91" w:rsidP="0050264A">
            <w:pPr>
              <w:spacing w:before="29" w:line="288" w:lineRule="auto"/>
              <w:rPr>
                <w:szCs w:val="21"/>
              </w:rPr>
            </w:pPr>
            <w:r w:rsidRPr="00931B45">
              <w:rPr>
                <w:rFonts w:hint="eastAsia"/>
                <w:szCs w:val="21"/>
              </w:rPr>
              <w:t>期末基金份额净值</w:t>
            </w:r>
          </w:p>
        </w:tc>
        <w:tc>
          <w:tcPr>
            <w:tcW w:w="2286" w:type="dxa"/>
            <w:vAlign w:val="center"/>
          </w:tcPr>
          <w:p w:rsidR="00501A91" w:rsidRPr="00931B45" w:rsidRDefault="00501A91" w:rsidP="00D415F5">
            <w:pPr>
              <w:spacing w:before="29" w:line="288" w:lineRule="auto"/>
              <w:jc w:val="right"/>
              <w:rPr>
                <w:szCs w:val="21"/>
              </w:rPr>
            </w:pPr>
            <w:r w:rsidRPr="00931B45">
              <w:rPr>
                <w:szCs w:val="21"/>
              </w:rPr>
              <w:t>0.975</w:t>
            </w:r>
          </w:p>
        </w:tc>
        <w:tc>
          <w:tcPr>
            <w:tcW w:w="2268" w:type="dxa"/>
            <w:vAlign w:val="center"/>
          </w:tcPr>
          <w:p w:rsidR="00501A91" w:rsidRPr="00931B45" w:rsidRDefault="00501A91" w:rsidP="00D415F5">
            <w:pPr>
              <w:spacing w:before="29" w:line="288" w:lineRule="auto"/>
              <w:jc w:val="right"/>
              <w:rPr>
                <w:szCs w:val="21"/>
              </w:rPr>
            </w:pPr>
            <w:r w:rsidRPr="00931B45">
              <w:rPr>
                <w:szCs w:val="21"/>
              </w:rPr>
              <w:t>1.385</w:t>
            </w:r>
          </w:p>
        </w:tc>
        <w:tc>
          <w:tcPr>
            <w:tcW w:w="2194" w:type="dxa"/>
            <w:vAlign w:val="center"/>
          </w:tcPr>
          <w:p w:rsidR="00501A91" w:rsidRPr="00931B45" w:rsidRDefault="00501A91" w:rsidP="00D415F5">
            <w:pPr>
              <w:spacing w:before="29" w:line="288" w:lineRule="auto"/>
              <w:jc w:val="right"/>
              <w:rPr>
                <w:szCs w:val="21"/>
              </w:rPr>
            </w:pPr>
            <w:r w:rsidRPr="00931B45">
              <w:rPr>
                <w:szCs w:val="21"/>
              </w:rPr>
              <w:t>1.145</w:t>
            </w:r>
          </w:p>
        </w:tc>
      </w:tr>
    </w:tbl>
    <w:p w:rsidR="002B232B" w:rsidRDefault="0056363F">
      <w:pPr>
        <w:tabs>
          <w:tab w:val="left" w:pos="426"/>
        </w:tabs>
        <w:spacing w:before="29" w:line="288" w:lineRule="auto"/>
        <w:jc w:val="left"/>
        <w:rPr>
          <w:kern w:val="0"/>
          <w:sz w:val="24"/>
        </w:rPr>
      </w:pPr>
      <w:r>
        <w:rPr>
          <w:kern w:val="0"/>
          <w:sz w:val="24"/>
        </w:rPr>
        <w:t>注：</w:t>
      </w:r>
      <w:r>
        <w:rPr>
          <w:kern w:val="0"/>
          <w:sz w:val="24"/>
        </w:rPr>
        <w:t>1</w:t>
      </w:r>
      <w:r>
        <w:rPr>
          <w:kern w:val="0"/>
          <w:sz w:val="24"/>
        </w:rPr>
        <w:t>、上述基金业绩指标不包括持有人认购或交易基金的各项费用，计入费用后的实际收益水平要低于所列数字；</w:t>
      </w:r>
    </w:p>
    <w:p w:rsidR="001A59F9" w:rsidRPr="0060235D" w:rsidRDefault="001A59F9" w:rsidP="0060235D">
      <w:pPr>
        <w:tabs>
          <w:tab w:val="left" w:pos="426"/>
        </w:tabs>
        <w:spacing w:before="29" w:line="288" w:lineRule="auto"/>
        <w:jc w:val="left"/>
        <w:rPr>
          <w:kern w:val="0"/>
          <w:sz w:val="24"/>
        </w:rPr>
      </w:pPr>
      <w:r w:rsidRPr="0060235D">
        <w:rPr>
          <w:kern w:val="0"/>
          <w:sz w:val="24"/>
        </w:rPr>
        <w:t xml:space="preserve">    2</w:t>
      </w:r>
      <w:r w:rsidRPr="0060235D">
        <w:rPr>
          <w:kern w:val="0"/>
          <w:sz w:val="24"/>
        </w:rPr>
        <w:t>、本期已实现收益指基金本期利息收入、投资收益、其他收入（不含公允价值变</w:t>
      </w:r>
      <w:r w:rsidRPr="0060235D">
        <w:rPr>
          <w:kern w:val="0"/>
          <w:sz w:val="24"/>
        </w:rPr>
        <w:lastRenderedPageBreak/>
        <w:t>动收益）扣除相关费用后的余额，本期利润为本期已实现收益加上本期公允价值变动收益。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19" w:name="_Toc225498252"/>
      <w:bookmarkStart w:id="20" w:name="_Toc361324852"/>
      <w:r w:rsidRPr="00701155">
        <w:rPr>
          <w:rFonts w:ascii="Times New Roman" w:hAnsi="Times New Roman"/>
          <w:kern w:val="0"/>
          <w:szCs w:val="24"/>
        </w:rPr>
        <w:t xml:space="preserve">3.2 </w:t>
      </w:r>
      <w:r w:rsidRPr="00701155">
        <w:rPr>
          <w:rFonts w:ascii="Times New Roman" w:hAnsi="Times New Roman" w:hint="eastAsia"/>
          <w:kern w:val="0"/>
          <w:szCs w:val="24"/>
        </w:rPr>
        <w:t>基金净值表现</w:t>
      </w:r>
      <w:bookmarkEnd w:id="19"/>
      <w:bookmarkEnd w:id="2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 xml:space="preserve">3.2.1 </w:t>
      </w:r>
      <w:r w:rsidRPr="00701155">
        <w:rPr>
          <w:rFonts w:ascii="Times New Roman" w:hAnsi="Times New Roman" w:hint="eastAsia"/>
          <w:kern w:val="0"/>
          <w:szCs w:val="24"/>
        </w:rPr>
        <w:t>基金份额净值增长率及其与同期业绩比较基准收益率的比较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86"/>
        <w:gridCol w:w="1286"/>
        <w:gridCol w:w="1286"/>
        <w:gridCol w:w="1285"/>
        <w:gridCol w:w="1285"/>
        <w:gridCol w:w="1285"/>
        <w:gridCol w:w="1285"/>
      </w:tblGrid>
      <w:tr w:rsidR="001A59F9" w:rsidRPr="00C51C77" w:rsidTr="00FC45CB">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阶段</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份额净值增长率①</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份额净值增长率标准差②</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业绩比较基准收益率标准差④</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①－③</w:t>
            </w:r>
          </w:p>
        </w:tc>
        <w:tc>
          <w:tcPr>
            <w:tcW w:w="3459" w:type="dxa"/>
            <w:vAlign w:val="center"/>
          </w:tcPr>
          <w:p w:rsidR="001A59F9" w:rsidRPr="002310FE" w:rsidRDefault="001A59F9" w:rsidP="002310FE">
            <w:pPr>
              <w:spacing w:before="29" w:line="288" w:lineRule="auto"/>
              <w:jc w:val="center"/>
              <w:rPr>
                <w:color w:val="000000"/>
                <w:sz w:val="24"/>
              </w:rPr>
            </w:pPr>
            <w:r w:rsidRPr="002310FE">
              <w:rPr>
                <w:rFonts w:hint="eastAsia"/>
                <w:color w:val="000000"/>
                <w:sz w:val="24"/>
              </w:rPr>
              <w:t>②－④</w:t>
            </w:r>
          </w:p>
        </w:tc>
      </w:tr>
      <w:tr w:rsidR="002B232B">
        <w:tc>
          <w:tcPr>
            <w:tcW w:w="1286" w:type="dxa"/>
            <w:vAlign w:val="center"/>
          </w:tcPr>
          <w:p w:rsidR="002B232B" w:rsidRDefault="0056363F">
            <w:pPr>
              <w:jc w:val="left"/>
            </w:pPr>
            <w:r>
              <w:rPr>
                <w:color w:val="000000"/>
                <w:sz w:val="24"/>
              </w:rPr>
              <w:t>过去三个月</w:t>
            </w:r>
          </w:p>
        </w:tc>
        <w:tc>
          <w:tcPr>
            <w:tcW w:w="1286" w:type="dxa"/>
            <w:vAlign w:val="center"/>
          </w:tcPr>
          <w:p w:rsidR="002B232B" w:rsidRDefault="0056363F">
            <w:pPr>
              <w:jc w:val="center"/>
            </w:pPr>
            <w:r>
              <w:rPr>
                <w:color w:val="000000"/>
                <w:sz w:val="24"/>
              </w:rPr>
              <w:t>-11.46%</w:t>
            </w:r>
          </w:p>
        </w:tc>
        <w:tc>
          <w:tcPr>
            <w:tcW w:w="1286" w:type="dxa"/>
            <w:vAlign w:val="center"/>
          </w:tcPr>
          <w:p w:rsidR="002B232B" w:rsidRDefault="0056363F">
            <w:pPr>
              <w:jc w:val="center"/>
            </w:pPr>
            <w:r>
              <w:rPr>
                <w:color w:val="000000"/>
                <w:sz w:val="24"/>
              </w:rPr>
              <w:t>1.56%</w:t>
            </w:r>
          </w:p>
        </w:tc>
        <w:tc>
          <w:tcPr>
            <w:tcW w:w="1285" w:type="dxa"/>
            <w:vAlign w:val="center"/>
          </w:tcPr>
          <w:p w:rsidR="002B232B" w:rsidRDefault="0056363F">
            <w:pPr>
              <w:jc w:val="center"/>
            </w:pPr>
            <w:r>
              <w:rPr>
                <w:color w:val="000000"/>
                <w:sz w:val="24"/>
              </w:rPr>
              <w:t>-6.54%</w:t>
            </w:r>
          </w:p>
        </w:tc>
        <w:tc>
          <w:tcPr>
            <w:tcW w:w="1285" w:type="dxa"/>
            <w:vAlign w:val="center"/>
          </w:tcPr>
          <w:p w:rsidR="002B232B" w:rsidRDefault="0056363F">
            <w:pPr>
              <w:jc w:val="center"/>
            </w:pPr>
            <w:r>
              <w:rPr>
                <w:color w:val="000000"/>
                <w:sz w:val="24"/>
              </w:rPr>
              <w:t>0.98%</w:t>
            </w:r>
          </w:p>
        </w:tc>
        <w:tc>
          <w:tcPr>
            <w:tcW w:w="1285" w:type="dxa"/>
            <w:vAlign w:val="center"/>
          </w:tcPr>
          <w:p w:rsidR="002B232B" w:rsidRDefault="0056363F">
            <w:pPr>
              <w:jc w:val="center"/>
            </w:pPr>
            <w:r>
              <w:rPr>
                <w:color w:val="000000"/>
                <w:sz w:val="24"/>
              </w:rPr>
              <w:t>-4.92%</w:t>
            </w:r>
          </w:p>
        </w:tc>
        <w:tc>
          <w:tcPr>
            <w:tcW w:w="1285" w:type="dxa"/>
            <w:vAlign w:val="center"/>
          </w:tcPr>
          <w:p w:rsidR="002B232B" w:rsidRDefault="0056363F">
            <w:pPr>
              <w:jc w:val="center"/>
            </w:pPr>
            <w:r>
              <w:rPr>
                <w:color w:val="000000"/>
                <w:sz w:val="24"/>
              </w:rPr>
              <w:t>0.58%</w:t>
            </w:r>
          </w:p>
        </w:tc>
      </w:tr>
      <w:tr w:rsidR="002B232B">
        <w:tc>
          <w:tcPr>
            <w:tcW w:w="1286" w:type="dxa"/>
            <w:vAlign w:val="center"/>
          </w:tcPr>
          <w:p w:rsidR="002B232B" w:rsidRDefault="0056363F">
            <w:pPr>
              <w:jc w:val="left"/>
            </w:pPr>
            <w:r>
              <w:rPr>
                <w:color w:val="000000"/>
                <w:sz w:val="24"/>
              </w:rPr>
              <w:t>过去六个月</w:t>
            </w:r>
          </w:p>
        </w:tc>
        <w:tc>
          <w:tcPr>
            <w:tcW w:w="1286" w:type="dxa"/>
            <w:vAlign w:val="center"/>
          </w:tcPr>
          <w:p w:rsidR="002B232B" w:rsidRDefault="0056363F">
            <w:pPr>
              <w:jc w:val="center"/>
            </w:pPr>
            <w:r>
              <w:rPr>
                <w:color w:val="000000"/>
                <w:sz w:val="24"/>
              </w:rPr>
              <w:t>-19.70%</w:t>
            </w:r>
          </w:p>
        </w:tc>
        <w:tc>
          <w:tcPr>
            <w:tcW w:w="1286" w:type="dxa"/>
            <w:vAlign w:val="center"/>
          </w:tcPr>
          <w:p w:rsidR="002B232B" w:rsidRDefault="0056363F">
            <w:pPr>
              <w:jc w:val="center"/>
            </w:pPr>
            <w:r>
              <w:rPr>
                <w:color w:val="000000"/>
                <w:sz w:val="24"/>
              </w:rPr>
              <w:t>1.45%</w:t>
            </w:r>
          </w:p>
        </w:tc>
        <w:tc>
          <w:tcPr>
            <w:tcW w:w="1285" w:type="dxa"/>
            <w:vAlign w:val="center"/>
          </w:tcPr>
          <w:p w:rsidR="002B232B" w:rsidRDefault="0056363F">
            <w:pPr>
              <w:jc w:val="center"/>
            </w:pPr>
            <w:r>
              <w:rPr>
                <w:color w:val="000000"/>
                <w:sz w:val="24"/>
              </w:rPr>
              <w:t>-7.07%</w:t>
            </w:r>
          </w:p>
        </w:tc>
        <w:tc>
          <w:tcPr>
            <w:tcW w:w="1285" w:type="dxa"/>
            <w:vAlign w:val="center"/>
          </w:tcPr>
          <w:p w:rsidR="002B232B" w:rsidRDefault="0056363F">
            <w:pPr>
              <w:jc w:val="center"/>
            </w:pPr>
            <w:r>
              <w:rPr>
                <w:color w:val="000000"/>
                <w:sz w:val="24"/>
              </w:rPr>
              <w:t>0.90%</w:t>
            </w:r>
          </w:p>
        </w:tc>
        <w:tc>
          <w:tcPr>
            <w:tcW w:w="1285" w:type="dxa"/>
            <w:vAlign w:val="center"/>
          </w:tcPr>
          <w:p w:rsidR="002B232B" w:rsidRDefault="0056363F">
            <w:pPr>
              <w:jc w:val="center"/>
            </w:pPr>
            <w:r>
              <w:rPr>
                <w:color w:val="000000"/>
                <w:sz w:val="24"/>
              </w:rPr>
              <w:t>-12.63%</w:t>
            </w:r>
          </w:p>
        </w:tc>
        <w:tc>
          <w:tcPr>
            <w:tcW w:w="1285" w:type="dxa"/>
            <w:vAlign w:val="center"/>
          </w:tcPr>
          <w:p w:rsidR="002B232B" w:rsidRDefault="0056363F">
            <w:pPr>
              <w:jc w:val="center"/>
            </w:pPr>
            <w:r>
              <w:rPr>
                <w:color w:val="000000"/>
                <w:sz w:val="24"/>
              </w:rPr>
              <w:t>0.55%</w:t>
            </w:r>
          </w:p>
        </w:tc>
      </w:tr>
      <w:tr w:rsidR="002B232B">
        <w:tc>
          <w:tcPr>
            <w:tcW w:w="1286" w:type="dxa"/>
            <w:vAlign w:val="center"/>
          </w:tcPr>
          <w:p w:rsidR="002B232B" w:rsidRDefault="0056363F">
            <w:pPr>
              <w:jc w:val="left"/>
            </w:pPr>
            <w:r>
              <w:rPr>
                <w:color w:val="000000"/>
                <w:sz w:val="24"/>
              </w:rPr>
              <w:t>过去一年</w:t>
            </w:r>
          </w:p>
        </w:tc>
        <w:tc>
          <w:tcPr>
            <w:tcW w:w="1286" w:type="dxa"/>
            <w:vAlign w:val="center"/>
          </w:tcPr>
          <w:p w:rsidR="002B232B" w:rsidRDefault="0056363F">
            <w:pPr>
              <w:jc w:val="center"/>
            </w:pPr>
            <w:r>
              <w:rPr>
                <w:color w:val="000000"/>
                <w:sz w:val="24"/>
              </w:rPr>
              <w:t>-22.71%</w:t>
            </w:r>
          </w:p>
        </w:tc>
        <w:tc>
          <w:tcPr>
            <w:tcW w:w="1286" w:type="dxa"/>
            <w:vAlign w:val="center"/>
          </w:tcPr>
          <w:p w:rsidR="002B232B" w:rsidRDefault="0056363F">
            <w:pPr>
              <w:jc w:val="center"/>
            </w:pPr>
            <w:r>
              <w:rPr>
                <w:color w:val="000000"/>
                <w:sz w:val="24"/>
              </w:rPr>
              <w:t>1.38%</w:t>
            </w:r>
          </w:p>
        </w:tc>
        <w:tc>
          <w:tcPr>
            <w:tcW w:w="1285" w:type="dxa"/>
            <w:vAlign w:val="center"/>
          </w:tcPr>
          <w:p w:rsidR="002B232B" w:rsidRDefault="0056363F">
            <w:pPr>
              <w:jc w:val="center"/>
            </w:pPr>
            <w:r>
              <w:rPr>
                <w:color w:val="000000"/>
                <w:sz w:val="24"/>
              </w:rPr>
              <w:t>-12.93%</w:t>
            </w:r>
          </w:p>
        </w:tc>
        <w:tc>
          <w:tcPr>
            <w:tcW w:w="1285" w:type="dxa"/>
            <w:vAlign w:val="center"/>
          </w:tcPr>
          <w:p w:rsidR="002B232B" w:rsidRDefault="0056363F">
            <w:pPr>
              <w:jc w:val="center"/>
            </w:pPr>
            <w:r>
              <w:rPr>
                <w:color w:val="000000"/>
                <w:sz w:val="24"/>
              </w:rPr>
              <w:t>0.80%</w:t>
            </w:r>
          </w:p>
        </w:tc>
        <w:tc>
          <w:tcPr>
            <w:tcW w:w="1285" w:type="dxa"/>
            <w:vAlign w:val="center"/>
          </w:tcPr>
          <w:p w:rsidR="002B232B" w:rsidRDefault="0056363F">
            <w:pPr>
              <w:jc w:val="center"/>
            </w:pPr>
            <w:r>
              <w:rPr>
                <w:color w:val="000000"/>
                <w:sz w:val="24"/>
              </w:rPr>
              <w:t>-9.78%</w:t>
            </w:r>
          </w:p>
        </w:tc>
        <w:tc>
          <w:tcPr>
            <w:tcW w:w="1285" w:type="dxa"/>
            <w:vAlign w:val="center"/>
          </w:tcPr>
          <w:p w:rsidR="002B232B" w:rsidRDefault="0056363F">
            <w:pPr>
              <w:jc w:val="center"/>
            </w:pPr>
            <w:r>
              <w:rPr>
                <w:color w:val="000000"/>
                <w:sz w:val="24"/>
              </w:rPr>
              <w:t>0.58%</w:t>
            </w:r>
          </w:p>
        </w:tc>
      </w:tr>
      <w:tr w:rsidR="002B232B">
        <w:tc>
          <w:tcPr>
            <w:tcW w:w="1286" w:type="dxa"/>
            <w:vAlign w:val="center"/>
          </w:tcPr>
          <w:p w:rsidR="002B232B" w:rsidRDefault="0056363F">
            <w:pPr>
              <w:jc w:val="left"/>
            </w:pPr>
            <w:r>
              <w:rPr>
                <w:color w:val="000000"/>
                <w:sz w:val="24"/>
              </w:rPr>
              <w:t>过去三年</w:t>
            </w:r>
          </w:p>
        </w:tc>
        <w:tc>
          <w:tcPr>
            <w:tcW w:w="1286" w:type="dxa"/>
            <w:vAlign w:val="center"/>
          </w:tcPr>
          <w:p w:rsidR="002B232B" w:rsidRDefault="0056363F">
            <w:pPr>
              <w:jc w:val="center"/>
            </w:pPr>
            <w:r>
              <w:rPr>
                <w:color w:val="000000"/>
                <w:sz w:val="24"/>
              </w:rPr>
              <w:t>12.13%</w:t>
            </w:r>
          </w:p>
        </w:tc>
        <w:tc>
          <w:tcPr>
            <w:tcW w:w="1286" w:type="dxa"/>
            <w:vAlign w:val="center"/>
          </w:tcPr>
          <w:p w:rsidR="002B232B" w:rsidRDefault="0056363F">
            <w:pPr>
              <w:jc w:val="center"/>
            </w:pPr>
            <w:r>
              <w:rPr>
                <w:color w:val="000000"/>
                <w:sz w:val="24"/>
              </w:rPr>
              <w:t>1.23%</w:t>
            </w:r>
          </w:p>
        </w:tc>
        <w:tc>
          <w:tcPr>
            <w:tcW w:w="1285" w:type="dxa"/>
            <w:vAlign w:val="center"/>
          </w:tcPr>
          <w:p w:rsidR="002B232B" w:rsidRDefault="0056363F">
            <w:pPr>
              <w:jc w:val="center"/>
            </w:pPr>
            <w:r>
              <w:rPr>
                <w:color w:val="000000"/>
                <w:sz w:val="24"/>
              </w:rPr>
              <w:t>-7.27%</w:t>
            </w:r>
          </w:p>
        </w:tc>
        <w:tc>
          <w:tcPr>
            <w:tcW w:w="1285" w:type="dxa"/>
            <w:vAlign w:val="center"/>
          </w:tcPr>
          <w:p w:rsidR="002B232B" w:rsidRDefault="0056363F">
            <w:pPr>
              <w:jc w:val="center"/>
            </w:pPr>
            <w:r>
              <w:rPr>
                <w:color w:val="000000"/>
                <w:sz w:val="24"/>
              </w:rPr>
              <w:t>0.71%</w:t>
            </w:r>
          </w:p>
        </w:tc>
        <w:tc>
          <w:tcPr>
            <w:tcW w:w="1285" w:type="dxa"/>
            <w:vAlign w:val="center"/>
          </w:tcPr>
          <w:p w:rsidR="002B232B" w:rsidRDefault="0056363F">
            <w:pPr>
              <w:jc w:val="center"/>
            </w:pPr>
            <w:r>
              <w:rPr>
                <w:color w:val="000000"/>
                <w:sz w:val="24"/>
              </w:rPr>
              <w:t>19.40%</w:t>
            </w:r>
          </w:p>
        </w:tc>
        <w:tc>
          <w:tcPr>
            <w:tcW w:w="1285" w:type="dxa"/>
            <w:vAlign w:val="center"/>
          </w:tcPr>
          <w:p w:rsidR="002B232B" w:rsidRDefault="0056363F">
            <w:pPr>
              <w:jc w:val="center"/>
            </w:pPr>
            <w:r>
              <w:rPr>
                <w:color w:val="000000"/>
                <w:sz w:val="24"/>
              </w:rPr>
              <w:t>0.52%</w:t>
            </w:r>
          </w:p>
        </w:tc>
      </w:tr>
      <w:tr w:rsidR="002B232B">
        <w:tc>
          <w:tcPr>
            <w:tcW w:w="1286" w:type="dxa"/>
            <w:vAlign w:val="center"/>
          </w:tcPr>
          <w:p w:rsidR="002B232B" w:rsidRDefault="0056363F">
            <w:pPr>
              <w:jc w:val="left"/>
            </w:pPr>
            <w:r>
              <w:rPr>
                <w:color w:val="000000"/>
                <w:sz w:val="24"/>
              </w:rPr>
              <w:t>自基金合同生效起至今</w:t>
            </w:r>
          </w:p>
        </w:tc>
        <w:tc>
          <w:tcPr>
            <w:tcW w:w="1286" w:type="dxa"/>
            <w:vAlign w:val="center"/>
          </w:tcPr>
          <w:p w:rsidR="002B232B" w:rsidRDefault="0056363F">
            <w:pPr>
              <w:jc w:val="center"/>
            </w:pPr>
            <w:r>
              <w:rPr>
                <w:color w:val="000000"/>
                <w:sz w:val="24"/>
              </w:rPr>
              <w:t>0.04%</w:t>
            </w:r>
          </w:p>
        </w:tc>
        <w:tc>
          <w:tcPr>
            <w:tcW w:w="1286" w:type="dxa"/>
            <w:vAlign w:val="center"/>
          </w:tcPr>
          <w:p w:rsidR="002B232B" w:rsidRDefault="0056363F">
            <w:pPr>
              <w:jc w:val="center"/>
            </w:pPr>
            <w:r>
              <w:rPr>
                <w:color w:val="000000"/>
                <w:sz w:val="24"/>
              </w:rPr>
              <w:t>1.51%</w:t>
            </w:r>
          </w:p>
        </w:tc>
        <w:tc>
          <w:tcPr>
            <w:tcW w:w="1285" w:type="dxa"/>
            <w:vAlign w:val="center"/>
          </w:tcPr>
          <w:p w:rsidR="002B232B" w:rsidRDefault="0056363F">
            <w:pPr>
              <w:jc w:val="center"/>
            </w:pPr>
            <w:r>
              <w:rPr>
                <w:color w:val="000000"/>
                <w:sz w:val="24"/>
              </w:rPr>
              <w:t>-12.81%</w:t>
            </w:r>
          </w:p>
        </w:tc>
        <w:tc>
          <w:tcPr>
            <w:tcW w:w="1285" w:type="dxa"/>
            <w:vAlign w:val="center"/>
          </w:tcPr>
          <w:p w:rsidR="002B232B" w:rsidRDefault="0056363F">
            <w:pPr>
              <w:jc w:val="center"/>
            </w:pPr>
            <w:r>
              <w:rPr>
                <w:color w:val="000000"/>
                <w:sz w:val="24"/>
              </w:rPr>
              <w:t>0.91%</w:t>
            </w:r>
          </w:p>
        </w:tc>
        <w:tc>
          <w:tcPr>
            <w:tcW w:w="1285" w:type="dxa"/>
            <w:vAlign w:val="center"/>
          </w:tcPr>
          <w:p w:rsidR="002B232B" w:rsidRDefault="0056363F">
            <w:pPr>
              <w:jc w:val="center"/>
            </w:pPr>
            <w:r>
              <w:rPr>
                <w:color w:val="000000"/>
                <w:sz w:val="24"/>
              </w:rPr>
              <w:t>12.85%</w:t>
            </w:r>
          </w:p>
        </w:tc>
        <w:tc>
          <w:tcPr>
            <w:tcW w:w="1285" w:type="dxa"/>
            <w:vAlign w:val="center"/>
          </w:tcPr>
          <w:p w:rsidR="002B232B" w:rsidRDefault="0056363F">
            <w:pPr>
              <w:jc w:val="center"/>
            </w:pPr>
            <w:r>
              <w:rPr>
                <w:color w:val="000000"/>
                <w:sz w:val="24"/>
              </w:rPr>
              <w:t>0.60%</w:t>
            </w:r>
          </w:p>
        </w:tc>
      </w:tr>
    </w:tbl>
    <w:p w:rsidR="002B232B" w:rsidRDefault="0056363F">
      <w:pPr>
        <w:tabs>
          <w:tab w:val="left" w:pos="426"/>
        </w:tabs>
        <w:spacing w:before="29" w:line="288" w:lineRule="auto"/>
        <w:jc w:val="left"/>
        <w:rPr>
          <w:rFonts w:asciiTheme="minorEastAsia" w:eastAsiaTheme="minorEastAsia" w:hAnsiTheme="minorEastAsia"/>
          <w:szCs w:val="21"/>
        </w:rPr>
      </w:pPr>
      <w:r>
        <w:rPr>
          <w:kern w:val="0"/>
          <w:sz w:val="24"/>
        </w:rPr>
        <w:t>注：</w:t>
      </w:r>
      <w:r>
        <w:rPr>
          <w:kern w:val="0"/>
          <w:sz w:val="24"/>
        </w:rPr>
        <w:t>1</w:t>
      </w:r>
      <w:r>
        <w:rPr>
          <w:kern w:val="0"/>
          <w:sz w:val="24"/>
        </w:rPr>
        <w:t>、交银施罗德荣安保本混合型证券投资基金从</w:t>
      </w:r>
      <w:r>
        <w:rPr>
          <w:kern w:val="0"/>
          <w:sz w:val="24"/>
        </w:rPr>
        <w:t>2015</w:t>
      </w:r>
      <w:r>
        <w:rPr>
          <w:kern w:val="0"/>
          <w:sz w:val="24"/>
        </w:rPr>
        <w:t>年</w:t>
      </w:r>
      <w:r>
        <w:rPr>
          <w:kern w:val="0"/>
          <w:sz w:val="24"/>
        </w:rPr>
        <w:t>6</w:t>
      </w:r>
      <w:r>
        <w:rPr>
          <w:kern w:val="0"/>
          <w:sz w:val="24"/>
        </w:rPr>
        <w:t>月</w:t>
      </w:r>
      <w:r>
        <w:rPr>
          <w:kern w:val="0"/>
          <w:sz w:val="24"/>
        </w:rPr>
        <w:t>27</w:t>
      </w:r>
      <w:r>
        <w:rPr>
          <w:kern w:val="0"/>
          <w:sz w:val="24"/>
        </w:rPr>
        <w:t>日起正式转型为交银施罗德策略回报灵活配置混合型证券投资基金，本表列示的是基金转型后的基金净值表现，转型后基金的业绩比较基准为</w:t>
      </w:r>
      <w:r>
        <w:rPr>
          <w:kern w:val="0"/>
          <w:sz w:val="24"/>
        </w:rPr>
        <w:t>60%×</w:t>
      </w:r>
      <w:r>
        <w:rPr>
          <w:kern w:val="0"/>
          <w:sz w:val="24"/>
        </w:rPr>
        <w:t>沪深</w:t>
      </w:r>
      <w:r>
        <w:rPr>
          <w:kern w:val="0"/>
          <w:sz w:val="24"/>
        </w:rPr>
        <w:t>300</w:t>
      </w:r>
      <w:r>
        <w:rPr>
          <w:kern w:val="0"/>
          <w:sz w:val="24"/>
        </w:rPr>
        <w:t>指数收益率</w:t>
      </w:r>
      <w:r>
        <w:rPr>
          <w:kern w:val="0"/>
          <w:sz w:val="24"/>
        </w:rPr>
        <w:t>+40%×</w:t>
      </w:r>
      <w:r>
        <w:rPr>
          <w:kern w:val="0"/>
          <w:sz w:val="24"/>
        </w:rPr>
        <w:t>中信标普全债指数收益率，每日进行再平衡。</w:t>
      </w:r>
    </w:p>
    <w:p w:rsidR="001A59F9" w:rsidRPr="00C51C77" w:rsidRDefault="001A59F9" w:rsidP="00610A19">
      <w:pPr>
        <w:tabs>
          <w:tab w:val="left" w:pos="426"/>
        </w:tabs>
        <w:spacing w:before="29" w:line="288" w:lineRule="auto"/>
        <w:jc w:val="left"/>
        <w:rPr>
          <w:rFonts w:asciiTheme="minorEastAsia" w:eastAsiaTheme="minorEastAsia" w:hAnsiTheme="minorEastAsia"/>
          <w:szCs w:val="21"/>
        </w:rPr>
      </w:pPr>
      <w:r w:rsidRPr="00FC45CB">
        <w:rPr>
          <w:kern w:val="0"/>
          <w:sz w:val="24"/>
        </w:rPr>
        <w:t>2</w:t>
      </w:r>
      <w:r w:rsidRPr="00FC45CB">
        <w:rPr>
          <w:kern w:val="0"/>
          <w:sz w:val="24"/>
        </w:rPr>
        <w:t>、本基金业绩比较基准自</w:t>
      </w:r>
      <w:r w:rsidRPr="00FC45CB">
        <w:rPr>
          <w:kern w:val="0"/>
          <w:sz w:val="24"/>
        </w:rPr>
        <w:t>2015</w:t>
      </w:r>
      <w:r w:rsidRPr="00FC45CB">
        <w:rPr>
          <w:kern w:val="0"/>
          <w:sz w:val="24"/>
        </w:rPr>
        <w:t>年</w:t>
      </w:r>
      <w:r w:rsidRPr="00FC45CB">
        <w:rPr>
          <w:kern w:val="0"/>
          <w:sz w:val="24"/>
        </w:rPr>
        <w:t>10</w:t>
      </w:r>
      <w:r w:rsidRPr="00FC45CB">
        <w:rPr>
          <w:kern w:val="0"/>
          <w:sz w:val="24"/>
        </w:rPr>
        <w:t>月</w:t>
      </w:r>
      <w:r w:rsidRPr="00FC45CB">
        <w:rPr>
          <w:kern w:val="0"/>
          <w:sz w:val="24"/>
        </w:rPr>
        <w:t>1</w:t>
      </w:r>
      <w:r w:rsidRPr="00FC45CB">
        <w:rPr>
          <w:kern w:val="0"/>
          <w:sz w:val="24"/>
        </w:rPr>
        <w:t>日起，由</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中信标普全债指数收益率</w:t>
      </w:r>
      <w:r w:rsidRPr="00FC45CB">
        <w:rPr>
          <w:kern w:val="0"/>
          <w:sz w:val="24"/>
        </w:rPr>
        <w:t>”</w:t>
      </w:r>
      <w:r w:rsidRPr="00FC45CB">
        <w:rPr>
          <w:kern w:val="0"/>
          <w:sz w:val="24"/>
        </w:rPr>
        <w:t>变更为</w:t>
      </w:r>
      <w:r w:rsidRPr="00FC45CB">
        <w:rPr>
          <w:kern w:val="0"/>
          <w:sz w:val="24"/>
        </w:rPr>
        <w:t>“60%×</w:t>
      </w:r>
      <w:r w:rsidRPr="00FC45CB">
        <w:rPr>
          <w:kern w:val="0"/>
          <w:sz w:val="24"/>
        </w:rPr>
        <w:t>沪深</w:t>
      </w:r>
      <w:r w:rsidRPr="00FC45CB">
        <w:rPr>
          <w:kern w:val="0"/>
          <w:sz w:val="24"/>
        </w:rPr>
        <w:t>300</w:t>
      </w:r>
      <w:r w:rsidRPr="00FC45CB">
        <w:rPr>
          <w:kern w:val="0"/>
          <w:sz w:val="24"/>
        </w:rPr>
        <w:t>指数收益率</w:t>
      </w:r>
      <w:r w:rsidRPr="00FC45CB">
        <w:rPr>
          <w:kern w:val="0"/>
          <w:sz w:val="24"/>
        </w:rPr>
        <w:t>+40%×</w:t>
      </w:r>
      <w:r w:rsidRPr="00FC45CB">
        <w:rPr>
          <w:kern w:val="0"/>
          <w:sz w:val="24"/>
        </w:rPr>
        <w:t>中证综合债券指数收益率</w:t>
      </w:r>
      <w:r w:rsidRPr="00FC45CB">
        <w:rPr>
          <w:kern w:val="0"/>
          <w:sz w:val="24"/>
        </w:rPr>
        <w:t>”</w:t>
      </w:r>
      <w:r w:rsidRPr="00FC45CB">
        <w:rPr>
          <w:kern w:val="0"/>
          <w:sz w:val="24"/>
        </w:rPr>
        <w:t>，</w:t>
      </w:r>
      <w:r w:rsidRPr="00FC45CB">
        <w:rPr>
          <w:kern w:val="0"/>
          <w:sz w:val="24"/>
        </w:rPr>
        <w:t>3.2.2</w:t>
      </w:r>
      <w:r w:rsidRPr="00FC45CB">
        <w:rPr>
          <w:kern w:val="0"/>
          <w:sz w:val="24"/>
        </w:rPr>
        <w:t>同。详情见本基金管理人于</w:t>
      </w:r>
      <w:r w:rsidRPr="00FC45CB">
        <w:rPr>
          <w:kern w:val="0"/>
          <w:sz w:val="24"/>
        </w:rPr>
        <w:t>2015</w:t>
      </w:r>
      <w:r w:rsidRPr="00FC45CB">
        <w:rPr>
          <w:kern w:val="0"/>
          <w:sz w:val="24"/>
        </w:rPr>
        <w:t>年</w:t>
      </w:r>
      <w:r w:rsidRPr="00FC45CB">
        <w:rPr>
          <w:kern w:val="0"/>
          <w:sz w:val="24"/>
        </w:rPr>
        <w:t>9</w:t>
      </w:r>
      <w:r w:rsidRPr="00FC45CB">
        <w:rPr>
          <w:kern w:val="0"/>
          <w:sz w:val="24"/>
        </w:rPr>
        <w:t>月</w:t>
      </w:r>
      <w:r w:rsidRPr="00FC45CB">
        <w:rPr>
          <w:kern w:val="0"/>
          <w:sz w:val="24"/>
        </w:rPr>
        <w:t>28</w:t>
      </w:r>
      <w:r w:rsidRPr="00FC45CB">
        <w:rPr>
          <w:kern w:val="0"/>
          <w:sz w:val="24"/>
        </w:rPr>
        <w:t>日发布的《交银施罗德基金管理有限公司关于旗下部分基金业绩比较基准变更并修改基金合同相关内容的公告》。每日进行再平衡过程。</w:t>
      </w:r>
      <w:r w:rsidR="00610A19">
        <w:rPr>
          <w:rFonts w:hint="eastAsia"/>
          <w:kern w:val="0"/>
          <w:sz w:val="24"/>
        </w:rPr>
        <w:br/>
      </w:r>
    </w:p>
    <w:p w:rsidR="00852116" w:rsidRPr="00701155" w:rsidRDefault="00852116" w:rsidP="00701155">
      <w:pPr>
        <w:pStyle w:val="20"/>
        <w:spacing w:before="29" w:after="0" w:line="288" w:lineRule="auto"/>
        <w:rPr>
          <w:rFonts w:ascii="Times New Roman" w:hAnsi="Times New Roman"/>
          <w:kern w:val="0"/>
          <w:szCs w:val="24"/>
        </w:rPr>
      </w:pPr>
      <w:r w:rsidRPr="00701155">
        <w:rPr>
          <w:rFonts w:ascii="Times New Roman" w:hAnsi="Times New Roman" w:hint="eastAsia"/>
          <w:kern w:val="0"/>
          <w:szCs w:val="24"/>
        </w:rPr>
        <w:lastRenderedPageBreak/>
        <w:t xml:space="preserve">3.2.2 </w:t>
      </w:r>
      <w:r w:rsidR="006B6275" w:rsidRPr="00F91246">
        <w:rPr>
          <w:rFonts w:ascii="Times New Roman" w:hAnsi="Times New Roman"/>
          <w:kern w:val="0"/>
          <w:szCs w:val="24"/>
        </w:rPr>
        <w:t>自基金转型以来</w:t>
      </w:r>
      <w:r w:rsidRPr="00701155">
        <w:rPr>
          <w:rFonts w:ascii="Times New Roman" w:hAnsi="Times New Roman"/>
          <w:kern w:val="0"/>
          <w:szCs w:val="24"/>
        </w:rPr>
        <w:t>基金份额累计净值增长率变动及其与同期业绩比较基准收益率变动的比较</w:t>
      </w:r>
      <w:r w:rsidRPr="00701155">
        <w:rPr>
          <w:rFonts w:ascii="Times New Roman" w:hAnsi="Times New Roman"/>
          <w:kern w:val="0"/>
          <w:szCs w:val="24"/>
        </w:rPr>
        <w:t xml:space="preserve"> </w:t>
      </w:r>
    </w:p>
    <w:p w:rsidR="001A59F9" w:rsidRPr="00C51C77" w:rsidRDefault="00A72EF3" w:rsidP="00026C9C">
      <w:pPr>
        <w:spacing w:line="360" w:lineRule="auto"/>
        <w:jc w:val="center"/>
        <w:rPr>
          <w:rFonts w:asciiTheme="minorEastAsia" w:eastAsiaTheme="minorEastAsia" w:hAnsiTheme="minorEastAsia"/>
          <w:color w:val="000000"/>
          <w:szCs w:val="21"/>
        </w:rPr>
      </w:pPr>
      <w:r>
        <w:rPr>
          <w:rFonts w:asciiTheme="minorEastAsia" w:eastAsiaTheme="minorEastAsia" w:hAnsiTheme="minorEastAsia"/>
          <w:noProof/>
          <w:color w:val="000000"/>
          <w:szCs w:val="21"/>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A59F9" w:rsidRPr="00650E05" w:rsidRDefault="001A59F9" w:rsidP="00650E05">
      <w:pPr>
        <w:tabs>
          <w:tab w:val="left" w:pos="426"/>
        </w:tabs>
        <w:spacing w:before="29" w:line="288" w:lineRule="auto"/>
        <w:jc w:val="left"/>
        <w:rPr>
          <w:kern w:val="0"/>
          <w:sz w:val="24"/>
        </w:rPr>
      </w:pPr>
      <w:r w:rsidRPr="00650E05">
        <w:rPr>
          <w:kern w:val="0"/>
          <w:sz w:val="24"/>
        </w:rPr>
        <w:t>注：本基金由交银施罗德荣安保本混合型证券投资基金转型而来。基金转型日为</w:t>
      </w:r>
      <w:r w:rsidRPr="00650E05">
        <w:rPr>
          <w:kern w:val="0"/>
          <w:sz w:val="24"/>
        </w:rPr>
        <w:t>2015</w:t>
      </w:r>
      <w:r w:rsidRPr="00650E05">
        <w:rPr>
          <w:kern w:val="0"/>
          <w:sz w:val="24"/>
        </w:rPr>
        <w:t>年</w:t>
      </w:r>
      <w:r w:rsidRPr="00650E05">
        <w:rPr>
          <w:kern w:val="0"/>
          <w:sz w:val="24"/>
        </w:rPr>
        <w:t>6</w:t>
      </w:r>
      <w:r w:rsidRPr="00650E05">
        <w:rPr>
          <w:kern w:val="0"/>
          <w:sz w:val="24"/>
        </w:rPr>
        <w:t>月</w:t>
      </w:r>
      <w:r w:rsidRPr="00650E05">
        <w:rPr>
          <w:kern w:val="0"/>
          <w:sz w:val="24"/>
        </w:rPr>
        <w:t>27</w:t>
      </w:r>
      <w:r w:rsidRPr="00650E05">
        <w:rPr>
          <w:kern w:val="0"/>
          <w:sz w:val="24"/>
        </w:rPr>
        <w:t>日。本基金的投资转型期为交银施罗德荣安保本混合型证券投资基金保本周期到期选择期截止日次日（即</w:t>
      </w:r>
      <w:r w:rsidRPr="00650E05">
        <w:rPr>
          <w:kern w:val="0"/>
          <w:sz w:val="24"/>
        </w:rPr>
        <w:t>2015</w:t>
      </w:r>
      <w:r w:rsidRPr="00650E05">
        <w:rPr>
          <w:kern w:val="0"/>
          <w:sz w:val="24"/>
        </w:rPr>
        <w:t>年</w:t>
      </w:r>
      <w:r w:rsidRPr="00650E05">
        <w:rPr>
          <w:kern w:val="0"/>
          <w:sz w:val="24"/>
        </w:rPr>
        <w:t>6</w:t>
      </w:r>
      <w:r w:rsidRPr="00650E05">
        <w:rPr>
          <w:kern w:val="0"/>
          <w:sz w:val="24"/>
        </w:rPr>
        <w:t>月</w:t>
      </w:r>
      <w:r w:rsidRPr="00650E05">
        <w:rPr>
          <w:kern w:val="0"/>
          <w:sz w:val="24"/>
        </w:rPr>
        <w:t>27</w:t>
      </w:r>
      <w:r w:rsidRPr="00650E05">
        <w:rPr>
          <w:kern w:val="0"/>
          <w:sz w:val="24"/>
        </w:rPr>
        <w:t>日）起的</w:t>
      </w:r>
      <w:r w:rsidRPr="00650E05">
        <w:rPr>
          <w:kern w:val="0"/>
          <w:sz w:val="24"/>
        </w:rPr>
        <w:t>3</w:t>
      </w:r>
      <w:r w:rsidRPr="00650E05">
        <w:rPr>
          <w:kern w:val="0"/>
          <w:sz w:val="24"/>
        </w:rPr>
        <w:t>个月。截至投资转型期结束，本基金各项资产配置比例符合基金合同及招募说明书有关投资比例的约定。</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lastRenderedPageBreak/>
        <w:t xml:space="preserve">3.2.3 </w:t>
      </w:r>
      <w:r w:rsidR="00A225D8" w:rsidRPr="00701155">
        <w:rPr>
          <w:rFonts w:ascii="Times New Roman" w:hAnsi="Times New Roman" w:hint="eastAsia"/>
          <w:kern w:val="0"/>
          <w:szCs w:val="24"/>
        </w:rPr>
        <w:t>自基金转型以来</w:t>
      </w:r>
      <w:r w:rsidRPr="00701155">
        <w:rPr>
          <w:rFonts w:ascii="Times New Roman" w:hAnsi="Times New Roman" w:hint="eastAsia"/>
          <w:kern w:val="0"/>
          <w:szCs w:val="24"/>
        </w:rPr>
        <w:t>基金每年净值增长率及其与同期业绩比较基准收益率的比较</w:t>
      </w:r>
    </w:p>
    <w:p w:rsidR="00A0223F" w:rsidRPr="00C51C77" w:rsidRDefault="00B55CA6" w:rsidP="00A225D8">
      <w:pPr>
        <w:spacing w:line="360" w:lineRule="auto"/>
        <w:jc w:val="center"/>
        <w:rPr>
          <w:rFonts w:ascii="宋体" w:hAnsi="宋体"/>
          <w:b/>
          <w:bCs/>
          <w:color w:val="000000"/>
          <w:szCs w:val="21"/>
          <w:vertAlign w:val="superscript"/>
        </w:rPr>
      </w:pPr>
      <w:r>
        <w:rPr>
          <w:rFonts w:ascii="宋体" w:hAnsi="宋体"/>
          <w:b/>
          <w:bCs/>
          <w:noProof/>
          <w:color w:val="000000"/>
          <w:szCs w:val="21"/>
          <w:vertAlign w:val="superscript"/>
        </w:rPr>
        <w:drawing>
          <wp:inline distT="0" distB="0" distL="0" distR="0" wp14:anchorId="43D7549C" wp14:editId="36D5CD1F">
            <wp:extent cx="5759450" cy="3372485"/>
            <wp:effectExtent l="0" t="0" r="0" b="0"/>
            <wp:docPr id="4" name="图片 4" descr="C:\Users\bonnieliu\Desktop\走势图柱状图\柱状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柱状图1.jpg"/>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759450" cy="3372485"/>
                    </a:xfrm>
                    <a:prstGeom prst="rect">
                      <a:avLst/>
                    </a:prstGeom>
                    <a:noFill/>
                    <a:ln>
                      <a:noFill/>
                    </a:ln>
                  </pic:spPr>
                </pic:pic>
              </a:graphicData>
            </a:graphic>
          </wp:inline>
        </w:drawing>
      </w:r>
      <w:bookmarkStart w:id="21" w:name="_GoBack"/>
      <w:bookmarkEnd w:id="21"/>
    </w:p>
    <w:p w:rsidR="001A59F9" w:rsidRPr="00B05374" w:rsidRDefault="001A59F9" w:rsidP="00B05374">
      <w:pPr>
        <w:tabs>
          <w:tab w:val="left" w:pos="426"/>
        </w:tabs>
        <w:spacing w:before="29" w:line="288" w:lineRule="auto"/>
        <w:jc w:val="left"/>
        <w:rPr>
          <w:kern w:val="0"/>
          <w:sz w:val="24"/>
        </w:rPr>
      </w:pPr>
      <w:r w:rsidRPr="00B05374">
        <w:rPr>
          <w:kern w:val="0"/>
          <w:sz w:val="24"/>
        </w:rPr>
        <w:t>注：图示日期为</w:t>
      </w:r>
      <w:r w:rsidRPr="00B05374">
        <w:rPr>
          <w:kern w:val="0"/>
          <w:sz w:val="24"/>
        </w:rPr>
        <w:t>2015</w:t>
      </w:r>
      <w:r w:rsidRPr="00B05374">
        <w:rPr>
          <w:kern w:val="0"/>
          <w:sz w:val="24"/>
        </w:rPr>
        <w:t>年</w:t>
      </w:r>
      <w:r w:rsidRPr="00B05374">
        <w:rPr>
          <w:kern w:val="0"/>
          <w:sz w:val="24"/>
        </w:rPr>
        <w:t>6</w:t>
      </w:r>
      <w:r w:rsidRPr="00B05374">
        <w:rPr>
          <w:kern w:val="0"/>
          <w:sz w:val="24"/>
        </w:rPr>
        <w:t>月</w:t>
      </w:r>
      <w:r w:rsidRPr="00B05374">
        <w:rPr>
          <w:kern w:val="0"/>
          <w:sz w:val="24"/>
        </w:rPr>
        <w:t>27</w:t>
      </w:r>
      <w:r w:rsidRPr="00B05374">
        <w:rPr>
          <w:kern w:val="0"/>
          <w:sz w:val="24"/>
        </w:rPr>
        <w:t>日至</w:t>
      </w:r>
      <w:r w:rsidRPr="00B05374">
        <w:rPr>
          <w:kern w:val="0"/>
          <w:sz w:val="24"/>
        </w:rPr>
        <w:t>2018</w:t>
      </w:r>
      <w:r w:rsidRPr="00B05374">
        <w:rPr>
          <w:kern w:val="0"/>
          <w:sz w:val="24"/>
        </w:rPr>
        <w:t>年</w:t>
      </w:r>
      <w:r w:rsidRPr="00B05374">
        <w:rPr>
          <w:kern w:val="0"/>
          <w:sz w:val="24"/>
        </w:rPr>
        <w:t>12</w:t>
      </w:r>
      <w:r w:rsidRPr="00B05374">
        <w:rPr>
          <w:kern w:val="0"/>
          <w:sz w:val="24"/>
        </w:rPr>
        <w:t>月</w:t>
      </w:r>
      <w:r w:rsidRPr="00B05374">
        <w:rPr>
          <w:kern w:val="0"/>
          <w:sz w:val="24"/>
        </w:rPr>
        <w:t>31</w:t>
      </w:r>
      <w:r w:rsidRPr="00B05374">
        <w:rPr>
          <w:kern w:val="0"/>
          <w:sz w:val="24"/>
        </w:rPr>
        <w:t>日，基金转型当年的净值增长率按照当年实际存续期计算。</w:t>
      </w:r>
    </w:p>
    <w:p w:rsidR="002E63B8" w:rsidRPr="00C51C77" w:rsidRDefault="002E63B8" w:rsidP="00026C9C">
      <w:pPr>
        <w:spacing w:line="360" w:lineRule="auto"/>
        <w:ind w:firstLine="420"/>
        <w:jc w:val="left"/>
        <w:rPr>
          <w:rFonts w:asciiTheme="minorEastAsia" w:eastAsiaTheme="minorEastAsia" w:hAnsiTheme="minorEastAsia"/>
          <w:color w:val="000000"/>
          <w:szCs w:val="21"/>
        </w:rPr>
      </w:pPr>
    </w:p>
    <w:p w:rsidR="00E63239" w:rsidRPr="00701155" w:rsidRDefault="00E63239" w:rsidP="00701155">
      <w:pPr>
        <w:pStyle w:val="20"/>
        <w:spacing w:before="29" w:after="0" w:line="288" w:lineRule="auto"/>
        <w:rPr>
          <w:rFonts w:ascii="Times New Roman" w:hAnsi="Times New Roman"/>
          <w:kern w:val="0"/>
          <w:szCs w:val="24"/>
        </w:rPr>
      </w:pPr>
      <w:bookmarkStart w:id="22" w:name="_Toc249760033"/>
      <w:bookmarkStart w:id="23" w:name="_Toc361324853"/>
      <w:r w:rsidRPr="00701155">
        <w:rPr>
          <w:rFonts w:ascii="Times New Roman" w:hAnsi="Times New Roman"/>
          <w:kern w:val="0"/>
          <w:szCs w:val="24"/>
        </w:rPr>
        <w:t>3.3</w:t>
      </w:r>
      <w:r w:rsidRPr="00701155">
        <w:rPr>
          <w:rFonts w:ascii="Times New Roman" w:hAnsi="Times New Roman" w:hint="eastAsia"/>
          <w:kern w:val="0"/>
          <w:szCs w:val="24"/>
        </w:rPr>
        <w:t xml:space="preserve"> </w:t>
      </w:r>
      <w:r w:rsidRPr="00701155">
        <w:rPr>
          <w:rFonts w:ascii="Times New Roman" w:hAnsi="Times New Roman" w:hint="eastAsia"/>
          <w:kern w:val="0"/>
          <w:szCs w:val="24"/>
        </w:rPr>
        <w:t>过去三年基金的利润分配情况</w:t>
      </w:r>
      <w:bookmarkEnd w:id="22"/>
      <w:bookmarkEnd w:id="23"/>
    </w:p>
    <w:p w:rsidR="00E63239" w:rsidRPr="005531B6" w:rsidRDefault="00E63239" w:rsidP="005531B6">
      <w:pPr>
        <w:pStyle w:val="a0"/>
        <w:spacing w:line="360" w:lineRule="auto"/>
        <w:ind w:firstLine="480"/>
        <w:jc w:val="right"/>
        <w:rPr>
          <w:color w:val="000000"/>
          <w:kern w:val="0"/>
          <w:sz w:val="24"/>
        </w:rPr>
      </w:pPr>
      <w:r w:rsidRPr="005531B6">
        <w:rPr>
          <w:rFonts w:hint="eastAsia"/>
          <w:color w:val="000000"/>
          <w:kern w:val="0"/>
          <w:sz w:val="24"/>
        </w:rPr>
        <w:t>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336"/>
        <w:gridCol w:w="1663"/>
        <w:gridCol w:w="1739"/>
        <w:gridCol w:w="1701"/>
        <w:gridCol w:w="1060"/>
      </w:tblGrid>
      <w:tr w:rsidR="00E63239" w:rsidRPr="00C51C77" w:rsidTr="00294271">
        <w:tc>
          <w:tcPr>
            <w:tcW w:w="1499" w:type="dxa"/>
            <w:vAlign w:val="center"/>
          </w:tcPr>
          <w:p w:rsidR="00E63239" w:rsidRPr="005531B6" w:rsidRDefault="00E63239" w:rsidP="00630017">
            <w:pPr>
              <w:spacing w:before="29" w:line="288" w:lineRule="auto"/>
              <w:jc w:val="center"/>
              <w:rPr>
                <w:sz w:val="24"/>
              </w:rPr>
            </w:pPr>
            <w:r w:rsidRPr="005531B6">
              <w:rPr>
                <w:rFonts w:hint="eastAsia"/>
                <w:sz w:val="24"/>
              </w:rPr>
              <w:t>年度</w:t>
            </w:r>
          </w:p>
        </w:tc>
        <w:tc>
          <w:tcPr>
            <w:tcW w:w="1336" w:type="dxa"/>
            <w:vAlign w:val="center"/>
          </w:tcPr>
          <w:p w:rsidR="00E63239" w:rsidRPr="005531B6" w:rsidRDefault="00E63239" w:rsidP="00630017">
            <w:pPr>
              <w:spacing w:before="29" w:line="288" w:lineRule="auto"/>
              <w:jc w:val="center"/>
              <w:rPr>
                <w:sz w:val="24"/>
              </w:rPr>
            </w:pPr>
            <w:r w:rsidRPr="005531B6">
              <w:rPr>
                <w:rFonts w:hint="eastAsia"/>
                <w:sz w:val="24"/>
              </w:rPr>
              <w:t>每</w:t>
            </w:r>
            <w:r w:rsidRPr="005531B6">
              <w:rPr>
                <w:sz w:val="24"/>
              </w:rPr>
              <w:t>10</w:t>
            </w:r>
            <w:r w:rsidRPr="005531B6">
              <w:rPr>
                <w:rFonts w:hint="eastAsia"/>
                <w:sz w:val="24"/>
              </w:rPr>
              <w:t>份基金份额分红数</w:t>
            </w:r>
          </w:p>
        </w:tc>
        <w:tc>
          <w:tcPr>
            <w:tcW w:w="1663" w:type="dxa"/>
            <w:vAlign w:val="center"/>
          </w:tcPr>
          <w:p w:rsidR="00E63239" w:rsidRPr="005531B6" w:rsidRDefault="00E63239" w:rsidP="00630017">
            <w:pPr>
              <w:spacing w:before="29" w:line="288" w:lineRule="auto"/>
              <w:jc w:val="center"/>
              <w:rPr>
                <w:sz w:val="24"/>
              </w:rPr>
            </w:pPr>
            <w:r w:rsidRPr="005531B6">
              <w:rPr>
                <w:rFonts w:hint="eastAsia"/>
                <w:sz w:val="24"/>
              </w:rPr>
              <w:t>现金形式发放总额</w:t>
            </w:r>
          </w:p>
        </w:tc>
        <w:tc>
          <w:tcPr>
            <w:tcW w:w="1739" w:type="dxa"/>
            <w:vAlign w:val="center"/>
          </w:tcPr>
          <w:p w:rsidR="00E63239" w:rsidRPr="005531B6" w:rsidRDefault="00E63239" w:rsidP="00630017">
            <w:pPr>
              <w:spacing w:before="29" w:line="288" w:lineRule="auto"/>
              <w:jc w:val="center"/>
              <w:rPr>
                <w:sz w:val="24"/>
              </w:rPr>
            </w:pPr>
            <w:r w:rsidRPr="005531B6">
              <w:rPr>
                <w:rFonts w:hint="eastAsia"/>
                <w:sz w:val="24"/>
              </w:rPr>
              <w:t>再投资形式发放总额</w:t>
            </w:r>
          </w:p>
        </w:tc>
        <w:tc>
          <w:tcPr>
            <w:tcW w:w="1701" w:type="dxa"/>
            <w:vAlign w:val="center"/>
          </w:tcPr>
          <w:p w:rsidR="00E63239" w:rsidRPr="005531B6" w:rsidRDefault="00E63239" w:rsidP="00630017">
            <w:pPr>
              <w:spacing w:before="29" w:line="288" w:lineRule="auto"/>
              <w:jc w:val="center"/>
              <w:rPr>
                <w:sz w:val="24"/>
              </w:rPr>
            </w:pPr>
            <w:r w:rsidRPr="005531B6">
              <w:rPr>
                <w:rFonts w:hint="eastAsia"/>
                <w:sz w:val="24"/>
              </w:rPr>
              <w:t>年度利润分配合计</w:t>
            </w:r>
          </w:p>
        </w:tc>
        <w:tc>
          <w:tcPr>
            <w:tcW w:w="1060" w:type="dxa"/>
            <w:vAlign w:val="center"/>
          </w:tcPr>
          <w:p w:rsidR="00E63239" w:rsidRPr="005531B6" w:rsidRDefault="00E63239" w:rsidP="00630017">
            <w:pPr>
              <w:spacing w:before="29" w:line="288" w:lineRule="auto"/>
              <w:jc w:val="center"/>
              <w:rPr>
                <w:sz w:val="24"/>
              </w:rPr>
            </w:pPr>
            <w:r w:rsidRPr="005531B6">
              <w:rPr>
                <w:rFonts w:hint="eastAsia"/>
                <w:sz w:val="24"/>
              </w:rPr>
              <w:t>备注</w:t>
            </w:r>
          </w:p>
        </w:tc>
      </w:tr>
      <w:tr w:rsidR="002B232B">
        <w:tc>
          <w:tcPr>
            <w:tcW w:w="1499" w:type="dxa"/>
            <w:vAlign w:val="center"/>
          </w:tcPr>
          <w:p w:rsidR="002B232B" w:rsidRDefault="0056363F">
            <w:pPr>
              <w:jc w:val="center"/>
            </w:pPr>
            <w:r>
              <w:rPr>
                <w:color w:val="000000"/>
                <w:sz w:val="24"/>
              </w:rPr>
              <w:t>2018</w:t>
            </w:r>
            <w:r>
              <w:rPr>
                <w:color w:val="000000"/>
                <w:sz w:val="24"/>
              </w:rPr>
              <w:t>年</w:t>
            </w:r>
          </w:p>
        </w:tc>
        <w:tc>
          <w:tcPr>
            <w:tcW w:w="1336" w:type="dxa"/>
            <w:vAlign w:val="center"/>
          </w:tcPr>
          <w:p w:rsidR="002B232B" w:rsidRDefault="0056363F">
            <w:pPr>
              <w:jc w:val="right"/>
            </w:pPr>
            <w:r>
              <w:rPr>
                <w:color w:val="000000"/>
                <w:sz w:val="24"/>
              </w:rPr>
              <w:t>0.980</w:t>
            </w:r>
          </w:p>
        </w:tc>
        <w:tc>
          <w:tcPr>
            <w:tcW w:w="1663" w:type="dxa"/>
            <w:vAlign w:val="center"/>
          </w:tcPr>
          <w:p w:rsidR="002B232B" w:rsidRDefault="0056363F">
            <w:pPr>
              <w:jc w:val="right"/>
            </w:pPr>
            <w:r>
              <w:rPr>
                <w:color w:val="000000"/>
                <w:sz w:val="24"/>
              </w:rPr>
              <w:t>92,606,443.73</w:t>
            </w:r>
          </w:p>
        </w:tc>
        <w:tc>
          <w:tcPr>
            <w:tcW w:w="1739" w:type="dxa"/>
            <w:vAlign w:val="center"/>
          </w:tcPr>
          <w:p w:rsidR="002B232B" w:rsidRDefault="0056363F">
            <w:pPr>
              <w:jc w:val="right"/>
            </w:pPr>
            <w:r>
              <w:rPr>
                <w:color w:val="000000"/>
                <w:sz w:val="24"/>
              </w:rPr>
              <w:t>5,485,802.49</w:t>
            </w:r>
          </w:p>
        </w:tc>
        <w:tc>
          <w:tcPr>
            <w:tcW w:w="1701" w:type="dxa"/>
            <w:vAlign w:val="center"/>
          </w:tcPr>
          <w:p w:rsidR="002B232B" w:rsidRDefault="0056363F">
            <w:pPr>
              <w:jc w:val="right"/>
            </w:pPr>
            <w:r>
              <w:rPr>
                <w:color w:val="000000"/>
                <w:sz w:val="24"/>
              </w:rPr>
              <w:t>98,092,246.22</w:t>
            </w:r>
          </w:p>
        </w:tc>
        <w:tc>
          <w:tcPr>
            <w:tcW w:w="1060" w:type="dxa"/>
            <w:vAlign w:val="center"/>
          </w:tcPr>
          <w:p w:rsidR="002B232B" w:rsidRDefault="0056363F">
            <w:pPr>
              <w:jc w:val="left"/>
            </w:pPr>
            <w:r>
              <w:rPr>
                <w:color w:val="000000"/>
                <w:sz w:val="24"/>
              </w:rPr>
              <w:t>-</w:t>
            </w:r>
          </w:p>
        </w:tc>
      </w:tr>
      <w:tr w:rsidR="002B232B">
        <w:tc>
          <w:tcPr>
            <w:tcW w:w="1499" w:type="dxa"/>
            <w:vAlign w:val="center"/>
          </w:tcPr>
          <w:p w:rsidR="002B232B" w:rsidRDefault="0056363F">
            <w:pPr>
              <w:jc w:val="center"/>
            </w:pPr>
            <w:r>
              <w:rPr>
                <w:color w:val="000000"/>
                <w:sz w:val="24"/>
              </w:rPr>
              <w:t>2017</w:t>
            </w:r>
            <w:r>
              <w:rPr>
                <w:color w:val="000000"/>
                <w:sz w:val="24"/>
              </w:rPr>
              <w:t>年</w:t>
            </w:r>
          </w:p>
        </w:tc>
        <w:tc>
          <w:tcPr>
            <w:tcW w:w="1336" w:type="dxa"/>
            <w:vAlign w:val="center"/>
          </w:tcPr>
          <w:p w:rsidR="002B232B" w:rsidRDefault="0056363F">
            <w:pPr>
              <w:jc w:val="right"/>
            </w:pPr>
            <w:r>
              <w:rPr>
                <w:color w:val="000000"/>
                <w:sz w:val="24"/>
              </w:rPr>
              <w:t>1.720</w:t>
            </w:r>
          </w:p>
        </w:tc>
        <w:tc>
          <w:tcPr>
            <w:tcW w:w="1663" w:type="dxa"/>
            <w:vAlign w:val="center"/>
          </w:tcPr>
          <w:p w:rsidR="002B232B" w:rsidRDefault="0056363F">
            <w:pPr>
              <w:jc w:val="right"/>
            </w:pPr>
            <w:r>
              <w:rPr>
                <w:color w:val="000000"/>
                <w:sz w:val="24"/>
              </w:rPr>
              <w:t>120,678,384.51</w:t>
            </w:r>
          </w:p>
        </w:tc>
        <w:tc>
          <w:tcPr>
            <w:tcW w:w="1739" w:type="dxa"/>
            <w:vAlign w:val="center"/>
          </w:tcPr>
          <w:p w:rsidR="002B232B" w:rsidRDefault="0056363F">
            <w:pPr>
              <w:jc w:val="right"/>
            </w:pPr>
            <w:r>
              <w:rPr>
                <w:color w:val="000000"/>
                <w:sz w:val="24"/>
              </w:rPr>
              <w:t>5,538,259.51</w:t>
            </w:r>
          </w:p>
        </w:tc>
        <w:tc>
          <w:tcPr>
            <w:tcW w:w="1701" w:type="dxa"/>
            <w:vAlign w:val="center"/>
          </w:tcPr>
          <w:p w:rsidR="002B232B" w:rsidRDefault="0056363F">
            <w:pPr>
              <w:jc w:val="right"/>
            </w:pPr>
            <w:r>
              <w:rPr>
                <w:color w:val="000000"/>
                <w:sz w:val="24"/>
              </w:rPr>
              <w:t>126,216,644.02</w:t>
            </w:r>
          </w:p>
        </w:tc>
        <w:tc>
          <w:tcPr>
            <w:tcW w:w="1060" w:type="dxa"/>
            <w:vAlign w:val="center"/>
          </w:tcPr>
          <w:p w:rsidR="002B232B" w:rsidRDefault="0056363F">
            <w:pPr>
              <w:jc w:val="left"/>
            </w:pPr>
            <w:r>
              <w:rPr>
                <w:color w:val="000000"/>
                <w:sz w:val="24"/>
              </w:rPr>
              <w:t>-</w:t>
            </w:r>
          </w:p>
        </w:tc>
      </w:tr>
      <w:tr w:rsidR="002B232B">
        <w:tc>
          <w:tcPr>
            <w:tcW w:w="1499" w:type="dxa"/>
            <w:vAlign w:val="center"/>
          </w:tcPr>
          <w:p w:rsidR="002B232B" w:rsidRDefault="0056363F">
            <w:pPr>
              <w:jc w:val="center"/>
            </w:pPr>
            <w:r>
              <w:rPr>
                <w:color w:val="000000"/>
                <w:sz w:val="24"/>
              </w:rPr>
              <w:t>2016</w:t>
            </w:r>
          </w:p>
        </w:tc>
        <w:tc>
          <w:tcPr>
            <w:tcW w:w="1336" w:type="dxa"/>
            <w:vAlign w:val="center"/>
          </w:tcPr>
          <w:p w:rsidR="002B232B" w:rsidRDefault="0056363F">
            <w:pPr>
              <w:jc w:val="right"/>
            </w:pPr>
            <w:r>
              <w:rPr>
                <w:color w:val="000000"/>
                <w:sz w:val="24"/>
              </w:rPr>
              <w:t>-</w:t>
            </w:r>
          </w:p>
        </w:tc>
        <w:tc>
          <w:tcPr>
            <w:tcW w:w="1663" w:type="dxa"/>
            <w:vAlign w:val="center"/>
          </w:tcPr>
          <w:p w:rsidR="002B232B" w:rsidRDefault="0056363F">
            <w:pPr>
              <w:jc w:val="right"/>
            </w:pPr>
            <w:r>
              <w:rPr>
                <w:color w:val="000000"/>
                <w:sz w:val="24"/>
              </w:rPr>
              <w:t>-</w:t>
            </w:r>
          </w:p>
        </w:tc>
        <w:tc>
          <w:tcPr>
            <w:tcW w:w="1739" w:type="dxa"/>
            <w:vAlign w:val="center"/>
          </w:tcPr>
          <w:p w:rsidR="002B232B" w:rsidRDefault="0056363F">
            <w:pPr>
              <w:jc w:val="right"/>
            </w:pPr>
            <w:r>
              <w:rPr>
                <w:color w:val="000000"/>
                <w:sz w:val="24"/>
              </w:rPr>
              <w:t>-</w:t>
            </w:r>
          </w:p>
        </w:tc>
        <w:tc>
          <w:tcPr>
            <w:tcW w:w="1701" w:type="dxa"/>
            <w:vAlign w:val="center"/>
          </w:tcPr>
          <w:p w:rsidR="002B232B" w:rsidRDefault="0056363F">
            <w:pPr>
              <w:jc w:val="right"/>
            </w:pPr>
            <w:r>
              <w:rPr>
                <w:color w:val="000000"/>
                <w:sz w:val="24"/>
              </w:rPr>
              <w:t>-</w:t>
            </w:r>
          </w:p>
        </w:tc>
        <w:tc>
          <w:tcPr>
            <w:tcW w:w="1060" w:type="dxa"/>
            <w:vAlign w:val="center"/>
          </w:tcPr>
          <w:p w:rsidR="002B232B" w:rsidRDefault="0056363F">
            <w:pPr>
              <w:jc w:val="left"/>
            </w:pPr>
            <w:r>
              <w:rPr>
                <w:color w:val="000000"/>
                <w:sz w:val="24"/>
              </w:rPr>
              <w:t>-</w:t>
            </w:r>
          </w:p>
        </w:tc>
      </w:tr>
      <w:tr w:rsidR="00E63239" w:rsidRPr="00C51C77" w:rsidTr="00294271">
        <w:tc>
          <w:tcPr>
            <w:tcW w:w="1499" w:type="dxa"/>
            <w:vAlign w:val="center"/>
          </w:tcPr>
          <w:p w:rsidR="00E63239" w:rsidRPr="00C6200C" w:rsidRDefault="00E63239" w:rsidP="003F79D5">
            <w:pPr>
              <w:spacing w:before="29" w:line="288" w:lineRule="auto"/>
              <w:jc w:val="center"/>
              <w:rPr>
                <w:color w:val="000000"/>
                <w:sz w:val="24"/>
              </w:rPr>
            </w:pPr>
            <w:r w:rsidRPr="00C6200C">
              <w:rPr>
                <w:rFonts w:hint="eastAsia"/>
                <w:color w:val="000000"/>
                <w:sz w:val="24"/>
              </w:rPr>
              <w:t>合计</w:t>
            </w:r>
          </w:p>
        </w:tc>
        <w:tc>
          <w:tcPr>
            <w:tcW w:w="1336" w:type="dxa"/>
            <w:vAlign w:val="center"/>
          </w:tcPr>
          <w:p w:rsidR="00E63239" w:rsidRPr="00C6200C" w:rsidRDefault="00E63239" w:rsidP="00294271">
            <w:pPr>
              <w:spacing w:before="29" w:line="288" w:lineRule="auto"/>
              <w:jc w:val="right"/>
              <w:rPr>
                <w:color w:val="000000"/>
                <w:sz w:val="24"/>
              </w:rPr>
            </w:pPr>
            <w:r w:rsidRPr="00C6200C">
              <w:rPr>
                <w:color w:val="000000"/>
                <w:sz w:val="24"/>
              </w:rPr>
              <w:t>2.700</w:t>
            </w:r>
          </w:p>
        </w:tc>
        <w:tc>
          <w:tcPr>
            <w:tcW w:w="1663" w:type="dxa"/>
            <w:vAlign w:val="center"/>
          </w:tcPr>
          <w:p w:rsidR="00E63239" w:rsidRPr="00C6200C" w:rsidRDefault="00E63239" w:rsidP="00294271">
            <w:pPr>
              <w:spacing w:before="29" w:line="288" w:lineRule="auto"/>
              <w:jc w:val="right"/>
              <w:rPr>
                <w:color w:val="000000"/>
                <w:sz w:val="24"/>
              </w:rPr>
            </w:pPr>
            <w:r w:rsidRPr="00C6200C">
              <w:rPr>
                <w:color w:val="000000"/>
                <w:sz w:val="24"/>
              </w:rPr>
              <w:t>213,284,828.24</w:t>
            </w:r>
          </w:p>
        </w:tc>
        <w:tc>
          <w:tcPr>
            <w:tcW w:w="1739" w:type="dxa"/>
            <w:vAlign w:val="center"/>
          </w:tcPr>
          <w:p w:rsidR="00E63239" w:rsidRPr="00C6200C" w:rsidRDefault="00E63239" w:rsidP="00294271">
            <w:pPr>
              <w:spacing w:before="29" w:line="288" w:lineRule="auto"/>
              <w:jc w:val="right"/>
              <w:rPr>
                <w:color w:val="000000"/>
                <w:sz w:val="24"/>
              </w:rPr>
            </w:pPr>
            <w:r w:rsidRPr="00C6200C">
              <w:rPr>
                <w:color w:val="000000"/>
                <w:sz w:val="24"/>
              </w:rPr>
              <w:t>11,024,062.00</w:t>
            </w:r>
          </w:p>
        </w:tc>
        <w:tc>
          <w:tcPr>
            <w:tcW w:w="1701" w:type="dxa"/>
            <w:vAlign w:val="center"/>
          </w:tcPr>
          <w:p w:rsidR="00E63239" w:rsidRPr="00C6200C" w:rsidRDefault="00E63239" w:rsidP="00294271">
            <w:pPr>
              <w:spacing w:before="29" w:line="288" w:lineRule="auto"/>
              <w:jc w:val="right"/>
              <w:rPr>
                <w:color w:val="000000"/>
                <w:sz w:val="24"/>
              </w:rPr>
            </w:pPr>
            <w:r w:rsidRPr="00C6200C">
              <w:rPr>
                <w:color w:val="000000"/>
                <w:sz w:val="24"/>
              </w:rPr>
              <w:t>224,308,890.24</w:t>
            </w:r>
          </w:p>
        </w:tc>
        <w:tc>
          <w:tcPr>
            <w:tcW w:w="1060" w:type="dxa"/>
            <w:vAlign w:val="center"/>
          </w:tcPr>
          <w:p w:rsidR="00E63239" w:rsidRPr="00C6200C" w:rsidRDefault="00E63239" w:rsidP="00294271">
            <w:pPr>
              <w:spacing w:before="29" w:line="288" w:lineRule="auto"/>
              <w:jc w:val="right"/>
              <w:rPr>
                <w:color w:val="000000"/>
                <w:sz w:val="24"/>
              </w:rPr>
            </w:pPr>
            <w:r w:rsidRPr="00C6200C">
              <w:rPr>
                <w:color w:val="000000"/>
                <w:sz w:val="24"/>
              </w:rPr>
              <w:t>-</w:t>
            </w:r>
          </w:p>
        </w:tc>
      </w:tr>
    </w:tbl>
    <w:p w:rsidR="00ED0CB9" w:rsidRPr="00C6200C" w:rsidRDefault="00ED0CB9" w:rsidP="00C6200C">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24" w:name="_Toc225498254"/>
      <w:bookmarkStart w:id="25" w:name="_Toc361324854"/>
      <w:r w:rsidRPr="00053438">
        <w:rPr>
          <w:rFonts w:hint="eastAsia"/>
          <w:b/>
          <w:bCs/>
          <w:szCs w:val="24"/>
          <w:lang w:val="en-US"/>
        </w:rPr>
        <w:t>§</w:t>
      </w:r>
      <w:r w:rsidRPr="00053438">
        <w:rPr>
          <w:b/>
          <w:bCs/>
          <w:szCs w:val="24"/>
          <w:lang w:val="en-US"/>
        </w:rPr>
        <w:t xml:space="preserve">4  </w:t>
      </w:r>
      <w:r w:rsidRPr="00053438">
        <w:rPr>
          <w:rFonts w:hint="eastAsia"/>
          <w:b/>
          <w:bCs/>
          <w:szCs w:val="24"/>
          <w:lang w:val="en-US"/>
        </w:rPr>
        <w:t>管理人报告</w:t>
      </w:r>
      <w:bookmarkEnd w:id="24"/>
      <w:bookmarkEnd w:id="25"/>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26" w:name="_Toc361324855"/>
      <w:r w:rsidRPr="00701155">
        <w:rPr>
          <w:rFonts w:ascii="Times New Roman" w:hAnsi="Times New Roman"/>
          <w:kern w:val="0"/>
          <w:szCs w:val="24"/>
        </w:rPr>
        <w:lastRenderedPageBreak/>
        <w:t xml:space="preserve">4.1 </w:t>
      </w:r>
      <w:r w:rsidRPr="00701155">
        <w:rPr>
          <w:rFonts w:ascii="Times New Roman" w:hAnsi="Times New Roman" w:hint="eastAsia"/>
          <w:kern w:val="0"/>
          <w:szCs w:val="24"/>
        </w:rPr>
        <w:t>基金管理人及基金经理情况</w:t>
      </w:r>
      <w:bookmarkEnd w:id="26"/>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基金管理人及其管理基金的经验</w:t>
      </w:r>
    </w:p>
    <w:p w:rsidR="002B232B" w:rsidRDefault="0056363F">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A59F9" w:rsidRPr="0013437B" w:rsidRDefault="001A59F9" w:rsidP="0013437B">
      <w:pPr>
        <w:spacing w:before="29" w:line="288" w:lineRule="auto"/>
        <w:ind w:firstLineChars="200" w:firstLine="480"/>
        <w:rPr>
          <w:color w:val="000000"/>
          <w:sz w:val="24"/>
        </w:rPr>
      </w:pPr>
      <w:r w:rsidRPr="0013437B">
        <w:rPr>
          <w:color w:val="000000"/>
          <w:sz w:val="24"/>
        </w:rPr>
        <w:t>截至报告期末，公司管理了包括货币型、债券型、保本混合型、普通混合型和股票型在内的</w:t>
      </w:r>
      <w:r w:rsidRPr="0013437B">
        <w:rPr>
          <w:color w:val="000000"/>
          <w:sz w:val="24"/>
        </w:rPr>
        <w:t>77</w:t>
      </w:r>
      <w:r w:rsidRPr="0013437B">
        <w:rPr>
          <w:color w:val="000000"/>
          <w:sz w:val="24"/>
        </w:rPr>
        <w:t>只基金，其中股票型涵盖普通指数型、交易型开放式（</w:t>
      </w:r>
      <w:r w:rsidRPr="0013437B">
        <w:rPr>
          <w:color w:val="000000"/>
          <w:sz w:val="24"/>
        </w:rPr>
        <w:t>ETF</w:t>
      </w:r>
      <w:r w:rsidRPr="0013437B">
        <w:rPr>
          <w:color w:val="000000"/>
          <w:sz w:val="24"/>
        </w:rPr>
        <w:t>）、</w:t>
      </w:r>
      <w:r w:rsidRPr="0013437B">
        <w:rPr>
          <w:color w:val="000000"/>
          <w:sz w:val="24"/>
        </w:rPr>
        <w:t>QDII</w:t>
      </w:r>
      <w:r w:rsidRPr="0013437B">
        <w:rPr>
          <w:color w:val="000000"/>
          <w:sz w:val="24"/>
        </w:rPr>
        <w:t>等不同类型基金。</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4.1.2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499"/>
        <w:gridCol w:w="1499"/>
        <w:gridCol w:w="1500"/>
        <w:gridCol w:w="1500"/>
        <w:gridCol w:w="1090"/>
        <w:gridCol w:w="1910"/>
      </w:tblGrid>
      <w:tr w:rsidR="001A59F9" w:rsidRPr="00C51C77" w:rsidTr="001622C3">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姓名</w:t>
            </w:r>
          </w:p>
        </w:tc>
        <w:tc>
          <w:tcPr>
            <w:tcW w:w="1499"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职务</w:t>
            </w:r>
          </w:p>
        </w:tc>
        <w:tc>
          <w:tcPr>
            <w:tcW w:w="3000" w:type="dxa"/>
            <w:gridSpan w:val="2"/>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任本基金的基金经理</w:t>
            </w:r>
            <w:r w:rsidR="00F07263" w:rsidRPr="00792D48">
              <w:rPr>
                <w:rFonts w:hint="eastAsia"/>
                <w:color w:val="000000"/>
                <w:sz w:val="24"/>
              </w:rPr>
              <w:t>（助理）</w:t>
            </w:r>
            <w:r w:rsidRPr="00792D48">
              <w:rPr>
                <w:rFonts w:hint="eastAsia"/>
                <w:color w:val="000000"/>
                <w:sz w:val="24"/>
              </w:rPr>
              <w:t>期限</w:t>
            </w:r>
          </w:p>
        </w:tc>
        <w:tc>
          <w:tcPr>
            <w:tcW w:w="109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证券从业年限</w:t>
            </w:r>
          </w:p>
        </w:tc>
        <w:tc>
          <w:tcPr>
            <w:tcW w:w="1910" w:type="dxa"/>
            <w:vMerge w:val="restart"/>
            <w:vAlign w:val="center"/>
          </w:tcPr>
          <w:p w:rsidR="001A59F9" w:rsidRPr="00792D48" w:rsidRDefault="001A59F9" w:rsidP="00792D48">
            <w:pPr>
              <w:spacing w:before="29" w:line="288" w:lineRule="auto"/>
              <w:jc w:val="center"/>
              <w:rPr>
                <w:color w:val="000000"/>
                <w:sz w:val="24"/>
              </w:rPr>
            </w:pPr>
            <w:r w:rsidRPr="00792D48">
              <w:rPr>
                <w:rFonts w:hint="eastAsia"/>
                <w:color w:val="000000"/>
                <w:sz w:val="24"/>
              </w:rPr>
              <w:t>说明</w:t>
            </w:r>
          </w:p>
        </w:tc>
      </w:tr>
      <w:tr w:rsidR="001A59F9" w:rsidRPr="00C51C77" w:rsidTr="001622C3">
        <w:tc>
          <w:tcPr>
            <w:tcW w:w="1499"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499" w:type="dxa"/>
            <w:vMerge/>
            <w:vAlign w:val="center"/>
          </w:tcPr>
          <w:p w:rsidR="001A59F9" w:rsidRPr="001622C3" w:rsidRDefault="001A59F9" w:rsidP="001622C3">
            <w:pPr>
              <w:spacing w:before="29" w:line="288" w:lineRule="auto"/>
              <w:jc w:val="center"/>
              <w:rPr>
                <w:color w:val="000000"/>
                <w:sz w:val="24"/>
              </w:rPr>
            </w:pP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任职日期</w:t>
            </w:r>
          </w:p>
        </w:tc>
        <w:tc>
          <w:tcPr>
            <w:tcW w:w="1500" w:type="dxa"/>
            <w:vAlign w:val="center"/>
          </w:tcPr>
          <w:p w:rsidR="001A59F9" w:rsidRPr="001622C3" w:rsidRDefault="001A59F9" w:rsidP="001622C3">
            <w:pPr>
              <w:spacing w:before="29" w:line="288" w:lineRule="auto"/>
              <w:jc w:val="center"/>
              <w:rPr>
                <w:color w:val="000000"/>
                <w:sz w:val="24"/>
              </w:rPr>
            </w:pPr>
            <w:r w:rsidRPr="001622C3">
              <w:rPr>
                <w:rFonts w:hint="eastAsia"/>
                <w:color w:val="000000"/>
                <w:sz w:val="24"/>
              </w:rPr>
              <w:t>离任日期</w:t>
            </w:r>
          </w:p>
        </w:tc>
        <w:tc>
          <w:tcPr>
            <w:tcW w:w="109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c>
          <w:tcPr>
            <w:tcW w:w="1910" w:type="dxa"/>
            <w:vMerge/>
            <w:vAlign w:val="center"/>
          </w:tcPr>
          <w:p w:rsidR="001A59F9" w:rsidRPr="00C51C77" w:rsidRDefault="001A59F9" w:rsidP="00026C9C">
            <w:pPr>
              <w:widowControl/>
              <w:spacing w:line="360" w:lineRule="auto"/>
              <w:jc w:val="left"/>
              <w:rPr>
                <w:rFonts w:asciiTheme="minorEastAsia" w:eastAsiaTheme="minorEastAsia" w:hAnsiTheme="minorEastAsia"/>
                <w:color w:val="000000"/>
                <w:szCs w:val="21"/>
              </w:rPr>
            </w:pPr>
          </w:p>
        </w:tc>
      </w:tr>
      <w:tr w:rsidR="002B232B">
        <w:tc>
          <w:tcPr>
            <w:tcW w:w="1499" w:type="dxa"/>
            <w:vAlign w:val="center"/>
          </w:tcPr>
          <w:p w:rsidR="002B232B" w:rsidRDefault="0056363F">
            <w:pPr>
              <w:jc w:val="center"/>
            </w:pPr>
            <w:r>
              <w:rPr>
                <w:color w:val="000000"/>
                <w:sz w:val="24"/>
              </w:rPr>
              <w:t>韩威俊</w:t>
            </w:r>
          </w:p>
        </w:tc>
        <w:tc>
          <w:tcPr>
            <w:tcW w:w="1499" w:type="dxa"/>
            <w:vAlign w:val="center"/>
          </w:tcPr>
          <w:p w:rsidR="002B232B" w:rsidRDefault="0056363F">
            <w:pPr>
              <w:jc w:val="center"/>
            </w:pPr>
            <w:r>
              <w:rPr>
                <w:color w:val="000000"/>
                <w:sz w:val="24"/>
              </w:rPr>
              <w:t>交银趋势混合、交银策略回报灵活配置混合、交银消费新驱动股票、交银股息优化混合、交银品质升级混合的基金经理</w:t>
            </w:r>
          </w:p>
        </w:tc>
        <w:tc>
          <w:tcPr>
            <w:tcW w:w="1500" w:type="dxa"/>
            <w:vAlign w:val="center"/>
          </w:tcPr>
          <w:p w:rsidR="002B232B" w:rsidRDefault="0056363F">
            <w:pPr>
              <w:jc w:val="center"/>
            </w:pPr>
            <w:r>
              <w:rPr>
                <w:color w:val="000000"/>
                <w:sz w:val="24"/>
              </w:rPr>
              <w:t>2016-01-20</w:t>
            </w:r>
          </w:p>
        </w:tc>
        <w:tc>
          <w:tcPr>
            <w:tcW w:w="1500" w:type="dxa"/>
            <w:vAlign w:val="center"/>
          </w:tcPr>
          <w:p w:rsidR="002B232B" w:rsidRDefault="0056363F">
            <w:pPr>
              <w:jc w:val="center"/>
            </w:pPr>
            <w:r>
              <w:rPr>
                <w:color w:val="000000"/>
                <w:sz w:val="24"/>
              </w:rPr>
              <w:t>-</w:t>
            </w:r>
          </w:p>
        </w:tc>
        <w:tc>
          <w:tcPr>
            <w:tcW w:w="1090" w:type="dxa"/>
            <w:vAlign w:val="center"/>
          </w:tcPr>
          <w:p w:rsidR="002B232B" w:rsidRDefault="0056363F">
            <w:pPr>
              <w:jc w:val="center"/>
            </w:pPr>
            <w:r>
              <w:rPr>
                <w:color w:val="000000"/>
                <w:sz w:val="24"/>
              </w:rPr>
              <w:t>12</w:t>
            </w:r>
            <w:r>
              <w:rPr>
                <w:color w:val="000000"/>
                <w:sz w:val="24"/>
              </w:rPr>
              <w:t>年</w:t>
            </w:r>
          </w:p>
        </w:tc>
        <w:tc>
          <w:tcPr>
            <w:tcW w:w="1910" w:type="dxa"/>
            <w:vAlign w:val="center"/>
          </w:tcPr>
          <w:p w:rsidR="002B232B" w:rsidRDefault="0056363F">
            <w:r>
              <w:rPr>
                <w:color w:val="000000"/>
                <w:sz w:val="24"/>
              </w:rPr>
              <w:t>韩威俊先生，上海财经大学金融学硕士。历任申银万国证券研究所助理分析师、北京鼎天资产管理有限公司董事助理、申银万国证券研究所行业分析师、信诚基金管理有限公司投资分析师。</w:t>
            </w:r>
            <w:r>
              <w:rPr>
                <w:color w:val="000000"/>
                <w:sz w:val="24"/>
              </w:rPr>
              <w:t>2013</w:t>
            </w:r>
            <w:r>
              <w:rPr>
                <w:color w:val="000000"/>
                <w:sz w:val="24"/>
              </w:rPr>
              <w:t>年加入交银施罗德基金管理有限公司，历任行业分析师。</w:t>
            </w:r>
          </w:p>
        </w:tc>
      </w:tr>
      <w:tr w:rsidR="002B232B">
        <w:tc>
          <w:tcPr>
            <w:tcW w:w="1499" w:type="dxa"/>
            <w:vAlign w:val="center"/>
          </w:tcPr>
          <w:p w:rsidR="002B232B" w:rsidRDefault="0056363F">
            <w:pPr>
              <w:jc w:val="center"/>
            </w:pPr>
            <w:r>
              <w:rPr>
                <w:color w:val="000000"/>
                <w:sz w:val="24"/>
              </w:rPr>
              <w:t>王少成</w:t>
            </w:r>
          </w:p>
        </w:tc>
        <w:tc>
          <w:tcPr>
            <w:tcW w:w="1499" w:type="dxa"/>
            <w:vAlign w:val="center"/>
          </w:tcPr>
          <w:p w:rsidR="002B232B" w:rsidRDefault="0056363F">
            <w:pPr>
              <w:jc w:val="center"/>
            </w:pPr>
            <w:r>
              <w:rPr>
                <w:color w:val="000000"/>
                <w:sz w:val="24"/>
              </w:rPr>
              <w:t>交银成长混合、交银蓝筹混合、交银成长</w:t>
            </w:r>
            <w:r>
              <w:rPr>
                <w:color w:val="000000"/>
                <w:sz w:val="24"/>
              </w:rPr>
              <w:t>30</w:t>
            </w:r>
            <w:r>
              <w:rPr>
                <w:color w:val="000000"/>
                <w:sz w:val="24"/>
              </w:rPr>
              <w:t>混合、交银恒益灵活配置混合的基金经理，公司权益投资总</w:t>
            </w:r>
            <w:r>
              <w:rPr>
                <w:color w:val="000000"/>
                <w:sz w:val="24"/>
              </w:rPr>
              <w:lastRenderedPageBreak/>
              <w:t>监</w:t>
            </w:r>
          </w:p>
        </w:tc>
        <w:tc>
          <w:tcPr>
            <w:tcW w:w="1500" w:type="dxa"/>
            <w:vAlign w:val="center"/>
          </w:tcPr>
          <w:p w:rsidR="002B232B" w:rsidRDefault="0056363F">
            <w:pPr>
              <w:jc w:val="center"/>
            </w:pPr>
            <w:r>
              <w:rPr>
                <w:color w:val="000000"/>
                <w:sz w:val="24"/>
              </w:rPr>
              <w:lastRenderedPageBreak/>
              <w:t>2015-11-07</w:t>
            </w:r>
          </w:p>
        </w:tc>
        <w:tc>
          <w:tcPr>
            <w:tcW w:w="1500" w:type="dxa"/>
            <w:vAlign w:val="center"/>
          </w:tcPr>
          <w:p w:rsidR="002B232B" w:rsidRDefault="0056363F">
            <w:pPr>
              <w:jc w:val="center"/>
            </w:pPr>
            <w:r>
              <w:rPr>
                <w:color w:val="000000"/>
                <w:sz w:val="24"/>
              </w:rPr>
              <w:t>2018-06-08</w:t>
            </w:r>
          </w:p>
        </w:tc>
        <w:tc>
          <w:tcPr>
            <w:tcW w:w="1090" w:type="dxa"/>
            <w:vAlign w:val="center"/>
          </w:tcPr>
          <w:p w:rsidR="002B232B" w:rsidRDefault="0056363F">
            <w:pPr>
              <w:jc w:val="center"/>
            </w:pPr>
            <w:r>
              <w:rPr>
                <w:color w:val="000000"/>
                <w:sz w:val="24"/>
              </w:rPr>
              <w:t>14</w:t>
            </w:r>
            <w:r>
              <w:rPr>
                <w:color w:val="000000"/>
                <w:sz w:val="24"/>
              </w:rPr>
              <w:t>年</w:t>
            </w:r>
          </w:p>
        </w:tc>
        <w:tc>
          <w:tcPr>
            <w:tcW w:w="1910" w:type="dxa"/>
            <w:vAlign w:val="center"/>
          </w:tcPr>
          <w:p w:rsidR="002B232B" w:rsidRDefault="0056363F">
            <w:r>
              <w:rPr>
                <w:color w:val="000000"/>
                <w:sz w:val="24"/>
              </w:rPr>
              <w:t>王少成先生，复旦大学硕士学历。历任上海融昌资产管理公司研究员，中原证券投资经理，信诚基金管理有限公司研究总监助理，东吴基金管</w:t>
            </w:r>
            <w:r>
              <w:rPr>
                <w:color w:val="000000"/>
                <w:sz w:val="24"/>
              </w:rPr>
              <w:lastRenderedPageBreak/>
              <w:t>理有限公司投资经理、基金经理、投资部副总经理。其中</w:t>
            </w:r>
            <w:r>
              <w:rPr>
                <w:color w:val="000000"/>
                <w:sz w:val="24"/>
              </w:rPr>
              <w:t>2010</w:t>
            </w:r>
            <w:r>
              <w:rPr>
                <w:color w:val="000000"/>
                <w:sz w:val="24"/>
              </w:rPr>
              <w:t>年</w:t>
            </w:r>
            <w:r>
              <w:rPr>
                <w:color w:val="000000"/>
                <w:sz w:val="24"/>
              </w:rPr>
              <w:t>9</w:t>
            </w:r>
            <w:r>
              <w:rPr>
                <w:color w:val="000000"/>
                <w:sz w:val="24"/>
              </w:rPr>
              <w:t>月至</w:t>
            </w:r>
            <w:r>
              <w:rPr>
                <w:color w:val="000000"/>
                <w:sz w:val="24"/>
              </w:rPr>
              <w:t>2012</w:t>
            </w:r>
            <w:r>
              <w:rPr>
                <w:color w:val="000000"/>
                <w:sz w:val="24"/>
              </w:rPr>
              <w:t>年</w:t>
            </w:r>
            <w:r>
              <w:rPr>
                <w:color w:val="000000"/>
                <w:sz w:val="24"/>
              </w:rPr>
              <w:t>10</w:t>
            </w:r>
            <w:r>
              <w:rPr>
                <w:color w:val="000000"/>
                <w:sz w:val="24"/>
              </w:rPr>
              <w:t>月担任东吴新创业股票型证券投资基金基金经理，</w:t>
            </w:r>
            <w:r>
              <w:rPr>
                <w:color w:val="000000"/>
                <w:sz w:val="24"/>
              </w:rPr>
              <w:t>2011</w:t>
            </w:r>
            <w:r>
              <w:rPr>
                <w:color w:val="000000"/>
                <w:sz w:val="24"/>
              </w:rPr>
              <w:t>年</w:t>
            </w:r>
            <w:r>
              <w:rPr>
                <w:color w:val="000000"/>
                <w:sz w:val="24"/>
              </w:rPr>
              <w:t>2</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月担任东吴中证新兴产业指数证券投资基金基金经理，</w:t>
            </w:r>
            <w:r>
              <w:rPr>
                <w:color w:val="000000"/>
                <w:sz w:val="24"/>
              </w:rPr>
              <w:t>2011</w:t>
            </w:r>
            <w:r>
              <w:rPr>
                <w:color w:val="000000"/>
                <w:sz w:val="24"/>
              </w:rPr>
              <w:t>年</w:t>
            </w:r>
            <w:r>
              <w:rPr>
                <w:color w:val="000000"/>
                <w:sz w:val="24"/>
              </w:rPr>
              <w:t>5</w:t>
            </w:r>
            <w:r>
              <w:rPr>
                <w:color w:val="000000"/>
                <w:sz w:val="24"/>
              </w:rPr>
              <w:t>月至</w:t>
            </w:r>
            <w:r>
              <w:rPr>
                <w:color w:val="000000"/>
                <w:sz w:val="24"/>
              </w:rPr>
              <w:t>2012</w:t>
            </w:r>
            <w:r>
              <w:rPr>
                <w:color w:val="000000"/>
                <w:sz w:val="24"/>
              </w:rPr>
              <w:t>年</w:t>
            </w:r>
            <w:r>
              <w:rPr>
                <w:color w:val="000000"/>
                <w:sz w:val="24"/>
              </w:rPr>
              <w:t>11</w:t>
            </w:r>
            <w:r>
              <w:rPr>
                <w:color w:val="000000"/>
                <w:sz w:val="24"/>
              </w:rPr>
              <w:t>月担任东吴价值成长双动力股票型证券投资基金基金经理。</w:t>
            </w:r>
            <w:r>
              <w:rPr>
                <w:color w:val="000000"/>
                <w:sz w:val="24"/>
              </w:rPr>
              <w:t>2012</w:t>
            </w:r>
            <w:r>
              <w:rPr>
                <w:color w:val="000000"/>
                <w:sz w:val="24"/>
              </w:rPr>
              <w:t>年加入交银施罗德基金管理有限公司，历任公司权益部副总经理。</w:t>
            </w:r>
            <w:r>
              <w:rPr>
                <w:color w:val="000000"/>
                <w:sz w:val="24"/>
              </w:rPr>
              <w:t>2013</w:t>
            </w:r>
            <w:r>
              <w:rPr>
                <w:color w:val="000000"/>
                <w:sz w:val="24"/>
              </w:rPr>
              <w:t>年</w:t>
            </w:r>
            <w:r>
              <w:rPr>
                <w:color w:val="000000"/>
                <w:sz w:val="24"/>
              </w:rPr>
              <w:t>3</w:t>
            </w:r>
            <w:r>
              <w:rPr>
                <w:color w:val="000000"/>
                <w:sz w:val="24"/>
              </w:rPr>
              <w:t>月</w:t>
            </w:r>
            <w:r>
              <w:rPr>
                <w:color w:val="000000"/>
                <w:sz w:val="24"/>
              </w:rPr>
              <w:t>21</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日担任交银施罗德先进制造混合型证券投资基金（原交银施罗德先进制造股票证券投资基金）基金经理，</w:t>
            </w:r>
            <w:r>
              <w:rPr>
                <w:color w:val="000000"/>
                <w:sz w:val="24"/>
              </w:rPr>
              <w:t>2013</w:t>
            </w:r>
            <w:r>
              <w:rPr>
                <w:color w:val="000000"/>
                <w:sz w:val="24"/>
              </w:rPr>
              <w:t>年</w:t>
            </w:r>
            <w:r>
              <w:rPr>
                <w:color w:val="000000"/>
                <w:sz w:val="24"/>
              </w:rPr>
              <w:t>5</w:t>
            </w:r>
            <w:r>
              <w:rPr>
                <w:color w:val="000000"/>
                <w:sz w:val="24"/>
              </w:rPr>
              <w:t>月</w:t>
            </w:r>
            <w:r>
              <w:rPr>
                <w:color w:val="000000"/>
                <w:sz w:val="24"/>
              </w:rPr>
              <w:t>29</w:t>
            </w:r>
            <w:r>
              <w:rPr>
                <w:color w:val="000000"/>
                <w:sz w:val="24"/>
              </w:rPr>
              <w:t>日至</w:t>
            </w:r>
            <w:r>
              <w:rPr>
                <w:color w:val="000000"/>
                <w:sz w:val="24"/>
              </w:rPr>
              <w:t>2015</w:t>
            </w:r>
            <w:r>
              <w:rPr>
                <w:color w:val="000000"/>
                <w:sz w:val="24"/>
              </w:rPr>
              <w:t>年</w:t>
            </w:r>
            <w:r>
              <w:rPr>
                <w:color w:val="000000"/>
                <w:sz w:val="24"/>
              </w:rPr>
              <w:t>8</w:t>
            </w:r>
            <w:r>
              <w:rPr>
                <w:color w:val="000000"/>
                <w:sz w:val="24"/>
              </w:rPr>
              <w:t>月</w:t>
            </w:r>
            <w:r>
              <w:rPr>
                <w:color w:val="000000"/>
                <w:sz w:val="24"/>
              </w:rPr>
              <w:t>14</w:t>
            </w:r>
            <w:r>
              <w:rPr>
                <w:color w:val="000000"/>
                <w:sz w:val="24"/>
              </w:rPr>
              <w:t>日担任交银施罗德先锋混合型证券投资基金（原交银施罗德先锋股票证券投资基金）基金经理，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5</w:t>
            </w:r>
            <w:r>
              <w:rPr>
                <w:color w:val="000000"/>
                <w:sz w:val="24"/>
              </w:rPr>
              <w:t>月</w:t>
            </w:r>
            <w:r>
              <w:rPr>
                <w:color w:val="000000"/>
                <w:sz w:val="24"/>
              </w:rPr>
              <w:t>15</w:t>
            </w:r>
            <w:r>
              <w:rPr>
                <w:color w:val="000000"/>
                <w:sz w:val="24"/>
              </w:rPr>
              <w:t>日担任交银施罗德荣和保本混合型证券</w:t>
            </w:r>
            <w:r>
              <w:rPr>
                <w:color w:val="000000"/>
                <w:sz w:val="24"/>
              </w:rPr>
              <w:lastRenderedPageBreak/>
              <w:t>投资基金的基金经理，</w:t>
            </w:r>
            <w:r>
              <w:rPr>
                <w:color w:val="000000"/>
                <w:sz w:val="24"/>
              </w:rPr>
              <w:t>2015</w:t>
            </w:r>
            <w:r>
              <w:rPr>
                <w:color w:val="000000"/>
                <w:sz w:val="24"/>
              </w:rPr>
              <w:t>年</w:t>
            </w:r>
            <w:r>
              <w:rPr>
                <w:color w:val="000000"/>
                <w:sz w:val="24"/>
              </w:rPr>
              <w:t>11</w:t>
            </w:r>
            <w:r>
              <w:rPr>
                <w:color w:val="000000"/>
                <w:sz w:val="24"/>
              </w:rPr>
              <w:t>月</w:t>
            </w:r>
            <w:r>
              <w:rPr>
                <w:color w:val="000000"/>
                <w:sz w:val="24"/>
              </w:rPr>
              <w:t>7</w:t>
            </w:r>
            <w:r>
              <w:rPr>
                <w:color w:val="000000"/>
                <w:sz w:val="24"/>
              </w:rPr>
              <w:t>日至</w:t>
            </w:r>
            <w:r>
              <w:rPr>
                <w:color w:val="000000"/>
                <w:sz w:val="24"/>
              </w:rPr>
              <w:t>2018</w:t>
            </w:r>
            <w:r>
              <w:rPr>
                <w:color w:val="000000"/>
                <w:sz w:val="24"/>
              </w:rPr>
              <w:t>年</w:t>
            </w:r>
            <w:r>
              <w:rPr>
                <w:color w:val="000000"/>
                <w:sz w:val="24"/>
              </w:rPr>
              <w:t>6</w:t>
            </w:r>
            <w:r>
              <w:rPr>
                <w:color w:val="000000"/>
                <w:sz w:val="24"/>
              </w:rPr>
              <w:t>月</w:t>
            </w:r>
            <w:r>
              <w:rPr>
                <w:color w:val="000000"/>
                <w:sz w:val="24"/>
              </w:rPr>
              <w:t>7</w:t>
            </w:r>
            <w:r>
              <w:rPr>
                <w:color w:val="000000"/>
                <w:sz w:val="24"/>
              </w:rPr>
              <w:t>日担任交银施罗德策略回报灵活配置混合型证券投资基金的基金经理。</w:t>
            </w:r>
          </w:p>
        </w:tc>
      </w:tr>
    </w:tbl>
    <w:p w:rsidR="002B232B" w:rsidRDefault="0056363F">
      <w:pPr>
        <w:tabs>
          <w:tab w:val="left" w:pos="426"/>
        </w:tabs>
        <w:spacing w:before="29" w:line="288" w:lineRule="auto"/>
        <w:jc w:val="left"/>
        <w:rPr>
          <w:kern w:val="0"/>
          <w:sz w:val="24"/>
        </w:rPr>
      </w:pPr>
      <w:r>
        <w:rPr>
          <w:kern w:val="0"/>
          <w:sz w:val="24"/>
        </w:rPr>
        <w:lastRenderedPageBreak/>
        <w:t>注：</w:t>
      </w:r>
      <w:r>
        <w:rPr>
          <w:kern w:val="0"/>
          <w:sz w:val="24"/>
        </w:rPr>
        <w:t>1</w:t>
      </w:r>
      <w:r>
        <w:rPr>
          <w:kern w:val="0"/>
          <w:sz w:val="24"/>
        </w:rPr>
        <w:t>、本表所列基金经理（助理）任职日期和离职日期均以基金合同生效日或公司作出决定并公告（如适用）之日为准。</w:t>
      </w:r>
    </w:p>
    <w:p w:rsidR="002B232B" w:rsidRDefault="0056363F">
      <w:pPr>
        <w:tabs>
          <w:tab w:val="left" w:pos="426"/>
        </w:tabs>
        <w:spacing w:before="29" w:line="288" w:lineRule="auto"/>
        <w:jc w:val="left"/>
        <w:rPr>
          <w:kern w:val="0"/>
          <w:sz w:val="24"/>
        </w:rPr>
      </w:pPr>
      <w:r>
        <w:rPr>
          <w:kern w:val="0"/>
          <w:sz w:val="24"/>
        </w:rPr>
        <w:t>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A59F9" w:rsidRPr="00C016E9" w:rsidRDefault="001A59F9" w:rsidP="00C016E9">
      <w:pPr>
        <w:tabs>
          <w:tab w:val="left" w:pos="426"/>
        </w:tabs>
        <w:spacing w:before="29" w:line="288" w:lineRule="auto"/>
        <w:jc w:val="left"/>
        <w:rPr>
          <w:kern w:val="0"/>
          <w:sz w:val="24"/>
        </w:rPr>
      </w:pPr>
      <w:r w:rsidRPr="00C016E9">
        <w:rPr>
          <w:kern w:val="0"/>
          <w:sz w:val="24"/>
        </w:rPr>
        <w:t>3</w:t>
      </w:r>
      <w:r w:rsidRPr="00C016E9">
        <w:rPr>
          <w:kern w:val="0"/>
          <w:sz w:val="24"/>
        </w:rPr>
        <w:t>、基金经理（或基金经理小组）期后变动（如有）敬请关注基金管理人发布的相关公告。</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7" w:name="_Toc225498256"/>
      <w:bookmarkStart w:id="28" w:name="_Toc361324856"/>
      <w:r w:rsidRPr="00701155">
        <w:rPr>
          <w:rFonts w:ascii="Times New Roman" w:hAnsi="Times New Roman"/>
          <w:kern w:val="0"/>
          <w:szCs w:val="24"/>
        </w:rPr>
        <w:t xml:space="preserve">4.2 </w:t>
      </w:r>
      <w:r w:rsidRPr="00701155">
        <w:rPr>
          <w:rFonts w:ascii="Times New Roman" w:hAnsi="Times New Roman" w:hint="eastAsia"/>
          <w:kern w:val="0"/>
          <w:szCs w:val="24"/>
        </w:rPr>
        <w:t>管理人对报告期内本基金运作遵规守信情况的说明</w:t>
      </w:r>
      <w:bookmarkEnd w:id="27"/>
      <w:bookmarkEnd w:id="28"/>
    </w:p>
    <w:p w:rsidR="001A59F9" w:rsidRPr="0013437B" w:rsidRDefault="001A59F9" w:rsidP="0013437B">
      <w:pPr>
        <w:spacing w:before="29" w:line="288" w:lineRule="auto"/>
        <w:ind w:firstLineChars="200" w:firstLine="480"/>
        <w:rPr>
          <w:color w:val="000000"/>
          <w:sz w:val="24"/>
        </w:rPr>
      </w:pPr>
      <w:r w:rsidRPr="0013437B">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29" w:name="_Toc225498257"/>
      <w:bookmarkStart w:id="30" w:name="_Toc361324857"/>
      <w:r w:rsidRPr="00701155">
        <w:rPr>
          <w:rFonts w:ascii="Times New Roman" w:hAnsi="Times New Roman"/>
          <w:kern w:val="0"/>
          <w:szCs w:val="24"/>
        </w:rPr>
        <w:t xml:space="preserve">4.3 </w:t>
      </w:r>
      <w:r w:rsidRPr="00701155">
        <w:rPr>
          <w:rFonts w:ascii="Times New Roman" w:hAnsi="Times New Roman" w:hint="eastAsia"/>
          <w:kern w:val="0"/>
          <w:szCs w:val="24"/>
        </w:rPr>
        <w:t>管理人对报告期内公平交易情况的专项说明</w:t>
      </w:r>
      <w:bookmarkEnd w:id="29"/>
      <w:bookmarkEnd w:id="3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4.3.1</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公平交易制度和控制方法</w:t>
      </w:r>
    </w:p>
    <w:p w:rsidR="002B232B" w:rsidRDefault="0056363F">
      <w:pPr>
        <w:spacing w:before="29" w:line="288" w:lineRule="auto"/>
        <w:ind w:firstLineChars="200" w:firstLine="480"/>
        <w:rPr>
          <w:color w:val="000000"/>
          <w:sz w:val="24"/>
        </w:rPr>
      </w:pPr>
      <w:r>
        <w:rPr>
          <w:color w:val="000000"/>
          <w:sz w:val="24"/>
        </w:rPr>
        <w:t>本公司制定了严格的投资控制制度和公平交易监控制度来保证旗下所管理的所有资产组合投资运作的公平。旗下所管理的所有资产组合，包括证券投资基金和特定客户资产管理专户均严格遵循制度进行公平交易。制度中包含的主要控制方法如下：</w:t>
      </w:r>
    </w:p>
    <w:p w:rsidR="002B232B" w:rsidRDefault="0056363F">
      <w:pPr>
        <w:spacing w:before="29" w:line="288" w:lineRule="auto"/>
        <w:ind w:firstLineChars="200" w:firstLine="480"/>
        <w:rPr>
          <w:color w:val="000000"/>
          <w:sz w:val="24"/>
        </w:rPr>
      </w:pPr>
      <w:r>
        <w:rPr>
          <w:color w:val="000000"/>
          <w:sz w:val="24"/>
        </w:rPr>
        <w:t>（</w:t>
      </w:r>
      <w:r>
        <w:rPr>
          <w:color w:val="000000"/>
          <w:sz w:val="24"/>
        </w:rPr>
        <w:t>1</w:t>
      </w:r>
      <w:r>
        <w:rPr>
          <w:color w:val="000000"/>
          <w:sz w:val="24"/>
        </w:rPr>
        <w:t>）公司建立资源共享的投资研究信息平台，所有研究成果对所有投资组合公平开放，确保各投资组合在获得研究支持和实施投资决策方面享有公平的机会。</w:t>
      </w:r>
    </w:p>
    <w:p w:rsidR="002B232B" w:rsidRDefault="0056363F">
      <w:pPr>
        <w:spacing w:before="29" w:line="288" w:lineRule="auto"/>
        <w:ind w:firstLineChars="200" w:firstLine="480"/>
        <w:rPr>
          <w:color w:val="000000"/>
          <w:sz w:val="24"/>
        </w:rPr>
      </w:pPr>
      <w:r>
        <w:rPr>
          <w:color w:val="000000"/>
          <w:sz w:val="24"/>
        </w:rPr>
        <w:t>（</w:t>
      </w:r>
      <w:r>
        <w:rPr>
          <w:color w:val="000000"/>
          <w:sz w:val="24"/>
        </w:rPr>
        <w:t>2</w:t>
      </w:r>
      <w:r>
        <w:rPr>
          <w:color w:val="000000"/>
          <w:sz w:val="24"/>
        </w:rPr>
        <w:t>）公司将投资管理职能和交易执行职能相隔离，实行集中交易制度，建立了合理且可操作的公平交易分配机制，确保各投资组合享有公平的交易执行机会。对于交易所公开竞价交易，遵循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B232B" w:rsidRDefault="0056363F">
      <w:pPr>
        <w:spacing w:before="29" w:line="288" w:lineRule="auto"/>
        <w:ind w:firstLineChars="200" w:firstLine="480"/>
        <w:rPr>
          <w:color w:val="000000"/>
          <w:sz w:val="24"/>
        </w:rPr>
      </w:pPr>
      <w:r>
        <w:rPr>
          <w:color w:val="000000"/>
          <w:sz w:val="24"/>
        </w:rPr>
        <w:t>（</w:t>
      </w:r>
      <w:r>
        <w:rPr>
          <w:color w:val="000000"/>
          <w:sz w:val="24"/>
        </w:rPr>
        <w:t>3</w:t>
      </w:r>
      <w:r>
        <w:rPr>
          <w:color w:val="000000"/>
          <w:sz w:val="24"/>
        </w:rPr>
        <w:t>）公司建立了清晰的投资授权制度，明确各层级投资决策主体的职责和权限划分，组合投资经理充分发挥专业判断能力</w:t>
      </w:r>
      <w:r>
        <w:rPr>
          <w:color w:val="000000"/>
          <w:sz w:val="24"/>
        </w:rPr>
        <w:t>,</w:t>
      </w:r>
      <w:r>
        <w:rPr>
          <w:color w:val="000000"/>
          <w:sz w:val="24"/>
        </w:rPr>
        <w:t>不受他人干预</w:t>
      </w:r>
      <w:r>
        <w:rPr>
          <w:color w:val="000000"/>
          <w:sz w:val="24"/>
        </w:rPr>
        <w:t>,</w:t>
      </w:r>
      <w:r>
        <w:rPr>
          <w:color w:val="000000"/>
          <w:sz w:val="24"/>
        </w:rPr>
        <w:t>在授权范围内独立行使投资决策权，维护公平的投资管理环境，维护所管理投资组合的合法利益</w:t>
      </w:r>
      <w:r>
        <w:rPr>
          <w:color w:val="000000"/>
          <w:sz w:val="24"/>
        </w:rPr>
        <w:t>,</w:t>
      </w:r>
      <w:r>
        <w:rPr>
          <w:color w:val="000000"/>
          <w:sz w:val="24"/>
        </w:rPr>
        <w:t>保证各投资组合交易决策的客观性和独立性，防范不公平及异常交易的发生。</w:t>
      </w:r>
    </w:p>
    <w:p w:rsidR="002B232B" w:rsidRDefault="0056363F">
      <w:pPr>
        <w:spacing w:before="29" w:line="288" w:lineRule="auto"/>
        <w:ind w:firstLineChars="200" w:firstLine="480"/>
        <w:rPr>
          <w:color w:val="000000"/>
          <w:sz w:val="24"/>
        </w:rPr>
      </w:pPr>
      <w:r>
        <w:rPr>
          <w:color w:val="000000"/>
          <w:sz w:val="24"/>
        </w:rPr>
        <w:t>（</w:t>
      </w:r>
      <w:r>
        <w:rPr>
          <w:color w:val="000000"/>
          <w:sz w:val="24"/>
        </w:rPr>
        <w:t>4</w:t>
      </w:r>
      <w:r>
        <w:rPr>
          <w:color w:val="000000"/>
          <w:sz w:val="24"/>
        </w:rPr>
        <w:t>）公司建立统一的投资对象备选库和交易对手备选库，制定明确的备选库建立、</w:t>
      </w:r>
      <w:r>
        <w:rPr>
          <w:color w:val="000000"/>
          <w:sz w:val="24"/>
        </w:rPr>
        <w:lastRenderedPageBreak/>
        <w:t>维护程序。在全公司适用股票、债券备选库的基础上，根据不同投资组合的投资目标、投资风格、投资范围和关联交易限制等，按需要建立不同投资组合的投资对象风格库和交易对手备选库，组合经理在此基础上根据投资授权构建投资组合。</w:t>
      </w:r>
    </w:p>
    <w:p w:rsidR="001A59F9" w:rsidRPr="0013437B" w:rsidRDefault="001A59F9" w:rsidP="0013437B">
      <w:pPr>
        <w:spacing w:before="29" w:line="288" w:lineRule="auto"/>
        <w:ind w:firstLineChars="200" w:firstLine="480"/>
        <w:rPr>
          <w:color w:val="000000"/>
          <w:sz w:val="24"/>
        </w:rPr>
      </w:pPr>
      <w:r w:rsidRPr="0013437B">
        <w:rPr>
          <w:color w:val="000000"/>
          <w:sz w:val="24"/>
        </w:rPr>
        <w:t>（</w:t>
      </w:r>
      <w:r w:rsidRPr="0013437B">
        <w:rPr>
          <w:color w:val="000000"/>
          <w:sz w:val="24"/>
        </w:rPr>
        <w:t>5</w:t>
      </w:r>
      <w:r w:rsidRPr="0013437B">
        <w:rPr>
          <w:color w:val="000000"/>
          <w:sz w:val="24"/>
        </w:rPr>
        <w:t>）公司中央交易室和风险管理部进行日常投资交易行为监控，风险管理部负责对各投资组合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4.3.2</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公平交易制度的执行情况</w:t>
      </w:r>
    </w:p>
    <w:p w:rsidR="002B232B" w:rsidRDefault="0056363F">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2B232B" w:rsidRDefault="0056363F">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2B232B" w:rsidRDefault="0056363F">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A59F9" w:rsidRPr="0013437B" w:rsidRDefault="001A59F9" w:rsidP="0013437B">
      <w:pPr>
        <w:spacing w:before="29" w:line="288" w:lineRule="auto"/>
        <w:ind w:firstLineChars="200" w:firstLine="480"/>
        <w:rPr>
          <w:color w:val="000000"/>
          <w:sz w:val="24"/>
        </w:rPr>
      </w:pPr>
      <w:r w:rsidRPr="0013437B">
        <w:rPr>
          <w:color w:val="000000"/>
          <w:sz w:val="24"/>
        </w:rPr>
        <w:t>报告期内本公司严格执行公平交易制度，公平对待旗下各投资组合，未发现任何违反公平交易的行为。</w:t>
      </w:r>
    </w:p>
    <w:p w:rsidR="001A59F9" w:rsidRPr="00C51C77" w:rsidRDefault="001A59F9" w:rsidP="00C51C77">
      <w:pPr>
        <w:spacing w:line="360" w:lineRule="auto"/>
        <w:jc w:val="left"/>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4.3.3</w:t>
      </w:r>
      <w:r w:rsidR="0067271C" w:rsidRPr="00701155">
        <w:rPr>
          <w:rFonts w:ascii="Times New Roman" w:hAnsi="Times New Roman" w:hint="eastAsia"/>
          <w:kern w:val="0"/>
          <w:szCs w:val="24"/>
        </w:rPr>
        <w:t xml:space="preserve"> </w:t>
      </w:r>
      <w:r w:rsidRPr="00701155">
        <w:rPr>
          <w:rFonts w:ascii="Times New Roman" w:hAnsi="Times New Roman" w:hint="eastAsia"/>
          <w:kern w:val="0"/>
          <w:szCs w:val="24"/>
        </w:rPr>
        <w:t>异常交易行为的专项说明</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13437B">
        <w:rPr>
          <w:color w:val="000000"/>
          <w:sz w:val="24"/>
        </w:rPr>
        <w:t>5%</w:t>
      </w:r>
      <w:r w:rsidRPr="0013437B">
        <w:rPr>
          <w:color w:val="000000"/>
          <w:sz w:val="24"/>
        </w:rPr>
        <w:t>的情形，本基金与本公司管理的其他投资组合在不同时间窗下（如日内、</w:t>
      </w:r>
      <w:r w:rsidRPr="0013437B">
        <w:rPr>
          <w:color w:val="000000"/>
          <w:sz w:val="24"/>
        </w:rPr>
        <w:t>3</w:t>
      </w:r>
      <w:r w:rsidRPr="0013437B">
        <w:rPr>
          <w:color w:val="000000"/>
          <w:sz w:val="24"/>
        </w:rPr>
        <w:t>日内、</w:t>
      </w:r>
      <w:r w:rsidRPr="0013437B">
        <w:rPr>
          <w:color w:val="000000"/>
          <w:sz w:val="24"/>
        </w:rPr>
        <w:t>5</w:t>
      </w:r>
      <w:r w:rsidRPr="0013437B">
        <w:rPr>
          <w:color w:val="000000"/>
          <w:sz w:val="24"/>
        </w:rPr>
        <w:t>日内）同向交易的交易价差未出现异常。</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31" w:name="_Toc225498258"/>
      <w:bookmarkStart w:id="32" w:name="_Toc361324858"/>
      <w:r w:rsidRPr="00701155">
        <w:rPr>
          <w:rFonts w:ascii="Times New Roman" w:hAnsi="Times New Roman"/>
          <w:kern w:val="0"/>
          <w:szCs w:val="24"/>
        </w:rPr>
        <w:t xml:space="preserve">4.4 </w:t>
      </w:r>
      <w:r w:rsidRPr="00701155">
        <w:rPr>
          <w:rFonts w:ascii="Times New Roman" w:hAnsi="Times New Roman" w:hint="eastAsia"/>
          <w:kern w:val="0"/>
          <w:szCs w:val="24"/>
        </w:rPr>
        <w:t>管理人对报告期内基金的投资策略和业绩表现的说明</w:t>
      </w:r>
      <w:bookmarkEnd w:id="31"/>
      <w:bookmarkEnd w:id="32"/>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4.4.1</w:t>
      </w:r>
      <w:r w:rsidRPr="00701155">
        <w:rPr>
          <w:rFonts w:ascii="Times New Roman" w:hAnsi="Times New Roman" w:hint="eastAsia"/>
          <w:kern w:val="0"/>
          <w:szCs w:val="24"/>
        </w:rPr>
        <w:t>报告期内基金投资策略和运作分析</w:t>
      </w:r>
    </w:p>
    <w:p w:rsidR="002B232B" w:rsidRDefault="0056363F">
      <w:pPr>
        <w:spacing w:before="29" w:line="288" w:lineRule="auto"/>
        <w:ind w:firstLineChars="200" w:firstLine="480"/>
        <w:rPr>
          <w:color w:val="000000"/>
          <w:sz w:val="24"/>
        </w:rPr>
      </w:pPr>
      <w:r>
        <w:rPr>
          <w:color w:val="000000"/>
          <w:sz w:val="24"/>
        </w:rPr>
        <w:t>回顾</w:t>
      </w:r>
      <w:r>
        <w:rPr>
          <w:color w:val="000000"/>
          <w:sz w:val="24"/>
        </w:rPr>
        <w:t>2018</w:t>
      </w:r>
      <w:r>
        <w:rPr>
          <w:color w:val="000000"/>
          <w:sz w:val="24"/>
        </w:rPr>
        <w:t>年，贯穿着贸易战的扰动和人民币汇率的波动，整个国内经济从</w:t>
      </w:r>
      <w:r>
        <w:rPr>
          <w:color w:val="000000"/>
          <w:sz w:val="24"/>
        </w:rPr>
        <w:t>2018</w:t>
      </w:r>
      <w:r>
        <w:rPr>
          <w:color w:val="000000"/>
          <w:sz w:val="24"/>
        </w:rPr>
        <w:t>年三季度开始面临着出口、消费和投资三驾马车集体下行的状态，</w:t>
      </w:r>
      <w:r>
        <w:rPr>
          <w:color w:val="000000"/>
          <w:sz w:val="24"/>
        </w:rPr>
        <w:t>A</w:t>
      </w:r>
      <w:r>
        <w:rPr>
          <w:color w:val="000000"/>
          <w:sz w:val="24"/>
        </w:rPr>
        <w:t>股市场也是伴随着经济预期逐步下跌。虽然从</w:t>
      </w:r>
      <w:r>
        <w:rPr>
          <w:color w:val="000000"/>
          <w:sz w:val="24"/>
        </w:rPr>
        <w:t>2018</w:t>
      </w:r>
      <w:r>
        <w:rPr>
          <w:color w:val="000000"/>
          <w:sz w:val="24"/>
        </w:rPr>
        <w:t>年七月出现了货币政策和财政政策的双拐点，但是真正</w:t>
      </w:r>
      <w:r>
        <w:rPr>
          <w:color w:val="000000"/>
          <w:sz w:val="24"/>
        </w:rPr>
        <w:lastRenderedPageBreak/>
        <w:t>反映到资本市场的流动性向好还需要一定的时滞，整个</w:t>
      </w:r>
      <w:r>
        <w:rPr>
          <w:color w:val="000000"/>
          <w:sz w:val="24"/>
        </w:rPr>
        <w:t>A</w:t>
      </w:r>
      <w:r>
        <w:rPr>
          <w:color w:val="000000"/>
          <w:sz w:val="24"/>
        </w:rPr>
        <w:t>股市场的赚钱效应并不是特别明显，风险偏好很难出现系统性上升。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2018</w:t>
      </w:r>
      <w:r w:rsidRPr="0013437B">
        <w:rPr>
          <w:color w:val="000000"/>
          <w:sz w:val="24"/>
        </w:rPr>
        <w:t>年全年基本上维持以消费白马龙头为底仓配置的大思路。由于全年整体市场对于宏观经济的悲观预期，对整个白马盈利向下的调整较为明显，从而导致整体消费白马龙头出现了</w:t>
      </w:r>
      <w:r w:rsidRPr="0013437B">
        <w:rPr>
          <w:color w:val="000000"/>
          <w:sz w:val="24"/>
        </w:rPr>
        <w:t>“</w:t>
      </w:r>
      <w:r w:rsidRPr="0013437B">
        <w:rPr>
          <w:color w:val="000000"/>
          <w:sz w:val="24"/>
        </w:rPr>
        <w:t>戴维斯双杀</w:t>
      </w:r>
      <w:r w:rsidRPr="0013437B">
        <w:rPr>
          <w:color w:val="000000"/>
          <w:sz w:val="24"/>
        </w:rPr>
        <w:t>”</w:t>
      </w:r>
      <w:r w:rsidRPr="0013437B">
        <w:rPr>
          <w:color w:val="000000"/>
          <w:sz w:val="24"/>
        </w:rPr>
        <w:t>。考虑到</w:t>
      </w:r>
      <w:r w:rsidRPr="0013437B">
        <w:rPr>
          <w:color w:val="000000"/>
          <w:sz w:val="24"/>
        </w:rPr>
        <w:t>2018</w:t>
      </w:r>
      <w:r w:rsidRPr="0013437B">
        <w:rPr>
          <w:color w:val="000000"/>
          <w:sz w:val="24"/>
        </w:rPr>
        <w:t>年十月后，中美汇率敞口可能带来的人民币汇率阶段性升值的机会，所以适度增加了黄金、基建、航空等配置比例，并在十一月中下旬逐步兑现。目前只留下了部分基建股作为</w:t>
      </w:r>
      <w:r w:rsidRPr="0013437B">
        <w:rPr>
          <w:color w:val="000000"/>
          <w:sz w:val="24"/>
        </w:rPr>
        <w:t>2019</w:t>
      </w:r>
      <w:r w:rsidRPr="0013437B">
        <w:rPr>
          <w:color w:val="000000"/>
          <w:sz w:val="24"/>
        </w:rPr>
        <w:t>年一季度的配置。本基金在</w:t>
      </w:r>
      <w:r w:rsidRPr="0013437B">
        <w:rPr>
          <w:color w:val="000000"/>
          <w:sz w:val="24"/>
        </w:rPr>
        <w:t>2018</w:t>
      </w:r>
      <w:r w:rsidRPr="0013437B">
        <w:rPr>
          <w:color w:val="000000"/>
          <w:sz w:val="24"/>
        </w:rPr>
        <w:t>年三季度末超配的地产板块，在十二月也作了相应的兑现，特别是三四线地产股。地产股投资逻辑相对比较复杂，包括业绩增速、销售增速以及宏观政策的预期，考虑到龙头企业为了后续业绩增长的持续性，可能会对业绩做相应的平滑，预计</w:t>
      </w:r>
      <w:r w:rsidRPr="0013437B">
        <w:rPr>
          <w:color w:val="000000"/>
          <w:sz w:val="24"/>
        </w:rPr>
        <w:t>2019</w:t>
      </w:r>
      <w:r w:rsidRPr="0013437B">
        <w:rPr>
          <w:color w:val="000000"/>
          <w:sz w:val="24"/>
        </w:rPr>
        <w:t>年一季度整体房地产销售面积和新开工面积等中观数据压力会比较大，后续更多的还是要关注</w:t>
      </w:r>
      <w:r w:rsidRPr="0013437B">
        <w:rPr>
          <w:color w:val="000000"/>
          <w:sz w:val="24"/>
        </w:rPr>
        <w:t>2019</w:t>
      </w:r>
      <w:r w:rsidRPr="0013437B">
        <w:rPr>
          <w:color w:val="000000"/>
          <w:sz w:val="24"/>
        </w:rPr>
        <w:t>年三、四月的政策时间窗口以及市场对于地产龙头企业的业绩预期变化。本基金在十二月中下旬增加了消费白马龙头的配置比例，特别是市场预期较低的白马龙头。这些白马龙头虽然预计</w:t>
      </w:r>
      <w:r w:rsidRPr="0013437B">
        <w:rPr>
          <w:color w:val="000000"/>
          <w:sz w:val="24"/>
        </w:rPr>
        <w:t>2019</w:t>
      </w:r>
      <w:r w:rsidRPr="0013437B">
        <w:rPr>
          <w:color w:val="000000"/>
          <w:sz w:val="24"/>
        </w:rPr>
        <w:t>年业绩增速大概率低于</w:t>
      </w:r>
      <w:r w:rsidRPr="0013437B">
        <w:rPr>
          <w:color w:val="000000"/>
          <w:sz w:val="24"/>
        </w:rPr>
        <w:t>2018</w:t>
      </w:r>
      <w:r w:rsidRPr="0013437B">
        <w:rPr>
          <w:color w:val="000000"/>
          <w:sz w:val="24"/>
        </w:rPr>
        <w:t>年，但是在整体宏观经济放缓的背景下已经逐步稀缺。经过半年报以及三季报对于消费白马龙头的盈利预测下调，目前整体处于低预期下的低估值。从现金流和未来空间来看，目前的消费白马虽然股价弹性可能不是太大，但是在</w:t>
      </w:r>
      <w:r w:rsidRPr="0013437B">
        <w:rPr>
          <w:color w:val="000000"/>
          <w:sz w:val="24"/>
        </w:rPr>
        <w:t>2019</w:t>
      </w:r>
      <w:r w:rsidRPr="0013437B">
        <w:rPr>
          <w:color w:val="000000"/>
          <w:sz w:val="24"/>
        </w:rPr>
        <w:t>年应该能够获得不错的绝对收益和分红收益率。</w:t>
      </w:r>
    </w:p>
    <w:p w:rsidR="001A59F9" w:rsidRPr="00C51C77" w:rsidRDefault="001A59F9" w:rsidP="00C51C77">
      <w:pPr>
        <w:spacing w:line="360" w:lineRule="auto"/>
        <w:ind w:firstLineChars="200" w:firstLine="420"/>
        <w:rPr>
          <w:rFonts w:asciiTheme="minorEastAsia" w:eastAsiaTheme="minorEastAsia" w:hAnsiTheme="minorEastAsia"/>
          <w:kern w:val="0"/>
          <w:szCs w:val="21"/>
        </w:rPr>
      </w:pPr>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4.4.2</w:t>
      </w:r>
      <w:r w:rsidRPr="00701155">
        <w:rPr>
          <w:rFonts w:ascii="Times New Roman" w:hAnsi="Times New Roman" w:hint="eastAsia"/>
          <w:kern w:val="0"/>
          <w:szCs w:val="24"/>
        </w:rPr>
        <w:t>报告期内基金的业绩表现</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本基金（各类）份额净值及业绩表现请见</w:t>
      </w:r>
      <w:r w:rsidRPr="0013437B">
        <w:rPr>
          <w:color w:val="000000"/>
          <w:sz w:val="24"/>
        </w:rPr>
        <w:t>“3.1</w:t>
      </w:r>
      <w:r w:rsidRPr="0013437B">
        <w:rPr>
          <w:color w:val="000000"/>
          <w:sz w:val="24"/>
        </w:rPr>
        <w:t>主要会计数据和财务指标</w:t>
      </w:r>
      <w:r w:rsidRPr="0013437B">
        <w:rPr>
          <w:color w:val="000000"/>
          <w:sz w:val="24"/>
        </w:rPr>
        <w:t xml:space="preserve">” </w:t>
      </w:r>
      <w:r w:rsidRPr="0013437B">
        <w:rPr>
          <w:color w:val="000000"/>
          <w:sz w:val="24"/>
        </w:rPr>
        <w:t>及</w:t>
      </w:r>
      <w:r w:rsidRPr="0013437B">
        <w:rPr>
          <w:color w:val="000000"/>
          <w:sz w:val="24"/>
        </w:rPr>
        <w:t>“3.2.1</w:t>
      </w:r>
      <w:r w:rsidRPr="0013437B">
        <w:rPr>
          <w:color w:val="000000"/>
          <w:sz w:val="24"/>
        </w:rPr>
        <w:t>基金份额净值增长率及其与同期业绩比较基准收益率的比较</w:t>
      </w:r>
      <w:r w:rsidRPr="0013437B">
        <w:rPr>
          <w:color w:val="000000"/>
          <w:sz w:val="24"/>
        </w:rPr>
        <w:t>”</w:t>
      </w:r>
      <w:r w:rsidRPr="0013437B">
        <w:rPr>
          <w:color w:val="000000"/>
          <w:sz w:val="24"/>
        </w:rPr>
        <w:t>部分披露。</w:t>
      </w:r>
    </w:p>
    <w:p w:rsidR="001A59F9" w:rsidRPr="00C51C77" w:rsidRDefault="001A59F9" w:rsidP="00C51C77">
      <w:pPr>
        <w:spacing w:line="360" w:lineRule="auto"/>
        <w:ind w:firstLineChars="200" w:firstLine="420"/>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3" w:name="_Toc225498259"/>
      <w:bookmarkStart w:id="34" w:name="_Toc361324859"/>
      <w:r w:rsidRPr="00701155">
        <w:rPr>
          <w:rFonts w:ascii="Times New Roman" w:hAnsi="Times New Roman" w:hint="eastAsia"/>
          <w:kern w:val="0"/>
          <w:szCs w:val="24"/>
        </w:rPr>
        <w:t>4</w:t>
      </w:r>
      <w:r w:rsidR="001A59F9" w:rsidRPr="00701155">
        <w:rPr>
          <w:rFonts w:ascii="Times New Roman" w:hAnsi="Times New Roman"/>
          <w:kern w:val="0"/>
          <w:szCs w:val="24"/>
        </w:rPr>
        <w:t>.</w:t>
      </w:r>
      <w:r w:rsidRPr="00701155">
        <w:rPr>
          <w:rFonts w:ascii="Times New Roman" w:hAnsi="Times New Roman" w:hint="eastAsia"/>
          <w:kern w:val="0"/>
          <w:szCs w:val="24"/>
        </w:rPr>
        <w:t>5</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管理人对宏观经济、证券市场及行业走势的简要展望</w:t>
      </w:r>
      <w:bookmarkEnd w:id="33"/>
      <w:bookmarkEnd w:id="34"/>
    </w:p>
    <w:p w:rsidR="002B232B" w:rsidRDefault="0056363F">
      <w:pPr>
        <w:spacing w:before="29" w:line="288" w:lineRule="auto"/>
        <w:ind w:firstLineChars="200" w:firstLine="480"/>
        <w:rPr>
          <w:color w:val="000000"/>
          <w:sz w:val="24"/>
        </w:rPr>
      </w:pPr>
      <w:r>
        <w:rPr>
          <w:color w:val="000000"/>
          <w:sz w:val="24"/>
        </w:rPr>
        <w:t>展望</w:t>
      </w:r>
      <w:r>
        <w:rPr>
          <w:color w:val="000000"/>
          <w:sz w:val="24"/>
        </w:rPr>
        <w:t>2019</w:t>
      </w:r>
      <w:r>
        <w:rPr>
          <w:color w:val="000000"/>
          <w:sz w:val="24"/>
        </w:rPr>
        <w:t>年，预计整体市场估值向下继续下调的可能性不大，目前</w:t>
      </w:r>
      <w:r>
        <w:rPr>
          <w:color w:val="000000"/>
          <w:sz w:val="24"/>
        </w:rPr>
        <w:t>TTM</w:t>
      </w:r>
      <w:r>
        <w:rPr>
          <w:color w:val="000000"/>
          <w:sz w:val="24"/>
        </w:rPr>
        <w:t>估值基本上处于历史较低水平，后续整个</w:t>
      </w:r>
      <w:r>
        <w:rPr>
          <w:color w:val="000000"/>
          <w:sz w:val="24"/>
        </w:rPr>
        <w:t>A</w:t>
      </w:r>
      <w:r>
        <w:rPr>
          <w:color w:val="000000"/>
          <w:sz w:val="24"/>
        </w:rPr>
        <w:t>股盈利预测可能在年报和一季报期间出现</w:t>
      </w:r>
      <w:r>
        <w:rPr>
          <w:color w:val="000000"/>
          <w:sz w:val="24"/>
        </w:rPr>
        <w:t>1-2</w:t>
      </w:r>
      <w:r>
        <w:rPr>
          <w:color w:val="000000"/>
          <w:sz w:val="24"/>
        </w:rPr>
        <w:t>次下调以后，市场逐步见底。如果在</w:t>
      </w:r>
      <w:r>
        <w:rPr>
          <w:color w:val="000000"/>
          <w:sz w:val="24"/>
        </w:rPr>
        <w:t>2019</w:t>
      </w:r>
      <w:r>
        <w:rPr>
          <w:color w:val="000000"/>
          <w:sz w:val="24"/>
        </w:rPr>
        <w:t>年三、四月，中美贸易战能够告一段落，人民币汇率能稳定在</w:t>
      </w:r>
      <w:r>
        <w:rPr>
          <w:color w:val="000000"/>
          <w:sz w:val="24"/>
        </w:rPr>
        <w:t>6.7</w:t>
      </w:r>
      <w:r>
        <w:rPr>
          <w:color w:val="000000"/>
          <w:sz w:val="24"/>
        </w:rPr>
        <w:t>左右，在标普纳入</w:t>
      </w:r>
      <w:r>
        <w:rPr>
          <w:color w:val="000000"/>
          <w:sz w:val="24"/>
        </w:rPr>
        <w:t>A</w:t>
      </w:r>
      <w:r>
        <w:rPr>
          <w:color w:val="000000"/>
          <w:sz w:val="24"/>
        </w:rPr>
        <w:t>股以及</w:t>
      </w:r>
      <w:r>
        <w:rPr>
          <w:color w:val="000000"/>
          <w:sz w:val="24"/>
        </w:rPr>
        <w:t>2019</w:t>
      </w:r>
      <w:r>
        <w:rPr>
          <w:color w:val="000000"/>
          <w:sz w:val="24"/>
        </w:rPr>
        <w:t>年年中</w:t>
      </w:r>
      <w:r>
        <w:rPr>
          <w:color w:val="000000"/>
          <w:sz w:val="24"/>
        </w:rPr>
        <w:t>MSCI</w:t>
      </w:r>
      <w:r>
        <w:rPr>
          <w:color w:val="000000"/>
          <w:sz w:val="24"/>
        </w:rPr>
        <w:t>比例提高的背景下，以人民币计价的</w:t>
      </w:r>
      <w:r>
        <w:rPr>
          <w:color w:val="000000"/>
          <w:sz w:val="24"/>
        </w:rPr>
        <w:t>A</w:t>
      </w:r>
      <w:r>
        <w:rPr>
          <w:color w:val="000000"/>
          <w:sz w:val="24"/>
        </w:rPr>
        <w:t>股在全球市场的吸引力可能会明显提升。</w:t>
      </w:r>
    </w:p>
    <w:p w:rsidR="001A59F9" w:rsidRPr="0013437B" w:rsidRDefault="001A59F9" w:rsidP="0013437B">
      <w:pPr>
        <w:spacing w:before="29" w:line="288" w:lineRule="auto"/>
        <w:ind w:firstLineChars="200" w:firstLine="480"/>
        <w:rPr>
          <w:color w:val="000000"/>
          <w:sz w:val="24"/>
        </w:rPr>
      </w:pPr>
      <w:r w:rsidRPr="0013437B">
        <w:rPr>
          <w:color w:val="000000"/>
          <w:sz w:val="24"/>
        </w:rPr>
        <w:t>本基金在</w:t>
      </w:r>
      <w:r w:rsidRPr="0013437B">
        <w:rPr>
          <w:color w:val="000000"/>
          <w:sz w:val="24"/>
        </w:rPr>
        <w:t>2019</w:t>
      </w:r>
      <w:r w:rsidRPr="0013437B">
        <w:rPr>
          <w:color w:val="000000"/>
          <w:sz w:val="24"/>
        </w:rPr>
        <w:t>年将维持现有仓位和配置思路，从现金流低预期的角度配置消费白马龙头，从人民币汇率升值重估角度配置地产基建或者黄金等。此外，我们希望通过自下而上的研究方式，从而挖掘到一季度业绩能够明显超预期的消费小黑马，并在一季度末开始做重点研究和配置。</w:t>
      </w:r>
    </w:p>
    <w:p w:rsidR="001A59F9" w:rsidRPr="00C51C77" w:rsidRDefault="001A59F9" w:rsidP="00C51C77">
      <w:pPr>
        <w:autoSpaceDE w:val="0"/>
        <w:autoSpaceDN w:val="0"/>
        <w:adjustRightInd w:val="0"/>
        <w:spacing w:line="360" w:lineRule="auto"/>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5" w:name="_Toc247959457"/>
      <w:bookmarkStart w:id="36" w:name="_Toc225570083"/>
      <w:bookmarkStart w:id="37" w:name="_Toc361324861"/>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6</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管理人对报告期内基金估值程序等事项的说明</w:t>
      </w:r>
      <w:bookmarkEnd w:id="35"/>
      <w:bookmarkEnd w:id="36"/>
      <w:bookmarkEnd w:id="37"/>
    </w:p>
    <w:p w:rsidR="002B232B" w:rsidRDefault="0056363F">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w:t>
      </w:r>
      <w:r>
        <w:rPr>
          <w:color w:val="000000"/>
          <w:sz w:val="24"/>
        </w:rPr>
        <w:lastRenderedPageBreak/>
        <w:t>收益人员及基金经理组成。</w:t>
      </w:r>
    </w:p>
    <w:p w:rsidR="002B232B" w:rsidRDefault="0056363F">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A59F9" w:rsidRPr="0013437B" w:rsidRDefault="001A59F9" w:rsidP="0013437B">
      <w:pPr>
        <w:spacing w:before="29" w:line="288" w:lineRule="auto"/>
        <w:ind w:firstLineChars="200" w:firstLine="480"/>
        <w:rPr>
          <w:color w:val="000000"/>
          <w:sz w:val="24"/>
        </w:rPr>
      </w:pPr>
      <w:r w:rsidRPr="0013437B">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A59F9" w:rsidRPr="00C51C77" w:rsidRDefault="001A59F9" w:rsidP="00C51C77">
      <w:pPr>
        <w:autoSpaceDE w:val="0"/>
        <w:autoSpaceDN w:val="0"/>
        <w:adjustRightInd w:val="0"/>
        <w:spacing w:line="360" w:lineRule="auto"/>
        <w:ind w:firstLine="482"/>
        <w:rPr>
          <w:rFonts w:asciiTheme="minorEastAsia" w:eastAsiaTheme="minorEastAsia" w:hAnsiTheme="minorEastAsia"/>
          <w:color w:val="000000"/>
          <w:kern w:val="0"/>
          <w:szCs w:val="21"/>
        </w:rPr>
      </w:pPr>
    </w:p>
    <w:p w:rsidR="001A59F9" w:rsidRPr="00701155" w:rsidRDefault="00055D56" w:rsidP="00701155">
      <w:pPr>
        <w:pStyle w:val="20"/>
        <w:spacing w:before="29" w:after="0" w:line="288" w:lineRule="auto"/>
        <w:rPr>
          <w:rFonts w:ascii="Times New Roman" w:hAnsi="Times New Roman"/>
          <w:kern w:val="0"/>
          <w:szCs w:val="24"/>
        </w:rPr>
      </w:pPr>
      <w:bookmarkStart w:id="38" w:name="_Toc247959458"/>
      <w:bookmarkStart w:id="39" w:name="_Toc225570084"/>
      <w:bookmarkStart w:id="40" w:name="_Toc361324862"/>
      <w:r w:rsidRPr="00701155">
        <w:rPr>
          <w:rFonts w:ascii="Times New Roman" w:hAnsi="Times New Roman" w:hint="eastAsia"/>
          <w:kern w:val="0"/>
          <w:szCs w:val="24"/>
        </w:rPr>
        <w:t>4</w:t>
      </w:r>
      <w:r w:rsidRPr="00701155">
        <w:rPr>
          <w:rFonts w:ascii="Times New Roman" w:hAnsi="Times New Roman"/>
          <w:kern w:val="0"/>
          <w:szCs w:val="24"/>
        </w:rPr>
        <w:t>.</w:t>
      </w:r>
      <w:r w:rsidRPr="00701155">
        <w:rPr>
          <w:rFonts w:ascii="Times New Roman" w:hAnsi="Times New Roman" w:hint="eastAsia"/>
          <w:kern w:val="0"/>
          <w:szCs w:val="24"/>
        </w:rPr>
        <w:t>7</w:t>
      </w:r>
      <w:r w:rsidR="001A59F9" w:rsidRPr="00701155">
        <w:rPr>
          <w:rFonts w:ascii="Times New Roman" w:hAnsi="Times New Roman"/>
          <w:kern w:val="0"/>
          <w:szCs w:val="24"/>
        </w:rPr>
        <w:t xml:space="preserve"> </w:t>
      </w:r>
      <w:r w:rsidR="001A59F9" w:rsidRPr="00701155">
        <w:rPr>
          <w:rFonts w:ascii="Times New Roman" w:hAnsi="Times New Roman" w:hint="eastAsia"/>
          <w:kern w:val="0"/>
          <w:szCs w:val="24"/>
        </w:rPr>
        <w:t>管理人对报告期内基金利润分配情况的说明</w:t>
      </w:r>
      <w:bookmarkEnd w:id="38"/>
      <w:bookmarkEnd w:id="39"/>
      <w:bookmarkEnd w:id="40"/>
    </w:p>
    <w:p w:rsidR="001A59F9" w:rsidRPr="0013437B" w:rsidRDefault="001A59F9" w:rsidP="0013437B">
      <w:pPr>
        <w:spacing w:before="29" w:line="288" w:lineRule="auto"/>
        <w:ind w:firstLineChars="200" w:firstLine="480"/>
        <w:rPr>
          <w:color w:val="000000"/>
          <w:sz w:val="24"/>
        </w:rPr>
      </w:pPr>
      <w:r w:rsidRPr="0013437B">
        <w:rPr>
          <w:color w:val="000000"/>
          <w:sz w:val="24"/>
        </w:rPr>
        <w:t>根据相关法律法规和基金合同要求，本基金本报告期内对本报告期可供分配利润进行了收益分配，具体情况参见</w:t>
      </w:r>
      <w:r w:rsidR="0056363F" w:rsidRPr="0056363F">
        <w:rPr>
          <w:rFonts w:hint="eastAsia"/>
          <w:color w:val="000000"/>
          <w:sz w:val="24"/>
        </w:rPr>
        <w:t>年度报告正文</w:t>
      </w:r>
      <w:r w:rsidRPr="0013437B">
        <w:rPr>
          <w:color w:val="000000"/>
          <w:sz w:val="24"/>
        </w:rPr>
        <w:t>7.4.11</w:t>
      </w:r>
      <w:r w:rsidRPr="0013437B">
        <w:rPr>
          <w:color w:val="000000"/>
          <w:sz w:val="24"/>
        </w:rPr>
        <w:t>利润分配情况。</w:t>
      </w:r>
    </w:p>
    <w:p w:rsidR="001A59F9" w:rsidRPr="00C51C77" w:rsidRDefault="001A59F9" w:rsidP="00C51C77">
      <w:pPr>
        <w:autoSpaceDE w:val="0"/>
        <w:autoSpaceDN w:val="0"/>
        <w:adjustRightInd w:val="0"/>
        <w:spacing w:line="360" w:lineRule="auto"/>
        <w:ind w:firstLineChars="200" w:firstLine="420"/>
        <w:rPr>
          <w:rFonts w:asciiTheme="minorEastAsia" w:eastAsiaTheme="minorEastAsia" w:hAnsiTheme="minorEastAsia"/>
          <w:color w:val="000000"/>
          <w:kern w:val="0"/>
          <w:szCs w:val="21"/>
        </w:rPr>
      </w:pPr>
    </w:p>
    <w:p w:rsidR="00C62F35" w:rsidRPr="00BB731C" w:rsidRDefault="00C62F35" w:rsidP="00C62F35">
      <w:pPr>
        <w:spacing w:before="29" w:line="288" w:lineRule="auto"/>
        <w:rPr>
          <w:rFonts w:eastAsiaTheme="minorEastAsia"/>
          <w:b/>
          <w:sz w:val="24"/>
        </w:rPr>
      </w:pPr>
      <w:r w:rsidRPr="00BB731C">
        <w:rPr>
          <w:rFonts w:eastAsiaTheme="minorEastAsia"/>
          <w:b/>
          <w:sz w:val="24"/>
        </w:rPr>
        <w:t>4.8</w:t>
      </w:r>
      <w:r w:rsidRPr="00BB731C">
        <w:rPr>
          <w:rFonts w:eastAsiaTheme="minorEastAsia" w:hint="eastAsia"/>
          <w:b/>
          <w:sz w:val="24"/>
        </w:rPr>
        <w:t xml:space="preserve"> </w:t>
      </w:r>
      <w:r w:rsidRPr="00BB731C">
        <w:rPr>
          <w:rFonts w:eastAsiaTheme="minorEastAsia" w:hint="eastAsia"/>
          <w:b/>
          <w:sz w:val="24"/>
        </w:rPr>
        <w:t>报告期内管理人对本基金持有人数或基金资产净值预警情形的说明</w:t>
      </w:r>
    </w:p>
    <w:p w:rsidR="00C62F35" w:rsidRPr="00BB731C" w:rsidRDefault="00C62F35" w:rsidP="00C62F35">
      <w:pPr>
        <w:spacing w:before="29" w:line="288" w:lineRule="auto"/>
        <w:ind w:firstLineChars="200" w:firstLine="480"/>
        <w:rPr>
          <w:kern w:val="0"/>
          <w:sz w:val="24"/>
        </w:rPr>
      </w:pPr>
      <w:r w:rsidRPr="00BB731C">
        <w:rPr>
          <w:kern w:val="0"/>
          <w:sz w:val="24"/>
        </w:rPr>
        <w:t>本基金本报告期内无需预警说明。</w:t>
      </w:r>
    </w:p>
    <w:p w:rsidR="00C62F35" w:rsidRPr="0013437B" w:rsidRDefault="00C62F35"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1" w:name="_Toc225498263"/>
      <w:bookmarkStart w:id="42" w:name="_Toc361324864"/>
      <w:r w:rsidRPr="006D2A81">
        <w:rPr>
          <w:rFonts w:hint="eastAsia"/>
          <w:b/>
          <w:bCs/>
          <w:szCs w:val="24"/>
          <w:lang w:val="en-US"/>
        </w:rPr>
        <w:t>§</w:t>
      </w:r>
      <w:r w:rsidRPr="006D2A81">
        <w:rPr>
          <w:b/>
          <w:bCs/>
          <w:szCs w:val="24"/>
          <w:lang w:val="en-US"/>
        </w:rPr>
        <w:t xml:space="preserve">5  </w:t>
      </w:r>
      <w:r w:rsidRPr="006D2A81">
        <w:rPr>
          <w:rFonts w:hint="eastAsia"/>
          <w:b/>
          <w:bCs/>
          <w:szCs w:val="24"/>
          <w:lang w:val="en-US"/>
        </w:rPr>
        <w:t>托管人报告</w:t>
      </w:r>
      <w:bookmarkEnd w:id="41"/>
      <w:bookmarkEnd w:id="4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43" w:name="_Toc225498264"/>
      <w:bookmarkStart w:id="44" w:name="_Toc361324865"/>
      <w:r w:rsidRPr="00701155">
        <w:rPr>
          <w:rFonts w:ascii="Times New Roman" w:hAnsi="Times New Roman"/>
          <w:kern w:val="0"/>
          <w:szCs w:val="24"/>
        </w:rPr>
        <w:t xml:space="preserve">5.1 </w:t>
      </w:r>
      <w:r w:rsidRPr="00701155">
        <w:rPr>
          <w:rFonts w:ascii="Times New Roman" w:hAnsi="Times New Roman" w:hint="eastAsia"/>
          <w:kern w:val="0"/>
          <w:szCs w:val="24"/>
        </w:rPr>
        <w:t>报告期内本基金托管人遵规守信情况声明</w:t>
      </w:r>
      <w:bookmarkEnd w:id="43"/>
      <w:bookmarkEnd w:id="44"/>
    </w:p>
    <w:p w:rsidR="001A59F9" w:rsidRPr="0013437B" w:rsidRDefault="001A59F9" w:rsidP="0013437B">
      <w:pPr>
        <w:spacing w:before="29" w:line="288" w:lineRule="auto"/>
        <w:ind w:firstLineChars="200" w:firstLine="480"/>
        <w:rPr>
          <w:color w:val="000000"/>
          <w:sz w:val="24"/>
        </w:rPr>
      </w:pPr>
      <w:r w:rsidRPr="0013437B">
        <w:rPr>
          <w:color w:val="000000"/>
          <w:sz w:val="24"/>
        </w:rPr>
        <w:t>作为本基金的托管人，中信银行严格遵守了《证券投资基金法》及其他有关法律法规、基金合同和托管协议的规定，对交银施罗德策略回报灵活配置混合型证券投资基金</w:t>
      </w:r>
      <w:r w:rsidRPr="0013437B">
        <w:rPr>
          <w:color w:val="000000"/>
          <w:sz w:val="24"/>
        </w:rPr>
        <w:t>2017</w:t>
      </w:r>
      <w:r w:rsidRPr="0013437B">
        <w:rPr>
          <w:color w:val="000000"/>
          <w:sz w:val="24"/>
        </w:rPr>
        <w:t>年度基金的投资运作，进行了认真、独立的会计核算和必要的投资监督，认真履行了托管人的义务，不存在任何损害基金份额持有人利益的行为。</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5" w:name="_Toc225498265"/>
      <w:bookmarkStart w:id="46" w:name="_Toc361324866"/>
      <w:r w:rsidRPr="00701155">
        <w:rPr>
          <w:rFonts w:ascii="Times New Roman" w:hAnsi="Times New Roman"/>
          <w:kern w:val="0"/>
          <w:szCs w:val="24"/>
        </w:rPr>
        <w:t xml:space="preserve">5.2 </w:t>
      </w:r>
      <w:r w:rsidRPr="00701155">
        <w:rPr>
          <w:rFonts w:ascii="Times New Roman" w:hAnsi="Times New Roman" w:hint="eastAsia"/>
          <w:kern w:val="0"/>
          <w:szCs w:val="24"/>
        </w:rPr>
        <w:t>托管人对报告期内本基金投资运作遵规守信、净值计算、利润分配等情况的</w:t>
      </w:r>
      <w:bookmarkEnd w:id="45"/>
      <w:r w:rsidRPr="00701155">
        <w:rPr>
          <w:rFonts w:ascii="Times New Roman" w:hAnsi="Times New Roman" w:hint="eastAsia"/>
          <w:kern w:val="0"/>
          <w:szCs w:val="24"/>
        </w:rPr>
        <w:t>说明</w:t>
      </w:r>
      <w:bookmarkEnd w:id="46"/>
    </w:p>
    <w:p w:rsidR="001A59F9" w:rsidRPr="0013437B"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在交银施罗德策略回报灵活配置混合型证券投资基金的投资运作、基金资产净值的计算、基金份额申购赎回价格的计算、基金费用开支及利润分配等问题上，不存在损害基金份额持有人利益的行为；在报告期内，严格遵守了《证券投资基金法》等有关法律法规，在各重要方面的运作严格按照基金合同的规定进行。</w:t>
      </w:r>
    </w:p>
    <w:p w:rsidR="001A59F9" w:rsidRPr="00C51C77" w:rsidRDefault="001A59F9" w:rsidP="00016A50">
      <w:pPr>
        <w:spacing w:line="360" w:lineRule="auto"/>
        <w:ind w:firstLineChars="200" w:firstLine="420"/>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47" w:name="_Toc225498266"/>
      <w:bookmarkStart w:id="48" w:name="_Toc361324867"/>
      <w:r w:rsidRPr="00701155">
        <w:rPr>
          <w:rFonts w:ascii="Times New Roman" w:hAnsi="Times New Roman"/>
          <w:kern w:val="0"/>
          <w:szCs w:val="24"/>
        </w:rPr>
        <w:t xml:space="preserve">5.3 </w:t>
      </w:r>
      <w:r w:rsidRPr="00701155">
        <w:rPr>
          <w:rFonts w:ascii="Times New Roman" w:hAnsi="Times New Roman" w:hint="eastAsia"/>
          <w:kern w:val="0"/>
          <w:szCs w:val="24"/>
        </w:rPr>
        <w:t>托管人对本年度报告中财务信息等内容的真实、准确和完整发表意见</w:t>
      </w:r>
      <w:bookmarkEnd w:id="47"/>
      <w:bookmarkEnd w:id="48"/>
    </w:p>
    <w:p w:rsidR="001A59F9" w:rsidRDefault="001A59F9" w:rsidP="0013437B">
      <w:pPr>
        <w:spacing w:before="29" w:line="288" w:lineRule="auto"/>
        <w:ind w:firstLineChars="200" w:firstLine="480"/>
        <w:rPr>
          <w:color w:val="000000"/>
          <w:sz w:val="24"/>
        </w:rPr>
      </w:pPr>
      <w:r w:rsidRPr="0013437B">
        <w:rPr>
          <w:color w:val="000000"/>
          <w:sz w:val="24"/>
        </w:rPr>
        <w:t>本托管人认为，交银施罗德基金管理有限公司的信息披露事务符合《证券投资基金信息披露管理办法》及其他相关法律法规的规定，基金管理人所编制和披露的交银施罗德策略回报灵活配置混合型证券投资基金年度报告中的财务指标、净值表现、收益分配情况、财务会计报告、投资组合报告等信息真实、准确、完整，未发现有损害基金持有人利益的行为。</w:t>
      </w:r>
    </w:p>
    <w:p w:rsidR="009E773E" w:rsidRPr="0013437B" w:rsidRDefault="009E773E" w:rsidP="0013437B">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49" w:name="_Toc245801814"/>
      <w:bookmarkStart w:id="50" w:name="_Toc247959464"/>
      <w:bookmarkStart w:id="51" w:name="_Toc361324868"/>
      <w:r w:rsidRPr="009E773E">
        <w:rPr>
          <w:rFonts w:hint="eastAsia"/>
          <w:b/>
          <w:bCs/>
          <w:szCs w:val="24"/>
          <w:lang w:val="en-US"/>
        </w:rPr>
        <w:t>§</w:t>
      </w:r>
      <w:r w:rsidRPr="009E773E">
        <w:rPr>
          <w:b/>
          <w:bCs/>
          <w:szCs w:val="24"/>
          <w:lang w:val="en-US"/>
        </w:rPr>
        <w:t xml:space="preserve">6  </w:t>
      </w:r>
      <w:r w:rsidRPr="009E773E">
        <w:rPr>
          <w:rFonts w:hint="eastAsia"/>
          <w:b/>
          <w:bCs/>
          <w:szCs w:val="24"/>
          <w:lang w:val="en-US"/>
        </w:rPr>
        <w:t>审计报告</w:t>
      </w:r>
      <w:bookmarkEnd w:id="49"/>
      <w:bookmarkEnd w:id="50"/>
      <w:bookmarkEnd w:id="51"/>
    </w:p>
    <w:p w:rsidR="002546CC" w:rsidRPr="002546CC" w:rsidRDefault="002546CC" w:rsidP="002546CC"/>
    <w:p w:rsidR="00444105" w:rsidRDefault="00444105" w:rsidP="00444105">
      <w:pPr>
        <w:spacing w:before="29" w:line="288" w:lineRule="auto"/>
        <w:ind w:firstLineChars="200" w:firstLine="480"/>
        <w:rPr>
          <w:color w:val="000000"/>
          <w:sz w:val="24"/>
        </w:rPr>
      </w:pPr>
      <w:r w:rsidRPr="001F3653">
        <w:rPr>
          <w:color w:val="000000"/>
          <w:sz w:val="24"/>
        </w:rPr>
        <w:t>普华永道中天会计师事务所（特殊普通合伙）</w:t>
      </w:r>
      <w:r w:rsidRPr="00A009EE">
        <w:rPr>
          <w:rFonts w:hint="eastAsia"/>
          <w:color w:val="000000"/>
          <w:sz w:val="24"/>
        </w:rPr>
        <w:t>对</w:t>
      </w:r>
      <w:r w:rsidRPr="003C6BFD">
        <w:rPr>
          <w:color w:val="000000"/>
          <w:sz w:val="24"/>
        </w:rPr>
        <w:t>交银施罗德策略回报灵活配置混合型证券投资基金</w:t>
      </w:r>
      <w:r w:rsidRPr="003C6BFD">
        <w:rPr>
          <w:color w:val="000000"/>
          <w:sz w:val="24"/>
        </w:rPr>
        <w:t>2018</w:t>
      </w:r>
      <w:r w:rsidRPr="003C6BFD">
        <w:rPr>
          <w:color w:val="000000"/>
          <w:sz w:val="24"/>
        </w:rPr>
        <w:t>年</w:t>
      </w:r>
      <w:r w:rsidRPr="003C6BFD">
        <w:rPr>
          <w:color w:val="000000"/>
          <w:sz w:val="24"/>
        </w:rPr>
        <w:t>12</w:t>
      </w:r>
      <w:r w:rsidRPr="003C6BFD">
        <w:rPr>
          <w:color w:val="000000"/>
          <w:sz w:val="24"/>
        </w:rPr>
        <w:t>月</w:t>
      </w:r>
      <w:r w:rsidRPr="003C6BFD">
        <w:rPr>
          <w:color w:val="000000"/>
          <w:sz w:val="24"/>
        </w:rPr>
        <w:t>31</w:t>
      </w:r>
      <w:r w:rsidRPr="003C6BFD">
        <w:rPr>
          <w:color w:val="000000"/>
          <w:sz w:val="24"/>
        </w:rPr>
        <w:t>日</w:t>
      </w:r>
      <w:r w:rsidRPr="00A009EE">
        <w:rPr>
          <w:rFonts w:hint="eastAsia"/>
          <w:color w:val="000000"/>
          <w:sz w:val="24"/>
        </w:rPr>
        <w:t>的资产负债表，</w:t>
      </w:r>
      <w:r w:rsidRPr="003C6BFD">
        <w:rPr>
          <w:color w:val="000000"/>
          <w:sz w:val="24"/>
        </w:rPr>
        <w:t>2018</w:t>
      </w:r>
      <w:r w:rsidRPr="003C6BFD">
        <w:rPr>
          <w:color w:val="000000"/>
          <w:sz w:val="24"/>
        </w:rPr>
        <w:t>年</w:t>
      </w:r>
      <w:r w:rsidR="0020150C">
        <w:rPr>
          <w:rFonts w:hint="eastAsia"/>
          <w:color w:val="000000"/>
          <w:sz w:val="24"/>
        </w:rPr>
        <w:t>度</w:t>
      </w:r>
      <w:r w:rsidRPr="00A009EE">
        <w:rPr>
          <w:rFonts w:hint="eastAsia"/>
          <w:color w:val="000000"/>
          <w:sz w:val="24"/>
        </w:rPr>
        <w:t>的利润表、所有者权益</w:t>
      </w:r>
      <w:r w:rsidRPr="00A009EE">
        <w:rPr>
          <w:rFonts w:hint="eastAsia"/>
          <w:color w:val="000000"/>
          <w:sz w:val="24"/>
        </w:rPr>
        <w:t>(</w:t>
      </w:r>
      <w:r w:rsidRPr="00A009EE">
        <w:rPr>
          <w:rFonts w:hint="eastAsia"/>
          <w:color w:val="000000"/>
          <w:sz w:val="24"/>
        </w:rPr>
        <w:t>基金净值</w:t>
      </w:r>
      <w:r w:rsidRPr="00A009EE">
        <w:rPr>
          <w:rFonts w:hint="eastAsia"/>
          <w:color w:val="000000"/>
          <w:sz w:val="24"/>
        </w:rPr>
        <w:t>)</w:t>
      </w:r>
      <w:r w:rsidRPr="00A009EE">
        <w:rPr>
          <w:rFonts w:hint="eastAsia"/>
          <w:color w:val="000000"/>
          <w:sz w:val="24"/>
        </w:rPr>
        <w:t>变动表以及财务报表附注</w:t>
      </w:r>
      <w:r w:rsidRPr="001F3653">
        <w:rPr>
          <w:rFonts w:hint="eastAsia"/>
          <w:color w:val="000000"/>
          <w:sz w:val="24"/>
        </w:rPr>
        <w:t>出具了标准无保留意见的审计报告</w:t>
      </w:r>
      <w:r w:rsidR="000E4B9B">
        <w:rPr>
          <w:rFonts w:hint="eastAsia"/>
          <w:color w:val="000000"/>
          <w:sz w:val="24"/>
        </w:rPr>
        <w:t>【</w:t>
      </w:r>
      <w:r w:rsidRPr="001F3653">
        <w:rPr>
          <w:color w:val="000000"/>
          <w:sz w:val="24"/>
        </w:rPr>
        <w:t>普华永道中天审字</w:t>
      </w:r>
      <w:r w:rsidRPr="001F3653">
        <w:rPr>
          <w:color w:val="000000"/>
          <w:sz w:val="24"/>
        </w:rPr>
        <w:t>(2019)</w:t>
      </w:r>
      <w:r w:rsidRPr="001F3653">
        <w:rPr>
          <w:color w:val="000000"/>
          <w:sz w:val="24"/>
        </w:rPr>
        <w:t>第</w:t>
      </w:r>
      <w:r w:rsidRPr="001F3653">
        <w:rPr>
          <w:color w:val="000000"/>
          <w:sz w:val="24"/>
        </w:rPr>
        <w:t>21568</w:t>
      </w:r>
      <w:r w:rsidRPr="001F3653">
        <w:rPr>
          <w:color w:val="000000"/>
          <w:sz w:val="24"/>
        </w:rPr>
        <w:t>号</w:t>
      </w:r>
      <w:r w:rsidR="000E4B9B">
        <w:rPr>
          <w:rFonts w:hint="eastAsia"/>
          <w:color w:val="000000"/>
          <w:sz w:val="24"/>
        </w:rPr>
        <w:t>】</w:t>
      </w:r>
      <w:r w:rsidRPr="001F3653">
        <w:rPr>
          <w:rFonts w:hint="eastAsia"/>
          <w:color w:val="000000"/>
          <w:sz w:val="24"/>
        </w:rPr>
        <w:t>。投资者可通过</w:t>
      </w:r>
      <w:r>
        <w:rPr>
          <w:rFonts w:hint="eastAsia"/>
          <w:color w:val="000000"/>
          <w:sz w:val="24"/>
        </w:rPr>
        <w:t>本基金</w:t>
      </w:r>
      <w:r w:rsidRPr="001F3653">
        <w:rPr>
          <w:rFonts w:hint="eastAsia"/>
          <w:color w:val="000000"/>
          <w:sz w:val="24"/>
        </w:rPr>
        <w:t>年度报告正文查看</w:t>
      </w:r>
      <w:r>
        <w:rPr>
          <w:rFonts w:hint="eastAsia"/>
          <w:color w:val="000000"/>
          <w:sz w:val="24"/>
        </w:rPr>
        <w:t>该</w:t>
      </w:r>
      <w:r w:rsidRPr="001F3653">
        <w:rPr>
          <w:rFonts w:hint="eastAsia"/>
          <w:color w:val="000000"/>
          <w:sz w:val="24"/>
        </w:rPr>
        <w:t>审计报告全文。</w:t>
      </w:r>
    </w:p>
    <w:p w:rsidR="0068776C" w:rsidRPr="00444105" w:rsidRDefault="0068776C" w:rsidP="001F3653">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52" w:name="_Toc361324872"/>
      <w:r w:rsidRPr="0068776C">
        <w:rPr>
          <w:rFonts w:hint="eastAsia"/>
          <w:b/>
          <w:bCs/>
          <w:szCs w:val="24"/>
          <w:lang w:val="en-US"/>
        </w:rPr>
        <w:t>§</w:t>
      </w:r>
      <w:r w:rsidRPr="0068776C">
        <w:rPr>
          <w:b/>
          <w:bCs/>
          <w:szCs w:val="24"/>
          <w:lang w:val="en-US"/>
        </w:rPr>
        <w:t>7</w:t>
      </w:r>
      <w:r w:rsidR="009153A3" w:rsidRPr="0068776C">
        <w:rPr>
          <w:rFonts w:hint="eastAsia"/>
          <w:b/>
          <w:bCs/>
          <w:szCs w:val="24"/>
          <w:lang w:val="en-US"/>
        </w:rPr>
        <w:t xml:space="preserve">  </w:t>
      </w:r>
      <w:r w:rsidRPr="0068776C">
        <w:rPr>
          <w:rFonts w:hint="eastAsia"/>
          <w:b/>
          <w:bCs/>
          <w:szCs w:val="24"/>
          <w:lang w:val="en-US"/>
        </w:rPr>
        <w:t>年度财务报表</w:t>
      </w:r>
      <w:bookmarkEnd w:id="52"/>
    </w:p>
    <w:p w:rsidR="002546CC" w:rsidRPr="002546CC" w:rsidRDefault="002546CC" w:rsidP="002546CC"/>
    <w:p w:rsidR="001A59F9" w:rsidRPr="00701155" w:rsidRDefault="001A59F9" w:rsidP="00701155">
      <w:pPr>
        <w:pStyle w:val="20"/>
        <w:spacing w:before="29" w:after="0" w:line="288" w:lineRule="auto"/>
        <w:rPr>
          <w:rFonts w:ascii="Times New Roman" w:hAnsi="Times New Roman"/>
          <w:kern w:val="0"/>
          <w:szCs w:val="24"/>
        </w:rPr>
      </w:pPr>
      <w:bookmarkStart w:id="53" w:name="_Toc225498268"/>
      <w:bookmarkStart w:id="54" w:name="_Toc361324873"/>
      <w:r w:rsidRPr="00701155">
        <w:rPr>
          <w:rFonts w:ascii="Times New Roman" w:hAnsi="Times New Roman"/>
          <w:kern w:val="0"/>
          <w:szCs w:val="24"/>
        </w:rPr>
        <w:t xml:space="preserve">7.1 </w:t>
      </w:r>
      <w:r w:rsidRPr="00701155">
        <w:rPr>
          <w:rFonts w:ascii="Times New Roman" w:hAnsi="Times New Roman" w:hint="eastAsia"/>
          <w:kern w:val="0"/>
          <w:szCs w:val="24"/>
        </w:rPr>
        <w:t>资产负债表</w:t>
      </w:r>
      <w:bookmarkEnd w:id="53"/>
      <w:bookmarkEnd w:id="54"/>
    </w:p>
    <w:p w:rsidR="001A59F9" w:rsidRPr="001C5FC7" w:rsidRDefault="001A59F9" w:rsidP="001C5FC7">
      <w:pPr>
        <w:spacing w:before="29" w:line="288" w:lineRule="auto"/>
        <w:rPr>
          <w:color w:val="000000"/>
          <w:sz w:val="24"/>
        </w:rPr>
      </w:pPr>
      <w:r w:rsidRPr="001C5FC7">
        <w:rPr>
          <w:rFonts w:hint="eastAsia"/>
          <w:color w:val="000000"/>
          <w:sz w:val="24"/>
        </w:rPr>
        <w:t>会计主体：</w:t>
      </w:r>
      <w:r w:rsidRPr="001C5FC7">
        <w:rPr>
          <w:color w:val="000000"/>
          <w:sz w:val="24"/>
        </w:rPr>
        <w:t>交银施罗德策略回报灵活配置混合型证券投资基金</w:t>
      </w:r>
    </w:p>
    <w:p w:rsidR="001A59F9" w:rsidRPr="001C5FC7" w:rsidRDefault="001A59F9" w:rsidP="001C5FC7">
      <w:pPr>
        <w:spacing w:before="29" w:line="288" w:lineRule="auto"/>
        <w:rPr>
          <w:color w:val="000000"/>
          <w:sz w:val="24"/>
        </w:rPr>
      </w:pPr>
      <w:r w:rsidRPr="001C5FC7">
        <w:rPr>
          <w:rFonts w:hint="eastAsia"/>
          <w:color w:val="000000"/>
          <w:sz w:val="24"/>
        </w:rPr>
        <w:t>报告截止日：</w:t>
      </w:r>
      <w:r w:rsidR="00F64FAD" w:rsidRPr="001C5FC7">
        <w:rPr>
          <w:color w:val="000000"/>
          <w:sz w:val="24"/>
        </w:rPr>
        <w:t>2018</w:t>
      </w:r>
      <w:r w:rsidR="00F64FAD" w:rsidRPr="001C5FC7">
        <w:rPr>
          <w:color w:val="000000"/>
          <w:sz w:val="24"/>
        </w:rPr>
        <w:t>年</w:t>
      </w:r>
      <w:r w:rsidR="00F64FAD" w:rsidRPr="001C5FC7">
        <w:rPr>
          <w:color w:val="000000"/>
          <w:sz w:val="24"/>
        </w:rPr>
        <w:t>12</w:t>
      </w:r>
      <w:r w:rsidR="00F64FAD" w:rsidRPr="001C5FC7">
        <w:rPr>
          <w:color w:val="000000"/>
          <w:sz w:val="24"/>
        </w:rPr>
        <w:t>月</w:t>
      </w:r>
      <w:r w:rsidR="00F64FAD" w:rsidRPr="001C5FC7">
        <w:rPr>
          <w:color w:val="000000"/>
          <w:sz w:val="24"/>
        </w:rPr>
        <w:t>31</w:t>
      </w:r>
      <w:r w:rsidR="00F64FAD" w:rsidRPr="001C5FC7">
        <w:rPr>
          <w:color w:val="000000"/>
          <w:sz w:val="24"/>
        </w:rPr>
        <w:t>日</w:t>
      </w:r>
    </w:p>
    <w:p w:rsidR="001A59F9" w:rsidRPr="001C5FC7" w:rsidRDefault="001A59F9" w:rsidP="001C5FC7">
      <w:pPr>
        <w:autoSpaceDE w:val="0"/>
        <w:autoSpaceDN w:val="0"/>
        <w:adjustRightInd w:val="0"/>
        <w:spacing w:before="29" w:line="288" w:lineRule="auto"/>
        <w:ind w:left="15"/>
        <w:jc w:val="right"/>
        <w:rPr>
          <w:color w:val="000000"/>
          <w:kern w:val="0"/>
          <w:sz w:val="24"/>
        </w:rPr>
      </w:pPr>
      <w:r w:rsidRPr="001C5FC7">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241E77" w:rsidRPr="00C51C77" w:rsidTr="00241E77">
        <w:tc>
          <w:tcPr>
            <w:tcW w:w="3402"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1C5FC7">
              <w:rPr>
                <w:rFonts w:ascii="Times New Roman" w:hAnsi="Times New Roman" w:hint="eastAsia"/>
                <w:b/>
                <w:color w:val="000000"/>
              </w:rPr>
              <w:t>资产</w:t>
            </w:r>
          </w:p>
        </w:tc>
        <w:tc>
          <w:tcPr>
            <w:tcW w:w="993" w:type="dxa"/>
            <w:vAlign w:val="center"/>
          </w:tcPr>
          <w:p w:rsidR="00E959E6" w:rsidRPr="001C5FC7" w:rsidRDefault="00E959E6" w:rsidP="001C5FC7">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本期末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2018</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c>
          <w:tcPr>
            <w:tcW w:w="2194" w:type="dxa"/>
            <w:vAlign w:val="center"/>
          </w:tcPr>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hint="eastAsia"/>
                <w:b/>
                <w:color w:val="000000"/>
              </w:rPr>
              <w:t>上年度末</w:t>
            </w:r>
          </w:p>
          <w:p w:rsidR="00E959E6" w:rsidRPr="001C5FC7" w:rsidRDefault="00E959E6" w:rsidP="001C5FC7">
            <w:pPr>
              <w:pStyle w:val="af6"/>
              <w:spacing w:before="29" w:beforeAutospacing="0" w:after="0" w:afterAutospacing="0" w:line="288" w:lineRule="auto"/>
              <w:jc w:val="center"/>
              <w:rPr>
                <w:rFonts w:ascii="Times New Roman" w:hAnsi="Times New Roman"/>
                <w:b/>
                <w:color w:val="000000"/>
              </w:rPr>
            </w:pPr>
            <w:r w:rsidRPr="001C5FC7">
              <w:rPr>
                <w:rFonts w:ascii="Times New Roman" w:hAnsi="Times New Roman"/>
                <w:b/>
                <w:color w:val="000000"/>
              </w:rPr>
              <w:t>2017</w:t>
            </w:r>
            <w:r w:rsidRPr="001C5FC7">
              <w:rPr>
                <w:rFonts w:ascii="Times New Roman" w:hAnsi="Times New Roman"/>
                <w:b/>
                <w:color w:val="000000"/>
              </w:rPr>
              <w:t>年</w:t>
            </w:r>
            <w:r w:rsidRPr="001C5FC7">
              <w:rPr>
                <w:rFonts w:ascii="Times New Roman" w:hAnsi="Times New Roman"/>
                <w:b/>
                <w:color w:val="000000"/>
              </w:rPr>
              <w:t>12</w:t>
            </w:r>
            <w:r w:rsidRPr="001C5FC7">
              <w:rPr>
                <w:rFonts w:ascii="Times New Roman" w:hAnsi="Times New Roman"/>
                <w:b/>
                <w:color w:val="000000"/>
              </w:rPr>
              <w:t>月</w:t>
            </w:r>
            <w:r w:rsidRPr="001C5FC7">
              <w:rPr>
                <w:rFonts w:ascii="Times New Roman" w:hAnsi="Times New Roman"/>
                <w:b/>
                <w:color w:val="000000"/>
              </w:rPr>
              <w:t>31</w:t>
            </w:r>
            <w:r w:rsidRPr="001C5FC7">
              <w:rPr>
                <w:rFonts w:ascii="Times New Roman" w:hAnsi="Times New Roman"/>
                <w:b/>
                <w:color w:val="000000"/>
              </w:rPr>
              <w:t>日</w:t>
            </w:r>
          </w:p>
        </w:tc>
      </w:tr>
      <w:tr w:rsidR="00241E77" w:rsidRPr="00C51C77" w:rsidTr="00241E77">
        <w:tc>
          <w:tcPr>
            <w:tcW w:w="3402" w:type="dxa"/>
            <w:vAlign w:val="center"/>
          </w:tcPr>
          <w:p w:rsidR="00E959E6" w:rsidRPr="00F05828" w:rsidRDefault="00E959E6" w:rsidP="003F4597">
            <w:pPr>
              <w:spacing w:before="29" w:line="288" w:lineRule="auto"/>
              <w:rPr>
                <w:b/>
                <w:color w:val="000000"/>
                <w:sz w:val="24"/>
              </w:rPr>
            </w:pPr>
            <w:r w:rsidRPr="00F05828">
              <w:rPr>
                <w:rFonts w:hint="eastAsia"/>
                <w:b/>
                <w:color w:val="000000"/>
                <w:sz w:val="24"/>
              </w:rPr>
              <w:t>资</w:t>
            </w:r>
            <w:r w:rsidRPr="00F05828">
              <w:rPr>
                <w:rFonts w:hint="eastAsia"/>
                <w:b/>
                <w:color w:val="000000"/>
                <w:sz w:val="24"/>
              </w:rPr>
              <w:t xml:space="preserve"> </w:t>
            </w:r>
            <w:r w:rsidRPr="00F05828">
              <w:rPr>
                <w:rFonts w:hint="eastAsia"/>
                <w:b/>
                <w:color w:val="000000"/>
                <w:sz w:val="24"/>
              </w:rPr>
              <w:t>产：</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p>
        </w:tc>
        <w:tc>
          <w:tcPr>
            <w:tcW w:w="2194" w:type="dxa"/>
            <w:vAlign w:val="center"/>
          </w:tcPr>
          <w:p w:rsidR="00E959E6" w:rsidRPr="001C5FC7" w:rsidRDefault="00E959E6" w:rsidP="001C5FC7">
            <w:pPr>
              <w:spacing w:before="29" w:line="288" w:lineRule="auto"/>
              <w:jc w:val="right"/>
              <w:rPr>
                <w:color w:val="000000"/>
                <w:sz w:val="24"/>
              </w:rPr>
            </w:pP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银行存款</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r>
              <w:t>7.4.7.1</w:t>
            </w: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227,914,264.10</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56,139,951.00</w:t>
            </w:r>
          </w:p>
        </w:tc>
      </w:tr>
      <w:tr w:rsidR="00241E77" w:rsidRPr="00C51C77" w:rsidTr="00241E77">
        <w:tc>
          <w:tcPr>
            <w:tcW w:w="3402" w:type="dxa"/>
            <w:vAlign w:val="center"/>
          </w:tcPr>
          <w:p w:rsidR="00E959E6" w:rsidRPr="003F4597" w:rsidRDefault="00E959E6" w:rsidP="003F4597">
            <w:pPr>
              <w:spacing w:before="29" w:line="288" w:lineRule="auto"/>
              <w:rPr>
                <w:color w:val="000000"/>
                <w:sz w:val="24"/>
              </w:rPr>
            </w:pPr>
            <w:r w:rsidRPr="003F4597">
              <w:rPr>
                <w:rFonts w:hint="eastAsia"/>
                <w:color w:val="000000"/>
                <w:sz w:val="24"/>
              </w:rPr>
              <w:t>结算备付金</w:t>
            </w:r>
          </w:p>
        </w:tc>
        <w:tc>
          <w:tcPr>
            <w:tcW w:w="993" w:type="dxa"/>
            <w:vAlign w:val="center"/>
          </w:tcPr>
          <w:p w:rsidR="00E959E6" w:rsidRPr="003F4597" w:rsidRDefault="00E959E6" w:rsidP="00072FC7">
            <w:pPr>
              <w:widowControl/>
              <w:autoSpaceDE w:val="0"/>
              <w:autoSpaceDN w:val="0"/>
              <w:ind w:right="-15"/>
              <w:jc w:val="center"/>
              <w:textAlignment w:val="bottom"/>
              <w:rPr>
                <w:color w:val="000000"/>
                <w:sz w:val="24"/>
              </w:rPr>
            </w:pPr>
          </w:p>
        </w:tc>
        <w:tc>
          <w:tcPr>
            <w:tcW w:w="2409" w:type="dxa"/>
            <w:vAlign w:val="center"/>
          </w:tcPr>
          <w:p w:rsidR="00E959E6" w:rsidRPr="001C5FC7" w:rsidRDefault="00E959E6" w:rsidP="001C5FC7">
            <w:pPr>
              <w:spacing w:before="29" w:line="288" w:lineRule="auto"/>
              <w:jc w:val="right"/>
              <w:rPr>
                <w:color w:val="000000"/>
                <w:sz w:val="24"/>
              </w:rPr>
            </w:pPr>
            <w:r w:rsidRPr="001C5FC7">
              <w:rPr>
                <w:color w:val="000000"/>
                <w:sz w:val="24"/>
              </w:rPr>
              <w:t>2,128,995.84</w:t>
            </w:r>
          </w:p>
        </w:tc>
        <w:tc>
          <w:tcPr>
            <w:tcW w:w="2194" w:type="dxa"/>
            <w:vAlign w:val="center"/>
          </w:tcPr>
          <w:p w:rsidR="00E959E6" w:rsidRPr="001C5FC7" w:rsidRDefault="00E959E6" w:rsidP="001C5FC7">
            <w:pPr>
              <w:spacing w:before="29" w:line="288" w:lineRule="auto"/>
              <w:jc w:val="right"/>
              <w:rPr>
                <w:color w:val="000000"/>
                <w:sz w:val="24"/>
              </w:rPr>
            </w:pPr>
            <w:r w:rsidRPr="001C5FC7">
              <w:rPr>
                <w:color w:val="000000"/>
                <w:sz w:val="24"/>
              </w:rPr>
              <w:t>2,369,524.93</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存出保证金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458,036.87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525,146.26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7.4.7.2</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775,038,617.71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642,135,844.16</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其中：股票投资</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775,038,617.71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602,271,844.16</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基金投资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债券投资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39,864,000.00</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t>资产支持证券投资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7C0DDA" w:rsidRDefault="00DA3B22" w:rsidP="007C0DDA">
            <w:pPr>
              <w:pStyle w:val="af6"/>
              <w:spacing w:before="29" w:beforeAutospacing="0" w:line="288" w:lineRule="auto"/>
              <w:ind w:firstLineChars="300" w:firstLine="720"/>
              <w:jc w:val="both"/>
              <w:rPr>
                <w:rFonts w:ascii="Times New Roman" w:hAnsi="Times New Roman"/>
                <w:color w:val="000000"/>
              </w:rPr>
            </w:pPr>
            <w:r w:rsidRPr="007C0DDA">
              <w:rPr>
                <w:rFonts w:ascii="Times New Roman" w:hAnsi="Times New Roman" w:hint="eastAsia"/>
                <w:color w:val="000000"/>
              </w:rPr>
              <w:lastRenderedPageBreak/>
              <w:t>贵金属投资</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rFonts w:hint="eastAsia"/>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买入返售金融资产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7.4.7.4</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54,390,321.59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5,487,084.89</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7.4.7.5</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49,600.67</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811,269.88</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应收股利</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应收申购款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88,325.15</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3,027,983.72</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其他资产</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7.4.7.6</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241E77" w:rsidRPr="00C51C77" w:rsidTr="00241E77">
        <w:tc>
          <w:tcPr>
            <w:tcW w:w="3402" w:type="dxa"/>
            <w:vAlign w:val="center"/>
          </w:tcPr>
          <w:p w:rsidR="00DA3B22" w:rsidRPr="00F05828" w:rsidRDefault="00DA3B22" w:rsidP="003F4597">
            <w:pPr>
              <w:spacing w:before="29" w:line="288" w:lineRule="auto"/>
              <w:rPr>
                <w:color w:val="000000"/>
                <w:sz w:val="24"/>
              </w:rPr>
            </w:pPr>
            <w:r w:rsidRPr="00F05828">
              <w:rPr>
                <w:rFonts w:hint="eastAsia"/>
                <w:color w:val="000000"/>
                <w:sz w:val="24"/>
              </w:rPr>
              <w:t>资产总计</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1,005,677,840.34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764,887,126.43</w:t>
            </w:r>
          </w:p>
        </w:tc>
      </w:tr>
      <w:tr w:rsidR="00DA3B22" w:rsidRPr="00C51C77" w:rsidTr="00241E77">
        <w:tc>
          <w:tcPr>
            <w:tcW w:w="3402" w:type="dxa"/>
            <w:vAlign w:val="center"/>
          </w:tcPr>
          <w:p w:rsidR="00DA3B22" w:rsidRPr="00B9358B" w:rsidRDefault="00DA3B22" w:rsidP="00B9358B">
            <w:pPr>
              <w:pStyle w:val="af6"/>
              <w:spacing w:before="29" w:beforeAutospacing="0" w:line="288" w:lineRule="auto"/>
              <w:jc w:val="center"/>
              <w:rPr>
                <w:rFonts w:ascii="Times New Roman" w:hAnsi="Times New Roman"/>
                <w:b/>
                <w:color w:val="000000"/>
              </w:rPr>
            </w:pPr>
            <w:r w:rsidRPr="00B9358B">
              <w:rPr>
                <w:rFonts w:ascii="Times New Roman" w:hAnsi="Times New Roman" w:hint="eastAsia"/>
                <w:b/>
                <w:color w:val="000000"/>
              </w:rPr>
              <w:t>负债和所有者权益</w:t>
            </w:r>
          </w:p>
        </w:tc>
        <w:tc>
          <w:tcPr>
            <w:tcW w:w="993" w:type="dxa"/>
            <w:vAlign w:val="center"/>
          </w:tcPr>
          <w:p w:rsidR="00DA3B22" w:rsidRPr="00B9358B" w:rsidRDefault="00BC5CD5" w:rsidP="00B9358B">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本期末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2018</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c>
          <w:tcPr>
            <w:tcW w:w="2194" w:type="dxa"/>
            <w:vAlign w:val="center"/>
          </w:tcPr>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hint="eastAsia"/>
                <w:b/>
                <w:color w:val="000000"/>
              </w:rPr>
              <w:t>上年度末</w:t>
            </w:r>
          </w:p>
          <w:p w:rsidR="00DA3B22" w:rsidRPr="00B9358B" w:rsidRDefault="00DA3B22" w:rsidP="00B9358B">
            <w:pPr>
              <w:pStyle w:val="af6"/>
              <w:spacing w:before="29" w:beforeAutospacing="0" w:after="0" w:afterAutospacing="0" w:line="288" w:lineRule="auto"/>
              <w:jc w:val="center"/>
              <w:rPr>
                <w:rFonts w:ascii="Times New Roman" w:hAnsi="Times New Roman"/>
                <w:b/>
                <w:color w:val="000000"/>
              </w:rPr>
            </w:pPr>
            <w:r w:rsidRPr="00B9358B">
              <w:rPr>
                <w:rFonts w:ascii="Times New Roman" w:hAnsi="Times New Roman"/>
                <w:b/>
                <w:color w:val="000000"/>
              </w:rPr>
              <w:t>2017</w:t>
            </w:r>
            <w:r w:rsidRPr="00B9358B">
              <w:rPr>
                <w:rFonts w:ascii="Times New Roman" w:hAnsi="Times New Roman"/>
                <w:b/>
                <w:color w:val="000000"/>
              </w:rPr>
              <w:t>年</w:t>
            </w:r>
            <w:r w:rsidRPr="00B9358B">
              <w:rPr>
                <w:rFonts w:ascii="Times New Roman" w:hAnsi="Times New Roman"/>
                <w:b/>
                <w:color w:val="000000"/>
              </w:rPr>
              <w:t>12</w:t>
            </w:r>
            <w:r w:rsidRPr="00B9358B">
              <w:rPr>
                <w:rFonts w:ascii="Times New Roman" w:hAnsi="Times New Roman"/>
                <w:b/>
                <w:color w:val="000000"/>
              </w:rPr>
              <w:t>月</w:t>
            </w:r>
            <w:r w:rsidRPr="00B9358B">
              <w:rPr>
                <w:rFonts w:ascii="Times New Roman" w:hAnsi="Times New Roman"/>
                <w:b/>
                <w:color w:val="000000"/>
              </w:rPr>
              <w:t>31</w:t>
            </w:r>
            <w:r w:rsidRPr="00B9358B">
              <w:rPr>
                <w:rFonts w:ascii="Times New Roman" w:hAnsi="Times New Roman"/>
                <w:b/>
                <w:color w:val="000000"/>
              </w:rPr>
              <w:t>日</w:t>
            </w:r>
          </w:p>
        </w:tc>
      </w:tr>
      <w:tr w:rsidR="00DA3B22" w:rsidRPr="00C51C77" w:rsidTr="00241E77">
        <w:tc>
          <w:tcPr>
            <w:tcW w:w="3402" w:type="dxa"/>
            <w:vAlign w:val="center"/>
          </w:tcPr>
          <w:p w:rsidR="00DA3B22" w:rsidRPr="00F05828" w:rsidRDefault="00DA3B22" w:rsidP="003F4597">
            <w:pPr>
              <w:spacing w:before="29" w:line="288" w:lineRule="auto"/>
              <w:rPr>
                <w:b/>
                <w:color w:val="000000"/>
                <w:sz w:val="24"/>
              </w:rPr>
            </w:pPr>
            <w:r w:rsidRPr="00F05828">
              <w:rPr>
                <w:rFonts w:hint="eastAsia"/>
                <w:b/>
                <w:color w:val="000000"/>
                <w:sz w:val="24"/>
              </w:rPr>
              <w:t>负</w:t>
            </w:r>
            <w:r w:rsidRPr="00F05828">
              <w:rPr>
                <w:rFonts w:hint="eastAsia"/>
                <w:b/>
                <w:color w:val="000000"/>
                <w:sz w:val="24"/>
              </w:rPr>
              <w:t xml:space="preserve"> </w:t>
            </w:r>
            <w:r w:rsidRPr="00F05828">
              <w:rPr>
                <w:rFonts w:hint="eastAsia"/>
                <w:b/>
                <w:color w:val="000000"/>
                <w:sz w:val="24"/>
              </w:rPr>
              <w:t>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短期借款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交易性金融负债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衍生金融负债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7.4.7.3</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卖出回购金融资产款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应付证券清算款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22,574,175.86</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应付赎回款</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255,014.13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4,272,140.88</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应付管理人报酬</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1,300,183.73</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1,058,314.14</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应付托管费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216,697.29</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176,385.66</w:t>
            </w:r>
          </w:p>
        </w:tc>
      </w:tr>
      <w:tr w:rsidR="00DA3B22" w:rsidRPr="00C51C77" w:rsidTr="00241E77">
        <w:trPr>
          <w:trHeight w:val="903"/>
        </w:trPr>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应付销售服务费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应付交易费用</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7.4.7.7</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1,491,136.92</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1,070,443.69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应交税费</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289,798.60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289,798.60</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应付利息</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应付利润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递延所得税负债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其他负债</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7.4.7.8</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200,001.41</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184,458.27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负债合计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26,327,007.94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7,051,541.24</w:t>
            </w:r>
          </w:p>
        </w:tc>
      </w:tr>
      <w:tr w:rsidR="00DA3B22" w:rsidRPr="00C51C77" w:rsidTr="00241E77">
        <w:tc>
          <w:tcPr>
            <w:tcW w:w="3402" w:type="dxa"/>
            <w:vAlign w:val="center"/>
          </w:tcPr>
          <w:p w:rsidR="00DA3B22" w:rsidRPr="00F07001" w:rsidRDefault="00DA3B22" w:rsidP="003F4597">
            <w:pPr>
              <w:spacing w:before="29" w:line="288" w:lineRule="auto"/>
              <w:rPr>
                <w:b/>
                <w:color w:val="000000"/>
                <w:sz w:val="24"/>
              </w:rPr>
            </w:pPr>
            <w:r w:rsidRPr="00F07001">
              <w:rPr>
                <w:rFonts w:hint="eastAsia"/>
                <w:b/>
                <w:color w:val="000000"/>
                <w:sz w:val="24"/>
              </w:rPr>
              <w:t>所有者权益：</w:t>
            </w:r>
          </w:p>
        </w:tc>
        <w:tc>
          <w:tcPr>
            <w:tcW w:w="993" w:type="dxa"/>
            <w:vAlign w:val="center"/>
          </w:tcPr>
          <w:p w:rsidR="00DA3B22" w:rsidRPr="00072FC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p>
        </w:tc>
        <w:tc>
          <w:tcPr>
            <w:tcW w:w="2194" w:type="dxa"/>
            <w:vAlign w:val="center"/>
          </w:tcPr>
          <w:p w:rsidR="00DA3B22" w:rsidRPr="001C5FC7" w:rsidRDefault="00DA3B22" w:rsidP="001C5FC7">
            <w:pPr>
              <w:spacing w:before="29" w:line="288" w:lineRule="auto"/>
              <w:jc w:val="right"/>
              <w:rPr>
                <w:color w:val="000000"/>
                <w:sz w:val="24"/>
              </w:rPr>
            </w:pP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实收基金</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7.4.7.9</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1,004,733,126.78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546,984,417.57</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未分配利润</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r>
              <w:t>7.4.7.10</w:t>
            </w: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-25,382,294.38</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210,851,167.62</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t>所有者权益合计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979,350,832.40</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757,835,585.19</w:t>
            </w:r>
          </w:p>
        </w:tc>
      </w:tr>
      <w:tr w:rsidR="00DA3B22" w:rsidRPr="00C51C77" w:rsidTr="00241E77">
        <w:tc>
          <w:tcPr>
            <w:tcW w:w="3402" w:type="dxa"/>
            <w:vAlign w:val="center"/>
          </w:tcPr>
          <w:p w:rsidR="00DA3B22" w:rsidRPr="003F4597" w:rsidRDefault="00DA3B22" w:rsidP="003F4597">
            <w:pPr>
              <w:spacing w:before="29" w:line="288" w:lineRule="auto"/>
              <w:rPr>
                <w:color w:val="000000"/>
                <w:sz w:val="24"/>
              </w:rPr>
            </w:pPr>
            <w:r w:rsidRPr="003F4597">
              <w:rPr>
                <w:rFonts w:hint="eastAsia"/>
                <w:color w:val="000000"/>
                <w:sz w:val="24"/>
              </w:rPr>
              <w:lastRenderedPageBreak/>
              <w:t>负债和所有者权益总计</w:t>
            </w:r>
          </w:p>
        </w:tc>
        <w:tc>
          <w:tcPr>
            <w:tcW w:w="993" w:type="dxa"/>
            <w:vAlign w:val="center"/>
          </w:tcPr>
          <w:p w:rsidR="00DA3B22" w:rsidRPr="003F4597" w:rsidRDefault="00DA3B22" w:rsidP="00072FC7">
            <w:pPr>
              <w:widowControl/>
              <w:autoSpaceDE w:val="0"/>
              <w:autoSpaceDN w:val="0"/>
              <w:ind w:right="-15"/>
              <w:jc w:val="center"/>
              <w:textAlignment w:val="bottom"/>
              <w:rPr>
                <w:color w:val="000000"/>
                <w:sz w:val="24"/>
              </w:rPr>
            </w:pPr>
          </w:p>
        </w:tc>
        <w:tc>
          <w:tcPr>
            <w:tcW w:w="2409" w:type="dxa"/>
            <w:vAlign w:val="center"/>
          </w:tcPr>
          <w:p w:rsidR="00DA3B22" w:rsidRPr="001C5FC7" w:rsidRDefault="00DA3B22" w:rsidP="001C5FC7">
            <w:pPr>
              <w:spacing w:before="29" w:line="288" w:lineRule="auto"/>
              <w:jc w:val="right"/>
              <w:rPr>
                <w:color w:val="000000"/>
                <w:sz w:val="24"/>
              </w:rPr>
            </w:pPr>
            <w:r w:rsidRPr="001C5FC7">
              <w:rPr>
                <w:color w:val="000000"/>
                <w:sz w:val="24"/>
              </w:rPr>
              <w:t>1,005,677,840.34</w:t>
            </w:r>
          </w:p>
        </w:tc>
        <w:tc>
          <w:tcPr>
            <w:tcW w:w="2194" w:type="dxa"/>
            <w:vAlign w:val="center"/>
          </w:tcPr>
          <w:p w:rsidR="00DA3B22" w:rsidRPr="001C5FC7" w:rsidRDefault="00DA3B22" w:rsidP="001C5FC7">
            <w:pPr>
              <w:spacing w:before="29" w:line="288" w:lineRule="auto"/>
              <w:jc w:val="right"/>
              <w:rPr>
                <w:color w:val="000000"/>
                <w:sz w:val="24"/>
              </w:rPr>
            </w:pPr>
            <w:r w:rsidRPr="001C5FC7">
              <w:rPr>
                <w:color w:val="000000"/>
                <w:sz w:val="24"/>
              </w:rPr>
              <w:t>764,887,126.43</w:t>
            </w:r>
          </w:p>
        </w:tc>
      </w:tr>
    </w:tbl>
    <w:p w:rsidR="001A59F9" w:rsidRPr="00AA0214" w:rsidRDefault="00AA0214" w:rsidP="007A50C4">
      <w:pPr>
        <w:tabs>
          <w:tab w:val="left" w:pos="426"/>
        </w:tabs>
        <w:spacing w:line="360" w:lineRule="auto"/>
        <w:jc w:val="left"/>
        <w:rPr>
          <w:kern w:val="0"/>
          <w:sz w:val="24"/>
        </w:rPr>
      </w:pPr>
      <w:r>
        <w:rPr>
          <w:rFonts w:hint="eastAsia"/>
          <w:kern w:val="0"/>
          <w:sz w:val="24"/>
        </w:rPr>
        <w:t>注：</w:t>
      </w:r>
      <w:r>
        <w:rPr>
          <w:rFonts w:hint="eastAsia"/>
          <w:kern w:val="0"/>
          <w:sz w:val="24"/>
        </w:rPr>
        <w:t>1</w:t>
      </w:r>
      <w:r>
        <w:rPr>
          <w:rFonts w:hint="eastAsia"/>
          <w:kern w:val="0"/>
          <w:sz w:val="24"/>
        </w:rPr>
        <w:t>、</w:t>
      </w:r>
      <w:r w:rsidR="001A59F9" w:rsidRPr="00AA0214">
        <w:rPr>
          <w:kern w:val="0"/>
          <w:sz w:val="24"/>
        </w:rPr>
        <w:t>报告截止日</w:t>
      </w:r>
      <w:r w:rsidR="001A59F9" w:rsidRPr="00AA0214">
        <w:rPr>
          <w:kern w:val="0"/>
          <w:sz w:val="24"/>
        </w:rPr>
        <w:t>2018</w:t>
      </w:r>
      <w:r w:rsidR="001A59F9" w:rsidRPr="00AA0214">
        <w:rPr>
          <w:kern w:val="0"/>
          <w:sz w:val="24"/>
        </w:rPr>
        <w:t>年</w:t>
      </w:r>
      <w:r w:rsidR="001A59F9" w:rsidRPr="00AA0214">
        <w:rPr>
          <w:kern w:val="0"/>
          <w:sz w:val="24"/>
        </w:rPr>
        <w:t>12</w:t>
      </w:r>
      <w:r w:rsidR="001A59F9" w:rsidRPr="00AA0214">
        <w:rPr>
          <w:kern w:val="0"/>
          <w:sz w:val="24"/>
        </w:rPr>
        <w:t>月</w:t>
      </w:r>
      <w:r w:rsidR="001A59F9" w:rsidRPr="00AA0214">
        <w:rPr>
          <w:kern w:val="0"/>
          <w:sz w:val="24"/>
        </w:rPr>
        <w:t>31</w:t>
      </w:r>
      <w:r w:rsidR="001A59F9" w:rsidRPr="00AA0214">
        <w:rPr>
          <w:kern w:val="0"/>
          <w:sz w:val="24"/>
        </w:rPr>
        <w:t>日，基金份额净值</w:t>
      </w:r>
      <w:r w:rsidR="001A59F9" w:rsidRPr="00AA0214">
        <w:rPr>
          <w:kern w:val="0"/>
          <w:sz w:val="24"/>
        </w:rPr>
        <w:t>0.975</w:t>
      </w:r>
      <w:r w:rsidR="001A59F9" w:rsidRPr="00AA0214">
        <w:rPr>
          <w:kern w:val="0"/>
          <w:sz w:val="24"/>
        </w:rPr>
        <w:t>元，基金份额总额</w:t>
      </w:r>
      <w:r w:rsidR="001A59F9" w:rsidRPr="00AA0214">
        <w:rPr>
          <w:kern w:val="0"/>
          <w:sz w:val="24"/>
        </w:rPr>
        <w:t>1,004,733,126.78</w:t>
      </w:r>
      <w:r w:rsidR="001A59F9" w:rsidRPr="00AA0214">
        <w:rPr>
          <w:kern w:val="0"/>
          <w:sz w:val="24"/>
        </w:rPr>
        <w:t>份。</w:t>
      </w:r>
    </w:p>
    <w:p w:rsidR="00AA0214" w:rsidRPr="00C51C77" w:rsidRDefault="00AA0214" w:rsidP="00AA0214">
      <w:pPr>
        <w:tabs>
          <w:tab w:val="left" w:pos="426"/>
        </w:tabs>
        <w:spacing w:line="360" w:lineRule="auto"/>
        <w:ind w:firstLineChars="200" w:firstLine="480"/>
        <w:jc w:val="left"/>
        <w:rPr>
          <w:rFonts w:asciiTheme="minorEastAsia" w:eastAsiaTheme="minorEastAsia" w:hAnsiTheme="minorEastAsia" w:cs="宋体"/>
          <w:kern w:val="0"/>
          <w:szCs w:val="21"/>
        </w:rPr>
      </w:pPr>
      <w:r w:rsidRPr="0060695C">
        <w:rPr>
          <w:rFonts w:hint="eastAsia"/>
          <w:kern w:val="0"/>
          <w:sz w:val="24"/>
        </w:rPr>
        <w:t>2</w:t>
      </w:r>
      <w:r w:rsidRPr="0060695C">
        <w:rPr>
          <w:rFonts w:hint="eastAsia"/>
          <w:kern w:val="0"/>
          <w:sz w:val="24"/>
        </w:rPr>
        <w:t>、本摘要中资产负债表和利润表所列附注号为年度报告正文中对应的附注号，投资者欲了解相应附注的内容，应阅读登载于基金管理人网站的年度报告正文。</w:t>
      </w:r>
    </w:p>
    <w:p w:rsidR="001A59F9" w:rsidRPr="00CB24BA" w:rsidRDefault="001A59F9" w:rsidP="00026C9C">
      <w:pPr>
        <w:spacing w:line="360" w:lineRule="auto"/>
        <w:rPr>
          <w:rFonts w:asciiTheme="minorEastAsia" w:eastAsiaTheme="minorEastAsia" w:hAnsiTheme="minorEastAsia"/>
          <w:color w:val="000000"/>
          <w:kern w:val="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5" w:name="_Toc225498269"/>
      <w:bookmarkStart w:id="56" w:name="_Toc361324874"/>
      <w:r w:rsidRPr="00701155">
        <w:rPr>
          <w:rFonts w:ascii="Times New Roman" w:hAnsi="Times New Roman"/>
          <w:kern w:val="0"/>
          <w:szCs w:val="24"/>
        </w:rPr>
        <w:t xml:space="preserve">7.2 </w:t>
      </w:r>
      <w:r w:rsidRPr="00701155">
        <w:rPr>
          <w:rFonts w:ascii="Times New Roman" w:hAnsi="Times New Roman" w:hint="eastAsia"/>
          <w:kern w:val="0"/>
          <w:szCs w:val="24"/>
        </w:rPr>
        <w:t>利润表</w:t>
      </w:r>
      <w:bookmarkEnd w:id="55"/>
      <w:bookmarkEnd w:id="56"/>
    </w:p>
    <w:p w:rsidR="001A59F9" w:rsidRPr="00DA21E1" w:rsidRDefault="001A59F9" w:rsidP="00DA21E1">
      <w:pPr>
        <w:spacing w:before="29" w:line="288" w:lineRule="auto"/>
        <w:rPr>
          <w:color w:val="000000"/>
          <w:sz w:val="24"/>
        </w:rPr>
      </w:pPr>
      <w:r w:rsidRPr="00DA21E1">
        <w:rPr>
          <w:rFonts w:hint="eastAsia"/>
          <w:color w:val="000000"/>
          <w:sz w:val="24"/>
        </w:rPr>
        <w:t>会计主体：</w:t>
      </w:r>
      <w:r w:rsidRPr="00DA21E1">
        <w:rPr>
          <w:color w:val="000000"/>
          <w:sz w:val="24"/>
        </w:rPr>
        <w:t>交银施罗德策略回报灵活配置混合型证券投资基金</w:t>
      </w:r>
    </w:p>
    <w:p w:rsidR="001A59F9" w:rsidRPr="00DA21E1" w:rsidRDefault="001A59F9" w:rsidP="00DA21E1">
      <w:pPr>
        <w:spacing w:before="29" w:line="288" w:lineRule="auto"/>
        <w:rPr>
          <w:color w:val="000000"/>
          <w:sz w:val="24"/>
        </w:rPr>
      </w:pPr>
      <w:r w:rsidRPr="00DA21E1">
        <w:rPr>
          <w:rFonts w:hint="eastAsia"/>
          <w:color w:val="000000"/>
          <w:sz w:val="24"/>
        </w:rPr>
        <w:t>本报告期：</w:t>
      </w:r>
      <w:r w:rsidR="00F64FAD" w:rsidRPr="00DA21E1">
        <w:rPr>
          <w:color w:val="000000"/>
          <w:sz w:val="24"/>
        </w:rPr>
        <w:t>2018</w:t>
      </w:r>
      <w:r w:rsidR="00F64FAD" w:rsidRPr="00DA21E1">
        <w:rPr>
          <w:color w:val="000000"/>
          <w:sz w:val="24"/>
        </w:rPr>
        <w:t>年</w:t>
      </w:r>
      <w:r w:rsidR="00F64FAD" w:rsidRPr="00DA21E1">
        <w:rPr>
          <w:color w:val="000000"/>
          <w:sz w:val="24"/>
        </w:rPr>
        <w:t>1</w:t>
      </w:r>
      <w:r w:rsidR="00F64FAD" w:rsidRPr="00DA21E1">
        <w:rPr>
          <w:color w:val="000000"/>
          <w:sz w:val="24"/>
        </w:rPr>
        <w:t>月</w:t>
      </w:r>
      <w:r w:rsidR="00F64FAD" w:rsidRPr="00DA21E1">
        <w:rPr>
          <w:color w:val="000000"/>
          <w:sz w:val="24"/>
        </w:rPr>
        <w:t>1</w:t>
      </w:r>
      <w:r w:rsidR="00F64FAD" w:rsidRPr="00DA21E1">
        <w:rPr>
          <w:color w:val="000000"/>
          <w:sz w:val="24"/>
        </w:rPr>
        <w:t>日</w:t>
      </w:r>
      <w:r w:rsidRPr="00DA21E1">
        <w:rPr>
          <w:rFonts w:hint="eastAsia"/>
          <w:color w:val="000000"/>
          <w:sz w:val="24"/>
        </w:rPr>
        <w:t>至</w:t>
      </w:r>
      <w:r w:rsidR="00F64FAD" w:rsidRPr="00DA21E1">
        <w:rPr>
          <w:color w:val="000000"/>
          <w:sz w:val="24"/>
        </w:rPr>
        <w:t>2018</w:t>
      </w:r>
      <w:r w:rsidR="00F64FAD" w:rsidRPr="00DA21E1">
        <w:rPr>
          <w:color w:val="000000"/>
          <w:sz w:val="24"/>
        </w:rPr>
        <w:t>年</w:t>
      </w:r>
      <w:r w:rsidR="00F64FAD" w:rsidRPr="00DA21E1">
        <w:rPr>
          <w:color w:val="000000"/>
          <w:sz w:val="24"/>
        </w:rPr>
        <w:t>12</w:t>
      </w:r>
      <w:r w:rsidR="00F64FAD" w:rsidRPr="00DA21E1">
        <w:rPr>
          <w:color w:val="000000"/>
          <w:sz w:val="24"/>
        </w:rPr>
        <w:t>月</w:t>
      </w:r>
      <w:r w:rsidR="00F64FAD" w:rsidRPr="00DA21E1">
        <w:rPr>
          <w:color w:val="000000"/>
          <w:sz w:val="24"/>
        </w:rPr>
        <w:t>31</w:t>
      </w:r>
      <w:r w:rsidR="00F64FAD" w:rsidRPr="00DA21E1">
        <w:rPr>
          <w:color w:val="000000"/>
          <w:sz w:val="24"/>
        </w:rPr>
        <w:t>日</w:t>
      </w:r>
    </w:p>
    <w:p w:rsidR="001A59F9" w:rsidRPr="00DA21E1" w:rsidRDefault="001A59F9" w:rsidP="00DA21E1">
      <w:pPr>
        <w:autoSpaceDE w:val="0"/>
        <w:autoSpaceDN w:val="0"/>
        <w:adjustRightInd w:val="0"/>
        <w:spacing w:before="29" w:line="288" w:lineRule="auto"/>
        <w:ind w:left="15"/>
        <w:jc w:val="right"/>
        <w:rPr>
          <w:color w:val="000000"/>
          <w:kern w:val="0"/>
          <w:sz w:val="24"/>
        </w:rPr>
      </w:pPr>
      <w:r w:rsidRPr="00DA21E1">
        <w:rPr>
          <w:rFonts w:hint="eastAsia"/>
          <w:color w:val="000000"/>
          <w:kern w:val="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02"/>
        <w:gridCol w:w="993"/>
        <w:gridCol w:w="2409"/>
        <w:gridCol w:w="2194"/>
      </w:tblGrid>
      <w:tr w:rsidR="00E8167C" w:rsidRPr="00C51C77" w:rsidTr="007468E6">
        <w:tc>
          <w:tcPr>
            <w:tcW w:w="3402"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DA21E1">
              <w:rPr>
                <w:rFonts w:ascii="Times New Roman" w:hAnsi="Times New Roman" w:hint="eastAsia"/>
                <w:b/>
                <w:color w:val="000000"/>
              </w:rPr>
              <w:t>项目</w:t>
            </w:r>
          </w:p>
        </w:tc>
        <w:tc>
          <w:tcPr>
            <w:tcW w:w="993" w:type="dxa"/>
            <w:vAlign w:val="center"/>
          </w:tcPr>
          <w:p w:rsidR="00E8167C" w:rsidRPr="00DA21E1" w:rsidRDefault="00E8167C" w:rsidP="00DA21E1">
            <w:pPr>
              <w:pStyle w:val="af6"/>
              <w:spacing w:before="29" w:beforeAutospacing="0" w:line="288" w:lineRule="auto"/>
              <w:jc w:val="center"/>
              <w:rPr>
                <w:rFonts w:ascii="Times New Roman" w:hAnsi="Times New Roman"/>
                <w:b/>
                <w:color w:val="000000"/>
              </w:rPr>
            </w:pPr>
            <w:r w:rsidRPr="0060695C">
              <w:rPr>
                <w:rFonts w:ascii="Times New Roman" w:hAnsi="Times New Roman"/>
                <w:b/>
                <w:color w:val="000000"/>
              </w:rPr>
              <w:t>附注号</w:t>
            </w:r>
          </w:p>
        </w:tc>
        <w:tc>
          <w:tcPr>
            <w:tcW w:w="2409"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本期</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w:t>
            </w:r>
            <w:r w:rsidRPr="00DA21E1">
              <w:rPr>
                <w:rFonts w:ascii="Times New Roman" w:hAnsi="Times New Roman" w:hint="eastAsia"/>
                <w:b/>
                <w:color w:val="000000"/>
              </w:rPr>
              <w:t>至</w:t>
            </w:r>
            <w:r w:rsidRPr="00DA21E1">
              <w:rPr>
                <w:rFonts w:ascii="Times New Roman" w:hAnsi="Times New Roman"/>
                <w:b/>
                <w:color w:val="000000"/>
              </w:rPr>
              <w:t>2018</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c>
          <w:tcPr>
            <w:tcW w:w="2194" w:type="dxa"/>
            <w:vAlign w:val="center"/>
          </w:tcPr>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hint="eastAsia"/>
                <w:b/>
                <w:color w:val="000000"/>
              </w:rPr>
              <w:t>上年度可比期间</w:t>
            </w:r>
          </w:p>
          <w:p w:rsidR="00E8167C" w:rsidRPr="00DA21E1" w:rsidRDefault="00E8167C" w:rsidP="00DA21E1">
            <w:pPr>
              <w:pStyle w:val="af6"/>
              <w:spacing w:before="29" w:beforeAutospacing="0" w:after="0" w:afterAutospacing="0" w:line="288" w:lineRule="auto"/>
              <w:jc w:val="center"/>
              <w:rPr>
                <w:rFonts w:ascii="Times New Roman" w:hAnsi="Times New Roman"/>
                <w:b/>
                <w:color w:val="000000"/>
              </w:rPr>
            </w:pP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w:t>
            </w:r>
            <w:r w:rsidRPr="00DA21E1">
              <w:rPr>
                <w:rFonts w:ascii="Times New Roman" w:hAnsi="Times New Roman"/>
                <w:b/>
                <w:color w:val="000000"/>
              </w:rPr>
              <w:t>月</w:t>
            </w:r>
            <w:r w:rsidRPr="00DA21E1">
              <w:rPr>
                <w:rFonts w:ascii="Times New Roman" w:hAnsi="Times New Roman"/>
                <w:b/>
                <w:color w:val="000000"/>
              </w:rPr>
              <w:t>1</w:t>
            </w:r>
            <w:r w:rsidRPr="00DA21E1">
              <w:rPr>
                <w:rFonts w:ascii="Times New Roman" w:hAnsi="Times New Roman"/>
                <w:b/>
                <w:color w:val="000000"/>
              </w:rPr>
              <w:t>日至</w:t>
            </w:r>
            <w:r w:rsidRPr="00DA21E1">
              <w:rPr>
                <w:rFonts w:ascii="Times New Roman" w:hAnsi="Times New Roman"/>
                <w:b/>
                <w:color w:val="000000"/>
              </w:rPr>
              <w:t>2017</w:t>
            </w:r>
            <w:r w:rsidRPr="00DA21E1">
              <w:rPr>
                <w:rFonts w:ascii="Times New Roman" w:hAnsi="Times New Roman"/>
                <w:b/>
                <w:color w:val="000000"/>
              </w:rPr>
              <w:t>年</w:t>
            </w:r>
            <w:r w:rsidRPr="00DA21E1">
              <w:rPr>
                <w:rFonts w:ascii="Times New Roman" w:hAnsi="Times New Roman"/>
                <w:b/>
                <w:color w:val="000000"/>
              </w:rPr>
              <w:t>12</w:t>
            </w:r>
            <w:r w:rsidRPr="00DA21E1">
              <w:rPr>
                <w:rFonts w:ascii="Times New Roman" w:hAnsi="Times New Roman"/>
                <w:b/>
                <w:color w:val="000000"/>
              </w:rPr>
              <w:t>月</w:t>
            </w:r>
            <w:r w:rsidRPr="00DA21E1">
              <w:rPr>
                <w:rFonts w:ascii="Times New Roman" w:hAnsi="Times New Roman"/>
                <w:b/>
                <w:color w:val="000000"/>
              </w:rPr>
              <w:t>31</w:t>
            </w:r>
            <w:r w:rsidRPr="00DA21E1">
              <w:rPr>
                <w:rFonts w:ascii="Times New Roman" w:hAnsi="Times New Roman"/>
                <w:b/>
                <w:color w:val="000000"/>
              </w:rPr>
              <w:t>日</w:t>
            </w:r>
          </w:p>
        </w:tc>
      </w:tr>
      <w:tr w:rsidR="00E8167C" w:rsidRPr="00C51C77" w:rsidTr="007468E6">
        <w:tc>
          <w:tcPr>
            <w:tcW w:w="3402" w:type="dxa"/>
            <w:vAlign w:val="center"/>
          </w:tcPr>
          <w:p w:rsidR="00E8167C" w:rsidRPr="00ED53EF" w:rsidRDefault="00E8167C" w:rsidP="003F4597">
            <w:pPr>
              <w:spacing w:before="29" w:line="288" w:lineRule="auto"/>
              <w:rPr>
                <w:b/>
                <w:color w:val="000000"/>
                <w:sz w:val="24"/>
              </w:rPr>
            </w:pPr>
            <w:r w:rsidRPr="00ED53EF">
              <w:rPr>
                <w:rFonts w:hint="eastAsia"/>
                <w:b/>
                <w:color w:val="000000"/>
                <w:sz w:val="24"/>
              </w:rPr>
              <w:t>一、收入</w:t>
            </w:r>
          </w:p>
        </w:tc>
        <w:tc>
          <w:tcPr>
            <w:tcW w:w="993" w:type="dxa"/>
            <w:vAlign w:val="center"/>
          </w:tcPr>
          <w:p w:rsidR="00E8167C" w:rsidRPr="00072FC7" w:rsidRDefault="00E8167C" w:rsidP="00072FC7">
            <w:pPr>
              <w:widowControl/>
              <w:autoSpaceDE w:val="0"/>
              <w:autoSpaceDN w:val="0"/>
              <w:ind w:right="-15"/>
              <w:jc w:val="center"/>
              <w:textAlignment w:val="bottom"/>
              <w:rPr>
                <w:color w:val="000000"/>
                <w:sz w:val="24"/>
              </w:rPr>
            </w:pPr>
          </w:p>
        </w:tc>
        <w:tc>
          <w:tcPr>
            <w:tcW w:w="2409" w:type="dxa"/>
            <w:vAlign w:val="center"/>
          </w:tcPr>
          <w:p w:rsidR="00E8167C" w:rsidRPr="00ED53EF" w:rsidRDefault="00E8167C" w:rsidP="001C5FC7">
            <w:pPr>
              <w:spacing w:before="29" w:line="288" w:lineRule="auto"/>
              <w:jc w:val="right"/>
              <w:rPr>
                <w:b/>
                <w:color w:val="000000"/>
                <w:sz w:val="24"/>
              </w:rPr>
            </w:pPr>
            <w:r w:rsidRPr="00ED53EF">
              <w:rPr>
                <w:b/>
                <w:color w:val="000000"/>
                <w:sz w:val="24"/>
              </w:rPr>
              <w:t>-171,689,326.41</w:t>
            </w:r>
          </w:p>
        </w:tc>
        <w:tc>
          <w:tcPr>
            <w:tcW w:w="2194" w:type="dxa"/>
            <w:vAlign w:val="center"/>
          </w:tcPr>
          <w:p w:rsidR="00E8167C" w:rsidRPr="00ED53EF" w:rsidRDefault="00E8167C" w:rsidP="001C5FC7">
            <w:pPr>
              <w:spacing w:before="29" w:line="288" w:lineRule="auto"/>
              <w:jc w:val="right"/>
              <w:rPr>
                <w:b/>
                <w:color w:val="000000"/>
                <w:sz w:val="24"/>
              </w:rPr>
            </w:pPr>
            <w:r w:rsidRPr="00ED53EF">
              <w:rPr>
                <w:b/>
                <w:color w:val="000000"/>
                <w:sz w:val="24"/>
              </w:rPr>
              <w:t>263,679,919.10</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1.</w:t>
            </w:r>
            <w:r w:rsidRPr="003F4597">
              <w:rPr>
                <w:rFonts w:hint="eastAsia"/>
                <w:color w:val="000000"/>
                <w:sz w:val="24"/>
              </w:rPr>
              <w:t>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2,195,179.76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2,314,160.29</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其中：存款利息收入</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7.4.7.11</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1,180,819.31</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1,059,461.73</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债券利息收入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884,928.47</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916,316.48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资产支持证券利息收入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买入返售金融资产收入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129,431.98</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338,382.08</w:t>
            </w:r>
          </w:p>
        </w:tc>
      </w:tr>
      <w:tr w:rsidR="001F4A92" w:rsidRPr="00C51C77" w:rsidTr="007468E6">
        <w:tc>
          <w:tcPr>
            <w:tcW w:w="3402" w:type="dxa"/>
            <w:vAlign w:val="center"/>
          </w:tcPr>
          <w:p w:rsidR="001F4A92" w:rsidRPr="00FA6C3E" w:rsidRDefault="001F4A92" w:rsidP="00FA6C3E">
            <w:pPr>
              <w:spacing w:before="29" w:line="288" w:lineRule="auto"/>
              <w:ind w:firstLineChars="300" w:firstLine="720"/>
              <w:rPr>
                <w:color w:val="000000"/>
                <w:sz w:val="24"/>
              </w:rPr>
            </w:pPr>
            <w:r w:rsidRPr="00FA6C3E">
              <w:rPr>
                <w:rFonts w:hint="eastAsia"/>
                <w:color w:val="000000"/>
                <w:sz w:val="24"/>
              </w:rPr>
              <w:t>其他利息收入</w:t>
            </w:r>
          </w:p>
        </w:tc>
        <w:tc>
          <w:tcPr>
            <w:tcW w:w="993" w:type="dxa"/>
            <w:vAlign w:val="center"/>
          </w:tcPr>
          <w:p w:rsidR="001F4A92" w:rsidRPr="00072FC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color w:val="000000"/>
                <w:sz w:val="24"/>
              </w:rPr>
              <w:t>2.</w:t>
            </w:r>
            <w:r w:rsidRPr="003F4597">
              <w:rPr>
                <w:rFonts w:hint="eastAsia"/>
                <w:color w:val="000000"/>
                <w:sz w:val="24"/>
              </w:rPr>
              <w:t>投资收益（损失以</w:t>
            </w:r>
            <w:r w:rsidR="00ED53EF" w:rsidRPr="0060695C">
              <w:rPr>
                <w:color w:val="000000"/>
                <w:sz w:val="24"/>
              </w:rPr>
              <w:t>“-”</w:t>
            </w:r>
            <w:r w:rsidRPr="003F4597">
              <w:rPr>
                <w:rFonts w:hint="eastAsia"/>
                <w:color w:val="000000"/>
                <w:sz w:val="24"/>
              </w:rPr>
              <w:t>填列）</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-20,895,004.24</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186,338,241.67</w:t>
            </w:r>
          </w:p>
        </w:tc>
      </w:tr>
      <w:tr w:rsidR="001F4A92" w:rsidRPr="00C51C77" w:rsidTr="007468E6">
        <w:tc>
          <w:tcPr>
            <w:tcW w:w="3402" w:type="dxa"/>
            <w:vAlign w:val="center"/>
          </w:tcPr>
          <w:p w:rsidR="001F4A92" w:rsidRPr="003F4597" w:rsidRDefault="001F4A92" w:rsidP="003F4597">
            <w:pPr>
              <w:spacing w:before="29" w:line="288" w:lineRule="auto"/>
              <w:rPr>
                <w:color w:val="000000"/>
                <w:sz w:val="24"/>
              </w:rPr>
            </w:pPr>
            <w:r w:rsidRPr="003F4597">
              <w:rPr>
                <w:rFonts w:hint="eastAsia"/>
                <w:color w:val="000000"/>
                <w:sz w:val="24"/>
              </w:rPr>
              <w:t>其中：股票投资收益</w:t>
            </w:r>
          </w:p>
        </w:tc>
        <w:tc>
          <w:tcPr>
            <w:tcW w:w="993" w:type="dxa"/>
            <w:vAlign w:val="center"/>
          </w:tcPr>
          <w:p w:rsidR="001F4A92" w:rsidRPr="003F4597" w:rsidRDefault="001F4A92" w:rsidP="00072FC7">
            <w:pPr>
              <w:widowControl/>
              <w:autoSpaceDE w:val="0"/>
              <w:autoSpaceDN w:val="0"/>
              <w:ind w:right="-15"/>
              <w:jc w:val="center"/>
              <w:textAlignment w:val="bottom"/>
              <w:rPr>
                <w:color w:val="000000"/>
                <w:sz w:val="24"/>
              </w:rPr>
            </w:pPr>
            <w:r>
              <w:t>7.4.7.12</w:t>
            </w: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-26,039,828.66</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176,454,731.58</w:t>
            </w:r>
          </w:p>
        </w:tc>
      </w:tr>
      <w:tr w:rsidR="001F4A92" w:rsidRPr="00C51C77" w:rsidTr="007468E6">
        <w:tc>
          <w:tcPr>
            <w:tcW w:w="3402" w:type="dxa"/>
            <w:vAlign w:val="center"/>
          </w:tcPr>
          <w:p w:rsidR="001F4A92" w:rsidRPr="001F4A92" w:rsidRDefault="001F4A92" w:rsidP="001F4A92">
            <w:pPr>
              <w:spacing w:before="29" w:line="288" w:lineRule="auto"/>
              <w:ind w:firstLineChars="300" w:firstLine="720"/>
              <w:rPr>
                <w:color w:val="000000"/>
                <w:sz w:val="24"/>
              </w:rPr>
            </w:pPr>
            <w:r w:rsidRPr="001F4A92">
              <w:rPr>
                <w:rFonts w:hint="eastAsia"/>
                <w:color w:val="000000"/>
                <w:sz w:val="24"/>
              </w:rPr>
              <w:t>基金投资收益</w:t>
            </w:r>
          </w:p>
        </w:tc>
        <w:tc>
          <w:tcPr>
            <w:tcW w:w="993" w:type="dxa"/>
            <w:vAlign w:val="center"/>
          </w:tcPr>
          <w:p w:rsidR="001F4A92" w:rsidRPr="001F4A92" w:rsidRDefault="001F4A92" w:rsidP="00072FC7">
            <w:pPr>
              <w:widowControl/>
              <w:autoSpaceDE w:val="0"/>
              <w:autoSpaceDN w:val="0"/>
              <w:ind w:right="-15"/>
              <w:jc w:val="center"/>
              <w:textAlignment w:val="bottom"/>
              <w:rPr>
                <w:color w:val="000000"/>
                <w:sz w:val="24"/>
              </w:rPr>
            </w:pPr>
          </w:p>
        </w:tc>
        <w:tc>
          <w:tcPr>
            <w:tcW w:w="2409"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c>
          <w:tcPr>
            <w:tcW w:w="2194" w:type="dxa"/>
            <w:vAlign w:val="center"/>
          </w:tcPr>
          <w:p w:rsidR="001F4A92" w:rsidRPr="001C5FC7" w:rsidRDefault="001F4A92"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债券投资收益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7.4.7.13</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-3,175,760.45</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710,608.63</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资产支持证券投资收益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7.4.7.14</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贵金属投资收益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rFonts w:hint="eastAsia"/>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衍生工具收益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7.4.7.15</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1F4A92" w:rsidRDefault="00707FDA" w:rsidP="001F4A92">
            <w:pPr>
              <w:spacing w:before="29" w:line="288" w:lineRule="auto"/>
              <w:ind w:firstLineChars="300" w:firstLine="720"/>
              <w:rPr>
                <w:color w:val="000000"/>
                <w:sz w:val="24"/>
              </w:rPr>
            </w:pPr>
            <w:r w:rsidRPr="001F4A92">
              <w:rPr>
                <w:rFonts w:hint="eastAsia"/>
                <w:color w:val="000000"/>
                <w:sz w:val="24"/>
              </w:rPr>
              <w:t>股利收益</w:t>
            </w:r>
          </w:p>
        </w:tc>
        <w:tc>
          <w:tcPr>
            <w:tcW w:w="993" w:type="dxa"/>
            <w:vAlign w:val="center"/>
          </w:tcPr>
          <w:p w:rsidR="00707FDA" w:rsidRPr="001F4A92" w:rsidRDefault="00707FDA" w:rsidP="00072FC7">
            <w:pPr>
              <w:widowControl/>
              <w:autoSpaceDE w:val="0"/>
              <w:autoSpaceDN w:val="0"/>
              <w:ind w:right="-15"/>
              <w:jc w:val="center"/>
              <w:textAlignment w:val="bottom"/>
              <w:rPr>
                <w:color w:val="000000"/>
                <w:sz w:val="24"/>
              </w:rPr>
            </w:pPr>
            <w:r>
              <w:t>7.4.7.16</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8,320,584.87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9,172,901.46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公允价值变动收益（损失以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7.4.7.17</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-153,575,110.74</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73,892,873.00</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汇兑收益（损失以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其他收入（损失以</w:t>
            </w:r>
            <w:r w:rsidR="00ED53EF" w:rsidRPr="0060695C">
              <w:rPr>
                <w:color w:val="000000"/>
                <w:sz w:val="24"/>
              </w:rPr>
              <w:t>“-”</w:t>
            </w:r>
            <w:r w:rsidRPr="003F4597">
              <w:rPr>
                <w:rFonts w:hint="eastAsia"/>
                <w:color w:val="000000"/>
                <w:sz w:val="24"/>
              </w:rPr>
              <w:t>号填列）</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7.4.7.18</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585,608.81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1,134,644.14</w:t>
            </w:r>
          </w:p>
        </w:tc>
      </w:tr>
      <w:tr w:rsidR="00707FDA" w:rsidRPr="00C51C77" w:rsidTr="007468E6">
        <w:tc>
          <w:tcPr>
            <w:tcW w:w="3402" w:type="dxa"/>
            <w:vAlign w:val="center"/>
          </w:tcPr>
          <w:p w:rsidR="00707FDA" w:rsidRPr="009A4B06" w:rsidRDefault="00707FDA" w:rsidP="003F4597">
            <w:pPr>
              <w:spacing w:before="29" w:line="288" w:lineRule="auto"/>
              <w:rPr>
                <w:b/>
                <w:color w:val="000000"/>
                <w:sz w:val="24"/>
              </w:rPr>
            </w:pPr>
            <w:r w:rsidRPr="009A4B06">
              <w:rPr>
                <w:rFonts w:hint="eastAsia"/>
                <w:b/>
                <w:color w:val="000000"/>
                <w:sz w:val="24"/>
              </w:rPr>
              <w:t>减：二、费用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19,697,409.81</w:t>
            </w:r>
          </w:p>
        </w:tc>
        <w:tc>
          <w:tcPr>
            <w:tcW w:w="2194" w:type="dxa"/>
            <w:vAlign w:val="center"/>
          </w:tcPr>
          <w:p w:rsidR="00707FDA" w:rsidRPr="00061E30" w:rsidRDefault="00707FDA" w:rsidP="001C5FC7">
            <w:pPr>
              <w:spacing w:before="29" w:line="288" w:lineRule="auto"/>
              <w:jc w:val="right"/>
              <w:rPr>
                <w:b/>
                <w:color w:val="000000"/>
                <w:sz w:val="24"/>
              </w:rPr>
            </w:pPr>
            <w:r w:rsidRPr="00061E30">
              <w:rPr>
                <w:b/>
                <w:color w:val="000000"/>
                <w:sz w:val="24"/>
              </w:rPr>
              <w:t>19,579,328.67</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lastRenderedPageBreak/>
              <w:t>1</w:t>
            </w:r>
            <w:r w:rsidRPr="003F4597">
              <w:rPr>
                <w:rFonts w:hint="eastAsia"/>
                <w:color w:val="000000"/>
                <w:sz w:val="24"/>
              </w:rPr>
              <w:t>．管理人报酬</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12,278,737.71</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11,574,440.25</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2</w:t>
            </w:r>
            <w:r w:rsidRPr="003F4597">
              <w:rPr>
                <w:rFonts w:hint="eastAsia"/>
                <w:color w:val="000000"/>
                <w:sz w:val="24"/>
              </w:rPr>
              <w:t>．托管费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2,046,456.27</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1,929,073.42</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3</w:t>
            </w:r>
            <w:r w:rsidRPr="003F4597">
              <w:rPr>
                <w:rFonts w:hint="eastAsia"/>
                <w:color w:val="000000"/>
                <w:sz w:val="24"/>
              </w:rPr>
              <w:t>．销售服务费</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4</w:t>
            </w:r>
            <w:r w:rsidRPr="003F4597">
              <w:rPr>
                <w:rFonts w:hint="eastAsia"/>
                <w:color w:val="000000"/>
                <w:sz w:val="24"/>
              </w:rPr>
              <w:t>．交易费用</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r>
              <w:t>7.4.7.19</w:t>
            </w: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5,113,220.28</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5,824,123.26</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color w:val="000000"/>
                <w:sz w:val="24"/>
              </w:rPr>
              <w:t>5</w:t>
            </w:r>
            <w:r w:rsidRPr="003F4597">
              <w:rPr>
                <w:rFonts w:hint="eastAsia"/>
                <w:color w:val="000000"/>
                <w:sz w:val="24"/>
              </w:rPr>
              <w:t>．利息支出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707FDA" w:rsidRPr="00C51C77" w:rsidTr="007468E6">
        <w:tc>
          <w:tcPr>
            <w:tcW w:w="3402" w:type="dxa"/>
            <w:vAlign w:val="center"/>
          </w:tcPr>
          <w:p w:rsidR="00707FDA" w:rsidRPr="003F4597" w:rsidRDefault="00707FDA" w:rsidP="003F4597">
            <w:pPr>
              <w:spacing w:before="29" w:line="288" w:lineRule="auto"/>
              <w:rPr>
                <w:color w:val="000000"/>
                <w:sz w:val="24"/>
              </w:rPr>
            </w:pPr>
            <w:r w:rsidRPr="003F4597">
              <w:rPr>
                <w:rFonts w:hint="eastAsia"/>
                <w:color w:val="000000"/>
                <w:sz w:val="24"/>
              </w:rPr>
              <w:t>其中：卖出回购金融资产支出</w:t>
            </w:r>
          </w:p>
        </w:tc>
        <w:tc>
          <w:tcPr>
            <w:tcW w:w="993" w:type="dxa"/>
            <w:vAlign w:val="center"/>
          </w:tcPr>
          <w:p w:rsidR="00707FDA" w:rsidRPr="003F4597" w:rsidRDefault="00707FDA" w:rsidP="00072FC7">
            <w:pPr>
              <w:widowControl/>
              <w:autoSpaceDE w:val="0"/>
              <w:autoSpaceDN w:val="0"/>
              <w:ind w:right="-15"/>
              <w:jc w:val="center"/>
              <w:textAlignment w:val="bottom"/>
              <w:rPr>
                <w:color w:val="000000"/>
                <w:sz w:val="24"/>
              </w:rPr>
            </w:pPr>
          </w:p>
        </w:tc>
        <w:tc>
          <w:tcPr>
            <w:tcW w:w="2409"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c>
          <w:tcPr>
            <w:tcW w:w="2194" w:type="dxa"/>
            <w:vAlign w:val="center"/>
          </w:tcPr>
          <w:p w:rsidR="00707FDA" w:rsidRPr="001C5FC7" w:rsidRDefault="00707FDA" w:rsidP="001C5FC7">
            <w:pPr>
              <w:spacing w:before="29" w:line="288" w:lineRule="auto"/>
              <w:jc w:val="right"/>
              <w:rPr>
                <w:color w:val="000000"/>
                <w:sz w:val="24"/>
              </w:rPr>
            </w:pPr>
            <w:r w:rsidRPr="001C5FC7">
              <w:rPr>
                <w:color w:val="000000"/>
                <w:sz w:val="24"/>
              </w:rPr>
              <w:t>-</w:t>
            </w:r>
          </w:p>
        </w:tc>
      </w:tr>
      <w:tr w:rsidR="00214CDC" w:rsidRPr="00C51C77" w:rsidTr="005748E4">
        <w:tc>
          <w:tcPr>
            <w:tcW w:w="3402" w:type="dxa"/>
            <w:vAlign w:val="center"/>
          </w:tcPr>
          <w:p w:rsidR="00214CDC" w:rsidRPr="00FB2916" w:rsidRDefault="00214CDC" w:rsidP="005B0242">
            <w:pPr>
              <w:rPr>
                <w:rFonts w:eastAsiaTheme="minorEastAsia"/>
                <w:color w:val="000000"/>
                <w:sz w:val="24"/>
              </w:rPr>
            </w:pPr>
            <w:r w:rsidRPr="00FB2916">
              <w:rPr>
                <w:rFonts w:eastAsiaTheme="minorEastAsia" w:hint="eastAsia"/>
                <w:color w:val="000000"/>
                <w:sz w:val="24"/>
              </w:rPr>
              <w:t>6</w:t>
            </w:r>
            <w:r w:rsidRPr="00FB2916">
              <w:rPr>
                <w:rFonts w:eastAsiaTheme="minorEastAsia"/>
                <w:color w:val="000000"/>
                <w:sz w:val="24"/>
              </w:rPr>
              <w:t>．</w:t>
            </w:r>
            <w:r w:rsidRPr="00FB2916">
              <w:rPr>
                <w:rFonts w:eastAsiaTheme="minorEastAsia" w:hint="eastAsia"/>
                <w:color w:val="000000"/>
                <w:sz w:val="24"/>
              </w:rPr>
              <w:t>税金及附加</w:t>
            </w:r>
          </w:p>
        </w:tc>
        <w:tc>
          <w:tcPr>
            <w:tcW w:w="993" w:type="dxa"/>
            <w:vAlign w:val="center"/>
          </w:tcPr>
          <w:p w:rsidR="00214CDC" w:rsidRPr="00FB2916" w:rsidRDefault="00214CDC" w:rsidP="005B0242">
            <w:pPr>
              <w:pStyle w:val="af6"/>
              <w:jc w:val="center"/>
              <w:rPr>
                <w:rFonts w:ascii="Times New Roman" w:eastAsiaTheme="minorEastAsia" w:hAnsi="Times New Roman"/>
                <w:color w:val="000000"/>
              </w:rPr>
            </w:pPr>
          </w:p>
        </w:tc>
        <w:tc>
          <w:tcPr>
            <w:tcW w:w="2409"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827.10</w:t>
            </w:r>
          </w:p>
        </w:tc>
        <w:tc>
          <w:tcPr>
            <w:tcW w:w="2194" w:type="dxa"/>
            <w:vAlign w:val="bottom"/>
          </w:tcPr>
          <w:p w:rsidR="00214CDC" w:rsidRPr="00FB2916" w:rsidRDefault="00214CDC" w:rsidP="005B0242">
            <w:pPr>
              <w:jc w:val="right"/>
              <w:rPr>
                <w:rFonts w:eastAsiaTheme="minorEastAsia"/>
                <w:color w:val="000000"/>
                <w:sz w:val="24"/>
              </w:rPr>
            </w:pPr>
            <w:r w:rsidRPr="00FB2916">
              <w:rPr>
                <w:rFonts w:eastAsiaTheme="minorEastAsia"/>
                <w:color w:val="000000"/>
                <w:sz w:val="24"/>
              </w:rPr>
              <w:t>-</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Pr>
                <w:rFonts w:hint="eastAsia"/>
                <w:color w:val="000000"/>
                <w:sz w:val="24"/>
              </w:rPr>
              <w:t>7</w:t>
            </w:r>
            <w:r w:rsidRPr="003F4597">
              <w:rPr>
                <w:rFonts w:hint="eastAsia"/>
                <w:color w:val="000000"/>
                <w:sz w:val="24"/>
              </w:rPr>
              <w:t>．其他费用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r>
              <w:t>7.4.7.20</w:t>
            </w: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258,168.45</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251,691.74</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三、利润总额（亏损总额以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-191,386,736.22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244,100,590.43</w:t>
            </w:r>
          </w:p>
        </w:tc>
      </w:tr>
      <w:tr w:rsidR="00214CDC" w:rsidRPr="00C51C77" w:rsidTr="007468E6">
        <w:tc>
          <w:tcPr>
            <w:tcW w:w="3402" w:type="dxa"/>
            <w:vAlign w:val="center"/>
          </w:tcPr>
          <w:p w:rsidR="00214CDC" w:rsidRPr="003F4597" w:rsidRDefault="00214CDC" w:rsidP="003F4597">
            <w:pPr>
              <w:spacing w:before="29" w:line="288" w:lineRule="auto"/>
              <w:rPr>
                <w:color w:val="000000"/>
                <w:sz w:val="24"/>
              </w:rPr>
            </w:pPr>
            <w:r w:rsidRPr="003F4597">
              <w:rPr>
                <w:rFonts w:hint="eastAsia"/>
                <w:color w:val="000000"/>
                <w:sz w:val="24"/>
              </w:rPr>
              <w:t>减：所得税费用</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c>
          <w:tcPr>
            <w:tcW w:w="2194" w:type="dxa"/>
            <w:vAlign w:val="center"/>
          </w:tcPr>
          <w:p w:rsidR="00214CDC" w:rsidRPr="001C5FC7" w:rsidRDefault="00214CDC" w:rsidP="001C5FC7">
            <w:pPr>
              <w:spacing w:before="29" w:line="288" w:lineRule="auto"/>
              <w:jc w:val="right"/>
              <w:rPr>
                <w:color w:val="000000"/>
                <w:sz w:val="24"/>
              </w:rPr>
            </w:pPr>
            <w:r w:rsidRPr="001C5FC7">
              <w:rPr>
                <w:color w:val="000000"/>
                <w:sz w:val="24"/>
              </w:rPr>
              <w:t>-</w:t>
            </w:r>
          </w:p>
        </w:tc>
      </w:tr>
      <w:tr w:rsidR="00214CDC" w:rsidRPr="00C51C77" w:rsidTr="007468E6">
        <w:tc>
          <w:tcPr>
            <w:tcW w:w="3402" w:type="dxa"/>
            <w:vAlign w:val="center"/>
          </w:tcPr>
          <w:p w:rsidR="00214CDC" w:rsidRPr="000D2B86" w:rsidRDefault="00214CDC" w:rsidP="003F4597">
            <w:pPr>
              <w:spacing w:before="29" w:line="288" w:lineRule="auto"/>
              <w:rPr>
                <w:b/>
                <w:color w:val="000000"/>
                <w:sz w:val="24"/>
              </w:rPr>
            </w:pPr>
            <w:r w:rsidRPr="000D2B86">
              <w:rPr>
                <w:rFonts w:hint="eastAsia"/>
                <w:b/>
                <w:color w:val="000000"/>
                <w:sz w:val="24"/>
              </w:rPr>
              <w:t>四、净利润（净亏损以</w:t>
            </w:r>
            <w:r w:rsidRPr="000D2B86">
              <w:rPr>
                <w:b/>
                <w:color w:val="000000"/>
                <w:sz w:val="24"/>
              </w:rPr>
              <w:t>“-”</w:t>
            </w:r>
            <w:r w:rsidRPr="000D2B86">
              <w:rPr>
                <w:rFonts w:hint="eastAsia"/>
                <w:b/>
                <w:color w:val="000000"/>
                <w:sz w:val="24"/>
              </w:rPr>
              <w:t>号填列）</w:t>
            </w:r>
          </w:p>
        </w:tc>
        <w:tc>
          <w:tcPr>
            <w:tcW w:w="993" w:type="dxa"/>
            <w:vAlign w:val="center"/>
          </w:tcPr>
          <w:p w:rsidR="00214CDC" w:rsidRPr="003F4597" w:rsidRDefault="00214CDC" w:rsidP="00072FC7">
            <w:pPr>
              <w:widowControl/>
              <w:autoSpaceDE w:val="0"/>
              <w:autoSpaceDN w:val="0"/>
              <w:ind w:right="-15"/>
              <w:jc w:val="center"/>
              <w:textAlignment w:val="bottom"/>
              <w:rPr>
                <w:color w:val="000000"/>
                <w:sz w:val="24"/>
              </w:rPr>
            </w:pPr>
          </w:p>
        </w:tc>
        <w:tc>
          <w:tcPr>
            <w:tcW w:w="2409" w:type="dxa"/>
            <w:vAlign w:val="center"/>
          </w:tcPr>
          <w:p w:rsidR="00214CDC" w:rsidRPr="00061E30" w:rsidRDefault="00214CDC" w:rsidP="001C5FC7">
            <w:pPr>
              <w:spacing w:before="29" w:line="288" w:lineRule="auto"/>
              <w:jc w:val="right"/>
              <w:rPr>
                <w:b/>
                <w:color w:val="000000"/>
                <w:sz w:val="24"/>
              </w:rPr>
            </w:pPr>
            <w:r w:rsidRPr="00061E30">
              <w:rPr>
                <w:b/>
                <w:color w:val="000000"/>
                <w:sz w:val="24"/>
              </w:rPr>
              <w:t>-191,386,736.22</w:t>
            </w:r>
          </w:p>
        </w:tc>
        <w:tc>
          <w:tcPr>
            <w:tcW w:w="2194" w:type="dxa"/>
            <w:vAlign w:val="center"/>
          </w:tcPr>
          <w:p w:rsidR="00214CDC" w:rsidRPr="00061E30" w:rsidRDefault="00214CDC" w:rsidP="001C5FC7">
            <w:pPr>
              <w:spacing w:before="29" w:line="288" w:lineRule="auto"/>
              <w:jc w:val="right"/>
              <w:rPr>
                <w:b/>
                <w:color w:val="000000"/>
                <w:sz w:val="24"/>
              </w:rPr>
            </w:pPr>
            <w:r w:rsidRPr="00061E30">
              <w:rPr>
                <w:b/>
                <w:color w:val="000000"/>
                <w:sz w:val="24"/>
              </w:rPr>
              <w:t>244,100,590.43</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7" w:name="_Toc225498270"/>
      <w:bookmarkStart w:id="58" w:name="_Toc361324875"/>
      <w:r w:rsidRPr="00701155">
        <w:rPr>
          <w:rFonts w:ascii="Times New Roman" w:hAnsi="Times New Roman"/>
          <w:kern w:val="0"/>
          <w:szCs w:val="24"/>
        </w:rPr>
        <w:t xml:space="preserve">7.3 </w:t>
      </w:r>
      <w:r w:rsidRPr="00701155">
        <w:rPr>
          <w:rFonts w:ascii="Times New Roman" w:hAnsi="Times New Roman" w:hint="eastAsia"/>
          <w:kern w:val="0"/>
          <w:szCs w:val="24"/>
        </w:rPr>
        <w:t>所有者权益（基金净值）变动表</w:t>
      </w:r>
      <w:bookmarkEnd w:id="57"/>
      <w:bookmarkEnd w:id="58"/>
    </w:p>
    <w:p w:rsidR="001A59F9" w:rsidRPr="004C51A0" w:rsidRDefault="001A59F9" w:rsidP="004C51A0">
      <w:pPr>
        <w:spacing w:before="29" w:line="288" w:lineRule="auto"/>
        <w:rPr>
          <w:color w:val="000000"/>
          <w:sz w:val="24"/>
        </w:rPr>
      </w:pPr>
      <w:r w:rsidRPr="004C51A0">
        <w:rPr>
          <w:rFonts w:hint="eastAsia"/>
          <w:color w:val="000000"/>
          <w:sz w:val="24"/>
        </w:rPr>
        <w:t>会计主体：</w:t>
      </w:r>
      <w:r w:rsidRPr="004C51A0">
        <w:rPr>
          <w:color w:val="000000"/>
          <w:sz w:val="24"/>
        </w:rPr>
        <w:t>交银施罗德策略回报灵活配置混合型证券投资基金</w:t>
      </w:r>
    </w:p>
    <w:p w:rsidR="001A59F9" w:rsidRPr="004C51A0" w:rsidRDefault="001A59F9" w:rsidP="004C51A0">
      <w:pPr>
        <w:spacing w:before="29" w:line="288" w:lineRule="auto"/>
        <w:rPr>
          <w:color w:val="000000"/>
          <w:sz w:val="24"/>
        </w:rPr>
      </w:pPr>
      <w:r w:rsidRPr="004C51A0">
        <w:rPr>
          <w:rFonts w:hint="eastAsia"/>
          <w:color w:val="000000"/>
          <w:sz w:val="24"/>
        </w:rPr>
        <w:t>本报告期：</w:t>
      </w:r>
      <w:r w:rsidR="00F64FAD" w:rsidRPr="004C51A0">
        <w:rPr>
          <w:color w:val="000000"/>
          <w:sz w:val="24"/>
        </w:rPr>
        <w:t>2018</w:t>
      </w:r>
      <w:r w:rsidR="00F64FAD" w:rsidRPr="004C51A0">
        <w:rPr>
          <w:color w:val="000000"/>
          <w:sz w:val="24"/>
        </w:rPr>
        <w:t>年</w:t>
      </w:r>
      <w:r w:rsidR="00F64FAD" w:rsidRPr="004C51A0">
        <w:rPr>
          <w:color w:val="000000"/>
          <w:sz w:val="24"/>
        </w:rPr>
        <w:t>1</w:t>
      </w:r>
      <w:r w:rsidR="00F64FAD" w:rsidRPr="004C51A0">
        <w:rPr>
          <w:color w:val="000000"/>
          <w:sz w:val="24"/>
        </w:rPr>
        <w:t>月</w:t>
      </w:r>
      <w:r w:rsidR="00F64FAD" w:rsidRPr="004C51A0">
        <w:rPr>
          <w:color w:val="000000"/>
          <w:sz w:val="24"/>
        </w:rPr>
        <w:t>1</w:t>
      </w:r>
      <w:r w:rsidR="00F64FAD" w:rsidRPr="004C51A0">
        <w:rPr>
          <w:color w:val="000000"/>
          <w:sz w:val="24"/>
        </w:rPr>
        <w:t>日</w:t>
      </w:r>
      <w:r w:rsidRPr="004C51A0">
        <w:rPr>
          <w:rFonts w:hint="eastAsia"/>
          <w:color w:val="000000"/>
          <w:sz w:val="24"/>
        </w:rPr>
        <w:t>至</w:t>
      </w:r>
      <w:r w:rsidR="00F64FAD" w:rsidRPr="004C51A0">
        <w:rPr>
          <w:color w:val="000000"/>
          <w:sz w:val="24"/>
        </w:rPr>
        <w:t>2018</w:t>
      </w:r>
      <w:r w:rsidR="00F64FAD" w:rsidRPr="004C51A0">
        <w:rPr>
          <w:color w:val="000000"/>
          <w:sz w:val="24"/>
        </w:rPr>
        <w:t>年</w:t>
      </w:r>
      <w:r w:rsidR="00F64FAD" w:rsidRPr="004C51A0">
        <w:rPr>
          <w:color w:val="000000"/>
          <w:sz w:val="24"/>
        </w:rPr>
        <w:t>12</w:t>
      </w:r>
      <w:r w:rsidR="00F64FAD" w:rsidRPr="004C51A0">
        <w:rPr>
          <w:color w:val="000000"/>
          <w:sz w:val="24"/>
        </w:rPr>
        <w:t>月</w:t>
      </w:r>
      <w:r w:rsidR="00F64FAD" w:rsidRPr="004C51A0">
        <w:rPr>
          <w:color w:val="000000"/>
          <w:sz w:val="24"/>
        </w:rPr>
        <w:t>31</w:t>
      </w:r>
      <w:r w:rsidR="00F64FAD" w:rsidRPr="004C51A0">
        <w:rPr>
          <w:color w:val="000000"/>
          <w:sz w:val="24"/>
        </w:rPr>
        <w:t>日</w:t>
      </w:r>
    </w:p>
    <w:p w:rsidR="001A59F9" w:rsidRPr="00696586" w:rsidRDefault="001A59F9" w:rsidP="00696586">
      <w:pPr>
        <w:autoSpaceDE w:val="0"/>
        <w:autoSpaceDN w:val="0"/>
        <w:adjustRightInd w:val="0"/>
        <w:spacing w:before="29" w:line="288" w:lineRule="auto"/>
        <w:ind w:left="15"/>
        <w:jc w:val="right"/>
        <w:rPr>
          <w:color w:val="000000"/>
          <w:kern w:val="0"/>
          <w:sz w:val="24"/>
        </w:rPr>
      </w:pPr>
      <w:r w:rsidRPr="00696586">
        <w:rPr>
          <w:rFonts w:hint="eastAsia"/>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250"/>
        <w:gridCol w:w="2250"/>
        <w:gridCol w:w="2250"/>
        <w:gridCol w:w="2250"/>
      </w:tblGrid>
      <w:tr w:rsidR="001A59F9" w:rsidRPr="00C51C77" w:rsidTr="00705A28">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本期</w:t>
            </w:r>
          </w:p>
          <w:p w:rsidR="001A59F9" w:rsidRPr="00D34C2B" w:rsidRDefault="00F64FAD"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w:t>
            </w:r>
            <w:r w:rsidR="001A59F9" w:rsidRPr="00D34C2B">
              <w:rPr>
                <w:rFonts w:ascii="Times New Roman" w:hAnsi="Times New Roman" w:hint="eastAsia"/>
                <w:b/>
                <w:color w:val="000000"/>
                <w:kern w:val="2"/>
              </w:rPr>
              <w:t>至</w:t>
            </w:r>
            <w:r w:rsidRPr="00D34C2B">
              <w:rPr>
                <w:rFonts w:ascii="Times New Roman" w:hAnsi="Times New Roman"/>
                <w:b/>
                <w:color w:val="000000"/>
                <w:kern w:val="2"/>
              </w:rPr>
              <w:t>2018</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705A28">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所有者权益合计</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546,984,417.57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210,851,167.62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757,835,585.19</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-191,386,736.22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-191,386,736.22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457,748,709.21</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53,245,520.44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510,994,229.65</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855,171,861.25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182,349,083.68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1,037,520,944.93</w:t>
            </w:r>
          </w:p>
        </w:tc>
      </w:tr>
      <w:tr w:rsidR="001A59F9" w:rsidRPr="00C51C77" w:rsidTr="00705A28">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-397,423,152.04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-129,103,563.24</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-526,526,715.28</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w:t>
            </w:r>
            <w:r w:rsidRPr="00D34C2B">
              <w:rPr>
                <w:rFonts w:hint="eastAsia"/>
                <w:color w:val="000000"/>
                <w:sz w:val="24"/>
              </w:rPr>
              <w:lastRenderedPageBreak/>
              <w:t>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lastRenderedPageBreak/>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-98,092,246.22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-98,092,246.22</w:t>
            </w:r>
          </w:p>
        </w:tc>
      </w:tr>
      <w:tr w:rsidR="001A59F9" w:rsidRPr="00C51C77" w:rsidTr="00705A28">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1,004,733,126.78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-25,382,294.38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979,350,832.40</w:t>
            </w:r>
          </w:p>
        </w:tc>
      </w:tr>
      <w:tr w:rsidR="001A59F9" w:rsidRPr="00C51C77" w:rsidTr="00C37A8A">
        <w:tc>
          <w:tcPr>
            <w:tcW w:w="3459" w:type="dxa"/>
            <w:vMerge w:val="restart"/>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项目</w:t>
            </w:r>
          </w:p>
        </w:tc>
        <w:tc>
          <w:tcPr>
            <w:tcW w:w="3459" w:type="dxa"/>
            <w:gridSpan w:val="3"/>
            <w:vAlign w:val="center"/>
          </w:tcPr>
          <w:p w:rsidR="001A59F9" w:rsidRPr="00D34C2B" w:rsidRDefault="001A59F9" w:rsidP="00D34C2B">
            <w:pPr>
              <w:spacing w:before="29" w:line="288" w:lineRule="auto"/>
              <w:jc w:val="center"/>
              <w:rPr>
                <w:b/>
                <w:color w:val="000000"/>
                <w:sz w:val="24"/>
              </w:rPr>
            </w:pPr>
            <w:r w:rsidRPr="00D34C2B">
              <w:rPr>
                <w:rFonts w:hint="eastAsia"/>
                <w:b/>
                <w:color w:val="000000"/>
                <w:sz w:val="24"/>
              </w:rPr>
              <w:t>上年度可比期间</w:t>
            </w:r>
          </w:p>
          <w:p w:rsidR="001A59F9" w:rsidRPr="00D34C2B" w:rsidRDefault="007F35DC" w:rsidP="00D34C2B">
            <w:pPr>
              <w:pStyle w:val="af6"/>
              <w:spacing w:before="29" w:beforeAutospacing="0" w:after="0" w:afterAutospacing="0" w:line="288" w:lineRule="auto"/>
              <w:jc w:val="center"/>
              <w:rPr>
                <w:rFonts w:ascii="Times New Roman" w:hAnsi="Times New Roman"/>
                <w:b/>
                <w:color w:val="000000"/>
                <w:kern w:val="2"/>
              </w:rPr>
            </w:pP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w:t>
            </w:r>
            <w:r w:rsidRPr="00D34C2B">
              <w:rPr>
                <w:rFonts w:ascii="Times New Roman" w:hAnsi="Times New Roman"/>
                <w:b/>
                <w:color w:val="000000"/>
                <w:kern w:val="2"/>
              </w:rPr>
              <w:t>月</w:t>
            </w:r>
            <w:r w:rsidRPr="00D34C2B">
              <w:rPr>
                <w:rFonts w:ascii="Times New Roman" w:hAnsi="Times New Roman"/>
                <w:b/>
                <w:color w:val="000000"/>
                <w:kern w:val="2"/>
              </w:rPr>
              <w:t>1</w:t>
            </w:r>
            <w:r w:rsidRPr="00D34C2B">
              <w:rPr>
                <w:rFonts w:ascii="Times New Roman" w:hAnsi="Times New Roman"/>
                <w:b/>
                <w:color w:val="000000"/>
                <w:kern w:val="2"/>
              </w:rPr>
              <w:t>日至</w:t>
            </w:r>
            <w:r w:rsidRPr="00D34C2B">
              <w:rPr>
                <w:rFonts w:ascii="Times New Roman" w:hAnsi="Times New Roman"/>
                <w:b/>
                <w:color w:val="000000"/>
                <w:kern w:val="2"/>
              </w:rPr>
              <w:t>2017</w:t>
            </w:r>
            <w:r w:rsidRPr="00D34C2B">
              <w:rPr>
                <w:rFonts w:ascii="Times New Roman" w:hAnsi="Times New Roman"/>
                <w:b/>
                <w:color w:val="000000"/>
                <w:kern w:val="2"/>
              </w:rPr>
              <w:t>年</w:t>
            </w:r>
            <w:r w:rsidRPr="00D34C2B">
              <w:rPr>
                <w:rFonts w:ascii="Times New Roman" w:hAnsi="Times New Roman"/>
                <w:b/>
                <w:color w:val="000000"/>
                <w:kern w:val="2"/>
              </w:rPr>
              <w:t>12</w:t>
            </w:r>
            <w:r w:rsidRPr="00D34C2B">
              <w:rPr>
                <w:rFonts w:ascii="Times New Roman" w:hAnsi="Times New Roman"/>
                <w:b/>
                <w:color w:val="000000"/>
                <w:kern w:val="2"/>
              </w:rPr>
              <w:t>月</w:t>
            </w:r>
            <w:r w:rsidRPr="00D34C2B">
              <w:rPr>
                <w:rFonts w:ascii="Times New Roman" w:hAnsi="Times New Roman"/>
                <w:b/>
                <w:color w:val="000000"/>
                <w:kern w:val="2"/>
              </w:rPr>
              <w:t>31</w:t>
            </w:r>
            <w:r w:rsidRPr="00D34C2B">
              <w:rPr>
                <w:rFonts w:ascii="Times New Roman" w:hAnsi="Times New Roman"/>
                <w:b/>
                <w:color w:val="000000"/>
                <w:kern w:val="2"/>
              </w:rPr>
              <w:t>日</w:t>
            </w:r>
          </w:p>
        </w:tc>
      </w:tr>
      <w:tr w:rsidR="001A59F9" w:rsidRPr="00C51C77" w:rsidTr="00C37A8A">
        <w:tc>
          <w:tcPr>
            <w:tcW w:w="3459" w:type="dxa"/>
            <w:vMerge/>
            <w:vAlign w:val="center"/>
          </w:tcPr>
          <w:p w:rsidR="001A59F9" w:rsidRPr="00D34C2B" w:rsidRDefault="001A59F9" w:rsidP="00D34C2B">
            <w:pPr>
              <w:spacing w:before="29" w:line="288" w:lineRule="auto"/>
              <w:jc w:val="center"/>
              <w:rPr>
                <w:b/>
                <w:color w:val="000000"/>
                <w:sz w:val="24"/>
              </w:rPr>
            </w:pP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实收基金</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未分配利润</w:t>
            </w:r>
          </w:p>
        </w:tc>
        <w:tc>
          <w:tcPr>
            <w:tcW w:w="3459" w:type="dxa"/>
            <w:vAlign w:val="center"/>
          </w:tcPr>
          <w:p w:rsidR="001A59F9" w:rsidRPr="00D34C2B" w:rsidRDefault="001A59F9" w:rsidP="000F6A8A">
            <w:pPr>
              <w:spacing w:before="29" w:line="288" w:lineRule="auto"/>
              <w:jc w:val="center"/>
              <w:rPr>
                <w:b/>
                <w:color w:val="000000"/>
                <w:sz w:val="24"/>
              </w:rPr>
            </w:pPr>
            <w:r w:rsidRPr="00D34C2B">
              <w:rPr>
                <w:rFonts w:hint="eastAsia"/>
                <w:b/>
                <w:color w:val="000000"/>
                <w:sz w:val="24"/>
              </w:rPr>
              <w:t>所有者权益合计</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一、期初所有者权益（基金净值）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269,257,920.78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39,176,373.68</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308,434,294.46</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二、本期经营活动产生的基金净值变动数（本期利润）</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244,100,590.43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244,100,590.43</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三、本期基金份额交易产生的基金净值变动数（净值减少以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277,726,496.79</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53,790,847.53</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331,517,344.32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其中：</w:t>
            </w:r>
            <w:r w:rsidRPr="00D34C2B">
              <w:rPr>
                <w:color w:val="000000"/>
                <w:sz w:val="24"/>
              </w:rPr>
              <w:t>1.</w:t>
            </w:r>
            <w:r w:rsidRPr="00D34C2B">
              <w:rPr>
                <w:rFonts w:hint="eastAsia"/>
                <w:color w:val="000000"/>
                <w:sz w:val="24"/>
              </w:rPr>
              <w:t>基金申购款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1,011,179,238.55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266,114,280.35</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1,277,293,518.90</w:t>
            </w:r>
          </w:p>
        </w:tc>
      </w:tr>
      <w:tr w:rsidR="001A59F9" w:rsidRPr="00C51C77" w:rsidTr="00C37A8A">
        <w:tc>
          <w:tcPr>
            <w:tcW w:w="3459" w:type="dxa"/>
            <w:vAlign w:val="center"/>
          </w:tcPr>
          <w:p w:rsidR="001A59F9" w:rsidRPr="00D34C2B" w:rsidRDefault="001A59F9" w:rsidP="00540257">
            <w:pPr>
              <w:spacing w:before="29" w:line="288" w:lineRule="auto"/>
              <w:ind w:firstLineChars="250" w:firstLine="600"/>
              <w:rPr>
                <w:color w:val="000000"/>
                <w:sz w:val="24"/>
              </w:rPr>
            </w:pPr>
            <w:r w:rsidRPr="00D34C2B">
              <w:rPr>
                <w:color w:val="000000"/>
                <w:sz w:val="24"/>
              </w:rPr>
              <w:t>2.</w:t>
            </w:r>
            <w:r w:rsidRPr="00D34C2B">
              <w:rPr>
                <w:rFonts w:hint="eastAsia"/>
                <w:color w:val="000000"/>
                <w:sz w:val="24"/>
              </w:rPr>
              <w:t>基金赎回款</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-733,452,741.76</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-212,323,432.82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-945,776,174.58</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四、本期向基金份额持有人分配利润产生的基金净值变动（净值减少以</w:t>
            </w:r>
            <w:r w:rsidR="00C37A8A" w:rsidRPr="0060695C">
              <w:rPr>
                <w:color w:val="000000"/>
                <w:sz w:val="24"/>
              </w:rPr>
              <w:t>“-”</w:t>
            </w:r>
            <w:r w:rsidRPr="00D34C2B">
              <w:rPr>
                <w:rFonts w:hint="eastAsia"/>
                <w:color w:val="000000"/>
                <w:sz w:val="24"/>
              </w:rPr>
              <w:t>号填列）</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-126,216,644.02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-126,216,644.02</w:t>
            </w:r>
          </w:p>
        </w:tc>
      </w:tr>
      <w:tr w:rsidR="001A59F9" w:rsidRPr="00C51C77" w:rsidTr="00C37A8A">
        <w:tc>
          <w:tcPr>
            <w:tcW w:w="3459" w:type="dxa"/>
            <w:vAlign w:val="center"/>
          </w:tcPr>
          <w:p w:rsidR="001A59F9" w:rsidRPr="00D34C2B" w:rsidRDefault="001A59F9" w:rsidP="00D34C2B">
            <w:pPr>
              <w:spacing w:before="29" w:line="288" w:lineRule="auto"/>
              <w:rPr>
                <w:color w:val="000000"/>
                <w:sz w:val="24"/>
              </w:rPr>
            </w:pPr>
            <w:r w:rsidRPr="00D34C2B">
              <w:rPr>
                <w:rFonts w:hint="eastAsia"/>
                <w:color w:val="000000"/>
                <w:sz w:val="24"/>
              </w:rPr>
              <w:t>五、期末所有者权益（基金净值）</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546,984,417.57</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210,851,167.62</w:t>
            </w:r>
          </w:p>
        </w:tc>
        <w:tc>
          <w:tcPr>
            <w:tcW w:w="3459" w:type="dxa"/>
            <w:vAlign w:val="center"/>
          </w:tcPr>
          <w:p w:rsidR="001A59F9" w:rsidRPr="001C5FC7" w:rsidRDefault="001A59F9" w:rsidP="001C5FC7">
            <w:pPr>
              <w:spacing w:before="29" w:line="288" w:lineRule="auto"/>
              <w:jc w:val="right"/>
              <w:rPr>
                <w:color w:val="000000"/>
                <w:sz w:val="24"/>
              </w:rPr>
            </w:pPr>
            <w:r w:rsidRPr="001C5FC7">
              <w:rPr>
                <w:color w:val="000000"/>
                <w:sz w:val="24"/>
              </w:rPr>
              <w:t>757,835,585.19</w:t>
            </w:r>
          </w:p>
        </w:tc>
      </w:tr>
    </w:tbl>
    <w:p w:rsidR="001F790F" w:rsidRPr="00AF31CF" w:rsidRDefault="001F790F" w:rsidP="00AF31CF">
      <w:pPr>
        <w:spacing w:before="29" w:line="288" w:lineRule="auto"/>
        <w:rPr>
          <w:sz w:val="24"/>
        </w:rPr>
      </w:pPr>
      <w:r w:rsidRPr="00AF31CF">
        <w:rPr>
          <w:rFonts w:hint="eastAsia"/>
          <w:sz w:val="24"/>
        </w:rPr>
        <w:t>报表附注为财务报表的组成部分。</w:t>
      </w:r>
    </w:p>
    <w:p w:rsidR="001F790F" w:rsidRPr="00AF31CF" w:rsidRDefault="001F790F" w:rsidP="00AF31CF">
      <w:pPr>
        <w:spacing w:before="29" w:line="288" w:lineRule="auto"/>
        <w:rPr>
          <w:sz w:val="24"/>
        </w:rPr>
      </w:pPr>
      <w:r w:rsidRPr="00AF31CF">
        <w:rPr>
          <w:rFonts w:hint="eastAsia"/>
          <w:sz w:val="24"/>
        </w:rPr>
        <w:t>本报告</w:t>
      </w:r>
      <w:r w:rsidR="00B4640F" w:rsidRPr="00AF31CF">
        <w:rPr>
          <w:rFonts w:hint="eastAsia"/>
          <w:sz w:val="24"/>
        </w:rPr>
        <w:t>页码（序号）从</w:t>
      </w:r>
      <w:r w:rsidRPr="00AF31CF">
        <w:rPr>
          <w:rFonts w:hint="eastAsia"/>
          <w:sz w:val="24"/>
        </w:rPr>
        <w:t>7.1</w:t>
      </w:r>
      <w:r w:rsidRPr="00AF31CF">
        <w:rPr>
          <w:rFonts w:hint="eastAsia"/>
          <w:sz w:val="24"/>
        </w:rPr>
        <w:t>至</w:t>
      </w:r>
      <w:r w:rsidRPr="00AF31CF">
        <w:rPr>
          <w:rFonts w:hint="eastAsia"/>
          <w:sz w:val="24"/>
        </w:rPr>
        <w:t>7.4</w:t>
      </w:r>
      <w:r w:rsidRPr="00AF31CF">
        <w:rPr>
          <w:rFonts w:hint="eastAsia"/>
          <w:sz w:val="24"/>
        </w:rPr>
        <w:t>，财务报表由下列负责人签署：</w:t>
      </w:r>
    </w:p>
    <w:p w:rsidR="001F790F" w:rsidRPr="00AF31CF" w:rsidRDefault="00177405" w:rsidP="00AF31CF">
      <w:pPr>
        <w:spacing w:before="29" w:line="288" w:lineRule="auto"/>
        <w:rPr>
          <w:sz w:val="24"/>
        </w:rPr>
      </w:pPr>
      <w:r w:rsidRPr="00AF31CF">
        <w:rPr>
          <w:rFonts w:hint="eastAsia"/>
          <w:sz w:val="24"/>
        </w:rPr>
        <w:t>基金管理人</w:t>
      </w:r>
      <w:r w:rsidR="001F790F" w:rsidRPr="00AF31CF">
        <w:rPr>
          <w:rFonts w:hint="eastAsia"/>
          <w:sz w:val="24"/>
        </w:rPr>
        <w:t>负责人：谢卫，主管会计工作负责人：夏华龙，会计机构负责人：单江</w:t>
      </w:r>
    </w:p>
    <w:p w:rsidR="001A59F9" w:rsidRPr="00C51C77" w:rsidRDefault="001A59F9" w:rsidP="00C51C77">
      <w:pPr>
        <w:spacing w:line="360" w:lineRule="auto"/>
        <w:ind w:firstLineChars="200" w:firstLine="420"/>
        <w:rPr>
          <w:rFonts w:asciiTheme="minorEastAsia" w:eastAsiaTheme="minorEastAsia" w:hAnsiTheme="minorEastAsia"/>
          <w:color w:val="000000"/>
          <w:szCs w:val="21"/>
        </w:rPr>
      </w:pPr>
    </w:p>
    <w:p w:rsidR="001A59F9" w:rsidRPr="00701155" w:rsidRDefault="001A59F9" w:rsidP="00701155">
      <w:pPr>
        <w:pStyle w:val="20"/>
        <w:spacing w:before="29" w:after="0" w:line="288" w:lineRule="auto"/>
        <w:rPr>
          <w:rFonts w:ascii="Times New Roman" w:hAnsi="Times New Roman"/>
          <w:kern w:val="0"/>
          <w:szCs w:val="24"/>
        </w:rPr>
      </w:pPr>
      <w:bookmarkStart w:id="59" w:name="_Toc225498271"/>
      <w:bookmarkStart w:id="60" w:name="_Toc361324876"/>
      <w:r w:rsidRPr="00701155">
        <w:rPr>
          <w:rFonts w:ascii="Times New Roman" w:hAnsi="Times New Roman"/>
          <w:kern w:val="0"/>
          <w:szCs w:val="24"/>
        </w:rPr>
        <w:t xml:space="preserve">7.4 </w:t>
      </w:r>
      <w:r w:rsidRPr="00701155">
        <w:rPr>
          <w:rFonts w:ascii="Times New Roman" w:hAnsi="Times New Roman" w:hint="eastAsia"/>
          <w:kern w:val="0"/>
          <w:szCs w:val="24"/>
        </w:rPr>
        <w:t>报表附注</w:t>
      </w:r>
      <w:bookmarkEnd w:id="59"/>
      <w:bookmarkEnd w:id="60"/>
    </w:p>
    <w:p w:rsidR="001A59F9" w:rsidRPr="00701155" w:rsidRDefault="001A59F9" w:rsidP="00701155">
      <w:pPr>
        <w:pStyle w:val="20"/>
        <w:spacing w:before="29" w:after="0" w:line="288" w:lineRule="auto"/>
        <w:rPr>
          <w:rFonts w:ascii="Times New Roman" w:hAnsi="Times New Roman"/>
          <w:kern w:val="0"/>
          <w:szCs w:val="24"/>
        </w:rPr>
      </w:pPr>
      <w:r w:rsidRPr="00701155">
        <w:rPr>
          <w:rFonts w:ascii="Times New Roman" w:hAnsi="Times New Roman"/>
          <w:kern w:val="0"/>
          <w:szCs w:val="24"/>
        </w:rPr>
        <w:t>7.4.1</w:t>
      </w:r>
      <w:r w:rsidR="004C2C35" w:rsidRPr="00701155">
        <w:rPr>
          <w:rFonts w:ascii="Times New Roman" w:hAnsi="Times New Roman" w:hint="eastAsia"/>
          <w:kern w:val="0"/>
          <w:szCs w:val="24"/>
        </w:rPr>
        <w:t xml:space="preserve"> </w:t>
      </w:r>
      <w:r w:rsidRPr="00701155">
        <w:rPr>
          <w:rFonts w:ascii="Times New Roman" w:hAnsi="Times New Roman" w:hint="eastAsia"/>
          <w:kern w:val="0"/>
          <w:szCs w:val="24"/>
        </w:rPr>
        <w:t>基金基本情况</w:t>
      </w:r>
    </w:p>
    <w:p w:rsidR="002B232B" w:rsidRDefault="0056363F">
      <w:pPr>
        <w:spacing w:before="29" w:line="288" w:lineRule="auto"/>
        <w:ind w:firstLineChars="200" w:firstLine="480"/>
        <w:rPr>
          <w:color w:val="000000"/>
          <w:sz w:val="24"/>
        </w:rPr>
      </w:pPr>
      <w:r>
        <w:rPr>
          <w:color w:val="000000"/>
          <w:sz w:val="24"/>
        </w:rPr>
        <w:t>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是由原交银施罗德荣安保本混合型证券投资基金</w:t>
      </w:r>
      <w:r>
        <w:rPr>
          <w:color w:val="000000"/>
          <w:sz w:val="24"/>
        </w:rPr>
        <w:t>(</w:t>
      </w:r>
      <w:r>
        <w:rPr>
          <w:color w:val="000000"/>
          <w:sz w:val="24"/>
        </w:rPr>
        <w:t>以下简称</w:t>
      </w:r>
      <w:r>
        <w:rPr>
          <w:color w:val="000000"/>
          <w:sz w:val="24"/>
        </w:rPr>
        <w:t>“</w:t>
      </w:r>
      <w:r>
        <w:rPr>
          <w:color w:val="000000"/>
          <w:sz w:val="24"/>
        </w:rPr>
        <w:t>交银施罗德荣安保本基金</w:t>
      </w:r>
      <w:r>
        <w:rPr>
          <w:color w:val="000000"/>
          <w:sz w:val="24"/>
        </w:rPr>
        <w:t>”)</w:t>
      </w:r>
      <w:r>
        <w:rPr>
          <w:color w:val="000000"/>
          <w:sz w:val="24"/>
        </w:rPr>
        <w:t>转型而来。交银施罗德荣安保本基金经中国证券监督管理委员会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[2012]565</w:t>
      </w:r>
      <w:r>
        <w:rPr>
          <w:color w:val="000000"/>
          <w:sz w:val="24"/>
        </w:rPr>
        <w:t>号《关于核准交银施罗德荣安保本混合型证券投资基金募集的批复》核准，由交银施罗德基金管理有限公司依照《中华人民共和国证券投资基金法》和《交银施罗</w:t>
      </w:r>
      <w:r>
        <w:rPr>
          <w:color w:val="000000"/>
          <w:sz w:val="24"/>
        </w:rPr>
        <w:lastRenderedPageBreak/>
        <w:t>德荣安保本混合型证券投资基金基金合同》负责公开募集。原基金为契约型开放式，存续期限不定，首次设立募集不包括认购资金利息共募集人民币</w:t>
      </w:r>
      <w:r>
        <w:rPr>
          <w:color w:val="000000"/>
          <w:sz w:val="24"/>
        </w:rPr>
        <w:t>1,630,301,417.83</w:t>
      </w:r>
      <w:r>
        <w:rPr>
          <w:color w:val="000000"/>
          <w:sz w:val="24"/>
        </w:rPr>
        <w:t>元，业经普华永道中天会计师事务所有限公司普华永道中天验字</w:t>
      </w:r>
      <w:r>
        <w:rPr>
          <w:color w:val="000000"/>
          <w:sz w:val="24"/>
        </w:rPr>
        <w:t>(2012)</w:t>
      </w:r>
      <w:r>
        <w:rPr>
          <w:color w:val="000000"/>
          <w:sz w:val="24"/>
        </w:rPr>
        <w:t>第</w:t>
      </w:r>
      <w:r>
        <w:rPr>
          <w:color w:val="000000"/>
          <w:sz w:val="24"/>
        </w:rPr>
        <w:t>222</w:t>
      </w:r>
      <w:r>
        <w:rPr>
          <w:color w:val="000000"/>
          <w:sz w:val="24"/>
        </w:rPr>
        <w:t>号验资报告予以验证。经向中国证监会备案，《交银施罗德荣安保本混合型证券投资基金基金合同》于</w:t>
      </w:r>
      <w:r>
        <w:rPr>
          <w:color w:val="000000"/>
          <w:sz w:val="24"/>
        </w:rPr>
        <w:t>2012</w:t>
      </w:r>
      <w:r>
        <w:rPr>
          <w:color w:val="000000"/>
          <w:sz w:val="24"/>
        </w:rPr>
        <w:t>年</w:t>
      </w:r>
      <w:r>
        <w:rPr>
          <w:color w:val="000000"/>
          <w:sz w:val="24"/>
        </w:rPr>
        <w:t>6</w:t>
      </w:r>
      <w:r>
        <w:rPr>
          <w:color w:val="000000"/>
          <w:sz w:val="24"/>
        </w:rPr>
        <w:t>月</w:t>
      </w:r>
      <w:r>
        <w:rPr>
          <w:color w:val="000000"/>
          <w:sz w:val="24"/>
        </w:rPr>
        <w:t>20</w:t>
      </w:r>
      <w:r>
        <w:rPr>
          <w:color w:val="000000"/>
          <w:sz w:val="24"/>
        </w:rPr>
        <w:t>日正式生效，基金合同生效日的基金份额总额为</w:t>
      </w:r>
      <w:r>
        <w:rPr>
          <w:color w:val="000000"/>
          <w:sz w:val="24"/>
        </w:rPr>
        <w:t>1,631,624,464.77</w:t>
      </w:r>
      <w:r>
        <w:rPr>
          <w:color w:val="000000"/>
          <w:sz w:val="24"/>
        </w:rPr>
        <w:t>份基金份额，其中认购资金利息折合</w:t>
      </w:r>
      <w:r>
        <w:rPr>
          <w:color w:val="000000"/>
          <w:sz w:val="24"/>
        </w:rPr>
        <w:t>1,323,046.94</w:t>
      </w:r>
      <w:r>
        <w:rPr>
          <w:color w:val="000000"/>
          <w:sz w:val="24"/>
        </w:rPr>
        <w:t>份基金份额。</w:t>
      </w:r>
      <w:r>
        <w:rPr>
          <w:color w:val="000000"/>
          <w:sz w:val="24"/>
        </w:rPr>
        <w:t xml:space="preserve">  </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根据原《交银施罗德荣安保本混合型证券投资基金基金合同》的约定，交银施罗德荣安保本基金的保本周期为三年。交银施罗德荣安保本基金第一个保本周期自本基金转型生效日起至三个公历年后对应日止</w:t>
      </w:r>
      <w:r>
        <w:rPr>
          <w:color w:val="000000"/>
          <w:sz w:val="24"/>
        </w:rPr>
        <w:t>(</w:t>
      </w:r>
      <w:r>
        <w:rPr>
          <w:color w:val="000000"/>
          <w:sz w:val="24"/>
        </w:rPr>
        <w:t>如该对应日为非工作日，保本周期到期日顺延至下一个工作日</w:t>
      </w:r>
      <w:r>
        <w:rPr>
          <w:color w:val="000000"/>
          <w:sz w:val="24"/>
        </w:rPr>
        <w:t>)</w:t>
      </w:r>
      <w:r>
        <w:rPr>
          <w:color w:val="000000"/>
          <w:sz w:val="24"/>
        </w:rPr>
        <w:t>。交银施罗德荣安保本基金保本周期届满时，在符合保本基金存续条件下，继续存续并转入下一保本周期。在不符合保本基金存续条件下，交银施罗德荣安保本基金变更为非保本的混合型基金，基金名称相应变更为</w:t>
      </w:r>
      <w:r>
        <w:rPr>
          <w:color w:val="000000"/>
          <w:sz w:val="24"/>
        </w:rPr>
        <w:t>“</w:t>
      </w:r>
      <w:r>
        <w:rPr>
          <w:color w:val="000000"/>
          <w:sz w:val="24"/>
        </w:rPr>
        <w:t>交银施罗德策略回报灵活配置混合型证券投资基金</w:t>
      </w:r>
      <w:r>
        <w:rPr>
          <w:color w:val="000000"/>
          <w:sz w:val="24"/>
        </w:rPr>
        <w:t>”</w:t>
      </w:r>
      <w:r>
        <w:rPr>
          <w:color w:val="000000"/>
          <w:sz w:val="24"/>
        </w:rPr>
        <w:t>。</w:t>
      </w:r>
      <w:r>
        <w:rPr>
          <w:color w:val="000000"/>
          <w:sz w:val="24"/>
        </w:rPr>
        <w:t xml:space="preserve">  </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根据《交银荣安保本保本周期到期安排及交银施罗德策略回报转型后运作相关业务规则的公告》，交银施罗德荣安保本基金因未能符合保本基金存续条件，自</w:t>
      </w:r>
      <w:r>
        <w:rPr>
          <w:color w:val="000000"/>
          <w:sz w:val="24"/>
        </w:rPr>
        <w:t>2015</w:t>
      </w:r>
      <w:r>
        <w:rPr>
          <w:color w:val="000000"/>
          <w:sz w:val="24"/>
        </w:rPr>
        <w:t>年</w:t>
      </w:r>
      <w:r>
        <w:rPr>
          <w:color w:val="000000"/>
          <w:sz w:val="24"/>
        </w:rPr>
        <w:t>6</w:t>
      </w:r>
      <w:r>
        <w:rPr>
          <w:color w:val="000000"/>
          <w:sz w:val="24"/>
        </w:rPr>
        <w:t>月</w:t>
      </w:r>
      <w:r>
        <w:rPr>
          <w:color w:val="000000"/>
          <w:sz w:val="24"/>
        </w:rPr>
        <w:t>27</w:t>
      </w:r>
      <w:r>
        <w:rPr>
          <w:color w:val="000000"/>
          <w:sz w:val="24"/>
        </w:rPr>
        <w:t>日起转型为交银施罗德策略回报灵活配置混合型证券投资基金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并相应修改基金的投资目标、投资范围、投资策略以及基金费率等。原《交银施罗德荣安保本混合型证券投资基金基金合同》失效，《交银施罗德策略回报灵活配置混合型证券投资基金基金合同》于同一日生效。本基金为契约型开放式，存续期限不定。本基金的基金管理人为交银施罗德基金管理有限公司，基金托管人为中信银行股份有限公司。</w:t>
      </w:r>
      <w:r>
        <w:rPr>
          <w:color w:val="000000"/>
          <w:sz w:val="24"/>
        </w:rPr>
        <w:t xml:space="preserve"> </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根据《中华人民共和国证券投资基金法》和《交银施罗德策略回报灵活配置混合型证券投资基金基金合同》的有关规定，本基金的投资范围为具有良好流动性的金融工具，包括国内依法公开发行交易的债券、股票</w:t>
      </w:r>
      <w:r>
        <w:rPr>
          <w:color w:val="000000"/>
          <w:sz w:val="24"/>
        </w:rPr>
        <w:t>(</w:t>
      </w:r>
      <w:r>
        <w:rPr>
          <w:color w:val="000000"/>
          <w:sz w:val="24"/>
        </w:rPr>
        <w:t>包括中小板、创业板及其他经中国证监会核准上市的股票</w:t>
      </w:r>
      <w:r>
        <w:rPr>
          <w:color w:val="000000"/>
          <w:sz w:val="24"/>
        </w:rPr>
        <w:t>)</w:t>
      </w:r>
      <w:r>
        <w:rPr>
          <w:color w:val="000000"/>
          <w:sz w:val="24"/>
        </w:rPr>
        <w:t>、货币市场工具、权证以及法律法规或中国证监会允许基金投资的其他金融工具。本基金的投资组合比例为：股票资产占基金资产的</w:t>
      </w:r>
      <w:r>
        <w:rPr>
          <w:color w:val="000000"/>
          <w:sz w:val="24"/>
        </w:rPr>
        <w:t>30%-80%</w:t>
      </w:r>
      <w:r>
        <w:rPr>
          <w:color w:val="000000"/>
          <w:sz w:val="24"/>
        </w:rPr>
        <w:t>；债券、货币市场工具、权证、资产支持证券以及法律法规或中国证监会允许基金投资的其他证券品种占基金资产的</w:t>
      </w:r>
      <w:r>
        <w:rPr>
          <w:color w:val="000000"/>
          <w:sz w:val="24"/>
        </w:rPr>
        <w:t>20%-70%</w:t>
      </w:r>
      <w:r>
        <w:rPr>
          <w:color w:val="000000"/>
          <w:sz w:val="24"/>
        </w:rPr>
        <w:t>，其中基金保留的现金以及投资于到期日在一年以内的政府债券的比例合计不低于基金资产净值的</w:t>
      </w:r>
      <w:r>
        <w:rPr>
          <w:color w:val="000000"/>
          <w:sz w:val="24"/>
        </w:rPr>
        <w:t>5%</w:t>
      </w:r>
      <w:r>
        <w:rPr>
          <w:color w:val="000000"/>
          <w:sz w:val="24"/>
        </w:rPr>
        <w:t>，其中现金不包括结算备付金、存出保证金、应收申购款等。自转型生效日至</w:t>
      </w:r>
      <w:r>
        <w:rPr>
          <w:color w:val="000000"/>
          <w:sz w:val="24"/>
        </w:rPr>
        <w:t>2015</w:t>
      </w:r>
      <w:r>
        <w:rPr>
          <w:color w:val="000000"/>
          <w:sz w:val="24"/>
        </w:rPr>
        <w:t>年</w:t>
      </w:r>
      <w:r>
        <w:rPr>
          <w:color w:val="000000"/>
          <w:sz w:val="24"/>
        </w:rPr>
        <w:t>9</w:t>
      </w:r>
      <w:r>
        <w:rPr>
          <w:color w:val="000000"/>
          <w:sz w:val="24"/>
        </w:rPr>
        <w:t>月</w:t>
      </w:r>
      <w:r>
        <w:rPr>
          <w:color w:val="000000"/>
          <w:sz w:val="24"/>
        </w:rPr>
        <w:t>30</w:t>
      </w:r>
      <w:r>
        <w:rPr>
          <w:color w:val="000000"/>
          <w:sz w:val="24"/>
        </w:rPr>
        <w:t>日，本基金的业绩比较基准为：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中信标普全债指数收益率。根据本基金的基金管理人于</w:t>
      </w:r>
      <w:r>
        <w:rPr>
          <w:color w:val="000000"/>
          <w:sz w:val="24"/>
        </w:rPr>
        <w:t>2015</w:t>
      </w:r>
      <w:r>
        <w:rPr>
          <w:color w:val="000000"/>
          <w:sz w:val="24"/>
        </w:rPr>
        <w:t>年</w:t>
      </w:r>
      <w:r>
        <w:rPr>
          <w:color w:val="000000"/>
          <w:sz w:val="24"/>
        </w:rPr>
        <w:t>9</w:t>
      </w:r>
      <w:r>
        <w:rPr>
          <w:color w:val="000000"/>
          <w:sz w:val="24"/>
        </w:rPr>
        <w:t>月</w:t>
      </w:r>
      <w:r>
        <w:rPr>
          <w:color w:val="000000"/>
          <w:sz w:val="24"/>
        </w:rPr>
        <w:t>28</w:t>
      </w:r>
      <w:r>
        <w:rPr>
          <w:color w:val="000000"/>
          <w:sz w:val="24"/>
        </w:rPr>
        <w:t>日发布的《交银施罗德基金管理有限公司关于旗下部分基金业绩比较基准变更并修改基金合同相关内容的公告》，自</w:t>
      </w:r>
      <w:r>
        <w:rPr>
          <w:color w:val="000000"/>
          <w:sz w:val="24"/>
        </w:rPr>
        <w:t>2015</w:t>
      </w:r>
      <w:r>
        <w:rPr>
          <w:color w:val="000000"/>
          <w:sz w:val="24"/>
        </w:rPr>
        <w:t>年</w:t>
      </w:r>
      <w:r>
        <w:rPr>
          <w:color w:val="000000"/>
          <w:sz w:val="24"/>
        </w:rPr>
        <w:t>10</w:t>
      </w:r>
      <w:r>
        <w:rPr>
          <w:color w:val="000000"/>
          <w:sz w:val="24"/>
        </w:rPr>
        <w:t>月</w:t>
      </w:r>
      <w:r>
        <w:rPr>
          <w:color w:val="000000"/>
          <w:sz w:val="24"/>
        </w:rPr>
        <w:t>1</w:t>
      </w:r>
      <w:r>
        <w:rPr>
          <w:color w:val="000000"/>
          <w:sz w:val="24"/>
        </w:rPr>
        <w:t>日起，本基金的业绩比较基准变更为：</w:t>
      </w:r>
      <w:r>
        <w:rPr>
          <w:color w:val="000000"/>
          <w:sz w:val="24"/>
        </w:rPr>
        <w:t>60%×</w:t>
      </w:r>
      <w:r>
        <w:rPr>
          <w:color w:val="000000"/>
          <w:sz w:val="24"/>
        </w:rPr>
        <w:t>沪深</w:t>
      </w:r>
      <w:r>
        <w:rPr>
          <w:color w:val="000000"/>
          <w:sz w:val="24"/>
        </w:rPr>
        <w:t>300</w:t>
      </w:r>
      <w:r>
        <w:rPr>
          <w:color w:val="000000"/>
          <w:sz w:val="24"/>
        </w:rPr>
        <w:t>指数收益率</w:t>
      </w:r>
      <w:r>
        <w:rPr>
          <w:color w:val="000000"/>
          <w:sz w:val="24"/>
        </w:rPr>
        <w:t>+40%×</w:t>
      </w:r>
      <w:r>
        <w:rPr>
          <w:color w:val="000000"/>
          <w:sz w:val="24"/>
        </w:rPr>
        <w:t>中证综合债券指数收益率。</w:t>
      </w:r>
    </w:p>
    <w:p w:rsidR="002B232B" w:rsidRDefault="002B232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lastRenderedPageBreak/>
        <w:t>本财务报表由本基金的基金管理人交银施罗德基金管理有限公司于</w:t>
      </w:r>
      <w:r w:rsidRPr="002F6772">
        <w:rPr>
          <w:color w:val="000000"/>
          <w:sz w:val="24"/>
        </w:rPr>
        <w:t>2019</w:t>
      </w:r>
      <w:r w:rsidRPr="002F6772">
        <w:rPr>
          <w:color w:val="000000"/>
          <w:sz w:val="24"/>
        </w:rPr>
        <w:t>年</w:t>
      </w:r>
      <w:r w:rsidRPr="002F6772">
        <w:rPr>
          <w:color w:val="000000"/>
          <w:sz w:val="24"/>
        </w:rPr>
        <w:t>3</w:t>
      </w:r>
      <w:r w:rsidRPr="002F6772">
        <w:rPr>
          <w:color w:val="000000"/>
          <w:sz w:val="24"/>
        </w:rPr>
        <w:t>月</w:t>
      </w:r>
      <w:r w:rsidRPr="002F6772">
        <w:rPr>
          <w:color w:val="000000"/>
          <w:sz w:val="24"/>
        </w:rPr>
        <w:t>25</w:t>
      </w:r>
      <w:r w:rsidRPr="002F6772">
        <w:rPr>
          <w:color w:val="000000"/>
          <w:sz w:val="24"/>
        </w:rPr>
        <w:t>日批准报出。</w:t>
      </w:r>
    </w:p>
    <w:p w:rsidR="001A59F9" w:rsidRPr="00C51C77" w:rsidRDefault="001A59F9" w:rsidP="00016A50">
      <w:pPr>
        <w:tabs>
          <w:tab w:val="left" w:pos="2265"/>
        </w:tabs>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7.4.2</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会计报表的编制基础</w:t>
      </w:r>
    </w:p>
    <w:p w:rsidR="002B232B" w:rsidRDefault="0056363F">
      <w:pPr>
        <w:spacing w:before="29" w:line="288" w:lineRule="auto"/>
        <w:ind w:firstLineChars="200" w:firstLine="480"/>
        <w:rPr>
          <w:color w:val="000000"/>
          <w:sz w:val="24"/>
        </w:rPr>
      </w:pPr>
      <w:r>
        <w:rPr>
          <w:color w:val="000000"/>
          <w:sz w:val="24"/>
        </w:rPr>
        <w:t>本基金的财务报表按照财政部于</w:t>
      </w:r>
      <w:r>
        <w:rPr>
          <w:color w:val="000000"/>
          <w:sz w:val="24"/>
        </w:rPr>
        <w:t>2006</w:t>
      </w:r>
      <w:r>
        <w:rPr>
          <w:color w:val="000000"/>
          <w:sz w:val="24"/>
        </w:rPr>
        <w:t>年</w:t>
      </w:r>
      <w:r>
        <w:rPr>
          <w:color w:val="000000"/>
          <w:sz w:val="24"/>
        </w:rPr>
        <w:t>2</w:t>
      </w:r>
      <w:r>
        <w:rPr>
          <w:color w:val="000000"/>
          <w:sz w:val="24"/>
        </w:rPr>
        <w:t>月</w:t>
      </w:r>
      <w:r>
        <w:rPr>
          <w:color w:val="000000"/>
          <w:sz w:val="24"/>
        </w:rPr>
        <w:t>15</w:t>
      </w:r>
      <w:r>
        <w:rPr>
          <w:color w:val="000000"/>
          <w:sz w:val="24"/>
        </w:rPr>
        <w:t>日及以后期间颁布的《企业会计准则－基本准则》、各项具体会计准则及相关规定</w:t>
      </w:r>
      <w:r>
        <w:rPr>
          <w:color w:val="000000"/>
          <w:sz w:val="24"/>
        </w:rPr>
        <w:t>(</w:t>
      </w:r>
      <w:r>
        <w:rPr>
          <w:color w:val="000000"/>
          <w:sz w:val="24"/>
        </w:rPr>
        <w:t>以下合称</w:t>
      </w:r>
      <w:r>
        <w:rPr>
          <w:color w:val="000000"/>
          <w:sz w:val="24"/>
        </w:rPr>
        <w:t>“</w:t>
      </w:r>
      <w:r>
        <w:rPr>
          <w:color w:val="000000"/>
          <w:sz w:val="24"/>
        </w:rPr>
        <w:t>企业会计准则</w:t>
      </w:r>
      <w:r>
        <w:rPr>
          <w:color w:val="000000"/>
          <w:sz w:val="24"/>
        </w:rPr>
        <w:t>”)</w:t>
      </w:r>
      <w:r>
        <w:rPr>
          <w:color w:val="000000"/>
          <w:sz w:val="24"/>
        </w:rPr>
        <w:t>、中国证监会颁布的《证券投资基金信息披露</w:t>
      </w:r>
      <w:r>
        <w:rPr>
          <w:color w:val="000000"/>
          <w:sz w:val="24"/>
        </w:rPr>
        <w:t>XBRL</w:t>
      </w:r>
      <w:r>
        <w:rPr>
          <w:color w:val="000000"/>
          <w:sz w:val="24"/>
        </w:rPr>
        <w:t>模板第</w:t>
      </w:r>
      <w:r>
        <w:rPr>
          <w:color w:val="000000"/>
          <w:sz w:val="24"/>
        </w:rPr>
        <w:t>3</w:t>
      </w:r>
      <w:r>
        <w:rPr>
          <w:color w:val="000000"/>
          <w:sz w:val="24"/>
        </w:rPr>
        <w:t>号</w:t>
      </w:r>
      <w:r>
        <w:rPr>
          <w:color w:val="000000"/>
          <w:sz w:val="24"/>
        </w:rPr>
        <w:t>&lt;</w:t>
      </w:r>
      <w:r>
        <w:rPr>
          <w:color w:val="000000"/>
          <w:sz w:val="24"/>
        </w:rPr>
        <w:t>年度报告和半年度报告</w:t>
      </w:r>
      <w:r>
        <w:rPr>
          <w:color w:val="000000"/>
          <w:sz w:val="24"/>
        </w:rPr>
        <w:t>&gt;</w:t>
      </w:r>
      <w:r>
        <w:rPr>
          <w:color w:val="000000"/>
          <w:sz w:val="24"/>
        </w:rPr>
        <w:t>》、中国证券投资基金业协会</w:t>
      </w:r>
      <w:r>
        <w:rPr>
          <w:color w:val="000000"/>
          <w:sz w:val="24"/>
        </w:rPr>
        <w:t>(</w:t>
      </w:r>
      <w:r>
        <w:rPr>
          <w:color w:val="000000"/>
          <w:sz w:val="24"/>
        </w:rPr>
        <w:t>以下简称</w:t>
      </w:r>
      <w:r>
        <w:rPr>
          <w:color w:val="000000"/>
          <w:sz w:val="24"/>
        </w:rPr>
        <w:t>“</w:t>
      </w:r>
      <w:r>
        <w:rPr>
          <w:color w:val="000000"/>
          <w:sz w:val="24"/>
        </w:rPr>
        <w:t>中国基金业协会</w:t>
      </w:r>
      <w:r>
        <w:rPr>
          <w:color w:val="000000"/>
          <w:sz w:val="24"/>
        </w:rPr>
        <w:t>”)</w:t>
      </w:r>
      <w:r>
        <w:rPr>
          <w:color w:val="000000"/>
          <w:sz w:val="24"/>
        </w:rPr>
        <w:t>颁布的《证券投资基金会计核算业务指引》、《交银施罗德策略回报灵活配置混合型证券投资基金基金合同》和在财务报表附注</w:t>
      </w:r>
      <w:r>
        <w:rPr>
          <w:color w:val="000000"/>
          <w:sz w:val="24"/>
        </w:rPr>
        <w:t>7.4.4</w:t>
      </w:r>
      <w:r>
        <w:rPr>
          <w:color w:val="000000"/>
          <w:sz w:val="24"/>
        </w:rPr>
        <w:t>所列示的中国证监会、中国基金业协会发布的有关规定及允许的基金行业实务操作编制。</w:t>
      </w:r>
    </w:p>
    <w:p w:rsidR="002B232B" w:rsidRDefault="002B232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本财务报表以持续经营为基础编制。</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7.4.3</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遵循企业会计准则及其他有关规定的声明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w:t>
      </w:r>
      <w:r w:rsidRPr="002F6772">
        <w:rPr>
          <w:color w:val="000000"/>
          <w:sz w:val="24"/>
        </w:rPr>
        <w:t>2018</w:t>
      </w:r>
      <w:r w:rsidRPr="002F6772">
        <w:rPr>
          <w:color w:val="000000"/>
          <w:sz w:val="24"/>
        </w:rPr>
        <w:t>年度财务报表符合企业会计准则的要求，真实、完整地反映了本基金</w:t>
      </w:r>
      <w:r w:rsidRPr="002F6772">
        <w:rPr>
          <w:color w:val="000000"/>
          <w:sz w:val="24"/>
        </w:rPr>
        <w:t>2018</w:t>
      </w:r>
      <w:r w:rsidRPr="002F6772">
        <w:rPr>
          <w:color w:val="000000"/>
          <w:sz w:val="24"/>
        </w:rPr>
        <w:t>年</w:t>
      </w:r>
      <w:r w:rsidRPr="002F6772">
        <w:rPr>
          <w:color w:val="000000"/>
          <w:sz w:val="24"/>
        </w:rPr>
        <w:t>12</w:t>
      </w:r>
      <w:r w:rsidRPr="002F6772">
        <w:rPr>
          <w:color w:val="000000"/>
          <w:sz w:val="24"/>
        </w:rPr>
        <w:t>月</w:t>
      </w:r>
      <w:r w:rsidRPr="002F6772">
        <w:rPr>
          <w:color w:val="000000"/>
          <w:sz w:val="24"/>
        </w:rPr>
        <w:t>31</w:t>
      </w:r>
      <w:r w:rsidRPr="002F6772">
        <w:rPr>
          <w:color w:val="000000"/>
          <w:sz w:val="24"/>
        </w:rPr>
        <w:t>日的财务状况以及</w:t>
      </w:r>
      <w:r w:rsidRPr="002F6772">
        <w:rPr>
          <w:color w:val="000000"/>
          <w:sz w:val="24"/>
        </w:rPr>
        <w:t>2018</w:t>
      </w:r>
      <w:r w:rsidRPr="002F6772">
        <w:rPr>
          <w:color w:val="000000"/>
          <w:sz w:val="24"/>
        </w:rPr>
        <w:t>年度的经营成果和基金净值变动情况等有关信息。</w:t>
      </w:r>
    </w:p>
    <w:p w:rsidR="001A59F9" w:rsidRPr="00C51C77" w:rsidRDefault="001A59F9" w:rsidP="00016A50">
      <w:pPr>
        <w:spacing w:line="360" w:lineRule="auto"/>
        <w:ind w:firstLineChars="200" w:firstLine="422"/>
        <w:rPr>
          <w:rFonts w:asciiTheme="minorEastAsia" w:eastAsiaTheme="minorEastAsia" w:hAnsiTheme="minorEastAsia"/>
          <w:b/>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7.4.4</w:t>
      </w:r>
      <w:r w:rsidR="004C2C35" w:rsidRPr="00245C29">
        <w:rPr>
          <w:rFonts w:ascii="Times New Roman" w:hAnsi="Times New Roman" w:hint="eastAsia"/>
          <w:kern w:val="0"/>
          <w:szCs w:val="24"/>
        </w:rPr>
        <w:t xml:space="preserve"> </w:t>
      </w:r>
      <w:r w:rsidR="0096133D" w:rsidRPr="00245C29">
        <w:rPr>
          <w:rFonts w:ascii="Times New Roman" w:hAnsi="Times New Roman" w:hint="eastAsia"/>
          <w:kern w:val="0"/>
          <w:szCs w:val="24"/>
        </w:rPr>
        <w:t>本报告期所采用的会计政策、会计估计与最近一期年度报告相一致的说明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本报告期所采用的会计政策、会计估计与最近一期年度报告相一致。</w:t>
      </w:r>
    </w:p>
    <w:p w:rsidR="002F6772" w:rsidRPr="00C51C77" w:rsidRDefault="002F67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7.4.5</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会计政策和会计估计变更以及差错更正的说明</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7.4.5.1 </w:t>
      </w:r>
      <w:r w:rsidRPr="00245C29">
        <w:rPr>
          <w:rFonts w:ascii="Times New Roman" w:hAnsi="Times New Roman" w:hint="eastAsia"/>
          <w:kern w:val="0"/>
          <w:szCs w:val="24"/>
        </w:rPr>
        <w:t>会计政策变更的说明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本基金本报告期未发生会计政策变更。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C51C77" w:rsidRDefault="001A59F9" w:rsidP="00245C29">
      <w:pPr>
        <w:pStyle w:val="20"/>
        <w:spacing w:before="29" w:after="0" w:line="288" w:lineRule="auto"/>
        <w:rPr>
          <w:rFonts w:asciiTheme="minorEastAsia" w:eastAsiaTheme="minorEastAsia" w:hAnsiTheme="minorEastAsia"/>
          <w:b w:val="0"/>
          <w:color w:val="000000"/>
          <w:kern w:val="0"/>
          <w:szCs w:val="21"/>
        </w:rPr>
      </w:pPr>
      <w:r w:rsidRPr="00245C29">
        <w:rPr>
          <w:rFonts w:ascii="Times New Roman" w:hAnsi="Times New Roman"/>
          <w:kern w:val="0"/>
          <w:szCs w:val="24"/>
        </w:rPr>
        <w:t xml:space="preserve">7.4.5.2 </w:t>
      </w:r>
      <w:r w:rsidRPr="00245C29">
        <w:rPr>
          <w:rFonts w:ascii="Times New Roman" w:hAnsi="Times New Roman" w:hint="eastAsia"/>
          <w:kern w:val="0"/>
          <w:szCs w:val="24"/>
        </w:rPr>
        <w:t>会计估计变更的说明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本基金本报告期未发生会计估计变更。</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 xml:space="preserve">7.4.5.3 </w:t>
      </w:r>
      <w:r w:rsidRPr="00245C29">
        <w:rPr>
          <w:rFonts w:ascii="Times New Roman" w:hAnsi="Times New Roman" w:hint="eastAsia"/>
          <w:kern w:val="0"/>
          <w:szCs w:val="24"/>
        </w:rPr>
        <w:t>差错更正的说明</w:t>
      </w:r>
    </w:p>
    <w:p w:rsidR="001A59F9" w:rsidRPr="002F6772" w:rsidRDefault="001A59F9" w:rsidP="002F6772">
      <w:pPr>
        <w:spacing w:before="29" w:line="288" w:lineRule="auto"/>
        <w:ind w:firstLineChars="200" w:firstLine="480"/>
        <w:rPr>
          <w:color w:val="000000"/>
          <w:sz w:val="24"/>
        </w:rPr>
      </w:pPr>
      <w:r w:rsidRPr="002F6772">
        <w:rPr>
          <w:color w:val="000000"/>
          <w:sz w:val="24"/>
        </w:rPr>
        <w:t>本基金在本报告期间无须说明的会计差错更正。</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7.4.6</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税项</w:t>
      </w:r>
    </w:p>
    <w:p w:rsidR="002B232B" w:rsidRDefault="0056363F">
      <w:pPr>
        <w:spacing w:before="29" w:line="288" w:lineRule="auto"/>
        <w:ind w:firstLineChars="200" w:firstLine="480"/>
        <w:rPr>
          <w:color w:val="000000"/>
          <w:sz w:val="24"/>
        </w:rPr>
      </w:pPr>
      <w:r>
        <w:rPr>
          <w:color w:val="000000"/>
          <w:sz w:val="24"/>
        </w:rPr>
        <w:t>根据财政部、国家税务总局财税</w:t>
      </w:r>
      <w:r>
        <w:rPr>
          <w:color w:val="000000"/>
          <w:sz w:val="24"/>
        </w:rPr>
        <w:t>[2008]1</w:t>
      </w:r>
      <w:r>
        <w:rPr>
          <w:color w:val="000000"/>
          <w:sz w:val="24"/>
        </w:rPr>
        <w:t>号《关于企业所得税若干优惠政策的通知》、</w:t>
      </w:r>
      <w:r>
        <w:rPr>
          <w:color w:val="000000"/>
          <w:sz w:val="24"/>
        </w:rPr>
        <w:lastRenderedPageBreak/>
        <w:t>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号《关于上市公司股息红利差别化个人所得税政策有关问题的通知》、财税</w:t>
      </w:r>
      <w:r>
        <w:rPr>
          <w:color w:val="000000"/>
          <w:sz w:val="24"/>
        </w:rPr>
        <w:t>[2016]36</w:t>
      </w:r>
      <w:r>
        <w:rPr>
          <w:color w:val="000000"/>
          <w:sz w:val="24"/>
        </w:rPr>
        <w:t>号《关于全面推开营业税改征增值税试点的通知》、财税</w:t>
      </w:r>
      <w:r>
        <w:rPr>
          <w:color w:val="000000"/>
          <w:sz w:val="24"/>
        </w:rPr>
        <w:t>[2016]46</w:t>
      </w:r>
      <w:r>
        <w:rPr>
          <w:color w:val="000000"/>
          <w:sz w:val="24"/>
        </w:rPr>
        <w:t>号《关于进一步明确全面推开营改增试点金融业有关政策的通知》、财税</w:t>
      </w:r>
      <w:r>
        <w:rPr>
          <w:color w:val="000000"/>
          <w:sz w:val="24"/>
        </w:rPr>
        <w:t>[2016]70</w:t>
      </w:r>
      <w:r>
        <w:rPr>
          <w:color w:val="000000"/>
          <w:sz w:val="24"/>
        </w:rPr>
        <w:t>号《关于金融机构同业往来等增值税政策的补充通知》、财税</w:t>
      </w:r>
      <w:r>
        <w:rPr>
          <w:color w:val="000000"/>
          <w:sz w:val="24"/>
        </w:rPr>
        <w:t>[2016]140</w:t>
      </w:r>
      <w:r>
        <w:rPr>
          <w:color w:val="000000"/>
          <w:sz w:val="24"/>
        </w:rPr>
        <w:t>号《关于明确金融</w:t>
      </w:r>
      <w:r>
        <w:rPr>
          <w:color w:val="000000"/>
          <w:sz w:val="24"/>
        </w:rPr>
        <w:t xml:space="preserve"> </w:t>
      </w:r>
      <w:r>
        <w:rPr>
          <w:color w:val="000000"/>
          <w:sz w:val="24"/>
        </w:rPr>
        <w:t>房地产开发</w:t>
      </w:r>
      <w:r>
        <w:rPr>
          <w:color w:val="000000"/>
          <w:sz w:val="24"/>
        </w:rPr>
        <w:t xml:space="preserve"> </w:t>
      </w:r>
      <w:r>
        <w:rPr>
          <w:color w:val="000000"/>
          <w:sz w:val="24"/>
        </w:rPr>
        <w:t>教育辅助服务等增值税政策的通知》、财税</w:t>
      </w:r>
      <w:r>
        <w:rPr>
          <w:color w:val="000000"/>
          <w:sz w:val="24"/>
        </w:rPr>
        <w:t>[2017]2</w:t>
      </w:r>
      <w:r>
        <w:rPr>
          <w:color w:val="000000"/>
          <w:sz w:val="24"/>
        </w:rPr>
        <w:t>号《关于资管产品增值税政策有关问题的补充通知》、财税</w:t>
      </w:r>
      <w:r>
        <w:rPr>
          <w:color w:val="000000"/>
          <w:sz w:val="24"/>
        </w:rPr>
        <w:t>[2017]56</w:t>
      </w:r>
      <w:r>
        <w:rPr>
          <w:color w:val="000000"/>
          <w:sz w:val="24"/>
        </w:rPr>
        <w:t>号《关于资管产品增值税有关问题的通知》、财税</w:t>
      </w:r>
      <w:r>
        <w:rPr>
          <w:color w:val="000000"/>
          <w:sz w:val="24"/>
        </w:rPr>
        <w:t>[2017]90</w:t>
      </w:r>
      <w:r>
        <w:rPr>
          <w:color w:val="000000"/>
          <w:sz w:val="24"/>
        </w:rPr>
        <w:t>号《关于租入固定资产进项税额抵扣等增值税政策的通知》及其他相关财税法规和实务操作，主要税项列示如下：</w:t>
      </w:r>
    </w:p>
    <w:p w:rsidR="002B232B" w:rsidRDefault="002B232B">
      <w:pPr>
        <w:spacing w:before="29" w:line="288" w:lineRule="auto"/>
        <w:ind w:firstLineChars="200" w:firstLine="480"/>
        <w:rPr>
          <w:color w:val="000000"/>
          <w:sz w:val="24"/>
        </w:rPr>
      </w:pP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(1) </w:t>
      </w:r>
      <w:r>
        <w:rPr>
          <w:color w:val="000000"/>
          <w:sz w:val="24"/>
        </w:rPr>
        <w:t>资管产品运营过程中发生的增值税应税行为，以资管产品管理人为增值税纳税人。资管产品管理人运营资管产品过程中发生的增值税应税行为，暂适用简易计税方法，按照</w:t>
      </w:r>
      <w:r>
        <w:rPr>
          <w:color w:val="000000"/>
          <w:sz w:val="24"/>
        </w:rPr>
        <w:t>3%</w:t>
      </w:r>
      <w:r>
        <w:rPr>
          <w:color w:val="000000"/>
          <w:sz w:val="24"/>
        </w:rPr>
        <w:t>的征收率缴纳增值税。对资管产品在</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日前运营过程中发生的增值税应税行为，未缴纳增值税的，不再缴纳；已缴纳增值税的，已纳税额从资管产品管理人以后月份的增值税应纳税额中抵减。</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对证券投资基金管理人运用基金买卖股票、债券的转让收入免征增值税，对国债、地方政府债以及金融同业往来利息收入亦免征增值税。资管产品管理人运营资管产品提供的贷款服务，以</w:t>
      </w:r>
      <w:r>
        <w:rPr>
          <w:color w:val="000000"/>
          <w:sz w:val="24"/>
        </w:rPr>
        <w:t>2018</w:t>
      </w:r>
      <w:r>
        <w:rPr>
          <w:color w:val="000000"/>
          <w:sz w:val="24"/>
        </w:rPr>
        <w:t>年</w:t>
      </w:r>
      <w:r>
        <w:rPr>
          <w:color w:val="000000"/>
          <w:sz w:val="24"/>
        </w:rPr>
        <w:t>1</w:t>
      </w:r>
      <w:r>
        <w:rPr>
          <w:color w:val="000000"/>
          <w:sz w:val="24"/>
        </w:rPr>
        <w:t>月</w:t>
      </w:r>
      <w:r>
        <w:rPr>
          <w:color w:val="000000"/>
          <w:sz w:val="24"/>
        </w:rPr>
        <w:t>1</w:t>
      </w:r>
      <w:r>
        <w:rPr>
          <w:color w:val="000000"/>
          <w:sz w:val="24"/>
        </w:rPr>
        <w:t>日起产生的利息及利息性质的收入为销售额。资管产品管理人运营资管产品转让</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日前取得的非货物期货，可以选择按照实际买入价计算销售额，或者以</w:t>
      </w:r>
      <w:r>
        <w:rPr>
          <w:color w:val="000000"/>
          <w:sz w:val="24"/>
        </w:rPr>
        <w:t>2017</w:t>
      </w:r>
      <w:r>
        <w:rPr>
          <w:color w:val="000000"/>
          <w:sz w:val="24"/>
        </w:rPr>
        <w:t>年最后一个交易日的非货物期货结算价格作为买入价计算销售额。</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(2) </w:t>
      </w:r>
      <w:r>
        <w:rPr>
          <w:color w:val="000000"/>
          <w:sz w:val="24"/>
        </w:rPr>
        <w:t>对基金从证券市场中取得的收入，包括买卖股票、债券的差价收入，股票的股息、红利收入，债券的利息收入及其他收入，暂不征收企业所得税。</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(3) </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(4) </w:t>
      </w:r>
      <w:r>
        <w:rPr>
          <w:color w:val="000000"/>
          <w:sz w:val="24"/>
        </w:rPr>
        <w:t>基金卖出股票按</w:t>
      </w:r>
      <w:r>
        <w:rPr>
          <w:color w:val="000000"/>
          <w:sz w:val="24"/>
        </w:rPr>
        <w:t>0.1%</w:t>
      </w:r>
      <w:r>
        <w:rPr>
          <w:color w:val="000000"/>
          <w:sz w:val="24"/>
        </w:rPr>
        <w:t>的税率缴纳股票交易印花税，买入股票不征收股票交易印花税。</w:t>
      </w:r>
    </w:p>
    <w:p w:rsidR="002B232B" w:rsidRDefault="002B232B">
      <w:pPr>
        <w:spacing w:before="29" w:line="288" w:lineRule="auto"/>
        <w:ind w:firstLineChars="200" w:firstLine="480"/>
        <w:rPr>
          <w:color w:val="000000"/>
          <w:sz w:val="24"/>
        </w:rPr>
      </w:pPr>
    </w:p>
    <w:p w:rsidR="001A59F9" w:rsidRPr="002F6772" w:rsidRDefault="001A59F9" w:rsidP="002F6772">
      <w:pPr>
        <w:spacing w:before="29" w:line="288" w:lineRule="auto"/>
        <w:ind w:firstLineChars="200" w:firstLine="480"/>
        <w:rPr>
          <w:color w:val="000000"/>
          <w:sz w:val="24"/>
        </w:rPr>
      </w:pPr>
      <w:r w:rsidRPr="002F6772">
        <w:rPr>
          <w:color w:val="000000"/>
          <w:sz w:val="24"/>
        </w:rPr>
        <w:t xml:space="preserve">(5) </w:t>
      </w:r>
      <w:r w:rsidRPr="002F6772">
        <w:rPr>
          <w:color w:val="000000"/>
          <w:sz w:val="24"/>
        </w:rPr>
        <w:t>本基金的城市维护建设税、教育费附加和地方教育费附加等税费按照实际缴纳增值税额的适用比例计算缴纳。</w:t>
      </w:r>
    </w:p>
    <w:p w:rsidR="001A59F9" w:rsidRPr="00C51C77" w:rsidRDefault="001A59F9" w:rsidP="00016A50">
      <w:pPr>
        <w:spacing w:line="360" w:lineRule="auto"/>
        <w:ind w:firstLineChars="200" w:firstLine="420"/>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7.4.7</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关联方关系</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20"/>
        <w:gridCol w:w="3780"/>
      </w:tblGrid>
      <w:tr w:rsidR="001A59F9" w:rsidRPr="00C51C77" w:rsidTr="006D141C">
        <w:tc>
          <w:tcPr>
            <w:tcW w:w="5220" w:type="dxa"/>
          </w:tcPr>
          <w:p w:rsidR="001A59F9" w:rsidRPr="004C38F5" w:rsidRDefault="001A59F9" w:rsidP="004C38F5">
            <w:pPr>
              <w:spacing w:before="29" w:line="288" w:lineRule="auto"/>
              <w:jc w:val="center"/>
              <w:rPr>
                <w:color w:val="000000"/>
                <w:sz w:val="24"/>
              </w:rPr>
            </w:pPr>
            <w:r w:rsidRPr="004C38F5">
              <w:rPr>
                <w:rFonts w:hint="eastAsia"/>
                <w:color w:val="000000"/>
                <w:sz w:val="24"/>
              </w:rPr>
              <w:t>关联方名称</w:t>
            </w:r>
          </w:p>
        </w:tc>
        <w:tc>
          <w:tcPr>
            <w:tcW w:w="3780" w:type="dxa"/>
          </w:tcPr>
          <w:p w:rsidR="001A59F9" w:rsidRPr="004C38F5" w:rsidRDefault="001A59F9" w:rsidP="004C38F5">
            <w:pPr>
              <w:spacing w:before="29" w:line="288" w:lineRule="auto"/>
              <w:jc w:val="center"/>
              <w:rPr>
                <w:color w:val="000000"/>
                <w:sz w:val="24"/>
              </w:rPr>
            </w:pPr>
            <w:r w:rsidRPr="004C38F5">
              <w:rPr>
                <w:rFonts w:hint="eastAsia"/>
                <w:color w:val="000000"/>
                <w:sz w:val="24"/>
              </w:rPr>
              <w:t>与本基金的关系</w:t>
            </w:r>
          </w:p>
        </w:tc>
      </w:tr>
      <w:tr w:rsidR="002B232B">
        <w:tc>
          <w:tcPr>
            <w:tcW w:w="5220" w:type="dxa"/>
            <w:vAlign w:val="center"/>
          </w:tcPr>
          <w:p w:rsidR="002B232B" w:rsidRDefault="0056363F">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80" w:type="dxa"/>
            <w:vAlign w:val="center"/>
          </w:tcPr>
          <w:p w:rsidR="002B232B" w:rsidRDefault="0056363F">
            <w:pPr>
              <w:jc w:val="center"/>
            </w:pPr>
            <w:r>
              <w:rPr>
                <w:color w:val="000000"/>
                <w:sz w:val="24"/>
              </w:rPr>
              <w:t>基金管理人、基金销售机构</w:t>
            </w:r>
          </w:p>
        </w:tc>
      </w:tr>
      <w:tr w:rsidR="002B232B">
        <w:tc>
          <w:tcPr>
            <w:tcW w:w="5220" w:type="dxa"/>
            <w:vAlign w:val="center"/>
          </w:tcPr>
          <w:p w:rsidR="002B232B" w:rsidRDefault="0056363F">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80" w:type="dxa"/>
            <w:vAlign w:val="center"/>
          </w:tcPr>
          <w:p w:rsidR="002B232B" w:rsidRDefault="0056363F">
            <w:pPr>
              <w:jc w:val="center"/>
            </w:pPr>
            <w:r>
              <w:rPr>
                <w:color w:val="000000"/>
                <w:sz w:val="24"/>
              </w:rPr>
              <w:t>基金托管人、基金销售机构</w:t>
            </w:r>
          </w:p>
        </w:tc>
      </w:tr>
      <w:tr w:rsidR="002B232B">
        <w:tc>
          <w:tcPr>
            <w:tcW w:w="5220" w:type="dxa"/>
            <w:vAlign w:val="center"/>
          </w:tcPr>
          <w:p w:rsidR="002B232B" w:rsidRDefault="0056363F">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80" w:type="dxa"/>
            <w:vAlign w:val="center"/>
          </w:tcPr>
          <w:p w:rsidR="002B232B" w:rsidRDefault="0056363F">
            <w:pPr>
              <w:jc w:val="center"/>
            </w:pPr>
            <w:r>
              <w:rPr>
                <w:color w:val="000000"/>
                <w:sz w:val="24"/>
              </w:rPr>
              <w:t>基金管理人的股东、基金销售机构</w:t>
            </w:r>
          </w:p>
        </w:tc>
      </w:tr>
      <w:tr w:rsidR="002B232B">
        <w:tc>
          <w:tcPr>
            <w:tcW w:w="5220" w:type="dxa"/>
            <w:vAlign w:val="center"/>
          </w:tcPr>
          <w:p w:rsidR="002B232B" w:rsidRDefault="0056363F">
            <w:pPr>
              <w:jc w:val="left"/>
            </w:pPr>
            <w:r>
              <w:rPr>
                <w:color w:val="000000"/>
                <w:sz w:val="24"/>
              </w:rPr>
              <w:t>中国国际海运集装箱</w:t>
            </w:r>
            <w:r>
              <w:rPr>
                <w:color w:val="000000"/>
                <w:sz w:val="24"/>
              </w:rPr>
              <w:t>(</w:t>
            </w:r>
            <w:r>
              <w:rPr>
                <w:color w:val="000000"/>
                <w:sz w:val="24"/>
              </w:rPr>
              <w:t>集团</w:t>
            </w:r>
            <w:r>
              <w:rPr>
                <w:color w:val="000000"/>
                <w:sz w:val="24"/>
              </w:rPr>
              <w:t>)</w:t>
            </w:r>
            <w:r>
              <w:rPr>
                <w:color w:val="000000"/>
                <w:sz w:val="24"/>
              </w:rPr>
              <w:t>股份有限公司</w:t>
            </w:r>
          </w:p>
        </w:tc>
        <w:tc>
          <w:tcPr>
            <w:tcW w:w="3780" w:type="dxa"/>
            <w:vAlign w:val="center"/>
          </w:tcPr>
          <w:p w:rsidR="002B232B" w:rsidRDefault="0056363F">
            <w:pPr>
              <w:jc w:val="center"/>
            </w:pPr>
            <w:r>
              <w:rPr>
                <w:color w:val="000000"/>
                <w:sz w:val="24"/>
              </w:rPr>
              <w:t>基金管理人的股东</w:t>
            </w:r>
          </w:p>
        </w:tc>
      </w:tr>
      <w:tr w:rsidR="002B232B">
        <w:tc>
          <w:tcPr>
            <w:tcW w:w="5220" w:type="dxa"/>
            <w:vAlign w:val="center"/>
          </w:tcPr>
          <w:p w:rsidR="002B232B" w:rsidRDefault="0056363F">
            <w:pPr>
              <w:jc w:val="left"/>
            </w:pPr>
            <w:r>
              <w:rPr>
                <w:color w:val="000000"/>
                <w:sz w:val="24"/>
              </w:rPr>
              <w:t>施罗德投资管理有限公司</w:t>
            </w:r>
          </w:p>
        </w:tc>
        <w:tc>
          <w:tcPr>
            <w:tcW w:w="3780" w:type="dxa"/>
            <w:vAlign w:val="center"/>
          </w:tcPr>
          <w:p w:rsidR="002B232B" w:rsidRDefault="0056363F">
            <w:pPr>
              <w:jc w:val="center"/>
            </w:pPr>
            <w:r>
              <w:rPr>
                <w:color w:val="000000"/>
                <w:sz w:val="24"/>
              </w:rPr>
              <w:t>基金管理人的股东</w:t>
            </w:r>
          </w:p>
        </w:tc>
      </w:tr>
      <w:tr w:rsidR="002B232B">
        <w:tc>
          <w:tcPr>
            <w:tcW w:w="5220" w:type="dxa"/>
            <w:vAlign w:val="center"/>
          </w:tcPr>
          <w:p w:rsidR="002B232B" w:rsidRDefault="0056363F">
            <w:pPr>
              <w:jc w:val="left"/>
            </w:pPr>
            <w:r>
              <w:rPr>
                <w:color w:val="000000"/>
                <w:sz w:val="24"/>
              </w:rPr>
              <w:t>交银施罗德资产管理有限公司</w:t>
            </w:r>
          </w:p>
        </w:tc>
        <w:tc>
          <w:tcPr>
            <w:tcW w:w="3780" w:type="dxa"/>
            <w:vAlign w:val="center"/>
          </w:tcPr>
          <w:p w:rsidR="002B232B" w:rsidRDefault="0056363F">
            <w:pPr>
              <w:jc w:val="center"/>
            </w:pPr>
            <w:r>
              <w:rPr>
                <w:color w:val="000000"/>
                <w:sz w:val="24"/>
              </w:rPr>
              <w:t>基金管理人的子公司</w:t>
            </w:r>
          </w:p>
        </w:tc>
      </w:tr>
      <w:tr w:rsidR="002B232B">
        <w:tc>
          <w:tcPr>
            <w:tcW w:w="5220" w:type="dxa"/>
            <w:vAlign w:val="center"/>
          </w:tcPr>
          <w:p w:rsidR="002B232B" w:rsidRDefault="0056363F">
            <w:pPr>
              <w:jc w:val="left"/>
            </w:pPr>
            <w:r>
              <w:rPr>
                <w:color w:val="000000"/>
                <w:sz w:val="24"/>
              </w:rPr>
              <w:t>上海直源投资管理有限公司</w:t>
            </w:r>
          </w:p>
        </w:tc>
        <w:tc>
          <w:tcPr>
            <w:tcW w:w="3780" w:type="dxa"/>
            <w:vAlign w:val="center"/>
          </w:tcPr>
          <w:p w:rsidR="002B232B" w:rsidRDefault="0056363F">
            <w:pPr>
              <w:jc w:val="center"/>
            </w:pPr>
            <w:r>
              <w:rPr>
                <w:color w:val="000000"/>
                <w:sz w:val="24"/>
              </w:rPr>
              <w:t>受基金管理人控制的公司</w:t>
            </w:r>
          </w:p>
        </w:tc>
      </w:tr>
      <w:tr w:rsidR="002B232B">
        <w:tc>
          <w:tcPr>
            <w:tcW w:w="5220" w:type="dxa"/>
            <w:vAlign w:val="center"/>
          </w:tcPr>
          <w:p w:rsidR="002B232B" w:rsidRDefault="0056363F">
            <w:pPr>
              <w:jc w:val="left"/>
            </w:pPr>
            <w:r>
              <w:rPr>
                <w:color w:val="000000"/>
                <w:sz w:val="24"/>
              </w:rPr>
              <w:t>交烨投资管理</w:t>
            </w:r>
            <w:r>
              <w:rPr>
                <w:color w:val="000000"/>
                <w:sz w:val="24"/>
              </w:rPr>
              <w:t>(</w:t>
            </w:r>
            <w:r>
              <w:rPr>
                <w:color w:val="000000"/>
                <w:sz w:val="24"/>
              </w:rPr>
              <w:t>上海</w:t>
            </w:r>
            <w:r>
              <w:rPr>
                <w:color w:val="000000"/>
                <w:sz w:val="24"/>
              </w:rPr>
              <w:t>)</w:t>
            </w:r>
            <w:r>
              <w:rPr>
                <w:color w:val="000000"/>
                <w:sz w:val="24"/>
              </w:rPr>
              <w:t>有限公司</w:t>
            </w:r>
          </w:p>
        </w:tc>
        <w:tc>
          <w:tcPr>
            <w:tcW w:w="3780" w:type="dxa"/>
            <w:vAlign w:val="center"/>
          </w:tcPr>
          <w:p w:rsidR="002B232B" w:rsidRDefault="0056363F">
            <w:pPr>
              <w:jc w:val="center"/>
            </w:pPr>
            <w:r>
              <w:rPr>
                <w:color w:val="000000"/>
                <w:sz w:val="24"/>
              </w:rPr>
              <w:t>受基金管理人控制的公司</w:t>
            </w:r>
          </w:p>
        </w:tc>
      </w:tr>
    </w:tbl>
    <w:p w:rsidR="001A59F9" w:rsidRPr="00D508DC" w:rsidRDefault="001A59F9" w:rsidP="00D508DC">
      <w:pPr>
        <w:tabs>
          <w:tab w:val="left" w:pos="426"/>
        </w:tabs>
        <w:spacing w:before="29" w:line="288" w:lineRule="auto"/>
        <w:jc w:val="left"/>
        <w:rPr>
          <w:kern w:val="0"/>
          <w:sz w:val="24"/>
        </w:rPr>
      </w:pPr>
      <w:r w:rsidRPr="00D508DC">
        <w:rPr>
          <w:kern w:val="0"/>
          <w:sz w:val="24"/>
        </w:rPr>
        <w:t>注：下述关联交易均在正常业务范围内按一般商业条款订立。</w:t>
      </w:r>
    </w:p>
    <w:p w:rsidR="001A59F9" w:rsidRPr="00C51C77" w:rsidRDefault="001A59F9" w:rsidP="00026C9C">
      <w:pPr>
        <w:spacing w:line="360" w:lineRule="auto"/>
        <w:rPr>
          <w:rFonts w:asciiTheme="minorEastAsia" w:eastAsiaTheme="minorEastAsia" w:hAnsiTheme="minorEastAsia"/>
          <w:color w:val="000000"/>
          <w:szCs w:val="21"/>
        </w:rPr>
      </w:pPr>
      <w:r w:rsidRPr="00C51C77">
        <w:rPr>
          <w:rFonts w:asciiTheme="minorEastAsia" w:eastAsiaTheme="minorEastAsia" w:hAnsiTheme="minorEastAsia"/>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本报告期及上年度可比期间的关联方交易</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7.4.8.1</w:t>
      </w:r>
      <w:r w:rsidR="004C2C35" w:rsidRPr="00245C29">
        <w:rPr>
          <w:rFonts w:ascii="Times New Roman" w:hAnsi="Times New Roman" w:hint="eastAsia"/>
          <w:kern w:val="0"/>
          <w:szCs w:val="24"/>
        </w:rPr>
        <w:t xml:space="preserve"> </w:t>
      </w:r>
      <w:r w:rsidRPr="00245C29">
        <w:rPr>
          <w:rFonts w:ascii="Times New Roman" w:hAnsi="Times New Roman" w:hint="eastAsia"/>
          <w:kern w:val="0"/>
          <w:szCs w:val="24"/>
        </w:rPr>
        <w:t>通过关联方交易单元进行的交易</w:t>
      </w:r>
    </w:p>
    <w:p w:rsidR="001A59F9" w:rsidRDefault="001A59F9" w:rsidP="002F6772">
      <w:pPr>
        <w:spacing w:before="29" w:line="288" w:lineRule="auto"/>
        <w:ind w:firstLineChars="200" w:firstLine="480"/>
        <w:rPr>
          <w:color w:val="000000"/>
          <w:sz w:val="24"/>
        </w:rPr>
      </w:pPr>
      <w:r w:rsidRPr="002F6772">
        <w:rPr>
          <w:color w:val="000000"/>
          <w:sz w:val="24"/>
        </w:rPr>
        <w:t>本基金本报告期内及上年度可比期间无通过关联方交易单元进行的交易。</w:t>
      </w:r>
    </w:p>
    <w:p w:rsidR="00B64054" w:rsidRPr="002F6772" w:rsidRDefault="00B64054" w:rsidP="002F6772">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关联方报酬</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基金管理费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0F5396">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当期发生的基金应支付的管理费</w:t>
            </w:r>
          </w:p>
        </w:tc>
        <w:tc>
          <w:tcPr>
            <w:tcW w:w="2657" w:type="dxa"/>
            <w:vAlign w:val="center"/>
          </w:tcPr>
          <w:p w:rsidR="001A59F9" w:rsidRPr="00924183" w:rsidRDefault="001A59F9" w:rsidP="00924183">
            <w:pPr>
              <w:spacing w:before="29" w:line="288" w:lineRule="auto"/>
              <w:jc w:val="right"/>
              <w:rPr>
                <w:sz w:val="24"/>
              </w:rPr>
            </w:pPr>
            <w:r w:rsidRPr="00924183">
              <w:rPr>
                <w:sz w:val="24"/>
              </w:rPr>
              <w:t>12,278,737.71</w:t>
            </w:r>
          </w:p>
        </w:tc>
        <w:tc>
          <w:tcPr>
            <w:tcW w:w="2657" w:type="dxa"/>
            <w:vAlign w:val="center"/>
          </w:tcPr>
          <w:p w:rsidR="001A59F9" w:rsidRPr="00924183" w:rsidRDefault="001A59F9" w:rsidP="00924183">
            <w:pPr>
              <w:spacing w:before="29" w:line="288" w:lineRule="auto"/>
              <w:jc w:val="right"/>
              <w:rPr>
                <w:sz w:val="24"/>
              </w:rPr>
            </w:pPr>
            <w:r w:rsidRPr="00924183">
              <w:rPr>
                <w:sz w:val="24"/>
              </w:rPr>
              <w:t>11,574,440.25</w:t>
            </w:r>
          </w:p>
        </w:tc>
      </w:tr>
      <w:tr w:rsidR="001A59F9" w:rsidRPr="00C51C77" w:rsidTr="00C657A6">
        <w:tc>
          <w:tcPr>
            <w:tcW w:w="3686" w:type="dxa"/>
            <w:vAlign w:val="center"/>
          </w:tcPr>
          <w:p w:rsidR="001A59F9" w:rsidRPr="009B5359" w:rsidRDefault="001A59F9" w:rsidP="009B5359">
            <w:pPr>
              <w:spacing w:before="29" w:line="288" w:lineRule="auto"/>
              <w:rPr>
                <w:sz w:val="24"/>
              </w:rPr>
            </w:pPr>
            <w:r w:rsidRPr="009B5359">
              <w:rPr>
                <w:rFonts w:hint="eastAsia"/>
                <w:sz w:val="24"/>
              </w:rPr>
              <w:t>其中：支付销售机构的客户维护费</w:t>
            </w:r>
          </w:p>
        </w:tc>
        <w:tc>
          <w:tcPr>
            <w:tcW w:w="2657" w:type="dxa"/>
            <w:vAlign w:val="center"/>
          </w:tcPr>
          <w:p w:rsidR="001A59F9" w:rsidRPr="00924183" w:rsidRDefault="001A59F9" w:rsidP="00924183">
            <w:pPr>
              <w:spacing w:before="29" w:line="288" w:lineRule="auto"/>
              <w:jc w:val="right"/>
              <w:rPr>
                <w:sz w:val="24"/>
              </w:rPr>
            </w:pPr>
            <w:r w:rsidRPr="00924183">
              <w:rPr>
                <w:sz w:val="24"/>
              </w:rPr>
              <w:t>2,527,255.51</w:t>
            </w:r>
          </w:p>
        </w:tc>
        <w:tc>
          <w:tcPr>
            <w:tcW w:w="2657" w:type="dxa"/>
            <w:vAlign w:val="center"/>
          </w:tcPr>
          <w:p w:rsidR="001A59F9" w:rsidRPr="00924183" w:rsidRDefault="001A59F9" w:rsidP="00924183">
            <w:pPr>
              <w:spacing w:before="29" w:line="288" w:lineRule="auto"/>
              <w:jc w:val="right"/>
              <w:rPr>
                <w:sz w:val="24"/>
              </w:rPr>
            </w:pPr>
            <w:r w:rsidRPr="00924183">
              <w:rPr>
                <w:sz w:val="24"/>
              </w:rPr>
              <w:t>1,562,252.45</w:t>
            </w:r>
          </w:p>
        </w:tc>
      </w:tr>
    </w:tbl>
    <w:p w:rsidR="002B232B" w:rsidRDefault="0056363F">
      <w:pPr>
        <w:tabs>
          <w:tab w:val="left" w:pos="426"/>
        </w:tabs>
        <w:spacing w:before="29" w:line="288" w:lineRule="auto"/>
        <w:jc w:val="left"/>
        <w:rPr>
          <w:rFonts w:asciiTheme="minorEastAsia" w:eastAsiaTheme="minorEastAsia" w:hAnsiTheme="minorEastAsia" w:cs="宋体"/>
          <w:kern w:val="0"/>
          <w:szCs w:val="21"/>
        </w:rPr>
      </w:pPr>
      <w:r>
        <w:rPr>
          <w:kern w:val="0"/>
          <w:sz w:val="24"/>
        </w:rPr>
        <w:t>注：支付基金管理人的管理人报酬按前一日基金资产净值</w:t>
      </w:r>
      <w:r>
        <w:rPr>
          <w:kern w:val="0"/>
          <w:sz w:val="24"/>
        </w:rPr>
        <w:t>1.50%</w:t>
      </w:r>
      <w:r>
        <w:rPr>
          <w:kern w:val="0"/>
          <w:sz w:val="24"/>
        </w:rPr>
        <w:t>的年费率计提，逐日累计至每月月底，按月支付。其计算公式为：</w:t>
      </w:r>
    </w:p>
    <w:p w:rsidR="001A59F9" w:rsidRPr="00C51C77" w:rsidRDefault="001A59F9" w:rsidP="008C0DD5">
      <w:pPr>
        <w:tabs>
          <w:tab w:val="left" w:pos="426"/>
        </w:tabs>
        <w:spacing w:before="29" w:line="288" w:lineRule="auto"/>
        <w:jc w:val="left"/>
        <w:rPr>
          <w:rFonts w:asciiTheme="minorEastAsia" w:eastAsiaTheme="minorEastAsia" w:hAnsiTheme="minorEastAsia" w:cs="宋体"/>
          <w:kern w:val="0"/>
          <w:szCs w:val="21"/>
        </w:rPr>
      </w:pPr>
      <w:r w:rsidRPr="008C0DD5">
        <w:rPr>
          <w:kern w:val="0"/>
          <w:sz w:val="24"/>
        </w:rPr>
        <w:t>日管理人报酬＝前一日基金资产净值</w:t>
      </w:r>
      <w:r w:rsidRPr="008C0DD5">
        <w:rPr>
          <w:kern w:val="0"/>
          <w:sz w:val="24"/>
        </w:rPr>
        <w:t>×1.50%÷</w:t>
      </w:r>
      <w:r w:rsidRPr="008C0DD5">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7.4.8.2.2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基金托管费</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7"/>
        <w:gridCol w:w="2657"/>
      </w:tblGrid>
      <w:tr w:rsidR="001A59F9" w:rsidRPr="00C51C77" w:rsidTr="005B1208">
        <w:tc>
          <w:tcPr>
            <w:tcW w:w="3686" w:type="dxa"/>
            <w:vAlign w:val="center"/>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lastRenderedPageBreak/>
              <w:t>项目</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本期</w:t>
            </w:r>
          </w:p>
          <w:p w:rsidR="001A59F9" w:rsidRPr="002C6C89" w:rsidRDefault="00F64FAD"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2018</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w:t>
            </w:r>
            <w:r w:rsidR="001A59F9" w:rsidRPr="002C6C89">
              <w:rPr>
                <w:rFonts w:hint="eastAsia"/>
                <w:bCs/>
                <w:color w:val="000000"/>
                <w:sz w:val="24"/>
              </w:rPr>
              <w:t>至</w:t>
            </w:r>
            <w:r w:rsidRPr="002C6C89">
              <w:rPr>
                <w:bCs/>
                <w:color w:val="000000"/>
                <w:sz w:val="24"/>
              </w:rPr>
              <w:t>2018</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c>
          <w:tcPr>
            <w:tcW w:w="2657" w:type="dxa"/>
          </w:tcPr>
          <w:p w:rsidR="001A59F9" w:rsidRPr="002C6C89" w:rsidRDefault="001A59F9" w:rsidP="002C6C89">
            <w:pPr>
              <w:autoSpaceDE w:val="0"/>
              <w:autoSpaceDN w:val="0"/>
              <w:spacing w:before="29" w:line="288" w:lineRule="auto"/>
              <w:jc w:val="center"/>
              <w:textAlignment w:val="bottom"/>
              <w:rPr>
                <w:bCs/>
                <w:color w:val="000000"/>
                <w:sz w:val="24"/>
              </w:rPr>
            </w:pPr>
            <w:r w:rsidRPr="002C6C89">
              <w:rPr>
                <w:rFonts w:hint="eastAsia"/>
                <w:bCs/>
                <w:color w:val="000000"/>
                <w:sz w:val="24"/>
              </w:rPr>
              <w:t>上年度可比期间</w:t>
            </w:r>
          </w:p>
          <w:p w:rsidR="001A59F9" w:rsidRPr="002C6C89" w:rsidRDefault="007F35DC" w:rsidP="002C6C89">
            <w:pPr>
              <w:widowControl/>
              <w:autoSpaceDE w:val="0"/>
              <w:autoSpaceDN w:val="0"/>
              <w:spacing w:before="29" w:line="288" w:lineRule="auto"/>
              <w:ind w:right="-15"/>
              <w:jc w:val="center"/>
              <w:textAlignment w:val="bottom"/>
              <w:rPr>
                <w:bCs/>
                <w:color w:val="000000"/>
                <w:sz w:val="24"/>
              </w:rPr>
            </w:pPr>
            <w:r w:rsidRPr="002C6C89">
              <w:rPr>
                <w:bCs/>
                <w:color w:val="000000"/>
                <w:sz w:val="24"/>
              </w:rPr>
              <w:t>2017</w:t>
            </w:r>
            <w:r w:rsidRPr="002C6C89">
              <w:rPr>
                <w:bCs/>
                <w:color w:val="000000"/>
                <w:sz w:val="24"/>
              </w:rPr>
              <w:t>年</w:t>
            </w:r>
            <w:r w:rsidRPr="002C6C89">
              <w:rPr>
                <w:bCs/>
                <w:color w:val="000000"/>
                <w:sz w:val="24"/>
              </w:rPr>
              <w:t>1</w:t>
            </w:r>
            <w:r w:rsidRPr="002C6C89">
              <w:rPr>
                <w:bCs/>
                <w:color w:val="000000"/>
                <w:sz w:val="24"/>
              </w:rPr>
              <w:t>月</w:t>
            </w:r>
            <w:r w:rsidRPr="002C6C89">
              <w:rPr>
                <w:bCs/>
                <w:color w:val="000000"/>
                <w:sz w:val="24"/>
              </w:rPr>
              <w:t>1</w:t>
            </w:r>
            <w:r w:rsidRPr="002C6C89">
              <w:rPr>
                <w:bCs/>
                <w:color w:val="000000"/>
                <w:sz w:val="24"/>
              </w:rPr>
              <w:t>日至</w:t>
            </w:r>
            <w:r w:rsidRPr="002C6C89">
              <w:rPr>
                <w:bCs/>
                <w:color w:val="000000"/>
                <w:sz w:val="24"/>
              </w:rPr>
              <w:t>2017</w:t>
            </w:r>
            <w:r w:rsidRPr="002C6C89">
              <w:rPr>
                <w:bCs/>
                <w:color w:val="000000"/>
                <w:sz w:val="24"/>
              </w:rPr>
              <w:t>年</w:t>
            </w:r>
            <w:r w:rsidRPr="002C6C89">
              <w:rPr>
                <w:bCs/>
                <w:color w:val="000000"/>
                <w:sz w:val="24"/>
              </w:rPr>
              <w:t>12</w:t>
            </w:r>
            <w:r w:rsidRPr="002C6C89">
              <w:rPr>
                <w:bCs/>
                <w:color w:val="000000"/>
                <w:sz w:val="24"/>
              </w:rPr>
              <w:t>月</w:t>
            </w:r>
            <w:r w:rsidRPr="002C6C89">
              <w:rPr>
                <w:bCs/>
                <w:color w:val="000000"/>
                <w:sz w:val="24"/>
              </w:rPr>
              <w:t>31</w:t>
            </w:r>
            <w:r w:rsidRPr="002C6C89">
              <w:rPr>
                <w:bCs/>
                <w:color w:val="000000"/>
                <w:sz w:val="24"/>
              </w:rPr>
              <w:t>日</w:t>
            </w:r>
          </w:p>
        </w:tc>
      </w:tr>
      <w:tr w:rsidR="001A59F9" w:rsidRPr="00C51C77" w:rsidTr="005B1208">
        <w:tc>
          <w:tcPr>
            <w:tcW w:w="3686" w:type="dxa"/>
            <w:vAlign w:val="center"/>
          </w:tcPr>
          <w:p w:rsidR="001A59F9" w:rsidRPr="00C51C77" w:rsidRDefault="001A59F9" w:rsidP="00026C9C">
            <w:pPr>
              <w:spacing w:line="360" w:lineRule="auto"/>
              <w:rPr>
                <w:rFonts w:asciiTheme="minorEastAsia" w:eastAsiaTheme="minorEastAsia" w:hAnsiTheme="minorEastAsia"/>
                <w:color w:val="000000"/>
                <w:szCs w:val="21"/>
              </w:rPr>
            </w:pPr>
            <w:r w:rsidRPr="00243BD8">
              <w:rPr>
                <w:rFonts w:hint="eastAsia"/>
                <w:sz w:val="24"/>
              </w:rPr>
              <w:t>当期发生的基金应支付的托管费</w:t>
            </w:r>
          </w:p>
        </w:tc>
        <w:tc>
          <w:tcPr>
            <w:tcW w:w="2657" w:type="dxa"/>
            <w:vAlign w:val="center"/>
          </w:tcPr>
          <w:p w:rsidR="001A59F9" w:rsidRPr="00243BD8" w:rsidRDefault="001A59F9" w:rsidP="00243BD8">
            <w:pPr>
              <w:spacing w:before="29" w:line="288" w:lineRule="auto"/>
              <w:jc w:val="right"/>
              <w:rPr>
                <w:sz w:val="24"/>
              </w:rPr>
            </w:pPr>
            <w:r w:rsidRPr="00243BD8">
              <w:rPr>
                <w:sz w:val="24"/>
              </w:rPr>
              <w:t>2,046,456.27</w:t>
            </w:r>
          </w:p>
        </w:tc>
        <w:tc>
          <w:tcPr>
            <w:tcW w:w="2657" w:type="dxa"/>
            <w:vAlign w:val="center"/>
          </w:tcPr>
          <w:p w:rsidR="001A59F9" w:rsidRPr="00243BD8" w:rsidRDefault="001A59F9" w:rsidP="00243BD8">
            <w:pPr>
              <w:spacing w:before="29" w:line="288" w:lineRule="auto"/>
              <w:jc w:val="right"/>
              <w:rPr>
                <w:sz w:val="24"/>
              </w:rPr>
            </w:pPr>
            <w:r w:rsidRPr="00243BD8">
              <w:rPr>
                <w:sz w:val="24"/>
              </w:rPr>
              <w:t>1,929,073.42</w:t>
            </w:r>
          </w:p>
        </w:tc>
      </w:tr>
    </w:tbl>
    <w:p w:rsidR="002B232B" w:rsidRDefault="0056363F">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0.25%</w:t>
      </w:r>
      <w:r>
        <w:rPr>
          <w:kern w:val="0"/>
          <w:sz w:val="24"/>
        </w:rPr>
        <w:t>的年费率计提，逐日累计至每月月底，按月支付。其计算公式为：</w:t>
      </w:r>
    </w:p>
    <w:p w:rsidR="001A59F9" w:rsidRPr="00243BD8" w:rsidRDefault="001A59F9" w:rsidP="00243BD8">
      <w:pPr>
        <w:tabs>
          <w:tab w:val="left" w:pos="426"/>
        </w:tabs>
        <w:spacing w:before="29" w:line="288" w:lineRule="auto"/>
        <w:jc w:val="left"/>
        <w:rPr>
          <w:kern w:val="0"/>
          <w:sz w:val="24"/>
        </w:rPr>
      </w:pPr>
      <w:r w:rsidRPr="00243BD8">
        <w:rPr>
          <w:kern w:val="0"/>
          <w:sz w:val="24"/>
        </w:rPr>
        <w:t>日托管费＝前一日基金资产净值</w:t>
      </w:r>
      <w:r w:rsidRPr="00243BD8">
        <w:rPr>
          <w:kern w:val="0"/>
          <w:sz w:val="24"/>
        </w:rPr>
        <w:t>×0.25%÷</w:t>
      </w:r>
      <w:r w:rsidRPr="00243BD8">
        <w:rPr>
          <w:kern w:val="0"/>
          <w:sz w:val="24"/>
        </w:rPr>
        <w:t>当年天数。</w:t>
      </w:r>
    </w:p>
    <w:p w:rsidR="001A59F9" w:rsidRPr="00C51C77" w:rsidRDefault="001A59F9" w:rsidP="00026C9C">
      <w:pPr>
        <w:spacing w:line="360" w:lineRule="auto"/>
        <w:rPr>
          <w:rFonts w:asciiTheme="minorEastAsia" w:eastAsiaTheme="minorEastAsia" w:hAnsiTheme="minorEastAsia"/>
          <w:color w:val="000000"/>
          <w:szCs w:val="21"/>
        </w:rPr>
      </w:pPr>
    </w:p>
    <w:p w:rsidR="00A1158C" w:rsidRPr="00A1158C" w:rsidRDefault="001A59F9" w:rsidP="00A1158C">
      <w:pPr>
        <w:pStyle w:val="20"/>
        <w:spacing w:before="29" w:after="0" w:line="288" w:lineRule="auto"/>
        <w:rPr>
          <w:rFonts w:ascii="Times New Roman" w:hAnsi="Times New Roman"/>
          <w:kern w:val="0"/>
          <w:szCs w:val="24"/>
        </w:rPr>
      </w:pPr>
      <w:r w:rsidRPr="00245C29">
        <w:rPr>
          <w:rFonts w:ascii="Times New Roman" w:hAnsi="Times New Roman"/>
          <w:kern w:val="0"/>
          <w:szCs w:val="24"/>
        </w:rPr>
        <w:t>7.4.8.2.3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销售服务费</w:t>
      </w:r>
    </w:p>
    <w:p w:rsidR="000A1B00" w:rsidRPr="00846E38" w:rsidRDefault="000A1B00" w:rsidP="000A1B00">
      <w:pPr>
        <w:tabs>
          <w:tab w:val="left" w:pos="426"/>
        </w:tabs>
        <w:spacing w:before="29" w:line="288" w:lineRule="auto"/>
        <w:jc w:val="left"/>
        <w:rPr>
          <w:kern w:val="0"/>
          <w:sz w:val="24"/>
        </w:rPr>
      </w:pPr>
      <w:r w:rsidRPr="00846E38">
        <w:rPr>
          <w:kern w:val="0"/>
          <w:sz w:val="24"/>
        </w:rPr>
        <w:t>本基金本报告期内及上年度可比期间无支付给各关联方的销售服务费。</w:t>
      </w:r>
    </w:p>
    <w:p w:rsidR="001A59F9" w:rsidRPr="00E90075" w:rsidRDefault="001A59F9" w:rsidP="00E90075">
      <w:pPr>
        <w:spacing w:before="29" w:line="288" w:lineRule="auto"/>
        <w:jc w:val="left"/>
        <w:rPr>
          <w:kern w:val="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7.4.8.3</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与关联方进行银行间同业市场的债券</w:t>
      </w:r>
      <w:r w:rsidRPr="00245C29">
        <w:rPr>
          <w:rFonts w:ascii="Times New Roman" w:hAnsi="Times New Roman"/>
          <w:kern w:val="0"/>
          <w:szCs w:val="24"/>
        </w:rPr>
        <w:t>(</w:t>
      </w:r>
      <w:r w:rsidRPr="00245C29">
        <w:rPr>
          <w:rFonts w:ascii="Times New Roman" w:hAnsi="Times New Roman" w:hint="eastAsia"/>
          <w:kern w:val="0"/>
          <w:szCs w:val="24"/>
        </w:rPr>
        <w:t>含回购</w:t>
      </w:r>
      <w:r w:rsidRPr="00245C29">
        <w:rPr>
          <w:rFonts w:ascii="Times New Roman" w:hAnsi="Times New Roman"/>
          <w:kern w:val="0"/>
          <w:szCs w:val="24"/>
        </w:rPr>
        <w:t>)</w:t>
      </w:r>
      <w:r w:rsidRPr="00245C29">
        <w:rPr>
          <w:rFonts w:ascii="Times New Roman" w:hAnsi="Times New Roman" w:hint="eastAsia"/>
          <w:kern w:val="0"/>
          <w:szCs w:val="24"/>
        </w:rPr>
        <w:t>交易</w:t>
      </w:r>
    </w:p>
    <w:p w:rsidR="003828F5" w:rsidRPr="007113D5" w:rsidRDefault="003828F5" w:rsidP="007113D5">
      <w:pPr>
        <w:tabs>
          <w:tab w:val="left" w:pos="426"/>
        </w:tabs>
        <w:spacing w:before="29" w:line="288" w:lineRule="auto"/>
        <w:jc w:val="left"/>
        <w:rPr>
          <w:kern w:val="0"/>
          <w:sz w:val="24"/>
        </w:rPr>
      </w:pPr>
      <w:r w:rsidRPr="007113D5">
        <w:rPr>
          <w:kern w:val="0"/>
          <w:sz w:val="24"/>
        </w:rPr>
        <w:t>本基金本报告期内及上年度可比期间未与关联方进行银行间同业市场的债券</w:t>
      </w:r>
      <w:r w:rsidRPr="007113D5">
        <w:rPr>
          <w:kern w:val="0"/>
          <w:sz w:val="24"/>
        </w:rPr>
        <w:t>(</w:t>
      </w:r>
      <w:r w:rsidRPr="007113D5">
        <w:rPr>
          <w:kern w:val="0"/>
          <w:sz w:val="24"/>
        </w:rPr>
        <w:t>含回购</w:t>
      </w:r>
      <w:r w:rsidRPr="007113D5">
        <w:rPr>
          <w:kern w:val="0"/>
          <w:sz w:val="24"/>
        </w:rPr>
        <w:t>)</w:t>
      </w:r>
      <w:r w:rsidRPr="007113D5">
        <w:rPr>
          <w:kern w:val="0"/>
          <w:sz w:val="24"/>
        </w:rPr>
        <w:t>交易。</w:t>
      </w:r>
    </w:p>
    <w:p w:rsidR="001A59F9" w:rsidRPr="003828F5"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各关联方投资本基金的情况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7.4.8.4.1</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报告期内基金管理人运用固有资金投资本基金的情况</w:t>
      </w:r>
    </w:p>
    <w:p w:rsidR="001A59F9" w:rsidRPr="004D23E7" w:rsidRDefault="001A59F9" w:rsidP="004D23E7">
      <w:pPr>
        <w:tabs>
          <w:tab w:val="left" w:pos="426"/>
        </w:tabs>
        <w:spacing w:before="29" w:line="288" w:lineRule="auto"/>
        <w:jc w:val="left"/>
        <w:rPr>
          <w:kern w:val="0"/>
          <w:sz w:val="24"/>
        </w:rPr>
      </w:pPr>
      <w:r w:rsidRPr="004D23E7">
        <w:rPr>
          <w:kern w:val="0"/>
          <w:sz w:val="24"/>
        </w:rPr>
        <w:t>本报告期内及上年度可比期间未发生基金管理人运用固有资金投资本基金的情况。</w:t>
      </w:r>
    </w:p>
    <w:p w:rsidR="001A59F9" w:rsidRPr="00C51C77" w:rsidRDefault="001A59F9" w:rsidP="00026C9C">
      <w:pPr>
        <w:adjustRightInd w:val="0"/>
        <w:snapToGrid w:val="0"/>
        <w:spacing w:line="360" w:lineRule="auto"/>
        <w:jc w:val="left"/>
        <w:rPr>
          <w:rFonts w:asciiTheme="minorEastAsia" w:eastAsiaTheme="minorEastAsia" w:hAnsiTheme="minorEastAsia"/>
          <w:bCs/>
          <w:color w:val="000000"/>
          <w:szCs w:val="21"/>
        </w:rPr>
      </w:pPr>
      <w:r w:rsidRPr="00C51C77">
        <w:rPr>
          <w:rFonts w:asciiTheme="minorEastAsia" w:eastAsiaTheme="minorEastAsia" w:hAnsiTheme="minorEastAsia"/>
          <w:bCs/>
          <w:color w:val="000000"/>
          <w:szCs w:val="21"/>
        </w:rPr>
        <w:tab/>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7.4.8.4.2</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报告期末除基金管理人之外的其他关联方投资本基金的情况</w:t>
      </w:r>
    </w:p>
    <w:p w:rsidR="00E6117A" w:rsidRPr="00BF4BF3" w:rsidRDefault="00E6117A" w:rsidP="00BF4BF3">
      <w:pPr>
        <w:tabs>
          <w:tab w:val="left" w:pos="426"/>
        </w:tabs>
        <w:spacing w:before="29" w:line="288" w:lineRule="auto"/>
        <w:jc w:val="left"/>
        <w:rPr>
          <w:kern w:val="0"/>
          <w:sz w:val="24"/>
        </w:rPr>
      </w:pPr>
      <w:r w:rsidRPr="00BF4BF3">
        <w:rPr>
          <w:kern w:val="0"/>
          <w:sz w:val="24"/>
        </w:rPr>
        <w:t>本报告期末及上年度末除基金管理人之外的其他关联方未持有本基金。</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7.4.8.5</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由关联方保管的银行存款余额及当期产生的利息收入</w:t>
      </w:r>
    </w:p>
    <w:p w:rsidR="001A59F9" w:rsidRPr="005F72CF" w:rsidRDefault="001A59F9" w:rsidP="005F72CF">
      <w:pPr>
        <w:autoSpaceDE w:val="0"/>
        <w:autoSpaceDN w:val="0"/>
        <w:adjustRightInd w:val="0"/>
        <w:spacing w:before="29" w:line="288" w:lineRule="auto"/>
        <w:ind w:left="15"/>
        <w:jc w:val="right"/>
        <w:rPr>
          <w:color w:val="000000"/>
          <w:sz w:val="24"/>
        </w:rPr>
      </w:pPr>
      <w:r w:rsidRPr="005F72CF">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701"/>
        <w:gridCol w:w="1985"/>
        <w:gridCol w:w="1701"/>
        <w:gridCol w:w="1843"/>
        <w:gridCol w:w="1768"/>
      </w:tblGrid>
      <w:tr w:rsidR="00360905" w:rsidRPr="00456CA2" w:rsidTr="00963ACF">
        <w:tc>
          <w:tcPr>
            <w:tcW w:w="1701" w:type="dxa"/>
            <w:vMerge w:val="restart"/>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关联方名称</w:t>
            </w:r>
          </w:p>
        </w:tc>
        <w:tc>
          <w:tcPr>
            <w:tcW w:w="3686"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本期</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2018</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w:t>
            </w:r>
            <w:r w:rsidRPr="00456CA2">
              <w:rPr>
                <w:rFonts w:hint="eastAsia"/>
                <w:color w:val="000000"/>
                <w:szCs w:val="21"/>
              </w:rPr>
              <w:t>至</w:t>
            </w:r>
            <w:r w:rsidRPr="00456CA2">
              <w:rPr>
                <w:color w:val="000000"/>
                <w:szCs w:val="21"/>
              </w:rPr>
              <w:t>2018</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c>
          <w:tcPr>
            <w:tcW w:w="3611" w:type="dxa"/>
            <w:gridSpan w:val="2"/>
          </w:tcPr>
          <w:p w:rsidR="00360905" w:rsidRPr="00456CA2" w:rsidRDefault="00360905" w:rsidP="00C27E4C">
            <w:pPr>
              <w:spacing w:before="29" w:line="288" w:lineRule="auto"/>
              <w:jc w:val="center"/>
              <w:rPr>
                <w:color w:val="000000"/>
                <w:szCs w:val="21"/>
              </w:rPr>
            </w:pPr>
            <w:r w:rsidRPr="00456CA2">
              <w:rPr>
                <w:rFonts w:hint="eastAsia"/>
                <w:color w:val="000000"/>
                <w:szCs w:val="21"/>
              </w:rPr>
              <w:t>上年度可比期间</w:t>
            </w:r>
          </w:p>
          <w:p w:rsidR="00360905" w:rsidRPr="00456CA2" w:rsidRDefault="00360905" w:rsidP="00C27E4C">
            <w:pPr>
              <w:widowControl/>
              <w:autoSpaceDE w:val="0"/>
              <w:autoSpaceDN w:val="0"/>
              <w:spacing w:before="29" w:line="288" w:lineRule="auto"/>
              <w:ind w:right="-15"/>
              <w:jc w:val="center"/>
              <w:textAlignment w:val="bottom"/>
              <w:rPr>
                <w:color w:val="000000"/>
                <w:szCs w:val="21"/>
              </w:rPr>
            </w:pPr>
            <w:r w:rsidRPr="00456CA2">
              <w:rPr>
                <w:color w:val="000000"/>
                <w:szCs w:val="21"/>
              </w:rPr>
              <w:t>2017</w:t>
            </w:r>
            <w:r w:rsidRPr="00456CA2">
              <w:rPr>
                <w:color w:val="000000"/>
                <w:szCs w:val="21"/>
              </w:rPr>
              <w:t>年</w:t>
            </w:r>
            <w:r w:rsidRPr="00456CA2">
              <w:rPr>
                <w:color w:val="000000"/>
                <w:szCs w:val="21"/>
              </w:rPr>
              <w:t>1</w:t>
            </w:r>
            <w:r w:rsidRPr="00456CA2">
              <w:rPr>
                <w:color w:val="000000"/>
                <w:szCs w:val="21"/>
              </w:rPr>
              <w:t>月</w:t>
            </w:r>
            <w:r w:rsidRPr="00456CA2">
              <w:rPr>
                <w:color w:val="000000"/>
                <w:szCs w:val="21"/>
              </w:rPr>
              <w:t>1</w:t>
            </w:r>
            <w:r w:rsidRPr="00456CA2">
              <w:rPr>
                <w:color w:val="000000"/>
                <w:szCs w:val="21"/>
              </w:rPr>
              <w:t>日至</w:t>
            </w:r>
            <w:r w:rsidRPr="00456CA2">
              <w:rPr>
                <w:color w:val="000000"/>
                <w:szCs w:val="21"/>
              </w:rPr>
              <w:t>2017</w:t>
            </w:r>
            <w:r w:rsidRPr="00456CA2">
              <w:rPr>
                <w:color w:val="000000"/>
                <w:szCs w:val="21"/>
              </w:rPr>
              <w:t>年</w:t>
            </w:r>
            <w:r w:rsidRPr="00456CA2">
              <w:rPr>
                <w:color w:val="000000"/>
                <w:szCs w:val="21"/>
              </w:rPr>
              <w:t>12</w:t>
            </w:r>
            <w:r w:rsidRPr="00456CA2">
              <w:rPr>
                <w:color w:val="000000"/>
                <w:szCs w:val="21"/>
              </w:rPr>
              <w:t>月</w:t>
            </w:r>
            <w:r w:rsidRPr="00456CA2">
              <w:rPr>
                <w:color w:val="000000"/>
                <w:szCs w:val="21"/>
              </w:rPr>
              <w:t>31</w:t>
            </w:r>
            <w:r w:rsidRPr="00456CA2">
              <w:rPr>
                <w:color w:val="000000"/>
                <w:szCs w:val="21"/>
              </w:rPr>
              <w:t>日</w:t>
            </w:r>
          </w:p>
        </w:tc>
      </w:tr>
      <w:tr w:rsidR="00360905" w:rsidRPr="00456CA2" w:rsidTr="00E42C09">
        <w:tc>
          <w:tcPr>
            <w:tcW w:w="1701" w:type="dxa"/>
            <w:vMerge/>
            <w:vAlign w:val="center"/>
          </w:tcPr>
          <w:p w:rsidR="00360905" w:rsidRPr="00456CA2" w:rsidRDefault="00360905" w:rsidP="00C27E4C">
            <w:pPr>
              <w:spacing w:before="29" w:line="288" w:lineRule="auto"/>
              <w:jc w:val="center"/>
              <w:rPr>
                <w:color w:val="000000"/>
                <w:szCs w:val="21"/>
              </w:rPr>
            </w:pPr>
          </w:p>
        </w:tc>
        <w:tc>
          <w:tcPr>
            <w:tcW w:w="1985"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01"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c>
          <w:tcPr>
            <w:tcW w:w="1843"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期末余额</w:t>
            </w:r>
          </w:p>
        </w:tc>
        <w:tc>
          <w:tcPr>
            <w:tcW w:w="1768" w:type="dxa"/>
            <w:vAlign w:val="center"/>
          </w:tcPr>
          <w:p w:rsidR="00360905" w:rsidRPr="00456CA2" w:rsidRDefault="00360905" w:rsidP="00C27E4C">
            <w:pPr>
              <w:spacing w:before="29" w:line="288" w:lineRule="auto"/>
              <w:jc w:val="center"/>
              <w:rPr>
                <w:color w:val="000000"/>
                <w:szCs w:val="21"/>
              </w:rPr>
            </w:pPr>
            <w:r w:rsidRPr="00456CA2">
              <w:rPr>
                <w:rFonts w:hint="eastAsia"/>
                <w:color w:val="000000"/>
                <w:szCs w:val="21"/>
              </w:rPr>
              <w:t>当期利息收入</w:t>
            </w:r>
          </w:p>
        </w:tc>
      </w:tr>
      <w:tr w:rsidR="002B232B">
        <w:tc>
          <w:tcPr>
            <w:tcW w:w="1701" w:type="dxa"/>
            <w:vAlign w:val="center"/>
          </w:tcPr>
          <w:p w:rsidR="002B232B" w:rsidRDefault="0056363F">
            <w:pPr>
              <w:jc w:val="left"/>
            </w:pPr>
            <w:r>
              <w:rPr>
                <w:color w:val="000000"/>
                <w:szCs w:val="21"/>
              </w:rPr>
              <w:t>中信银行股份有限公司</w:t>
            </w:r>
          </w:p>
        </w:tc>
        <w:tc>
          <w:tcPr>
            <w:tcW w:w="1985" w:type="dxa"/>
            <w:vAlign w:val="center"/>
          </w:tcPr>
          <w:p w:rsidR="002B232B" w:rsidRDefault="0056363F">
            <w:pPr>
              <w:jc w:val="right"/>
            </w:pPr>
            <w:r>
              <w:rPr>
                <w:color w:val="000000"/>
                <w:szCs w:val="21"/>
              </w:rPr>
              <w:t>227,914,264.10</w:t>
            </w:r>
          </w:p>
        </w:tc>
        <w:tc>
          <w:tcPr>
            <w:tcW w:w="1701" w:type="dxa"/>
            <w:vAlign w:val="center"/>
          </w:tcPr>
          <w:p w:rsidR="002B232B" w:rsidRDefault="0056363F">
            <w:pPr>
              <w:jc w:val="right"/>
            </w:pPr>
            <w:r>
              <w:rPr>
                <w:color w:val="000000"/>
                <w:szCs w:val="21"/>
              </w:rPr>
              <w:t>1,126,608.36</w:t>
            </w:r>
          </w:p>
        </w:tc>
        <w:tc>
          <w:tcPr>
            <w:tcW w:w="1843" w:type="dxa"/>
            <w:vAlign w:val="center"/>
          </w:tcPr>
          <w:p w:rsidR="002B232B" w:rsidRDefault="0056363F">
            <w:pPr>
              <w:jc w:val="right"/>
            </w:pPr>
            <w:r>
              <w:rPr>
                <w:color w:val="000000"/>
                <w:szCs w:val="21"/>
              </w:rPr>
              <w:t>56,139,951.00</w:t>
            </w:r>
          </w:p>
        </w:tc>
        <w:tc>
          <w:tcPr>
            <w:tcW w:w="1768" w:type="dxa"/>
            <w:vAlign w:val="center"/>
          </w:tcPr>
          <w:p w:rsidR="002B232B" w:rsidRDefault="0056363F">
            <w:pPr>
              <w:jc w:val="right"/>
            </w:pPr>
            <w:r>
              <w:rPr>
                <w:color w:val="000000"/>
                <w:szCs w:val="21"/>
              </w:rPr>
              <w:t>1,003,323.89</w:t>
            </w:r>
          </w:p>
        </w:tc>
      </w:tr>
    </w:tbl>
    <w:p w:rsidR="00360905" w:rsidRPr="008E1883" w:rsidRDefault="00360905" w:rsidP="008E1883">
      <w:pPr>
        <w:tabs>
          <w:tab w:val="left" w:pos="426"/>
        </w:tabs>
        <w:spacing w:before="29" w:line="288" w:lineRule="auto"/>
        <w:jc w:val="left"/>
        <w:rPr>
          <w:kern w:val="0"/>
          <w:sz w:val="24"/>
        </w:rPr>
      </w:pPr>
      <w:r w:rsidRPr="008E1883">
        <w:rPr>
          <w:kern w:val="0"/>
          <w:sz w:val="24"/>
        </w:rPr>
        <w:t>注：本基金的银行存款由基金托管人保管，按银行同业利率计息。</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7.4.8.6</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本基金在承销期内参与关联方承销证券的情况</w:t>
      </w:r>
    </w:p>
    <w:p w:rsidR="0010598A" w:rsidRPr="00A22283" w:rsidRDefault="0010598A" w:rsidP="00A22283">
      <w:pPr>
        <w:tabs>
          <w:tab w:val="left" w:pos="426"/>
        </w:tabs>
        <w:spacing w:before="29" w:line="288" w:lineRule="auto"/>
        <w:jc w:val="left"/>
        <w:rPr>
          <w:kern w:val="0"/>
          <w:sz w:val="24"/>
        </w:rPr>
      </w:pPr>
      <w:r w:rsidRPr="00A22283">
        <w:rPr>
          <w:kern w:val="0"/>
          <w:sz w:val="24"/>
        </w:rPr>
        <w:t>本基金本报告期内及上年度可比期间未在承销期内参与关联方承销的证券。</w:t>
      </w:r>
    </w:p>
    <w:p w:rsidR="001A59F9" w:rsidRPr="0010598A" w:rsidRDefault="001A59F9" w:rsidP="00026C9C">
      <w:pPr>
        <w:adjustRightInd w:val="0"/>
        <w:snapToGrid w:val="0"/>
        <w:spacing w:line="360" w:lineRule="auto"/>
        <w:jc w:val="left"/>
        <w:rPr>
          <w:rFonts w:asciiTheme="minorEastAsia" w:eastAsiaTheme="minorEastAsia" w:hAnsiTheme="minorEastAsia"/>
          <w:bCs/>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7.4.8.7</w:t>
      </w:r>
      <w:r w:rsidR="002637E8" w:rsidRPr="00245C29">
        <w:rPr>
          <w:rFonts w:ascii="Times New Roman" w:hAnsi="Times New Roman" w:hint="eastAsia"/>
          <w:kern w:val="0"/>
          <w:szCs w:val="24"/>
        </w:rPr>
        <w:t xml:space="preserve"> </w:t>
      </w:r>
      <w:r w:rsidRPr="00245C29">
        <w:rPr>
          <w:rFonts w:ascii="Times New Roman" w:hAnsi="Times New Roman" w:hint="eastAsia"/>
          <w:kern w:val="0"/>
          <w:szCs w:val="24"/>
        </w:rPr>
        <w:t>其他关联交易事项的说明</w:t>
      </w:r>
    </w:p>
    <w:p w:rsidR="001A59F9" w:rsidRPr="00A22283" w:rsidRDefault="001A59F9" w:rsidP="00A22283">
      <w:pPr>
        <w:spacing w:before="29" w:line="288" w:lineRule="auto"/>
        <w:rPr>
          <w:color w:val="000000"/>
          <w:sz w:val="24"/>
        </w:rPr>
      </w:pPr>
      <w:r w:rsidRPr="00A22283">
        <w:rPr>
          <w:color w:val="000000"/>
          <w:sz w:val="24"/>
        </w:rPr>
        <w:t>本基金本报告期内及上年度可比期间无其他关联交易事项。</w:t>
      </w:r>
    </w:p>
    <w:p w:rsidR="001A59F9" w:rsidRPr="00C51C77" w:rsidRDefault="001A59F9" w:rsidP="00016A50">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w:t>
      </w:r>
      <w:r w:rsidR="00F64FAD" w:rsidRPr="00245C29">
        <w:rPr>
          <w:rFonts w:ascii="Times New Roman" w:hAnsi="Times New Roman"/>
          <w:kern w:val="0"/>
          <w:szCs w:val="24"/>
        </w:rPr>
        <w:t>2018</w:t>
      </w:r>
      <w:r w:rsidR="00F64FAD" w:rsidRPr="00245C29">
        <w:rPr>
          <w:rFonts w:ascii="Times New Roman" w:hAnsi="Times New Roman"/>
          <w:kern w:val="0"/>
          <w:szCs w:val="24"/>
        </w:rPr>
        <w:t>年</w:t>
      </w:r>
      <w:r w:rsidR="00F64FAD" w:rsidRPr="00245C29">
        <w:rPr>
          <w:rFonts w:ascii="Times New Roman" w:hAnsi="Times New Roman"/>
          <w:kern w:val="0"/>
          <w:szCs w:val="24"/>
        </w:rPr>
        <w:t>12</w:t>
      </w:r>
      <w:r w:rsidR="00F64FAD" w:rsidRPr="00245C29">
        <w:rPr>
          <w:rFonts w:ascii="Times New Roman" w:hAnsi="Times New Roman"/>
          <w:kern w:val="0"/>
          <w:szCs w:val="24"/>
        </w:rPr>
        <w:t>月</w:t>
      </w:r>
      <w:r w:rsidR="00F64FAD" w:rsidRPr="00245C29">
        <w:rPr>
          <w:rFonts w:ascii="Times New Roman" w:hAnsi="Times New Roman"/>
          <w:kern w:val="0"/>
          <w:szCs w:val="24"/>
        </w:rPr>
        <w:t>31</w:t>
      </w:r>
      <w:r w:rsidR="00F64FAD" w:rsidRPr="00245C29">
        <w:rPr>
          <w:rFonts w:ascii="Times New Roman" w:hAnsi="Times New Roman"/>
          <w:kern w:val="0"/>
          <w:szCs w:val="24"/>
        </w:rPr>
        <w:t>日</w:t>
      </w:r>
      <w:r w:rsidRPr="00245C29">
        <w:rPr>
          <w:rFonts w:ascii="Times New Roman" w:hAnsi="Times New Roman" w:hint="eastAsia"/>
          <w:kern w:val="0"/>
          <w:szCs w:val="24"/>
        </w:rPr>
        <w:t>）本基金持有的流通受限证券</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7.4.9.1</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因认购新发</w:t>
      </w:r>
      <w:r w:rsidRPr="00245C29">
        <w:rPr>
          <w:rFonts w:ascii="Times New Roman" w:hAnsi="Times New Roman"/>
          <w:kern w:val="0"/>
          <w:szCs w:val="24"/>
        </w:rPr>
        <w:t>/</w:t>
      </w:r>
      <w:r w:rsidRPr="00245C29">
        <w:rPr>
          <w:rFonts w:ascii="Times New Roman" w:hAnsi="Times New Roman" w:hint="eastAsia"/>
          <w:kern w:val="0"/>
          <w:szCs w:val="24"/>
        </w:rPr>
        <w:t>增发证券而于期末持有的流通受限证券</w:t>
      </w:r>
    </w:p>
    <w:p w:rsidR="001A59F9" w:rsidRPr="00BE7735" w:rsidRDefault="001A59F9" w:rsidP="00BE7735">
      <w:pPr>
        <w:spacing w:before="29" w:line="288" w:lineRule="auto"/>
        <w:jc w:val="right"/>
        <w:rPr>
          <w:color w:val="000000"/>
          <w:sz w:val="24"/>
        </w:rPr>
      </w:pPr>
      <w:r w:rsidRPr="00BE7735">
        <w:rPr>
          <w:rFonts w:hint="eastAsia"/>
          <w:color w:val="000000"/>
          <w:sz w:val="24"/>
        </w:rPr>
        <w:t>金额单位：人民币元</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34"/>
        <w:gridCol w:w="835"/>
        <w:gridCol w:w="834"/>
        <w:gridCol w:w="835"/>
        <w:gridCol w:w="834"/>
        <w:gridCol w:w="835"/>
        <w:gridCol w:w="834"/>
        <w:gridCol w:w="835"/>
        <w:gridCol w:w="834"/>
        <w:gridCol w:w="835"/>
        <w:gridCol w:w="835"/>
      </w:tblGrid>
      <w:tr w:rsidR="001A59F9" w:rsidRPr="00C51C77" w:rsidTr="00212901">
        <w:trPr>
          <w:trHeight w:val="270"/>
        </w:trPr>
        <w:tc>
          <w:tcPr>
            <w:tcW w:w="9180" w:type="dxa"/>
            <w:gridSpan w:val="11"/>
            <w:vAlign w:val="bottom"/>
          </w:tcPr>
          <w:p w:rsidR="001A59F9" w:rsidRPr="00996D7F" w:rsidRDefault="001A59F9" w:rsidP="00026C9C">
            <w:pPr>
              <w:spacing w:line="360" w:lineRule="auto"/>
              <w:rPr>
                <w:rFonts w:asciiTheme="minorEastAsia" w:eastAsiaTheme="minorEastAsia" w:hAnsiTheme="minorEastAsia"/>
                <w:szCs w:val="21"/>
              </w:rPr>
            </w:pPr>
            <w:r w:rsidRPr="00BE7735">
              <w:rPr>
                <w:b/>
                <w:bCs/>
                <w:color w:val="000000"/>
                <w:kern w:val="0"/>
                <w:sz w:val="18"/>
                <w:szCs w:val="18"/>
              </w:rPr>
              <w:t>7.4.9.1.1</w:t>
            </w:r>
            <w:r w:rsidRPr="00BE7735">
              <w:rPr>
                <w:color w:val="000000"/>
                <w:sz w:val="18"/>
                <w:szCs w:val="18"/>
              </w:rPr>
              <w:t xml:space="preserve"> </w:t>
            </w:r>
            <w:r w:rsidRPr="00BE7735">
              <w:rPr>
                <w:rFonts w:hint="eastAsia"/>
                <w:color w:val="000000"/>
                <w:sz w:val="18"/>
                <w:szCs w:val="18"/>
              </w:rPr>
              <w:t>受限证券类别：股票</w:t>
            </w:r>
          </w:p>
        </w:tc>
      </w:tr>
      <w:tr w:rsidR="001A59F9" w:rsidRPr="00C51C77" w:rsidTr="000F5704">
        <w:trPr>
          <w:trHeight w:val="745"/>
        </w:trPr>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代码</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证券</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名称</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成功</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认购日</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可流</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通日</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流通受</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限类型</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认购</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价格</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期末估</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值单价</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数量</w:t>
            </w:r>
            <w:r w:rsidRPr="00BE7735">
              <w:rPr>
                <w:sz w:val="18"/>
                <w:szCs w:val="18"/>
              </w:rPr>
              <w:t>(</w:t>
            </w:r>
            <w:r w:rsidRPr="00BE7735">
              <w:rPr>
                <w:rFonts w:hint="eastAsia"/>
                <w:sz w:val="18"/>
                <w:szCs w:val="18"/>
              </w:rPr>
              <w:t>单位：股</w:t>
            </w:r>
            <w:r w:rsidRPr="00BE7735">
              <w:rPr>
                <w:sz w:val="18"/>
                <w:szCs w:val="18"/>
              </w:rPr>
              <w:t>)</w:t>
            </w:r>
          </w:p>
        </w:tc>
        <w:tc>
          <w:tcPr>
            <w:tcW w:w="834"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成本总额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期末</w:t>
            </w:r>
          </w:p>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估值总额</w:t>
            </w:r>
          </w:p>
        </w:tc>
        <w:tc>
          <w:tcPr>
            <w:tcW w:w="835" w:type="dxa"/>
            <w:vAlign w:val="center"/>
          </w:tcPr>
          <w:p w:rsidR="001A59F9" w:rsidRPr="00BE7735" w:rsidRDefault="001A59F9" w:rsidP="00BE7735">
            <w:pPr>
              <w:spacing w:before="29" w:line="288" w:lineRule="auto"/>
              <w:ind w:leftChars="-50" w:left="-105" w:rightChars="-54" w:right="-113"/>
              <w:jc w:val="center"/>
              <w:rPr>
                <w:sz w:val="18"/>
                <w:szCs w:val="18"/>
              </w:rPr>
            </w:pPr>
            <w:r w:rsidRPr="00BE7735">
              <w:rPr>
                <w:rFonts w:hint="eastAsia"/>
                <w:sz w:val="18"/>
                <w:szCs w:val="18"/>
              </w:rPr>
              <w:t>备注</w:t>
            </w:r>
          </w:p>
        </w:tc>
      </w:tr>
      <w:tr w:rsidR="002B232B">
        <w:tc>
          <w:tcPr>
            <w:tcW w:w="834" w:type="dxa"/>
            <w:vAlign w:val="center"/>
          </w:tcPr>
          <w:p w:rsidR="002B232B" w:rsidRDefault="0056363F">
            <w:pPr>
              <w:jc w:val="center"/>
            </w:pPr>
            <w:r>
              <w:rPr>
                <w:sz w:val="18"/>
                <w:szCs w:val="18"/>
              </w:rPr>
              <w:t>002867</w:t>
            </w:r>
          </w:p>
        </w:tc>
        <w:tc>
          <w:tcPr>
            <w:tcW w:w="835" w:type="dxa"/>
            <w:vAlign w:val="center"/>
          </w:tcPr>
          <w:p w:rsidR="002B232B" w:rsidRDefault="0056363F">
            <w:pPr>
              <w:jc w:val="center"/>
            </w:pPr>
            <w:r>
              <w:rPr>
                <w:sz w:val="18"/>
                <w:szCs w:val="18"/>
              </w:rPr>
              <w:t>周大生</w:t>
            </w:r>
          </w:p>
        </w:tc>
        <w:tc>
          <w:tcPr>
            <w:tcW w:w="834" w:type="dxa"/>
            <w:vAlign w:val="center"/>
          </w:tcPr>
          <w:p w:rsidR="002B232B" w:rsidRDefault="0056363F">
            <w:pPr>
              <w:jc w:val="center"/>
            </w:pPr>
            <w:r>
              <w:rPr>
                <w:sz w:val="18"/>
                <w:szCs w:val="18"/>
              </w:rPr>
              <w:t>2018-10-24</w:t>
            </w:r>
          </w:p>
        </w:tc>
        <w:tc>
          <w:tcPr>
            <w:tcW w:w="835" w:type="dxa"/>
            <w:vAlign w:val="center"/>
          </w:tcPr>
          <w:p w:rsidR="002B232B" w:rsidRDefault="0056363F">
            <w:pPr>
              <w:jc w:val="center"/>
            </w:pPr>
            <w:r>
              <w:rPr>
                <w:sz w:val="18"/>
                <w:szCs w:val="18"/>
              </w:rPr>
              <w:t>2019-04-24</w:t>
            </w:r>
          </w:p>
        </w:tc>
        <w:tc>
          <w:tcPr>
            <w:tcW w:w="834" w:type="dxa"/>
            <w:vAlign w:val="center"/>
          </w:tcPr>
          <w:p w:rsidR="002B232B" w:rsidRDefault="0056363F">
            <w:pPr>
              <w:jc w:val="center"/>
            </w:pPr>
            <w:r>
              <w:rPr>
                <w:sz w:val="18"/>
                <w:szCs w:val="18"/>
              </w:rPr>
              <w:t>限售股</w:t>
            </w:r>
          </w:p>
        </w:tc>
        <w:tc>
          <w:tcPr>
            <w:tcW w:w="835" w:type="dxa"/>
            <w:vAlign w:val="center"/>
          </w:tcPr>
          <w:p w:rsidR="002B232B" w:rsidRDefault="0056363F">
            <w:pPr>
              <w:jc w:val="right"/>
            </w:pPr>
            <w:r>
              <w:rPr>
                <w:sz w:val="18"/>
                <w:szCs w:val="18"/>
              </w:rPr>
              <w:t>27.90</w:t>
            </w:r>
          </w:p>
        </w:tc>
        <w:tc>
          <w:tcPr>
            <w:tcW w:w="834" w:type="dxa"/>
            <w:vAlign w:val="center"/>
          </w:tcPr>
          <w:p w:rsidR="002B232B" w:rsidRDefault="0056363F">
            <w:pPr>
              <w:jc w:val="right"/>
            </w:pPr>
            <w:r>
              <w:rPr>
                <w:sz w:val="18"/>
                <w:szCs w:val="18"/>
              </w:rPr>
              <w:t>26.22</w:t>
            </w:r>
          </w:p>
        </w:tc>
        <w:tc>
          <w:tcPr>
            <w:tcW w:w="835" w:type="dxa"/>
            <w:vAlign w:val="center"/>
          </w:tcPr>
          <w:p w:rsidR="002B232B" w:rsidRDefault="0056363F">
            <w:pPr>
              <w:jc w:val="right"/>
            </w:pPr>
            <w:r>
              <w:rPr>
                <w:sz w:val="18"/>
                <w:szCs w:val="18"/>
              </w:rPr>
              <w:t>500,000</w:t>
            </w:r>
          </w:p>
        </w:tc>
        <w:tc>
          <w:tcPr>
            <w:tcW w:w="834" w:type="dxa"/>
            <w:vAlign w:val="center"/>
          </w:tcPr>
          <w:p w:rsidR="002B232B" w:rsidRDefault="0056363F">
            <w:pPr>
              <w:jc w:val="right"/>
            </w:pPr>
            <w:r>
              <w:rPr>
                <w:sz w:val="18"/>
                <w:szCs w:val="18"/>
              </w:rPr>
              <w:t>13,950,000.00</w:t>
            </w:r>
          </w:p>
        </w:tc>
        <w:tc>
          <w:tcPr>
            <w:tcW w:w="835" w:type="dxa"/>
            <w:vAlign w:val="center"/>
          </w:tcPr>
          <w:p w:rsidR="002B232B" w:rsidRDefault="0056363F">
            <w:pPr>
              <w:jc w:val="right"/>
            </w:pPr>
            <w:r>
              <w:rPr>
                <w:sz w:val="18"/>
                <w:szCs w:val="18"/>
              </w:rPr>
              <w:t>13,110,000.00</w:t>
            </w:r>
          </w:p>
        </w:tc>
        <w:tc>
          <w:tcPr>
            <w:tcW w:w="835" w:type="dxa"/>
            <w:vAlign w:val="center"/>
          </w:tcPr>
          <w:p w:rsidR="002B232B" w:rsidRDefault="0056363F">
            <w:pPr>
              <w:jc w:val="center"/>
            </w:pPr>
            <w:r>
              <w:rPr>
                <w:sz w:val="18"/>
                <w:szCs w:val="18"/>
              </w:rPr>
              <w:t>限售股</w:t>
            </w:r>
          </w:p>
        </w:tc>
      </w:tr>
      <w:tr w:rsidR="002B232B">
        <w:tc>
          <w:tcPr>
            <w:tcW w:w="834" w:type="dxa"/>
            <w:vAlign w:val="center"/>
          </w:tcPr>
          <w:p w:rsidR="002B232B" w:rsidRDefault="0056363F">
            <w:pPr>
              <w:jc w:val="center"/>
            </w:pPr>
            <w:r>
              <w:rPr>
                <w:sz w:val="18"/>
                <w:szCs w:val="18"/>
              </w:rPr>
              <w:t>601860</w:t>
            </w:r>
          </w:p>
        </w:tc>
        <w:tc>
          <w:tcPr>
            <w:tcW w:w="835" w:type="dxa"/>
            <w:vAlign w:val="center"/>
          </w:tcPr>
          <w:p w:rsidR="002B232B" w:rsidRDefault="0056363F">
            <w:pPr>
              <w:jc w:val="center"/>
            </w:pPr>
            <w:r>
              <w:rPr>
                <w:sz w:val="18"/>
                <w:szCs w:val="18"/>
              </w:rPr>
              <w:t>紫金银行</w:t>
            </w:r>
          </w:p>
        </w:tc>
        <w:tc>
          <w:tcPr>
            <w:tcW w:w="834" w:type="dxa"/>
            <w:vAlign w:val="center"/>
          </w:tcPr>
          <w:p w:rsidR="002B232B" w:rsidRDefault="0056363F">
            <w:pPr>
              <w:jc w:val="center"/>
            </w:pPr>
            <w:r>
              <w:rPr>
                <w:sz w:val="18"/>
                <w:szCs w:val="18"/>
              </w:rPr>
              <w:t>2018-12-20</w:t>
            </w:r>
          </w:p>
        </w:tc>
        <w:tc>
          <w:tcPr>
            <w:tcW w:w="835" w:type="dxa"/>
            <w:vAlign w:val="center"/>
          </w:tcPr>
          <w:p w:rsidR="002B232B" w:rsidRDefault="0056363F">
            <w:pPr>
              <w:jc w:val="center"/>
            </w:pPr>
            <w:r>
              <w:rPr>
                <w:sz w:val="18"/>
                <w:szCs w:val="18"/>
              </w:rPr>
              <w:t>2019-01-04</w:t>
            </w:r>
          </w:p>
        </w:tc>
        <w:tc>
          <w:tcPr>
            <w:tcW w:w="834" w:type="dxa"/>
            <w:vAlign w:val="center"/>
          </w:tcPr>
          <w:p w:rsidR="002B232B" w:rsidRDefault="0056363F">
            <w:pPr>
              <w:jc w:val="center"/>
            </w:pPr>
            <w:r>
              <w:rPr>
                <w:sz w:val="18"/>
                <w:szCs w:val="18"/>
              </w:rPr>
              <w:t>新股未上市</w:t>
            </w:r>
          </w:p>
        </w:tc>
        <w:tc>
          <w:tcPr>
            <w:tcW w:w="835" w:type="dxa"/>
            <w:vAlign w:val="center"/>
          </w:tcPr>
          <w:p w:rsidR="002B232B" w:rsidRDefault="0056363F">
            <w:pPr>
              <w:jc w:val="right"/>
            </w:pPr>
            <w:r>
              <w:rPr>
                <w:sz w:val="18"/>
                <w:szCs w:val="18"/>
              </w:rPr>
              <w:t>3.14</w:t>
            </w:r>
          </w:p>
        </w:tc>
        <w:tc>
          <w:tcPr>
            <w:tcW w:w="834" w:type="dxa"/>
            <w:vAlign w:val="center"/>
          </w:tcPr>
          <w:p w:rsidR="002B232B" w:rsidRDefault="0056363F">
            <w:pPr>
              <w:jc w:val="right"/>
            </w:pPr>
            <w:r>
              <w:rPr>
                <w:sz w:val="18"/>
                <w:szCs w:val="18"/>
              </w:rPr>
              <w:t>3.14</w:t>
            </w:r>
          </w:p>
        </w:tc>
        <w:tc>
          <w:tcPr>
            <w:tcW w:w="835" w:type="dxa"/>
            <w:vAlign w:val="center"/>
          </w:tcPr>
          <w:p w:rsidR="002B232B" w:rsidRDefault="0056363F">
            <w:pPr>
              <w:jc w:val="right"/>
            </w:pPr>
            <w:r>
              <w:rPr>
                <w:sz w:val="18"/>
                <w:szCs w:val="18"/>
              </w:rPr>
              <w:t>15,970</w:t>
            </w:r>
          </w:p>
        </w:tc>
        <w:tc>
          <w:tcPr>
            <w:tcW w:w="834" w:type="dxa"/>
            <w:vAlign w:val="center"/>
          </w:tcPr>
          <w:p w:rsidR="002B232B" w:rsidRDefault="0056363F">
            <w:pPr>
              <w:jc w:val="right"/>
            </w:pPr>
            <w:r>
              <w:rPr>
                <w:sz w:val="18"/>
                <w:szCs w:val="18"/>
              </w:rPr>
              <w:t>50,145.80</w:t>
            </w:r>
          </w:p>
        </w:tc>
        <w:tc>
          <w:tcPr>
            <w:tcW w:w="835" w:type="dxa"/>
            <w:vAlign w:val="center"/>
          </w:tcPr>
          <w:p w:rsidR="002B232B" w:rsidRDefault="0056363F">
            <w:pPr>
              <w:jc w:val="right"/>
            </w:pPr>
            <w:r>
              <w:rPr>
                <w:sz w:val="18"/>
                <w:szCs w:val="18"/>
              </w:rPr>
              <w:t>50,145.80</w:t>
            </w:r>
          </w:p>
        </w:tc>
        <w:tc>
          <w:tcPr>
            <w:tcW w:w="835" w:type="dxa"/>
            <w:vAlign w:val="center"/>
          </w:tcPr>
          <w:p w:rsidR="002B232B" w:rsidRDefault="0056363F">
            <w:pPr>
              <w:jc w:val="center"/>
            </w:pPr>
            <w:r>
              <w:rPr>
                <w:sz w:val="18"/>
                <w:szCs w:val="18"/>
              </w:rPr>
              <w:t>新股</w:t>
            </w:r>
          </w:p>
        </w:tc>
      </w:tr>
    </w:tbl>
    <w:p w:rsidR="002B232B" w:rsidRDefault="0056363F">
      <w:pPr>
        <w:tabs>
          <w:tab w:val="left" w:pos="426"/>
        </w:tabs>
        <w:spacing w:before="29" w:line="288" w:lineRule="auto"/>
        <w:jc w:val="left"/>
        <w:rPr>
          <w:kern w:val="0"/>
          <w:sz w:val="24"/>
        </w:rPr>
      </w:pPr>
      <w:r>
        <w:rPr>
          <w:kern w:val="0"/>
          <w:sz w:val="24"/>
        </w:rPr>
        <w:t>注：</w:t>
      </w:r>
      <w:r>
        <w:rPr>
          <w:kern w:val="0"/>
          <w:sz w:val="24"/>
        </w:rPr>
        <w:t>1</w:t>
      </w:r>
      <w:r>
        <w:rPr>
          <w:kern w:val="0"/>
          <w:sz w:val="24"/>
        </w:rPr>
        <w:t>、基金可作为特定投资者，认购由中国证监会《上市公司证券发行管理办法》规范的非公开发行股份，所认购的股份自发行结束之日起</w:t>
      </w:r>
      <w:r>
        <w:rPr>
          <w:kern w:val="0"/>
          <w:sz w:val="24"/>
        </w:rPr>
        <w:t>12</w:t>
      </w:r>
      <w:r>
        <w:rPr>
          <w:kern w:val="0"/>
          <w:sz w:val="24"/>
        </w:rPr>
        <w:t>个月内不得转让。根据《上市公司股东、董监高减持股份的若干规定》及《深圳</w:t>
      </w:r>
      <w:r>
        <w:rPr>
          <w:kern w:val="0"/>
          <w:sz w:val="24"/>
        </w:rPr>
        <w:t>/</w:t>
      </w:r>
      <w:r>
        <w:rPr>
          <w:kern w:val="0"/>
          <w:sz w:val="24"/>
        </w:rPr>
        <w:t>上海证券交易所上市公司股东及董事、监事、高级管理人员减持股份实施细则》，本基金持有的上市公司非公开发行股份，自股份解除限售之日起</w:t>
      </w:r>
      <w:r>
        <w:rPr>
          <w:kern w:val="0"/>
          <w:sz w:val="24"/>
        </w:rPr>
        <w:t>12</w:t>
      </w:r>
      <w:r>
        <w:rPr>
          <w:kern w:val="0"/>
          <w:sz w:val="24"/>
        </w:rPr>
        <w:t>个月内，通过集中竞价交易减持的数量不得超过其持有该次非公开发行股份数量的</w:t>
      </w:r>
      <w:r>
        <w:rPr>
          <w:kern w:val="0"/>
          <w:sz w:val="24"/>
        </w:rPr>
        <w:t>50%</w:t>
      </w:r>
      <w:r>
        <w:rPr>
          <w:kern w:val="0"/>
          <w:sz w:val="24"/>
        </w:rPr>
        <w:t>；采取大宗交易方式的，在任意连续</w:t>
      </w:r>
      <w:r>
        <w:rPr>
          <w:kern w:val="0"/>
          <w:sz w:val="24"/>
        </w:rPr>
        <w:t>90</w:t>
      </w:r>
      <w:r>
        <w:rPr>
          <w:kern w:val="0"/>
          <w:sz w:val="24"/>
        </w:rPr>
        <w:t>日内，减持股份的总数不得超过公司股份总数的</w:t>
      </w:r>
      <w:r>
        <w:rPr>
          <w:kern w:val="0"/>
          <w:sz w:val="24"/>
        </w:rPr>
        <w:t>2%</w:t>
      </w:r>
      <w:r>
        <w:rPr>
          <w:kern w:val="0"/>
          <w:sz w:val="24"/>
        </w:rPr>
        <w:t>。此外，本基金通过大宗交易方式受让的原上市公司大股东减持或者特定股东减持的股份，在受让后</w:t>
      </w:r>
      <w:r>
        <w:rPr>
          <w:kern w:val="0"/>
          <w:sz w:val="24"/>
        </w:rPr>
        <w:t>6</w:t>
      </w:r>
      <w:r>
        <w:rPr>
          <w:kern w:val="0"/>
          <w:sz w:val="24"/>
        </w:rPr>
        <w:t>个月内，不得转让所受让的股份。</w:t>
      </w:r>
    </w:p>
    <w:p w:rsidR="002B232B" w:rsidRDefault="002B232B">
      <w:pPr>
        <w:tabs>
          <w:tab w:val="left" w:pos="426"/>
        </w:tabs>
        <w:spacing w:before="29" w:line="288" w:lineRule="auto"/>
        <w:jc w:val="left"/>
        <w:rPr>
          <w:kern w:val="0"/>
          <w:sz w:val="24"/>
        </w:rPr>
      </w:pPr>
    </w:p>
    <w:p w:rsidR="001A59F9" w:rsidRPr="00C840DF" w:rsidRDefault="001A59F9" w:rsidP="00C840DF">
      <w:pPr>
        <w:tabs>
          <w:tab w:val="left" w:pos="426"/>
        </w:tabs>
        <w:spacing w:before="29" w:line="288" w:lineRule="auto"/>
        <w:jc w:val="left"/>
        <w:rPr>
          <w:kern w:val="0"/>
          <w:sz w:val="24"/>
        </w:rPr>
      </w:pPr>
      <w:r w:rsidRPr="00C840DF">
        <w:rPr>
          <w:kern w:val="0"/>
          <w:sz w:val="24"/>
        </w:rPr>
        <w:t>2</w:t>
      </w:r>
      <w:r w:rsidRPr="00C840DF">
        <w:rPr>
          <w:kern w:val="0"/>
          <w:sz w:val="24"/>
        </w:rPr>
        <w:t>、基金还可作为特定投资者，认购首次公开发行股票时公司股东公开发售股份，所认购的股份自发行结束之日起</w:t>
      </w:r>
      <w:r w:rsidRPr="00C840DF">
        <w:rPr>
          <w:kern w:val="0"/>
          <w:sz w:val="24"/>
        </w:rPr>
        <w:t>12</w:t>
      </w:r>
      <w:r w:rsidRPr="00C840DF">
        <w:rPr>
          <w:kern w:val="0"/>
          <w:sz w:val="24"/>
        </w:rPr>
        <w:t>个月内不得转让。</w:t>
      </w:r>
    </w:p>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7.4.9.2</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期末持有的暂时停牌等流通受限股票</w:t>
      </w:r>
    </w:p>
    <w:p w:rsidR="001A59F9" w:rsidRPr="001A2A8C" w:rsidRDefault="001A59F9" w:rsidP="001A2A8C">
      <w:pPr>
        <w:tabs>
          <w:tab w:val="left" w:pos="426"/>
        </w:tabs>
        <w:spacing w:before="29" w:line="288" w:lineRule="auto"/>
        <w:jc w:val="left"/>
        <w:rPr>
          <w:kern w:val="0"/>
          <w:sz w:val="24"/>
        </w:rPr>
      </w:pPr>
      <w:r w:rsidRPr="001A2A8C">
        <w:rPr>
          <w:kern w:val="0"/>
          <w:sz w:val="24"/>
        </w:rPr>
        <w:t>本基金本期末未持有暂时停牌等流通受限股票。</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7.4.9.3</w:t>
      </w:r>
      <w:r w:rsidR="00AD16A3" w:rsidRPr="00245C29">
        <w:rPr>
          <w:rFonts w:ascii="Times New Roman" w:hAnsi="Times New Roman" w:hint="eastAsia"/>
          <w:kern w:val="0"/>
          <w:szCs w:val="24"/>
        </w:rPr>
        <w:t xml:space="preserve"> </w:t>
      </w:r>
      <w:r w:rsidRPr="00245C29">
        <w:rPr>
          <w:rFonts w:ascii="Times New Roman" w:hAnsi="Times New Roman" w:hint="eastAsia"/>
          <w:kern w:val="0"/>
          <w:szCs w:val="24"/>
        </w:rPr>
        <w:t>期末债券正回购交易中作为抵押的债券</w:t>
      </w:r>
    </w:p>
    <w:p w:rsidR="001A59F9" w:rsidRPr="001A2A8C" w:rsidRDefault="001A59F9" w:rsidP="001A2A8C">
      <w:pPr>
        <w:spacing w:before="29" w:line="288" w:lineRule="auto"/>
        <w:rPr>
          <w:color w:val="000000"/>
          <w:sz w:val="24"/>
        </w:rPr>
      </w:pPr>
      <w:r w:rsidRPr="001A2A8C">
        <w:rPr>
          <w:color w:val="000000"/>
          <w:sz w:val="24"/>
        </w:rPr>
        <w:t>本基金本报告期末无从事债券正回购交易形成的卖出回购证券款余额。</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7.4.10</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有助于理解和分析会计报表需要说明的其他事项</w:t>
      </w:r>
    </w:p>
    <w:p w:rsidR="002B232B" w:rsidRDefault="0056363F">
      <w:pPr>
        <w:spacing w:before="29" w:line="288" w:lineRule="auto"/>
        <w:ind w:firstLineChars="200" w:firstLine="480"/>
        <w:rPr>
          <w:color w:val="000000"/>
          <w:sz w:val="24"/>
        </w:rPr>
      </w:pPr>
      <w:r>
        <w:rPr>
          <w:color w:val="000000"/>
          <w:sz w:val="24"/>
        </w:rPr>
        <w:t>(1)</w:t>
      </w:r>
      <w:r>
        <w:rPr>
          <w:color w:val="000000"/>
          <w:sz w:val="24"/>
        </w:rPr>
        <w:t>公允价值</w:t>
      </w:r>
    </w:p>
    <w:p w:rsidR="002B232B" w:rsidRDefault="0056363F">
      <w:pPr>
        <w:spacing w:before="29" w:line="288" w:lineRule="auto"/>
        <w:ind w:firstLineChars="200" w:firstLine="480"/>
        <w:rPr>
          <w:color w:val="000000"/>
          <w:sz w:val="24"/>
        </w:rPr>
      </w:pPr>
      <w:r>
        <w:rPr>
          <w:color w:val="000000"/>
          <w:sz w:val="24"/>
        </w:rPr>
        <w:t xml:space="preserve">(a)  </w:t>
      </w:r>
      <w:r>
        <w:rPr>
          <w:color w:val="000000"/>
          <w:sz w:val="24"/>
        </w:rPr>
        <w:t>金融工具公允价值计量的方法</w:t>
      </w:r>
    </w:p>
    <w:p w:rsidR="002B232B" w:rsidRDefault="0056363F">
      <w:pPr>
        <w:spacing w:before="29" w:line="288" w:lineRule="auto"/>
        <w:ind w:firstLineChars="200" w:firstLine="480"/>
        <w:rPr>
          <w:color w:val="000000"/>
          <w:sz w:val="24"/>
        </w:rPr>
      </w:pPr>
      <w:r>
        <w:rPr>
          <w:color w:val="000000"/>
          <w:sz w:val="24"/>
        </w:rPr>
        <w:t>公允价值计量结果所属的层次，由对公允价值计量整体而言具有重要意义的输入值所属的最低层次决定：</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第一层次：相同资产或负债在活跃市场上未经调整的报价。</w:t>
      </w:r>
    </w:p>
    <w:p w:rsidR="002B232B" w:rsidRDefault="0056363F">
      <w:pPr>
        <w:spacing w:before="29" w:line="288" w:lineRule="auto"/>
        <w:ind w:firstLineChars="200" w:firstLine="480"/>
        <w:rPr>
          <w:color w:val="000000"/>
          <w:sz w:val="24"/>
        </w:rPr>
      </w:pPr>
      <w:r>
        <w:rPr>
          <w:color w:val="000000"/>
          <w:sz w:val="24"/>
        </w:rPr>
        <w:t>第二层次：除第一层次输入值外相关资产或负债直接或间接可观察的输入值。</w:t>
      </w:r>
    </w:p>
    <w:p w:rsidR="002B232B" w:rsidRDefault="0056363F">
      <w:pPr>
        <w:spacing w:before="29" w:line="288" w:lineRule="auto"/>
        <w:ind w:firstLineChars="200" w:firstLine="480"/>
        <w:rPr>
          <w:color w:val="000000"/>
          <w:sz w:val="24"/>
        </w:rPr>
      </w:pPr>
      <w:r>
        <w:rPr>
          <w:color w:val="000000"/>
          <w:sz w:val="24"/>
        </w:rPr>
        <w:t>第三层次：相关资产或负债的不可观察输入值。</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(b)  </w:t>
      </w:r>
      <w:r>
        <w:rPr>
          <w:color w:val="000000"/>
          <w:sz w:val="24"/>
        </w:rPr>
        <w:t>持续的以公允价值计量的金融工具</w:t>
      </w:r>
    </w:p>
    <w:p w:rsidR="002B232B" w:rsidRDefault="0056363F">
      <w:pPr>
        <w:spacing w:before="29" w:line="288" w:lineRule="auto"/>
        <w:ind w:firstLineChars="200" w:firstLine="480"/>
        <w:rPr>
          <w:color w:val="000000"/>
          <w:sz w:val="24"/>
        </w:rPr>
      </w:pPr>
      <w:r>
        <w:rPr>
          <w:color w:val="000000"/>
          <w:sz w:val="24"/>
        </w:rPr>
        <w:t xml:space="preserve">(i)  </w:t>
      </w:r>
      <w:r>
        <w:rPr>
          <w:color w:val="000000"/>
          <w:sz w:val="24"/>
        </w:rPr>
        <w:t>各层次金融工具公允价值</w:t>
      </w:r>
    </w:p>
    <w:p w:rsidR="002B232B" w:rsidRDefault="0056363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日，本基金持有的以公允价值计量且其变动计入当期损益的金融资产中属于第一层次的余额为</w:t>
      </w:r>
      <w:r>
        <w:rPr>
          <w:color w:val="000000"/>
          <w:sz w:val="24"/>
        </w:rPr>
        <w:t>761,878,471.91</w:t>
      </w:r>
      <w:r>
        <w:rPr>
          <w:color w:val="000000"/>
          <w:sz w:val="24"/>
        </w:rPr>
        <w:t>元，属于第二层次的余额为</w:t>
      </w:r>
      <w:r>
        <w:rPr>
          <w:color w:val="000000"/>
          <w:sz w:val="24"/>
        </w:rPr>
        <w:t>13,160,145.80</w:t>
      </w:r>
      <w:r>
        <w:rPr>
          <w:color w:val="000000"/>
          <w:sz w:val="24"/>
        </w:rPr>
        <w:t>元，无属于第三层次的余额</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日：第一层次</w:t>
      </w:r>
      <w:r>
        <w:rPr>
          <w:color w:val="000000"/>
          <w:sz w:val="24"/>
        </w:rPr>
        <w:t>553,995,484.42</w:t>
      </w:r>
      <w:r>
        <w:rPr>
          <w:color w:val="000000"/>
          <w:sz w:val="24"/>
        </w:rPr>
        <w:t>元，第二层次</w:t>
      </w:r>
      <w:r>
        <w:rPr>
          <w:color w:val="000000"/>
          <w:sz w:val="24"/>
        </w:rPr>
        <w:t>88,140,359.74</w:t>
      </w:r>
      <w:r>
        <w:rPr>
          <w:color w:val="000000"/>
          <w:sz w:val="24"/>
        </w:rPr>
        <w:t>元，无第三层次</w:t>
      </w:r>
      <w:r>
        <w:rPr>
          <w:color w:val="000000"/>
          <w:sz w:val="24"/>
        </w:rPr>
        <w:t>)</w:t>
      </w:r>
      <w:r>
        <w:rPr>
          <w:color w:val="000000"/>
          <w:sz w:val="24"/>
        </w:rPr>
        <w:t>。</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(ii)  </w:t>
      </w:r>
      <w:r>
        <w:rPr>
          <w:color w:val="000000"/>
          <w:sz w:val="24"/>
        </w:rPr>
        <w:t>公允价值所属层次间的重大变动</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本基金以导致各层次之间转换的事项发生日为确认各层次之间转换的时点。</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对于证券交易所上市的股票和债券，若出现重大事项停牌、交易不活跃</w:t>
      </w:r>
      <w:r>
        <w:rPr>
          <w:color w:val="000000"/>
          <w:sz w:val="24"/>
        </w:rPr>
        <w:t>(</w:t>
      </w:r>
      <w:r>
        <w:rPr>
          <w:color w:val="000000"/>
          <w:sz w:val="24"/>
        </w:rPr>
        <w:t>包括涨跌停时的交易不活跃</w:t>
      </w:r>
      <w:r>
        <w:rPr>
          <w:color w:val="000000"/>
          <w:sz w:val="24"/>
        </w:rPr>
        <w:t>)</w:t>
      </w:r>
      <w:r>
        <w:rPr>
          <w:color w:val="000000"/>
          <w:sz w:val="24"/>
        </w:rPr>
        <w:t>、或属于非公开发行等情况，本基金不会于停牌日至交易恢复活跃日期间、交易不活跃期间及限售期间将相关股票和债券的公允价值列入第一层次；并根据估值调整中采用的不可观察输入值对于公允价值的影响程度，确定相关股票和债券公允价值应属第二层次还是第三层次。</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(iii)  </w:t>
      </w:r>
      <w:r>
        <w:rPr>
          <w:color w:val="000000"/>
          <w:sz w:val="24"/>
        </w:rPr>
        <w:t>第三层次公允价值余额和本期变动金额</w:t>
      </w:r>
    </w:p>
    <w:p w:rsidR="002B232B" w:rsidRDefault="0056363F">
      <w:pPr>
        <w:spacing w:before="29" w:line="288" w:lineRule="auto"/>
        <w:ind w:firstLineChars="200" w:firstLine="480"/>
        <w:rPr>
          <w:color w:val="000000"/>
          <w:sz w:val="24"/>
        </w:rPr>
      </w:pPr>
      <w:r>
        <w:rPr>
          <w:color w:val="000000"/>
          <w:sz w:val="24"/>
        </w:rPr>
        <w:t>无。</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(c)  </w:t>
      </w:r>
      <w:r>
        <w:rPr>
          <w:color w:val="000000"/>
          <w:sz w:val="24"/>
        </w:rPr>
        <w:t>非持续的以公允价值计量的金融工具</w:t>
      </w:r>
    </w:p>
    <w:p w:rsidR="002B232B" w:rsidRDefault="0056363F">
      <w:pPr>
        <w:spacing w:before="29" w:line="288" w:lineRule="auto"/>
        <w:ind w:firstLineChars="200" w:firstLine="480"/>
        <w:rPr>
          <w:color w:val="000000"/>
          <w:sz w:val="24"/>
        </w:rPr>
      </w:pPr>
      <w:r>
        <w:rPr>
          <w:color w:val="000000"/>
          <w:sz w:val="24"/>
        </w:rPr>
        <w:t>于</w:t>
      </w:r>
      <w:r>
        <w:rPr>
          <w:color w:val="000000"/>
          <w:sz w:val="24"/>
        </w:rPr>
        <w:t>2018</w:t>
      </w:r>
      <w:r>
        <w:rPr>
          <w:color w:val="000000"/>
          <w:sz w:val="24"/>
        </w:rPr>
        <w:t>年</w:t>
      </w:r>
      <w:r>
        <w:rPr>
          <w:color w:val="000000"/>
          <w:sz w:val="24"/>
        </w:rPr>
        <w:t>12</w:t>
      </w:r>
      <w:r>
        <w:rPr>
          <w:color w:val="000000"/>
          <w:sz w:val="24"/>
        </w:rPr>
        <w:t>月</w:t>
      </w:r>
      <w:r>
        <w:rPr>
          <w:color w:val="000000"/>
          <w:sz w:val="24"/>
        </w:rPr>
        <w:t>31</w:t>
      </w:r>
      <w:r>
        <w:rPr>
          <w:color w:val="000000"/>
          <w:sz w:val="24"/>
        </w:rPr>
        <w:t>日，本基金未持有非持续的以公允价值计量的金融资产</w:t>
      </w:r>
      <w:r>
        <w:rPr>
          <w:color w:val="000000"/>
          <w:sz w:val="24"/>
        </w:rPr>
        <w:t>(2017</w:t>
      </w:r>
      <w:r>
        <w:rPr>
          <w:color w:val="000000"/>
          <w:sz w:val="24"/>
        </w:rPr>
        <w:t>年</w:t>
      </w:r>
      <w:r>
        <w:rPr>
          <w:color w:val="000000"/>
          <w:sz w:val="24"/>
        </w:rPr>
        <w:t>12</w:t>
      </w:r>
      <w:r>
        <w:rPr>
          <w:color w:val="000000"/>
          <w:sz w:val="24"/>
        </w:rPr>
        <w:t>月</w:t>
      </w:r>
      <w:r>
        <w:rPr>
          <w:color w:val="000000"/>
          <w:sz w:val="24"/>
        </w:rPr>
        <w:t>31</w:t>
      </w:r>
      <w:r>
        <w:rPr>
          <w:color w:val="000000"/>
          <w:sz w:val="24"/>
        </w:rPr>
        <w:t>日：同</w:t>
      </w:r>
      <w:r>
        <w:rPr>
          <w:color w:val="000000"/>
          <w:sz w:val="24"/>
        </w:rPr>
        <w:t>)</w:t>
      </w:r>
      <w:r>
        <w:rPr>
          <w:color w:val="000000"/>
          <w:sz w:val="24"/>
        </w:rPr>
        <w:t>。</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 xml:space="preserve">(d)  </w:t>
      </w:r>
      <w:r>
        <w:rPr>
          <w:color w:val="000000"/>
          <w:sz w:val="24"/>
        </w:rPr>
        <w:t>不以公允价值计量的金融工具</w:t>
      </w:r>
    </w:p>
    <w:p w:rsidR="002B232B" w:rsidRDefault="0056363F">
      <w:pPr>
        <w:spacing w:before="29" w:line="288" w:lineRule="auto"/>
        <w:ind w:firstLineChars="200" w:firstLine="480"/>
        <w:rPr>
          <w:color w:val="000000"/>
          <w:sz w:val="24"/>
        </w:rPr>
      </w:pPr>
      <w:r>
        <w:rPr>
          <w:color w:val="000000"/>
          <w:sz w:val="24"/>
        </w:rPr>
        <w:t>不以公允价值计量的金融资产和负债主要包括应收款项和其他金融负债，其账面价值与公允价值相差很小。</w:t>
      </w:r>
    </w:p>
    <w:p w:rsidR="002B232B" w:rsidRDefault="002B232B">
      <w:pPr>
        <w:spacing w:before="29" w:line="288" w:lineRule="auto"/>
        <w:ind w:firstLineChars="200" w:firstLine="480"/>
        <w:rPr>
          <w:color w:val="000000"/>
          <w:sz w:val="24"/>
        </w:rPr>
      </w:pPr>
    </w:p>
    <w:p w:rsidR="002B232B" w:rsidRDefault="0056363F">
      <w:pPr>
        <w:spacing w:before="29" w:line="288" w:lineRule="auto"/>
        <w:ind w:firstLineChars="200" w:firstLine="480"/>
        <w:rPr>
          <w:color w:val="000000"/>
          <w:sz w:val="24"/>
        </w:rPr>
      </w:pPr>
      <w:r>
        <w:rPr>
          <w:color w:val="000000"/>
          <w:sz w:val="24"/>
        </w:rPr>
        <w:t>(2)</w:t>
      </w:r>
      <w:r>
        <w:rPr>
          <w:color w:val="000000"/>
          <w:sz w:val="24"/>
        </w:rPr>
        <w:t>其他</w:t>
      </w:r>
    </w:p>
    <w:p w:rsidR="001A59F9" w:rsidRDefault="001A59F9" w:rsidP="0004616F">
      <w:pPr>
        <w:spacing w:before="29" w:line="288" w:lineRule="auto"/>
        <w:ind w:firstLineChars="200" w:firstLine="480"/>
        <w:rPr>
          <w:color w:val="000000"/>
          <w:sz w:val="24"/>
        </w:rPr>
      </w:pPr>
      <w:r w:rsidRPr="0004616F">
        <w:rPr>
          <w:color w:val="000000"/>
          <w:sz w:val="24"/>
        </w:rPr>
        <w:t>除公允价值外，截至资产负债表日本基金无需要说明的其他重要事项。</w:t>
      </w:r>
    </w:p>
    <w:p w:rsidR="002961CF" w:rsidRPr="0004616F" w:rsidRDefault="002961CF" w:rsidP="0004616F">
      <w:pPr>
        <w:spacing w:before="29" w:line="288" w:lineRule="auto"/>
        <w:ind w:firstLineChars="200" w:firstLine="480"/>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61" w:name="_Toc225498272"/>
      <w:bookmarkStart w:id="62" w:name="_Toc361324877"/>
      <w:r w:rsidRPr="002961CF">
        <w:rPr>
          <w:rFonts w:hint="eastAsia"/>
          <w:b/>
          <w:color w:val="000000"/>
          <w:szCs w:val="24"/>
        </w:rPr>
        <w:lastRenderedPageBreak/>
        <w:t>§</w:t>
      </w:r>
      <w:r w:rsidRPr="002961CF">
        <w:rPr>
          <w:b/>
          <w:color w:val="000000"/>
          <w:szCs w:val="24"/>
        </w:rPr>
        <w:t>8</w:t>
      </w:r>
      <w:r w:rsidR="009153A3" w:rsidRPr="002961CF">
        <w:rPr>
          <w:rFonts w:hint="eastAsia"/>
          <w:b/>
          <w:color w:val="000000"/>
          <w:szCs w:val="24"/>
        </w:rPr>
        <w:t xml:space="preserve">  </w:t>
      </w:r>
      <w:r w:rsidRPr="002961CF">
        <w:rPr>
          <w:rFonts w:hint="eastAsia"/>
          <w:b/>
          <w:color w:val="000000"/>
          <w:szCs w:val="24"/>
        </w:rPr>
        <w:t>投资组合报告</w:t>
      </w:r>
      <w:bookmarkEnd w:id="61"/>
      <w:bookmarkEnd w:id="62"/>
    </w:p>
    <w:p w:rsidR="001A59F9" w:rsidRPr="00245C29" w:rsidRDefault="001A59F9" w:rsidP="00245C29">
      <w:pPr>
        <w:pStyle w:val="20"/>
        <w:spacing w:before="29" w:after="0" w:line="288" w:lineRule="auto"/>
        <w:rPr>
          <w:rFonts w:ascii="Times New Roman" w:hAnsi="Times New Roman"/>
          <w:kern w:val="0"/>
          <w:szCs w:val="24"/>
        </w:rPr>
      </w:pPr>
      <w:bookmarkStart w:id="63" w:name="_Toc225498273"/>
      <w:bookmarkStart w:id="64" w:name="_Toc361324878"/>
      <w:r w:rsidRPr="00245C29">
        <w:rPr>
          <w:rFonts w:ascii="Times New Roman" w:hAnsi="Times New Roman"/>
          <w:kern w:val="0"/>
          <w:szCs w:val="24"/>
        </w:rPr>
        <w:t>8.1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期末基金资产组合情况</w:t>
      </w:r>
      <w:bookmarkEnd w:id="63"/>
      <w:bookmarkEnd w:id="64"/>
    </w:p>
    <w:p w:rsidR="001A59F9" w:rsidRPr="003A0690" w:rsidRDefault="001A59F9" w:rsidP="00026C9C">
      <w:pPr>
        <w:autoSpaceDE w:val="0"/>
        <w:autoSpaceDN w:val="0"/>
        <w:adjustRightInd w:val="0"/>
        <w:spacing w:before="29" w:line="360" w:lineRule="auto"/>
        <w:ind w:left="15"/>
        <w:jc w:val="right"/>
        <w:rPr>
          <w:color w:val="000000"/>
          <w:sz w:val="24"/>
        </w:rPr>
      </w:pPr>
      <w:r w:rsidRPr="003A0690">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2854"/>
        <w:gridCol w:w="3402"/>
        <w:gridCol w:w="1664"/>
      </w:tblGrid>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序号</w:t>
            </w:r>
          </w:p>
        </w:tc>
        <w:tc>
          <w:tcPr>
            <w:tcW w:w="285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项目</w:t>
            </w:r>
          </w:p>
        </w:tc>
        <w:tc>
          <w:tcPr>
            <w:tcW w:w="3402"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金额</w:t>
            </w:r>
          </w:p>
        </w:tc>
        <w:tc>
          <w:tcPr>
            <w:tcW w:w="1664" w:type="dxa"/>
            <w:vAlign w:val="center"/>
          </w:tcPr>
          <w:p w:rsidR="009A36E4" w:rsidRPr="003A0690" w:rsidRDefault="009A36E4" w:rsidP="003A0690">
            <w:pPr>
              <w:spacing w:before="29" w:line="288" w:lineRule="auto"/>
              <w:jc w:val="center"/>
              <w:rPr>
                <w:color w:val="000000"/>
                <w:sz w:val="24"/>
              </w:rPr>
            </w:pPr>
            <w:r w:rsidRPr="003A0690">
              <w:rPr>
                <w:rFonts w:hint="eastAsia"/>
                <w:color w:val="000000"/>
                <w:sz w:val="24"/>
              </w:rPr>
              <w:t>占基金总资产的比例（</w:t>
            </w:r>
            <w:r w:rsidRPr="003A0690">
              <w:rPr>
                <w:color w:val="000000"/>
                <w:sz w:val="24"/>
              </w:rPr>
              <w:t>%</w:t>
            </w:r>
            <w:r w:rsidRPr="003A0690">
              <w:rPr>
                <w:rFonts w:hint="eastAsia"/>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r w:rsidRPr="003A0690">
              <w:rPr>
                <w:color w:val="000000"/>
                <w:sz w:val="24"/>
              </w:rPr>
              <w:t>1</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权益投资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775,038,617.71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77.07</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其中：股票</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775,038,617.71</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77.07</w:t>
            </w:r>
          </w:p>
        </w:tc>
      </w:tr>
      <w:tr w:rsidR="0056363F" w:rsidRPr="0091212A" w:rsidTr="00E15A4E">
        <w:trPr>
          <w:jc w:val="center"/>
        </w:trPr>
        <w:tc>
          <w:tcPr>
            <w:tcW w:w="1080" w:type="dxa"/>
            <w:vAlign w:val="center"/>
          </w:tcPr>
          <w:p w:rsidR="0056363F" w:rsidRPr="003A0690" w:rsidRDefault="0056363F" w:rsidP="003A0690">
            <w:pPr>
              <w:spacing w:before="29" w:line="288" w:lineRule="auto"/>
              <w:jc w:val="center"/>
              <w:rPr>
                <w:color w:val="000000"/>
                <w:sz w:val="24"/>
              </w:rPr>
            </w:pPr>
            <w:r>
              <w:rPr>
                <w:rFonts w:hint="eastAsia"/>
                <w:color w:val="000000"/>
                <w:sz w:val="24"/>
              </w:rPr>
              <w:t>2</w:t>
            </w:r>
          </w:p>
        </w:tc>
        <w:tc>
          <w:tcPr>
            <w:tcW w:w="2854" w:type="dxa"/>
            <w:vAlign w:val="center"/>
          </w:tcPr>
          <w:p w:rsidR="0056363F" w:rsidRPr="003A0690" w:rsidRDefault="0056363F" w:rsidP="003A0690">
            <w:pPr>
              <w:spacing w:before="29" w:line="288" w:lineRule="auto"/>
              <w:ind w:leftChars="50" w:left="105"/>
              <w:rPr>
                <w:sz w:val="24"/>
              </w:rPr>
            </w:pPr>
            <w:r>
              <w:rPr>
                <w:rFonts w:hint="eastAsia"/>
                <w:sz w:val="24"/>
              </w:rPr>
              <w:t>基金</w:t>
            </w:r>
            <w:r>
              <w:rPr>
                <w:sz w:val="24"/>
              </w:rPr>
              <w:t>投资</w:t>
            </w:r>
          </w:p>
        </w:tc>
        <w:tc>
          <w:tcPr>
            <w:tcW w:w="3402" w:type="dxa"/>
            <w:vAlign w:val="center"/>
          </w:tcPr>
          <w:p w:rsidR="0056363F" w:rsidRPr="003A0690" w:rsidRDefault="0056363F" w:rsidP="005531B6">
            <w:pPr>
              <w:spacing w:before="29" w:line="360" w:lineRule="auto"/>
              <w:ind w:left="17"/>
              <w:jc w:val="right"/>
              <w:rPr>
                <w:color w:val="000000"/>
                <w:sz w:val="24"/>
              </w:rPr>
            </w:pPr>
            <w:r>
              <w:rPr>
                <w:rFonts w:hint="eastAsia"/>
                <w:color w:val="000000"/>
                <w:sz w:val="24"/>
              </w:rPr>
              <w:t>-</w:t>
            </w:r>
          </w:p>
        </w:tc>
        <w:tc>
          <w:tcPr>
            <w:tcW w:w="1664" w:type="dxa"/>
            <w:vAlign w:val="center"/>
          </w:tcPr>
          <w:p w:rsidR="0056363F" w:rsidRPr="003A0690" w:rsidRDefault="0056363F" w:rsidP="005531B6">
            <w:pPr>
              <w:spacing w:before="29" w:line="360" w:lineRule="auto"/>
              <w:ind w:left="17"/>
              <w:jc w:val="right"/>
              <w:rPr>
                <w:color w:val="000000"/>
                <w:sz w:val="24"/>
              </w:rPr>
            </w:pPr>
            <w:r>
              <w:rPr>
                <w:rFonts w:hint="eastAsia"/>
                <w:color w:val="000000"/>
                <w:sz w:val="24"/>
              </w:rPr>
              <w:t>-</w:t>
            </w:r>
          </w:p>
        </w:tc>
      </w:tr>
      <w:tr w:rsidR="009A36E4" w:rsidRPr="0091212A" w:rsidTr="00E15A4E">
        <w:trPr>
          <w:jc w:val="center"/>
        </w:trPr>
        <w:tc>
          <w:tcPr>
            <w:tcW w:w="1080" w:type="dxa"/>
            <w:vAlign w:val="center"/>
          </w:tcPr>
          <w:p w:rsidR="009A36E4" w:rsidRPr="003A0690" w:rsidRDefault="0056363F" w:rsidP="003A0690">
            <w:pPr>
              <w:spacing w:before="29" w:line="288" w:lineRule="auto"/>
              <w:jc w:val="center"/>
              <w:rPr>
                <w:color w:val="000000"/>
                <w:sz w:val="24"/>
              </w:rPr>
            </w:pPr>
            <w:r>
              <w:rPr>
                <w:color w:val="000000"/>
                <w:sz w:val="24"/>
              </w:rPr>
              <w:t>3</w:t>
            </w: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固定收益投资</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其中：债券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9A36E4" w:rsidRPr="0091212A" w:rsidTr="00E15A4E">
        <w:trPr>
          <w:jc w:val="center"/>
        </w:trPr>
        <w:tc>
          <w:tcPr>
            <w:tcW w:w="1080" w:type="dxa"/>
            <w:vAlign w:val="center"/>
          </w:tcPr>
          <w:p w:rsidR="009A36E4" w:rsidRPr="003A0690" w:rsidRDefault="009A36E4" w:rsidP="003A0690">
            <w:pPr>
              <w:spacing w:before="29" w:line="288" w:lineRule="auto"/>
              <w:jc w:val="center"/>
              <w:rPr>
                <w:color w:val="000000"/>
                <w:sz w:val="24"/>
              </w:rPr>
            </w:pPr>
          </w:p>
        </w:tc>
        <w:tc>
          <w:tcPr>
            <w:tcW w:w="2854" w:type="dxa"/>
            <w:vAlign w:val="center"/>
          </w:tcPr>
          <w:p w:rsidR="009A36E4" w:rsidRPr="003A0690" w:rsidRDefault="009A36E4" w:rsidP="003A0690">
            <w:pPr>
              <w:spacing w:before="29" w:line="288" w:lineRule="auto"/>
              <w:ind w:leftChars="50" w:left="105"/>
              <w:rPr>
                <w:sz w:val="24"/>
              </w:rPr>
            </w:pPr>
            <w:r w:rsidRPr="003A0690">
              <w:rPr>
                <w:rFonts w:hint="eastAsia"/>
                <w:sz w:val="24"/>
              </w:rPr>
              <w:t>资产支持证券</w:t>
            </w:r>
          </w:p>
        </w:tc>
        <w:tc>
          <w:tcPr>
            <w:tcW w:w="3402"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c>
          <w:tcPr>
            <w:tcW w:w="1664" w:type="dxa"/>
            <w:vAlign w:val="center"/>
          </w:tcPr>
          <w:p w:rsidR="009A36E4" w:rsidRPr="003A0690" w:rsidRDefault="009A36E4" w:rsidP="005531B6">
            <w:pPr>
              <w:spacing w:before="29" w:line="360" w:lineRule="auto"/>
              <w:ind w:left="17"/>
              <w:jc w:val="right"/>
              <w:rPr>
                <w:color w:val="000000"/>
                <w:sz w:val="24"/>
              </w:rPr>
            </w:pPr>
            <w:r w:rsidRPr="003A0690">
              <w:rPr>
                <w:color w:val="000000"/>
                <w:sz w:val="24"/>
              </w:rPr>
              <w:t>-</w:t>
            </w:r>
          </w:p>
        </w:tc>
      </w:tr>
      <w:tr w:rsidR="00AC1249" w:rsidRPr="0091212A" w:rsidTr="00E86A35">
        <w:trPr>
          <w:jc w:val="center"/>
        </w:trPr>
        <w:tc>
          <w:tcPr>
            <w:tcW w:w="1080" w:type="dxa"/>
            <w:vAlign w:val="center"/>
          </w:tcPr>
          <w:p w:rsidR="00AC1249" w:rsidRPr="003A0690" w:rsidRDefault="0056363F" w:rsidP="00E86A35">
            <w:pPr>
              <w:spacing w:before="29" w:line="288" w:lineRule="auto"/>
              <w:jc w:val="center"/>
              <w:rPr>
                <w:color w:val="000000"/>
                <w:sz w:val="24"/>
              </w:rPr>
            </w:pPr>
            <w:r>
              <w:rPr>
                <w:color w:val="000000"/>
                <w:sz w:val="24"/>
              </w:rPr>
              <w:t>4</w:t>
            </w:r>
          </w:p>
        </w:tc>
        <w:tc>
          <w:tcPr>
            <w:tcW w:w="2854" w:type="dxa"/>
            <w:vAlign w:val="center"/>
          </w:tcPr>
          <w:p w:rsidR="00AC1249" w:rsidRPr="003A0690" w:rsidRDefault="00AC1249" w:rsidP="00396EA4">
            <w:pPr>
              <w:spacing w:before="29" w:line="288" w:lineRule="auto"/>
              <w:ind w:leftChars="50" w:left="105"/>
              <w:rPr>
                <w:sz w:val="24"/>
              </w:rPr>
            </w:pPr>
            <w:r w:rsidRPr="003A0690">
              <w:rPr>
                <w:rFonts w:hint="eastAsia"/>
                <w:sz w:val="24"/>
              </w:rPr>
              <w:t>贵金属投资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rFonts w:hint="eastAsia"/>
                <w:color w:val="000000"/>
                <w:sz w:val="24"/>
              </w:rPr>
              <w:t>-</w:t>
            </w:r>
          </w:p>
        </w:tc>
      </w:tr>
      <w:tr w:rsidR="00AC1249" w:rsidRPr="0091212A" w:rsidTr="00E15A4E">
        <w:trPr>
          <w:jc w:val="center"/>
        </w:trPr>
        <w:tc>
          <w:tcPr>
            <w:tcW w:w="1080" w:type="dxa"/>
            <w:vAlign w:val="center"/>
          </w:tcPr>
          <w:p w:rsidR="00AC1249" w:rsidRPr="003A0690" w:rsidRDefault="0056363F" w:rsidP="003A0690">
            <w:pPr>
              <w:spacing w:before="29" w:line="288" w:lineRule="auto"/>
              <w:jc w:val="center"/>
              <w:rPr>
                <w:color w:val="000000"/>
                <w:sz w:val="24"/>
              </w:rPr>
            </w:pPr>
            <w:r>
              <w:rPr>
                <w:color w:val="000000"/>
                <w:sz w:val="24"/>
              </w:rPr>
              <w:t>5</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金融衍生品投资</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56363F" w:rsidP="003A0690">
            <w:pPr>
              <w:spacing w:before="29" w:line="288" w:lineRule="auto"/>
              <w:jc w:val="center"/>
              <w:rPr>
                <w:color w:val="000000"/>
                <w:sz w:val="24"/>
              </w:rPr>
            </w:pPr>
            <w:r>
              <w:rPr>
                <w:color w:val="000000"/>
                <w:sz w:val="24"/>
              </w:rPr>
              <w:t>6</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AC1249" w:rsidP="003A0690">
            <w:pPr>
              <w:spacing w:before="29" w:line="288" w:lineRule="auto"/>
              <w:jc w:val="center"/>
              <w:rPr>
                <w:color w:val="000000"/>
                <w:sz w:val="24"/>
              </w:rPr>
            </w:pP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其中：买断式回购的买入返售金融资产</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w:t>
            </w:r>
          </w:p>
        </w:tc>
      </w:tr>
      <w:tr w:rsidR="00AC1249" w:rsidRPr="0091212A" w:rsidTr="00E15A4E">
        <w:trPr>
          <w:jc w:val="center"/>
        </w:trPr>
        <w:tc>
          <w:tcPr>
            <w:tcW w:w="1080" w:type="dxa"/>
            <w:vAlign w:val="center"/>
          </w:tcPr>
          <w:p w:rsidR="00AC1249" w:rsidRPr="003A0690" w:rsidRDefault="0056363F" w:rsidP="003A0690">
            <w:pPr>
              <w:spacing w:before="29" w:line="288" w:lineRule="auto"/>
              <w:jc w:val="center"/>
              <w:rPr>
                <w:color w:val="000000"/>
                <w:sz w:val="24"/>
              </w:rPr>
            </w:pPr>
            <w:r>
              <w:rPr>
                <w:color w:val="000000"/>
                <w:sz w:val="24"/>
              </w:rPr>
              <w:t>7</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银行存款和结算备付金合计</w:t>
            </w:r>
          </w:p>
        </w:tc>
        <w:tc>
          <w:tcPr>
            <w:tcW w:w="3402"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230,043,259.94</w:t>
            </w:r>
          </w:p>
        </w:tc>
        <w:tc>
          <w:tcPr>
            <w:tcW w:w="1664" w:type="dxa"/>
            <w:vAlign w:val="center"/>
          </w:tcPr>
          <w:p w:rsidR="00AC1249" w:rsidRPr="003A0690" w:rsidRDefault="00AC1249" w:rsidP="005531B6">
            <w:pPr>
              <w:spacing w:before="29" w:line="360" w:lineRule="auto"/>
              <w:ind w:left="17"/>
              <w:jc w:val="right"/>
              <w:rPr>
                <w:color w:val="000000"/>
                <w:sz w:val="24"/>
              </w:rPr>
            </w:pPr>
            <w:r w:rsidRPr="003A0690">
              <w:rPr>
                <w:color w:val="000000"/>
                <w:sz w:val="24"/>
              </w:rPr>
              <w:t>22.87</w:t>
            </w:r>
          </w:p>
        </w:tc>
      </w:tr>
      <w:tr w:rsidR="00AC1249" w:rsidRPr="0091212A" w:rsidTr="00E15A4E">
        <w:trPr>
          <w:jc w:val="center"/>
        </w:trPr>
        <w:tc>
          <w:tcPr>
            <w:tcW w:w="1080" w:type="dxa"/>
            <w:vAlign w:val="center"/>
          </w:tcPr>
          <w:p w:rsidR="00AC1249" w:rsidRPr="003A0690" w:rsidRDefault="0056363F" w:rsidP="003A0690">
            <w:pPr>
              <w:spacing w:before="29" w:line="288" w:lineRule="auto"/>
              <w:jc w:val="center"/>
              <w:rPr>
                <w:color w:val="000000"/>
                <w:sz w:val="24"/>
              </w:rPr>
            </w:pPr>
            <w:r>
              <w:rPr>
                <w:color w:val="000000"/>
                <w:sz w:val="24"/>
              </w:rPr>
              <w:t>8</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其他各项资产</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595,962.69</w:t>
            </w:r>
          </w:p>
        </w:tc>
        <w:tc>
          <w:tcPr>
            <w:tcW w:w="1664" w:type="dxa"/>
            <w:vAlign w:val="center"/>
          </w:tcPr>
          <w:p w:rsidR="00AC1249" w:rsidRPr="003A0690" w:rsidRDefault="00AC1249" w:rsidP="005531B6">
            <w:pPr>
              <w:spacing w:line="360" w:lineRule="auto"/>
              <w:jc w:val="right"/>
              <w:rPr>
                <w:color w:val="000000"/>
                <w:sz w:val="24"/>
              </w:rPr>
            </w:pPr>
            <w:r w:rsidRPr="003A0690">
              <w:rPr>
                <w:color w:val="000000"/>
                <w:sz w:val="24"/>
              </w:rPr>
              <w:t>0.06</w:t>
            </w:r>
          </w:p>
        </w:tc>
      </w:tr>
      <w:tr w:rsidR="00AC1249" w:rsidRPr="0091212A" w:rsidTr="00E15A4E">
        <w:trPr>
          <w:jc w:val="center"/>
        </w:trPr>
        <w:tc>
          <w:tcPr>
            <w:tcW w:w="1080" w:type="dxa"/>
            <w:vAlign w:val="center"/>
          </w:tcPr>
          <w:p w:rsidR="00AC1249" w:rsidRPr="003A0690" w:rsidRDefault="0056363F" w:rsidP="003A0690">
            <w:pPr>
              <w:spacing w:before="29" w:line="288" w:lineRule="auto"/>
              <w:jc w:val="center"/>
              <w:rPr>
                <w:color w:val="000000"/>
                <w:sz w:val="24"/>
              </w:rPr>
            </w:pPr>
            <w:r>
              <w:rPr>
                <w:color w:val="000000"/>
                <w:sz w:val="24"/>
              </w:rPr>
              <w:t>9</w:t>
            </w:r>
          </w:p>
        </w:tc>
        <w:tc>
          <w:tcPr>
            <w:tcW w:w="2854" w:type="dxa"/>
            <w:vAlign w:val="center"/>
          </w:tcPr>
          <w:p w:rsidR="00AC1249" w:rsidRPr="003A0690" w:rsidRDefault="00AC1249" w:rsidP="003A0690">
            <w:pPr>
              <w:spacing w:before="29" w:line="288" w:lineRule="auto"/>
              <w:ind w:leftChars="50" w:left="105"/>
              <w:rPr>
                <w:sz w:val="24"/>
              </w:rPr>
            </w:pPr>
            <w:r w:rsidRPr="003A0690">
              <w:rPr>
                <w:rFonts w:hint="eastAsia"/>
                <w:sz w:val="24"/>
              </w:rPr>
              <w:t>合计</w:t>
            </w:r>
          </w:p>
        </w:tc>
        <w:tc>
          <w:tcPr>
            <w:tcW w:w="3402"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1,005,677,840.34</w:t>
            </w:r>
          </w:p>
        </w:tc>
        <w:tc>
          <w:tcPr>
            <w:tcW w:w="1664" w:type="dxa"/>
            <w:vAlign w:val="center"/>
          </w:tcPr>
          <w:p w:rsidR="00AC1249" w:rsidRPr="003A0690" w:rsidRDefault="00AC1249" w:rsidP="003A0690">
            <w:pPr>
              <w:spacing w:before="29" w:line="360" w:lineRule="auto"/>
              <w:ind w:left="17"/>
              <w:jc w:val="right"/>
              <w:rPr>
                <w:color w:val="000000"/>
                <w:sz w:val="24"/>
              </w:rPr>
            </w:pPr>
            <w:r w:rsidRPr="003A0690">
              <w:rPr>
                <w:color w:val="000000"/>
                <w:sz w:val="24"/>
              </w:rPr>
              <w:t>100.00</w:t>
            </w:r>
          </w:p>
        </w:tc>
      </w:tr>
    </w:tbl>
    <w:p w:rsidR="009A36E4" w:rsidRDefault="009A36E4" w:rsidP="009A36E4">
      <w:pPr>
        <w:spacing w:line="360" w:lineRule="auto"/>
        <w:rPr>
          <w:rFonts w:asciiTheme="minorEastAsia" w:eastAsiaTheme="minorEastAsia" w:hAnsiTheme="minorEastAsia"/>
          <w:color w:val="000000"/>
          <w:szCs w:val="21"/>
        </w:rPr>
      </w:pPr>
    </w:p>
    <w:p w:rsidR="001A59F9" w:rsidRDefault="001A59F9" w:rsidP="00245C29">
      <w:pPr>
        <w:pStyle w:val="20"/>
        <w:spacing w:before="29" w:after="0" w:line="288" w:lineRule="auto"/>
        <w:rPr>
          <w:rFonts w:ascii="Times New Roman" w:hAnsi="Times New Roman"/>
          <w:kern w:val="0"/>
          <w:szCs w:val="24"/>
        </w:rPr>
      </w:pPr>
      <w:bookmarkStart w:id="65" w:name="_Toc225498274"/>
      <w:bookmarkStart w:id="66" w:name="_Toc361324879"/>
      <w:r w:rsidRPr="00245C29">
        <w:rPr>
          <w:rFonts w:ascii="Times New Roman" w:hAnsi="Times New Roman"/>
          <w:kern w:val="0"/>
          <w:szCs w:val="24"/>
        </w:rPr>
        <w:t>8.2</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期末按行业分类的股票投资组合</w:t>
      </w:r>
      <w:bookmarkEnd w:id="65"/>
      <w:bookmarkEnd w:id="66"/>
    </w:p>
    <w:p w:rsidR="00E122CE" w:rsidRPr="00E122CE" w:rsidRDefault="00E122CE" w:rsidP="00E122CE">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8.2.1</w:t>
      </w:r>
      <w:r w:rsidRPr="000B7A0A">
        <w:rPr>
          <w:rFonts w:ascii="Times New Roman" w:hAnsi="Times New Roman" w:hint="eastAsia"/>
          <w:color w:val="000000"/>
          <w:szCs w:val="24"/>
        </w:rPr>
        <w:t>报告期末按行业分类的境内股票投资组合</w:t>
      </w:r>
    </w:p>
    <w:p w:rsidR="001A59F9" w:rsidRPr="00F535B5" w:rsidRDefault="001A59F9" w:rsidP="00026C9C">
      <w:pPr>
        <w:autoSpaceDE w:val="0"/>
        <w:autoSpaceDN w:val="0"/>
        <w:adjustRightInd w:val="0"/>
        <w:spacing w:before="29" w:line="360" w:lineRule="auto"/>
        <w:ind w:left="15"/>
        <w:jc w:val="right"/>
        <w:rPr>
          <w:color w:val="000000"/>
          <w:sz w:val="24"/>
        </w:rPr>
      </w:pPr>
      <w:r w:rsidRPr="00F535B5">
        <w:rPr>
          <w:rFonts w:hint="eastAsia"/>
          <w:color w:val="000000"/>
          <w:sz w:val="24"/>
        </w:rPr>
        <w:t>金额单位：人民币元</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600"/>
        <w:gridCol w:w="2520"/>
        <w:gridCol w:w="1800"/>
      </w:tblGrid>
      <w:tr w:rsidR="001A59F9" w:rsidRPr="00C51C77" w:rsidTr="006E33C9">
        <w:trPr>
          <w:jc w:val="center"/>
        </w:trPr>
        <w:tc>
          <w:tcPr>
            <w:tcW w:w="108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代码</w:t>
            </w:r>
          </w:p>
        </w:tc>
        <w:tc>
          <w:tcPr>
            <w:tcW w:w="36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行业类别</w:t>
            </w:r>
          </w:p>
        </w:tc>
        <w:tc>
          <w:tcPr>
            <w:tcW w:w="252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公允价值</w:t>
            </w:r>
          </w:p>
        </w:tc>
        <w:tc>
          <w:tcPr>
            <w:tcW w:w="1800" w:type="dxa"/>
            <w:vAlign w:val="center"/>
          </w:tcPr>
          <w:p w:rsidR="001A59F9" w:rsidRPr="00F535B5" w:rsidRDefault="001A59F9" w:rsidP="00F535B5">
            <w:pPr>
              <w:spacing w:before="29" w:line="288" w:lineRule="auto"/>
              <w:jc w:val="center"/>
              <w:rPr>
                <w:color w:val="000000"/>
                <w:sz w:val="24"/>
              </w:rPr>
            </w:pPr>
            <w:r w:rsidRPr="00F535B5">
              <w:rPr>
                <w:rFonts w:hint="eastAsia"/>
                <w:color w:val="000000"/>
                <w:sz w:val="24"/>
              </w:rPr>
              <w:t>占基金资产净值比例（％）</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A</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农、林、牧、渔业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B</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采矿业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C</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制造业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543,199,127.54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55.47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D</w:t>
            </w:r>
          </w:p>
        </w:tc>
        <w:tc>
          <w:tcPr>
            <w:tcW w:w="3600" w:type="dxa"/>
            <w:vAlign w:val="center"/>
          </w:tcPr>
          <w:p w:rsidR="001A59F9" w:rsidRPr="00F535B5" w:rsidRDefault="001A59F9" w:rsidP="00E20BB0">
            <w:pPr>
              <w:spacing w:before="29" w:line="288" w:lineRule="auto"/>
              <w:rPr>
                <w:sz w:val="24"/>
              </w:rPr>
            </w:pPr>
            <w:r w:rsidRPr="00F535B5">
              <w:rPr>
                <w:rFonts w:hint="eastAsia"/>
                <w:sz w:val="24"/>
              </w:rPr>
              <w:t>电力、热力、燃气及水生产和供应业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lastRenderedPageBreak/>
              <w:t>E</w:t>
            </w:r>
          </w:p>
        </w:tc>
        <w:tc>
          <w:tcPr>
            <w:tcW w:w="3600" w:type="dxa"/>
            <w:vAlign w:val="center"/>
          </w:tcPr>
          <w:p w:rsidR="001A59F9" w:rsidRPr="00F535B5" w:rsidRDefault="001A59F9" w:rsidP="00E20BB0">
            <w:pPr>
              <w:spacing w:before="29" w:line="288" w:lineRule="auto"/>
              <w:rPr>
                <w:sz w:val="24"/>
              </w:rPr>
            </w:pPr>
            <w:r w:rsidRPr="00F535B5">
              <w:rPr>
                <w:rFonts w:hint="eastAsia"/>
                <w:sz w:val="24"/>
              </w:rPr>
              <w:t>建筑业</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37,939,529.04</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3.87</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F</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批发和零售业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13,110,000.00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1.34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G</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交通运输、仓储和邮政业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H</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住宿和餐饮业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I</w:t>
            </w:r>
          </w:p>
        </w:tc>
        <w:tc>
          <w:tcPr>
            <w:tcW w:w="3600" w:type="dxa"/>
            <w:vAlign w:val="center"/>
          </w:tcPr>
          <w:p w:rsidR="001A59F9" w:rsidRPr="00F535B5" w:rsidRDefault="001A59F9" w:rsidP="00E20BB0">
            <w:pPr>
              <w:spacing w:before="29" w:line="288" w:lineRule="auto"/>
              <w:rPr>
                <w:sz w:val="24"/>
              </w:rPr>
            </w:pPr>
            <w:r w:rsidRPr="00F535B5">
              <w:rPr>
                <w:rFonts w:hint="eastAsia"/>
                <w:sz w:val="24"/>
              </w:rPr>
              <w:t>信息传输、软件和信息技术服务业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J</w:t>
            </w:r>
          </w:p>
        </w:tc>
        <w:tc>
          <w:tcPr>
            <w:tcW w:w="3600" w:type="dxa"/>
            <w:vAlign w:val="center"/>
          </w:tcPr>
          <w:p w:rsidR="001A59F9" w:rsidRPr="00F535B5" w:rsidRDefault="001A59F9" w:rsidP="00E20BB0">
            <w:pPr>
              <w:spacing w:before="29" w:line="288" w:lineRule="auto"/>
              <w:rPr>
                <w:sz w:val="24"/>
              </w:rPr>
            </w:pPr>
            <w:r w:rsidRPr="00F535B5">
              <w:rPr>
                <w:rFonts w:hint="eastAsia"/>
                <w:sz w:val="24"/>
              </w:rPr>
              <w:t>金融业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50,145.80</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K</w:t>
            </w:r>
          </w:p>
        </w:tc>
        <w:tc>
          <w:tcPr>
            <w:tcW w:w="3600" w:type="dxa"/>
            <w:vAlign w:val="center"/>
          </w:tcPr>
          <w:p w:rsidR="001A59F9" w:rsidRPr="00F535B5" w:rsidRDefault="001A59F9" w:rsidP="00E20BB0">
            <w:pPr>
              <w:spacing w:before="29" w:line="288" w:lineRule="auto"/>
              <w:rPr>
                <w:sz w:val="24"/>
              </w:rPr>
            </w:pPr>
            <w:r w:rsidRPr="00F535B5">
              <w:rPr>
                <w:rFonts w:hint="eastAsia"/>
                <w:sz w:val="24"/>
              </w:rPr>
              <w:t>房地产业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165,625,358.22</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16.91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L</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租赁和商务服务业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889,972.08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0.09</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M</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科学研究和技术服务业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9,193,378.95</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0.94</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N</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水利、环境和公共设施管理业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5,031,106.08</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0.51</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O</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居民服务、修理和其他服务业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P</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教育</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Q</w:t>
            </w:r>
          </w:p>
        </w:tc>
        <w:tc>
          <w:tcPr>
            <w:tcW w:w="3600" w:type="dxa"/>
            <w:vAlign w:val="center"/>
          </w:tcPr>
          <w:p w:rsidR="001A59F9" w:rsidRPr="00F535B5" w:rsidRDefault="001A59F9" w:rsidP="005F5D03">
            <w:pPr>
              <w:spacing w:before="29" w:line="288" w:lineRule="auto"/>
              <w:rPr>
                <w:sz w:val="24"/>
              </w:rPr>
            </w:pPr>
            <w:r w:rsidRPr="00F535B5">
              <w:rPr>
                <w:rFonts w:hint="eastAsia"/>
                <w:sz w:val="24"/>
              </w:rPr>
              <w:t>卫生和社会工作</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R</w:t>
            </w:r>
          </w:p>
        </w:tc>
        <w:tc>
          <w:tcPr>
            <w:tcW w:w="3600" w:type="dxa"/>
            <w:vAlign w:val="center"/>
          </w:tcPr>
          <w:p w:rsidR="001A59F9" w:rsidRPr="00F535B5" w:rsidRDefault="001A59F9" w:rsidP="005F5D03">
            <w:pPr>
              <w:spacing w:before="29" w:line="288" w:lineRule="auto"/>
              <w:rPr>
                <w:sz w:val="24"/>
              </w:rPr>
            </w:pPr>
            <w:r w:rsidRPr="00F535B5">
              <w:rPr>
                <w:rFonts w:hint="eastAsia"/>
                <w:sz w:val="24"/>
              </w:rPr>
              <w:t>文化、体育和娱乐业</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r w:rsidRPr="00F535B5">
              <w:rPr>
                <w:sz w:val="24"/>
              </w:rPr>
              <w:t>S</w:t>
            </w:r>
          </w:p>
        </w:tc>
        <w:tc>
          <w:tcPr>
            <w:tcW w:w="3600" w:type="dxa"/>
            <w:vAlign w:val="center"/>
          </w:tcPr>
          <w:p w:rsidR="001A59F9" w:rsidRPr="00F535B5" w:rsidRDefault="001A59F9" w:rsidP="005F5D03">
            <w:pPr>
              <w:spacing w:before="29" w:line="288" w:lineRule="auto"/>
              <w:rPr>
                <w:sz w:val="24"/>
              </w:rPr>
            </w:pPr>
            <w:r w:rsidRPr="00F535B5">
              <w:rPr>
                <w:rFonts w:hint="eastAsia"/>
                <w:sz w:val="24"/>
              </w:rPr>
              <w:t>综合</w:t>
            </w:r>
          </w:p>
        </w:tc>
        <w:tc>
          <w:tcPr>
            <w:tcW w:w="252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c>
          <w:tcPr>
            <w:tcW w:w="1800" w:type="dxa"/>
            <w:vAlign w:val="bottom"/>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w:t>
            </w:r>
          </w:p>
        </w:tc>
      </w:tr>
      <w:tr w:rsidR="001A59F9" w:rsidRPr="00C51C77" w:rsidTr="006E33C9">
        <w:trPr>
          <w:jc w:val="center"/>
        </w:trPr>
        <w:tc>
          <w:tcPr>
            <w:tcW w:w="1080" w:type="dxa"/>
            <w:vAlign w:val="center"/>
          </w:tcPr>
          <w:p w:rsidR="001A59F9" w:rsidRPr="00F535B5" w:rsidRDefault="001A59F9" w:rsidP="00F535B5">
            <w:pPr>
              <w:spacing w:before="29" w:line="288" w:lineRule="auto"/>
              <w:jc w:val="center"/>
              <w:rPr>
                <w:sz w:val="24"/>
              </w:rPr>
            </w:pPr>
          </w:p>
        </w:tc>
        <w:tc>
          <w:tcPr>
            <w:tcW w:w="3600" w:type="dxa"/>
            <w:vAlign w:val="center"/>
          </w:tcPr>
          <w:p w:rsidR="001A59F9" w:rsidRPr="00F535B5" w:rsidRDefault="001A59F9" w:rsidP="005F5D03">
            <w:pPr>
              <w:spacing w:before="29" w:line="288" w:lineRule="auto"/>
              <w:rPr>
                <w:sz w:val="24"/>
              </w:rPr>
            </w:pPr>
            <w:r w:rsidRPr="00F535B5">
              <w:rPr>
                <w:rFonts w:hint="eastAsia"/>
                <w:sz w:val="24"/>
              </w:rPr>
              <w:t>合计</w:t>
            </w:r>
          </w:p>
        </w:tc>
        <w:tc>
          <w:tcPr>
            <w:tcW w:w="252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775,038,617.71</w:t>
            </w:r>
          </w:p>
        </w:tc>
        <w:tc>
          <w:tcPr>
            <w:tcW w:w="1800" w:type="dxa"/>
            <w:vAlign w:val="center"/>
          </w:tcPr>
          <w:p w:rsidR="001A59F9" w:rsidRPr="00F535B5" w:rsidRDefault="001A59F9" w:rsidP="00F535B5">
            <w:pPr>
              <w:autoSpaceDE w:val="0"/>
              <w:autoSpaceDN w:val="0"/>
              <w:adjustRightInd w:val="0"/>
              <w:spacing w:before="29" w:line="288" w:lineRule="auto"/>
              <w:ind w:left="15"/>
              <w:jc w:val="right"/>
              <w:rPr>
                <w:color w:val="000000"/>
                <w:kern w:val="0"/>
                <w:sz w:val="24"/>
              </w:rPr>
            </w:pPr>
            <w:r w:rsidRPr="00F535B5">
              <w:rPr>
                <w:color w:val="000000"/>
                <w:kern w:val="0"/>
                <w:sz w:val="24"/>
              </w:rPr>
              <w:t>79.14</w:t>
            </w:r>
          </w:p>
        </w:tc>
      </w:tr>
    </w:tbl>
    <w:p w:rsidR="001A59F9" w:rsidRPr="00C51C77" w:rsidRDefault="001A59F9" w:rsidP="00026C9C">
      <w:pPr>
        <w:autoSpaceDE w:val="0"/>
        <w:autoSpaceDN w:val="0"/>
        <w:adjustRightInd w:val="0"/>
        <w:spacing w:line="360" w:lineRule="auto"/>
        <w:rPr>
          <w:rFonts w:asciiTheme="minorEastAsia" w:eastAsiaTheme="minorEastAsia" w:hAnsiTheme="minorEastAsia"/>
          <w:color w:val="000000"/>
          <w:szCs w:val="21"/>
        </w:rPr>
      </w:pPr>
    </w:p>
    <w:p w:rsidR="00E122CE" w:rsidRPr="00D52A9B" w:rsidRDefault="00E122CE" w:rsidP="00E122CE">
      <w:pPr>
        <w:pStyle w:val="20"/>
        <w:spacing w:before="29" w:after="0" w:line="288" w:lineRule="auto"/>
        <w:rPr>
          <w:rFonts w:ascii="Times New Roman" w:hAnsi="Times New Roman"/>
          <w:kern w:val="0"/>
          <w:szCs w:val="24"/>
        </w:rPr>
      </w:pPr>
      <w:r w:rsidRPr="00D52A9B">
        <w:rPr>
          <w:rFonts w:ascii="Times New Roman" w:hAnsi="Times New Roman"/>
          <w:kern w:val="0"/>
          <w:szCs w:val="24"/>
        </w:rPr>
        <w:t>8.2.2</w:t>
      </w:r>
      <w:r w:rsidRPr="00D52A9B">
        <w:rPr>
          <w:rFonts w:ascii="Times New Roman" w:hAnsi="Times New Roman" w:hint="eastAsia"/>
          <w:kern w:val="0"/>
          <w:szCs w:val="24"/>
        </w:rPr>
        <w:t>报告期末按行业分类的</w:t>
      </w:r>
      <w:r w:rsidR="001320FD">
        <w:rPr>
          <w:rFonts w:ascii="Times New Roman" w:hAnsi="Times New Roman" w:hint="eastAsia"/>
          <w:kern w:val="0"/>
          <w:szCs w:val="24"/>
        </w:rPr>
        <w:t>港股通</w:t>
      </w:r>
      <w:r w:rsidRPr="00D52A9B">
        <w:rPr>
          <w:rFonts w:ascii="Times New Roman" w:hAnsi="Times New Roman" w:hint="eastAsia"/>
          <w:kern w:val="0"/>
          <w:szCs w:val="24"/>
        </w:rPr>
        <w:t>投资股票投资组合</w:t>
      </w:r>
    </w:p>
    <w:p w:rsidR="00E122CE" w:rsidRPr="00D52A9B" w:rsidRDefault="00E122CE" w:rsidP="00E122CE">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本基金本报告期末未持有通过港股通投资的股票。</w:t>
      </w:r>
    </w:p>
    <w:p w:rsidR="001A59F9" w:rsidRPr="00E122CE"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7" w:name="_Toc361324881"/>
      <w:r w:rsidRPr="00245C29">
        <w:rPr>
          <w:rFonts w:ascii="Times New Roman" w:hAnsi="Times New Roman"/>
          <w:kern w:val="0"/>
          <w:szCs w:val="24"/>
        </w:rPr>
        <w:t>8.3</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期末按公允价值占基金资产净值比例大小排序的</w:t>
      </w:r>
      <w:r w:rsidR="007D167D" w:rsidRPr="00245C29">
        <w:rPr>
          <w:rFonts w:ascii="Times New Roman" w:hAnsi="Times New Roman" w:hint="eastAsia"/>
          <w:kern w:val="0"/>
          <w:szCs w:val="24"/>
        </w:rPr>
        <w:t>前十名</w:t>
      </w:r>
      <w:r w:rsidRPr="00245C29">
        <w:rPr>
          <w:rFonts w:ascii="Times New Roman" w:hAnsi="Times New Roman" w:hint="eastAsia"/>
          <w:kern w:val="0"/>
          <w:szCs w:val="24"/>
        </w:rPr>
        <w:t>股票投资明细</w:t>
      </w:r>
      <w:bookmarkEnd w:id="67"/>
    </w:p>
    <w:p w:rsidR="001A59F9" w:rsidRPr="00A20DFB" w:rsidRDefault="001A59F9" w:rsidP="00026C9C">
      <w:pPr>
        <w:autoSpaceDE w:val="0"/>
        <w:autoSpaceDN w:val="0"/>
        <w:adjustRightInd w:val="0"/>
        <w:spacing w:before="29" w:line="360" w:lineRule="auto"/>
        <w:ind w:left="15"/>
        <w:jc w:val="right"/>
        <w:rPr>
          <w:color w:val="000000"/>
          <w:sz w:val="24"/>
        </w:rPr>
      </w:pPr>
      <w:r w:rsidRPr="00A20DFB">
        <w:rPr>
          <w:rFonts w:hint="eastAsia"/>
          <w:color w:val="000000"/>
          <w:sz w:val="24"/>
        </w:rPr>
        <w:t>金额单位：人民币元</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17"/>
        <w:gridCol w:w="1276"/>
        <w:gridCol w:w="1701"/>
        <w:gridCol w:w="1559"/>
        <w:gridCol w:w="1701"/>
        <w:gridCol w:w="1843"/>
      </w:tblGrid>
      <w:tr w:rsidR="001A59F9" w:rsidRPr="00C51C77" w:rsidTr="006E33C9">
        <w:trPr>
          <w:jc w:val="center"/>
        </w:trPr>
        <w:tc>
          <w:tcPr>
            <w:tcW w:w="817"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序号</w:t>
            </w:r>
          </w:p>
        </w:tc>
        <w:tc>
          <w:tcPr>
            <w:tcW w:w="1276"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股票代码</w:t>
            </w:r>
          </w:p>
        </w:tc>
        <w:tc>
          <w:tcPr>
            <w:tcW w:w="1701"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股票名称</w:t>
            </w:r>
          </w:p>
        </w:tc>
        <w:tc>
          <w:tcPr>
            <w:tcW w:w="1559"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数量</w:t>
            </w:r>
            <w:r w:rsidRPr="00A20DFB">
              <w:rPr>
                <w:sz w:val="24"/>
              </w:rPr>
              <w:t>(</w:t>
            </w:r>
            <w:r w:rsidRPr="00A20DFB">
              <w:rPr>
                <w:rFonts w:hint="eastAsia"/>
                <w:sz w:val="24"/>
              </w:rPr>
              <w:t>股</w:t>
            </w:r>
            <w:r w:rsidRPr="00A20DFB">
              <w:rPr>
                <w:sz w:val="24"/>
              </w:rPr>
              <w:t>)</w:t>
            </w:r>
          </w:p>
        </w:tc>
        <w:tc>
          <w:tcPr>
            <w:tcW w:w="1701" w:type="dxa"/>
            <w:vAlign w:val="center"/>
          </w:tcPr>
          <w:p w:rsidR="001A59F9" w:rsidRPr="00A20DFB" w:rsidRDefault="001A59F9" w:rsidP="00A20DFB">
            <w:pPr>
              <w:autoSpaceDE w:val="0"/>
              <w:autoSpaceDN w:val="0"/>
              <w:adjustRightInd w:val="0"/>
              <w:snapToGrid w:val="0"/>
              <w:spacing w:before="29" w:line="288" w:lineRule="auto"/>
              <w:jc w:val="center"/>
              <w:rPr>
                <w:sz w:val="24"/>
              </w:rPr>
            </w:pPr>
            <w:r w:rsidRPr="00A20DFB">
              <w:rPr>
                <w:rFonts w:hint="eastAsia"/>
                <w:sz w:val="24"/>
              </w:rPr>
              <w:t>公允价值</w:t>
            </w:r>
          </w:p>
        </w:tc>
        <w:tc>
          <w:tcPr>
            <w:tcW w:w="1843" w:type="dxa"/>
            <w:vAlign w:val="center"/>
          </w:tcPr>
          <w:p w:rsidR="001A59F9" w:rsidRPr="00A20DFB" w:rsidRDefault="001A59F9" w:rsidP="00A20DFB">
            <w:pPr>
              <w:adjustRightInd w:val="0"/>
              <w:snapToGrid w:val="0"/>
              <w:spacing w:before="29" w:line="288" w:lineRule="auto"/>
              <w:jc w:val="center"/>
              <w:rPr>
                <w:sz w:val="24"/>
              </w:rPr>
            </w:pPr>
            <w:r w:rsidRPr="00A20DFB">
              <w:rPr>
                <w:rFonts w:hint="eastAsia"/>
                <w:sz w:val="24"/>
              </w:rPr>
              <w:t>占基金资产净值比例</w:t>
            </w:r>
            <w:r w:rsidRPr="00A20DFB">
              <w:rPr>
                <w:sz w:val="24"/>
              </w:rPr>
              <w:t>(</w:t>
            </w:r>
            <w:r w:rsidRPr="00A20DFB">
              <w:rPr>
                <w:rFonts w:hint="eastAsia"/>
                <w:sz w:val="24"/>
              </w:rPr>
              <w:t>％</w:t>
            </w:r>
            <w:r w:rsidRPr="00A20DFB">
              <w:rPr>
                <w:sz w:val="24"/>
              </w:rPr>
              <w:t>)</w:t>
            </w:r>
          </w:p>
        </w:tc>
      </w:tr>
      <w:tr w:rsidR="002B232B">
        <w:trPr>
          <w:jc w:val="center"/>
        </w:trPr>
        <w:tc>
          <w:tcPr>
            <w:tcW w:w="817" w:type="dxa"/>
            <w:vAlign w:val="center"/>
          </w:tcPr>
          <w:p w:rsidR="002B232B" w:rsidRDefault="0056363F">
            <w:pPr>
              <w:jc w:val="center"/>
            </w:pPr>
            <w:r>
              <w:rPr>
                <w:color w:val="000000"/>
                <w:sz w:val="24"/>
              </w:rPr>
              <w:t>1</w:t>
            </w:r>
          </w:p>
        </w:tc>
        <w:tc>
          <w:tcPr>
            <w:tcW w:w="1276" w:type="dxa"/>
            <w:vAlign w:val="center"/>
          </w:tcPr>
          <w:p w:rsidR="002B232B" w:rsidRDefault="0056363F">
            <w:pPr>
              <w:jc w:val="center"/>
            </w:pPr>
            <w:r>
              <w:rPr>
                <w:color w:val="000000"/>
                <w:sz w:val="24"/>
              </w:rPr>
              <w:t>300146</w:t>
            </w:r>
          </w:p>
        </w:tc>
        <w:tc>
          <w:tcPr>
            <w:tcW w:w="1701" w:type="dxa"/>
            <w:vAlign w:val="center"/>
          </w:tcPr>
          <w:p w:rsidR="002B232B" w:rsidRDefault="0056363F">
            <w:pPr>
              <w:jc w:val="center"/>
            </w:pPr>
            <w:r>
              <w:rPr>
                <w:color w:val="000000"/>
                <w:sz w:val="24"/>
              </w:rPr>
              <w:t>汤臣倍健</w:t>
            </w:r>
          </w:p>
        </w:tc>
        <w:tc>
          <w:tcPr>
            <w:tcW w:w="1559" w:type="dxa"/>
            <w:vAlign w:val="center"/>
          </w:tcPr>
          <w:p w:rsidR="002B232B" w:rsidRDefault="0056363F">
            <w:pPr>
              <w:jc w:val="right"/>
            </w:pPr>
            <w:r>
              <w:rPr>
                <w:color w:val="000000"/>
                <w:sz w:val="24"/>
              </w:rPr>
              <w:t>5,342,985</w:t>
            </w:r>
          </w:p>
        </w:tc>
        <w:tc>
          <w:tcPr>
            <w:tcW w:w="1701" w:type="dxa"/>
            <w:vAlign w:val="center"/>
          </w:tcPr>
          <w:p w:rsidR="002B232B" w:rsidRDefault="0056363F">
            <w:pPr>
              <w:jc w:val="right"/>
            </w:pPr>
            <w:r>
              <w:rPr>
                <w:color w:val="000000"/>
                <w:sz w:val="24"/>
              </w:rPr>
              <w:t>90,777,315.15</w:t>
            </w:r>
          </w:p>
        </w:tc>
        <w:tc>
          <w:tcPr>
            <w:tcW w:w="1843" w:type="dxa"/>
            <w:vAlign w:val="center"/>
          </w:tcPr>
          <w:p w:rsidR="002B232B" w:rsidRDefault="0056363F">
            <w:pPr>
              <w:jc w:val="right"/>
            </w:pPr>
            <w:r>
              <w:rPr>
                <w:color w:val="000000"/>
                <w:sz w:val="24"/>
              </w:rPr>
              <w:t>9.27</w:t>
            </w:r>
          </w:p>
        </w:tc>
      </w:tr>
      <w:tr w:rsidR="002B232B">
        <w:trPr>
          <w:jc w:val="center"/>
        </w:trPr>
        <w:tc>
          <w:tcPr>
            <w:tcW w:w="817" w:type="dxa"/>
            <w:vAlign w:val="center"/>
          </w:tcPr>
          <w:p w:rsidR="002B232B" w:rsidRDefault="0056363F">
            <w:pPr>
              <w:jc w:val="center"/>
            </w:pPr>
            <w:r>
              <w:rPr>
                <w:color w:val="000000"/>
                <w:sz w:val="24"/>
              </w:rPr>
              <w:t>2</w:t>
            </w:r>
          </w:p>
        </w:tc>
        <w:tc>
          <w:tcPr>
            <w:tcW w:w="1276" w:type="dxa"/>
            <w:vAlign w:val="center"/>
          </w:tcPr>
          <w:p w:rsidR="002B232B" w:rsidRDefault="0056363F">
            <w:pPr>
              <w:jc w:val="center"/>
            </w:pPr>
            <w:r>
              <w:rPr>
                <w:color w:val="000000"/>
                <w:sz w:val="24"/>
              </w:rPr>
              <w:t>600519</w:t>
            </w:r>
          </w:p>
        </w:tc>
        <w:tc>
          <w:tcPr>
            <w:tcW w:w="1701" w:type="dxa"/>
            <w:vAlign w:val="center"/>
          </w:tcPr>
          <w:p w:rsidR="002B232B" w:rsidRDefault="0056363F">
            <w:pPr>
              <w:jc w:val="center"/>
            </w:pPr>
            <w:r>
              <w:rPr>
                <w:color w:val="000000"/>
                <w:sz w:val="24"/>
              </w:rPr>
              <w:t>贵州茅台</w:t>
            </w:r>
          </w:p>
        </w:tc>
        <w:tc>
          <w:tcPr>
            <w:tcW w:w="1559" w:type="dxa"/>
            <w:vAlign w:val="center"/>
          </w:tcPr>
          <w:p w:rsidR="002B232B" w:rsidRDefault="0056363F">
            <w:pPr>
              <w:jc w:val="right"/>
            </w:pPr>
            <w:r>
              <w:rPr>
                <w:color w:val="000000"/>
                <w:sz w:val="24"/>
              </w:rPr>
              <w:t>150,043</w:t>
            </w:r>
          </w:p>
        </w:tc>
        <w:tc>
          <w:tcPr>
            <w:tcW w:w="1701" w:type="dxa"/>
            <w:vAlign w:val="center"/>
          </w:tcPr>
          <w:p w:rsidR="002B232B" w:rsidRDefault="0056363F">
            <w:pPr>
              <w:jc w:val="right"/>
            </w:pPr>
            <w:r>
              <w:rPr>
                <w:color w:val="000000"/>
                <w:sz w:val="24"/>
              </w:rPr>
              <w:t>88,526,870.43</w:t>
            </w:r>
          </w:p>
        </w:tc>
        <w:tc>
          <w:tcPr>
            <w:tcW w:w="1843" w:type="dxa"/>
            <w:vAlign w:val="center"/>
          </w:tcPr>
          <w:p w:rsidR="002B232B" w:rsidRDefault="0056363F">
            <w:pPr>
              <w:jc w:val="right"/>
            </w:pPr>
            <w:r>
              <w:rPr>
                <w:color w:val="000000"/>
                <w:sz w:val="24"/>
              </w:rPr>
              <w:t>9.04</w:t>
            </w:r>
          </w:p>
        </w:tc>
      </w:tr>
      <w:tr w:rsidR="002B232B">
        <w:trPr>
          <w:jc w:val="center"/>
        </w:trPr>
        <w:tc>
          <w:tcPr>
            <w:tcW w:w="817" w:type="dxa"/>
            <w:vAlign w:val="center"/>
          </w:tcPr>
          <w:p w:rsidR="002B232B" w:rsidRDefault="0056363F">
            <w:pPr>
              <w:jc w:val="center"/>
            </w:pPr>
            <w:r>
              <w:rPr>
                <w:color w:val="000000"/>
                <w:sz w:val="24"/>
              </w:rPr>
              <w:t>3</w:t>
            </w:r>
          </w:p>
        </w:tc>
        <w:tc>
          <w:tcPr>
            <w:tcW w:w="1276" w:type="dxa"/>
            <w:vAlign w:val="center"/>
          </w:tcPr>
          <w:p w:rsidR="002B232B" w:rsidRDefault="0056363F">
            <w:pPr>
              <w:jc w:val="center"/>
            </w:pPr>
            <w:r>
              <w:rPr>
                <w:color w:val="000000"/>
                <w:sz w:val="24"/>
              </w:rPr>
              <w:t>002304</w:t>
            </w:r>
          </w:p>
        </w:tc>
        <w:tc>
          <w:tcPr>
            <w:tcW w:w="1701" w:type="dxa"/>
            <w:vAlign w:val="center"/>
          </w:tcPr>
          <w:p w:rsidR="002B232B" w:rsidRDefault="0056363F">
            <w:pPr>
              <w:jc w:val="center"/>
            </w:pPr>
            <w:r>
              <w:rPr>
                <w:color w:val="000000"/>
                <w:sz w:val="24"/>
              </w:rPr>
              <w:t>洋河股份</w:t>
            </w:r>
          </w:p>
        </w:tc>
        <w:tc>
          <w:tcPr>
            <w:tcW w:w="1559" w:type="dxa"/>
            <w:vAlign w:val="center"/>
          </w:tcPr>
          <w:p w:rsidR="002B232B" w:rsidRDefault="0056363F">
            <w:pPr>
              <w:jc w:val="right"/>
            </w:pPr>
            <w:r>
              <w:rPr>
                <w:color w:val="000000"/>
                <w:sz w:val="24"/>
              </w:rPr>
              <w:t>637,430</w:t>
            </w:r>
          </w:p>
        </w:tc>
        <w:tc>
          <w:tcPr>
            <w:tcW w:w="1701" w:type="dxa"/>
            <w:vAlign w:val="center"/>
          </w:tcPr>
          <w:p w:rsidR="002B232B" w:rsidRDefault="0056363F">
            <w:pPr>
              <w:jc w:val="right"/>
            </w:pPr>
            <w:r>
              <w:rPr>
                <w:color w:val="000000"/>
                <w:sz w:val="24"/>
              </w:rPr>
              <w:t>60,377,369.60</w:t>
            </w:r>
          </w:p>
        </w:tc>
        <w:tc>
          <w:tcPr>
            <w:tcW w:w="1843" w:type="dxa"/>
            <w:vAlign w:val="center"/>
          </w:tcPr>
          <w:p w:rsidR="002B232B" w:rsidRDefault="0056363F">
            <w:pPr>
              <w:jc w:val="right"/>
            </w:pPr>
            <w:r>
              <w:rPr>
                <w:color w:val="000000"/>
                <w:sz w:val="24"/>
              </w:rPr>
              <w:t>6.17</w:t>
            </w:r>
          </w:p>
        </w:tc>
      </w:tr>
      <w:tr w:rsidR="002B232B">
        <w:trPr>
          <w:jc w:val="center"/>
        </w:trPr>
        <w:tc>
          <w:tcPr>
            <w:tcW w:w="817" w:type="dxa"/>
            <w:vAlign w:val="center"/>
          </w:tcPr>
          <w:p w:rsidR="002B232B" w:rsidRDefault="0056363F">
            <w:pPr>
              <w:jc w:val="center"/>
            </w:pPr>
            <w:r>
              <w:rPr>
                <w:color w:val="000000"/>
                <w:sz w:val="24"/>
              </w:rPr>
              <w:t>4</w:t>
            </w:r>
          </w:p>
        </w:tc>
        <w:tc>
          <w:tcPr>
            <w:tcW w:w="1276" w:type="dxa"/>
            <w:vAlign w:val="center"/>
          </w:tcPr>
          <w:p w:rsidR="002B232B" w:rsidRDefault="0056363F">
            <w:pPr>
              <w:jc w:val="center"/>
            </w:pPr>
            <w:r>
              <w:rPr>
                <w:color w:val="000000"/>
                <w:sz w:val="24"/>
              </w:rPr>
              <w:t>601155</w:t>
            </w:r>
          </w:p>
        </w:tc>
        <w:tc>
          <w:tcPr>
            <w:tcW w:w="1701" w:type="dxa"/>
            <w:vAlign w:val="center"/>
          </w:tcPr>
          <w:p w:rsidR="002B232B" w:rsidRDefault="0056363F">
            <w:pPr>
              <w:jc w:val="center"/>
            </w:pPr>
            <w:r>
              <w:rPr>
                <w:color w:val="000000"/>
                <w:sz w:val="24"/>
              </w:rPr>
              <w:t>新城控股</w:t>
            </w:r>
          </w:p>
        </w:tc>
        <w:tc>
          <w:tcPr>
            <w:tcW w:w="1559" w:type="dxa"/>
            <w:vAlign w:val="center"/>
          </w:tcPr>
          <w:p w:rsidR="002B232B" w:rsidRDefault="0056363F">
            <w:pPr>
              <w:jc w:val="right"/>
            </w:pPr>
            <w:r>
              <w:rPr>
                <w:color w:val="000000"/>
                <w:sz w:val="24"/>
              </w:rPr>
              <w:t>2,526,729</w:t>
            </w:r>
          </w:p>
        </w:tc>
        <w:tc>
          <w:tcPr>
            <w:tcW w:w="1701" w:type="dxa"/>
            <w:vAlign w:val="center"/>
          </w:tcPr>
          <w:p w:rsidR="002B232B" w:rsidRDefault="0056363F">
            <w:pPr>
              <w:jc w:val="right"/>
            </w:pPr>
            <w:r>
              <w:rPr>
                <w:color w:val="000000"/>
                <w:sz w:val="24"/>
              </w:rPr>
              <w:t>59,858,210.01</w:t>
            </w:r>
          </w:p>
        </w:tc>
        <w:tc>
          <w:tcPr>
            <w:tcW w:w="1843" w:type="dxa"/>
            <w:vAlign w:val="center"/>
          </w:tcPr>
          <w:p w:rsidR="002B232B" w:rsidRDefault="0056363F">
            <w:pPr>
              <w:jc w:val="right"/>
            </w:pPr>
            <w:r>
              <w:rPr>
                <w:color w:val="000000"/>
                <w:sz w:val="24"/>
              </w:rPr>
              <w:t>6.11</w:t>
            </w:r>
          </w:p>
        </w:tc>
      </w:tr>
      <w:tr w:rsidR="002B232B">
        <w:trPr>
          <w:jc w:val="center"/>
        </w:trPr>
        <w:tc>
          <w:tcPr>
            <w:tcW w:w="817" w:type="dxa"/>
            <w:vAlign w:val="center"/>
          </w:tcPr>
          <w:p w:rsidR="002B232B" w:rsidRDefault="0056363F">
            <w:pPr>
              <w:jc w:val="center"/>
            </w:pPr>
            <w:r>
              <w:rPr>
                <w:color w:val="000000"/>
                <w:sz w:val="24"/>
              </w:rPr>
              <w:t>5</w:t>
            </w:r>
          </w:p>
        </w:tc>
        <w:tc>
          <w:tcPr>
            <w:tcW w:w="1276" w:type="dxa"/>
            <w:vAlign w:val="center"/>
          </w:tcPr>
          <w:p w:rsidR="002B232B" w:rsidRDefault="0056363F">
            <w:pPr>
              <w:jc w:val="center"/>
            </w:pPr>
            <w:r>
              <w:rPr>
                <w:color w:val="000000"/>
                <w:sz w:val="24"/>
              </w:rPr>
              <w:t>000858</w:t>
            </w:r>
          </w:p>
        </w:tc>
        <w:tc>
          <w:tcPr>
            <w:tcW w:w="1701" w:type="dxa"/>
            <w:vAlign w:val="center"/>
          </w:tcPr>
          <w:p w:rsidR="002B232B" w:rsidRDefault="0056363F">
            <w:pPr>
              <w:jc w:val="center"/>
            </w:pPr>
            <w:r>
              <w:rPr>
                <w:color w:val="000000"/>
                <w:sz w:val="24"/>
              </w:rPr>
              <w:t>五粮液</w:t>
            </w:r>
          </w:p>
        </w:tc>
        <w:tc>
          <w:tcPr>
            <w:tcW w:w="1559" w:type="dxa"/>
            <w:vAlign w:val="center"/>
          </w:tcPr>
          <w:p w:rsidR="002B232B" w:rsidRDefault="0056363F">
            <w:pPr>
              <w:jc w:val="right"/>
            </w:pPr>
            <w:r>
              <w:rPr>
                <w:color w:val="000000"/>
                <w:sz w:val="24"/>
              </w:rPr>
              <w:t>1,173,667</w:t>
            </w:r>
          </w:p>
        </w:tc>
        <w:tc>
          <w:tcPr>
            <w:tcW w:w="1701" w:type="dxa"/>
            <w:vAlign w:val="center"/>
          </w:tcPr>
          <w:p w:rsidR="002B232B" w:rsidRDefault="0056363F">
            <w:pPr>
              <w:jc w:val="right"/>
            </w:pPr>
            <w:r>
              <w:rPr>
                <w:color w:val="000000"/>
                <w:sz w:val="24"/>
              </w:rPr>
              <w:t>59,716,176.96</w:t>
            </w:r>
          </w:p>
        </w:tc>
        <w:tc>
          <w:tcPr>
            <w:tcW w:w="1843" w:type="dxa"/>
            <w:vAlign w:val="center"/>
          </w:tcPr>
          <w:p w:rsidR="002B232B" w:rsidRDefault="0056363F">
            <w:pPr>
              <w:jc w:val="right"/>
            </w:pPr>
            <w:r>
              <w:rPr>
                <w:color w:val="000000"/>
                <w:sz w:val="24"/>
              </w:rPr>
              <w:t>6.10</w:t>
            </w:r>
          </w:p>
        </w:tc>
      </w:tr>
      <w:tr w:rsidR="002B232B">
        <w:trPr>
          <w:jc w:val="center"/>
        </w:trPr>
        <w:tc>
          <w:tcPr>
            <w:tcW w:w="817" w:type="dxa"/>
            <w:vAlign w:val="center"/>
          </w:tcPr>
          <w:p w:rsidR="002B232B" w:rsidRDefault="0056363F">
            <w:pPr>
              <w:jc w:val="center"/>
            </w:pPr>
            <w:r>
              <w:rPr>
                <w:color w:val="000000"/>
                <w:sz w:val="24"/>
              </w:rPr>
              <w:t>6</w:t>
            </w:r>
          </w:p>
        </w:tc>
        <w:tc>
          <w:tcPr>
            <w:tcW w:w="1276" w:type="dxa"/>
            <w:vAlign w:val="center"/>
          </w:tcPr>
          <w:p w:rsidR="002B232B" w:rsidRDefault="0056363F">
            <w:pPr>
              <w:jc w:val="center"/>
            </w:pPr>
            <w:r>
              <w:rPr>
                <w:color w:val="000000"/>
                <w:sz w:val="24"/>
              </w:rPr>
              <w:t>603808</w:t>
            </w:r>
          </w:p>
        </w:tc>
        <w:tc>
          <w:tcPr>
            <w:tcW w:w="1701" w:type="dxa"/>
            <w:vAlign w:val="center"/>
          </w:tcPr>
          <w:p w:rsidR="002B232B" w:rsidRDefault="0056363F">
            <w:pPr>
              <w:jc w:val="center"/>
            </w:pPr>
            <w:r>
              <w:rPr>
                <w:color w:val="000000"/>
                <w:sz w:val="24"/>
              </w:rPr>
              <w:t>歌力思</w:t>
            </w:r>
          </w:p>
        </w:tc>
        <w:tc>
          <w:tcPr>
            <w:tcW w:w="1559" w:type="dxa"/>
            <w:vAlign w:val="center"/>
          </w:tcPr>
          <w:p w:rsidR="002B232B" w:rsidRDefault="0056363F">
            <w:pPr>
              <w:jc w:val="right"/>
            </w:pPr>
            <w:r>
              <w:rPr>
                <w:color w:val="000000"/>
                <w:sz w:val="24"/>
              </w:rPr>
              <w:t>3,654,150</w:t>
            </w:r>
          </w:p>
        </w:tc>
        <w:tc>
          <w:tcPr>
            <w:tcW w:w="1701" w:type="dxa"/>
            <w:vAlign w:val="center"/>
          </w:tcPr>
          <w:p w:rsidR="002B232B" w:rsidRDefault="0056363F">
            <w:pPr>
              <w:jc w:val="right"/>
            </w:pPr>
            <w:r>
              <w:rPr>
                <w:color w:val="000000"/>
                <w:sz w:val="24"/>
              </w:rPr>
              <w:t>59,343,396.00</w:t>
            </w:r>
          </w:p>
        </w:tc>
        <w:tc>
          <w:tcPr>
            <w:tcW w:w="1843" w:type="dxa"/>
            <w:vAlign w:val="center"/>
          </w:tcPr>
          <w:p w:rsidR="002B232B" w:rsidRDefault="0056363F">
            <w:pPr>
              <w:jc w:val="right"/>
            </w:pPr>
            <w:r>
              <w:rPr>
                <w:color w:val="000000"/>
                <w:sz w:val="24"/>
              </w:rPr>
              <w:t>6.06</w:t>
            </w:r>
          </w:p>
        </w:tc>
      </w:tr>
      <w:tr w:rsidR="002B232B">
        <w:trPr>
          <w:jc w:val="center"/>
        </w:trPr>
        <w:tc>
          <w:tcPr>
            <w:tcW w:w="817" w:type="dxa"/>
            <w:vAlign w:val="center"/>
          </w:tcPr>
          <w:p w:rsidR="002B232B" w:rsidRDefault="0056363F">
            <w:pPr>
              <w:jc w:val="center"/>
            </w:pPr>
            <w:r>
              <w:rPr>
                <w:color w:val="000000"/>
                <w:sz w:val="24"/>
              </w:rPr>
              <w:t>7</w:t>
            </w:r>
          </w:p>
        </w:tc>
        <w:tc>
          <w:tcPr>
            <w:tcW w:w="1276" w:type="dxa"/>
            <w:vAlign w:val="center"/>
          </w:tcPr>
          <w:p w:rsidR="002B232B" w:rsidRDefault="0056363F">
            <w:pPr>
              <w:jc w:val="center"/>
            </w:pPr>
            <w:r>
              <w:rPr>
                <w:color w:val="000000"/>
                <w:sz w:val="24"/>
              </w:rPr>
              <w:t>600048</w:t>
            </w:r>
          </w:p>
        </w:tc>
        <w:tc>
          <w:tcPr>
            <w:tcW w:w="1701" w:type="dxa"/>
            <w:vAlign w:val="center"/>
          </w:tcPr>
          <w:p w:rsidR="002B232B" w:rsidRDefault="0056363F">
            <w:pPr>
              <w:jc w:val="center"/>
            </w:pPr>
            <w:r>
              <w:rPr>
                <w:color w:val="000000"/>
                <w:sz w:val="24"/>
              </w:rPr>
              <w:t>保利地产</w:t>
            </w:r>
          </w:p>
        </w:tc>
        <w:tc>
          <w:tcPr>
            <w:tcW w:w="1559" w:type="dxa"/>
            <w:vAlign w:val="center"/>
          </w:tcPr>
          <w:p w:rsidR="002B232B" w:rsidRDefault="0056363F">
            <w:pPr>
              <w:jc w:val="right"/>
            </w:pPr>
            <w:r>
              <w:rPr>
                <w:color w:val="000000"/>
                <w:sz w:val="24"/>
              </w:rPr>
              <w:t>4,965,091</w:t>
            </w:r>
          </w:p>
        </w:tc>
        <w:tc>
          <w:tcPr>
            <w:tcW w:w="1701" w:type="dxa"/>
            <w:vAlign w:val="center"/>
          </w:tcPr>
          <w:p w:rsidR="002B232B" w:rsidRDefault="0056363F">
            <w:pPr>
              <w:jc w:val="right"/>
            </w:pPr>
            <w:r>
              <w:rPr>
                <w:color w:val="000000"/>
                <w:sz w:val="24"/>
              </w:rPr>
              <w:t>58,538,422.89</w:t>
            </w:r>
          </w:p>
        </w:tc>
        <w:tc>
          <w:tcPr>
            <w:tcW w:w="1843" w:type="dxa"/>
            <w:vAlign w:val="center"/>
          </w:tcPr>
          <w:p w:rsidR="002B232B" w:rsidRDefault="0056363F">
            <w:pPr>
              <w:jc w:val="right"/>
            </w:pPr>
            <w:r>
              <w:rPr>
                <w:color w:val="000000"/>
                <w:sz w:val="24"/>
              </w:rPr>
              <w:t>5.98</w:t>
            </w:r>
          </w:p>
        </w:tc>
      </w:tr>
      <w:tr w:rsidR="002B232B">
        <w:trPr>
          <w:jc w:val="center"/>
        </w:trPr>
        <w:tc>
          <w:tcPr>
            <w:tcW w:w="817" w:type="dxa"/>
            <w:vAlign w:val="center"/>
          </w:tcPr>
          <w:p w:rsidR="002B232B" w:rsidRDefault="0056363F">
            <w:pPr>
              <w:jc w:val="center"/>
            </w:pPr>
            <w:r>
              <w:rPr>
                <w:color w:val="000000"/>
                <w:sz w:val="24"/>
              </w:rPr>
              <w:t>8</w:t>
            </w:r>
          </w:p>
        </w:tc>
        <w:tc>
          <w:tcPr>
            <w:tcW w:w="1276" w:type="dxa"/>
            <w:vAlign w:val="center"/>
          </w:tcPr>
          <w:p w:rsidR="002B232B" w:rsidRDefault="0056363F">
            <w:pPr>
              <w:jc w:val="center"/>
            </w:pPr>
            <w:r>
              <w:rPr>
                <w:color w:val="000000"/>
                <w:sz w:val="24"/>
              </w:rPr>
              <w:t>600276</w:t>
            </w:r>
          </w:p>
        </w:tc>
        <w:tc>
          <w:tcPr>
            <w:tcW w:w="1701" w:type="dxa"/>
            <w:vAlign w:val="center"/>
          </w:tcPr>
          <w:p w:rsidR="002B232B" w:rsidRDefault="0056363F">
            <w:pPr>
              <w:jc w:val="center"/>
            </w:pPr>
            <w:r>
              <w:rPr>
                <w:color w:val="000000"/>
                <w:sz w:val="24"/>
              </w:rPr>
              <w:t>恒瑞医药</w:t>
            </w:r>
          </w:p>
        </w:tc>
        <w:tc>
          <w:tcPr>
            <w:tcW w:w="1559" w:type="dxa"/>
            <w:vAlign w:val="center"/>
          </w:tcPr>
          <w:p w:rsidR="002B232B" w:rsidRDefault="0056363F">
            <w:pPr>
              <w:jc w:val="right"/>
            </w:pPr>
            <w:r>
              <w:rPr>
                <w:color w:val="000000"/>
                <w:sz w:val="24"/>
              </w:rPr>
              <w:t>923,100</w:t>
            </w:r>
          </w:p>
        </w:tc>
        <w:tc>
          <w:tcPr>
            <w:tcW w:w="1701" w:type="dxa"/>
            <w:vAlign w:val="center"/>
          </w:tcPr>
          <w:p w:rsidR="002B232B" w:rsidRDefault="0056363F">
            <w:pPr>
              <w:jc w:val="right"/>
            </w:pPr>
            <w:r>
              <w:rPr>
                <w:color w:val="000000"/>
                <w:sz w:val="24"/>
              </w:rPr>
              <w:t>48,693,525.00</w:t>
            </w:r>
          </w:p>
        </w:tc>
        <w:tc>
          <w:tcPr>
            <w:tcW w:w="1843" w:type="dxa"/>
            <w:vAlign w:val="center"/>
          </w:tcPr>
          <w:p w:rsidR="002B232B" w:rsidRDefault="0056363F">
            <w:pPr>
              <w:jc w:val="right"/>
            </w:pPr>
            <w:r>
              <w:rPr>
                <w:color w:val="000000"/>
                <w:sz w:val="24"/>
              </w:rPr>
              <w:t>4.97</w:t>
            </w:r>
          </w:p>
        </w:tc>
      </w:tr>
      <w:tr w:rsidR="002B232B">
        <w:trPr>
          <w:jc w:val="center"/>
        </w:trPr>
        <w:tc>
          <w:tcPr>
            <w:tcW w:w="817" w:type="dxa"/>
            <w:vAlign w:val="center"/>
          </w:tcPr>
          <w:p w:rsidR="002B232B" w:rsidRDefault="0056363F">
            <w:pPr>
              <w:jc w:val="center"/>
            </w:pPr>
            <w:r>
              <w:rPr>
                <w:color w:val="000000"/>
                <w:sz w:val="24"/>
              </w:rPr>
              <w:t>9</w:t>
            </w:r>
          </w:p>
        </w:tc>
        <w:tc>
          <w:tcPr>
            <w:tcW w:w="1276" w:type="dxa"/>
            <w:vAlign w:val="center"/>
          </w:tcPr>
          <w:p w:rsidR="002B232B" w:rsidRDefault="0056363F">
            <w:pPr>
              <w:jc w:val="center"/>
            </w:pPr>
            <w:r>
              <w:rPr>
                <w:color w:val="000000"/>
                <w:sz w:val="24"/>
              </w:rPr>
              <w:t>600887</w:t>
            </w:r>
          </w:p>
        </w:tc>
        <w:tc>
          <w:tcPr>
            <w:tcW w:w="1701" w:type="dxa"/>
            <w:vAlign w:val="center"/>
          </w:tcPr>
          <w:p w:rsidR="002B232B" w:rsidRDefault="0056363F">
            <w:pPr>
              <w:jc w:val="center"/>
            </w:pPr>
            <w:r>
              <w:rPr>
                <w:color w:val="000000"/>
                <w:sz w:val="24"/>
              </w:rPr>
              <w:t>伊利股份</w:t>
            </w:r>
          </w:p>
        </w:tc>
        <w:tc>
          <w:tcPr>
            <w:tcW w:w="1559" w:type="dxa"/>
            <w:vAlign w:val="center"/>
          </w:tcPr>
          <w:p w:rsidR="002B232B" w:rsidRDefault="0056363F">
            <w:pPr>
              <w:jc w:val="right"/>
            </w:pPr>
            <w:r>
              <w:rPr>
                <w:color w:val="000000"/>
                <w:sz w:val="24"/>
              </w:rPr>
              <w:t>1,756,642</w:t>
            </w:r>
          </w:p>
        </w:tc>
        <w:tc>
          <w:tcPr>
            <w:tcW w:w="1701" w:type="dxa"/>
            <w:vAlign w:val="center"/>
          </w:tcPr>
          <w:p w:rsidR="002B232B" w:rsidRDefault="0056363F">
            <w:pPr>
              <w:jc w:val="right"/>
            </w:pPr>
            <w:r>
              <w:rPr>
                <w:color w:val="000000"/>
                <w:sz w:val="24"/>
              </w:rPr>
              <w:t>40,191,968.96</w:t>
            </w:r>
          </w:p>
        </w:tc>
        <w:tc>
          <w:tcPr>
            <w:tcW w:w="1843" w:type="dxa"/>
            <w:vAlign w:val="center"/>
          </w:tcPr>
          <w:p w:rsidR="002B232B" w:rsidRDefault="0056363F">
            <w:pPr>
              <w:jc w:val="right"/>
            </w:pPr>
            <w:r>
              <w:rPr>
                <w:color w:val="000000"/>
                <w:sz w:val="24"/>
              </w:rPr>
              <w:t>4.10</w:t>
            </w:r>
          </w:p>
        </w:tc>
      </w:tr>
      <w:tr w:rsidR="002B232B">
        <w:trPr>
          <w:jc w:val="center"/>
        </w:trPr>
        <w:tc>
          <w:tcPr>
            <w:tcW w:w="817" w:type="dxa"/>
            <w:vAlign w:val="center"/>
          </w:tcPr>
          <w:p w:rsidR="002B232B" w:rsidRDefault="0056363F">
            <w:pPr>
              <w:jc w:val="center"/>
            </w:pPr>
            <w:r>
              <w:rPr>
                <w:color w:val="000000"/>
                <w:sz w:val="24"/>
              </w:rPr>
              <w:t>10</w:t>
            </w:r>
          </w:p>
        </w:tc>
        <w:tc>
          <w:tcPr>
            <w:tcW w:w="1276" w:type="dxa"/>
            <w:vAlign w:val="center"/>
          </w:tcPr>
          <w:p w:rsidR="002B232B" w:rsidRDefault="0056363F">
            <w:pPr>
              <w:jc w:val="center"/>
            </w:pPr>
            <w:r>
              <w:rPr>
                <w:color w:val="000000"/>
                <w:sz w:val="24"/>
              </w:rPr>
              <w:t>000002</w:t>
            </w:r>
          </w:p>
        </w:tc>
        <w:tc>
          <w:tcPr>
            <w:tcW w:w="1701" w:type="dxa"/>
            <w:vAlign w:val="center"/>
          </w:tcPr>
          <w:p w:rsidR="002B232B" w:rsidRDefault="0056363F">
            <w:pPr>
              <w:jc w:val="center"/>
            </w:pPr>
            <w:r>
              <w:rPr>
                <w:color w:val="000000"/>
                <w:sz w:val="24"/>
              </w:rPr>
              <w:t>万科</w:t>
            </w:r>
            <w:r>
              <w:rPr>
                <w:color w:val="000000"/>
                <w:sz w:val="24"/>
              </w:rPr>
              <w:t>A</w:t>
            </w:r>
          </w:p>
        </w:tc>
        <w:tc>
          <w:tcPr>
            <w:tcW w:w="1559" w:type="dxa"/>
            <w:vAlign w:val="center"/>
          </w:tcPr>
          <w:p w:rsidR="002B232B" w:rsidRDefault="0056363F">
            <w:pPr>
              <w:jc w:val="right"/>
            </w:pPr>
            <w:r>
              <w:rPr>
                <w:color w:val="000000"/>
                <w:sz w:val="24"/>
              </w:rPr>
              <w:t>1,378,316</w:t>
            </w:r>
          </w:p>
        </w:tc>
        <w:tc>
          <w:tcPr>
            <w:tcW w:w="1701" w:type="dxa"/>
            <w:vAlign w:val="center"/>
          </w:tcPr>
          <w:p w:rsidR="002B232B" w:rsidRDefault="0056363F">
            <w:pPr>
              <w:jc w:val="right"/>
            </w:pPr>
            <w:r>
              <w:rPr>
                <w:color w:val="000000"/>
                <w:sz w:val="24"/>
              </w:rPr>
              <w:t>32,831,487.12</w:t>
            </w:r>
          </w:p>
        </w:tc>
        <w:tc>
          <w:tcPr>
            <w:tcW w:w="1843" w:type="dxa"/>
            <w:vAlign w:val="center"/>
          </w:tcPr>
          <w:p w:rsidR="002B232B" w:rsidRDefault="0056363F">
            <w:pPr>
              <w:jc w:val="right"/>
            </w:pPr>
            <w:r>
              <w:rPr>
                <w:color w:val="000000"/>
                <w:sz w:val="24"/>
              </w:rPr>
              <w:t>3.35</w:t>
            </w:r>
          </w:p>
        </w:tc>
      </w:tr>
    </w:tbl>
    <w:p w:rsidR="001A59F9" w:rsidRPr="00A20DFB" w:rsidRDefault="001A59F9" w:rsidP="00016A50">
      <w:pPr>
        <w:tabs>
          <w:tab w:val="left" w:pos="426"/>
        </w:tabs>
        <w:spacing w:line="360" w:lineRule="auto"/>
        <w:jc w:val="left"/>
        <w:rPr>
          <w:kern w:val="0"/>
          <w:sz w:val="24"/>
        </w:rPr>
      </w:pPr>
      <w:r w:rsidRPr="00A20DFB">
        <w:rPr>
          <w:kern w:val="0"/>
          <w:sz w:val="24"/>
        </w:rPr>
        <w:t>注：投资者欲了解本报告期末基金投资的所有股票明细，应阅读登载于基金管理人网站</w:t>
      </w:r>
      <w:r w:rsidRPr="00A20DFB">
        <w:rPr>
          <w:kern w:val="0"/>
          <w:sz w:val="24"/>
        </w:rPr>
        <w:lastRenderedPageBreak/>
        <w:t>的年度报告正文。</w:t>
      </w:r>
    </w:p>
    <w:p w:rsidR="00A20DFB" w:rsidRPr="00C51C77" w:rsidRDefault="00A20DFB" w:rsidP="00016A50">
      <w:pPr>
        <w:tabs>
          <w:tab w:val="left" w:pos="426"/>
        </w:tabs>
        <w:spacing w:line="360" w:lineRule="auto"/>
        <w:jc w:val="left"/>
        <w:rPr>
          <w:rFonts w:asciiTheme="minorEastAsia" w:eastAsiaTheme="minorEastAsia" w:hAnsiTheme="minorEastAsia" w:cs="宋体"/>
          <w:kern w:val="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68" w:name="_Toc361324882"/>
      <w:r w:rsidRPr="00245C29">
        <w:rPr>
          <w:rFonts w:ascii="Times New Roman" w:hAnsi="Times New Roman"/>
          <w:kern w:val="0"/>
          <w:szCs w:val="24"/>
        </w:rPr>
        <w:t>8.4</w:t>
      </w:r>
      <w:bookmarkStart w:id="69" w:name="_Toc234814103"/>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报告期内股票投资组合的重大变动</w:t>
      </w:r>
      <w:bookmarkEnd w:id="68"/>
      <w:bookmarkEnd w:id="69"/>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8.4.1</w:t>
      </w:r>
      <w:r w:rsidR="00024200" w:rsidRPr="00245C29">
        <w:rPr>
          <w:rFonts w:ascii="Times New Roman" w:hAnsi="Times New Roman" w:hint="eastAsia"/>
          <w:kern w:val="0"/>
          <w:szCs w:val="24"/>
        </w:rPr>
        <w:t xml:space="preserve"> </w:t>
      </w:r>
      <w:r w:rsidRPr="00245C29">
        <w:rPr>
          <w:rFonts w:ascii="Times New Roman" w:hAnsi="Times New Roman" w:hint="eastAsia"/>
          <w:kern w:val="0"/>
          <w:szCs w:val="24"/>
        </w:rPr>
        <w:t>累计买入金额超出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本期累计买入金额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B232B">
        <w:tc>
          <w:tcPr>
            <w:tcW w:w="870" w:type="dxa"/>
            <w:vAlign w:val="center"/>
          </w:tcPr>
          <w:p w:rsidR="002B232B" w:rsidRDefault="0056363F">
            <w:pPr>
              <w:jc w:val="center"/>
            </w:pPr>
            <w:r>
              <w:rPr>
                <w:color w:val="000000"/>
                <w:sz w:val="24"/>
              </w:rPr>
              <w:t>1</w:t>
            </w:r>
          </w:p>
        </w:tc>
        <w:tc>
          <w:tcPr>
            <w:tcW w:w="1650" w:type="dxa"/>
            <w:vAlign w:val="center"/>
          </w:tcPr>
          <w:p w:rsidR="002B232B" w:rsidRDefault="0056363F">
            <w:pPr>
              <w:jc w:val="center"/>
            </w:pPr>
            <w:r>
              <w:rPr>
                <w:color w:val="000000"/>
                <w:sz w:val="24"/>
              </w:rPr>
              <w:t>300146</w:t>
            </w:r>
          </w:p>
        </w:tc>
        <w:tc>
          <w:tcPr>
            <w:tcW w:w="1980" w:type="dxa"/>
            <w:vAlign w:val="center"/>
          </w:tcPr>
          <w:p w:rsidR="002B232B" w:rsidRDefault="0056363F">
            <w:pPr>
              <w:jc w:val="center"/>
            </w:pPr>
            <w:r>
              <w:rPr>
                <w:color w:val="000000"/>
                <w:sz w:val="24"/>
              </w:rPr>
              <w:t>汤臣倍健</w:t>
            </w:r>
          </w:p>
        </w:tc>
        <w:tc>
          <w:tcPr>
            <w:tcW w:w="2880" w:type="dxa"/>
            <w:vAlign w:val="center"/>
          </w:tcPr>
          <w:p w:rsidR="002B232B" w:rsidRDefault="0056363F">
            <w:pPr>
              <w:jc w:val="right"/>
            </w:pPr>
            <w:r>
              <w:rPr>
                <w:color w:val="000000"/>
                <w:sz w:val="24"/>
              </w:rPr>
              <w:t>124,987,571.01</w:t>
            </w:r>
          </w:p>
        </w:tc>
        <w:tc>
          <w:tcPr>
            <w:tcW w:w="1620" w:type="dxa"/>
            <w:vAlign w:val="center"/>
          </w:tcPr>
          <w:p w:rsidR="002B232B" w:rsidRDefault="0056363F">
            <w:pPr>
              <w:jc w:val="right"/>
            </w:pPr>
            <w:r>
              <w:rPr>
                <w:color w:val="000000"/>
                <w:sz w:val="24"/>
              </w:rPr>
              <w:t>16.49</w:t>
            </w:r>
          </w:p>
        </w:tc>
      </w:tr>
      <w:tr w:rsidR="002B232B">
        <w:tc>
          <w:tcPr>
            <w:tcW w:w="870" w:type="dxa"/>
            <w:vAlign w:val="center"/>
          </w:tcPr>
          <w:p w:rsidR="002B232B" w:rsidRDefault="0056363F">
            <w:pPr>
              <w:jc w:val="center"/>
            </w:pPr>
            <w:r>
              <w:rPr>
                <w:color w:val="000000"/>
                <w:sz w:val="24"/>
              </w:rPr>
              <w:t>2</w:t>
            </w:r>
          </w:p>
        </w:tc>
        <w:tc>
          <w:tcPr>
            <w:tcW w:w="1650" w:type="dxa"/>
            <w:vAlign w:val="center"/>
          </w:tcPr>
          <w:p w:rsidR="002B232B" w:rsidRDefault="0056363F">
            <w:pPr>
              <w:jc w:val="center"/>
            </w:pPr>
            <w:r>
              <w:rPr>
                <w:color w:val="000000"/>
                <w:sz w:val="24"/>
              </w:rPr>
              <w:t>600519</w:t>
            </w:r>
          </w:p>
        </w:tc>
        <w:tc>
          <w:tcPr>
            <w:tcW w:w="1980" w:type="dxa"/>
            <w:vAlign w:val="center"/>
          </w:tcPr>
          <w:p w:rsidR="002B232B" w:rsidRDefault="0056363F">
            <w:pPr>
              <w:jc w:val="center"/>
            </w:pPr>
            <w:r>
              <w:rPr>
                <w:color w:val="000000"/>
                <w:sz w:val="24"/>
              </w:rPr>
              <w:t>贵州茅台</w:t>
            </w:r>
          </w:p>
        </w:tc>
        <w:tc>
          <w:tcPr>
            <w:tcW w:w="2880" w:type="dxa"/>
            <w:vAlign w:val="center"/>
          </w:tcPr>
          <w:p w:rsidR="002B232B" w:rsidRDefault="0056363F">
            <w:pPr>
              <w:jc w:val="right"/>
            </w:pPr>
            <w:r>
              <w:rPr>
                <w:color w:val="000000"/>
                <w:sz w:val="24"/>
              </w:rPr>
              <w:t>120,165,816.57</w:t>
            </w:r>
          </w:p>
        </w:tc>
        <w:tc>
          <w:tcPr>
            <w:tcW w:w="1620" w:type="dxa"/>
            <w:vAlign w:val="center"/>
          </w:tcPr>
          <w:p w:rsidR="002B232B" w:rsidRDefault="0056363F">
            <w:pPr>
              <w:jc w:val="right"/>
            </w:pPr>
            <w:r>
              <w:rPr>
                <w:color w:val="000000"/>
                <w:sz w:val="24"/>
              </w:rPr>
              <w:t>15.86</w:t>
            </w:r>
          </w:p>
        </w:tc>
      </w:tr>
      <w:tr w:rsidR="002B232B">
        <w:tc>
          <w:tcPr>
            <w:tcW w:w="870" w:type="dxa"/>
            <w:vAlign w:val="center"/>
          </w:tcPr>
          <w:p w:rsidR="002B232B" w:rsidRDefault="0056363F">
            <w:pPr>
              <w:jc w:val="center"/>
            </w:pPr>
            <w:r>
              <w:rPr>
                <w:color w:val="000000"/>
                <w:sz w:val="24"/>
              </w:rPr>
              <w:t>3</w:t>
            </w:r>
          </w:p>
        </w:tc>
        <w:tc>
          <w:tcPr>
            <w:tcW w:w="1650" w:type="dxa"/>
            <w:vAlign w:val="center"/>
          </w:tcPr>
          <w:p w:rsidR="002B232B" w:rsidRDefault="0056363F">
            <w:pPr>
              <w:jc w:val="center"/>
            </w:pPr>
            <w:r>
              <w:rPr>
                <w:color w:val="000000"/>
                <w:sz w:val="24"/>
              </w:rPr>
              <w:t>002304</w:t>
            </w:r>
          </w:p>
        </w:tc>
        <w:tc>
          <w:tcPr>
            <w:tcW w:w="1980" w:type="dxa"/>
            <w:vAlign w:val="center"/>
          </w:tcPr>
          <w:p w:rsidR="002B232B" w:rsidRDefault="0056363F">
            <w:pPr>
              <w:jc w:val="center"/>
            </w:pPr>
            <w:r>
              <w:rPr>
                <w:color w:val="000000"/>
                <w:sz w:val="24"/>
              </w:rPr>
              <w:t>洋河股份</w:t>
            </w:r>
          </w:p>
        </w:tc>
        <w:tc>
          <w:tcPr>
            <w:tcW w:w="2880" w:type="dxa"/>
            <w:vAlign w:val="center"/>
          </w:tcPr>
          <w:p w:rsidR="002B232B" w:rsidRDefault="0056363F">
            <w:pPr>
              <w:jc w:val="right"/>
            </w:pPr>
            <w:r>
              <w:rPr>
                <w:color w:val="000000"/>
                <w:sz w:val="24"/>
              </w:rPr>
              <w:t>110,821,802.53</w:t>
            </w:r>
          </w:p>
        </w:tc>
        <w:tc>
          <w:tcPr>
            <w:tcW w:w="1620" w:type="dxa"/>
            <w:vAlign w:val="center"/>
          </w:tcPr>
          <w:p w:rsidR="002B232B" w:rsidRDefault="0056363F">
            <w:pPr>
              <w:jc w:val="right"/>
            </w:pPr>
            <w:r>
              <w:rPr>
                <w:color w:val="000000"/>
                <w:sz w:val="24"/>
              </w:rPr>
              <w:t>14.62</w:t>
            </w:r>
          </w:p>
        </w:tc>
      </w:tr>
      <w:tr w:rsidR="002B232B">
        <w:tc>
          <w:tcPr>
            <w:tcW w:w="870" w:type="dxa"/>
            <w:vAlign w:val="center"/>
          </w:tcPr>
          <w:p w:rsidR="002B232B" w:rsidRDefault="0056363F">
            <w:pPr>
              <w:jc w:val="center"/>
            </w:pPr>
            <w:r>
              <w:rPr>
                <w:color w:val="000000"/>
                <w:sz w:val="24"/>
              </w:rPr>
              <w:t>4</w:t>
            </w:r>
          </w:p>
        </w:tc>
        <w:tc>
          <w:tcPr>
            <w:tcW w:w="1650" w:type="dxa"/>
            <w:vAlign w:val="center"/>
          </w:tcPr>
          <w:p w:rsidR="002B232B" w:rsidRDefault="0056363F">
            <w:pPr>
              <w:jc w:val="center"/>
            </w:pPr>
            <w:r>
              <w:rPr>
                <w:color w:val="000000"/>
                <w:sz w:val="24"/>
              </w:rPr>
              <w:t>000858</w:t>
            </w:r>
          </w:p>
        </w:tc>
        <w:tc>
          <w:tcPr>
            <w:tcW w:w="1980" w:type="dxa"/>
            <w:vAlign w:val="center"/>
          </w:tcPr>
          <w:p w:rsidR="002B232B" w:rsidRDefault="0056363F">
            <w:pPr>
              <w:jc w:val="center"/>
            </w:pPr>
            <w:r>
              <w:rPr>
                <w:color w:val="000000"/>
                <w:sz w:val="24"/>
              </w:rPr>
              <w:t>五粮液</w:t>
            </w:r>
          </w:p>
        </w:tc>
        <w:tc>
          <w:tcPr>
            <w:tcW w:w="2880" w:type="dxa"/>
            <w:vAlign w:val="center"/>
          </w:tcPr>
          <w:p w:rsidR="002B232B" w:rsidRDefault="0056363F">
            <w:pPr>
              <w:jc w:val="right"/>
            </w:pPr>
            <w:r>
              <w:rPr>
                <w:color w:val="000000"/>
                <w:sz w:val="24"/>
              </w:rPr>
              <w:t>102,717,127.31</w:t>
            </w:r>
          </w:p>
        </w:tc>
        <w:tc>
          <w:tcPr>
            <w:tcW w:w="1620" w:type="dxa"/>
            <w:vAlign w:val="center"/>
          </w:tcPr>
          <w:p w:rsidR="002B232B" w:rsidRDefault="0056363F">
            <w:pPr>
              <w:jc w:val="right"/>
            </w:pPr>
            <w:r>
              <w:rPr>
                <w:color w:val="000000"/>
                <w:sz w:val="24"/>
              </w:rPr>
              <w:t>13.55</w:t>
            </w:r>
          </w:p>
        </w:tc>
      </w:tr>
      <w:tr w:rsidR="002B232B">
        <w:tc>
          <w:tcPr>
            <w:tcW w:w="870" w:type="dxa"/>
            <w:vAlign w:val="center"/>
          </w:tcPr>
          <w:p w:rsidR="002B232B" w:rsidRDefault="0056363F">
            <w:pPr>
              <w:jc w:val="center"/>
            </w:pPr>
            <w:r>
              <w:rPr>
                <w:color w:val="000000"/>
                <w:sz w:val="24"/>
              </w:rPr>
              <w:t>5</w:t>
            </w:r>
          </w:p>
        </w:tc>
        <w:tc>
          <w:tcPr>
            <w:tcW w:w="1650" w:type="dxa"/>
            <w:vAlign w:val="center"/>
          </w:tcPr>
          <w:p w:rsidR="002B232B" w:rsidRDefault="0056363F">
            <w:pPr>
              <w:jc w:val="center"/>
            </w:pPr>
            <w:r>
              <w:rPr>
                <w:color w:val="000000"/>
                <w:sz w:val="24"/>
              </w:rPr>
              <w:t>600048</w:t>
            </w:r>
          </w:p>
        </w:tc>
        <w:tc>
          <w:tcPr>
            <w:tcW w:w="1980" w:type="dxa"/>
            <w:vAlign w:val="center"/>
          </w:tcPr>
          <w:p w:rsidR="002B232B" w:rsidRDefault="0056363F">
            <w:pPr>
              <w:jc w:val="center"/>
            </w:pPr>
            <w:r>
              <w:rPr>
                <w:color w:val="000000"/>
                <w:sz w:val="24"/>
              </w:rPr>
              <w:t>保利地产</w:t>
            </w:r>
          </w:p>
        </w:tc>
        <w:tc>
          <w:tcPr>
            <w:tcW w:w="2880" w:type="dxa"/>
            <w:vAlign w:val="center"/>
          </w:tcPr>
          <w:p w:rsidR="002B232B" w:rsidRDefault="0056363F">
            <w:pPr>
              <w:jc w:val="right"/>
            </w:pPr>
            <w:r>
              <w:rPr>
                <w:color w:val="000000"/>
                <w:sz w:val="24"/>
              </w:rPr>
              <w:t>100,263,356.98</w:t>
            </w:r>
          </w:p>
        </w:tc>
        <w:tc>
          <w:tcPr>
            <w:tcW w:w="1620" w:type="dxa"/>
            <w:vAlign w:val="center"/>
          </w:tcPr>
          <w:p w:rsidR="002B232B" w:rsidRDefault="0056363F">
            <w:pPr>
              <w:jc w:val="right"/>
            </w:pPr>
            <w:r>
              <w:rPr>
                <w:color w:val="000000"/>
                <w:sz w:val="24"/>
              </w:rPr>
              <w:t>13.23</w:t>
            </w:r>
          </w:p>
        </w:tc>
      </w:tr>
      <w:tr w:rsidR="002B232B">
        <w:tc>
          <w:tcPr>
            <w:tcW w:w="870" w:type="dxa"/>
            <w:vAlign w:val="center"/>
          </w:tcPr>
          <w:p w:rsidR="002B232B" w:rsidRDefault="0056363F">
            <w:pPr>
              <w:jc w:val="center"/>
            </w:pPr>
            <w:r>
              <w:rPr>
                <w:color w:val="000000"/>
                <w:sz w:val="24"/>
              </w:rPr>
              <w:t>6</w:t>
            </w:r>
          </w:p>
        </w:tc>
        <w:tc>
          <w:tcPr>
            <w:tcW w:w="1650" w:type="dxa"/>
            <w:vAlign w:val="center"/>
          </w:tcPr>
          <w:p w:rsidR="002B232B" w:rsidRDefault="0056363F">
            <w:pPr>
              <w:jc w:val="center"/>
            </w:pPr>
            <w:r>
              <w:rPr>
                <w:color w:val="000000"/>
                <w:sz w:val="24"/>
              </w:rPr>
              <w:t>600887</w:t>
            </w:r>
          </w:p>
        </w:tc>
        <w:tc>
          <w:tcPr>
            <w:tcW w:w="1980" w:type="dxa"/>
            <w:vAlign w:val="center"/>
          </w:tcPr>
          <w:p w:rsidR="002B232B" w:rsidRDefault="0056363F">
            <w:pPr>
              <w:jc w:val="center"/>
            </w:pPr>
            <w:r>
              <w:rPr>
                <w:color w:val="000000"/>
                <w:sz w:val="24"/>
              </w:rPr>
              <w:t>伊利股份</w:t>
            </w:r>
          </w:p>
        </w:tc>
        <w:tc>
          <w:tcPr>
            <w:tcW w:w="2880" w:type="dxa"/>
            <w:vAlign w:val="center"/>
          </w:tcPr>
          <w:p w:rsidR="002B232B" w:rsidRDefault="0056363F">
            <w:pPr>
              <w:jc w:val="right"/>
            </w:pPr>
            <w:r>
              <w:rPr>
                <w:color w:val="000000"/>
                <w:sz w:val="24"/>
              </w:rPr>
              <w:t>97,579,779.58</w:t>
            </w:r>
          </w:p>
        </w:tc>
        <w:tc>
          <w:tcPr>
            <w:tcW w:w="1620" w:type="dxa"/>
            <w:vAlign w:val="center"/>
          </w:tcPr>
          <w:p w:rsidR="002B232B" w:rsidRDefault="0056363F">
            <w:pPr>
              <w:jc w:val="right"/>
            </w:pPr>
            <w:r>
              <w:rPr>
                <w:color w:val="000000"/>
                <w:sz w:val="24"/>
              </w:rPr>
              <w:t>12.88</w:t>
            </w:r>
          </w:p>
        </w:tc>
      </w:tr>
      <w:tr w:rsidR="002B232B">
        <w:tc>
          <w:tcPr>
            <w:tcW w:w="870" w:type="dxa"/>
            <w:vAlign w:val="center"/>
          </w:tcPr>
          <w:p w:rsidR="002B232B" w:rsidRDefault="0056363F">
            <w:pPr>
              <w:jc w:val="center"/>
            </w:pPr>
            <w:r>
              <w:rPr>
                <w:color w:val="000000"/>
                <w:sz w:val="24"/>
              </w:rPr>
              <w:t>7</w:t>
            </w:r>
          </w:p>
        </w:tc>
        <w:tc>
          <w:tcPr>
            <w:tcW w:w="1650" w:type="dxa"/>
            <w:vAlign w:val="center"/>
          </w:tcPr>
          <w:p w:rsidR="002B232B" w:rsidRDefault="0056363F">
            <w:pPr>
              <w:jc w:val="center"/>
            </w:pPr>
            <w:r>
              <w:rPr>
                <w:color w:val="000000"/>
                <w:sz w:val="24"/>
              </w:rPr>
              <w:t>601155</w:t>
            </w:r>
          </w:p>
        </w:tc>
        <w:tc>
          <w:tcPr>
            <w:tcW w:w="1980" w:type="dxa"/>
            <w:vAlign w:val="center"/>
          </w:tcPr>
          <w:p w:rsidR="002B232B" w:rsidRDefault="0056363F">
            <w:pPr>
              <w:jc w:val="center"/>
            </w:pPr>
            <w:r>
              <w:rPr>
                <w:color w:val="000000"/>
                <w:sz w:val="24"/>
              </w:rPr>
              <w:t>新城控股</w:t>
            </w:r>
          </w:p>
        </w:tc>
        <w:tc>
          <w:tcPr>
            <w:tcW w:w="2880" w:type="dxa"/>
            <w:vAlign w:val="center"/>
          </w:tcPr>
          <w:p w:rsidR="002B232B" w:rsidRDefault="0056363F">
            <w:pPr>
              <w:jc w:val="right"/>
            </w:pPr>
            <w:r>
              <w:rPr>
                <w:color w:val="000000"/>
                <w:sz w:val="24"/>
              </w:rPr>
              <w:t>84,411,065.83</w:t>
            </w:r>
          </w:p>
        </w:tc>
        <w:tc>
          <w:tcPr>
            <w:tcW w:w="1620" w:type="dxa"/>
            <w:vAlign w:val="center"/>
          </w:tcPr>
          <w:p w:rsidR="002B232B" w:rsidRDefault="0056363F">
            <w:pPr>
              <w:jc w:val="right"/>
            </w:pPr>
            <w:r>
              <w:rPr>
                <w:color w:val="000000"/>
                <w:sz w:val="24"/>
              </w:rPr>
              <w:t>11.14</w:t>
            </w:r>
          </w:p>
        </w:tc>
      </w:tr>
      <w:tr w:rsidR="002B232B">
        <w:tc>
          <w:tcPr>
            <w:tcW w:w="870" w:type="dxa"/>
            <w:vAlign w:val="center"/>
          </w:tcPr>
          <w:p w:rsidR="002B232B" w:rsidRDefault="0056363F">
            <w:pPr>
              <w:jc w:val="center"/>
            </w:pPr>
            <w:r>
              <w:rPr>
                <w:color w:val="000000"/>
                <w:sz w:val="24"/>
              </w:rPr>
              <w:t>8</w:t>
            </w:r>
          </w:p>
        </w:tc>
        <w:tc>
          <w:tcPr>
            <w:tcW w:w="1650" w:type="dxa"/>
            <w:vAlign w:val="center"/>
          </w:tcPr>
          <w:p w:rsidR="002B232B" w:rsidRDefault="0056363F">
            <w:pPr>
              <w:jc w:val="center"/>
            </w:pPr>
            <w:r>
              <w:rPr>
                <w:color w:val="000000"/>
                <w:sz w:val="24"/>
              </w:rPr>
              <w:t>000002</w:t>
            </w:r>
          </w:p>
        </w:tc>
        <w:tc>
          <w:tcPr>
            <w:tcW w:w="1980" w:type="dxa"/>
            <w:vAlign w:val="center"/>
          </w:tcPr>
          <w:p w:rsidR="002B232B" w:rsidRDefault="0056363F">
            <w:pPr>
              <w:jc w:val="center"/>
            </w:pPr>
            <w:r>
              <w:rPr>
                <w:color w:val="000000"/>
                <w:sz w:val="24"/>
              </w:rPr>
              <w:t>万科</w:t>
            </w:r>
            <w:r>
              <w:rPr>
                <w:color w:val="000000"/>
                <w:sz w:val="24"/>
              </w:rPr>
              <w:t>A</w:t>
            </w:r>
          </w:p>
        </w:tc>
        <w:tc>
          <w:tcPr>
            <w:tcW w:w="2880" w:type="dxa"/>
            <w:vAlign w:val="center"/>
          </w:tcPr>
          <w:p w:rsidR="002B232B" w:rsidRDefault="0056363F">
            <w:pPr>
              <w:jc w:val="right"/>
            </w:pPr>
            <w:r>
              <w:rPr>
                <w:color w:val="000000"/>
                <w:sz w:val="24"/>
              </w:rPr>
              <w:t>71,599,983.30</w:t>
            </w:r>
          </w:p>
        </w:tc>
        <w:tc>
          <w:tcPr>
            <w:tcW w:w="1620" w:type="dxa"/>
            <w:vAlign w:val="center"/>
          </w:tcPr>
          <w:p w:rsidR="002B232B" w:rsidRDefault="0056363F">
            <w:pPr>
              <w:jc w:val="right"/>
            </w:pPr>
            <w:r>
              <w:rPr>
                <w:color w:val="000000"/>
                <w:sz w:val="24"/>
              </w:rPr>
              <w:t>9.45</w:t>
            </w:r>
          </w:p>
        </w:tc>
      </w:tr>
      <w:tr w:rsidR="002B232B">
        <w:tc>
          <w:tcPr>
            <w:tcW w:w="870" w:type="dxa"/>
            <w:vAlign w:val="center"/>
          </w:tcPr>
          <w:p w:rsidR="002B232B" w:rsidRDefault="0056363F">
            <w:pPr>
              <w:jc w:val="center"/>
            </w:pPr>
            <w:r>
              <w:rPr>
                <w:color w:val="000000"/>
                <w:sz w:val="24"/>
              </w:rPr>
              <w:t>9</w:t>
            </w:r>
          </w:p>
        </w:tc>
        <w:tc>
          <w:tcPr>
            <w:tcW w:w="1650" w:type="dxa"/>
            <w:vAlign w:val="center"/>
          </w:tcPr>
          <w:p w:rsidR="002B232B" w:rsidRDefault="0056363F">
            <w:pPr>
              <w:jc w:val="center"/>
            </w:pPr>
            <w:r>
              <w:rPr>
                <w:color w:val="000000"/>
                <w:sz w:val="24"/>
              </w:rPr>
              <w:t>600276</w:t>
            </w:r>
          </w:p>
        </w:tc>
        <w:tc>
          <w:tcPr>
            <w:tcW w:w="1980" w:type="dxa"/>
            <w:vAlign w:val="center"/>
          </w:tcPr>
          <w:p w:rsidR="002B232B" w:rsidRDefault="0056363F">
            <w:pPr>
              <w:jc w:val="center"/>
            </w:pPr>
            <w:r>
              <w:rPr>
                <w:color w:val="000000"/>
                <w:sz w:val="24"/>
              </w:rPr>
              <w:t>恒瑞医药</w:t>
            </w:r>
          </w:p>
        </w:tc>
        <w:tc>
          <w:tcPr>
            <w:tcW w:w="2880" w:type="dxa"/>
            <w:vAlign w:val="center"/>
          </w:tcPr>
          <w:p w:rsidR="002B232B" w:rsidRDefault="0056363F">
            <w:pPr>
              <w:jc w:val="right"/>
            </w:pPr>
            <w:r>
              <w:rPr>
                <w:color w:val="000000"/>
                <w:sz w:val="24"/>
              </w:rPr>
              <w:t>54,469,635.64</w:t>
            </w:r>
          </w:p>
        </w:tc>
        <w:tc>
          <w:tcPr>
            <w:tcW w:w="1620" w:type="dxa"/>
            <w:vAlign w:val="center"/>
          </w:tcPr>
          <w:p w:rsidR="002B232B" w:rsidRDefault="0056363F">
            <w:pPr>
              <w:jc w:val="right"/>
            </w:pPr>
            <w:r>
              <w:rPr>
                <w:color w:val="000000"/>
                <w:sz w:val="24"/>
              </w:rPr>
              <w:t>7.19</w:t>
            </w:r>
          </w:p>
        </w:tc>
      </w:tr>
      <w:tr w:rsidR="002B232B">
        <w:tc>
          <w:tcPr>
            <w:tcW w:w="870" w:type="dxa"/>
            <w:vAlign w:val="center"/>
          </w:tcPr>
          <w:p w:rsidR="002B232B" w:rsidRDefault="0056363F">
            <w:pPr>
              <w:jc w:val="center"/>
            </w:pPr>
            <w:r>
              <w:rPr>
                <w:color w:val="000000"/>
                <w:sz w:val="24"/>
              </w:rPr>
              <w:t>10</w:t>
            </w:r>
          </w:p>
        </w:tc>
        <w:tc>
          <w:tcPr>
            <w:tcW w:w="1650" w:type="dxa"/>
            <w:vAlign w:val="center"/>
          </w:tcPr>
          <w:p w:rsidR="002B232B" w:rsidRDefault="0056363F">
            <w:pPr>
              <w:jc w:val="center"/>
            </w:pPr>
            <w:r>
              <w:rPr>
                <w:color w:val="000000"/>
                <w:sz w:val="24"/>
              </w:rPr>
              <w:t>603808</w:t>
            </w:r>
          </w:p>
        </w:tc>
        <w:tc>
          <w:tcPr>
            <w:tcW w:w="1980" w:type="dxa"/>
            <w:vAlign w:val="center"/>
          </w:tcPr>
          <w:p w:rsidR="002B232B" w:rsidRDefault="0056363F">
            <w:pPr>
              <w:jc w:val="center"/>
            </w:pPr>
            <w:r>
              <w:rPr>
                <w:color w:val="000000"/>
                <w:sz w:val="24"/>
              </w:rPr>
              <w:t>歌力思</w:t>
            </w:r>
          </w:p>
        </w:tc>
        <w:tc>
          <w:tcPr>
            <w:tcW w:w="2880" w:type="dxa"/>
            <w:vAlign w:val="center"/>
          </w:tcPr>
          <w:p w:rsidR="002B232B" w:rsidRDefault="0056363F">
            <w:pPr>
              <w:jc w:val="right"/>
            </w:pPr>
            <w:r>
              <w:rPr>
                <w:color w:val="000000"/>
                <w:sz w:val="24"/>
              </w:rPr>
              <w:t>45,264,312.79</w:t>
            </w:r>
          </w:p>
        </w:tc>
        <w:tc>
          <w:tcPr>
            <w:tcW w:w="1620" w:type="dxa"/>
            <w:vAlign w:val="center"/>
          </w:tcPr>
          <w:p w:rsidR="002B232B" w:rsidRDefault="0056363F">
            <w:pPr>
              <w:jc w:val="right"/>
            </w:pPr>
            <w:r>
              <w:rPr>
                <w:color w:val="000000"/>
                <w:sz w:val="24"/>
              </w:rPr>
              <w:t>5.97</w:t>
            </w:r>
          </w:p>
        </w:tc>
      </w:tr>
      <w:tr w:rsidR="002B232B">
        <w:tc>
          <w:tcPr>
            <w:tcW w:w="870" w:type="dxa"/>
            <w:vAlign w:val="center"/>
          </w:tcPr>
          <w:p w:rsidR="002B232B" w:rsidRDefault="0056363F">
            <w:pPr>
              <w:jc w:val="center"/>
            </w:pPr>
            <w:r>
              <w:rPr>
                <w:color w:val="000000"/>
                <w:sz w:val="24"/>
              </w:rPr>
              <w:t>11</w:t>
            </w:r>
          </w:p>
        </w:tc>
        <w:tc>
          <w:tcPr>
            <w:tcW w:w="1650" w:type="dxa"/>
            <w:vAlign w:val="center"/>
          </w:tcPr>
          <w:p w:rsidR="002B232B" w:rsidRDefault="0056363F">
            <w:pPr>
              <w:jc w:val="center"/>
            </w:pPr>
            <w:r>
              <w:rPr>
                <w:color w:val="000000"/>
                <w:sz w:val="24"/>
              </w:rPr>
              <w:t>600028</w:t>
            </w:r>
          </w:p>
        </w:tc>
        <w:tc>
          <w:tcPr>
            <w:tcW w:w="1980" w:type="dxa"/>
            <w:vAlign w:val="center"/>
          </w:tcPr>
          <w:p w:rsidR="002B232B" w:rsidRDefault="0056363F">
            <w:pPr>
              <w:jc w:val="center"/>
            </w:pPr>
            <w:r>
              <w:rPr>
                <w:color w:val="000000"/>
                <w:sz w:val="24"/>
              </w:rPr>
              <w:t>中国石化</w:t>
            </w:r>
          </w:p>
        </w:tc>
        <w:tc>
          <w:tcPr>
            <w:tcW w:w="2880" w:type="dxa"/>
            <w:vAlign w:val="center"/>
          </w:tcPr>
          <w:p w:rsidR="002B232B" w:rsidRDefault="0056363F">
            <w:pPr>
              <w:jc w:val="right"/>
            </w:pPr>
            <w:r>
              <w:rPr>
                <w:color w:val="000000"/>
                <w:sz w:val="24"/>
              </w:rPr>
              <w:t>44,488,189.00</w:t>
            </w:r>
          </w:p>
        </w:tc>
        <w:tc>
          <w:tcPr>
            <w:tcW w:w="1620" w:type="dxa"/>
            <w:vAlign w:val="center"/>
          </w:tcPr>
          <w:p w:rsidR="002B232B" w:rsidRDefault="0056363F">
            <w:pPr>
              <w:jc w:val="right"/>
            </w:pPr>
            <w:r>
              <w:rPr>
                <w:color w:val="000000"/>
                <w:sz w:val="24"/>
              </w:rPr>
              <w:t>5.87</w:t>
            </w:r>
          </w:p>
        </w:tc>
      </w:tr>
      <w:tr w:rsidR="002B232B">
        <w:tc>
          <w:tcPr>
            <w:tcW w:w="870" w:type="dxa"/>
            <w:vAlign w:val="center"/>
          </w:tcPr>
          <w:p w:rsidR="002B232B" w:rsidRDefault="0056363F">
            <w:pPr>
              <w:jc w:val="center"/>
            </w:pPr>
            <w:r>
              <w:rPr>
                <w:color w:val="000000"/>
                <w:sz w:val="24"/>
              </w:rPr>
              <w:t>12</w:t>
            </w:r>
          </w:p>
        </w:tc>
        <w:tc>
          <w:tcPr>
            <w:tcW w:w="1650" w:type="dxa"/>
            <w:vAlign w:val="center"/>
          </w:tcPr>
          <w:p w:rsidR="002B232B" w:rsidRDefault="0056363F">
            <w:pPr>
              <w:jc w:val="center"/>
            </w:pPr>
            <w:r>
              <w:rPr>
                <w:color w:val="000000"/>
                <w:sz w:val="24"/>
              </w:rPr>
              <w:t>000596</w:t>
            </w:r>
          </w:p>
        </w:tc>
        <w:tc>
          <w:tcPr>
            <w:tcW w:w="1980" w:type="dxa"/>
            <w:vAlign w:val="center"/>
          </w:tcPr>
          <w:p w:rsidR="002B232B" w:rsidRDefault="0056363F">
            <w:pPr>
              <w:jc w:val="center"/>
            </w:pPr>
            <w:r>
              <w:rPr>
                <w:color w:val="000000"/>
                <w:sz w:val="24"/>
              </w:rPr>
              <w:t>古井贡酒</w:t>
            </w:r>
          </w:p>
        </w:tc>
        <w:tc>
          <w:tcPr>
            <w:tcW w:w="2880" w:type="dxa"/>
            <w:vAlign w:val="center"/>
          </w:tcPr>
          <w:p w:rsidR="002B232B" w:rsidRDefault="0056363F">
            <w:pPr>
              <w:jc w:val="right"/>
            </w:pPr>
            <w:r>
              <w:rPr>
                <w:color w:val="000000"/>
                <w:sz w:val="24"/>
              </w:rPr>
              <w:t>43,179,106.29</w:t>
            </w:r>
          </w:p>
        </w:tc>
        <w:tc>
          <w:tcPr>
            <w:tcW w:w="1620" w:type="dxa"/>
            <w:vAlign w:val="center"/>
          </w:tcPr>
          <w:p w:rsidR="002B232B" w:rsidRDefault="0056363F">
            <w:pPr>
              <w:jc w:val="right"/>
            </w:pPr>
            <w:r>
              <w:rPr>
                <w:color w:val="000000"/>
                <w:sz w:val="24"/>
              </w:rPr>
              <w:t>5.70</w:t>
            </w:r>
          </w:p>
        </w:tc>
      </w:tr>
      <w:tr w:rsidR="002B232B">
        <w:tc>
          <w:tcPr>
            <w:tcW w:w="870" w:type="dxa"/>
            <w:vAlign w:val="center"/>
          </w:tcPr>
          <w:p w:rsidR="002B232B" w:rsidRDefault="0056363F">
            <w:pPr>
              <w:jc w:val="center"/>
            </w:pPr>
            <w:r>
              <w:rPr>
                <w:color w:val="000000"/>
                <w:sz w:val="24"/>
              </w:rPr>
              <w:t>13</w:t>
            </w:r>
          </w:p>
        </w:tc>
        <w:tc>
          <w:tcPr>
            <w:tcW w:w="1650" w:type="dxa"/>
            <w:vAlign w:val="center"/>
          </w:tcPr>
          <w:p w:rsidR="002B232B" w:rsidRDefault="0056363F">
            <w:pPr>
              <w:jc w:val="center"/>
            </w:pPr>
            <w:r>
              <w:rPr>
                <w:color w:val="000000"/>
                <w:sz w:val="24"/>
              </w:rPr>
              <w:t>000651</w:t>
            </w:r>
          </w:p>
        </w:tc>
        <w:tc>
          <w:tcPr>
            <w:tcW w:w="1980" w:type="dxa"/>
            <w:vAlign w:val="center"/>
          </w:tcPr>
          <w:p w:rsidR="002B232B" w:rsidRDefault="0056363F">
            <w:pPr>
              <w:jc w:val="center"/>
            </w:pPr>
            <w:r>
              <w:rPr>
                <w:color w:val="000000"/>
                <w:sz w:val="24"/>
              </w:rPr>
              <w:t>格力电器</w:t>
            </w:r>
          </w:p>
        </w:tc>
        <w:tc>
          <w:tcPr>
            <w:tcW w:w="2880" w:type="dxa"/>
            <w:vAlign w:val="center"/>
          </w:tcPr>
          <w:p w:rsidR="002B232B" w:rsidRDefault="0056363F">
            <w:pPr>
              <w:jc w:val="right"/>
            </w:pPr>
            <w:r>
              <w:rPr>
                <w:color w:val="000000"/>
                <w:sz w:val="24"/>
              </w:rPr>
              <w:t>36,879,532.00</w:t>
            </w:r>
          </w:p>
        </w:tc>
        <w:tc>
          <w:tcPr>
            <w:tcW w:w="1620" w:type="dxa"/>
            <w:vAlign w:val="center"/>
          </w:tcPr>
          <w:p w:rsidR="002B232B" w:rsidRDefault="0056363F">
            <w:pPr>
              <w:jc w:val="right"/>
            </w:pPr>
            <w:r>
              <w:rPr>
                <w:color w:val="000000"/>
                <w:sz w:val="24"/>
              </w:rPr>
              <w:t>4.87</w:t>
            </w:r>
          </w:p>
        </w:tc>
      </w:tr>
      <w:tr w:rsidR="002B232B">
        <w:tc>
          <w:tcPr>
            <w:tcW w:w="870" w:type="dxa"/>
            <w:vAlign w:val="center"/>
          </w:tcPr>
          <w:p w:rsidR="002B232B" w:rsidRDefault="0056363F">
            <w:pPr>
              <w:jc w:val="center"/>
            </w:pPr>
            <w:r>
              <w:rPr>
                <w:color w:val="000000"/>
                <w:sz w:val="24"/>
              </w:rPr>
              <w:t>14</w:t>
            </w:r>
          </w:p>
        </w:tc>
        <w:tc>
          <w:tcPr>
            <w:tcW w:w="1650" w:type="dxa"/>
            <w:vAlign w:val="center"/>
          </w:tcPr>
          <w:p w:rsidR="002B232B" w:rsidRDefault="0056363F">
            <w:pPr>
              <w:jc w:val="center"/>
            </w:pPr>
            <w:r>
              <w:rPr>
                <w:color w:val="000000"/>
                <w:sz w:val="24"/>
              </w:rPr>
              <w:t>600115</w:t>
            </w:r>
          </w:p>
        </w:tc>
        <w:tc>
          <w:tcPr>
            <w:tcW w:w="1980" w:type="dxa"/>
            <w:vAlign w:val="center"/>
          </w:tcPr>
          <w:p w:rsidR="002B232B" w:rsidRDefault="0056363F">
            <w:pPr>
              <w:jc w:val="center"/>
            </w:pPr>
            <w:r>
              <w:rPr>
                <w:color w:val="000000"/>
                <w:sz w:val="24"/>
              </w:rPr>
              <w:t>东方航空</w:t>
            </w:r>
          </w:p>
        </w:tc>
        <w:tc>
          <w:tcPr>
            <w:tcW w:w="2880" w:type="dxa"/>
            <w:vAlign w:val="center"/>
          </w:tcPr>
          <w:p w:rsidR="002B232B" w:rsidRDefault="0056363F">
            <w:pPr>
              <w:jc w:val="right"/>
            </w:pPr>
            <w:r>
              <w:rPr>
                <w:color w:val="000000"/>
                <w:sz w:val="24"/>
              </w:rPr>
              <w:t>33,700,454.04</w:t>
            </w:r>
          </w:p>
        </w:tc>
        <w:tc>
          <w:tcPr>
            <w:tcW w:w="1620" w:type="dxa"/>
            <w:vAlign w:val="center"/>
          </w:tcPr>
          <w:p w:rsidR="002B232B" w:rsidRDefault="0056363F">
            <w:pPr>
              <w:jc w:val="right"/>
            </w:pPr>
            <w:r>
              <w:rPr>
                <w:color w:val="000000"/>
                <w:sz w:val="24"/>
              </w:rPr>
              <w:t>4.45</w:t>
            </w:r>
          </w:p>
        </w:tc>
      </w:tr>
      <w:tr w:rsidR="002B232B">
        <w:tc>
          <w:tcPr>
            <w:tcW w:w="870" w:type="dxa"/>
            <w:vAlign w:val="center"/>
          </w:tcPr>
          <w:p w:rsidR="002B232B" w:rsidRDefault="0056363F">
            <w:pPr>
              <w:jc w:val="center"/>
            </w:pPr>
            <w:r>
              <w:rPr>
                <w:color w:val="000000"/>
                <w:sz w:val="24"/>
              </w:rPr>
              <w:t>15</w:t>
            </w:r>
          </w:p>
        </w:tc>
        <w:tc>
          <w:tcPr>
            <w:tcW w:w="1650" w:type="dxa"/>
            <w:vAlign w:val="center"/>
          </w:tcPr>
          <w:p w:rsidR="002B232B" w:rsidRDefault="0056363F">
            <w:pPr>
              <w:jc w:val="center"/>
            </w:pPr>
            <w:r>
              <w:rPr>
                <w:color w:val="000000"/>
                <w:sz w:val="24"/>
              </w:rPr>
              <w:t>601111</w:t>
            </w:r>
          </w:p>
        </w:tc>
        <w:tc>
          <w:tcPr>
            <w:tcW w:w="1980" w:type="dxa"/>
            <w:vAlign w:val="center"/>
          </w:tcPr>
          <w:p w:rsidR="002B232B" w:rsidRDefault="0056363F">
            <w:pPr>
              <w:jc w:val="center"/>
            </w:pPr>
            <w:r>
              <w:rPr>
                <w:color w:val="000000"/>
                <w:sz w:val="24"/>
              </w:rPr>
              <w:t>中国国航</w:t>
            </w:r>
          </w:p>
        </w:tc>
        <w:tc>
          <w:tcPr>
            <w:tcW w:w="2880" w:type="dxa"/>
            <w:vAlign w:val="center"/>
          </w:tcPr>
          <w:p w:rsidR="002B232B" w:rsidRDefault="0056363F">
            <w:pPr>
              <w:jc w:val="right"/>
            </w:pPr>
            <w:r>
              <w:rPr>
                <w:color w:val="000000"/>
                <w:sz w:val="24"/>
              </w:rPr>
              <w:t>33,329,247.00</w:t>
            </w:r>
          </w:p>
        </w:tc>
        <w:tc>
          <w:tcPr>
            <w:tcW w:w="1620" w:type="dxa"/>
            <w:vAlign w:val="center"/>
          </w:tcPr>
          <w:p w:rsidR="002B232B" w:rsidRDefault="0056363F">
            <w:pPr>
              <w:jc w:val="right"/>
            </w:pPr>
            <w:r>
              <w:rPr>
                <w:color w:val="000000"/>
                <w:sz w:val="24"/>
              </w:rPr>
              <w:t>4.40</w:t>
            </w:r>
          </w:p>
        </w:tc>
      </w:tr>
      <w:tr w:rsidR="002B232B">
        <w:tc>
          <w:tcPr>
            <w:tcW w:w="870" w:type="dxa"/>
            <w:vAlign w:val="center"/>
          </w:tcPr>
          <w:p w:rsidR="002B232B" w:rsidRDefault="0056363F">
            <w:pPr>
              <w:jc w:val="center"/>
            </w:pPr>
            <w:r>
              <w:rPr>
                <w:color w:val="000000"/>
                <w:sz w:val="24"/>
              </w:rPr>
              <w:t>16</w:t>
            </w:r>
          </w:p>
        </w:tc>
        <w:tc>
          <w:tcPr>
            <w:tcW w:w="1650" w:type="dxa"/>
            <w:vAlign w:val="center"/>
          </w:tcPr>
          <w:p w:rsidR="002B232B" w:rsidRDefault="0056363F">
            <w:pPr>
              <w:jc w:val="center"/>
            </w:pPr>
            <w:r>
              <w:rPr>
                <w:color w:val="000000"/>
                <w:sz w:val="24"/>
              </w:rPr>
              <w:t>600559</w:t>
            </w:r>
          </w:p>
        </w:tc>
        <w:tc>
          <w:tcPr>
            <w:tcW w:w="1980" w:type="dxa"/>
            <w:vAlign w:val="center"/>
          </w:tcPr>
          <w:p w:rsidR="002B232B" w:rsidRDefault="0056363F">
            <w:pPr>
              <w:jc w:val="center"/>
            </w:pPr>
            <w:r>
              <w:rPr>
                <w:color w:val="000000"/>
                <w:sz w:val="24"/>
              </w:rPr>
              <w:t>老白干酒</w:t>
            </w:r>
          </w:p>
        </w:tc>
        <w:tc>
          <w:tcPr>
            <w:tcW w:w="2880" w:type="dxa"/>
            <w:vAlign w:val="center"/>
          </w:tcPr>
          <w:p w:rsidR="002B232B" w:rsidRDefault="0056363F">
            <w:pPr>
              <w:jc w:val="right"/>
            </w:pPr>
            <w:r>
              <w:rPr>
                <w:color w:val="000000"/>
                <w:sz w:val="24"/>
              </w:rPr>
              <w:t>32,849,985.92</w:t>
            </w:r>
          </w:p>
        </w:tc>
        <w:tc>
          <w:tcPr>
            <w:tcW w:w="1620" w:type="dxa"/>
            <w:vAlign w:val="center"/>
          </w:tcPr>
          <w:p w:rsidR="002B232B" w:rsidRDefault="0056363F">
            <w:pPr>
              <w:jc w:val="right"/>
            </w:pPr>
            <w:r>
              <w:rPr>
                <w:color w:val="000000"/>
                <w:sz w:val="24"/>
              </w:rPr>
              <w:t>4.33</w:t>
            </w:r>
          </w:p>
        </w:tc>
      </w:tr>
      <w:tr w:rsidR="002B232B">
        <w:tc>
          <w:tcPr>
            <w:tcW w:w="870" w:type="dxa"/>
            <w:vAlign w:val="center"/>
          </w:tcPr>
          <w:p w:rsidR="002B232B" w:rsidRDefault="0056363F">
            <w:pPr>
              <w:jc w:val="center"/>
            </w:pPr>
            <w:r>
              <w:rPr>
                <w:color w:val="000000"/>
                <w:sz w:val="24"/>
              </w:rPr>
              <w:t>17</w:t>
            </w:r>
          </w:p>
        </w:tc>
        <w:tc>
          <w:tcPr>
            <w:tcW w:w="1650" w:type="dxa"/>
            <w:vAlign w:val="center"/>
          </w:tcPr>
          <w:p w:rsidR="002B232B" w:rsidRDefault="0056363F">
            <w:pPr>
              <w:jc w:val="center"/>
            </w:pPr>
            <w:r>
              <w:rPr>
                <w:color w:val="000000"/>
                <w:sz w:val="24"/>
              </w:rPr>
              <w:t>002027</w:t>
            </w:r>
          </w:p>
        </w:tc>
        <w:tc>
          <w:tcPr>
            <w:tcW w:w="1980" w:type="dxa"/>
            <w:vAlign w:val="center"/>
          </w:tcPr>
          <w:p w:rsidR="002B232B" w:rsidRDefault="0056363F">
            <w:pPr>
              <w:jc w:val="center"/>
            </w:pPr>
            <w:r>
              <w:rPr>
                <w:color w:val="000000"/>
                <w:sz w:val="24"/>
              </w:rPr>
              <w:t>分众传媒</w:t>
            </w:r>
          </w:p>
        </w:tc>
        <w:tc>
          <w:tcPr>
            <w:tcW w:w="2880" w:type="dxa"/>
            <w:vAlign w:val="center"/>
          </w:tcPr>
          <w:p w:rsidR="002B232B" w:rsidRDefault="0056363F">
            <w:pPr>
              <w:jc w:val="right"/>
            </w:pPr>
            <w:r>
              <w:rPr>
                <w:color w:val="000000"/>
                <w:sz w:val="24"/>
              </w:rPr>
              <w:t>30,944,852.80</w:t>
            </w:r>
          </w:p>
        </w:tc>
        <w:tc>
          <w:tcPr>
            <w:tcW w:w="1620" w:type="dxa"/>
            <w:vAlign w:val="center"/>
          </w:tcPr>
          <w:p w:rsidR="002B232B" w:rsidRDefault="0056363F">
            <w:pPr>
              <w:jc w:val="right"/>
            </w:pPr>
            <w:r>
              <w:rPr>
                <w:color w:val="000000"/>
                <w:sz w:val="24"/>
              </w:rPr>
              <w:t>4.08</w:t>
            </w:r>
          </w:p>
        </w:tc>
      </w:tr>
      <w:tr w:rsidR="002B232B">
        <w:tc>
          <w:tcPr>
            <w:tcW w:w="870" w:type="dxa"/>
            <w:vAlign w:val="center"/>
          </w:tcPr>
          <w:p w:rsidR="002B232B" w:rsidRDefault="0056363F">
            <w:pPr>
              <w:jc w:val="center"/>
            </w:pPr>
            <w:r>
              <w:rPr>
                <w:color w:val="000000"/>
                <w:sz w:val="24"/>
              </w:rPr>
              <w:t>18</w:t>
            </w:r>
          </w:p>
        </w:tc>
        <w:tc>
          <w:tcPr>
            <w:tcW w:w="1650" w:type="dxa"/>
            <w:vAlign w:val="center"/>
          </w:tcPr>
          <w:p w:rsidR="002B232B" w:rsidRDefault="0056363F">
            <w:pPr>
              <w:jc w:val="center"/>
            </w:pPr>
            <w:r>
              <w:rPr>
                <w:color w:val="000000"/>
                <w:sz w:val="24"/>
              </w:rPr>
              <w:t>002094</w:t>
            </w:r>
          </w:p>
        </w:tc>
        <w:tc>
          <w:tcPr>
            <w:tcW w:w="1980" w:type="dxa"/>
            <w:vAlign w:val="center"/>
          </w:tcPr>
          <w:p w:rsidR="002B232B" w:rsidRDefault="0056363F">
            <w:pPr>
              <w:jc w:val="center"/>
            </w:pPr>
            <w:r>
              <w:rPr>
                <w:color w:val="000000"/>
                <w:sz w:val="24"/>
              </w:rPr>
              <w:t>青岛金王</w:t>
            </w:r>
          </w:p>
        </w:tc>
        <w:tc>
          <w:tcPr>
            <w:tcW w:w="2880" w:type="dxa"/>
            <w:vAlign w:val="center"/>
          </w:tcPr>
          <w:p w:rsidR="002B232B" w:rsidRDefault="0056363F">
            <w:pPr>
              <w:jc w:val="right"/>
            </w:pPr>
            <w:r>
              <w:rPr>
                <w:color w:val="000000"/>
                <w:sz w:val="24"/>
              </w:rPr>
              <w:t>30,732,212.58</w:t>
            </w:r>
          </w:p>
        </w:tc>
        <w:tc>
          <w:tcPr>
            <w:tcW w:w="1620" w:type="dxa"/>
            <w:vAlign w:val="center"/>
          </w:tcPr>
          <w:p w:rsidR="002B232B" w:rsidRDefault="0056363F">
            <w:pPr>
              <w:jc w:val="right"/>
            </w:pPr>
            <w:r>
              <w:rPr>
                <w:color w:val="000000"/>
                <w:sz w:val="24"/>
              </w:rPr>
              <w:t>4.06</w:t>
            </w:r>
          </w:p>
        </w:tc>
      </w:tr>
      <w:tr w:rsidR="002B232B">
        <w:tc>
          <w:tcPr>
            <w:tcW w:w="870" w:type="dxa"/>
            <w:vAlign w:val="center"/>
          </w:tcPr>
          <w:p w:rsidR="002B232B" w:rsidRDefault="0056363F">
            <w:pPr>
              <w:jc w:val="center"/>
            </w:pPr>
            <w:r>
              <w:rPr>
                <w:color w:val="000000"/>
                <w:sz w:val="24"/>
              </w:rPr>
              <w:t>19</w:t>
            </w:r>
          </w:p>
        </w:tc>
        <w:tc>
          <w:tcPr>
            <w:tcW w:w="1650" w:type="dxa"/>
            <w:vAlign w:val="center"/>
          </w:tcPr>
          <w:p w:rsidR="002B232B" w:rsidRDefault="0056363F">
            <w:pPr>
              <w:jc w:val="center"/>
            </w:pPr>
            <w:r>
              <w:rPr>
                <w:color w:val="000000"/>
                <w:sz w:val="24"/>
              </w:rPr>
              <w:t>002537</w:t>
            </w:r>
          </w:p>
        </w:tc>
        <w:tc>
          <w:tcPr>
            <w:tcW w:w="1980" w:type="dxa"/>
            <w:vAlign w:val="center"/>
          </w:tcPr>
          <w:p w:rsidR="002B232B" w:rsidRDefault="0056363F">
            <w:pPr>
              <w:jc w:val="center"/>
            </w:pPr>
            <w:r>
              <w:rPr>
                <w:color w:val="000000"/>
                <w:sz w:val="24"/>
              </w:rPr>
              <w:t>海联金汇</w:t>
            </w:r>
          </w:p>
        </w:tc>
        <w:tc>
          <w:tcPr>
            <w:tcW w:w="2880" w:type="dxa"/>
            <w:vAlign w:val="center"/>
          </w:tcPr>
          <w:p w:rsidR="002B232B" w:rsidRDefault="0056363F">
            <w:pPr>
              <w:jc w:val="right"/>
            </w:pPr>
            <w:r>
              <w:rPr>
                <w:color w:val="000000"/>
                <w:sz w:val="24"/>
              </w:rPr>
              <w:t>30,156,892.78</w:t>
            </w:r>
          </w:p>
        </w:tc>
        <w:tc>
          <w:tcPr>
            <w:tcW w:w="1620" w:type="dxa"/>
            <w:vAlign w:val="center"/>
          </w:tcPr>
          <w:p w:rsidR="002B232B" w:rsidRDefault="0056363F">
            <w:pPr>
              <w:jc w:val="right"/>
            </w:pPr>
            <w:r>
              <w:rPr>
                <w:color w:val="000000"/>
                <w:sz w:val="24"/>
              </w:rPr>
              <w:t>3.98</w:t>
            </w:r>
          </w:p>
        </w:tc>
      </w:tr>
      <w:tr w:rsidR="002B232B">
        <w:tc>
          <w:tcPr>
            <w:tcW w:w="870" w:type="dxa"/>
            <w:vAlign w:val="center"/>
          </w:tcPr>
          <w:p w:rsidR="002B232B" w:rsidRDefault="0056363F">
            <w:pPr>
              <w:jc w:val="center"/>
            </w:pPr>
            <w:r>
              <w:rPr>
                <w:color w:val="000000"/>
                <w:sz w:val="24"/>
              </w:rPr>
              <w:t>20</w:t>
            </w:r>
          </w:p>
        </w:tc>
        <w:tc>
          <w:tcPr>
            <w:tcW w:w="1650" w:type="dxa"/>
            <w:vAlign w:val="center"/>
          </w:tcPr>
          <w:p w:rsidR="002B232B" w:rsidRDefault="0056363F">
            <w:pPr>
              <w:jc w:val="center"/>
            </w:pPr>
            <w:r>
              <w:rPr>
                <w:color w:val="000000"/>
                <w:sz w:val="24"/>
              </w:rPr>
              <w:t>600029</w:t>
            </w:r>
          </w:p>
        </w:tc>
        <w:tc>
          <w:tcPr>
            <w:tcW w:w="1980" w:type="dxa"/>
            <w:vAlign w:val="center"/>
          </w:tcPr>
          <w:p w:rsidR="002B232B" w:rsidRDefault="0056363F">
            <w:pPr>
              <w:jc w:val="center"/>
            </w:pPr>
            <w:r>
              <w:rPr>
                <w:color w:val="000000"/>
                <w:sz w:val="24"/>
              </w:rPr>
              <w:t>南方航空</w:t>
            </w:r>
          </w:p>
        </w:tc>
        <w:tc>
          <w:tcPr>
            <w:tcW w:w="2880" w:type="dxa"/>
            <w:vAlign w:val="center"/>
          </w:tcPr>
          <w:p w:rsidR="002B232B" w:rsidRDefault="0056363F">
            <w:pPr>
              <w:jc w:val="right"/>
            </w:pPr>
            <w:r>
              <w:rPr>
                <w:color w:val="000000"/>
                <w:sz w:val="24"/>
              </w:rPr>
              <w:t>27,527,515.09</w:t>
            </w:r>
          </w:p>
        </w:tc>
        <w:tc>
          <w:tcPr>
            <w:tcW w:w="1620" w:type="dxa"/>
            <w:vAlign w:val="center"/>
          </w:tcPr>
          <w:p w:rsidR="002B232B" w:rsidRDefault="0056363F">
            <w:pPr>
              <w:jc w:val="right"/>
            </w:pPr>
            <w:r>
              <w:rPr>
                <w:color w:val="000000"/>
                <w:sz w:val="24"/>
              </w:rPr>
              <w:t>3.63</w:t>
            </w:r>
          </w:p>
        </w:tc>
      </w:tr>
      <w:tr w:rsidR="002B232B">
        <w:tc>
          <w:tcPr>
            <w:tcW w:w="870" w:type="dxa"/>
            <w:vAlign w:val="center"/>
          </w:tcPr>
          <w:p w:rsidR="002B232B" w:rsidRDefault="0056363F">
            <w:pPr>
              <w:jc w:val="center"/>
            </w:pPr>
            <w:r>
              <w:rPr>
                <w:color w:val="000000"/>
                <w:sz w:val="24"/>
              </w:rPr>
              <w:t>21</w:t>
            </w:r>
          </w:p>
        </w:tc>
        <w:tc>
          <w:tcPr>
            <w:tcW w:w="1650" w:type="dxa"/>
            <w:vAlign w:val="center"/>
          </w:tcPr>
          <w:p w:rsidR="002B232B" w:rsidRDefault="0056363F">
            <w:pPr>
              <w:jc w:val="center"/>
            </w:pPr>
            <w:r>
              <w:rPr>
                <w:color w:val="000000"/>
                <w:sz w:val="24"/>
              </w:rPr>
              <w:t>600547</w:t>
            </w:r>
          </w:p>
        </w:tc>
        <w:tc>
          <w:tcPr>
            <w:tcW w:w="1980" w:type="dxa"/>
            <w:vAlign w:val="center"/>
          </w:tcPr>
          <w:p w:rsidR="002B232B" w:rsidRDefault="0056363F">
            <w:pPr>
              <w:jc w:val="center"/>
            </w:pPr>
            <w:r>
              <w:rPr>
                <w:color w:val="000000"/>
                <w:sz w:val="24"/>
              </w:rPr>
              <w:t>山东黄金</w:t>
            </w:r>
          </w:p>
        </w:tc>
        <w:tc>
          <w:tcPr>
            <w:tcW w:w="2880" w:type="dxa"/>
            <w:vAlign w:val="center"/>
          </w:tcPr>
          <w:p w:rsidR="002B232B" w:rsidRDefault="0056363F">
            <w:pPr>
              <w:jc w:val="right"/>
            </w:pPr>
            <w:r>
              <w:rPr>
                <w:color w:val="000000"/>
                <w:sz w:val="24"/>
              </w:rPr>
              <w:t>27,002,632.92</w:t>
            </w:r>
          </w:p>
        </w:tc>
        <w:tc>
          <w:tcPr>
            <w:tcW w:w="1620" w:type="dxa"/>
            <w:vAlign w:val="center"/>
          </w:tcPr>
          <w:p w:rsidR="002B232B" w:rsidRDefault="0056363F">
            <w:pPr>
              <w:jc w:val="right"/>
            </w:pPr>
            <w:r>
              <w:rPr>
                <w:color w:val="000000"/>
                <w:sz w:val="24"/>
              </w:rPr>
              <w:t>3.56</w:t>
            </w:r>
          </w:p>
        </w:tc>
      </w:tr>
      <w:tr w:rsidR="002B232B">
        <w:tc>
          <w:tcPr>
            <w:tcW w:w="870" w:type="dxa"/>
            <w:vAlign w:val="center"/>
          </w:tcPr>
          <w:p w:rsidR="002B232B" w:rsidRDefault="0056363F">
            <w:pPr>
              <w:jc w:val="center"/>
            </w:pPr>
            <w:r>
              <w:rPr>
                <w:color w:val="000000"/>
                <w:sz w:val="24"/>
              </w:rPr>
              <w:t>22</w:t>
            </w:r>
          </w:p>
        </w:tc>
        <w:tc>
          <w:tcPr>
            <w:tcW w:w="1650" w:type="dxa"/>
            <w:vAlign w:val="center"/>
          </w:tcPr>
          <w:p w:rsidR="002B232B" w:rsidRDefault="0056363F">
            <w:pPr>
              <w:jc w:val="center"/>
            </w:pPr>
            <w:r>
              <w:rPr>
                <w:color w:val="000000"/>
                <w:sz w:val="24"/>
              </w:rPr>
              <w:t>001979</w:t>
            </w:r>
          </w:p>
        </w:tc>
        <w:tc>
          <w:tcPr>
            <w:tcW w:w="1980" w:type="dxa"/>
            <w:vAlign w:val="center"/>
          </w:tcPr>
          <w:p w:rsidR="002B232B" w:rsidRDefault="0056363F">
            <w:pPr>
              <w:jc w:val="center"/>
            </w:pPr>
            <w:r>
              <w:rPr>
                <w:color w:val="000000"/>
                <w:sz w:val="24"/>
              </w:rPr>
              <w:t>招商蛇口</w:t>
            </w:r>
          </w:p>
        </w:tc>
        <w:tc>
          <w:tcPr>
            <w:tcW w:w="2880" w:type="dxa"/>
            <w:vAlign w:val="center"/>
          </w:tcPr>
          <w:p w:rsidR="002B232B" w:rsidRDefault="0056363F">
            <w:pPr>
              <w:jc w:val="right"/>
            </w:pPr>
            <w:r>
              <w:rPr>
                <w:color w:val="000000"/>
                <w:sz w:val="24"/>
              </w:rPr>
              <w:t>25,264,035.00</w:t>
            </w:r>
          </w:p>
        </w:tc>
        <w:tc>
          <w:tcPr>
            <w:tcW w:w="1620" w:type="dxa"/>
            <w:vAlign w:val="center"/>
          </w:tcPr>
          <w:p w:rsidR="002B232B" w:rsidRDefault="0056363F">
            <w:pPr>
              <w:jc w:val="right"/>
            </w:pPr>
            <w:r>
              <w:rPr>
                <w:color w:val="000000"/>
                <w:sz w:val="24"/>
              </w:rPr>
              <w:t>3.33</w:t>
            </w:r>
          </w:p>
        </w:tc>
      </w:tr>
      <w:tr w:rsidR="002B232B">
        <w:tc>
          <w:tcPr>
            <w:tcW w:w="870" w:type="dxa"/>
            <w:vAlign w:val="center"/>
          </w:tcPr>
          <w:p w:rsidR="002B232B" w:rsidRDefault="0056363F">
            <w:pPr>
              <w:jc w:val="center"/>
            </w:pPr>
            <w:r>
              <w:rPr>
                <w:color w:val="000000"/>
                <w:sz w:val="24"/>
              </w:rPr>
              <w:t>23</w:t>
            </w:r>
          </w:p>
        </w:tc>
        <w:tc>
          <w:tcPr>
            <w:tcW w:w="1650" w:type="dxa"/>
            <w:vAlign w:val="center"/>
          </w:tcPr>
          <w:p w:rsidR="002B232B" w:rsidRDefault="0056363F">
            <w:pPr>
              <w:jc w:val="center"/>
            </w:pPr>
            <w:r>
              <w:rPr>
                <w:color w:val="000000"/>
                <w:sz w:val="24"/>
              </w:rPr>
              <w:t>600315</w:t>
            </w:r>
          </w:p>
        </w:tc>
        <w:tc>
          <w:tcPr>
            <w:tcW w:w="1980" w:type="dxa"/>
            <w:vAlign w:val="center"/>
          </w:tcPr>
          <w:p w:rsidR="002B232B" w:rsidRDefault="0056363F">
            <w:pPr>
              <w:jc w:val="center"/>
            </w:pPr>
            <w:r>
              <w:rPr>
                <w:color w:val="000000"/>
                <w:sz w:val="24"/>
              </w:rPr>
              <w:t>上海家化</w:t>
            </w:r>
          </w:p>
        </w:tc>
        <w:tc>
          <w:tcPr>
            <w:tcW w:w="2880" w:type="dxa"/>
            <w:vAlign w:val="center"/>
          </w:tcPr>
          <w:p w:rsidR="002B232B" w:rsidRDefault="0056363F">
            <w:pPr>
              <w:jc w:val="right"/>
            </w:pPr>
            <w:r>
              <w:rPr>
                <w:color w:val="000000"/>
                <w:sz w:val="24"/>
              </w:rPr>
              <w:t>24,567,681.79</w:t>
            </w:r>
          </w:p>
        </w:tc>
        <w:tc>
          <w:tcPr>
            <w:tcW w:w="1620" w:type="dxa"/>
            <w:vAlign w:val="center"/>
          </w:tcPr>
          <w:p w:rsidR="002B232B" w:rsidRDefault="0056363F">
            <w:pPr>
              <w:jc w:val="right"/>
            </w:pPr>
            <w:r>
              <w:rPr>
                <w:color w:val="000000"/>
                <w:sz w:val="24"/>
              </w:rPr>
              <w:t>3.24</w:t>
            </w:r>
          </w:p>
        </w:tc>
      </w:tr>
      <w:tr w:rsidR="002B232B">
        <w:tc>
          <w:tcPr>
            <w:tcW w:w="870" w:type="dxa"/>
            <w:vAlign w:val="center"/>
          </w:tcPr>
          <w:p w:rsidR="002B232B" w:rsidRDefault="0056363F">
            <w:pPr>
              <w:jc w:val="center"/>
            </w:pPr>
            <w:r>
              <w:rPr>
                <w:color w:val="000000"/>
                <w:sz w:val="24"/>
              </w:rPr>
              <w:t>24</w:t>
            </w:r>
          </w:p>
        </w:tc>
        <w:tc>
          <w:tcPr>
            <w:tcW w:w="1650" w:type="dxa"/>
            <w:vAlign w:val="center"/>
          </w:tcPr>
          <w:p w:rsidR="002B232B" w:rsidRDefault="0056363F">
            <w:pPr>
              <w:jc w:val="center"/>
            </w:pPr>
            <w:r>
              <w:rPr>
                <w:color w:val="000000"/>
                <w:sz w:val="24"/>
              </w:rPr>
              <w:t>002024</w:t>
            </w:r>
          </w:p>
        </w:tc>
        <w:tc>
          <w:tcPr>
            <w:tcW w:w="1980" w:type="dxa"/>
            <w:vAlign w:val="center"/>
          </w:tcPr>
          <w:p w:rsidR="002B232B" w:rsidRDefault="0056363F">
            <w:pPr>
              <w:jc w:val="center"/>
            </w:pPr>
            <w:r>
              <w:rPr>
                <w:color w:val="000000"/>
                <w:sz w:val="24"/>
              </w:rPr>
              <w:t>苏宁易购</w:t>
            </w:r>
          </w:p>
        </w:tc>
        <w:tc>
          <w:tcPr>
            <w:tcW w:w="2880" w:type="dxa"/>
            <w:vAlign w:val="center"/>
          </w:tcPr>
          <w:p w:rsidR="002B232B" w:rsidRDefault="0056363F">
            <w:pPr>
              <w:jc w:val="right"/>
            </w:pPr>
            <w:r>
              <w:rPr>
                <w:color w:val="000000"/>
                <w:sz w:val="24"/>
              </w:rPr>
              <w:t>23,300,521.00</w:t>
            </w:r>
          </w:p>
        </w:tc>
        <w:tc>
          <w:tcPr>
            <w:tcW w:w="1620" w:type="dxa"/>
            <w:vAlign w:val="center"/>
          </w:tcPr>
          <w:p w:rsidR="002B232B" w:rsidRDefault="0056363F">
            <w:pPr>
              <w:jc w:val="right"/>
            </w:pPr>
            <w:r>
              <w:rPr>
                <w:color w:val="000000"/>
                <w:sz w:val="24"/>
              </w:rPr>
              <w:t>3.07</w:t>
            </w:r>
          </w:p>
        </w:tc>
      </w:tr>
      <w:tr w:rsidR="002B232B">
        <w:tc>
          <w:tcPr>
            <w:tcW w:w="870" w:type="dxa"/>
            <w:vAlign w:val="center"/>
          </w:tcPr>
          <w:p w:rsidR="002B232B" w:rsidRDefault="0056363F">
            <w:pPr>
              <w:jc w:val="center"/>
            </w:pPr>
            <w:r>
              <w:rPr>
                <w:color w:val="000000"/>
                <w:sz w:val="24"/>
              </w:rPr>
              <w:t>25</w:t>
            </w:r>
          </w:p>
        </w:tc>
        <w:tc>
          <w:tcPr>
            <w:tcW w:w="1650" w:type="dxa"/>
            <w:vAlign w:val="center"/>
          </w:tcPr>
          <w:p w:rsidR="002B232B" w:rsidRDefault="0056363F">
            <w:pPr>
              <w:jc w:val="center"/>
            </w:pPr>
            <w:r>
              <w:rPr>
                <w:color w:val="000000"/>
                <w:sz w:val="24"/>
              </w:rPr>
              <w:t>601688</w:t>
            </w:r>
          </w:p>
        </w:tc>
        <w:tc>
          <w:tcPr>
            <w:tcW w:w="1980" w:type="dxa"/>
            <w:vAlign w:val="center"/>
          </w:tcPr>
          <w:p w:rsidR="002B232B" w:rsidRDefault="0056363F">
            <w:pPr>
              <w:jc w:val="center"/>
            </w:pPr>
            <w:r>
              <w:rPr>
                <w:color w:val="000000"/>
                <w:sz w:val="24"/>
              </w:rPr>
              <w:t>华泰证券</w:t>
            </w:r>
          </w:p>
        </w:tc>
        <w:tc>
          <w:tcPr>
            <w:tcW w:w="2880" w:type="dxa"/>
            <w:vAlign w:val="center"/>
          </w:tcPr>
          <w:p w:rsidR="002B232B" w:rsidRDefault="0056363F">
            <w:pPr>
              <w:jc w:val="right"/>
            </w:pPr>
            <w:r>
              <w:rPr>
                <w:color w:val="000000"/>
                <w:sz w:val="24"/>
              </w:rPr>
              <w:t>23,269,671.86</w:t>
            </w:r>
          </w:p>
        </w:tc>
        <w:tc>
          <w:tcPr>
            <w:tcW w:w="1620" w:type="dxa"/>
            <w:vAlign w:val="center"/>
          </w:tcPr>
          <w:p w:rsidR="002B232B" w:rsidRDefault="0056363F">
            <w:pPr>
              <w:jc w:val="right"/>
            </w:pPr>
            <w:r>
              <w:rPr>
                <w:color w:val="000000"/>
                <w:sz w:val="24"/>
              </w:rPr>
              <w:t>3.07</w:t>
            </w:r>
          </w:p>
        </w:tc>
      </w:tr>
      <w:tr w:rsidR="002B232B">
        <w:tc>
          <w:tcPr>
            <w:tcW w:w="870" w:type="dxa"/>
            <w:vAlign w:val="center"/>
          </w:tcPr>
          <w:p w:rsidR="002B232B" w:rsidRDefault="0056363F">
            <w:pPr>
              <w:jc w:val="center"/>
            </w:pPr>
            <w:r>
              <w:rPr>
                <w:color w:val="000000"/>
                <w:sz w:val="24"/>
              </w:rPr>
              <w:t>26</w:t>
            </w:r>
          </w:p>
        </w:tc>
        <w:tc>
          <w:tcPr>
            <w:tcW w:w="1650" w:type="dxa"/>
            <w:vAlign w:val="center"/>
          </w:tcPr>
          <w:p w:rsidR="002B232B" w:rsidRDefault="0056363F">
            <w:pPr>
              <w:jc w:val="center"/>
            </w:pPr>
            <w:r>
              <w:rPr>
                <w:color w:val="000000"/>
                <w:sz w:val="24"/>
              </w:rPr>
              <w:t>601186</w:t>
            </w:r>
          </w:p>
        </w:tc>
        <w:tc>
          <w:tcPr>
            <w:tcW w:w="1980" w:type="dxa"/>
            <w:vAlign w:val="center"/>
          </w:tcPr>
          <w:p w:rsidR="002B232B" w:rsidRDefault="0056363F">
            <w:pPr>
              <w:jc w:val="center"/>
            </w:pPr>
            <w:r>
              <w:rPr>
                <w:color w:val="000000"/>
                <w:sz w:val="24"/>
              </w:rPr>
              <w:t>中国铁建</w:t>
            </w:r>
          </w:p>
        </w:tc>
        <w:tc>
          <w:tcPr>
            <w:tcW w:w="2880" w:type="dxa"/>
            <w:vAlign w:val="center"/>
          </w:tcPr>
          <w:p w:rsidR="002B232B" w:rsidRDefault="0056363F">
            <w:pPr>
              <w:jc w:val="right"/>
            </w:pPr>
            <w:r>
              <w:rPr>
                <w:color w:val="000000"/>
                <w:sz w:val="24"/>
              </w:rPr>
              <w:t>22,058,736.86</w:t>
            </w:r>
          </w:p>
        </w:tc>
        <w:tc>
          <w:tcPr>
            <w:tcW w:w="1620" w:type="dxa"/>
            <w:vAlign w:val="center"/>
          </w:tcPr>
          <w:p w:rsidR="002B232B" w:rsidRDefault="0056363F">
            <w:pPr>
              <w:jc w:val="right"/>
            </w:pPr>
            <w:r>
              <w:rPr>
                <w:color w:val="000000"/>
                <w:sz w:val="24"/>
              </w:rPr>
              <w:t>2.91</w:t>
            </w:r>
          </w:p>
        </w:tc>
      </w:tr>
      <w:tr w:rsidR="002B232B">
        <w:tc>
          <w:tcPr>
            <w:tcW w:w="870" w:type="dxa"/>
            <w:vAlign w:val="center"/>
          </w:tcPr>
          <w:p w:rsidR="002B232B" w:rsidRDefault="0056363F">
            <w:pPr>
              <w:jc w:val="center"/>
            </w:pPr>
            <w:r>
              <w:rPr>
                <w:color w:val="000000"/>
                <w:sz w:val="24"/>
              </w:rPr>
              <w:t>27</w:t>
            </w:r>
          </w:p>
        </w:tc>
        <w:tc>
          <w:tcPr>
            <w:tcW w:w="1650" w:type="dxa"/>
            <w:vAlign w:val="center"/>
          </w:tcPr>
          <w:p w:rsidR="002B232B" w:rsidRDefault="0056363F">
            <w:pPr>
              <w:jc w:val="center"/>
            </w:pPr>
            <w:r>
              <w:rPr>
                <w:color w:val="000000"/>
                <w:sz w:val="24"/>
              </w:rPr>
              <w:t>600104</w:t>
            </w:r>
          </w:p>
        </w:tc>
        <w:tc>
          <w:tcPr>
            <w:tcW w:w="1980" w:type="dxa"/>
            <w:vAlign w:val="center"/>
          </w:tcPr>
          <w:p w:rsidR="002B232B" w:rsidRDefault="0056363F">
            <w:pPr>
              <w:jc w:val="center"/>
            </w:pPr>
            <w:r>
              <w:rPr>
                <w:color w:val="000000"/>
                <w:sz w:val="24"/>
              </w:rPr>
              <w:t>上汽集团</w:t>
            </w:r>
          </w:p>
        </w:tc>
        <w:tc>
          <w:tcPr>
            <w:tcW w:w="2880" w:type="dxa"/>
            <w:vAlign w:val="center"/>
          </w:tcPr>
          <w:p w:rsidR="002B232B" w:rsidRDefault="0056363F">
            <w:pPr>
              <w:jc w:val="right"/>
            </w:pPr>
            <w:r>
              <w:rPr>
                <w:color w:val="000000"/>
                <w:sz w:val="24"/>
              </w:rPr>
              <w:t>21,973,768.46</w:t>
            </w:r>
          </w:p>
        </w:tc>
        <w:tc>
          <w:tcPr>
            <w:tcW w:w="1620" w:type="dxa"/>
            <w:vAlign w:val="center"/>
          </w:tcPr>
          <w:p w:rsidR="002B232B" w:rsidRDefault="0056363F">
            <w:pPr>
              <w:jc w:val="right"/>
            </w:pPr>
            <w:r>
              <w:rPr>
                <w:color w:val="000000"/>
                <w:sz w:val="24"/>
              </w:rPr>
              <w:t>2.90</w:t>
            </w:r>
          </w:p>
        </w:tc>
      </w:tr>
      <w:tr w:rsidR="002B232B">
        <w:tc>
          <w:tcPr>
            <w:tcW w:w="870" w:type="dxa"/>
            <w:vAlign w:val="center"/>
          </w:tcPr>
          <w:p w:rsidR="002B232B" w:rsidRDefault="0056363F">
            <w:pPr>
              <w:jc w:val="center"/>
            </w:pPr>
            <w:r>
              <w:rPr>
                <w:color w:val="000000"/>
                <w:sz w:val="24"/>
              </w:rPr>
              <w:t>28</w:t>
            </w:r>
          </w:p>
        </w:tc>
        <w:tc>
          <w:tcPr>
            <w:tcW w:w="1650" w:type="dxa"/>
            <w:vAlign w:val="center"/>
          </w:tcPr>
          <w:p w:rsidR="002B232B" w:rsidRDefault="0056363F">
            <w:pPr>
              <w:jc w:val="center"/>
            </w:pPr>
            <w:r>
              <w:rPr>
                <w:color w:val="000000"/>
                <w:sz w:val="24"/>
              </w:rPr>
              <w:t>600068</w:t>
            </w:r>
          </w:p>
        </w:tc>
        <w:tc>
          <w:tcPr>
            <w:tcW w:w="1980" w:type="dxa"/>
            <w:vAlign w:val="center"/>
          </w:tcPr>
          <w:p w:rsidR="002B232B" w:rsidRDefault="0056363F">
            <w:pPr>
              <w:jc w:val="center"/>
            </w:pPr>
            <w:r>
              <w:rPr>
                <w:color w:val="000000"/>
                <w:sz w:val="24"/>
              </w:rPr>
              <w:t>葛洲坝</w:t>
            </w:r>
          </w:p>
        </w:tc>
        <w:tc>
          <w:tcPr>
            <w:tcW w:w="2880" w:type="dxa"/>
            <w:vAlign w:val="center"/>
          </w:tcPr>
          <w:p w:rsidR="002B232B" w:rsidRDefault="0056363F">
            <w:pPr>
              <w:jc w:val="right"/>
            </w:pPr>
            <w:r>
              <w:rPr>
                <w:color w:val="000000"/>
                <w:sz w:val="24"/>
              </w:rPr>
              <w:t>21,877,172.73</w:t>
            </w:r>
          </w:p>
        </w:tc>
        <w:tc>
          <w:tcPr>
            <w:tcW w:w="1620" w:type="dxa"/>
            <w:vAlign w:val="center"/>
          </w:tcPr>
          <w:p w:rsidR="002B232B" w:rsidRDefault="0056363F">
            <w:pPr>
              <w:jc w:val="right"/>
            </w:pPr>
            <w:r>
              <w:rPr>
                <w:color w:val="000000"/>
                <w:sz w:val="24"/>
              </w:rPr>
              <w:t>2.89</w:t>
            </w:r>
          </w:p>
        </w:tc>
      </w:tr>
      <w:tr w:rsidR="002B232B">
        <w:tc>
          <w:tcPr>
            <w:tcW w:w="870" w:type="dxa"/>
            <w:vAlign w:val="center"/>
          </w:tcPr>
          <w:p w:rsidR="002B232B" w:rsidRDefault="0056363F">
            <w:pPr>
              <w:jc w:val="center"/>
            </w:pPr>
            <w:r>
              <w:rPr>
                <w:color w:val="000000"/>
                <w:sz w:val="24"/>
              </w:rPr>
              <w:t>29</w:t>
            </w:r>
          </w:p>
        </w:tc>
        <w:tc>
          <w:tcPr>
            <w:tcW w:w="1650" w:type="dxa"/>
            <w:vAlign w:val="center"/>
          </w:tcPr>
          <w:p w:rsidR="002B232B" w:rsidRDefault="0056363F">
            <w:pPr>
              <w:jc w:val="center"/>
            </w:pPr>
            <w:r>
              <w:rPr>
                <w:color w:val="000000"/>
                <w:sz w:val="24"/>
              </w:rPr>
              <w:t>601857</w:t>
            </w:r>
          </w:p>
        </w:tc>
        <w:tc>
          <w:tcPr>
            <w:tcW w:w="1980" w:type="dxa"/>
            <w:vAlign w:val="center"/>
          </w:tcPr>
          <w:p w:rsidR="002B232B" w:rsidRDefault="0056363F">
            <w:pPr>
              <w:jc w:val="center"/>
            </w:pPr>
            <w:r>
              <w:rPr>
                <w:color w:val="000000"/>
                <w:sz w:val="24"/>
              </w:rPr>
              <w:t>中国石油</w:t>
            </w:r>
          </w:p>
        </w:tc>
        <w:tc>
          <w:tcPr>
            <w:tcW w:w="2880" w:type="dxa"/>
            <w:vAlign w:val="center"/>
          </w:tcPr>
          <w:p w:rsidR="002B232B" w:rsidRDefault="0056363F">
            <w:pPr>
              <w:jc w:val="right"/>
            </w:pPr>
            <w:r>
              <w:rPr>
                <w:color w:val="000000"/>
                <w:sz w:val="24"/>
              </w:rPr>
              <w:t>21,780,548.00</w:t>
            </w:r>
          </w:p>
        </w:tc>
        <w:tc>
          <w:tcPr>
            <w:tcW w:w="1620" w:type="dxa"/>
            <w:vAlign w:val="center"/>
          </w:tcPr>
          <w:p w:rsidR="002B232B" w:rsidRDefault="0056363F">
            <w:pPr>
              <w:jc w:val="right"/>
            </w:pPr>
            <w:r>
              <w:rPr>
                <w:color w:val="000000"/>
                <w:sz w:val="24"/>
              </w:rPr>
              <w:t>2.87</w:t>
            </w:r>
          </w:p>
        </w:tc>
      </w:tr>
      <w:tr w:rsidR="002B232B">
        <w:tc>
          <w:tcPr>
            <w:tcW w:w="870" w:type="dxa"/>
            <w:vAlign w:val="center"/>
          </w:tcPr>
          <w:p w:rsidR="002B232B" w:rsidRDefault="0056363F">
            <w:pPr>
              <w:jc w:val="center"/>
            </w:pPr>
            <w:r>
              <w:rPr>
                <w:color w:val="000000"/>
                <w:sz w:val="24"/>
              </w:rPr>
              <w:t>30</w:t>
            </w:r>
          </w:p>
        </w:tc>
        <w:tc>
          <w:tcPr>
            <w:tcW w:w="1650" w:type="dxa"/>
            <w:vAlign w:val="center"/>
          </w:tcPr>
          <w:p w:rsidR="002B232B" w:rsidRDefault="0056363F">
            <w:pPr>
              <w:jc w:val="center"/>
            </w:pPr>
            <w:r>
              <w:rPr>
                <w:color w:val="000000"/>
                <w:sz w:val="24"/>
              </w:rPr>
              <w:t>002216</w:t>
            </w:r>
          </w:p>
        </w:tc>
        <w:tc>
          <w:tcPr>
            <w:tcW w:w="1980" w:type="dxa"/>
            <w:vAlign w:val="center"/>
          </w:tcPr>
          <w:p w:rsidR="002B232B" w:rsidRDefault="0056363F">
            <w:pPr>
              <w:jc w:val="center"/>
            </w:pPr>
            <w:r>
              <w:rPr>
                <w:color w:val="000000"/>
                <w:sz w:val="24"/>
              </w:rPr>
              <w:t>三全食品</w:t>
            </w:r>
          </w:p>
        </w:tc>
        <w:tc>
          <w:tcPr>
            <w:tcW w:w="2880" w:type="dxa"/>
            <w:vAlign w:val="center"/>
          </w:tcPr>
          <w:p w:rsidR="002B232B" w:rsidRDefault="0056363F">
            <w:pPr>
              <w:jc w:val="right"/>
            </w:pPr>
            <w:r>
              <w:rPr>
                <w:color w:val="000000"/>
                <w:sz w:val="24"/>
              </w:rPr>
              <w:t>21,728,470.92</w:t>
            </w:r>
          </w:p>
        </w:tc>
        <w:tc>
          <w:tcPr>
            <w:tcW w:w="1620" w:type="dxa"/>
            <w:vAlign w:val="center"/>
          </w:tcPr>
          <w:p w:rsidR="002B232B" w:rsidRDefault="0056363F">
            <w:pPr>
              <w:jc w:val="right"/>
            </w:pPr>
            <w:r>
              <w:rPr>
                <w:color w:val="000000"/>
                <w:sz w:val="24"/>
              </w:rPr>
              <w:t>2.87</w:t>
            </w:r>
          </w:p>
        </w:tc>
      </w:tr>
      <w:tr w:rsidR="002B232B">
        <w:tc>
          <w:tcPr>
            <w:tcW w:w="870" w:type="dxa"/>
            <w:vAlign w:val="center"/>
          </w:tcPr>
          <w:p w:rsidR="002B232B" w:rsidRDefault="0056363F">
            <w:pPr>
              <w:jc w:val="center"/>
            </w:pPr>
            <w:r>
              <w:rPr>
                <w:color w:val="000000"/>
                <w:sz w:val="24"/>
              </w:rPr>
              <w:t>31</w:t>
            </w:r>
          </w:p>
        </w:tc>
        <w:tc>
          <w:tcPr>
            <w:tcW w:w="1650" w:type="dxa"/>
            <w:vAlign w:val="center"/>
          </w:tcPr>
          <w:p w:rsidR="002B232B" w:rsidRDefault="0056363F">
            <w:pPr>
              <w:jc w:val="center"/>
            </w:pPr>
            <w:r>
              <w:rPr>
                <w:color w:val="000000"/>
                <w:sz w:val="24"/>
              </w:rPr>
              <w:t>601800</w:t>
            </w:r>
          </w:p>
        </w:tc>
        <w:tc>
          <w:tcPr>
            <w:tcW w:w="1980" w:type="dxa"/>
            <w:vAlign w:val="center"/>
          </w:tcPr>
          <w:p w:rsidR="002B232B" w:rsidRDefault="0056363F">
            <w:pPr>
              <w:jc w:val="center"/>
            </w:pPr>
            <w:r>
              <w:rPr>
                <w:color w:val="000000"/>
                <w:sz w:val="24"/>
              </w:rPr>
              <w:t>中国交建</w:t>
            </w:r>
          </w:p>
        </w:tc>
        <w:tc>
          <w:tcPr>
            <w:tcW w:w="2880" w:type="dxa"/>
            <w:vAlign w:val="center"/>
          </w:tcPr>
          <w:p w:rsidR="002B232B" w:rsidRDefault="0056363F">
            <w:pPr>
              <w:jc w:val="right"/>
            </w:pPr>
            <w:r>
              <w:rPr>
                <w:color w:val="000000"/>
                <w:sz w:val="24"/>
              </w:rPr>
              <w:t>21,150,348.06</w:t>
            </w:r>
          </w:p>
        </w:tc>
        <w:tc>
          <w:tcPr>
            <w:tcW w:w="1620" w:type="dxa"/>
            <w:vAlign w:val="center"/>
          </w:tcPr>
          <w:p w:rsidR="002B232B" w:rsidRDefault="0056363F">
            <w:pPr>
              <w:jc w:val="right"/>
            </w:pPr>
            <w:r>
              <w:rPr>
                <w:color w:val="000000"/>
                <w:sz w:val="24"/>
              </w:rPr>
              <w:t>2.79</w:t>
            </w:r>
          </w:p>
        </w:tc>
      </w:tr>
      <w:tr w:rsidR="002B232B">
        <w:tc>
          <w:tcPr>
            <w:tcW w:w="870" w:type="dxa"/>
            <w:vAlign w:val="center"/>
          </w:tcPr>
          <w:p w:rsidR="002B232B" w:rsidRDefault="0056363F">
            <w:pPr>
              <w:jc w:val="center"/>
            </w:pPr>
            <w:r>
              <w:rPr>
                <w:color w:val="000000"/>
                <w:sz w:val="24"/>
              </w:rPr>
              <w:t>32</w:t>
            </w:r>
          </w:p>
        </w:tc>
        <w:tc>
          <w:tcPr>
            <w:tcW w:w="1650" w:type="dxa"/>
            <w:vAlign w:val="center"/>
          </w:tcPr>
          <w:p w:rsidR="002B232B" w:rsidRDefault="0056363F">
            <w:pPr>
              <w:jc w:val="center"/>
            </w:pPr>
            <w:r>
              <w:rPr>
                <w:color w:val="000000"/>
                <w:sz w:val="24"/>
              </w:rPr>
              <w:t>600690</w:t>
            </w:r>
          </w:p>
        </w:tc>
        <w:tc>
          <w:tcPr>
            <w:tcW w:w="1980" w:type="dxa"/>
            <w:vAlign w:val="center"/>
          </w:tcPr>
          <w:p w:rsidR="002B232B" w:rsidRDefault="0056363F">
            <w:pPr>
              <w:jc w:val="center"/>
            </w:pPr>
            <w:r>
              <w:rPr>
                <w:color w:val="000000"/>
                <w:sz w:val="24"/>
              </w:rPr>
              <w:t>青岛海尔</w:t>
            </w:r>
          </w:p>
        </w:tc>
        <w:tc>
          <w:tcPr>
            <w:tcW w:w="2880" w:type="dxa"/>
            <w:vAlign w:val="center"/>
          </w:tcPr>
          <w:p w:rsidR="002B232B" w:rsidRDefault="0056363F">
            <w:pPr>
              <w:jc w:val="right"/>
            </w:pPr>
            <w:r>
              <w:rPr>
                <w:color w:val="000000"/>
                <w:sz w:val="24"/>
              </w:rPr>
              <w:t>19,192,680.77</w:t>
            </w:r>
          </w:p>
        </w:tc>
        <w:tc>
          <w:tcPr>
            <w:tcW w:w="1620" w:type="dxa"/>
            <w:vAlign w:val="center"/>
          </w:tcPr>
          <w:p w:rsidR="002B232B" w:rsidRDefault="0056363F">
            <w:pPr>
              <w:jc w:val="right"/>
            </w:pPr>
            <w:r>
              <w:rPr>
                <w:color w:val="000000"/>
                <w:sz w:val="24"/>
              </w:rPr>
              <w:t>2.53</w:t>
            </w:r>
          </w:p>
        </w:tc>
      </w:tr>
      <w:tr w:rsidR="002B232B">
        <w:tc>
          <w:tcPr>
            <w:tcW w:w="870" w:type="dxa"/>
            <w:vAlign w:val="center"/>
          </w:tcPr>
          <w:p w:rsidR="002B232B" w:rsidRDefault="0056363F">
            <w:pPr>
              <w:jc w:val="center"/>
            </w:pPr>
            <w:r>
              <w:rPr>
                <w:color w:val="000000"/>
                <w:sz w:val="24"/>
              </w:rPr>
              <w:t>33</w:t>
            </w:r>
          </w:p>
        </w:tc>
        <w:tc>
          <w:tcPr>
            <w:tcW w:w="1650" w:type="dxa"/>
            <w:vAlign w:val="center"/>
          </w:tcPr>
          <w:p w:rsidR="002B232B" w:rsidRDefault="0056363F">
            <w:pPr>
              <w:jc w:val="center"/>
            </w:pPr>
            <w:r>
              <w:rPr>
                <w:color w:val="000000"/>
                <w:sz w:val="24"/>
              </w:rPr>
              <w:t>300347</w:t>
            </w:r>
          </w:p>
        </w:tc>
        <w:tc>
          <w:tcPr>
            <w:tcW w:w="1980" w:type="dxa"/>
            <w:vAlign w:val="center"/>
          </w:tcPr>
          <w:p w:rsidR="002B232B" w:rsidRDefault="0056363F">
            <w:pPr>
              <w:jc w:val="center"/>
            </w:pPr>
            <w:r>
              <w:rPr>
                <w:color w:val="000000"/>
                <w:sz w:val="24"/>
              </w:rPr>
              <w:t>泰格医药</w:t>
            </w:r>
          </w:p>
        </w:tc>
        <w:tc>
          <w:tcPr>
            <w:tcW w:w="2880" w:type="dxa"/>
            <w:vAlign w:val="center"/>
          </w:tcPr>
          <w:p w:rsidR="002B232B" w:rsidRDefault="0056363F">
            <w:pPr>
              <w:jc w:val="right"/>
            </w:pPr>
            <w:r>
              <w:rPr>
                <w:color w:val="000000"/>
                <w:sz w:val="24"/>
              </w:rPr>
              <w:t>18,520,248.00</w:t>
            </w:r>
          </w:p>
        </w:tc>
        <w:tc>
          <w:tcPr>
            <w:tcW w:w="1620" w:type="dxa"/>
            <w:vAlign w:val="center"/>
          </w:tcPr>
          <w:p w:rsidR="002B232B" w:rsidRDefault="0056363F">
            <w:pPr>
              <w:jc w:val="right"/>
            </w:pPr>
            <w:r>
              <w:rPr>
                <w:color w:val="000000"/>
                <w:sz w:val="24"/>
              </w:rPr>
              <w:t>2.44</w:t>
            </w:r>
          </w:p>
        </w:tc>
      </w:tr>
      <w:tr w:rsidR="002B232B">
        <w:tc>
          <w:tcPr>
            <w:tcW w:w="870" w:type="dxa"/>
            <w:vAlign w:val="center"/>
          </w:tcPr>
          <w:p w:rsidR="002B232B" w:rsidRDefault="0056363F">
            <w:pPr>
              <w:jc w:val="center"/>
            </w:pPr>
            <w:r>
              <w:rPr>
                <w:color w:val="000000"/>
                <w:sz w:val="24"/>
              </w:rPr>
              <w:lastRenderedPageBreak/>
              <w:t>34</w:t>
            </w:r>
          </w:p>
        </w:tc>
        <w:tc>
          <w:tcPr>
            <w:tcW w:w="1650" w:type="dxa"/>
            <w:vAlign w:val="center"/>
          </w:tcPr>
          <w:p w:rsidR="002B232B" w:rsidRDefault="0056363F">
            <w:pPr>
              <w:jc w:val="center"/>
            </w:pPr>
            <w:r>
              <w:rPr>
                <w:color w:val="000000"/>
                <w:sz w:val="24"/>
              </w:rPr>
              <w:t>300750</w:t>
            </w:r>
          </w:p>
        </w:tc>
        <w:tc>
          <w:tcPr>
            <w:tcW w:w="1980" w:type="dxa"/>
            <w:vAlign w:val="center"/>
          </w:tcPr>
          <w:p w:rsidR="002B232B" w:rsidRDefault="0056363F">
            <w:pPr>
              <w:jc w:val="center"/>
            </w:pPr>
            <w:r>
              <w:rPr>
                <w:color w:val="000000"/>
                <w:sz w:val="24"/>
              </w:rPr>
              <w:t>宁德时代</w:t>
            </w:r>
          </w:p>
        </w:tc>
        <w:tc>
          <w:tcPr>
            <w:tcW w:w="2880" w:type="dxa"/>
            <w:vAlign w:val="center"/>
          </w:tcPr>
          <w:p w:rsidR="002B232B" w:rsidRDefault="0056363F">
            <w:pPr>
              <w:jc w:val="right"/>
            </w:pPr>
            <w:r>
              <w:rPr>
                <w:color w:val="000000"/>
                <w:sz w:val="24"/>
              </w:rPr>
              <w:t>16,532,871.51</w:t>
            </w:r>
          </w:p>
        </w:tc>
        <w:tc>
          <w:tcPr>
            <w:tcW w:w="1620" w:type="dxa"/>
            <w:vAlign w:val="center"/>
          </w:tcPr>
          <w:p w:rsidR="002B232B" w:rsidRDefault="0056363F">
            <w:pPr>
              <w:jc w:val="right"/>
            </w:pPr>
            <w:r>
              <w:rPr>
                <w:color w:val="000000"/>
                <w:sz w:val="24"/>
              </w:rPr>
              <w:t>2.18</w:t>
            </w:r>
          </w:p>
        </w:tc>
      </w:tr>
      <w:tr w:rsidR="002B232B">
        <w:tc>
          <w:tcPr>
            <w:tcW w:w="870" w:type="dxa"/>
            <w:vAlign w:val="center"/>
          </w:tcPr>
          <w:p w:rsidR="002B232B" w:rsidRDefault="0056363F">
            <w:pPr>
              <w:jc w:val="center"/>
            </w:pPr>
            <w:r>
              <w:rPr>
                <w:color w:val="000000"/>
                <w:sz w:val="24"/>
              </w:rPr>
              <w:t>35</w:t>
            </w:r>
          </w:p>
        </w:tc>
        <w:tc>
          <w:tcPr>
            <w:tcW w:w="1650" w:type="dxa"/>
            <w:vAlign w:val="center"/>
          </w:tcPr>
          <w:p w:rsidR="002B232B" w:rsidRDefault="0056363F">
            <w:pPr>
              <w:jc w:val="center"/>
            </w:pPr>
            <w:r>
              <w:rPr>
                <w:color w:val="000000"/>
                <w:sz w:val="24"/>
              </w:rPr>
              <w:t>600197</w:t>
            </w:r>
          </w:p>
        </w:tc>
        <w:tc>
          <w:tcPr>
            <w:tcW w:w="1980" w:type="dxa"/>
            <w:vAlign w:val="center"/>
          </w:tcPr>
          <w:p w:rsidR="002B232B" w:rsidRDefault="0056363F">
            <w:pPr>
              <w:jc w:val="center"/>
            </w:pPr>
            <w:r>
              <w:rPr>
                <w:color w:val="000000"/>
                <w:sz w:val="24"/>
              </w:rPr>
              <w:t>伊力特</w:t>
            </w:r>
          </w:p>
        </w:tc>
        <w:tc>
          <w:tcPr>
            <w:tcW w:w="2880" w:type="dxa"/>
            <w:vAlign w:val="center"/>
          </w:tcPr>
          <w:p w:rsidR="002B232B" w:rsidRDefault="0056363F">
            <w:pPr>
              <w:jc w:val="right"/>
            </w:pPr>
            <w:r>
              <w:rPr>
                <w:color w:val="000000"/>
                <w:sz w:val="24"/>
              </w:rPr>
              <w:t>16,389,189.24</w:t>
            </w:r>
          </w:p>
        </w:tc>
        <w:tc>
          <w:tcPr>
            <w:tcW w:w="1620" w:type="dxa"/>
            <w:vAlign w:val="center"/>
          </w:tcPr>
          <w:p w:rsidR="002B232B" w:rsidRDefault="0056363F">
            <w:pPr>
              <w:jc w:val="right"/>
            </w:pPr>
            <w:r>
              <w:rPr>
                <w:color w:val="000000"/>
                <w:sz w:val="24"/>
              </w:rPr>
              <w:t>2.16</w:t>
            </w:r>
          </w:p>
        </w:tc>
      </w:tr>
      <w:tr w:rsidR="002B232B">
        <w:tc>
          <w:tcPr>
            <w:tcW w:w="870" w:type="dxa"/>
            <w:vAlign w:val="center"/>
          </w:tcPr>
          <w:p w:rsidR="002B232B" w:rsidRDefault="0056363F">
            <w:pPr>
              <w:jc w:val="center"/>
            </w:pPr>
            <w:r>
              <w:rPr>
                <w:color w:val="000000"/>
                <w:sz w:val="24"/>
              </w:rPr>
              <w:t>36</w:t>
            </w:r>
          </w:p>
        </w:tc>
        <w:tc>
          <w:tcPr>
            <w:tcW w:w="1650" w:type="dxa"/>
            <w:vAlign w:val="center"/>
          </w:tcPr>
          <w:p w:rsidR="002B232B" w:rsidRDefault="0056363F">
            <w:pPr>
              <w:jc w:val="center"/>
            </w:pPr>
            <w:r>
              <w:rPr>
                <w:color w:val="000000"/>
                <w:sz w:val="24"/>
              </w:rPr>
              <w:t>603877</w:t>
            </w:r>
          </w:p>
        </w:tc>
        <w:tc>
          <w:tcPr>
            <w:tcW w:w="1980" w:type="dxa"/>
            <w:vAlign w:val="center"/>
          </w:tcPr>
          <w:p w:rsidR="002B232B" w:rsidRDefault="0056363F">
            <w:pPr>
              <w:jc w:val="center"/>
            </w:pPr>
            <w:r>
              <w:rPr>
                <w:color w:val="000000"/>
                <w:sz w:val="24"/>
              </w:rPr>
              <w:t>太平鸟</w:t>
            </w:r>
          </w:p>
        </w:tc>
        <w:tc>
          <w:tcPr>
            <w:tcW w:w="2880" w:type="dxa"/>
            <w:vAlign w:val="center"/>
          </w:tcPr>
          <w:p w:rsidR="002B232B" w:rsidRDefault="0056363F">
            <w:pPr>
              <w:jc w:val="right"/>
            </w:pPr>
            <w:r>
              <w:rPr>
                <w:color w:val="000000"/>
                <w:sz w:val="24"/>
              </w:rPr>
              <w:t>15,423,646.35</w:t>
            </w:r>
          </w:p>
        </w:tc>
        <w:tc>
          <w:tcPr>
            <w:tcW w:w="1620" w:type="dxa"/>
            <w:vAlign w:val="center"/>
          </w:tcPr>
          <w:p w:rsidR="002B232B" w:rsidRDefault="0056363F">
            <w:pPr>
              <w:jc w:val="right"/>
            </w:pPr>
            <w:r>
              <w:rPr>
                <w:color w:val="000000"/>
                <w:sz w:val="24"/>
              </w:rPr>
              <w:t>2.04</w:t>
            </w:r>
          </w:p>
        </w:tc>
      </w:tr>
      <w:tr w:rsidR="002B232B">
        <w:tc>
          <w:tcPr>
            <w:tcW w:w="870" w:type="dxa"/>
            <w:vAlign w:val="center"/>
          </w:tcPr>
          <w:p w:rsidR="002B232B" w:rsidRDefault="0056363F">
            <w:pPr>
              <w:jc w:val="center"/>
            </w:pPr>
            <w:r>
              <w:rPr>
                <w:color w:val="000000"/>
                <w:sz w:val="24"/>
              </w:rPr>
              <w:t>37</w:t>
            </w:r>
          </w:p>
        </w:tc>
        <w:tc>
          <w:tcPr>
            <w:tcW w:w="1650" w:type="dxa"/>
            <w:vAlign w:val="center"/>
          </w:tcPr>
          <w:p w:rsidR="002B232B" w:rsidRDefault="0056363F">
            <w:pPr>
              <w:jc w:val="center"/>
            </w:pPr>
            <w:r>
              <w:rPr>
                <w:color w:val="000000"/>
                <w:sz w:val="24"/>
              </w:rPr>
              <w:t>603357</w:t>
            </w:r>
          </w:p>
        </w:tc>
        <w:tc>
          <w:tcPr>
            <w:tcW w:w="1980" w:type="dxa"/>
            <w:vAlign w:val="center"/>
          </w:tcPr>
          <w:p w:rsidR="002B232B" w:rsidRDefault="0056363F">
            <w:pPr>
              <w:jc w:val="center"/>
            </w:pPr>
            <w:r>
              <w:rPr>
                <w:color w:val="000000"/>
                <w:sz w:val="24"/>
              </w:rPr>
              <w:t>设计总院</w:t>
            </w:r>
          </w:p>
        </w:tc>
        <w:tc>
          <w:tcPr>
            <w:tcW w:w="2880" w:type="dxa"/>
            <w:vAlign w:val="center"/>
          </w:tcPr>
          <w:p w:rsidR="002B232B" w:rsidRDefault="0056363F">
            <w:pPr>
              <w:jc w:val="right"/>
            </w:pPr>
            <w:r>
              <w:rPr>
                <w:color w:val="000000"/>
                <w:sz w:val="24"/>
              </w:rPr>
              <w:t>15,172,816.16</w:t>
            </w:r>
          </w:p>
        </w:tc>
        <w:tc>
          <w:tcPr>
            <w:tcW w:w="1620" w:type="dxa"/>
            <w:vAlign w:val="center"/>
          </w:tcPr>
          <w:p w:rsidR="002B232B" w:rsidRDefault="0056363F">
            <w:pPr>
              <w:jc w:val="right"/>
            </w:pPr>
            <w:r>
              <w:rPr>
                <w:color w:val="000000"/>
                <w:sz w:val="24"/>
              </w:rPr>
              <w:t>2.00</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本期累计买入金额</w:t>
      </w:r>
      <w:r w:rsidRPr="00C234F0">
        <w:rPr>
          <w:kern w:val="0"/>
          <w:sz w:val="24"/>
        </w:rPr>
        <w:t>”</w:t>
      </w:r>
      <w:r w:rsidRPr="00C234F0">
        <w:rPr>
          <w:kern w:val="0"/>
          <w:sz w:val="24"/>
        </w:rPr>
        <w:t>按买入成交金额（成交单价乘以成交数量）填列，不考虑相关交易费用。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累计卖出金额超出</w:t>
      </w:r>
      <w:r w:rsidR="006A7E68" w:rsidRPr="00245C29">
        <w:rPr>
          <w:rFonts w:ascii="Times New Roman" w:hAnsi="Times New Roman" w:hint="eastAsia"/>
          <w:kern w:val="0"/>
          <w:szCs w:val="24"/>
        </w:rPr>
        <w:t>期初</w:t>
      </w:r>
      <w:r w:rsidRPr="00245C29">
        <w:rPr>
          <w:rFonts w:ascii="Times New Roman" w:hAnsi="Times New Roman" w:hint="eastAsia"/>
          <w:kern w:val="0"/>
          <w:szCs w:val="24"/>
        </w:rPr>
        <w:t>基金资产净值</w:t>
      </w:r>
      <w:r w:rsidR="006073BA" w:rsidRPr="00245C29">
        <w:rPr>
          <w:rFonts w:ascii="Times New Roman" w:hAnsi="Times New Roman"/>
          <w:kern w:val="0"/>
          <w:szCs w:val="24"/>
        </w:rPr>
        <w:t>2</w:t>
      </w:r>
      <w:r w:rsidR="006073BA" w:rsidRPr="00245C29">
        <w:rPr>
          <w:rFonts w:ascii="Times New Roman" w:hAnsi="Times New Roman"/>
          <w:kern w:val="0"/>
          <w:szCs w:val="24"/>
        </w:rPr>
        <w:t>％</w:t>
      </w:r>
      <w:r w:rsidRPr="00245C29">
        <w:rPr>
          <w:rFonts w:ascii="Times New Roman" w:hAnsi="Times New Roman" w:hint="eastAsia"/>
          <w:kern w:val="0"/>
          <w:szCs w:val="24"/>
        </w:rPr>
        <w:t>或前</w:t>
      </w:r>
      <w:r w:rsidRPr="00245C29">
        <w:rPr>
          <w:rFonts w:ascii="Times New Roman" w:hAnsi="Times New Roman"/>
          <w:kern w:val="0"/>
          <w:szCs w:val="24"/>
        </w:rPr>
        <w:t>20</w:t>
      </w:r>
      <w:r w:rsidRPr="00245C29">
        <w:rPr>
          <w:rFonts w:ascii="Times New Roman" w:hAnsi="Times New Roman" w:hint="eastAsia"/>
          <w:kern w:val="0"/>
          <w:szCs w:val="24"/>
        </w:rPr>
        <w:t>名的股票明细</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金额单位：人民币元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70"/>
        <w:gridCol w:w="1650"/>
        <w:gridCol w:w="1980"/>
        <w:gridCol w:w="2880"/>
        <w:gridCol w:w="1620"/>
      </w:tblGrid>
      <w:tr w:rsidR="001A59F9" w:rsidRPr="00C51C77" w:rsidTr="006D141C">
        <w:tc>
          <w:tcPr>
            <w:tcW w:w="87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序号</w:t>
            </w:r>
          </w:p>
        </w:tc>
        <w:tc>
          <w:tcPr>
            <w:tcW w:w="165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股票代码</w:t>
            </w:r>
          </w:p>
        </w:tc>
        <w:tc>
          <w:tcPr>
            <w:tcW w:w="19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股票名称</w:t>
            </w:r>
          </w:p>
        </w:tc>
        <w:tc>
          <w:tcPr>
            <w:tcW w:w="288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本期累计卖出金额</w:t>
            </w:r>
          </w:p>
        </w:tc>
        <w:tc>
          <w:tcPr>
            <w:tcW w:w="1620" w:type="dxa"/>
            <w:vAlign w:val="center"/>
          </w:tcPr>
          <w:p w:rsidR="001A59F9" w:rsidRPr="00C234F0" w:rsidRDefault="001A59F9" w:rsidP="00C234F0">
            <w:pPr>
              <w:spacing w:before="29" w:line="288" w:lineRule="auto"/>
              <w:jc w:val="center"/>
              <w:rPr>
                <w:color w:val="000000"/>
                <w:sz w:val="24"/>
              </w:rPr>
            </w:pPr>
            <w:r w:rsidRPr="00C234F0">
              <w:rPr>
                <w:rFonts w:hint="eastAsia"/>
                <w:color w:val="000000"/>
                <w:sz w:val="24"/>
              </w:rPr>
              <w:t>占</w:t>
            </w:r>
            <w:r w:rsidR="006A7E68" w:rsidRPr="00C234F0">
              <w:rPr>
                <w:rFonts w:hint="eastAsia"/>
                <w:color w:val="000000"/>
                <w:sz w:val="24"/>
              </w:rPr>
              <w:t>期初</w:t>
            </w:r>
            <w:r w:rsidRPr="00C234F0">
              <w:rPr>
                <w:rFonts w:hint="eastAsia"/>
                <w:color w:val="000000"/>
                <w:sz w:val="24"/>
              </w:rPr>
              <w:t>基金资产净值比例（％）</w:t>
            </w:r>
          </w:p>
        </w:tc>
      </w:tr>
      <w:tr w:rsidR="002B232B">
        <w:tc>
          <w:tcPr>
            <w:tcW w:w="870" w:type="dxa"/>
            <w:vAlign w:val="center"/>
          </w:tcPr>
          <w:p w:rsidR="002B232B" w:rsidRDefault="0056363F">
            <w:pPr>
              <w:jc w:val="center"/>
            </w:pPr>
            <w:r>
              <w:t>1</w:t>
            </w:r>
          </w:p>
        </w:tc>
        <w:tc>
          <w:tcPr>
            <w:tcW w:w="1650" w:type="dxa"/>
            <w:vAlign w:val="center"/>
          </w:tcPr>
          <w:p w:rsidR="002B232B" w:rsidRDefault="0056363F">
            <w:pPr>
              <w:jc w:val="center"/>
            </w:pPr>
            <w:r>
              <w:t>600887</w:t>
            </w:r>
          </w:p>
        </w:tc>
        <w:tc>
          <w:tcPr>
            <w:tcW w:w="1980" w:type="dxa"/>
            <w:vAlign w:val="center"/>
          </w:tcPr>
          <w:p w:rsidR="002B232B" w:rsidRDefault="0056363F">
            <w:pPr>
              <w:jc w:val="center"/>
            </w:pPr>
            <w:r>
              <w:t>伊利股份</w:t>
            </w:r>
          </w:p>
        </w:tc>
        <w:tc>
          <w:tcPr>
            <w:tcW w:w="2880" w:type="dxa"/>
            <w:vAlign w:val="center"/>
          </w:tcPr>
          <w:p w:rsidR="002B232B" w:rsidRDefault="0056363F">
            <w:pPr>
              <w:jc w:val="right"/>
            </w:pPr>
            <w:r>
              <w:t>101,384,512.25</w:t>
            </w:r>
          </w:p>
        </w:tc>
        <w:tc>
          <w:tcPr>
            <w:tcW w:w="1620" w:type="dxa"/>
            <w:vAlign w:val="center"/>
          </w:tcPr>
          <w:p w:rsidR="002B232B" w:rsidRDefault="0056363F">
            <w:pPr>
              <w:jc w:val="right"/>
            </w:pPr>
            <w:r>
              <w:t>13.38</w:t>
            </w:r>
          </w:p>
        </w:tc>
      </w:tr>
      <w:tr w:rsidR="002B232B">
        <w:tc>
          <w:tcPr>
            <w:tcW w:w="870" w:type="dxa"/>
            <w:vAlign w:val="center"/>
          </w:tcPr>
          <w:p w:rsidR="002B232B" w:rsidRDefault="0056363F">
            <w:pPr>
              <w:jc w:val="center"/>
            </w:pPr>
            <w:r>
              <w:t>2</w:t>
            </w:r>
          </w:p>
        </w:tc>
        <w:tc>
          <w:tcPr>
            <w:tcW w:w="1650" w:type="dxa"/>
            <w:vAlign w:val="center"/>
          </w:tcPr>
          <w:p w:rsidR="002B232B" w:rsidRDefault="0056363F">
            <w:pPr>
              <w:jc w:val="center"/>
            </w:pPr>
            <w:r>
              <w:t>002304</w:t>
            </w:r>
          </w:p>
        </w:tc>
        <w:tc>
          <w:tcPr>
            <w:tcW w:w="1980" w:type="dxa"/>
            <w:vAlign w:val="center"/>
          </w:tcPr>
          <w:p w:rsidR="002B232B" w:rsidRDefault="0056363F">
            <w:pPr>
              <w:jc w:val="center"/>
            </w:pPr>
            <w:r>
              <w:t>洋河股份</w:t>
            </w:r>
          </w:p>
        </w:tc>
        <w:tc>
          <w:tcPr>
            <w:tcW w:w="2880" w:type="dxa"/>
            <w:vAlign w:val="center"/>
          </w:tcPr>
          <w:p w:rsidR="002B232B" w:rsidRDefault="0056363F">
            <w:pPr>
              <w:jc w:val="right"/>
            </w:pPr>
            <w:r>
              <w:t>92,967,291.17</w:t>
            </w:r>
          </w:p>
        </w:tc>
        <w:tc>
          <w:tcPr>
            <w:tcW w:w="1620" w:type="dxa"/>
            <w:vAlign w:val="center"/>
          </w:tcPr>
          <w:p w:rsidR="002B232B" w:rsidRDefault="0056363F">
            <w:pPr>
              <w:jc w:val="right"/>
            </w:pPr>
            <w:r>
              <w:t>12.27</w:t>
            </w:r>
          </w:p>
        </w:tc>
      </w:tr>
      <w:tr w:rsidR="002B232B">
        <w:tc>
          <w:tcPr>
            <w:tcW w:w="870" w:type="dxa"/>
            <w:vAlign w:val="center"/>
          </w:tcPr>
          <w:p w:rsidR="002B232B" w:rsidRDefault="0056363F">
            <w:pPr>
              <w:jc w:val="center"/>
            </w:pPr>
            <w:r>
              <w:t>3</w:t>
            </w:r>
          </w:p>
        </w:tc>
        <w:tc>
          <w:tcPr>
            <w:tcW w:w="1650" w:type="dxa"/>
            <w:vAlign w:val="center"/>
          </w:tcPr>
          <w:p w:rsidR="002B232B" w:rsidRDefault="0056363F">
            <w:pPr>
              <w:jc w:val="center"/>
            </w:pPr>
            <w:r>
              <w:t>000858</w:t>
            </w:r>
          </w:p>
        </w:tc>
        <w:tc>
          <w:tcPr>
            <w:tcW w:w="1980" w:type="dxa"/>
            <w:vAlign w:val="center"/>
          </w:tcPr>
          <w:p w:rsidR="002B232B" w:rsidRDefault="0056363F">
            <w:pPr>
              <w:jc w:val="center"/>
            </w:pPr>
            <w:r>
              <w:t>五粮液</w:t>
            </w:r>
          </w:p>
        </w:tc>
        <w:tc>
          <w:tcPr>
            <w:tcW w:w="2880" w:type="dxa"/>
            <w:vAlign w:val="center"/>
          </w:tcPr>
          <w:p w:rsidR="002B232B" w:rsidRDefault="0056363F">
            <w:pPr>
              <w:jc w:val="right"/>
            </w:pPr>
            <w:r>
              <w:t>72,443,698.36</w:t>
            </w:r>
          </w:p>
        </w:tc>
        <w:tc>
          <w:tcPr>
            <w:tcW w:w="1620" w:type="dxa"/>
            <w:vAlign w:val="center"/>
          </w:tcPr>
          <w:p w:rsidR="002B232B" w:rsidRDefault="0056363F">
            <w:pPr>
              <w:jc w:val="right"/>
            </w:pPr>
            <w:r>
              <w:t>9.56</w:t>
            </w:r>
          </w:p>
        </w:tc>
      </w:tr>
      <w:tr w:rsidR="002B232B">
        <w:tc>
          <w:tcPr>
            <w:tcW w:w="870" w:type="dxa"/>
            <w:vAlign w:val="center"/>
          </w:tcPr>
          <w:p w:rsidR="002B232B" w:rsidRDefault="0056363F">
            <w:pPr>
              <w:jc w:val="center"/>
            </w:pPr>
            <w:r>
              <w:t>4</w:t>
            </w:r>
          </w:p>
        </w:tc>
        <w:tc>
          <w:tcPr>
            <w:tcW w:w="1650" w:type="dxa"/>
            <w:vAlign w:val="center"/>
          </w:tcPr>
          <w:p w:rsidR="002B232B" w:rsidRDefault="0056363F">
            <w:pPr>
              <w:jc w:val="center"/>
            </w:pPr>
            <w:r>
              <w:t>002027</w:t>
            </w:r>
          </w:p>
        </w:tc>
        <w:tc>
          <w:tcPr>
            <w:tcW w:w="1980" w:type="dxa"/>
            <w:vAlign w:val="center"/>
          </w:tcPr>
          <w:p w:rsidR="002B232B" w:rsidRDefault="0056363F">
            <w:pPr>
              <w:jc w:val="center"/>
            </w:pPr>
            <w:r>
              <w:t>分众传媒</w:t>
            </w:r>
          </w:p>
        </w:tc>
        <w:tc>
          <w:tcPr>
            <w:tcW w:w="2880" w:type="dxa"/>
            <w:vAlign w:val="center"/>
          </w:tcPr>
          <w:p w:rsidR="002B232B" w:rsidRDefault="0056363F">
            <w:pPr>
              <w:jc w:val="right"/>
            </w:pPr>
            <w:r>
              <w:t>70,591,875.54</w:t>
            </w:r>
          </w:p>
        </w:tc>
        <w:tc>
          <w:tcPr>
            <w:tcW w:w="1620" w:type="dxa"/>
            <w:vAlign w:val="center"/>
          </w:tcPr>
          <w:p w:rsidR="002B232B" w:rsidRDefault="0056363F">
            <w:pPr>
              <w:jc w:val="right"/>
            </w:pPr>
            <w:r>
              <w:t>9.31</w:t>
            </w:r>
          </w:p>
        </w:tc>
      </w:tr>
      <w:tr w:rsidR="002B232B">
        <w:tc>
          <w:tcPr>
            <w:tcW w:w="870" w:type="dxa"/>
            <w:vAlign w:val="center"/>
          </w:tcPr>
          <w:p w:rsidR="002B232B" w:rsidRDefault="0056363F">
            <w:pPr>
              <w:jc w:val="center"/>
            </w:pPr>
            <w:r>
              <w:t>5</w:t>
            </w:r>
          </w:p>
        </w:tc>
        <w:tc>
          <w:tcPr>
            <w:tcW w:w="1650" w:type="dxa"/>
            <w:vAlign w:val="center"/>
          </w:tcPr>
          <w:p w:rsidR="002B232B" w:rsidRDefault="0056363F">
            <w:pPr>
              <w:jc w:val="center"/>
            </w:pPr>
            <w:r>
              <w:t>600519</w:t>
            </w:r>
          </w:p>
        </w:tc>
        <w:tc>
          <w:tcPr>
            <w:tcW w:w="1980" w:type="dxa"/>
            <w:vAlign w:val="center"/>
          </w:tcPr>
          <w:p w:rsidR="002B232B" w:rsidRDefault="0056363F">
            <w:pPr>
              <w:jc w:val="center"/>
            </w:pPr>
            <w:r>
              <w:t>贵州茅台</w:t>
            </w:r>
          </w:p>
        </w:tc>
        <w:tc>
          <w:tcPr>
            <w:tcW w:w="2880" w:type="dxa"/>
            <w:vAlign w:val="center"/>
          </w:tcPr>
          <w:p w:rsidR="002B232B" w:rsidRDefault="0056363F">
            <w:pPr>
              <w:jc w:val="right"/>
            </w:pPr>
            <w:r>
              <w:t>53,216,952.83</w:t>
            </w:r>
          </w:p>
        </w:tc>
        <w:tc>
          <w:tcPr>
            <w:tcW w:w="1620" w:type="dxa"/>
            <w:vAlign w:val="center"/>
          </w:tcPr>
          <w:p w:rsidR="002B232B" w:rsidRDefault="0056363F">
            <w:pPr>
              <w:jc w:val="right"/>
            </w:pPr>
            <w:r>
              <w:t>7.02</w:t>
            </w:r>
          </w:p>
        </w:tc>
      </w:tr>
      <w:tr w:rsidR="002B232B">
        <w:tc>
          <w:tcPr>
            <w:tcW w:w="870" w:type="dxa"/>
            <w:vAlign w:val="center"/>
          </w:tcPr>
          <w:p w:rsidR="002B232B" w:rsidRDefault="0056363F">
            <w:pPr>
              <w:jc w:val="center"/>
            </w:pPr>
            <w:r>
              <w:t>6</w:t>
            </w:r>
          </w:p>
        </w:tc>
        <w:tc>
          <w:tcPr>
            <w:tcW w:w="1650" w:type="dxa"/>
            <w:vAlign w:val="center"/>
          </w:tcPr>
          <w:p w:rsidR="002B232B" w:rsidRDefault="0056363F">
            <w:pPr>
              <w:jc w:val="center"/>
            </w:pPr>
            <w:r>
              <w:t>000002</w:t>
            </w:r>
          </w:p>
        </w:tc>
        <w:tc>
          <w:tcPr>
            <w:tcW w:w="1980" w:type="dxa"/>
            <w:vAlign w:val="center"/>
          </w:tcPr>
          <w:p w:rsidR="002B232B" w:rsidRDefault="0056363F">
            <w:pPr>
              <w:jc w:val="center"/>
            </w:pPr>
            <w:r>
              <w:t>万科</w:t>
            </w:r>
            <w:r>
              <w:t>A</w:t>
            </w:r>
          </w:p>
        </w:tc>
        <w:tc>
          <w:tcPr>
            <w:tcW w:w="2880" w:type="dxa"/>
            <w:vAlign w:val="center"/>
          </w:tcPr>
          <w:p w:rsidR="002B232B" w:rsidRDefault="0056363F">
            <w:pPr>
              <w:jc w:val="right"/>
            </w:pPr>
            <w:r>
              <w:t>42,768,782.98</w:t>
            </w:r>
          </w:p>
        </w:tc>
        <w:tc>
          <w:tcPr>
            <w:tcW w:w="1620" w:type="dxa"/>
            <w:vAlign w:val="center"/>
          </w:tcPr>
          <w:p w:rsidR="002B232B" w:rsidRDefault="0056363F">
            <w:pPr>
              <w:jc w:val="right"/>
            </w:pPr>
            <w:r>
              <w:t>5.64</w:t>
            </w:r>
          </w:p>
        </w:tc>
      </w:tr>
      <w:tr w:rsidR="002B232B">
        <w:tc>
          <w:tcPr>
            <w:tcW w:w="870" w:type="dxa"/>
            <w:vAlign w:val="center"/>
          </w:tcPr>
          <w:p w:rsidR="002B232B" w:rsidRDefault="0056363F">
            <w:pPr>
              <w:jc w:val="center"/>
            </w:pPr>
            <w:r>
              <w:t>7</w:t>
            </w:r>
          </w:p>
        </w:tc>
        <w:tc>
          <w:tcPr>
            <w:tcW w:w="1650" w:type="dxa"/>
            <w:vAlign w:val="center"/>
          </w:tcPr>
          <w:p w:rsidR="002B232B" w:rsidRDefault="0056363F">
            <w:pPr>
              <w:jc w:val="center"/>
            </w:pPr>
            <w:r>
              <w:t>600036</w:t>
            </w:r>
          </w:p>
        </w:tc>
        <w:tc>
          <w:tcPr>
            <w:tcW w:w="1980" w:type="dxa"/>
            <w:vAlign w:val="center"/>
          </w:tcPr>
          <w:p w:rsidR="002B232B" w:rsidRDefault="0056363F">
            <w:pPr>
              <w:jc w:val="center"/>
            </w:pPr>
            <w:r>
              <w:t>招商银行</w:t>
            </w:r>
          </w:p>
        </w:tc>
        <w:tc>
          <w:tcPr>
            <w:tcW w:w="2880" w:type="dxa"/>
            <w:vAlign w:val="center"/>
          </w:tcPr>
          <w:p w:rsidR="002B232B" w:rsidRDefault="0056363F">
            <w:pPr>
              <w:jc w:val="right"/>
            </w:pPr>
            <w:r>
              <w:t>42,114,403.00</w:t>
            </w:r>
          </w:p>
        </w:tc>
        <w:tc>
          <w:tcPr>
            <w:tcW w:w="1620" w:type="dxa"/>
            <w:vAlign w:val="center"/>
          </w:tcPr>
          <w:p w:rsidR="002B232B" w:rsidRDefault="0056363F">
            <w:pPr>
              <w:jc w:val="right"/>
            </w:pPr>
            <w:r>
              <w:t>5.56</w:t>
            </w:r>
          </w:p>
        </w:tc>
      </w:tr>
      <w:tr w:rsidR="002B232B">
        <w:tc>
          <w:tcPr>
            <w:tcW w:w="870" w:type="dxa"/>
            <w:vAlign w:val="center"/>
          </w:tcPr>
          <w:p w:rsidR="002B232B" w:rsidRDefault="0056363F">
            <w:pPr>
              <w:jc w:val="center"/>
            </w:pPr>
            <w:r>
              <w:t>8</w:t>
            </w:r>
          </w:p>
        </w:tc>
        <w:tc>
          <w:tcPr>
            <w:tcW w:w="1650" w:type="dxa"/>
            <w:vAlign w:val="center"/>
          </w:tcPr>
          <w:p w:rsidR="002B232B" w:rsidRDefault="0056363F">
            <w:pPr>
              <w:jc w:val="center"/>
            </w:pPr>
            <w:r>
              <w:t>600048</w:t>
            </w:r>
          </w:p>
        </w:tc>
        <w:tc>
          <w:tcPr>
            <w:tcW w:w="1980" w:type="dxa"/>
            <w:vAlign w:val="center"/>
          </w:tcPr>
          <w:p w:rsidR="002B232B" w:rsidRDefault="0056363F">
            <w:pPr>
              <w:jc w:val="center"/>
            </w:pPr>
            <w:r>
              <w:t>保利地产</w:t>
            </w:r>
          </w:p>
        </w:tc>
        <w:tc>
          <w:tcPr>
            <w:tcW w:w="2880" w:type="dxa"/>
            <w:vAlign w:val="center"/>
          </w:tcPr>
          <w:p w:rsidR="002B232B" w:rsidRDefault="0056363F">
            <w:pPr>
              <w:jc w:val="right"/>
            </w:pPr>
            <w:r>
              <w:t>41,675,247.70</w:t>
            </w:r>
          </w:p>
        </w:tc>
        <w:tc>
          <w:tcPr>
            <w:tcW w:w="1620" w:type="dxa"/>
            <w:vAlign w:val="center"/>
          </w:tcPr>
          <w:p w:rsidR="002B232B" w:rsidRDefault="0056363F">
            <w:pPr>
              <w:jc w:val="right"/>
            </w:pPr>
            <w:r>
              <w:t>5.50</w:t>
            </w:r>
          </w:p>
        </w:tc>
      </w:tr>
      <w:tr w:rsidR="002B232B">
        <w:tc>
          <w:tcPr>
            <w:tcW w:w="870" w:type="dxa"/>
            <w:vAlign w:val="center"/>
          </w:tcPr>
          <w:p w:rsidR="002B232B" w:rsidRDefault="0056363F">
            <w:pPr>
              <w:jc w:val="center"/>
            </w:pPr>
            <w:r>
              <w:t>9</w:t>
            </w:r>
          </w:p>
        </w:tc>
        <w:tc>
          <w:tcPr>
            <w:tcW w:w="1650" w:type="dxa"/>
            <w:vAlign w:val="center"/>
          </w:tcPr>
          <w:p w:rsidR="002B232B" w:rsidRDefault="0056363F">
            <w:pPr>
              <w:jc w:val="center"/>
            </w:pPr>
            <w:r>
              <w:t>000895</w:t>
            </w:r>
          </w:p>
        </w:tc>
        <w:tc>
          <w:tcPr>
            <w:tcW w:w="1980" w:type="dxa"/>
            <w:vAlign w:val="center"/>
          </w:tcPr>
          <w:p w:rsidR="002B232B" w:rsidRDefault="0056363F">
            <w:pPr>
              <w:jc w:val="center"/>
            </w:pPr>
            <w:r>
              <w:t>双汇发展</w:t>
            </w:r>
          </w:p>
        </w:tc>
        <w:tc>
          <w:tcPr>
            <w:tcW w:w="2880" w:type="dxa"/>
            <w:vAlign w:val="center"/>
          </w:tcPr>
          <w:p w:rsidR="002B232B" w:rsidRDefault="0056363F">
            <w:pPr>
              <w:jc w:val="right"/>
            </w:pPr>
            <w:r>
              <w:t>40,535,143.29</w:t>
            </w:r>
          </w:p>
        </w:tc>
        <w:tc>
          <w:tcPr>
            <w:tcW w:w="1620" w:type="dxa"/>
            <w:vAlign w:val="center"/>
          </w:tcPr>
          <w:p w:rsidR="002B232B" w:rsidRDefault="0056363F">
            <w:pPr>
              <w:jc w:val="right"/>
            </w:pPr>
            <w:r>
              <w:t>5.35</w:t>
            </w:r>
          </w:p>
        </w:tc>
      </w:tr>
      <w:tr w:rsidR="002B232B">
        <w:tc>
          <w:tcPr>
            <w:tcW w:w="870" w:type="dxa"/>
            <w:vAlign w:val="center"/>
          </w:tcPr>
          <w:p w:rsidR="002B232B" w:rsidRDefault="0056363F">
            <w:pPr>
              <w:jc w:val="center"/>
            </w:pPr>
            <w:r>
              <w:t>10</w:t>
            </w:r>
          </w:p>
        </w:tc>
        <w:tc>
          <w:tcPr>
            <w:tcW w:w="1650" w:type="dxa"/>
            <w:vAlign w:val="center"/>
          </w:tcPr>
          <w:p w:rsidR="002B232B" w:rsidRDefault="0056363F">
            <w:pPr>
              <w:jc w:val="center"/>
            </w:pPr>
            <w:r>
              <w:t>000596</w:t>
            </w:r>
          </w:p>
        </w:tc>
        <w:tc>
          <w:tcPr>
            <w:tcW w:w="1980" w:type="dxa"/>
            <w:vAlign w:val="center"/>
          </w:tcPr>
          <w:p w:rsidR="002B232B" w:rsidRDefault="0056363F">
            <w:pPr>
              <w:jc w:val="center"/>
            </w:pPr>
            <w:r>
              <w:t>古井贡酒</w:t>
            </w:r>
          </w:p>
        </w:tc>
        <w:tc>
          <w:tcPr>
            <w:tcW w:w="2880" w:type="dxa"/>
            <w:vAlign w:val="center"/>
          </w:tcPr>
          <w:p w:rsidR="002B232B" w:rsidRDefault="0056363F">
            <w:pPr>
              <w:jc w:val="right"/>
            </w:pPr>
            <w:r>
              <w:t>39,508,547.95</w:t>
            </w:r>
          </w:p>
        </w:tc>
        <w:tc>
          <w:tcPr>
            <w:tcW w:w="1620" w:type="dxa"/>
            <w:vAlign w:val="center"/>
          </w:tcPr>
          <w:p w:rsidR="002B232B" w:rsidRDefault="0056363F">
            <w:pPr>
              <w:jc w:val="right"/>
            </w:pPr>
            <w:r>
              <w:t>5.21</w:t>
            </w:r>
          </w:p>
        </w:tc>
      </w:tr>
      <w:tr w:rsidR="002B232B">
        <w:tc>
          <w:tcPr>
            <w:tcW w:w="870" w:type="dxa"/>
            <w:vAlign w:val="center"/>
          </w:tcPr>
          <w:p w:rsidR="002B232B" w:rsidRDefault="0056363F">
            <w:pPr>
              <w:jc w:val="center"/>
            </w:pPr>
            <w:r>
              <w:t>11</w:t>
            </w:r>
          </w:p>
        </w:tc>
        <w:tc>
          <w:tcPr>
            <w:tcW w:w="1650" w:type="dxa"/>
            <w:vAlign w:val="center"/>
          </w:tcPr>
          <w:p w:rsidR="002B232B" w:rsidRDefault="0056363F">
            <w:pPr>
              <w:jc w:val="center"/>
            </w:pPr>
            <w:r>
              <w:t>600028</w:t>
            </w:r>
          </w:p>
        </w:tc>
        <w:tc>
          <w:tcPr>
            <w:tcW w:w="1980" w:type="dxa"/>
            <w:vAlign w:val="center"/>
          </w:tcPr>
          <w:p w:rsidR="002B232B" w:rsidRDefault="0056363F">
            <w:pPr>
              <w:jc w:val="center"/>
            </w:pPr>
            <w:r>
              <w:t>中国石化</w:t>
            </w:r>
          </w:p>
        </w:tc>
        <w:tc>
          <w:tcPr>
            <w:tcW w:w="2880" w:type="dxa"/>
            <w:vAlign w:val="center"/>
          </w:tcPr>
          <w:p w:rsidR="002B232B" w:rsidRDefault="0056363F">
            <w:pPr>
              <w:jc w:val="right"/>
            </w:pPr>
            <w:r>
              <w:t>38,897,772.70</w:t>
            </w:r>
          </w:p>
        </w:tc>
        <w:tc>
          <w:tcPr>
            <w:tcW w:w="1620" w:type="dxa"/>
            <w:vAlign w:val="center"/>
          </w:tcPr>
          <w:p w:rsidR="002B232B" w:rsidRDefault="0056363F">
            <w:pPr>
              <w:jc w:val="right"/>
            </w:pPr>
            <w:r>
              <w:t>5.13</w:t>
            </w:r>
          </w:p>
        </w:tc>
      </w:tr>
      <w:tr w:rsidR="002B232B">
        <w:tc>
          <w:tcPr>
            <w:tcW w:w="870" w:type="dxa"/>
            <w:vAlign w:val="center"/>
          </w:tcPr>
          <w:p w:rsidR="002B232B" w:rsidRDefault="0056363F">
            <w:pPr>
              <w:jc w:val="center"/>
            </w:pPr>
            <w:r>
              <w:t>12</w:t>
            </w:r>
          </w:p>
        </w:tc>
        <w:tc>
          <w:tcPr>
            <w:tcW w:w="1650" w:type="dxa"/>
            <w:vAlign w:val="center"/>
          </w:tcPr>
          <w:p w:rsidR="002B232B" w:rsidRDefault="0056363F">
            <w:pPr>
              <w:jc w:val="center"/>
            </w:pPr>
            <w:r>
              <w:t>603808</w:t>
            </w:r>
          </w:p>
        </w:tc>
        <w:tc>
          <w:tcPr>
            <w:tcW w:w="1980" w:type="dxa"/>
            <w:vAlign w:val="center"/>
          </w:tcPr>
          <w:p w:rsidR="002B232B" w:rsidRDefault="0056363F">
            <w:pPr>
              <w:jc w:val="center"/>
            </w:pPr>
            <w:r>
              <w:t>歌力思</w:t>
            </w:r>
          </w:p>
        </w:tc>
        <w:tc>
          <w:tcPr>
            <w:tcW w:w="2880" w:type="dxa"/>
            <w:vAlign w:val="center"/>
          </w:tcPr>
          <w:p w:rsidR="002B232B" w:rsidRDefault="0056363F">
            <w:pPr>
              <w:jc w:val="right"/>
            </w:pPr>
            <w:r>
              <w:t>35,971,915.67</w:t>
            </w:r>
          </w:p>
        </w:tc>
        <w:tc>
          <w:tcPr>
            <w:tcW w:w="1620" w:type="dxa"/>
            <w:vAlign w:val="center"/>
          </w:tcPr>
          <w:p w:rsidR="002B232B" w:rsidRDefault="0056363F">
            <w:pPr>
              <w:jc w:val="right"/>
            </w:pPr>
            <w:r>
              <w:t>4.75</w:t>
            </w:r>
          </w:p>
        </w:tc>
      </w:tr>
      <w:tr w:rsidR="002B232B">
        <w:tc>
          <w:tcPr>
            <w:tcW w:w="870" w:type="dxa"/>
            <w:vAlign w:val="center"/>
          </w:tcPr>
          <w:p w:rsidR="002B232B" w:rsidRDefault="0056363F">
            <w:pPr>
              <w:jc w:val="center"/>
            </w:pPr>
            <w:r>
              <w:t>13</w:t>
            </w:r>
          </w:p>
        </w:tc>
        <w:tc>
          <w:tcPr>
            <w:tcW w:w="1650" w:type="dxa"/>
            <w:vAlign w:val="center"/>
          </w:tcPr>
          <w:p w:rsidR="002B232B" w:rsidRDefault="0056363F">
            <w:pPr>
              <w:jc w:val="center"/>
            </w:pPr>
            <w:r>
              <w:t>601111</w:t>
            </w:r>
          </w:p>
        </w:tc>
        <w:tc>
          <w:tcPr>
            <w:tcW w:w="1980" w:type="dxa"/>
            <w:vAlign w:val="center"/>
          </w:tcPr>
          <w:p w:rsidR="002B232B" w:rsidRDefault="0056363F">
            <w:pPr>
              <w:jc w:val="center"/>
            </w:pPr>
            <w:r>
              <w:t>中国国航</w:t>
            </w:r>
          </w:p>
        </w:tc>
        <w:tc>
          <w:tcPr>
            <w:tcW w:w="2880" w:type="dxa"/>
            <w:vAlign w:val="center"/>
          </w:tcPr>
          <w:p w:rsidR="002B232B" w:rsidRDefault="0056363F">
            <w:pPr>
              <w:jc w:val="right"/>
            </w:pPr>
            <w:r>
              <w:t>34,186,691.00</w:t>
            </w:r>
          </w:p>
        </w:tc>
        <w:tc>
          <w:tcPr>
            <w:tcW w:w="1620" w:type="dxa"/>
            <w:vAlign w:val="center"/>
          </w:tcPr>
          <w:p w:rsidR="002B232B" w:rsidRDefault="0056363F">
            <w:pPr>
              <w:jc w:val="right"/>
            </w:pPr>
            <w:r>
              <w:t>4.51</w:t>
            </w:r>
          </w:p>
        </w:tc>
      </w:tr>
      <w:tr w:rsidR="002B232B">
        <w:tc>
          <w:tcPr>
            <w:tcW w:w="870" w:type="dxa"/>
            <w:vAlign w:val="center"/>
          </w:tcPr>
          <w:p w:rsidR="002B232B" w:rsidRDefault="0056363F">
            <w:pPr>
              <w:jc w:val="center"/>
            </w:pPr>
            <w:r>
              <w:t>14</w:t>
            </w:r>
          </w:p>
        </w:tc>
        <w:tc>
          <w:tcPr>
            <w:tcW w:w="1650" w:type="dxa"/>
            <w:vAlign w:val="center"/>
          </w:tcPr>
          <w:p w:rsidR="002B232B" w:rsidRDefault="0056363F">
            <w:pPr>
              <w:jc w:val="center"/>
            </w:pPr>
            <w:r>
              <w:t>603877</w:t>
            </w:r>
          </w:p>
        </w:tc>
        <w:tc>
          <w:tcPr>
            <w:tcW w:w="1980" w:type="dxa"/>
            <w:vAlign w:val="center"/>
          </w:tcPr>
          <w:p w:rsidR="002B232B" w:rsidRDefault="0056363F">
            <w:pPr>
              <w:jc w:val="center"/>
            </w:pPr>
            <w:r>
              <w:t>太平鸟</w:t>
            </w:r>
          </w:p>
        </w:tc>
        <w:tc>
          <w:tcPr>
            <w:tcW w:w="2880" w:type="dxa"/>
            <w:vAlign w:val="center"/>
          </w:tcPr>
          <w:p w:rsidR="002B232B" w:rsidRDefault="0056363F">
            <w:pPr>
              <w:jc w:val="right"/>
            </w:pPr>
            <w:r>
              <w:t>33,134,814.47</w:t>
            </w:r>
          </w:p>
        </w:tc>
        <w:tc>
          <w:tcPr>
            <w:tcW w:w="1620" w:type="dxa"/>
            <w:vAlign w:val="center"/>
          </w:tcPr>
          <w:p w:rsidR="002B232B" w:rsidRDefault="0056363F">
            <w:pPr>
              <w:jc w:val="right"/>
            </w:pPr>
            <w:r>
              <w:t>4.37</w:t>
            </w:r>
          </w:p>
        </w:tc>
      </w:tr>
      <w:tr w:rsidR="002B232B">
        <w:tc>
          <w:tcPr>
            <w:tcW w:w="870" w:type="dxa"/>
            <w:vAlign w:val="center"/>
          </w:tcPr>
          <w:p w:rsidR="002B232B" w:rsidRDefault="0056363F">
            <w:pPr>
              <w:jc w:val="center"/>
            </w:pPr>
            <w:r>
              <w:t>15</w:t>
            </w:r>
          </w:p>
        </w:tc>
        <w:tc>
          <w:tcPr>
            <w:tcW w:w="1650" w:type="dxa"/>
            <w:vAlign w:val="center"/>
          </w:tcPr>
          <w:p w:rsidR="002B232B" w:rsidRDefault="0056363F">
            <w:pPr>
              <w:jc w:val="center"/>
            </w:pPr>
            <w:r>
              <w:t>600115</w:t>
            </w:r>
          </w:p>
        </w:tc>
        <w:tc>
          <w:tcPr>
            <w:tcW w:w="1980" w:type="dxa"/>
            <w:vAlign w:val="center"/>
          </w:tcPr>
          <w:p w:rsidR="002B232B" w:rsidRDefault="0056363F">
            <w:pPr>
              <w:jc w:val="center"/>
            </w:pPr>
            <w:r>
              <w:t>东方航空</w:t>
            </w:r>
          </w:p>
        </w:tc>
        <w:tc>
          <w:tcPr>
            <w:tcW w:w="2880" w:type="dxa"/>
            <w:vAlign w:val="center"/>
          </w:tcPr>
          <w:p w:rsidR="002B232B" w:rsidRDefault="0056363F">
            <w:pPr>
              <w:jc w:val="right"/>
            </w:pPr>
            <w:r>
              <w:t>33,095,964.00</w:t>
            </w:r>
          </w:p>
        </w:tc>
        <w:tc>
          <w:tcPr>
            <w:tcW w:w="1620" w:type="dxa"/>
            <w:vAlign w:val="center"/>
          </w:tcPr>
          <w:p w:rsidR="002B232B" w:rsidRDefault="0056363F">
            <w:pPr>
              <w:jc w:val="right"/>
            </w:pPr>
            <w:r>
              <w:t>4.37</w:t>
            </w:r>
          </w:p>
        </w:tc>
      </w:tr>
      <w:tr w:rsidR="002B232B">
        <w:tc>
          <w:tcPr>
            <w:tcW w:w="870" w:type="dxa"/>
            <w:vAlign w:val="center"/>
          </w:tcPr>
          <w:p w:rsidR="002B232B" w:rsidRDefault="0056363F">
            <w:pPr>
              <w:jc w:val="center"/>
            </w:pPr>
            <w:r>
              <w:t>16</w:t>
            </w:r>
          </w:p>
        </w:tc>
        <w:tc>
          <w:tcPr>
            <w:tcW w:w="1650" w:type="dxa"/>
            <w:vAlign w:val="center"/>
          </w:tcPr>
          <w:p w:rsidR="002B232B" w:rsidRDefault="0056363F">
            <w:pPr>
              <w:jc w:val="center"/>
            </w:pPr>
            <w:r>
              <w:t>000651</w:t>
            </w:r>
          </w:p>
        </w:tc>
        <w:tc>
          <w:tcPr>
            <w:tcW w:w="1980" w:type="dxa"/>
            <w:vAlign w:val="center"/>
          </w:tcPr>
          <w:p w:rsidR="002B232B" w:rsidRDefault="0056363F">
            <w:pPr>
              <w:jc w:val="center"/>
            </w:pPr>
            <w:r>
              <w:t>格力电器</w:t>
            </w:r>
          </w:p>
        </w:tc>
        <w:tc>
          <w:tcPr>
            <w:tcW w:w="2880" w:type="dxa"/>
            <w:vAlign w:val="center"/>
          </w:tcPr>
          <w:p w:rsidR="002B232B" w:rsidRDefault="0056363F">
            <w:pPr>
              <w:jc w:val="right"/>
            </w:pPr>
            <w:r>
              <w:t>31,422,288.33</w:t>
            </w:r>
          </w:p>
        </w:tc>
        <w:tc>
          <w:tcPr>
            <w:tcW w:w="1620" w:type="dxa"/>
            <w:vAlign w:val="center"/>
          </w:tcPr>
          <w:p w:rsidR="002B232B" w:rsidRDefault="0056363F">
            <w:pPr>
              <w:jc w:val="right"/>
            </w:pPr>
            <w:r>
              <w:t>4.15</w:t>
            </w:r>
          </w:p>
        </w:tc>
      </w:tr>
      <w:tr w:rsidR="002B232B">
        <w:tc>
          <w:tcPr>
            <w:tcW w:w="870" w:type="dxa"/>
            <w:vAlign w:val="center"/>
          </w:tcPr>
          <w:p w:rsidR="002B232B" w:rsidRDefault="0056363F">
            <w:pPr>
              <w:jc w:val="center"/>
            </w:pPr>
            <w:r>
              <w:t>17</w:t>
            </w:r>
          </w:p>
        </w:tc>
        <w:tc>
          <w:tcPr>
            <w:tcW w:w="1650" w:type="dxa"/>
            <w:vAlign w:val="center"/>
          </w:tcPr>
          <w:p w:rsidR="002B232B" w:rsidRDefault="0056363F">
            <w:pPr>
              <w:jc w:val="center"/>
            </w:pPr>
            <w:r>
              <w:t>600029</w:t>
            </w:r>
          </w:p>
        </w:tc>
        <w:tc>
          <w:tcPr>
            <w:tcW w:w="1980" w:type="dxa"/>
            <w:vAlign w:val="center"/>
          </w:tcPr>
          <w:p w:rsidR="002B232B" w:rsidRDefault="0056363F">
            <w:pPr>
              <w:jc w:val="center"/>
            </w:pPr>
            <w:r>
              <w:t>南方航空</w:t>
            </w:r>
          </w:p>
        </w:tc>
        <w:tc>
          <w:tcPr>
            <w:tcW w:w="2880" w:type="dxa"/>
            <w:vAlign w:val="center"/>
          </w:tcPr>
          <w:p w:rsidR="002B232B" w:rsidRDefault="0056363F">
            <w:pPr>
              <w:jc w:val="right"/>
            </w:pPr>
            <w:r>
              <w:t>29,834,093.85</w:t>
            </w:r>
          </w:p>
        </w:tc>
        <w:tc>
          <w:tcPr>
            <w:tcW w:w="1620" w:type="dxa"/>
            <w:vAlign w:val="center"/>
          </w:tcPr>
          <w:p w:rsidR="002B232B" w:rsidRDefault="0056363F">
            <w:pPr>
              <w:jc w:val="right"/>
            </w:pPr>
            <w:r>
              <w:t>3.94</w:t>
            </w:r>
          </w:p>
        </w:tc>
      </w:tr>
      <w:tr w:rsidR="002B232B">
        <w:tc>
          <w:tcPr>
            <w:tcW w:w="870" w:type="dxa"/>
            <w:vAlign w:val="center"/>
          </w:tcPr>
          <w:p w:rsidR="002B232B" w:rsidRDefault="0056363F">
            <w:pPr>
              <w:jc w:val="center"/>
            </w:pPr>
            <w:r>
              <w:t>18</w:t>
            </w:r>
          </w:p>
        </w:tc>
        <w:tc>
          <w:tcPr>
            <w:tcW w:w="1650" w:type="dxa"/>
            <w:vAlign w:val="center"/>
          </w:tcPr>
          <w:p w:rsidR="002B232B" w:rsidRDefault="0056363F">
            <w:pPr>
              <w:jc w:val="center"/>
            </w:pPr>
            <w:r>
              <w:t>300146</w:t>
            </w:r>
          </w:p>
        </w:tc>
        <w:tc>
          <w:tcPr>
            <w:tcW w:w="1980" w:type="dxa"/>
            <w:vAlign w:val="center"/>
          </w:tcPr>
          <w:p w:rsidR="002B232B" w:rsidRDefault="0056363F">
            <w:pPr>
              <w:jc w:val="center"/>
            </w:pPr>
            <w:r>
              <w:t>汤臣倍健</w:t>
            </w:r>
          </w:p>
        </w:tc>
        <w:tc>
          <w:tcPr>
            <w:tcW w:w="2880" w:type="dxa"/>
            <w:vAlign w:val="center"/>
          </w:tcPr>
          <w:p w:rsidR="002B232B" w:rsidRDefault="0056363F">
            <w:pPr>
              <w:jc w:val="right"/>
            </w:pPr>
            <w:r>
              <w:t>29,630,653.75</w:t>
            </w:r>
          </w:p>
        </w:tc>
        <w:tc>
          <w:tcPr>
            <w:tcW w:w="1620" w:type="dxa"/>
            <w:vAlign w:val="center"/>
          </w:tcPr>
          <w:p w:rsidR="002B232B" w:rsidRDefault="0056363F">
            <w:pPr>
              <w:jc w:val="right"/>
            </w:pPr>
            <w:r>
              <w:t>3.91</w:t>
            </w:r>
          </w:p>
        </w:tc>
      </w:tr>
      <w:tr w:rsidR="002B232B">
        <w:tc>
          <w:tcPr>
            <w:tcW w:w="870" w:type="dxa"/>
            <w:vAlign w:val="center"/>
          </w:tcPr>
          <w:p w:rsidR="002B232B" w:rsidRDefault="0056363F">
            <w:pPr>
              <w:jc w:val="center"/>
            </w:pPr>
            <w:r>
              <w:t>19</w:t>
            </w:r>
          </w:p>
        </w:tc>
        <w:tc>
          <w:tcPr>
            <w:tcW w:w="1650" w:type="dxa"/>
            <w:vAlign w:val="center"/>
          </w:tcPr>
          <w:p w:rsidR="002B232B" w:rsidRDefault="0056363F">
            <w:pPr>
              <w:jc w:val="center"/>
            </w:pPr>
            <w:r>
              <w:t>600547</w:t>
            </w:r>
          </w:p>
        </w:tc>
        <w:tc>
          <w:tcPr>
            <w:tcW w:w="1980" w:type="dxa"/>
            <w:vAlign w:val="center"/>
          </w:tcPr>
          <w:p w:rsidR="002B232B" w:rsidRDefault="0056363F">
            <w:pPr>
              <w:jc w:val="center"/>
            </w:pPr>
            <w:r>
              <w:t>山东黄金</w:t>
            </w:r>
          </w:p>
        </w:tc>
        <w:tc>
          <w:tcPr>
            <w:tcW w:w="2880" w:type="dxa"/>
            <w:vAlign w:val="center"/>
          </w:tcPr>
          <w:p w:rsidR="002B232B" w:rsidRDefault="0056363F">
            <w:pPr>
              <w:jc w:val="right"/>
            </w:pPr>
            <w:r>
              <w:t>29,405,853.50</w:t>
            </w:r>
          </w:p>
        </w:tc>
        <w:tc>
          <w:tcPr>
            <w:tcW w:w="1620" w:type="dxa"/>
            <w:vAlign w:val="center"/>
          </w:tcPr>
          <w:p w:rsidR="002B232B" w:rsidRDefault="0056363F">
            <w:pPr>
              <w:jc w:val="right"/>
            </w:pPr>
            <w:r>
              <w:t>3.88</w:t>
            </w:r>
          </w:p>
        </w:tc>
      </w:tr>
      <w:tr w:rsidR="002B232B">
        <w:tc>
          <w:tcPr>
            <w:tcW w:w="870" w:type="dxa"/>
            <w:vAlign w:val="center"/>
          </w:tcPr>
          <w:p w:rsidR="002B232B" w:rsidRDefault="0056363F">
            <w:pPr>
              <w:jc w:val="center"/>
            </w:pPr>
            <w:r>
              <w:t>20</w:t>
            </w:r>
          </w:p>
        </w:tc>
        <w:tc>
          <w:tcPr>
            <w:tcW w:w="1650" w:type="dxa"/>
            <w:vAlign w:val="center"/>
          </w:tcPr>
          <w:p w:rsidR="002B232B" w:rsidRDefault="0056363F">
            <w:pPr>
              <w:jc w:val="center"/>
            </w:pPr>
            <w:r>
              <w:t>002410</w:t>
            </w:r>
          </w:p>
        </w:tc>
        <w:tc>
          <w:tcPr>
            <w:tcW w:w="1980" w:type="dxa"/>
            <w:vAlign w:val="center"/>
          </w:tcPr>
          <w:p w:rsidR="002B232B" w:rsidRDefault="0056363F">
            <w:pPr>
              <w:jc w:val="center"/>
            </w:pPr>
            <w:r>
              <w:t>广联达</w:t>
            </w:r>
          </w:p>
        </w:tc>
        <w:tc>
          <w:tcPr>
            <w:tcW w:w="2880" w:type="dxa"/>
            <w:vAlign w:val="center"/>
          </w:tcPr>
          <w:p w:rsidR="002B232B" w:rsidRDefault="0056363F">
            <w:pPr>
              <w:jc w:val="right"/>
            </w:pPr>
            <w:r>
              <w:t>25,815,060.48</w:t>
            </w:r>
          </w:p>
        </w:tc>
        <w:tc>
          <w:tcPr>
            <w:tcW w:w="1620" w:type="dxa"/>
            <w:vAlign w:val="center"/>
          </w:tcPr>
          <w:p w:rsidR="002B232B" w:rsidRDefault="0056363F">
            <w:pPr>
              <w:jc w:val="right"/>
            </w:pPr>
            <w:r>
              <w:t>3.41</w:t>
            </w:r>
          </w:p>
        </w:tc>
      </w:tr>
      <w:tr w:rsidR="002B232B">
        <w:tc>
          <w:tcPr>
            <w:tcW w:w="870" w:type="dxa"/>
            <w:vAlign w:val="center"/>
          </w:tcPr>
          <w:p w:rsidR="002B232B" w:rsidRDefault="0056363F">
            <w:pPr>
              <w:jc w:val="center"/>
            </w:pPr>
            <w:r>
              <w:t>21</w:t>
            </w:r>
          </w:p>
        </w:tc>
        <w:tc>
          <w:tcPr>
            <w:tcW w:w="1650" w:type="dxa"/>
            <w:vAlign w:val="center"/>
          </w:tcPr>
          <w:p w:rsidR="002B232B" w:rsidRDefault="0056363F">
            <w:pPr>
              <w:jc w:val="center"/>
            </w:pPr>
            <w:r>
              <w:t>300482</w:t>
            </w:r>
          </w:p>
        </w:tc>
        <w:tc>
          <w:tcPr>
            <w:tcW w:w="1980" w:type="dxa"/>
            <w:vAlign w:val="center"/>
          </w:tcPr>
          <w:p w:rsidR="002B232B" w:rsidRDefault="0056363F">
            <w:pPr>
              <w:jc w:val="center"/>
            </w:pPr>
            <w:r>
              <w:t>万孚生物</w:t>
            </w:r>
          </w:p>
        </w:tc>
        <w:tc>
          <w:tcPr>
            <w:tcW w:w="2880" w:type="dxa"/>
            <w:vAlign w:val="center"/>
          </w:tcPr>
          <w:p w:rsidR="002B232B" w:rsidRDefault="0056363F">
            <w:pPr>
              <w:jc w:val="right"/>
            </w:pPr>
            <w:r>
              <w:t>23,200,844.42</w:t>
            </w:r>
          </w:p>
        </w:tc>
        <w:tc>
          <w:tcPr>
            <w:tcW w:w="1620" w:type="dxa"/>
            <w:vAlign w:val="center"/>
          </w:tcPr>
          <w:p w:rsidR="002B232B" w:rsidRDefault="0056363F">
            <w:pPr>
              <w:jc w:val="right"/>
            </w:pPr>
            <w:r>
              <w:t>3.06</w:t>
            </w:r>
          </w:p>
        </w:tc>
      </w:tr>
      <w:tr w:rsidR="002B232B">
        <w:tc>
          <w:tcPr>
            <w:tcW w:w="870" w:type="dxa"/>
            <w:vAlign w:val="center"/>
          </w:tcPr>
          <w:p w:rsidR="002B232B" w:rsidRDefault="0056363F">
            <w:pPr>
              <w:jc w:val="center"/>
            </w:pPr>
            <w:r>
              <w:t>22</w:t>
            </w:r>
          </w:p>
        </w:tc>
        <w:tc>
          <w:tcPr>
            <w:tcW w:w="1650" w:type="dxa"/>
            <w:vAlign w:val="center"/>
          </w:tcPr>
          <w:p w:rsidR="002B232B" w:rsidRDefault="0056363F">
            <w:pPr>
              <w:jc w:val="center"/>
            </w:pPr>
            <w:r>
              <w:t>601398</w:t>
            </w:r>
          </w:p>
        </w:tc>
        <w:tc>
          <w:tcPr>
            <w:tcW w:w="1980" w:type="dxa"/>
            <w:vAlign w:val="center"/>
          </w:tcPr>
          <w:p w:rsidR="002B232B" w:rsidRDefault="0056363F">
            <w:pPr>
              <w:jc w:val="center"/>
            </w:pPr>
            <w:r>
              <w:t>工商银行</w:t>
            </w:r>
          </w:p>
        </w:tc>
        <w:tc>
          <w:tcPr>
            <w:tcW w:w="2880" w:type="dxa"/>
            <w:vAlign w:val="center"/>
          </w:tcPr>
          <w:p w:rsidR="002B232B" w:rsidRDefault="0056363F">
            <w:pPr>
              <w:jc w:val="right"/>
            </w:pPr>
            <w:r>
              <w:t>22,913,520.35</w:t>
            </w:r>
          </w:p>
        </w:tc>
        <w:tc>
          <w:tcPr>
            <w:tcW w:w="1620" w:type="dxa"/>
            <w:vAlign w:val="center"/>
          </w:tcPr>
          <w:p w:rsidR="002B232B" w:rsidRDefault="0056363F">
            <w:pPr>
              <w:jc w:val="right"/>
            </w:pPr>
            <w:r>
              <w:t>3.02</w:t>
            </w:r>
          </w:p>
        </w:tc>
      </w:tr>
      <w:tr w:rsidR="002B232B">
        <w:tc>
          <w:tcPr>
            <w:tcW w:w="870" w:type="dxa"/>
            <w:vAlign w:val="center"/>
          </w:tcPr>
          <w:p w:rsidR="002B232B" w:rsidRDefault="0056363F">
            <w:pPr>
              <w:jc w:val="center"/>
            </w:pPr>
            <w:r>
              <w:t>23</w:t>
            </w:r>
          </w:p>
        </w:tc>
        <w:tc>
          <w:tcPr>
            <w:tcW w:w="1650" w:type="dxa"/>
            <w:vAlign w:val="center"/>
          </w:tcPr>
          <w:p w:rsidR="002B232B" w:rsidRDefault="0056363F">
            <w:pPr>
              <w:jc w:val="center"/>
            </w:pPr>
            <w:r>
              <w:t>600559</w:t>
            </w:r>
          </w:p>
        </w:tc>
        <w:tc>
          <w:tcPr>
            <w:tcW w:w="1980" w:type="dxa"/>
            <w:vAlign w:val="center"/>
          </w:tcPr>
          <w:p w:rsidR="002B232B" w:rsidRDefault="0056363F">
            <w:pPr>
              <w:jc w:val="center"/>
            </w:pPr>
            <w:r>
              <w:t>老白干酒</w:t>
            </w:r>
          </w:p>
        </w:tc>
        <w:tc>
          <w:tcPr>
            <w:tcW w:w="2880" w:type="dxa"/>
            <w:vAlign w:val="center"/>
          </w:tcPr>
          <w:p w:rsidR="002B232B" w:rsidRDefault="0056363F">
            <w:pPr>
              <w:jc w:val="right"/>
            </w:pPr>
            <w:r>
              <w:t>22,541,462.95</w:t>
            </w:r>
          </w:p>
        </w:tc>
        <w:tc>
          <w:tcPr>
            <w:tcW w:w="1620" w:type="dxa"/>
            <w:vAlign w:val="center"/>
          </w:tcPr>
          <w:p w:rsidR="002B232B" w:rsidRDefault="0056363F">
            <w:pPr>
              <w:jc w:val="right"/>
            </w:pPr>
            <w:r>
              <w:t>2.97</w:t>
            </w:r>
          </w:p>
        </w:tc>
      </w:tr>
      <w:tr w:rsidR="002B232B">
        <w:tc>
          <w:tcPr>
            <w:tcW w:w="870" w:type="dxa"/>
            <w:vAlign w:val="center"/>
          </w:tcPr>
          <w:p w:rsidR="002B232B" w:rsidRDefault="0056363F">
            <w:pPr>
              <w:jc w:val="center"/>
            </w:pPr>
            <w:r>
              <w:t>24</w:t>
            </w:r>
          </w:p>
        </w:tc>
        <w:tc>
          <w:tcPr>
            <w:tcW w:w="1650" w:type="dxa"/>
            <w:vAlign w:val="center"/>
          </w:tcPr>
          <w:p w:rsidR="002B232B" w:rsidRDefault="0056363F">
            <w:pPr>
              <w:jc w:val="center"/>
            </w:pPr>
            <w:r>
              <w:t>600104</w:t>
            </w:r>
          </w:p>
        </w:tc>
        <w:tc>
          <w:tcPr>
            <w:tcW w:w="1980" w:type="dxa"/>
            <w:vAlign w:val="center"/>
          </w:tcPr>
          <w:p w:rsidR="002B232B" w:rsidRDefault="0056363F">
            <w:pPr>
              <w:jc w:val="center"/>
            </w:pPr>
            <w:r>
              <w:t>上汽集团</w:t>
            </w:r>
          </w:p>
        </w:tc>
        <w:tc>
          <w:tcPr>
            <w:tcW w:w="2880" w:type="dxa"/>
            <w:vAlign w:val="center"/>
          </w:tcPr>
          <w:p w:rsidR="002B232B" w:rsidRDefault="0056363F">
            <w:pPr>
              <w:jc w:val="right"/>
            </w:pPr>
            <w:r>
              <w:t>22,274,814.14</w:t>
            </w:r>
          </w:p>
        </w:tc>
        <w:tc>
          <w:tcPr>
            <w:tcW w:w="1620" w:type="dxa"/>
            <w:vAlign w:val="center"/>
          </w:tcPr>
          <w:p w:rsidR="002B232B" w:rsidRDefault="0056363F">
            <w:pPr>
              <w:jc w:val="right"/>
            </w:pPr>
            <w:r>
              <w:t>2.94</w:t>
            </w:r>
          </w:p>
        </w:tc>
      </w:tr>
      <w:tr w:rsidR="002B232B">
        <w:tc>
          <w:tcPr>
            <w:tcW w:w="870" w:type="dxa"/>
            <w:vAlign w:val="center"/>
          </w:tcPr>
          <w:p w:rsidR="002B232B" w:rsidRDefault="0056363F">
            <w:pPr>
              <w:jc w:val="center"/>
            </w:pPr>
            <w:r>
              <w:t>25</w:t>
            </w:r>
          </w:p>
        </w:tc>
        <w:tc>
          <w:tcPr>
            <w:tcW w:w="1650" w:type="dxa"/>
            <w:vAlign w:val="center"/>
          </w:tcPr>
          <w:p w:rsidR="002B232B" w:rsidRDefault="0056363F">
            <w:pPr>
              <w:jc w:val="center"/>
            </w:pPr>
            <w:r>
              <w:t>601155</w:t>
            </w:r>
          </w:p>
        </w:tc>
        <w:tc>
          <w:tcPr>
            <w:tcW w:w="1980" w:type="dxa"/>
            <w:vAlign w:val="center"/>
          </w:tcPr>
          <w:p w:rsidR="002B232B" w:rsidRDefault="0056363F">
            <w:pPr>
              <w:jc w:val="center"/>
            </w:pPr>
            <w:r>
              <w:t>新城控股</w:t>
            </w:r>
          </w:p>
        </w:tc>
        <w:tc>
          <w:tcPr>
            <w:tcW w:w="2880" w:type="dxa"/>
            <w:vAlign w:val="center"/>
          </w:tcPr>
          <w:p w:rsidR="002B232B" w:rsidRDefault="0056363F">
            <w:pPr>
              <w:jc w:val="right"/>
            </w:pPr>
            <w:r>
              <w:t>22,229,416.08</w:t>
            </w:r>
          </w:p>
        </w:tc>
        <w:tc>
          <w:tcPr>
            <w:tcW w:w="1620" w:type="dxa"/>
            <w:vAlign w:val="center"/>
          </w:tcPr>
          <w:p w:rsidR="002B232B" w:rsidRDefault="0056363F">
            <w:pPr>
              <w:jc w:val="right"/>
            </w:pPr>
            <w:r>
              <w:t>2.93</w:t>
            </w:r>
          </w:p>
        </w:tc>
      </w:tr>
      <w:tr w:rsidR="002B232B">
        <w:tc>
          <w:tcPr>
            <w:tcW w:w="870" w:type="dxa"/>
            <w:vAlign w:val="center"/>
          </w:tcPr>
          <w:p w:rsidR="002B232B" w:rsidRDefault="0056363F">
            <w:pPr>
              <w:jc w:val="center"/>
            </w:pPr>
            <w:r>
              <w:t>26</w:t>
            </w:r>
          </w:p>
        </w:tc>
        <w:tc>
          <w:tcPr>
            <w:tcW w:w="1650" w:type="dxa"/>
            <w:vAlign w:val="center"/>
          </w:tcPr>
          <w:p w:rsidR="002B232B" w:rsidRDefault="0056363F">
            <w:pPr>
              <w:jc w:val="center"/>
            </w:pPr>
            <w:r>
              <w:t>002094</w:t>
            </w:r>
          </w:p>
        </w:tc>
        <w:tc>
          <w:tcPr>
            <w:tcW w:w="1980" w:type="dxa"/>
            <w:vAlign w:val="center"/>
          </w:tcPr>
          <w:p w:rsidR="002B232B" w:rsidRDefault="0056363F">
            <w:pPr>
              <w:jc w:val="center"/>
            </w:pPr>
            <w:r>
              <w:t>青岛金王</w:t>
            </w:r>
          </w:p>
        </w:tc>
        <w:tc>
          <w:tcPr>
            <w:tcW w:w="2880" w:type="dxa"/>
            <w:vAlign w:val="center"/>
          </w:tcPr>
          <w:p w:rsidR="002B232B" w:rsidRDefault="0056363F">
            <w:pPr>
              <w:jc w:val="right"/>
            </w:pPr>
            <w:r>
              <w:t>20,538,153.19</w:t>
            </w:r>
          </w:p>
        </w:tc>
        <w:tc>
          <w:tcPr>
            <w:tcW w:w="1620" w:type="dxa"/>
            <w:vAlign w:val="center"/>
          </w:tcPr>
          <w:p w:rsidR="002B232B" w:rsidRDefault="0056363F">
            <w:pPr>
              <w:jc w:val="right"/>
            </w:pPr>
            <w:r>
              <w:t>2.71</w:t>
            </w:r>
          </w:p>
        </w:tc>
      </w:tr>
      <w:tr w:rsidR="002B232B">
        <w:tc>
          <w:tcPr>
            <w:tcW w:w="870" w:type="dxa"/>
            <w:vAlign w:val="center"/>
          </w:tcPr>
          <w:p w:rsidR="002B232B" w:rsidRDefault="0056363F">
            <w:pPr>
              <w:jc w:val="center"/>
            </w:pPr>
            <w:r>
              <w:t>27</w:t>
            </w:r>
          </w:p>
        </w:tc>
        <w:tc>
          <w:tcPr>
            <w:tcW w:w="1650" w:type="dxa"/>
            <w:vAlign w:val="center"/>
          </w:tcPr>
          <w:p w:rsidR="002B232B" w:rsidRDefault="0056363F">
            <w:pPr>
              <w:jc w:val="center"/>
            </w:pPr>
            <w:r>
              <w:t>601857</w:t>
            </w:r>
          </w:p>
        </w:tc>
        <w:tc>
          <w:tcPr>
            <w:tcW w:w="1980" w:type="dxa"/>
            <w:vAlign w:val="center"/>
          </w:tcPr>
          <w:p w:rsidR="002B232B" w:rsidRDefault="0056363F">
            <w:pPr>
              <w:jc w:val="center"/>
            </w:pPr>
            <w:r>
              <w:t>中国石油</w:t>
            </w:r>
          </w:p>
        </w:tc>
        <w:tc>
          <w:tcPr>
            <w:tcW w:w="2880" w:type="dxa"/>
            <w:vAlign w:val="center"/>
          </w:tcPr>
          <w:p w:rsidR="002B232B" w:rsidRDefault="0056363F">
            <w:pPr>
              <w:jc w:val="right"/>
            </w:pPr>
            <w:r>
              <w:t>20,389,369.00</w:t>
            </w:r>
          </w:p>
        </w:tc>
        <w:tc>
          <w:tcPr>
            <w:tcW w:w="1620" w:type="dxa"/>
            <w:vAlign w:val="center"/>
          </w:tcPr>
          <w:p w:rsidR="002B232B" w:rsidRDefault="0056363F">
            <w:pPr>
              <w:jc w:val="right"/>
            </w:pPr>
            <w:r>
              <w:t>2.69</w:t>
            </w:r>
          </w:p>
        </w:tc>
      </w:tr>
      <w:tr w:rsidR="002B232B">
        <w:tc>
          <w:tcPr>
            <w:tcW w:w="870" w:type="dxa"/>
            <w:vAlign w:val="center"/>
          </w:tcPr>
          <w:p w:rsidR="002B232B" w:rsidRDefault="0056363F">
            <w:pPr>
              <w:jc w:val="center"/>
            </w:pPr>
            <w:r>
              <w:t>28</w:t>
            </w:r>
          </w:p>
        </w:tc>
        <w:tc>
          <w:tcPr>
            <w:tcW w:w="1650" w:type="dxa"/>
            <w:vAlign w:val="center"/>
          </w:tcPr>
          <w:p w:rsidR="002B232B" w:rsidRDefault="0056363F">
            <w:pPr>
              <w:jc w:val="center"/>
            </w:pPr>
            <w:r>
              <w:t>002537</w:t>
            </w:r>
          </w:p>
        </w:tc>
        <w:tc>
          <w:tcPr>
            <w:tcW w:w="1980" w:type="dxa"/>
            <w:vAlign w:val="center"/>
          </w:tcPr>
          <w:p w:rsidR="002B232B" w:rsidRDefault="0056363F">
            <w:pPr>
              <w:jc w:val="center"/>
            </w:pPr>
            <w:r>
              <w:t>海联金汇</w:t>
            </w:r>
          </w:p>
        </w:tc>
        <w:tc>
          <w:tcPr>
            <w:tcW w:w="2880" w:type="dxa"/>
            <w:vAlign w:val="center"/>
          </w:tcPr>
          <w:p w:rsidR="002B232B" w:rsidRDefault="0056363F">
            <w:pPr>
              <w:jc w:val="right"/>
            </w:pPr>
            <w:r>
              <w:t>19,201,870.78</w:t>
            </w:r>
          </w:p>
        </w:tc>
        <w:tc>
          <w:tcPr>
            <w:tcW w:w="1620" w:type="dxa"/>
            <w:vAlign w:val="center"/>
          </w:tcPr>
          <w:p w:rsidR="002B232B" w:rsidRDefault="0056363F">
            <w:pPr>
              <w:jc w:val="right"/>
            </w:pPr>
            <w:r>
              <w:t>2.53</w:t>
            </w:r>
          </w:p>
        </w:tc>
      </w:tr>
      <w:tr w:rsidR="002B232B">
        <w:tc>
          <w:tcPr>
            <w:tcW w:w="870" w:type="dxa"/>
            <w:vAlign w:val="center"/>
          </w:tcPr>
          <w:p w:rsidR="002B232B" w:rsidRDefault="0056363F">
            <w:pPr>
              <w:jc w:val="center"/>
            </w:pPr>
            <w:r>
              <w:t>29</w:t>
            </w:r>
          </w:p>
        </w:tc>
        <w:tc>
          <w:tcPr>
            <w:tcW w:w="1650" w:type="dxa"/>
            <w:vAlign w:val="center"/>
          </w:tcPr>
          <w:p w:rsidR="002B232B" w:rsidRDefault="0056363F">
            <w:pPr>
              <w:jc w:val="center"/>
            </w:pPr>
            <w:r>
              <w:t>600690</w:t>
            </w:r>
          </w:p>
        </w:tc>
        <w:tc>
          <w:tcPr>
            <w:tcW w:w="1980" w:type="dxa"/>
            <w:vAlign w:val="center"/>
          </w:tcPr>
          <w:p w:rsidR="002B232B" w:rsidRDefault="0056363F">
            <w:pPr>
              <w:jc w:val="center"/>
            </w:pPr>
            <w:r>
              <w:t>青岛海尔</w:t>
            </w:r>
          </w:p>
        </w:tc>
        <w:tc>
          <w:tcPr>
            <w:tcW w:w="2880" w:type="dxa"/>
            <w:vAlign w:val="center"/>
          </w:tcPr>
          <w:p w:rsidR="002B232B" w:rsidRDefault="0056363F">
            <w:pPr>
              <w:jc w:val="right"/>
            </w:pPr>
            <w:r>
              <w:t>18,732,999.04</w:t>
            </w:r>
          </w:p>
        </w:tc>
        <w:tc>
          <w:tcPr>
            <w:tcW w:w="1620" w:type="dxa"/>
            <w:vAlign w:val="center"/>
          </w:tcPr>
          <w:p w:rsidR="002B232B" w:rsidRDefault="0056363F">
            <w:pPr>
              <w:jc w:val="right"/>
            </w:pPr>
            <w:r>
              <w:t>2.47</w:t>
            </w:r>
          </w:p>
        </w:tc>
      </w:tr>
      <w:tr w:rsidR="002B232B">
        <w:tc>
          <w:tcPr>
            <w:tcW w:w="870" w:type="dxa"/>
            <w:vAlign w:val="center"/>
          </w:tcPr>
          <w:p w:rsidR="002B232B" w:rsidRDefault="0056363F">
            <w:pPr>
              <w:jc w:val="center"/>
            </w:pPr>
            <w:r>
              <w:lastRenderedPageBreak/>
              <w:t>30</w:t>
            </w:r>
          </w:p>
        </w:tc>
        <w:tc>
          <w:tcPr>
            <w:tcW w:w="1650" w:type="dxa"/>
            <w:vAlign w:val="center"/>
          </w:tcPr>
          <w:p w:rsidR="002B232B" w:rsidRDefault="0056363F">
            <w:pPr>
              <w:jc w:val="center"/>
            </w:pPr>
            <w:r>
              <w:t>601688</w:t>
            </w:r>
          </w:p>
        </w:tc>
        <w:tc>
          <w:tcPr>
            <w:tcW w:w="1980" w:type="dxa"/>
            <w:vAlign w:val="center"/>
          </w:tcPr>
          <w:p w:rsidR="002B232B" w:rsidRDefault="0056363F">
            <w:pPr>
              <w:jc w:val="center"/>
            </w:pPr>
            <w:r>
              <w:t>华泰证券</w:t>
            </w:r>
          </w:p>
        </w:tc>
        <w:tc>
          <w:tcPr>
            <w:tcW w:w="2880" w:type="dxa"/>
            <w:vAlign w:val="center"/>
          </w:tcPr>
          <w:p w:rsidR="002B232B" w:rsidRDefault="0056363F">
            <w:pPr>
              <w:jc w:val="right"/>
            </w:pPr>
            <w:r>
              <w:t>18,549,752.83</w:t>
            </w:r>
          </w:p>
        </w:tc>
        <w:tc>
          <w:tcPr>
            <w:tcW w:w="1620" w:type="dxa"/>
            <w:vAlign w:val="center"/>
          </w:tcPr>
          <w:p w:rsidR="002B232B" w:rsidRDefault="0056363F">
            <w:pPr>
              <w:jc w:val="right"/>
            </w:pPr>
            <w:r>
              <w:t>2.45</w:t>
            </w:r>
          </w:p>
        </w:tc>
      </w:tr>
      <w:tr w:rsidR="002B232B">
        <w:tc>
          <w:tcPr>
            <w:tcW w:w="870" w:type="dxa"/>
            <w:vAlign w:val="center"/>
          </w:tcPr>
          <w:p w:rsidR="002B232B" w:rsidRDefault="0056363F">
            <w:pPr>
              <w:jc w:val="center"/>
            </w:pPr>
            <w:r>
              <w:t>31</w:t>
            </w:r>
          </w:p>
        </w:tc>
        <w:tc>
          <w:tcPr>
            <w:tcW w:w="1650" w:type="dxa"/>
            <w:vAlign w:val="center"/>
          </w:tcPr>
          <w:p w:rsidR="002B232B" w:rsidRDefault="0056363F">
            <w:pPr>
              <w:jc w:val="center"/>
            </w:pPr>
            <w:r>
              <w:t>300347</w:t>
            </w:r>
          </w:p>
        </w:tc>
        <w:tc>
          <w:tcPr>
            <w:tcW w:w="1980" w:type="dxa"/>
            <w:vAlign w:val="center"/>
          </w:tcPr>
          <w:p w:rsidR="002B232B" w:rsidRDefault="0056363F">
            <w:pPr>
              <w:jc w:val="center"/>
            </w:pPr>
            <w:r>
              <w:t>泰格医药</w:t>
            </w:r>
          </w:p>
        </w:tc>
        <w:tc>
          <w:tcPr>
            <w:tcW w:w="2880" w:type="dxa"/>
            <w:vAlign w:val="center"/>
          </w:tcPr>
          <w:p w:rsidR="002B232B" w:rsidRDefault="0056363F">
            <w:pPr>
              <w:jc w:val="right"/>
            </w:pPr>
            <w:r>
              <w:t>18,345,076.10</w:t>
            </w:r>
          </w:p>
        </w:tc>
        <w:tc>
          <w:tcPr>
            <w:tcW w:w="1620" w:type="dxa"/>
            <w:vAlign w:val="center"/>
          </w:tcPr>
          <w:p w:rsidR="002B232B" w:rsidRDefault="0056363F">
            <w:pPr>
              <w:jc w:val="right"/>
            </w:pPr>
            <w:r>
              <w:t>2.42</w:t>
            </w:r>
          </w:p>
        </w:tc>
      </w:tr>
      <w:tr w:rsidR="002B232B">
        <w:tc>
          <w:tcPr>
            <w:tcW w:w="870" w:type="dxa"/>
            <w:vAlign w:val="center"/>
          </w:tcPr>
          <w:p w:rsidR="002B232B" w:rsidRDefault="0056363F">
            <w:pPr>
              <w:jc w:val="center"/>
            </w:pPr>
            <w:r>
              <w:t>32</w:t>
            </w:r>
          </w:p>
        </w:tc>
        <w:tc>
          <w:tcPr>
            <w:tcW w:w="1650" w:type="dxa"/>
            <w:vAlign w:val="center"/>
          </w:tcPr>
          <w:p w:rsidR="002B232B" w:rsidRDefault="0056363F">
            <w:pPr>
              <w:jc w:val="center"/>
            </w:pPr>
            <w:r>
              <w:t>300750</w:t>
            </w:r>
          </w:p>
        </w:tc>
        <w:tc>
          <w:tcPr>
            <w:tcW w:w="1980" w:type="dxa"/>
            <w:vAlign w:val="center"/>
          </w:tcPr>
          <w:p w:rsidR="002B232B" w:rsidRDefault="0056363F">
            <w:pPr>
              <w:jc w:val="center"/>
            </w:pPr>
            <w:r>
              <w:t>宁德时代</w:t>
            </w:r>
          </w:p>
        </w:tc>
        <w:tc>
          <w:tcPr>
            <w:tcW w:w="2880" w:type="dxa"/>
            <w:vAlign w:val="center"/>
          </w:tcPr>
          <w:p w:rsidR="002B232B" w:rsidRDefault="0056363F">
            <w:pPr>
              <w:jc w:val="right"/>
            </w:pPr>
            <w:r>
              <w:t>17,866,995.80</w:t>
            </w:r>
          </w:p>
        </w:tc>
        <w:tc>
          <w:tcPr>
            <w:tcW w:w="1620" w:type="dxa"/>
            <w:vAlign w:val="center"/>
          </w:tcPr>
          <w:p w:rsidR="002B232B" w:rsidRDefault="0056363F">
            <w:pPr>
              <w:jc w:val="right"/>
            </w:pPr>
            <w:r>
              <w:t>2.36</w:t>
            </w:r>
          </w:p>
        </w:tc>
      </w:tr>
      <w:tr w:rsidR="002B232B">
        <w:tc>
          <w:tcPr>
            <w:tcW w:w="870" w:type="dxa"/>
            <w:vAlign w:val="center"/>
          </w:tcPr>
          <w:p w:rsidR="002B232B" w:rsidRDefault="0056363F">
            <w:pPr>
              <w:jc w:val="center"/>
            </w:pPr>
            <w:r>
              <w:t>33</w:t>
            </w:r>
          </w:p>
        </w:tc>
        <w:tc>
          <w:tcPr>
            <w:tcW w:w="1650" w:type="dxa"/>
            <w:vAlign w:val="center"/>
          </w:tcPr>
          <w:p w:rsidR="002B232B" w:rsidRDefault="0056363F">
            <w:pPr>
              <w:jc w:val="center"/>
            </w:pPr>
            <w:r>
              <w:t>600315</w:t>
            </w:r>
          </w:p>
        </w:tc>
        <w:tc>
          <w:tcPr>
            <w:tcW w:w="1980" w:type="dxa"/>
            <w:vAlign w:val="center"/>
          </w:tcPr>
          <w:p w:rsidR="002B232B" w:rsidRDefault="0056363F">
            <w:pPr>
              <w:jc w:val="center"/>
            </w:pPr>
            <w:r>
              <w:t>上海家化</w:t>
            </w:r>
          </w:p>
        </w:tc>
        <w:tc>
          <w:tcPr>
            <w:tcW w:w="2880" w:type="dxa"/>
            <w:vAlign w:val="center"/>
          </w:tcPr>
          <w:p w:rsidR="002B232B" w:rsidRDefault="0056363F">
            <w:pPr>
              <w:jc w:val="right"/>
            </w:pPr>
            <w:r>
              <w:t>17,857,933.46</w:t>
            </w:r>
          </w:p>
        </w:tc>
        <w:tc>
          <w:tcPr>
            <w:tcW w:w="1620" w:type="dxa"/>
            <w:vAlign w:val="center"/>
          </w:tcPr>
          <w:p w:rsidR="002B232B" w:rsidRDefault="0056363F">
            <w:pPr>
              <w:jc w:val="right"/>
            </w:pPr>
            <w:r>
              <w:t>2.36</w:t>
            </w:r>
          </w:p>
        </w:tc>
      </w:tr>
      <w:tr w:rsidR="002B232B">
        <w:tc>
          <w:tcPr>
            <w:tcW w:w="870" w:type="dxa"/>
            <w:vAlign w:val="center"/>
          </w:tcPr>
          <w:p w:rsidR="002B232B" w:rsidRDefault="0056363F">
            <w:pPr>
              <w:jc w:val="center"/>
            </w:pPr>
            <w:r>
              <w:t>34</w:t>
            </w:r>
          </w:p>
        </w:tc>
        <w:tc>
          <w:tcPr>
            <w:tcW w:w="1650" w:type="dxa"/>
            <w:vAlign w:val="center"/>
          </w:tcPr>
          <w:p w:rsidR="002B232B" w:rsidRDefault="0056363F">
            <w:pPr>
              <w:jc w:val="center"/>
            </w:pPr>
            <w:r>
              <w:t>002024</w:t>
            </w:r>
          </w:p>
        </w:tc>
        <w:tc>
          <w:tcPr>
            <w:tcW w:w="1980" w:type="dxa"/>
            <w:vAlign w:val="center"/>
          </w:tcPr>
          <w:p w:rsidR="002B232B" w:rsidRDefault="0056363F">
            <w:pPr>
              <w:jc w:val="center"/>
            </w:pPr>
            <w:r>
              <w:t>苏宁易购</w:t>
            </w:r>
          </w:p>
        </w:tc>
        <w:tc>
          <w:tcPr>
            <w:tcW w:w="2880" w:type="dxa"/>
            <w:vAlign w:val="center"/>
          </w:tcPr>
          <w:p w:rsidR="002B232B" w:rsidRDefault="0056363F">
            <w:pPr>
              <w:jc w:val="right"/>
            </w:pPr>
            <w:r>
              <w:t>17,238,810.51</w:t>
            </w:r>
          </w:p>
        </w:tc>
        <w:tc>
          <w:tcPr>
            <w:tcW w:w="1620" w:type="dxa"/>
            <w:vAlign w:val="center"/>
          </w:tcPr>
          <w:p w:rsidR="002B232B" w:rsidRDefault="0056363F">
            <w:pPr>
              <w:jc w:val="right"/>
            </w:pPr>
            <w:r>
              <w:t>2.27</w:t>
            </w:r>
          </w:p>
        </w:tc>
      </w:tr>
      <w:tr w:rsidR="002B232B">
        <w:tc>
          <w:tcPr>
            <w:tcW w:w="870" w:type="dxa"/>
            <w:vAlign w:val="center"/>
          </w:tcPr>
          <w:p w:rsidR="002B232B" w:rsidRDefault="0056363F">
            <w:pPr>
              <w:jc w:val="center"/>
            </w:pPr>
            <w:r>
              <w:t>35</w:t>
            </w:r>
          </w:p>
        </w:tc>
        <w:tc>
          <w:tcPr>
            <w:tcW w:w="1650" w:type="dxa"/>
            <w:vAlign w:val="center"/>
          </w:tcPr>
          <w:p w:rsidR="002B232B" w:rsidRDefault="0056363F">
            <w:pPr>
              <w:jc w:val="center"/>
            </w:pPr>
            <w:r>
              <w:t>002624</w:t>
            </w:r>
          </w:p>
        </w:tc>
        <w:tc>
          <w:tcPr>
            <w:tcW w:w="1980" w:type="dxa"/>
            <w:vAlign w:val="center"/>
          </w:tcPr>
          <w:p w:rsidR="002B232B" w:rsidRDefault="0056363F">
            <w:pPr>
              <w:jc w:val="center"/>
            </w:pPr>
            <w:r>
              <w:t>完美世界</w:t>
            </w:r>
          </w:p>
        </w:tc>
        <w:tc>
          <w:tcPr>
            <w:tcW w:w="2880" w:type="dxa"/>
            <w:vAlign w:val="center"/>
          </w:tcPr>
          <w:p w:rsidR="002B232B" w:rsidRDefault="0056363F">
            <w:pPr>
              <w:jc w:val="right"/>
            </w:pPr>
            <w:r>
              <w:t>15,313,959.79</w:t>
            </w:r>
          </w:p>
        </w:tc>
        <w:tc>
          <w:tcPr>
            <w:tcW w:w="1620" w:type="dxa"/>
            <w:vAlign w:val="center"/>
          </w:tcPr>
          <w:p w:rsidR="002B232B" w:rsidRDefault="0056363F">
            <w:pPr>
              <w:jc w:val="right"/>
            </w:pPr>
            <w:r>
              <w:t>2.02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本期累计卖出金额</w:t>
      </w:r>
      <w:r w:rsidRPr="00C234F0">
        <w:rPr>
          <w:kern w:val="0"/>
          <w:sz w:val="24"/>
        </w:rPr>
        <w:t>”</w:t>
      </w:r>
      <w:r w:rsidRPr="00C234F0">
        <w:rPr>
          <w:kern w:val="0"/>
          <w:sz w:val="24"/>
        </w:rPr>
        <w:t>按卖出成交金额（成交单价乘以成交数量）填列，不考虑相关交易费用。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kern w:val="2"/>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8.4.3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买入股票的成本总额及卖出股票的收入总额</w:t>
      </w:r>
    </w:p>
    <w:p w:rsidR="001A59F9" w:rsidRPr="00C234F0" w:rsidRDefault="001A59F9" w:rsidP="00026C9C">
      <w:pPr>
        <w:autoSpaceDE w:val="0"/>
        <w:autoSpaceDN w:val="0"/>
        <w:adjustRightInd w:val="0"/>
        <w:spacing w:before="29" w:line="360" w:lineRule="auto"/>
        <w:ind w:left="15"/>
        <w:jc w:val="right"/>
        <w:rPr>
          <w:color w:val="000000"/>
          <w:sz w:val="24"/>
        </w:rPr>
      </w:pPr>
      <w:r w:rsidRPr="00C234F0">
        <w:rPr>
          <w:rFonts w:hint="eastAsia"/>
          <w:color w:val="000000"/>
          <w:sz w:val="24"/>
        </w:rPr>
        <w:t>单位：人民币元</w:t>
      </w: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500"/>
        <w:gridCol w:w="4500"/>
      </w:tblGrid>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买入股票的成本（成交）总额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1,916,522,282.97</w:t>
            </w:r>
          </w:p>
        </w:tc>
      </w:tr>
      <w:tr w:rsidR="001A59F9" w:rsidRPr="00C51C77" w:rsidTr="00F9254F">
        <w:tc>
          <w:tcPr>
            <w:tcW w:w="4500" w:type="dxa"/>
            <w:vAlign w:val="center"/>
          </w:tcPr>
          <w:p w:rsidR="001A59F9" w:rsidRPr="00C234F0" w:rsidRDefault="001A59F9" w:rsidP="00C234F0">
            <w:pPr>
              <w:spacing w:before="29" w:line="288" w:lineRule="auto"/>
              <w:rPr>
                <w:color w:val="000000"/>
                <w:sz w:val="24"/>
              </w:rPr>
            </w:pPr>
            <w:r w:rsidRPr="00C234F0">
              <w:rPr>
                <w:rFonts w:hint="eastAsia"/>
                <w:color w:val="000000"/>
                <w:sz w:val="24"/>
              </w:rPr>
              <w:t>卖出股票的收入（成交）总额</w:t>
            </w:r>
          </w:p>
        </w:tc>
        <w:tc>
          <w:tcPr>
            <w:tcW w:w="4500" w:type="dxa"/>
            <w:vAlign w:val="center"/>
          </w:tcPr>
          <w:p w:rsidR="001A59F9" w:rsidRPr="00C234F0" w:rsidRDefault="001A59F9" w:rsidP="00C234F0">
            <w:pPr>
              <w:spacing w:before="29" w:line="288" w:lineRule="auto"/>
              <w:jc w:val="right"/>
              <w:rPr>
                <w:sz w:val="24"/>
              </w:rPr>
            </w:pPr>
            <w:r w:rsidRPr="00C234F0">
              <w:rPr>
                <w:sz w:val="24"/>
              </w:rPr>
              <w:t>1,563,963,250.02</w:t>
            </w:r>
          </w:p>
        </w:tc>
      </w:tr>
    </w:tbl>
    <w:p w:rsidR="001A59F9" w:rsidRPr="00C234F0" w:rsidRDefault="001A59F9" w:rsidP="00C234F0">
      <w:pPr>
        <w:tabs>
          <w:tab w:val="left" w:pos="426"/>
        </w:tabs>
        <w:spacing w:before="29" w:line="288" w:lineRule="auto"/>
        <w:jc w:val="left"/>
        <w:rPr>
          <w:kern w:val="0"/>
          <w:sz w:val="24"/>
        </w:rPr>
      </w:pPr>
      <w:r w:rsidRPr="00C234F0">
        <w:rPr>
          <w:kern w:val="0"/>
          <w:sz w:val="24"/>
        </w:rPr>
        <w:t>注：</w:t>
      </w:r>
      <w:r w:rsidRPr="00C234F0">
        <w:rPr>
          <w:kern w:val="0"/>
          <w:sz w:val="24"/>
        </w:rPr>
        <w:t>“</w:t>
      </w:r>
      <w:r w:rsidRPr="00C234F0">
        <w:rPr>
          <w:kern w:val="0"/>
          <w:sz w:val="24"/>
        </w:rPr>
        <w:t>买入股票成本</w:t>
      </w:r>
      <w:r w:rsidRPr="00C234F0">
        <w:rPr>
          <w:kern w:val="0"/>
          <w:sz w:val="24"/>
        </w:rPr>
        <w:t>”</w:t>
      </w:r>
      <w:r w:rsidRPr="00C234F0">
        <w:rPr>
          <w:kern w:val="0"/>
          <w:sz w:val="24"/>
        </w:rPr>
        <w:t>或</w:t>
      </w:r>
      <w:r w:rsidRPr="00C234F0">
        <w:rPr>
          <w:kern w:val="0"/>
          <w:sz w:val="24"/>
        </w:rPr>
        <w:t>“</w:t>
      </w:r>
      <w:r w:rsidRPr="00C234F0">
        <w:rPr>
          <w:kern w:val="0"/>
          <w:sz w:val="24"/>
        </w:rPr>
        <w:t>卖出股票收入</w:t>
      </w:r>
      <w:r w:rsidRPr="00C234F0">
        <w:rPr>
          <w:kern w:val="0"/>
          <w:sz w:val="24"/>
        </w:rPr>
        <w:t>”</w:t>
      </w:r>
      <w:r w:rsidRPr="00C234F0">
        <w:rPr>
          <w:kern w:val="0"/>
          <w:sz w:val="24"/>
        </w:rPr>
        <w:t>均按买卖成交金额（成交单价乘以成交数量）填列，不考虑相关交易费用。</w:t>
      </w:r>
    </w:p>
    <w:p w:rsidR="001A59F9" w:rsidRPr="00C51C77" w:rsidRDefault="001A59F9" w:rsidP="00026C9C">
      <w:pPr>
        <w:pStyle w:val="af6"/>
        <w:spacing w:before="0" w:beforeAutospacing="0" w:after="0" w:afterAutospacing="0" w:line="360" w:lineRule="auto"/>
        <w:rPr>
          <w:rFonts w:asciiTheme="minorEastAsia" w:eastAsiaTheme="minorEastAsia" w:hAnsiTheme="minorEastAsia"/>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bookmarkStart w:id="70" w:name="_Toc234814104"/>
      <w:bookmarkStart w:id="71" w:name="_Toc361324883"/>
      <w:r w:rsidRPr="00245C29">
        <w:rPr>
          <w:rFonts w:ascii="Times New Roman" w:hAnsi="Times New Roman"/>
          <w:kern w:val="0"/>
          <w:szCs w:val="24"/>
        </w:rPr>
        <w:t>8.5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期末按债券品种分类的债券投资组合</w:t>
      </w:r>
      <w:bookmarkEnd w:id="70"/>
      <w:bookmarkEnd w:id="71"/>
    </w:p>
    <w:p w:rsidR="001A59F9" w:rsidRDefault="001A59F9" w:rsidP="00BE4E5D">
      <w:pPr>
        <w:tabs>
          <w:tab w:val="left" w:pos="426"/>
        </w:tabs>
        <w:spacing w:before="29" w:line="288" w:lineRule="auto"/>
        <w:jc w:val="left"/>
        <w:rPr>
          <w:kern w:val="0"/>
          <w:sz w:val="24"/>
        </w:rPr>
      </w:pPr>
      <w:r w:rsidRPr="00C234F0">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2" w:name="_Toc361324884"/>
      <w:r w:rsidRPr="00245C29">
        <w:rPr>
          <w:rFonts w:ascii="Times New Roman" w:hAnsi="Times New Roman"/>
          <w:kern w:val="0"/>
          <w:szCs w:val="24"/>
        </w:rPr>
        <w:t>8.6</w:t>
      </w:r>
      <w:bookmarkStart w:id="73" w:name="_Toc234814105"/>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451388" w:rsidRPr="00245C29">
        <w:rPr>
          <w:rFonts w:ascii="Times New Roman" w:hAnsi="Times New Roman" w:hint="eastAsia"/>
          <w:kern w:val="0"/>
          <w:szCs w:val="24"/>
        </w:rPr>
        <w:t>排序</w:t>
      </w:r>
      <w:r w:rsidRPr="00245C29">
        <w:rPr>
          <w:rFonts w:ascii="Times New Roman" w:hAnsi="Times New Roman" w:hint="eastAsia"/>
          <w:kern w:val="0"/>
          <w:szCs w:val="24"/>
        </w:rPr>
        <w:t>的前五名债券投资明细</w:t>
      </w:r>
      <w:bookmarkEnd w:id="72"/>
      <w:bookmarkEnd w:id="73"/>
    </w:p>
    <w:p w:rsidR="001A59F9" w:rsidRDefault="001A59F9" w:rsidP="00BE4E5D">
      <w:pPr>
        <w:tabs>
          <w:tab w:val="left" w:pos="426"/>
        </w:tabs>
        <w:spacing w:before="29" w:line="288" w:lineRule="auto"/>
        <w:jc w:val="left"/>
        <w:rPr>
          <w:kern w:val="0"/>
          <w:sz w:val="24"/>
        </w:rPr>
      </w:pPr>
      <w:r w:rsidRPr="005F057B">
        <w:rPr>
          <w:kern w:val="0"/>
          <w:sz w:val="24"/>
        </w:rPr>
        <w:t>本基金本报告期末未持有债券。</w:t>
      </w:r>
    </w:p>
    <w:p w:rsidR="001A59F9" w:rsidRPr="00245C29" w:rsidRDefault="001A59F9" w:rsidP="00245C29">
      <w:pPr>
        <w:pStyle w:val="20"/>
        <w:spacing w:before="29" w:after="0" w:line="288" w:lineRule="auto"/>
        <w:rPr>
          <w:rFonts w:ascii="Times New Roman" w:hAnsi="Times New Roman"/>
          <w:kern w:val="0"/>
          <w:szCs w:val="24"/>
        </w:rPr>
      </w:pPr>
      <w:bookmarkStart w:id="74" w:name="_Toc361324885"/>
      <w:r w:rsidRPr="00245C29">
        <w:rPr>
          <w:rFonts w:ascii="Times New Roman" w:hAnsi="Times New Roman"/>
          <w:kern w:val="0"/>
          <w:szCs w:val="24"/>
        </w:rPr>
        <w:t>8.7</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w:t>
      </w:r>
      <w:r w:rsidR="003D0669" w:rsidRPr="00245C29">
        <w:rPr>
          <w:rFonts w:ascii="Times New Roman" w:hAnsi="Times New Roman" w:hint="eastAsia"/>
          <w:kern w:val="0"/>
          <w:szCs w:val="24"/>
        </w:rPr>
        <w:t>排序</w:t>
      </w:r>
      <w:r w:rsidRPr="00245C29">
        <w:rPr>
          <w:rFonts w:ascii="Times New Roman" w:hAnsi="Times New Roman" w:hint="eastAsia"/>
          <w:kern w:val="0"/>
          <w:szCs w:val="24"/>
        </w:rPr>
        <w:t>的</w:t>
      </w:r>
      <w:r w:rsidR="007D125C" w:rsidRPr="00245C29">
        <w:rPr>
          <w:rFonts w:ascii="Times New Roman" w:hAnsi="Times New Roman" w:hint="eastAsia"/>
          <w:kern w:val="0"/>
          <w:szCs w:val="24"/>
        </w:rPr>
        <w:t>前十名</w:t>
      </w:r>
      <w:r w:rsidRPr="00245C29">
        <w:rPr>
          <w:rFonts w:ascii="Times New Roman" w:hAnsi="Times New Roman" w:hint="eastAsia"/>
          <w:kern w:val="0"/>
          <w:szCs w:val="24"/>
        </w:rPr>
        <w:t>资产支持证券投资明细</w:t>
      </w:r>
      <w:bookmarkEnd w:id="74"/>
    </w:p>
    <w:p w:rsidR="001A59F9" w:rsidRPr="00BE4E5D" w:rsidRDefault="001A59F9" w:rsidP="00BE4E5D">
      <w:pPr>
        <w:tabs>
          <w:tab w:val="left" w:pos="426"/>
        </w:tabs>
        <w:spacing w:before="29" w:line="288" w:lineRule="auto"/>
        <w:jc w:val="left"/>
        <w:rPr>
          <w:kern w:val="0"/>
          <w:sz w:val="24"/>
        </w:rPr>
      </w:pPr>
      <w:r w:rsidRPr="00F20F8D">
        <w:rPr>
          <w:kern w:val="0"/>
          <w:sz w:val="24"/>
        </w:rPr>
        <w:t>本基金本报告期末未持有资产支持证券。</w:t>
      </w:r>
      <w:r w:rsidR="00BE4E5D">
        <w:rPr>
          <w:rFonts w:hint="eastAsia"/>
          <w:kern w:val="0"/>
          <w:sz w:val="24"/>
        </w:rPr>
        <w:br/>
      </w:r>
    </w:p>
    <w:p w:rsidR="000E4505" w:rsidRDefault="000E4505"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8.8</w:t>
      </w:r>
      <w:r w:rsidRPr="00245C29">
        <w:rPr>
          <w:rFonts w:ascii="Times New Roman" w:hAnsi="Times New Roman" w:hint="eastAsia"/>
          <w:kern w:val="0"/>
          <w:szCs w:val="24"/>
        </w:rPr>
        <w:t xml:space="preserve"> </w:t>
      </w:r>
      <w:r w:rsidRPr="00245C29">
        <w:rPr>
          <w:rFonts w:ascii="Times New Roman" w:hAnsi="Times New Roman" w:hint="eastAsia"/>
          <w:kern w:val="0"/>
          <w:szCs w:val="24"/>
        </w:rPr>
        <w:t>报告期末按公允价值占基金资产净值比例大小排序的前五名贵金属投资明细</w:t>
      </w:r>
    </w:p>
    <w:p w:rsidR="000E4505" w:rsidRPr="00BE4E5D" w:rsidRDefault="000E4505" w:rsidP="00BE4E5D">
      <w:pPr>
        <w:tabs>
          <w:tab w:val="left" w:pos="426"/>
        </w:tabs>
        <w:spacing w:before="29" w:line="288" w:lineRule="auto"/>
        <w:jc w:val="left"/>
        <w:rPr>
          <w:kern w:val="0"/>
          <w:sz w:val="24"/>
        </w:rPr>
      </w:pPr>
      <w:r w:rsidRPr="009B5FD9">
        <w:rPr>
          <w:kern w:val="0"/>
          <w:sz w:val="24"/>
        </w:rPr>
        <w:t>本基金本报告期末未持有贵金属。</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5" w:name="_Toc361324886"/>
      <w:r w:rsidRPr="00245C29">
        <w:rPr>
          <w:rFonts w:ascii="Times New Roman" w:hAnsi="Times New Roman"/>
          <w:kern w:val="0"/>
          <w:szCs w:val="24"/>
        </w:rPr>
        <w:t>8.9</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期末按公允价值占基金资产净值比例大小排</w:t>
      </w:r>
      <w:r w:rsidR="006A4B92" w:rsidRPr="00245C29">
        <w:rPr>
          <w:rFonts w:ascii="Times New Roman" w:hAnsi="Times New Roman" w:hint="eastAsia"/>
          <w:kern w:val="0"/>
          <w:szCs w:val="24"/>
        </w:rPr>
        <w:t>序</w:t>
      </w:r>
      <w:r w:rsidRPr="00245C29">
        <w:rPr>
          <w:rFonts w:ascii="Times New Roman" w:hAnsi="Times New Roman" w:hint="eastAsia"/>
          <w:kern w:val="0"/>
          <w:szCs w:val="24"/>
        </w:rPr>
        <w:t>的前五名权证投资明细</w:t>
      </w:r>
      <w:bookmarkEnd w:id="75"/>
    </w:p>
    <w:p w:rsidR="001A59F9" w:rsidRPr="00BE4E5D" w:rsidRDefault="001A59F9" w:rsidP="00BE4E5D">
      <w:pPr>
        <w:tabs>
          <w:tab w:val="left" w:pos="426"/>
        </w:tabs>
        <w:spacing w:line="360" w:lineRule="auto"/>
        <w:jc w:val="left"/>
        <w:rPr>
          <w:kern w:val="0"/>
          <w:sz w:val="24"/>
        </w:rPr>
      </w:pPr>
      <w:r w:rsidRPr="009B5FD9">
        <w:rPr>
          <w:kern w:val="0"/>
          <w:sz w:val="24"/>
        </w:rPr>
        <w:t>本基金本报告期末未持有权证。</w:t>
      </w:r>
      <w:r w:rsidR="00BE4E5D">
        <w:rPr>
          <w:rFonts w:hint="eastAsia"/>
          <w:kern w:val="0"/>
          <w:sz w:val="24"/>
        </w:rPr>
        <w:br/>
      </w:r>
    </w:p>
    <w:p w:rsidR="005D072B" w:rsidRPr="00245C29" w:rsidRDefault="005D072B"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 xml:space="preserve">8.10 </w:t>
      </w:r>
      <w:r w:rsidRPr="00245C29">
        <w:rPr>
          <w:rFonts w:ascii="Times New Roman" w:hAnsi="Times New Roman" w:hint="eastAsia"/>
          <w:kern w:val="0"/>
          <w:szCs w:val="24"/>
        </w:rPr>
        <w:t>报告期末本基金投资的股指期货交易情况说明</w:t>
      </w:r>
    </w:p>
    <w:p w:rsidR="005D072B" w:rsidRPr="00BE4E5D" w:rsidRDefault="005D072B" w:rsidP="00BE4E5D">
      <w:pPr>
        <w:tabs>
          <w:tab w:val="left" w:pos="426"/>
        </w:tabs>
        <w:spacing w:before="29" w:line="288" w:lineRule="auto"/>
        <w:jc w:val="left"/>
        <w:rPr>
          <w:kern w:val="0"/>
          <w:sz w:val="24"/>
        </w:rPr>
      </w:pPr>
      <w:r w:rsidRPr="00075D2A">
        <w:rPr>
          <w:kern w:val="0"/>
          <w:sz w:val="24"/>
        </w:rPr>
        <w:t>本基金本报告期末未持有股指期货。</w:t>
      </w:r>
      <w:r w:rsidR="00BE4E5D">
        <w:rPr>
          <w:rFonts w:hint="eastAsia"/>
          <w:kern w:val="0"/>
          <w:sz w:val="24"/>
        </w:rPr>
        <w:br/>
      </w:r>
    </w:p>
    <w:p w:rsidR="00E074BE" w:rsidRPr="00245C29" w:rsidRDefault="00E074BE" w:rsidP="00245C29">
      <w:pPr>
        <w:pStyle w:val="20"/>
        <w:spacing w:before="29" w:after="0" w:line="288" w:lineRule="auto"/>
        <w:rPr>
          <w:rFonts w:ascii="Times New Roman" w:hAnsi="Times New Roman"/>
          <w:kern w:val="0"/>
          <w:szCs w:val="24"/>
        </w:rPr>
      </w:pPr>
      <w:r w:rsidRPr="00245C29">
        <w:rPr>
          <w:rFonts w:ascii="Times New Roman" w:hAnsi="Times New Roman" w:hint="eastAsia"/>
          <w:kern w:val="0"/>
          <w:szCs w:val="24"/>
        </w:rPr>
        <w:t>8.11</w:t>
      </w:r>
      <w:r w:rsidRPr="00245C29">
        <w:rPr>
          <w:rFonts w:ascii="Times New Roman" w:hAnsi="Times New Roman" w:hint="eastAsia"/>
          <w:kern w:val="0"/>
          <w:szCs w:val="24"/>
        </w:rPr>
        <w:t>报告期末本基金投资的国债期货交易情况说明</w:t>
      </w:r>
    </w:p>
    <w:p w:rsidR="00294431" w:rsidRPr="00BE4E5D" w:rsidRDefault="00E074BE" w:rsidP="00BE4E5D">
      <w:pPr>
        <w:tabs>
          <w:tab w:val="left" w:pos="426"/>
        </w:tabs>
        <w:spacing w:before="29" w:line="288" w:lineRule="auto"/>
        <w:jc w:val="left"/>
        <w:rPr>
          <w:kern w:val="0"/>
          <w:sz w:val="24"/>
        </w:rPr>
      </w:pPr>
      <w:r w:rsidRPr="00294431">
        <w:rPr>
          <w:rFonts w:hint="eastAsia"/>
          <w:kern w:val="0"/>
          <w:sz w:val="24"/>
        </w:rPr>
        <w:t>本基金本报告期末未持有国债期货。</w:t>
      </w:r>
      <w:r w:rsidR="00BE4E5D">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bookmarkStart w:id="76" w:name="_Toc361324887"/>
      <w:r w:rsidRPr="00245C29">
        <w:rPr>
          <w:rFonts w:ascii="Times New Roman" w:hAnsi="Times New Roman"/>
          <w:kern w:val="0"/>
          <w:szCs w:val="24"/>
        </w:rPr>
        <w:lastRenderedPageBreak/>
        <w:t xml:space="preserve">8.12 </w:t>
      </w:r>
      <w:r w:rsidRPr="00245C29">
        <w:rPr>
          <w:rFonts w:ascii="Times New Roman" w:hAnsi="Times New Roman" w:hint="eastAsia"/>
          <w:kern w:val="0"/>
          <w:szCs w:val="24"/>
        </w:rPr>
        <w:t>投资组合报告附注</w:t>
      </w:r>
      <w:bookmarkEnd w:id="76"/>
    </w:p>
    <w:p w:rsidR="001A59F9" w:rsidRDefault="001A59F9" w:rsidP="00AA16A6">
      <w:pPr>
        <w:spacing w:before="29" w:line="288" w:lineRule="auto"/>
        <w:rPr>
          <w:color w:val="000000"/>
          <w:sz w:val="24"/>
        </w:rPr>
      </w:pPr>
      <w:r w:rsidRPr="00A57982">
        <w:rPr>
          <w:b/>
          <w:color w:val="000000"/>
          <w:sz w:val="24"/>
        </w:rPr>
        <w:t>8.12.1</w:t>
      </w:r>
      <w:r w:rsidRPr="00463BF5">
        <w:rPr>
          <w:color w:val="000000"/>
          <w:sz w:val="24"/>
        </w:rPr>
        <w:t>报告期内本基金投资的前十名证券的发行主体未被监管部门立案调查，在本报告编制日前一年内本基金投资的前十名证券的发行主体未受到公开谴责和处罚。</w:t>
      </w:r>
    </w:p>
    <w:p w:rsidR="002D174A" w:rsidRPr="00463BF5" w:rsidRDefault="002D174A" w:rsidP="00AA16A6">
      <w:pPr>
        <w:spacing w:before="29" w:line="288" w:lineRule="auto"/>
        <w:rPr>
          <w:color w:val="000000"/>
          <w:sz w:val="24"/>
        </w:rPr>
      </w:pPr>
    </w:p>
    <w:p w:rsidR="001A59F9" w:rsidRDefault="001A59F9" w:rsidP="00AA16A6">
      <w:pPr>
        <w:spacing w:before="29" w:line="288" w:lineRule="auto"/>
        <w:rPr>
          <w:color w:val="000000"/>
          <w:sz w:val="24"/>
        </w:rPr>
      </w:pPr>
      <w:r w:rsidRPr="00A57982">
        <w:rPr>
          <w:b/>
          <w:color w:val="000000"/>
          <w:sz w:val="24"/>
        </w:rPr>
        <w:t>8.12.2</w:t>
      </w:r>
      <w:r w:rsidRPr="00463BF5">
        <w:rPr>
          <w:color w:val="000000"/>
          <w:sz w:val="24"/>
        </w:rPr>
        <w:t>本基金投资的前十名股票中，没有超出基金合同规定的备选股票库之外的股票。</w:t>
      </w:r>
    </w:p>
    <w:p w:rsidR="00463BF5" w:rsidRPr="00463BF5" w:rsidRDefault="00463BF5" w:rsidP="00463BF5">
      <w:pPr>
        <w:spacing w:before="29" w:line="288"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8.12.3</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期末其他各项资产构成</w:t>
      </w:r>
    </w:p>
    <w:p w:rsidR="001A59F9" w:rsidRPr="004627DD" w:rsidRDefault="001A59F9" w:rsidP="00026C9C">
      <w:pPr>
        <w:autoSpaceDE w:val="0"/>
        <w:autoSpaceDN w:val="0"/>
        <w:adjustRightInd w:val="0"/>
        <w:spacing w:before="29" w:line="360" w:lineRule="auto"/>
        <w:ind w:left="15"/>
        <w:jc w:val="right"/>
        <w:rPr>
          <w:color w:val="000000"/>
          <w:sz w:val="24"/>
        </w:rPr>
      </w:pPr>
      <w:r w:rsidRPr="004627DD">
        <w:rPr>
          <w:rFonts w:hint="eastAsia"/>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rFonts w:hint="eastAsia"/>
                <w:color w:val="000000"/>
                <w:sz w:val="24"/>
              </w:rPr>
              <w:t>序号</w:t>
            </w:r>
          </w:p>
        </w:tc>
        <w:tc>
          <w:tcPr>
            <w:tcW w:w="4117" w:type="dxa"/>
          </w:tcPr>
          <w:p w:rsidR="001A59F9" w:rsidRPr="005717F5" w:rsidRDefault="001A59F9" w:rsidP="005717F5">
            <w:pPr>
              <w:spacing w:before="29" w:line="288" w:lineRule="auto"/>
              <w:jc w:val="center"/>
              <w:rPr>
                <w:color w:val="000000"/>
                <w:sz w:val="24"/>
              </w:rPr>
            </w:pPr>
            <w:r w:rsidRPr="005717F5">
              <w:rPr>
                <w:rFonts w:hint="eastAsia"/>
                <w:color w:val="000000"/>
                <w:sz w:val="24"/>
              </w:rPr>
              <w:t>名称</w:t>
            </w:r>
          </w:p>
        </w:tc>
        <w:tc>
          <w:tcPr>
            <w:tcW w:w="4118" w:type="dxa"/>
          </w:tcPr>
          <w:p w:rsidR="001A59F9" w:rsidRPr="005717F5" w:rsidRDefault="001A59F9" w:rsidP="005717F5">
            <w:pPr>
              <w:spacing w:before="29" w:line="288" w:lineRule="auto"/>
              <w:jc w:val="center"/>
              <w:rPr>
                <w:color w:val="000000"/>
                <w:sz w:val="24"/>
              </w:rPr>
            </w:pPr>
            <w:r w:rsidRPr="005717F5">
              <w:rPr>
                <w:rFonts w:hint="eastAsia"/>
                <w:color w:val="000000"/>
                <w:sz w:val="24"/>
              </w:rPr>
              <w:t>金额</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1</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存出保证金</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458,036.87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2</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应收证券清算款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3</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应收股利</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4</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应收利息</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49,600.67</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5</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应收申购款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88,325.15</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6</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其他应收款</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tcPr>
          <w:p w:rsidR="001A59F9" w:rsidRPr="005717F5" w:rsidRDefault="001A59F9" w:rsidP="005717F5">
            <w:pPr>
              <w:spacing w:before="29" w:line="288" w:lineRule="auto"/>
              <w:jc w:val="center"/>
              <w:rPr>
                <w:color w:val="000000"/>
                <w:sz w:val="24"/>
              </w:rPr>
            </w:pPr>
            <w:r w:rsidRPr="005717F5">
              <w:rPr>
                <w:color w:val="000000"/>
                <w:sz w:val="24"/>
              </w:rPr>
              <w:t>7</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待摊费用</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8</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其他</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w:t>
            </w:r>
          </w:p>
        </w:tc>
      </w:tr>
      <w:tr w:rsidR="001A59F9" w:rsidRPr="00C51C77" w:rsidTr="00273FD9">
        <w:tc>
          <w:tcPr>
            <w:tcW w:w="765" w:type="dxa"/>
            <w:vAlign w:val="center"/>
          </w:tcPr>
          <w:p w:rsidR="001A59F9" w:rsidRPr="005717F5" w:rsidRDefault="001A59F9" w:rsidP="005717F5">
            <w:pPr>
              <w:spacing w:before="29" w:line="288" w:lineRule="auto"/>
              <w:jc w:val="center"/>
              <w:rPr>
                <w:color w:val="000000"/>
                <w:sz w:val="24"/>
              </w:rPr>
            </w:pPr>
            <w:r w:rsidRPr="005717F5">
              <w:rPr>
                <w:color w:val="000000"/>
                <w:sz w:val="24"/>
              </w:rPr>
              <w:t>9</w:t>
            </w:r>
          </w:p>
        </w:tc>
        <w:tc>
          <w:tcPr>
            <w:tcW w:w="4117" w:type="dxa"/>
            <w:vAlign w:val="center"/>
          </w:tcPr>
          <w:p w:rsidR="001A59F9" w:rsidRPr="005717F5" w:rsidRDefault="001A59F9" w:rsidP="005717F5">
            <w:pPr>
              <w:spacing w:before="29" w:line="288" w:lineRule="auto"/>
              <w:ind w:leftChars="50" w:left="105"/>
              <w:rPr>
                <w:color w:val="000000"/>
                <w:sz w:val="24"/>
              </w:rPr>
            </w:pPr>
            <w:r w:rsidRPr="005717F5">
              <w:rPr>
                <w:rFonts w:hint="eastAsia"/>
                <w:color w:val="000000"/>
                <w:sz w:val="24"/>
              </w:rPr>
              <w:t>合计</w:t>
            </w:r>
          </w:p>
        </w:tc>
        <w:tc>
          <w:tcPr>
            <w:tcW w:w="4118" w:type="dxa"/>
            <w:vAlign w:val="center"/>
          </w:tcPr>
          <w:p w:rsidR="001A59F9" w:rsidRPr="007A020D" w:rsidRDefault="001A59F9" w:rsidP="007A020D">
            <w:pPr>
              <w:autoSpaceDE w:val="0"/>
              <w:autoSpaceDN w:val="0"/>
              <w:adjustRightInd w:val="0"/>
              <w:spacing w:before="29" w:line="288" w:lineRule="auto"/>
              <w:ind w:left="15"/>
              <w:jc w:val="right"/>
              <w:rPr>
                <w:color w:val="000000"/>
                <w:sz w:val="24"/>
              </w:rPr>
            </w:pPr>
            <w:r w:rsidRPr="007A020D">
              <w:rPr>
                <w:color w:val="000000"/>
                <w:sz w:val="24"/>
              </w:rPr>
              <w:t>595,962.69</w:t>
            </w:r>
          </w:p>
        </w:tc>
      </w:tr>
    </w:tbl>
    <w:p w:rsidR="001A59F9" w:rsidRPr="00C51C77" w:rsidRDefault="001A59F9" w:rsidP="00026C9C">
      <w:pPr>
        <w:pStyle w:val="af6"/>
        <w:spacing w:before="0" w:beforeAutospacing="0" w:after="0" w:afterAutospacing="0" w:line="360" w:lineRule="auto"/>
        <w:rPr>
          <w:rFonts w:asciiTheme="minorEastAsia" w:eastAsiaTheme="minorEastAsia" w:hAnsiTheme="minorEastAsia"/>
          <w:b/>
          <w:bCs/>
          <w:color w:val="000000"/>
          <w:sz w:val="21"/>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8.12.4</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期末持有的处于转股期的可转换债券明细</w:t>
      </w:r>
    </w:p>
    <w:p w:rsidR="001A59F9" w:rsidRPr="00C51C77" w:rsidRDefault="001A59F9" w:rsidP="00A81E7C">
      <w:pPr>
        <w:tabs>
          <w:tab w:val="left" w:pos="426"/>
        </w:tabs>
        <w:spacing w:before="29" w:line="288" w:lineRule="auto"/>
        <w:jc w:val="left"/>
        <w:rPr>
          <w:rFonts w:asciiTheme="minorEastAsia" w:eastAsiaTheme="minorEastAsia" w:hAnsiTheme="minorEastAsia"/>
          <w:color w:val="000000"/>
          <w:szCs w:val="21"/>
        </w:rPr>
      </w:pPr>
      <w:r w:rsidRPr="00273FD9">
        <w:rPr>
          <w:kern w:val="0"/>
          <w:sz w:val="24"/>
        </w:rPr>
        <w:t>本基金本报告期末未持有处于转股期的可转换债券。</w:t>
      </w:r>
      <w:r w:rsidR="00A81E7C">
        <w:rPr>
          <w:rFonts w:hint="eastAsia"/>
          <w:kern w:val="0"/>
          <w:sz w:val="24"/>
        </w:rPr>
        <w:br/>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8.12.5</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期末前十名股票中存在流通受限情况的说明</w:t>
      </w:r>
    </w:p>
    <w:p w:rsidR="001A59F9" w:rsidRPr="00273FD9" w:rsidRDefault="001A59F9" w:rsidP="00273FD9">
      <w:pPr>
        <w:tabs>
          <w:tab w:val="left" w:pos="426"/>
        </w:tabs>
        <w:spacing w:before="29" w:line="288" w:lineRule="auto"/>
        <w:jc w:val="left"/>
        <w:rPr>
          <w:kern w:val="0"/>
          <w:sz w:val="24"/>
        </w:rPr>
      </w:pPr>
      <w:r w:rsidRPr="00273FD9">
        <w:rPr>
          <w:kern w:val="0"/>
          <w:sz w:val="24"/>
        </w:rPr>
        <w:t>本基金本报告期末前十名股票中不存在流通受限情况。</w:t>
      </w: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8.12.6</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投资组合报告附注的其他文字描述部分</w:t>
      </w:r>
    </w:p>
    <w:p w:rsidR="001A59F9" w:rsidRDefault="001A59F9" w:rsidP="00F53C7C">
      <w:pPr>
        <w:spacing w:before="29" w:line="288" w:lineRule="auto"/>
        <w:rPr>
          <w:color w:val="000000"/>
          <w:sz w:val="24"/>
        </w:rPr>
      </w:pPr>
      <w:r w:rsidRPr="00F53C7C">
        <w:rPr>
          <w:color w:val="000000"/>
          <w:sz w:val="24"/>
        </w:rPr>
        <w:t>由于四舍五入的原因，分项之和与合计项之间可能存在尾差。</w:t>
      </w:r>
    </w:p>
    <w:p w:rsidR="00F53C7C" w:rsidRPr="00F53C7C" w:rsidRDefault="00F53C7C" w:rsidP="00F53C7C">
      <w:pPr>
        <w:spacing w:before="29" w:line="288" w:lineRule="auto"/>
        <w:rPr>
          <w:color w:val="000000"/>
          <w:sz w:val="24"/>
        </w:rPr>
      </w:pPr>
    </w:p>
    <w:p w:rsidR="001A59F9" w:rsidRDefault="001A59F9" w:rsidP="00214CDC">
      <w:pPr>
        <w:pStyle w:val="1"/>
        <w:keepNext/>
        <w:keepLines/>
        <w:widowControl w:val="0"/>
        <w:spacing w:beforeLines="100" w:before="312" w:afterLines="100" w:after="312" w:line="288" w:lineRule="auto"/>
        <w:jc w:val="center"/>
        <w:rPr>
          <w:b/>
          <w:color w:val="000000"/>
          <w:szCs w:val="24"/>
        </w:rPr>
      </w:pPr>
      <w:bookmarkStart w:id="77" w:name="_Toc225500050"/>
      <w:bookmarkStart w:id="78" w:name="_Toc361324888"/>
      <w:r w:rsidRPr="00EF3943">
        <w:rPr>
          <w:rFonts w:hint="eastAsia"/>
          <w:b/>
          <w:color w:val="000000"/>
          <w:szCs w:val="24"/>
        </w:rPr>
        <w:t>§</w:t>
      </w:r>
      <w:r w:rsidRPr="00EF3943">
        <w:rPr>
          <w:b/>
          <w:color w:val="000000"/>
          <w:szCs w:val="24"/>
        </w:rPr>
        <w:t>9</w:t>
      </w:r>
      <w:r w:rsidR="009153A3" w:rsidRPr="00EF3943">
        <w:rPr>
          <w:rFonts w:hint="eastAsia"/>
          <w:b/>
          <w:color w:val="000000"/>
          <w:szCs w:val="24"/>
        </w:rPr>
        <w:t xml:space="preserve">  </w:t>
      </w:r>
      <w:r w:rsidRPr="00EF3943">
        <w:rPr>
          <w:rFonts w:hint="eastAsia"/>
          <w:b/>
          <w:color w:val="000000"/>
          <w:szCs w:val="24"/>
        </w:rPr>
        <w:t>基金份额持有人信息</w:t>
      </w:r>
      <w:bookmarkEnd w:id="77"/>
      <w:bookmarkEnd w:id="78"/>
    </w:p>
    <w:p w:rsidR="001A59F9" w:rsidRPr="00245C29" w:rsidRDefault="001A59F9" w:rsidP="00245C29">
      <w:pPr>
        <w:pStyle w:val="20"/>
        <w:spacing w:before="29" w:after="0" w:line="288" w:lineRule="auto"/>
        <w:rPr>
          <w:rFonts w:ascii="Times New Roman" w:hAnsi="Times New Roman"/>
          <w:kern w:val="0"/>
          <w:szCs w:val="24"/>
        </w:rPr>
      </w:pPr>
      <w:bookmarkStart w:id="79" w:name="_Toc225500051"/>
      <w:bookmarkStart w:id="80" w:name="_Toc361324889"/>
      <w:r w:rsidRPr="00245C29">
        <w:rPr>
          <w:rFonts w:ascii="Times New Roman" w:hAnsi="Times New Roman"/>
          <w:kern w:val="0"/>
          <w:szCs w:val="24"/>
        </w:rPr>
        <w:t xml:space="preserve">9.1 </w:t>
      </w:r>
      <w:r w:rsidRPr="00245C29">
        <w:rPr>
          <w:rFonts w:ascii="Times New Roman" w:hAnsi="Times New Roman" w:hint="eastAsia"/>
          <w:kern w:val="0"/>
          <w:szCs w:val="24"/>
        </w:rPr>
        <w:t>期末基金份额持有人户数及持有人结构</w:t>
      </w:r>
      <w:bookmarkEnd w:id="79"/>
      <w:bookmarkEnd w:id="80"/>
    </w:p>
    <w:p w:rsidR="002869EF" w:rsidRPr="00FC1A5A" w:rsidRDefault="002869EF" w:rsidP="00FC1A5A">
      <w:pPr>
        <w:autoSpaceDE w:val="0"/>
        <w:autoSpaceDN w:val="0"/>
        <w:adjustRightInd w:val="0"/>
        <w:spacing w:before="29" w:line="288" w:lineRule="auto"/>
        <w:ind w:left="15"/>
        <w:jc w:val="right"/>
        <w:rPr>
          <w:color w:val="000000"/>
          <w:sz w:val="24"/>
        </w:rPr>
      </w:pPr>
      <w:r w:rsidRPr="00FC1A5A">
        <w:rPr>
          <w:rFonts w:hint="eastAsia"/>
          <w:color w:val="000000"/>
          <w:sz w:val="24"/>
        </w:rPr>
        <w:t>份额单位：份</w:t>
      </w:r>
    </w:p>
    <w:tbl>
      <w:tblPr>
        <w:tblW w:w="5000" w:type="pct"/>
        <w:tblInd w:w="108" w:type="dxa"/>
        <w:tblLayout w:type="fixed"/>
        <w:tblLook w:val="00A0" w:firstRow="1" w:lastRow="0" w:firstColumn="1" w:lastColumn="0" w:noHBand="0" w:noVBand="0"/>
      </w:tblPr>
      <w:tblGrid>
        <w:gridCol w:w="2049"/>
        <w:gridCol w:w="1463"/>
        <w:gridCol w:w="1757"/>
        <w:gridCol w:w="1129"/>
        <w:gridCol w:w="1792"/>
        <w:gridCol w:w="1096"/>
      </w:tblGrid>
      <w:tr w:rsidR="0056363F" w:rsidRPr="004B25B0" w:rsidTr="0056363F">
        <w:tc>
          <w:tcPr>
            <w:tcW w:w="964" w:type="pct"/>
            <w:vMerge w:val="restart"/>
            <w:tcBorders>
              <w:top w:val="single" w:sz="8" w:space="0" w:color="000000"/>
              <w:left w:val="single" w:sz="8" w:space="0" w:color="000000"/>
              <w:right w:val="single" w:sz="8" w:space="0" w:color="000000"/>
            </w:tcBorders>
            <w:vAlign w:val="center"/>
          </w:tcPr>
          <w:p w:rsidR="002B232B" w:rsidRDefault="0056363F">
            <w:pPr>
              <w:jc w:val="center"/>
            </w:pPr>
            <w:r>
              <w:t>持有人户数</w:t>
            </w:r>
            <w:r>
              <w:t>(</w:t>
            </w:r>
            <w:r>
              <w:t>户</w:t>
            </w:r>
            <w:r>
              <w:t>)</w:t>
            </w:r>
          </w:p>
        </w:tc>
        <w:tc>
          <w:tcPr>
            <w:tcW w:w="688" w:type="pct"/>
            <w:vMerge w:val="restar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持有人结构</w:t>
            </w:r>
          </w:p>
        </w:tc>
      </w:tr>
      <w:tr w:rsidR="0056363F" w:rsidRPr="004B25B0" w:rsidTr="0056363F">
        <w:tc>
          <w:tcPr>
            <w:tcW w:w="964" w:type="pct"/>
            <w:vMerge/>
            <w:tcBorders>
              <w:left w:val="single" w:sz="8" w:space="0" w:color="000000"/>
              <w:right w:val="single" w:sz="8" w:space="0" w:color="000000"/>
            </w:tcBorders>
          </w:tcPr>
          <w:p w:rsidR="002B232B" w:rsidRDefault="002B232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个人投资者</w:t>
            </w:r>
          </w:p>
        </w:tc>
      </w:tr>
      <w:tr w:rsidR="0056363F" w:rsidRPr="004B25B0" w:rsidTr="0056363F">
        <w:tc>
          <w:tcPr>
            <w:tcW w:w="964" w:type="pct"/>
            <w:vMerge/>
            <w:tcBorders>
              <w:left w:val="single" w:sz="8" w:space="0" w:color="000000"/>
              <w:bottom w:val="single" w:sz="8" w:space="0" w:color="000000"/>
              <w:right w:val="single" w:sz="8" w:space="0" w:color="000000"/>
            </w:tcBorders>
          </w:tcPr>
          <w:p w:rsidR="002B232B" w:rsidRDefault="002B232B">
            <w:pPr>
              <w:jc w:val="center"/>
            </w:pPr>
          </w:p>
        </w:tc>
        <w:tc>
          <w:tcPr>
            <w:tcW w:w="688" w:type="pct"/>
            <w:vMerge/>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w:t>
            </w:r>
            <w:r w:rsidRPr="004B25B0">
              <w:rPr>
                <w:rFonts w:hint="eastAsia"/>
                <w:color w:val="000000"/>
                <w:szCs w:val="21"/>
              </w:rPr>
              <w:lastRenderedPageBreak/>
              <w:t>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lastRenderedPageBreak/>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F10C5B">
            <w:pPr>
              <w:spacing w:before="29" w:line="288" w:lineRule="auto"/>
              <w:ind w:left="17"/>
              <w:jc w:val="center"/>
              <w:rPr>
                <w:color w:val="000000"/>
                <w:szCs w:val="21"/>
              </w:rPr>
            </w:pPr>
            <w:r w:rsidRPr="004B25B0">
              <w:rPr>
                <w:rFonts w:hint="eastAsia"/>
                <w:color w:val="000000"/>
                <w:szCs w:val="21"/>
              </w:rPr>
              <w:t>占总份额</w:t>
            </w:r>
            <w:r w:rsidRPr="004B25B0">
              <w:rPr>
                <w:rFonts w:hint="eastAsia"/>
                <w:color w:val="000000"/>
                <w:szCs w:val="21"/>
              </w:rPr>
              <w:lastRenderedPageBreak/>
              <w:t>比例</w:t>
            </w:r>
          </w:p>
        </w:tc>
      </w:tr>
      <w:tr w:rsidR="0056363F" w:rsidRPr="004B25B0" w:rsidTr="0056363F">
        <w:tc>
          <w:tcPr>
            <w:tcW w:w="964" w:type="pct"/>
            <w:tcBorders>
              <w:top w:val="single" w:sz="8" w:space="0" w:color="000000"/>
              <w:left w:val="single" w:sz="8" w:space="0" w:color="000000"/>
              <w:bottom w:val="single" w:sz="8" w:space="0" w:color="000000"/>
              <w:right w:val="single" w:sz="8" w:space="0" w:color="000000"/>
            </w:tcBorders>
            <w:vAlign w:val="center"/>
          </w:tcPr>
          <w:p w:rsidR="002B232B" w:rsidRDefault="0056363F">
            <w:pPr>
              <w:jc w:val="center"/>
            </w:pPr>
            <w:r>
              <w:rPr>
                <w:bCs/>
                <w:color w:val="000000"/>
                <w:szCs w:val="21"/>
              </w:rPr>
              <w:lastRenderedPageBreak/>
              <w:t>14,420</w:t>
            </w:r>
          </w:p>
        </w:tc>
        <w:tc>
          <w:tcPr>
            <w:tcW w:w="688"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69,676.36</w:t>
            </w:r>
          </w:p>
        </w:tc>
        <w:tc>
          <w:tcPr>
            <w:tcW w:w="826"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688,394,043.80</w:t>
            </w:r>
          </w:p>
        </w:tc>
        <w:tc>
          <w:tcPr>
            <w:tcW w:w="531"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68.52%</w:t>
            </w:r>
          </w:p>
        </w:tc>
        <w:tc>
          <w:tcPr>
            <w:tcW w:w="843" w:type="pct"/>
            <w:tcBorders>
              <w:top w:val="single" w:sz="8" w:space="0" w:color="000000"/>
              <w:left w:val="single" w:sz="8" w:space="0" w:color="000000"/>
              <w:bottom w:val="single" w:sz="8" w:space="0" w:color="000000"/>
              <w:right w:val="single" w:sz="8" w:space="0" w:color="000000"/>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316,339,082.98</w:t>
            </w:r>
          </w:p>
        </w:tc>
        <w:tc>
          <w:tcPr>
            <w:tcW w:w="515" w:type="pct"/>
            <w:tcBorders>
              <w:top w:val="single" w:sz="8" w:space="0" w:color="000000"/>
              <w:left w:val="single" w:sz="8" w:space="0" w:color="000000"/>
              <w:bottom w:val="single" w:sz="8" w:space="0" w:color="000000"/>
              <w:right w:val="single" w:sz="4" w:space="0" w:color="auto"/>
            </w:tcBorders>
            <w:vAlign w:val="center"/>
          </w:tcPr>
          <w:p w:rsidR="002869EF" w:rsidRPr="004B25B0" w:rsidRDefault="002869EF" w:rsidP="005531B6">
            <w:pPr>
              <w:spacing w:line="360" w:lineRule="auto"/>
              <w:jc w:val="right"/>
              <w:rPr>
                <w:bCs/>
                <w:color w:val="000000"/>
                <w:szCs w:val="21"/>
              </w:rPr>
            </w:pPr>
            <w:r w:rsidRPr="004B25B0">
              <w:rPr>
                <w:bCs/>
                <w:color w:val="000000"/>
                <w:szCs w:val="21"/>
              </w:rPr>
              <w:t>31.48%</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1" w:name="_Toc361324891"/>
      <w:r w:rsidRPr="00245C29">
        <w:rPr>
          <w:rFonts w:ascii="Times New Roman" w:hAnsi="Times New Roman"/>
          <w:kern w:val="0"/>
          <w:szCs w:val="24"/>
        </w:rPr>
        <w:t>9.2</w:t>
      </w:r>
      <w:r w:rsidR="008A0029" w:rsidRPr="00245C29">
        <w:rPr>
          <w:rFonts w:ascii="Times New Roman" w:hAnsi="Times New Roman" w:hint="eastAsia"/>
          <w:kern w:val="0"/>
          <w:szCs w:val="24"/>
        </w:rPr>
        <w:t xml:space="preserve"> </w:t>
      </w:r>
      <w:r w:rsidRPr="00245C29">
        <w:rPr>
          <w:rFonts w:ascii="Times New Roman" w:hAnsi="Times New Roman" w:hint="eastAsia"/>
          <w:kern w:val="0"/>
          <w:szCs w:val="24"/>
        </w:rPr>
        <w:t>期末基金管理人的从业人员持有本基金的情况</w:t>
      </w:r>
      <w:bookmarkEnd w:id="8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827"/>
        <w:gridCol w:w="3011"/>
        <w:gridCol w:w="2160"/>
      </w:tblGrid>
      <w:tr w:rsidR="001A59F9" w:rsidRPr="00C51C77" w:rsidTr="00E7239C">
        <w:tc>
          <w:tcPr>
            <w:tcW w:w="3827"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项目</w:t>
            </w:r>
          </w:p>
        </w:tc>
        <w:tc>
          <w:tcPr>
            <w:tcW w:w="3011"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持有份额总数（份）</w:t>
            </w:r>
          </w:p>
        </w:tc>
        <w:tc>
          <w:tcPr>
            <w:tcW w:w="2160" w:type="dxa"/>
            <w:vAlign w:val="center"/>
          </w:tcPr>
          <w:p w:rsidR="001A59F9" w:rsidRPr="00A97873" w:rsidRDefault="001A59F9" w:rsidP="00A97873">
            <w:pPr>
              <w:spacing w:before="29" w:line="288" w:lineRule="auto"/>
              <w:ind w:left="17"/>
              <w:jc w:val="center"/>
              <w:rPr>
                <w:color w:val="000000"/>
                <w:sz w:val="24"/>
              </w:rPr>
            </w:pPr>
            <w:r w:rsidRPr="00A97873">
              <w:rPr>
                <w:rFonts w:hint="eastAsia"/>
                <w:color w:val="000000"/>
                <w:sz w:val="24"/>
              </w:rPr>
              <w:t>占基金总份额比例</w:t>
            </w:r>
          </w:p>
        </w:tc>
      </w:tr>
      <w:tr w:rsidR="001A59F9" w:rsidRPr="00C51C77" w:rsidTr="00E7239C">
        <w:tc>
          <w:tcPr>
            <w:tcW w:w="3827" w:type="dxa"/>
            <w:vAlign w:val="center"/>
          </w:tcPr>
          <w:p w:rsidR="001A59F9" w:rsidRPr="00C51C77" w:rsidRDefault="001A59F9" w:rsidP="004E0F59">
            <w:pPr>
              <w:spacing w:before="29" w:line="288" w:lineRule="auto"/>
              <w:jc w:val="left"/>
              <w:rPr>
                <w:rFonts w:asciiTheme="minorEastAsia" w:eastAsiaTheme="minorEastAsia" w:hAnsiTheme="minorEastAsia"/>
                <w:color w:val="000000"/>
                <w:szCs w:val="21"/>
              </w:rPr>
            </w:pPr>
            <w:r w:rsidRPr="004E0F59">
              <w:rPr>
                <w:rFonts w:hint="eastAsia"/>
                <w:color w:val="000000"/>
                <w:sz w:val="24"/>
              </w:rPr>
              <w:t>基金管理人所有从业人员持有本基金</w:t>
            </w:r>
          </w:p>
        </w:tc>
        <w:tc>
          <w:tcPr>
            <w:tcW w:w="3011"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135,569.84</w:t>
            </w:r>
          </w:p>
        </w:tc>
        <w:tc>
          <w:tcPr>
            <w:tcW w:w="2160" w:type="dxa"/>
            <w:vAlign w:val="center"/>
          </w:tcPr>
          <w:p w:rsidR="001A59F9" w:rsidRPr="00BF787C" w:rsidRDefault="001A59F9" w:rsidP="00BF787C">
            <w:pPr>
              <w:widowControl/>
              <w:spacing w:before="29" w:line="288" w:lineRule="auto"/>
              <w:jc w:val="right"/>
              <w:rPr>
                <w:color w:val="000000"/>
                <w:kern w:val="0"/>
                <w:sz w:val="24"/>
              </w:rPr>
            </w:pPr>
            <w:r w:rsidRPr="00BF787C">
              <w:rPr>
                <w:color w:val="000000"/>
                <w:kern w:val="0"/>
                <w:sz w:val="24"/>
              </w:rPr>
              <w:t>0.01%</w:t>
            </w:r>
          </w:p>
        </w:tc>
      </w:tr>
    </w:tbl>
    <w:p w:rsidR="001A59F9" w:rsidRPr="00E7239C" w:rsidRDefault="001A59F9" w:rsidP="00026C9C">
      <w:pPr>
        <w:spacing w:line="360" w:lineRule="auto"/>
        <w:rPr>
          <w:rFonts w:asciiTheme="minorEastAsia" w:eastAsiaTheme="minorEastAsia" w:hAnsiTheme="minorEastAsia"/>
          <w:color w:val="000000"/>
          <w:szCs w:val="21"/>
        </w:rPr>
      </w:pPr>
    </w:p>
    <w:p w:rsidR="00DB4544" w:rsidRPr="00E77BEC" w:rsidRDefault="00DB4544" w:rsidP="00245C29">
      <w:pPr>
        <w:pStyle w:val="20"/>
        <w:spacing w:before="29" w:after="0" w:line="288" w:lineRule="auto"/>
        <w:rPr>
          <w:rFonts w:ascii="宋体" w:hAnsi="宋体"/>
          <w:sz w:val="21"/>
          <w:szCs w:val="21"/>
        </w:rPr>
      </w:pPr>
      <w:r w:rsidRPr="00245C29">
        <w:rPr>
          <w:rFonts w:ascii="Times New Roman" w:hAnsi="Times New Roman"/>
          <w:kern w:val="0"/>
          <w:szCs w:val="24"/>
        </w:rPr>
        <w:t>9.3</w:t>
      </w:r>
      <w:r w:rsidRPr="00245C29">
        <w:rPr>
          <w:rFonts w:ascii="Times New Roman" w:hAnsi="Times New Roman" w:hint="eastAsia"/>
          <w:kern w:val="0"/>
          <w:szCs w:val="24"/>
        </w:rPr>
        <w:t>期末基金管理人的从业人员持有本开放式基金份额总量区间的情况</w:t>
      </w:r>
    </w:p>
    <w:tbl>
      <w:tblPr>
        <w:tblW w:w="8998" w:type="dxa"/>
        <w:tblInd w:w="10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3203"/>
        <w:gridCol w:w="5795"/>
      </w:tblGrid>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项目</w:t>
            </w:r>
          </w:p>
        </w:tc>
        <w:tc>
          <w:tcPr>
            <w:tcW w:w="3220" w:type="pct"/>
            <w:shd w:val="clear" w:color="auto" w:fill="auto"/>
            <w:tcMar>
              <w:top w:w="0" w:type="dxa"/>
              <w:left w:w="108" w:type="dxa"/>
              <w:bottom w:w="0" w:type="dxa"/>
              <w:right w:w="108" w:type="dxa"/>
            </w:tcMar>
            <w:vAlign w:val="center"/>
            <w:hideMark/>
          </w:tcPr>
          <w:p w:rsidR="00DB4544" w:rsidRPr="00A97873" w:rsidRDefault="00DB4544" w:rsidP="00A97873">
            <w:pPr>
              <w:spacing w:before="29" w:line="288" w:lineRule="auto"/>
              <w:ind w:left="17"/>
              <w:jc w:val="center"/>
              <w:rPr>
                <w:color w:val="000000"/>
                <w:sz w:val="24"/>
              </w:rPr>
            </w:pPr>
            <w:r w:rsidRPr="00A97873">
              <w:rPr>
                <w:rFonts w:hint="eastAsia"/>
                <w:color w:val="000000"/>
                <w:sz w:val="24"/>
              </w:rPr>
              <w:t>持有基金份额总量的数量区间（万份）</w:t>
            </w:r>
          </w:p>
        </w:tc>
      </w:tr>
      <w:tr w:rsidR="00DB4544" w:rsidRPr="00E77BEC" w:rsidTr="00B41E3D">
        <w:trPr>
          <w:trHeight w:val="713"/>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本公司高级管理人员、基金投资和研究部门负责人持有本开放式基金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0~10</w:t>
            </w:r>
          </w:p>
        </w:tc>
      </w:tr>
      <w:tr w:rsidR="00DB4544" w:rsidRPr="00E77BEC" w:rsidTr="00B41E3D">
        <w:trPr>
          <w:trHeight w:val="285"/>
        </w:trPr>
        <w:tc>
          <w:tcPr>
            <w:tcW w:w="1780" w:type="pct"/>
            <w:shd w:val="clear" w:color="auto" w:fill="auto"/>
            <w:tcMar>
              <w:top w:w="0" w:type="dxa"/>
              <w:left w:w="108" w:type="dxa"/>
              <w:bottom w:w="0" w:type="dxa"/>
              <w:right w:w="108" w:type="dxa"/>
            </w:tcMar>
            <w:vAlign w:val="center"/>
            <w:hideMark/>
          </w:tcPr>
          <w:p w:rsidR="00DB4544" w:rsidRPr="00B41E3D" w:rsidRDefault="00DB4544" w:rsidP="00B41E3D">
            <w:pPr>
              <w:spacing w:before="29" w:line="288" w:lineRule="auto"/>
              <w:jc w:val="left"/>
              <w:rPr>
                <w:color w:val="000000"/>
                <w:sz w:val="24"/>
              </w:rPr>
            </w:pPr>
            <w:r w:rsidRPr="00B41E3D">
              <w:rPr>
                <w:rFonts w:hint="eastAsia"/>
                <w:color w:val="000000"/>
                <w:sz w:val="24"/>
              </w:rPr>
              <w:t>本基金基金经理持有本开放式基金</w:t>
            </w:r>
          </w:p>
        </w:tc>
        <w:tc>
          <w:tcPr>
            <w:tcW w:w="3220" w:type="pct"/>
            <w:shd w:val="clear" w:color="auto" w:fill="auto"/>
            <w:tcMar>
              <w:top w:w="0" w:type="dxa"/>
              <w:left w:w="108" w:type="dxa"/>
              <w:bottom w:w="0" w:type="dxa"/>
              <w:right w:w="108" w:type="dxa"/>
            </w:tcMar>
            <w:vAlign w:val="center"/>
            <w:hideMark/>
          </w:tcPr>
          <w:p w:rsidR="00DB4544" w:rsidRPr="00BF787C" w:rsidRDefault="00DB4544" w:rsidP="00BF787C">
            <w:pPr>
              <w:widowControl/>
              <w:spacing w:before="29" w:line="288" w:lineRule="auto"/>
              <w:jc w:val="right"/>
              <w:rPr>
                <w:color w:val="000000"/>
                <w:kern w:val="0"/>
                <w:sz w:val="24"/>
              </w:rPr>
            </w:pPr>
            <w:r w:rsidRPr="00BF787C">
              <w:rPr>
                <w:color w:val="000000"/>
                <w:kern w:val="0"/>
                <w:sz w:val="24"/>
              </w:rPr>
              <w:t>0</w:t>
            </w:r>
          </w:p>
        </w:tc>
      </w:tr>
    </w:tbl>
    <w:p w:rsidR="00DB4544" w:rsidRPr="00C51C77" w:rsidRDefault="00DB4544" w:rsidP="00026C9C">
      <w:pPr>
        <w:spacing w:line="360" w:lineRule="auto"/>
        <w:rPr>
          <w:rFonts w:asciiTheme="minorEastAsia" w:eastAsiaTheme="minorEastAsia" w:hAnsiTheme="minorEastAsia"/>
          <w:color w:val="000000"/>
          <w:szCs w:val="21"/>
        </w:rPr>
      </w:pPr>
    </w:p>
    <w:p w:rsidR="001A59F9" w:rsidRDefault="001A59F9" w:rsidP="00300454">
      <w:pPr>
        <w:pStyle w:val="1"/>
        <w:keepNext/>
        <w:keepLines/>
        <w:widowControl w:val="0"/>
        <w:spacing w:before="29" w:line="288" w:lineRule="auto"/>
        <w:jc w:val="center"/>
        <w:rPr>
          <w:b/>
          <w:bCs/>
          <w:szCs w:val="24"/>
          <w:lang w:val="en-US"/>
        </w:rPr>
      </w:pPr>
      <w:bookmarkStart w:id="82" w:name="_Toc225500053"/>
      <w:bookmarkStart w:id="83" w:name="_Toc361324892"/>
      <w:r w:rsidRPr="00300454">
        <w:rPr>
          <w:rFonts w:hint="eastAsia"/>
          <w:b/>
          <w:bCs/>
          <w:szCs w:val="24"/>
          <w:lang w:val="en-US"/>
        </w:rPr>
        <w:t>§</w:t>
      </w:r>
      <w:r w:rsidR="009153A3" w:rsidRPr="00300454">
        <w:rPr>
          <w:b/>
          <w:bCs/>
          <w:szCs w:val="24"/>
          <w:lang w:val="en-US"/>
        </w:rPr>
        <w:t>10</w:t>
      </w:r>
      <w:r w:rsidR="009153A3" w:rsidRPr="00300454">
        <w:rPr>
          <w:rFonts w:hint="eastAsia"/>
          <w:b/>
          <w:bCs/>
          <w:szCs w:val="24"/>
          <w:lang w:val="en-US"/>
        </w:rPr>
        <w:t xml:space="preserve">  </w:t>
      </w:r>
      <w:r w:rsidRPr="00300454">
        <w:rPr>
          <w:rFonts w:hint="eastAsia"/>
          <w:b/>
          <w:bCs/>
          <w:szCs w:val="24"/>
          <w:lang w:val="en-US"/>
        </w:rPr>
        <w:t>开放式基金份额变动</w:t>
      </w:r>
      <w:bookmarkEnd w:id="82"/>
      <w:bookmarkEnd w:id="83"/>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单位：份</w:t>
      </w:r>
    </w:p>
    <w:tbl>
      <w:tblPr>
        <w:tblW w:w="5000"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5778"/>
        <w:gridCol w:w="3508"/>
      </w:tblGrid>
      <w:tr w:rsidR="001A59F9" w:rsidRPr="00C51C77" w:rsidTr="001E60E8">
        <w:tc>
          <w:tcPr>
            <w:tcW w:w="3111" w:type="pct"/>
            <w:vAlign w:val="center"/>
          </w:tcPr>
          <w:p w:rsidR="001A59F9" w:rsidRPr="00300454" w:rsidRDefault="00A76E17" w:rsidP="00300454">
            <w:pPr>
              <w:spacing w:before="29" w:line="288" w:lineRule="auto"/>
              <w:rPr>
                <w:sz w:val="24"/>
              </w:rPr>
            </w:pPr>
            <w:r w:rsidRPr="00300454">
              <w:rPr>
                <w:rFonts w:hint="eastAsia"/>
                <w:sz w:val="24"/>
              </w:rPr>
              <w:t>基金合同生效日</w:t>
            </w:r>
            <w:r w:rsidRPr="00300454">
              <w:rPr>
                <w:rFonts w:hint="eastAsia"/>
                <w:sz w:val="24"/>
              </w:rPr>
              <w:t>(</w:t>
            </w:r>
            <w:r w:rsidR="00146153" w:rsidRPr="00300454">
              <w:rPr>
                <w:sz w:val="24"/>
              </w:rPr>
              <w:t>2015</w:t>
            </w:r>
            <w:r w:rsidR="00146153" w:rsidRPr="00300454">
              <w:rPr>
                <w:sz w:val="24"/>
              </w:rPr>
              <w:t>年</w:t>
            </w:r>
            <w:r w:rsidR="00146153" w:rsidRPr="00300454">
              <w:rPr>
                <w:sz w:val="24"/>
              </w:rPr>
              <w:t>6</w:t>
            </w:r>
            <w:r w:rsidR="00146153" w:rsidRPr="00300454">
              <w:rPr>
                <w:sz w:val="24"/>
              </w:rPr>
              <w:t>月</w:t>
            </w:r>
            <w:r w:rsidR="00146153" w:rsidRPr="00300454">
              <w:rPr>
                <w:sz w:val="24"/>
              </w:rPr>
              <w:t>27</w:t>
            </w:r>
            <w:r w:rsidR="00146153" w:rsidRPr="00300454">
              <w:rPr>
                <w:sz w:val="24"/>
              </w:rPr>
              <w:t>日</w:t>
            </w:r>
            <w:r w:rsidRPr="00300454">
              <w:rPr>
                <w:rFonts w:hint="eastAsia"/>
                <w:sz w:val="24"/>
              </w:rPr>
              <w:t>)</w:t>
            </w:r>
            <w:r w:rsidR="001A59F9" w:rsidRPr="00300454">
              <w:rPr>
                <w:rFonts w:hint="eastAsia"/>
                <w:sz w:val="24"/>
              </w:rPr>
              <w:t>基金份额总额</w:t>
            </w:r>
          </w:p>
        </w:tc>
        <w:tc>
          <w:tcPr>
            <w:tcW w:w="1889" w:type="pct"/>
          </w:tcPr>
          <w:p w:rsidR="001A59F9" w:rsidRPr="00300454" w:rsidRDefault="001A59F9" w:rsidP="00300454">
            <w:pPr>
              <w:spacing w:before="29" w:line="288" w:lineRule="auto"/>
              <w:jc w:val="right"/>
              <w:rPr>
                <w:sz w:val="24"/>
              </w:rPr>
            </w:pPr>
            <w:r w:rsidRPr="00300454">
              <w:rPr>
                <w:sz w:val="24"/>
              </w:rPr>
              <w:t xml:space="preserve">1,631,624,464.77 </w:t>
            </w:r>
          </w:p>
        </w:tc>
      </w:tr>
      <w:tr w:rsidR="001A59F9" w:rsidRPr="00C51C77" w:rsidTr="001E60E8">
        <w:tc>
          <w:tcPr>
            <w:tcW w:w="3111" w:type="pct"/>
            <w:vAlign w:val="center"/>
          </w:tcPr>
          <w:p w:rsidR="001A59F9" w:rsidRPr="00300454" w:rsidRDefault="0078060F" w:rsidP="00300454">
            <w:pPr>
              <w:spacing w:before="29" w:line="288" w:lineRule="auto"/>
              <w:rPr>
                <w:sz w:val="24"/>
              </w:rPr>
            </w:pPr>
            <w:r w:rsidRPr="00300454">
              <w:rPr>
                <w:rFonts w:hint="eastAsia"/>
                <w:sz w:val="24"/>
              </w:rPr>
              <w:t>本报告期期初基金份额总额</w:t>
            </w:r>
          </w:p>
        </w:tc>
        <w:tc>
          <w:tcPr>
            <w:tcW w:w="1889" w:type="pct"/>
          </w:tcPr>
          <w:p w:rsidR="001A59F9" w:rsidRPr="00300454" w:rsidRDefault="001A59F9" w:rsidP="00300454">
            <w:pPr>
              <w:spacing w:before="29" w:line="288" w:lineRule="auto"/>
              <w:jc w:val="right"/>
              <w:rPr>
                <w:sz w:val="24"/>
              </w:rPr>
            </w:pPr>
            <w:r w:rsidRPr="00300454">
              <w:rPr>
                <w:sz w:val="24"/>
              </w:rPr>
              <w:t>546,984,417.57</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基金总申购份额</w:t>
            </w:r>
          </w:p>
        </w:tc>
        <w:tc>
          <w:tcPr>
            <w:tcW w:w="1889" w:type="pct"/>
          </w:tcPr>
          <w:p w:rsidR="001A59F9" w:rsidRPr="00300454" w:rsidRDefault="001A59F9" w:rsidP="00300454">
            <w:pPr>
              <w:spacing w:before="29" w:line="288" w:lineRule="auto"/>
              <w:jc w:val="right"/>
              <w:rPr>
                <w:sz w:val="24"/>
              </w:rPr>
            </w:pPr>
            <w:r w:rsidRPr="00300454">
              <w:rPr>
                <w:sz w:val="24"/>
              </w:rPr>
              <w:t>855,171,861.25</w:t>
            </w:r>
          </w:p>
        </w:tc>
      </w:tr>
      <w:tr w:rsidR="001A59F9" w:rsidRPr="00C51C77" w:rsidTr="001E60E8">
        <w:tc>
          <w:tcPr>
            <w:tcW w:w="3111" w:type="pct"/>
            <w:vAlign w:val="center"/>
          </w:tcPr>
          <w:p w:rsidR="001A59F9" w:rsidRPr="00300454" w:rsidRDefault="001A59F9" w:rsidP="00300454">
            <w:pPr>
              <w:spacing w:before="29" w:line="288" w:lineRule="auto"/>
              <w:rPr>
                <w:sz w:val="24"/>
              </w:rPr>
            </w:pPr>
            <w:r w:rsidRPr="00300454">
              <w:rPr>
                <w:rFonts w:hint="eastAsia"/>
                <w:sz w:val="24"/>
              </w:rPr>
              <w:t>减：</w:t>
            </w:r>
            <w:r w:rsidR="00B94AF7" w:rsidRPr="00300454">
              <w:rPr>
                <w:sz w:val="24"/>
              </w:rPr>
              <w:t>本报告期</w:t>
            </w:r>
            <w:r w:rsidRPr="00300454">
              <w:rPr>
                <w:rFonts w:hint="eastAsia"/>
                <w:sz w:val="24"/>
              </w:rPr>
              <w:t>基金总赎回份额</w:t>
            </w:r>
          </w:p>
        </w:tc>
        <w:tc>
          <w:tcPr>
            <w:tcW w:w="1889" w:type="pct"/>
          </w:tcPr>
          <w:p w:rsidR="001A59F9" w:rsidRPr="00300454" w:rsidRDefault="001A59F9" w:rsidP="00300454">
            <w:pPr>
              <w:spacing w:before="29" w:line="288" w:lineRule="auto"/>
              <w:jc w:val="right"/>
              <w:rPr>
                <w:sz w:val="24"/>
              </w:rPr>
            </w:pPr>
            <w:r w:rsidRPr="00300454">
              <w:rPr>
                <w:sz w:val="24"/>
              </w:rPr>
              <w:t>397,423,152.04</w:t>
            </w:r>
          </w:p>
        </w:tc>
      </w:tr>
      <w:tr w:rsidR="001A59F9" w:rsidRPr="00C51C77" w:rsidTr="001E60E8">
        <w:tc>
          <w:tcPr>
            <w:tcW w:w="3111" w:type="pct"/>
            <w:vAlign w:val="center"/>
          </w:tcPr>
          <w:p w:rsidR="001A59F9" w:rsidRPr="00300454" w:rsidRDefault="00B94AF7" w:rsidP="00300454">
            <w:pPr>
              <w:spacing w:before="29" w:line="288" w:lineRule="auto"/>
              <w:rPr>
                <w:sz w:val="24"/>
              </w:rPr>
            </w:pPr>
            <w:r w:rsidRPr="00300454">
              <w:rPr>
                <w:sz w:val="24"/>
              </w:rPr>
              <w:t>本报告期</w:t>
            </w:r>
            <w:r w:rsidR="001A59F9" w:rsidRPr="00300454">
              <w:rPr>
                <w:rFonts w:hint="eastAsia"/>
                <w:sz w:val="24"/>
              </w:rPr>
              <w:t>基金拆分变动份额</w:t>
            </w:r>
          </w:p>
        </w:tc>
        <w:tc>
          <w:tcPr>
            <w:tcW w:w="1889" w:type="pct"/>
          </w:tcPr>
          <w:p w:rsidR="001A59F9" w:rsidRPr="00300454" w:rsidRDefault="001A59F9" w:rsidP="00300454">
            <w:pPr>
              <w:spacing w:before="29" w:line="288" w:lineRule="auto"/>
              <w:jc w:val="right"/>
              <w:rPr>
                <w:sz w:val="24"/>
              </w:rPr>
            </w:pPr>
            <w:r w:rsidRPr="00300454">
              <w:rPr>
                <w:sz w:val="24"/>
              </w:rPr>
              <w:t>-</w:t>
            </w:r>
          </w:p>
        </w:tc>
      </w:tr>
      <w:tr w:rsidR="001A59F9" w:rsidRPr="00C51C77" w:rsidTr="001E60E8">
        <w:tc>
          <w:tcPr>
            <w:tcW w:w="3111" w:type="pct"/>
            <w:vAlign w:val="center"/>
          </w:tcPr>
          <w:p w:rsidR="001A59F9" w:rsidRPr="00300454" w:rsidRDefault="00ED5DF2" w:rsidP="00300454">
            <w:pPr>
              <w:spacing w:before="29" w:line="288" w:lineRule="auto"/>
              <w:rPr>
                <w:sz w:val="24"/>
              </w:rPr>
            </w:pPr>
            <w:r w:rsidRPr="00300454">
              <w:rPr>
                <w:rFonts w:hint="eastAsia"/>
                <w:sz w:val="24"/>
              </w:rPr>
              <w:t>本报告期期末基金份额总额</w:t>
            </w:r>
          </w:p>
        </w:tc>
        <w:tc>
          <w:tcPr>
            <w:tcW w:w="1889" w:type="pct"/>
          </w:tcPr>
          <w:p w:rsidR="001A59F9" w:rsidRPr="00300454" w:rsidRDefault="001A59F9" w:rsidP="00300454">
            <w:pPr>
              <w:spacing w:before="29" w:line="288" w:lineRule="auto"/>
              <w:jc w:val="right"/>
              <w:rPr>
                <w:sz w:val="24"/>
              </w:rPr>
            </w:pPr>
            <w:r w:rsidRPr="00300454">
              <w:rPr>
                <w:sz w:val="24"/>
              </w:rPr>
              <w:t>1,004,733,126.78</w:t>
            </w:r>
          </w:p>
        </w:tc>
      </w:tr>
    </w:tbl>
    <w:p w:rsidR="002B232B" w:rsidRDefault="0056363F">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p>
    <w:p w:rsidR="001A59F9" w:rsidRDefault="001A59F9" w:rsidP="00273FD9">
      <w:pPr>
        <w:tabs>
          <w:tab w:val="left" w:pos="426"/>
        </w:tabs>
        <w:spacing w:before="29" w:line="288" w:lineRule="auto"/>
        <w:jc w:val="left"/>
        <w:rPr>
          <w:kern w:val="0"/>
          <w:sz w:val="24"/>
        </w:rPr>
      </w:pPr>
      <w:r w:rsidRPr="00273FD9">
        <w:rPr>
          <w:kern w:val="0"/>
          <w:sz w:val="24"/>
        </w:rPr>
        <w:t xml:space="preserve">　　</w:t>
      </w:r>
      <w:r w:rsidRPr="00273FD9">
        <w:rPr>
          <w:kern w:val="0"/>
          <w:sz w:val="24"/>
        </w:rPr>
        <w:t>2</w:t>
      </w:r>
      <w:r w:rsidRPr="00273FD9">
        <w:rPr>
          <w:kern w:val="0"/>
          <w:sz w:val="24"/>
        </w:rPr>
        <w:t>、如果本报告期间发生转换出业务，则总赎回份额中包含该业务。</w:t>
      </w:r>
    </w:p>
    <w:p w:rsidR="00766709" w:rsidRPr="00273FD9" w:rsidRDefault="00766709" w:rsidP="00273FD9">
      <w:pPr>
        <w:tabs>
          <w:tab w:val="left" w:pos="426"/>
        </w:tabs>
        <w:spacing w:before="29" w:line="288" w:lineRule="auto"/>
        <w:jc w:val="left"/>
        <w:rPr>
          <w:kern w:val="0"/>
          <w:sz w:val="24"/>
        </w:rPr>
      </w:pPr>
    </w:p>
    <w:p w:rsidR="001A59F9" w:rsidRDefault="001A59F9" w:rsidP="00214CDC">
      <w:pPr>
        <w:pStyle w:val="1"/>
        <w:keepNext/>
        <w:keepLines/>
        <w:widowControl w:val="0"/>
        <w:spacing w:beforeLines="100" w:before="312" w:afterLines="100" w:after="312" w:line="288" w:lineRule="auto"/>
        <w:jc w:val="center"/>
        <w:rPr>
          <w:b/>
          <w:bCs/>
          <w:szCs w:val="24"/>
          <w:lang w:val="en-US"/>
        </w:rPr>
      </w:pPr>
      <w:bookmarkStart w:id="84" w:name="_Toc225500054"/>
      <w:bookmarkStart w:id="85" w:name="_Toc361324893"/>
      <w:r w:rsidRPr="00087272">
        <w:rPr>
          <w:rFonts w:hint="eastAsia"/>
          <w:b/>
          <w:bCs/>
          <w:szCs w:val="24"/>
          <w:lang w:val="en-US"/>
        </w:rPr>
        <w:t>§</w:t>
      </w:r>
      <w:r w:rsidRPr="00087272">
        <w:rPr>
          <w:b/>
          <w:bCs/>
          <w:szCs w:val="24"/>
          <w:lang w:val="en-US"/>
        </w:rPr>
        <w:t>11</w:t>
      </w:r>
      <w:r w:rsidR="009153A3" w:rsidRPr="00087272">
        <w:rPr>
          <w:rFonts w:hint="eastAsia"/>
          <w:b/>
          <w:bCs/>
          <w:szCs w:val="24"/>
          <w:lang w:val="en-US"/>
        </w:rPr>
        <w:t xml:space="preserve">  </w:t>
      </w:r>
      <w:r w:rsidRPr="00087272">
        <w:rPr>
          <w:rFonts w:hint="eastAsia"/>
          <w:b/>
          <w:bCs/>
          <w:szCs w:val="24"/>
          <w:lang w:val="en-US"/>
        </w:rPr>
        <w:t>重大事件揭示</w:t>
      </w:r>
      <w:bookmarkEnd w:id="84"/>
      <w:bookmarkEnd w:id="85"/>
    </w:p>
    <w:p w:rsidR="002546CC" w:rsidRPr="002546CC" w:rsidRDefault="002546CC" w:rsidP="002546CC"/>
    <w:p w:rsidR="001A59F9" w:rsidRPr="00245C29" w:rsidRDefault="001A59F9" w:rsidP="00245C29">
      <w:pPr>
        <w:pStyle w:val="20"/>
        <w:spacing w:before="29" w:after="0" w:line="288" w:lineRule="auto"/>
        <w:rPr>
          <w:rFonts w:ascii="Times New Roman" w:hAnsi="Times New Roman"/>
          <w:kern w:val="0"/>
          <w:szCs w:val="24"/>
        </w:rPr>
      </w:pPr>
      <w:bookmarkStart w:id="86" w:name="_Toc361324894"/>
      <w:r w:rsidRPr="00245C29">
        <w:rPr>
          <w:rFonts w:ascii="Times New Roman" w:hAnsi="Times New Roman"/>
          <w:kern w:val="0"/>
          <w:szCs w:val="24"/>
        </w:rPr>
        <w:t>11.1</w:t>
      </w:r>
      <w:r w:rsidRPr="00245C29">
        <w:rPr>
          <w:rFonts w:ascii="Times New Roman" w:hAnsi="Times New Roman" w:hint="eastAsia"/>
          <w:kern w:val="0"/>
          <w:szCs w:val="24"/>
        </w:rPr>
        <w:t>基金份额持有人大会决议</w:t>
      </w:r>
      <w:bookmarkEnd w:id="86"/>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本基金本报告期内未召开基金份额持有人大会。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C51C77" w:rsidRDefault="001A59F9" w:rsidP="00245C29">
      <w:pPr>
        <w:pStyle w:val="20"/>
        <w:spacing w:before="29" w:after="0" w:line="288" w:lineRule="auto"/>
        <w:rPr>
          <w:rFonts w:asciiTheme="minorEastAsia" w:eastAsiaTheme="minorEastAsia" w:hAnsiTheme="minorEastAsia"/>
          <w:kern w:val="0"/>
          <w:sz w:val="21"/>
          <w:szCs w:val="21"/>
        </w:rPr>
      </w:pPr>
      <w:bookmarkStart w:id="87" w:name="_Toc361324895"/>
      <w:r w:rsidRPr="00245C29">
        <w:rPr>
          <w:rFonts w:ascii="Times New Roman" w:hAnsi="Times New Roman"/>
          <w:kern w:val="0"/>
          <w:szCs w:val="24"/>
        </w:rPr>
        <w:lastRenderedPageBreak/>
        <w:t xml:space="preserve">11.2 </w:t>
      </w:r>
      <w:r w:rsidRPr="00245C29">
        <w:rPr>
          <w:rFonts w:ascii="Times New Roman" w:hAnsi="Times New Roman" w:hint="eastAsia"/>
          <w:kern w:val="0"/>
          <w:szCs w:val="24"/>
        </w:rPr>
        <w:t>基金管理人、基金托管人的专门基金托管部门的重大人事变动</w:t>
      </w:r>
      <w:bookmarkEnd w:id="87"/>
    </w:p>
    <w:p w:rsidR="002B232B" w:rsidRDefault="0056363F">
      <w:pPr>
        <w:spacing w:before="29" w:line="288" w:lineRule="auto"/>
        <w:ind w:firstLineChars="200" w:firstLine="480"/>
        <w:rPr>
          <w:color w:val="000000"/>
          <w:sz w:val="24"/>
        </w:rPr>
      </w:pPr>
      <w:r>
        <w:rPr>
          <w:color w:val="000000"/>
          <w:sz w:val="24"/>
        </w:rPr>
        <w:t>1</w:t>
      </w:r>
      <w:r>
        <w:rPr>
          <w:color w:val="000000"/>
          <w:sz w:val="24"/>
        </w:rPr>
        <w:t>、基金管理人的重大人事变动：</w:t>
      </w:r>
    </w:p>
    <w:p w:rsidR="002B232B" w:rsidRDefault="0056363F">
      <w:pPr>
        <w:spacing w:before="29" w:line="288" w:lineRule="auto"/>
        <w:ind w:firstLineChars="200" w:firstLine="480"/>
        <w:rPr>
          <w:color w:val="000000"/>
          <w:sz w:val="24"/>
        </w:rPr>
      </w:pPr>
      <w:r>
        <w:rPr>
          <w:color w:val="000000"/>
          <w:sz w:val="24"/>
        </w:rPr>
        <w:t>（</w:t>
      </w:r>
      <w:r>
        <w:rPr>
          <w:color w:val="000000"/>
          <w:sz w:val="24"/>
        </w:rPr>
        <w:t>1</w:t>
      </w:r>
      <w:r>
        <w:rPr>
          <w:color w:val="000000"/>
          <w:sz w:val="24"/>
        </w:rPr>
        <w:t>）本基金管理人于</w:t>
      </w:r>
      <w:r>
        <w:rPr>
          <w:color w:val="000000"/>
          <w:sz w:val="24"/>
        </w:rPr>
        <w:t>2018</w:t>
      </w:r>
      <w:r>
        <w:rPr>
          <w:color w:val="000000"/>
          <w:sz w:val="24"/>
        </w:rPr>
        <w:t>年</w:t>
      </w:r>
      <w:r>
        <w:rPr>
          <w:color w:val="000000"/>
          <w:sz w:val="24"/>
        </w:rPr>
        <w:t>6</w:t>
      </w:r>
      <w:r>
        <w:rPr>
          <w:color w:val="000000"/>
          <w:sz w:val="24"/>
        </w:rPr>
        <w:t>月</w:t>
      </w:r>
      <w:r>
        <w:rPr>
          <w:color w:val="000000"/>
          <w:sz w:val="24"/>
        </w:rPr>
        <w:t>30</w:t>
      </w:r>
      <w:r>
        <w:rPr>
          <w:color w:val="000000"/>
          <w:sz w:val="24"/>
        </w:rPr>
        <w:t>日发布公告，经公司第四届董事会第三十二次会议审议通过，同意苏奋先生辞去公司督察长职务，并于</w:t>
      </w:r>
      <w:r>
        <w:rPr>
          <w:color w:val="000000"/>
          <w:sz w:val="24"/>
        </w:rPr>
        <w:t>2018</w:t>
      </w:r>
      <w:r>
        <w:rPr>
          <w:color w:val="000000"/>
          <w:sz w:val="24"/>
        </w:rPr>
        <w:t>年</w:t>
      </w:r>
      <w:r>
        <w:rPr>
          <w:color w:val="000000"/>
          <w:sz w:val="24"/>
        </w:rPr>
        <w:t>9</w:t>
      </w:r>
      <w:r>
        <w:rPr>
          <w:color w:val="000000"/>
          <w:sz w:val="24"/>
        </w:rPr>
        <w:t>月</w:t>
      </w:r>
      <w:r>
        <w:rPr>
          <w:color w:val="000000"/>
          <w:sz w:val="24"/>
        </w:rPr>
        <w:t>28</w:t>
      </w:r>
      <w:r>
        <w:rPr>
          <w:color w:val="000000"/>
          <w:sz w:val="24"/>
        </w:rPr>
        <w:t>日发布公告，经公司第四届董事会第三十三次会议审议通过，同意佘川女士担任公司督察长职务；</w:t>
      </w:r>
    </w:p>
    <w:p w:rsidR="002B232B" w:rsidRDefault="0056363F">
      <w:pPr>
        <w:spacing w:before="29" w:line="288" w:lineRule="auto"/>
        <w:ind w:firstLineChars="200" w:firstLine="480"/>
        <w:rPr>
          <w:color w:val="000000"/>
          <w:sz w:val="24"/>
        </w:rPr>
      </w:pPr>
      <w:r>
        <w:rPr>
          <w:color w:val="000000"/>
          <w:sz w:val="24"/>
        </w:rPr>
        <w:t>（</w:t>
      </w:r>
      <w:r>
        <w:rPr>
          <w:color w:val="000000"/>
          <w:sz w:val="24"/>
        </w:rPr>
        <w:t>2</w:t>
      </w:r>
      <w:r>
        <w:rPr>
          <w:color w:val="000000"/>
          <w:sz w:val="24"/>
        </w:rPr>
        <w:t>）本基金管理人于</w:t>
      </w:r>
      <w:r>
        <w:rPr>
          <w:color w:val="000000"/>
          <w:sz w:val="24"/>
        </w:rPr>
        <w:t>2018</w:t>
      </w:r>
      <w:r>
        <w:rPr>
          <w:color w:val="000000"/>
          <w:sz w:val="24"/>
        </w:rPr>
        <w:t>年</w:t>
      </w:r>
      <w:r>
        <w:rPr>
          <w:color w:val="000000"/>
          <w:sz w:val="24"/>
        </w:rPr>
        <w:t>10</w:t>
      </w:r>
      <w:r>
        <w:rPr>
          <w:color w:val="000000"/>
          <w:sz w:val="24"/>
        </w:rPr>
        <w:t>月</w:t>
      </w:r>
      <w:r>
        <w:rPr>
          <w:color w:val="000000"/>
          <w:sz w:val="24"/>
        </w:rPr>
        <w:t>20</w:t>
      </w:r>
      <w:r>
        <w:rPr>
          <w:color w:val="000000"/>
          <w:sz w:val="24"/>
        </w:rPr>
        <w:t>日发布公告，经公司第五届董事会第一次会议审议通过，选举阮红女士担任公司董事长（法定代表人），并于</w:t>
      </w:r>
      <w:r>
        <w:rPr>
          <w:color w:val="000000"/>
          <w:sz w:val="24"/>
        </w:rPr>
        <w:t>2019</w:t>
      </w:r>
      <w:r>
        <w:rPr>
          <w:color w:val="000000"/>
          <w:sz w:val="24"/>
        </w:rPr>
        <w:t>年</w:t>
      </w:r>
      <w:r>
        <w:rPr>
          <w:color w:val="000000"/>
          <w:sz w:val="24"/>
        </w:rPr>
        <w:t>2</w:t>
      </w:r>
      <w:r>
        <w:rPr>
          <w:color w:val="000000"/>
          <w:sz w:val="24"/>
        </w:rPr>
        <w:t>月</w:t>
      </w:r>
      <w:r>
        <w:rPr>
          <w:color w:val="000000"/>
          <w:sz w:val="24"/>
        </w:rPr>
        <w:t>28</w:t>
      </w:r>
      <w:r>
        <w:rPr>
          <w:color w:val="000000"/>
          <w:sz w:val="24"/>
        </w:rPr>
        <w:t>日发布公告，经公司第五届董事会第五次会议审议通过，选举谢卫先生担任公司总经理，阮红女士不再担任公司总经理。期后变动敬请关注基金管理人发布的相关公告。</w:t>
      </w:r>
      <w:r>
        <w:rPr>
          <w:color w:val="000000"/>
          <w:sz w:val="24"/>
        </w:rPr>
        <w:t xml:space="preserve"> </w:t>
      </w:r>
    </w:p>
    <w:p w:rsidR="001A59F9" w:rsidRPr="00700C00" w:rsidRDefault="001A59F9" w:rsidP="00700C00">
      <w:pPr>
        <w:spacing w:before="29" w:line="288" w:lineRule="auto"/>
        <w:ind w:firstLineChars="200" w:firstLine="480"/>
        <w:rPr>
          <w:color w:val="000000"/>
          <w:sz w:val="24"/>
        </w:rPr>
      </w:pPr>
      <w:r w:rsidRPr="00700C00">
        <w:rPr>
          <w:color w:val="000000"/>
          <w:sz w:val="24"/>
        </w:rPr>
        <w:t>2</w:t>
      </w:r>
      <w:r w:rsidRPr="00700C00">
        <w:rPr>
          <w:color w:val="000000"/>
          <w:sz w:val="24"/>
        </w:rPr>
        <w:t>、基金托管人的基金托管部门的重大人事变动：本基金托管人的专门基金托管部门本报告期内未发生重大人事变动。</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8" w:name="_Toc361324896"/>
      <w:r w:rsidRPr="00245C29">
        <w:rPr>
          <w:rFonts w:ascii="Times New Roman" w:hAnsi="Times New Roman"/>
          <w:kern w:val="0"/>
          <w:szCs w:val="24"/>
        </w:rPr>
        <w:t xml:space="preserve">11.3 </w:t>
      </w:r>
      <w:r w:rsidRPr="00245C29">
        <w:rPr>
          <w:rFonts w:ascii="Times New Roman" w:hAnsi="Times New Roman" w:hint="eastAsia"/>
          <w:kern w:val="0"/>
          <w:szCs w:val="24"/>
        </w:rPr>
        <w:t>涉及基金管理人、基金财产、基金托管业务的诉讼</w:t>
      </w:r>
      <w:bookmarkEnd w:id="88"/>
    </w:p>
    <w:p w:rsidR="001A59F9" w:rsidRPr="00700C00" w:rsidRDefault="001A59F9" w:rsidP="00700C00">
      <w:pPr>
        <w:spacing w:before="29" w:line="288" w:lineRule="auto"/>
        <w:ind w:firstLineChars="200" w:firstLine="480"/>
        <w:rPr>
          <w:color w:val="000000"/>
          <w:sz w:val="24"/>
        </w:rPr>
      </w:pPr>
      <w:r w:rsidRPr="00700C00">
        <w:rPr>
          <w:color w:val="000000"/>
          <w:sz w:val="24"/>
        </w:rPr>
        <w:t>本报告期内未发生涉及本基金管理人、基金财产、基金托管业务的诉讼事项。</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89" w:name="_Toc361324897"/>
      <w:r w:rsidRPr="00245C29">
        <w:rPr>
          <w:rFonts w:ascii="Times New Roman" w:hAnsi="Times New Roman"/>
          <w:kern w:val="0"/>
          <w:szCs w:val="24"/>
        </w:rPr>
        <w:t xml:space="preserve">11.4 </w:t>
      </w:r>
      <w:r w:rsidRPr="00245C29">
        <w:rPr>
          <w:rFonts w:ascii="Times New Roman" w:hAnsi="Times New Roman" w:hint="eastAsia"/>
          <w:kern w:val="0"/>
          <w:szCs w:val="24"/>
        </w:rPr>
        <w:t>基金投资策略的改变</w:t>
      </w:r>
      <w:bookmarkEnd w:id="89"/>
    </w:p>
    <w:p w:rsidR="001A59F9" w:rsidRPr="00700C00" w:rsidRDefault="001A59F9" w:rsidP="00700C00">
      <w:pPr>
        <w:spacing w:before="29" w:line="288" w:lineRule="auto"/>
        <w:ind w:firstLineChars="200" w:firstLine="480"/>
        <w:rPr>
          <w:color w:val="000000"/>
          <w:sz w:val="24"/>
        </w:rPr>
      </w:pPr>
      <w:r w:rsidRPr="00700C00">
        <w:rPr>
          <w:color w:val="000000"/>
          <w:sz w:val="24"/>
        </w:rPr>
        <w:t>本基金本报告期内投资策略未发生改变。</w:t>
      </w:r>
    </w:p>
    <w:p w:rsidR="00087272" w:rsidRDefault="00087272" w:rsidP="00016A50">
      <w:pPr>
        <w:spacing w:line="360" w:lineRule="auto"/>
        <w:ind w:firstLineChars="200" w:firstLine="420"/>
        <w:rPr>
          <w:rFonts w:asciiTheme="minorEastAsia" w:eastAsiaTheme="minorEastAsia" w:hAnsiTheme="minorEastAsia"/>
          <w:color w:val="000000"/>
          <w:szCs w:val="21"/>
        </w:rPr>
      </w:pPr>
    </w:p>
    <w:p w:rsidR="0056363F" w:rsidRPr="0056363F" w:rsidRDefault="0056363F" w:rsidP="0056363F">
      <w:pPr>
        <w:pStyle w:val="20"/>
        <w:spacing w:before="29" w:after="0" w:line="288" w:lineRule="auto"/>
        <w:rPr>
          <w:rFonts w:ascii="Times New Roman" w:hAnsi="Times New Roman"/>
          <w:kern w:val="0"/>
          <w:szCs w:val="24"/>
        </w:rPr>
      </w:pPr>
      <w:r w:rsidRPr="0056363F">
        <w:rPr>
          <w:rFonts w:ascii="Times New Roman" w:hAnsi="Times New Roman" w:hint="eastAsia"/>
          <w:kern w:val="0"/>
          <w:szCs w:val="24"/>
        </w:rPr>
        <w:t xml:space="preserve">11.5 </w:t>
      </w:r>
      <w:r w:rsidRPr="0056363F">
        <w:rPr>
          <w:rFonts w:ascii="Times New Roman" w:hAnsi="Times New Roman" w:hint="eastAsia"/>
          <w:kern w:val="0"/>
          <w:szCs w:val="24"/>
        </w:rPr>
        <w:t>本报告期持有的基金发生的重大影响事件</w:t>
      </w:r>
    </w:p>
    <w:p w:rsidR="0056363F" w:rsidRDefault="0056363F" w:rsidP="0056363F">
      <w:pPr>
        <w:spacing w:line="360" w:lineRule="auto"/>
        <w:ind w:firstLineChars="200" w:firstLine="480"/>
        <w:rPr>
          <w:color w:val="000000"/>
          <w:sz w:val="24"/>
        </w:rPr>
      </w:pPr>
      <w:r w:rsidRPr="0056363F">
        <w:rPr>
          <w:rFonts w:hint="eastAsia"/>
          <w:color w:val="000000"/>
          <w:sz w:val="24"/>
        </w:rPr>
        <w:t>无。</w:t>
      </w:r>
    </w:p>
    <w:p w:rsidR="0056363F" w:rsidRPr="0056363F" w:rsidRDefault="0056363F" w:rsidP="0056363F">
      <w:pPr>
        <w:spacing w:line="360" w:lineRule="auto"/>
        <w:ind w:firstLineChars="200" w:firstLine="480"/>
        <w:rPr>
          <w:color w:val="000000"/>
          <w:sz w:val="24"/>
        </w:rPr>
      </w:pPr>
    </w:p>
    <w:p w:rsidR="001A59F9" w:rsidRPr="00245C29" w:rsidRDefault="001A59F9" w:rsidP="00245C29">
      <w:pPr>
        <w:pStyle w:val="20"/>
        <w:spacing w:before="29" w:after="0" w:line="288" w:lineRule="auto"/>
        <w:rPr>
          <w:rFonts w:ascii="Times New Roman" w:hAnsi="Times New Roman"/>
          <w:kern w:val="0"/>
          <w:szCs w:val="24"/>
        </w:rPr>
      </w:pPr>
      <w:bookmarkStart w:id="90" w:name="_Toc361324898"/>
      <w:r w:rsidRPr="00245C29">
        <w:rPr>
          <w:rFonts w:ascii="Times New Roman" w:hAnsi="Times New Roman"/>
          <w:kern w:val="0"/>
          <w:szCs w:val="24"/>
        </w:rPr>
        <w:t>11.</w:t>
      </w:r>
      <w:bookmarkEnd w:id="90"/>
      <w:r w:rsidR="0056363F">
        <w:rPr>
          <w:rFonts w:ascii="Times New Roman" w:hAnsi="Times New Roman"/>
          <w:kern w:val="0"/>
          <w:szCs w:val="24"/>
        </w:rPr>
        <w:t>6</w:t>
      </w:r>
      <w:r w:rsidR="001134F0" w:rsidRPr="00245C29">
        <w:rPr>
          <w:rFonts w:ascii="Times New Roman" w:hAnsi="Times New Roman" w:hint="eastAsia"/>
          <w:kern w:val="0"/>
          <w:szCs w:val="24"/>
        </w:rPr>
        <w:t>为基金进行审计的会计师事务所情况</w:t>
      </w:r>
    </w:p>
    <w:p w:rsidR="001A59F9" w:rsidRPr="00700C00" w:rsidRDefault="001A59F9" w:rsidP="00700C00">
      <w:pPr>
        <w:spacing w:before="29" w:line="288" w:lineRule="auto"/>
        <w:ind w:firstLineChars="200" w:firstLine="480"/>
        <w:rPr>
          <w:color w:val="000000"/>
          <w:sz w:val="24"/>
        </w:rPr>
      </w:pPr>
      <w:bookmarkStart w:id="91" w:name="OLE_LINK3"/>
      <w:r w:rsidRPr="00700C00">
        <w:rPr>
          <w:color w:val="000000"/>
          <w:sz w:val="24"/>
        </w:rPr>
        <w:t>本报告期内，为本基金提供审计服务的会计师事务所为普华永道中天会计师事务所</w:t>
      </w:r>
      <w:r w:rsidRPr="00700C00">
        <w:rPr>
          <w:color w:val="000000"/>
          <w:sz w:val="24"/>
        </w:rPr>
        <w:t>(</w:t>
      </w:r>
      <w:r w:rsidRPr="00700C00">
        <w:rPr>
          <w:color w:val="000000"/>
          <w:sz w:val="24"/>
        </w:rPr>
        <w:t>特殊普通合伙</w:t>
      </w:r>
      <w:r w:rsidRPr="00700C00">
        <w:rPr>
          <w:color w:val="000000"/>
          <w:sz w:val="24"/>
        </w:rPr>
        <w:t>)</w:t>
      </w:r>
      <w:r w:rsidRPr="00700C00">
        <w:rPr>
          <w:color w:val="000000"/>
          <w:sz w:val="24"/>
        </w:rPr>
        <w:t>，本期审计费为</w:t>
      </w:r>
      <w:r w:rsidRPr="00700C00">
        <w:rPr>
          <w:color w:val="000000"/>
          <w:sz w:val="24"/>
        </w:rPr>
        <w:t>80,000.00</w:t>
      </w:r>
      <w:r w:rsidRPr="00700C00">
        <w:rPr>
          <w:color w:val="000000"/>
          <w:sz w:val="24"/>
        </w:rPr>
        <w:t>元。自本基金基金合同生效以来，本基金未改聘为其审计的会计师事务所。</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2" w:name="_Toc361324899"/>
      <w:bookmarkEnd w:id="91"/>
      <w:r w:rsidRPr="00245C29">
        <w:rPr>
          <w:rFonts w:ascii="Times New Roman" w:hAnsi="Times New Roman"/>
          <w:kern w:val="0"/>
          <w:szCs w:val="24"/>
        </w:rPr>
        <w:t>11.</w:t>
      </w:r>
      <w:r w:rsidR="0056363F">
        <w:rPr>
          <w:rFonts w:ascii="Times New Roman" w:hAnsi="Times New Roman"/>
          <w:kern w:val="0"/>
          <w:szCs w:val="24"/>
        </w:rPr>
        <w:t>7</w:t>
      </w:r>
      <w:r w:rsidRPr="00245C29">
        <w:rPr>
          <w:rFonts w:ascii="Times New Roman" w:hAnsi="Times New Roman"/>
          <w:kern w:val="0"/>
          <w:szCs w:val="24"/>
        </w:rPr>
        <w:t xml:space="preserve"> </w:t>
      </w:r>
      <w:r w:rsidRPr="00245C29">
        <w:rPr>
          <w:rFonts w:ascii="Times New Roman" w:hAnsi="Times New Roman" w:hint="eastAsia"/>
          <w:kern w:val="0"/>
          <w:szCs w:val="24"/>
        </w:rPr>
        <w:t>管理人、托管人及其高级管理人员受稽查或处罚等情况</w:t>
      </w:r>
      <w:bookmarkEnd w:id="92"/>
    </w:p>
    <w:p w:rsidR="002B232B" w:rsidRDefault="0056363F">
      <w:pPr>
        <w:spacing w:before="29" w:line="288" w:lineRule="auto"/>
        <w:ind w:firstLineChars="200" w:firstLine="480"/>
        <w:rPr>
          <w:color w:val="000000"/>
          <w:sz w:val="24"/>
        </w:rPr>
      </w:pPr>
      <w:r>
        <w:rPr>
          <w:color w:val="000000"/>
          <w:sz w:val="24"/>
        </w:rPr>
        <w:t>1</w:t>
      </w:r>
      <w:r>
        <w:rPr>
          <w:color w:val="000000"/>
          <w:sz w:val="24"/>
        </w:rPr>
        <w:t>、管理人及其高级管理人员受稽查或处罚等情况</w:t>
      </w:r>
    </w:p>
    <w:p w:rsidR="002B232B" w:rsidRDefault="0056363F">
      <w:pPr>
        <w:spacing w:before="29" w:line="288" w:lineRule="auto"/>
        <w:ind w:firstLineChars="200" w:firstLine="480"/>
        <w:rPr>
          <w:color w:val="000000"/>
          <w:sz w:val="24"/>
        </w:rPr>
      </w:pPr>
      <w:r>
        <w:rPr>
          <w:color w:val="000000"/>
          <w:sz w:val="24"/>
        </w:rPr>
        <w:t>基金管理人及其高级管理人员本报告期内未受监管部门稽查或处罚。</w:t>
      </w:r>
    </w:p>
    <w:p w:rsidR="002B232B" w:rsidRDefault="0056363F">
      <w:pPr>
        <w:spacing w:before="29" w:line="288" w:lineRule="auto"/>
        <w:ind w:firstLineChars="200" w:firstLine="480"/>
        <w:rPr>
          <w:color w:val="000000"/>
          <w:sz w:val="24"/>
        </w:rPr>
      </w:pPr>
      <w:r>
        <w:rPr>
          <w:color w:val="000000"/>
          <w:sz w:val="24"/>
        </w:rPr>
        <w:t>2</w:t>
      </w:r>
      <w:r>
        <w:rPr>
          <w:color w:val="000000"/>
          <w:sz w:val="24"/>
        </w:rPr>
        <w:t>、托管人及其高级管理人员受稽查或处罚等情况</w:t>
      </w:r>
    </w:p>
    <w:p w:rsidR="001A59F9" w:rsidRPr="00700C00" w:rsidRDefault="001A59F9" w:rsidP="00700C00">
      <w:pPr>
        <w:spacing w:before="29" w:line="288" w:lineRule="auto"/>
        <w:ind w:firstLineChars="200" w:firstLine="480"/>
        <w:rPr>
          <w:color w:val="000000"/>
          <w:sz w:val="24"/>
        </w:rPr>
      </w:pPr>
      <w:r w:rsidRPr="00700C00">
        <w:rPr>
          <w:color w:val="000000"/>
          <w:sz w:val="24"/>
        </w:rPr>
        <w:t>基金托管人及其高级管理人员本报告期内未受监管部门稽查或处罚。</w:t>
      </w:r>
    </w:p>
    <w:p w:rsidR="00087272" w:rsidRPr="00C51C77" w:rsidRDefault="00087272" w:rsidP="00016A50">
      <w:pPr>
        <w:spacing w:line="360" w:lineRule="auto"/>
        <w:ind w:firstLineChars="200" w:firstLine="420"/>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bookmarkStart w:id="93" w:name="_Toc361324900"/>
      <w:r w:rsidRPr="00245C29">
        <w:rPr>
          <w:rFonts w:ascii="Times New Roman" w:hAnsi="Times New Roman"/>
          <w:kern w:val="0"/>
          <w:szCs w:val="24"/>
        </w:rPr>
        <w:lastRenderedPageBreak/>
        <w:t>11.</w:t>
      </w:r>
      <w:r w:rsidR="0056363F">
        <w:rPr>
          <w:rFonts w:ascii="Times New Roman" w:hAnsi="Times New Roman"/>
          <w:kern w:val="0"/>
          <w:szCs w:val="24"/>
        </w:rPr>
        <w:t>8</w:t>
      </w:r>
      <w:r w:rsidRPr="00245C29">
        <w:rPr>
          <w:rFonts w:ascii="Times New Roman" w:hAnsi="Times New Roman"/>
          <w:kern w:val="0"/>
          <w:szCs w:val="24"/>
        </w:rPr>
        <w:t xml:space="preserve"> </w:t>
      </w:r>
      <w:r w:rsidRPr="00245C29">
        <w:rPr>
          <w:rFonts w:ascii="Times New Roman" w:hAnsi="Times New Roman" w:hint="eastAsia"/>
          <w:kern w:val="0"/>
          <w:szCs w:val="24"/>
        </w:rPr>
        <w:t>基金租用证券公司交易单元的有关情况</w:t>
      </w:r>
      <w:bookmarkEnd w:id="93"/>
    </w:p>
    <w:p w:rsidR="001A59F9" w:rsidRPr="00245C29" w:rsidRDefault="001A59F9" w:rsidP="00245C29">
      <w:pPr>
        <w:pStyle w:val="20"/>
        <w:spacing w:before="29" w:after="0" w:line="288" w:lineRule="auto"/>
        <w:rPr>
          <w:rFonts w:ascii="Times New Roman" w:hAnsi="Times New Roman"/>
          <w:kern w:val="0"/>
          <w:szCs w:val="24"/>
        </w:rPr>
      </w:pPr>
      <w:bookmarkStart w:id="94" w:name="_Toc249760070"/>
      <w:r w:rsidRPr="00245C29">
        <w:rPr>
          <w:rFonts w:ascii="Times New Roman" w:hAnsi="Times New Roman"/>
          <w:kern w:val="0"/>
          <w:szCs w:val="24"/>
        </w:rPr>
        <w:t>11.</w:t>
      </w:r>
      <w:r w:rsidR="0056363F">
        <w:rPr>
          <w:rFonts w:ascii="Times New Roman" w:hAnsi="Times New Roman"/>
          <w:kern w:val="0"/>
          <w:szCs w:val="24"/>
        </w:rPr>
        <w:t>8</w:t>
      </w:r>
      <w:r w:rsidRPr="00245C29">
        <w:rPr>
          <w:rFonts w:ascii="Times New Roman" w:hAnsi="Times New Roman"/>
          <w:kern w:val="0"/>
          <w:szCs w:val="24"/>
        </w:rPr>
        <w:t>.1</w:t>
      </w:r>
      <w:r w:rsidRPr="00245C29">
        <w:rPr>
          <w:rFonts w:ascii="Times New Roman" w:hAnsi="Times New Roman" w:hint="eastAsia"/>
          <w:kern w:val="0"/>
          <w:szCs w:val="24"/>
        </w:rPr>
        <w:t>基金租用证券公司交易单元进行股票投资及佣金支付情况</w:t>
      </w:r>
      <w:bookmarkEnd w:id="94"/>
    </w:p>
    <w:p w:rsidR="001A59F9" w:rsidRPr="00FC1A5A" w:rsidRDefault="001A59F9" w:rsidP="00FC1A5A">
      <w:pPr>
        <w:autoSpaceDE w:val="0"/>
        <w:autoSpaceDN w:val="0"/>
        <w:adjustRightInd w:val="0"/>
        <w:spacing w:before="29" w:line="288" w:lineRule="auto"/>
        <w:ind w:left="15"/>
        <w:jc w:val="right"/>
        <w:rPr>
          <w:color w:val="000000"/>
          <w:sz w:val="24"/>
        </w:rPr>
      </w:pPr>
      <w:r w:rsidRPr="00FC1A5A">
        <w:rPr>
          <w:rFonts w:hint="eastAsia"/>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A59F9" w:rsidRPr="00465C9F" w:rsidTr="00EA2417">
        <w:tc>
          <w:tcPr>
            <w:tcW w:w="1560" w:type="dxa"/>
            <w:vMerge w:val="restart"/>
            <w:vAlign w:val="center"/>
          </w:tcPr>
          <w:p w:rsidR="001A59F9" w:rsidRPr="00465C9F" w:rsidRDefault="001A59F9" w:rsidP="00A97873">
            <w:pPr>
              <w:spacing w:before="29" w:line="288" w:lineRule="auto"/>
              <w:ind w:left="17"/>
              <w:jc w:val="center"/>
              <w:rPr>
                <w:color w:val="000000"/>
                <w:szCs w:val="21"/>
              </w:rPr>
            </w:pPr>
            <w:bookmarkStart w:id="95" w:name="_Toc249760071"/>
            <w:r w:rsidRPr="00465C9F">
              <w:rPr>
                <w:rFonts w:hint="eastAsia"/>
                <w:color w:val="000000"/>
                <w:szCs w:val="21"/>
              </w:rPr>
              <w:t>券商名称</w:t>
            </w:r>
          </w:p>
        </w:tc>
        <w:tc>
          <w:tcPr>
            <w:tcW w:w="780" w:type="dxa"/>
            <w:vMerge w:val="restart"/>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交易单元数量</w:t>
            </w:r>
          </w:p>
        </w:tc>
        <w:tc>
          <w:tcPr>
            <w:tcW w:w="288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股票交易</w:t>
            </w:r>
          </w:p>
        </w:tc>
        <w:tc>
          <w:tcPr>
            <w:tcW w:w="2700" w:type="dxa"/>
            <w:gridSpan w:val="2"/>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应支付该券商的佣金</w:t>
            </w:r>
          </w:p>
        </w:tc>
        <w:tc>
          <w:tcPr>
            <w:tcW w:w="1080" w:type="dxa"/>
            <w:vMerge w:val="restart"/>
            <w:vAlign w:val="center"/>
          </w:tcPr>
          <w:p w:rsidR="001A59F9" w:rsidRPr="00465C9F" w:rsidRDefault="001A59F9" w:rsidP="00A97873">
            <w:pPr>
              <w:spacing w:before="29" w:line="288" w:lineRule="auto"/>
              <w:ind w:left="17"/>
              <w:jc w:val="center"/>
              <w:rPr>
                <w:rFonts w:asciiTheme="minorEastAsia" w:eastAsiaTheme="minorEastAsia" w:hAnsiTheme="minorEastAsia"/>
                <w:color w:val="000000"/>
                <w:kern w:val="0"/>
                <w:szCs w:val="21"/>
              </w:rPr>
            </w:pPr>
            <w:r w:rsidRPr="00465C9F">
              <w:rPr>
                <w:rFonts w:hint="eastAsia"/>
                <w:color w:val="000000"/>
                <w:szCs w:val="21"/>
              </w:rPr>
              <w:t>备注</w:t>
            </w:r>
          </w:p>
        </w:tc>
      </w:tr>
      <w:tr w:rsidR="001A59F9" w:rsidRPr="00465C9F" w:rsidTr="00EA2417">
        <w:tc>
          <w:tcPr>
            <w:tcW w:w="900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7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szCs w:val="21"/>
              </w:rPr>
            </w:pPr>
          </w:p>
        </w:tc>
        <w:tc>
          <w:tcPr>
            <w:tcW w:w="180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占当期股票成交总额的比例</w:t>
            </w:r>
          </w:p>
        </w:tc>
        <w:tc>
          <w:tcPr>
            <w:tcW w:w="162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佣金</w:t>
            </w:r>
          </w:p>
        </w:tc>
        <w:tc>
          <w:tcPr>
            <w:tcW w:w="1080" w:type="dxa"/>
            <w:vAlign w:val="center"/>
          </w:tcPr>
          <w:p w:rsidR="001A59F9" w:rsidRPr="00465C9F" w:rsidRDefault="001A59F9" w:rsidP="00A97873">
            <w:pPr>
              <w:spacing w:before="29" w:line="288" w:lineRule="auto"/>
              <w:ind w:left="17"/>
              <w:jc w:val="center"/>
              <w:rPr>
                <w:color w:val="000000"/>
                <w:szCs w:val="21"/>
              </w:rPr>
            </w:pPr>
            <w:r w:rsidRPr="00465C9F">
              <w:rPr>
                <w:rFonts w:hint="eastAsia"/>
                <w:color w:val="000000"/>
                <w:szCs w:val="21"/>
              </w:rPr>
              <w:t>占当期佣金总量的比例</w:t>
            </w:r>
          </w:p>
        </w:tc>
        <w:tc>
          <w:tcPr>
            <w:tcW w:w="1080" w:type="dxa"/>
            <w:vMerge/>
            <w:vAlign w:val="center"/>
          </w:tcPr>
          <w:p w:rsidR="001A59F9" w:rsidRPr="00465C9F" w:rsidRDefault="001A59F9" w:rsidP="00026C9C">
            <w:pPr>
              <w:widowControl/>
              <w:spacing w:line="360" w:lineRule="auto"/>
              <w:jc w:val="left"/>
              <w:rPr>
                <w:rFonts w:asciiTheme="minorEastAsia" w:eastAsiaTheme="minorEastAsia" w:hAnsiTheme="minorEastAsia"/>
                <w:color w:val="000000"/>
                <w:kern w:val="0"/>
                <w:szCs w:val="21"/>
              </w:rPr>
            </w:pPr>
          </w:p>
        </w:tc>
      </w:tr>
      <w:tr w:rsidR="002B232B">
        <w:tc>
          <w:tcPr>
            <w:tcW w:w="1559" w:type="dxa"/>
            <w:vAlign w:val="center"/>
          </w:tcPr>
          <w:p w:rsidR="002B232B" w:rsidRDefault="0056363F">
            <w:pPr>
              <w:jc w:val="left"/>
            </w:pPr>
            <w:r>
              <w:rPr>
                <w:color w:val="000000"/>
                <w:szCs w:val="21"/>
              </w:rPr>
              <w:t>中信证券股份有限公司</w:t>
            </w:r>
          </w:p>
        </w:tc>
        <w:tc>
          <w:tcPr>
            <w:tcW w:w="779" w:type="dxa"/>
            <w:vAlign w:val="center"/>
          </w:tcPr>
          <w:p w:rsidR="002B232B" w:rsidRDefault="0056363F">
            <w:pPr>
              <w:jc w:val="right"/>
            </w:pPr>
            <w:r>
              <w:rPr>
                <w:color w:val="000000"/>
                <w:szCs w:val="21"/>
              </w:rPr>
              <w:t>1</w:t>
            </w:r>
          </w:p>
        </w:tc>
        <w:tc>
          <w:tcPr>
            <w:tcW w:w="1800" w:type="dxa"/>
            <w:vAlign w:val="center"/>
          </w:tcPr>
          <w:p w:rsidR="002B232B" w:rsidRDefault="0056363F">
            <w:pPr>
              <w:jc w:val="right"/>
            </w:pPr>
            <w:r>
              <w:rPr>
                <w:color w:val="000000"/>
                <w:szCs w:val="21"/>
              </w:rPr>
              <w:t>875,863,296.20</w:t>
            </w:r>
          </w:p>
        </w:tc>
        <w:tc>
          <w:tcPr>
            <w:tcW w:w="1080" w:type="dxa"/>
            <w:vAlign w:val="center"/>
          </w:tcPr>
          <w:p w:rsidR="002B232B" w:rsidRDefault="0056363F">
            <w:pPr>
              <w:jc w:val="right"/>
            </w:pPr>
            <w:r>
              <w:rPr>
                <w:color w:val="000000"/>
                <w:szCs w:val="21"/>
              </w:rPr>
              <w:t>25.19%</w:t>
            </w:r>
          </w:p>
        </w:tc>
        <w:tc>
          <w:tcPr>
            <w:tcW w:w="1620" w:type="dxa"/>
            <w:vAlign w:val="center"/>
          </w:tcPr>
          <w:p w:rsidR="002B232B" w:rsidRDefault="0056363F">
            <w:pPr>
              <w:jc w:val="right"/>
            </w:pPr>
            <w:r>
              <w:rPr>
                <w:color w:val="000000"/>
                <w:szCs w:val="21"/>
              </w:rPr>
              <w:t>815,694.41</w:t>
            </w:r>
          </w:p>
        </w:tc>
        <w:tc>
          <w:tcPr>
            <w:tcW w:w="1080" w:type="dxa"/>
            <w:vAlign w:val="center"/>
          </w:tcPr>
          <w:p w:rsidR="002B232B" w:rsidRDefault="0056363F">
            <w:pPr>
              <w:jc w:val="right"/>
            </w:pPr>
            <w:r>
              <w:rPr>
                <w:color w:val="000000"/>
                <w:szCs w:val="21"/>
              </w:rPr>
              <w:t>25.18%</w:t>
            </w:r>
          </w:p>
        </w:tc>
        <w:tc>
          <w:tcPr>
            <w:tcW w:w="1080" w:type="dxa"/>
            <w:vAlign w:val="center"/>
          </w:tcPr>
          <w:p w:rsidR="002B232B" w:rsidRDefault="0056363F">
            <w:pPr>
              <w:jc w:val="left"/>
            </w:pPr>
            <w:r>
              <w:rPr>
                <w:color w:val="000000"/>
                <w:szCs w:val="21"/>
              </w:rPr>
              <w:t>-</w:t>
            </w:r>
          </w:p>
        </w:tc>
      </w:tr>
      <w:tr w:rsidR="002B232B">
        <w:tc>
          <w:tcPr>
            <w:tcW w:w="1559" w:type="dxa"/>
            <w:vAlign w:val="center"/>
          </w:tcPr>
          <w:p w:rsidR="002B232B" w:rsidRDefault="0056363F">
            <w:pPr>
              <w:jc w:val="left"/>
            </w:pPr>
            <w:r>
              <w:rPr>
                <w:color w:val="000000"/>
                <w:szCs w:val="21"/>
              </w:rPr>
              <w:t>中泰证券股份有限公司</w:t>
            </w:r>
          </w:p>
        </w:tc>
        <w:tc>
          <w:tcPr>
            <w:tcW w:w="779" w:type="dxa"/>
            <w:vAlign w:val="center"/>
          </w:tcPr>
          <w:p w:rsidR="002B232B" w:rsidRDefault="0056363F">
            <w:pPr>
              <w:jc w:val="right"/>
            </w:pPr>
            <w:r>
              <w:rPr>
                <w:color w:val="000000"/>
                <w:szCs w:val="21"/>
              </w:rPr>
              <w:t>2</w:t>
            </w:r>
          </w:p>
        </w:tc>
        <w:tc>
          <w:tcPr>
            <w:tcW w:w="1800" w:type="dxa"/>
            <w:vAlign w:val="center"/>
          </w:tcPr>
          <w:p w:rsidR="002B232B" w:rsidRDefault="0056363F">
            <w:pPr>
              <w:jc w:val="right"/>
            </w:pPr>
            <w:r>
              <w:rPr>
                <w:color w:val="000000"/>
                <w:szCs w:val="21"/>
              </w:rPr>
              <w:t>781,207,579.92</w:t>
            </w:r>
          </w:p>
        </w:tc>
        <w:tc>
          <w:tcPr>
            <w:tcW w:w="1080" w:type="dxa"/>
            <w:vAlign w:val="center"/>
          </w:tcPr>
          <w:p w:rsidR="002B232B" w:rsidRDefault="0056363F">
            <w:pPr>
              <w:jc w:val="right"/>
            </w:pPr>
            <w:r>
              <w:rPr>
                <w:color w:val="000000"/>
                <w:szCs w:val="21"/>
              </w:rPr>
              <w:t>22.47%</w:t>
            </w:r>
          </w:p>
        </w:tc>
        <w:tc>
          <w:tcPr>
            <w:tcW w:w="1620" w:type="dxa"/>
            <w:vAlign w:val="center"/>
          </w:tcPr>
          <w:p w:rsidR="002B232B" w:rsidRDefault="0056363F">
            <w:pPr>
              <w:jc w:val="right"/>
            </w:pPr>
            <w:r>
              <w:rPr>
                <w:color w:val="000000"/>
                <w:szCs w:val="21"/>
              </w:rPr>
              <w:t>727,538.92</w:t>
            </w:r>
          </w:p>
        </w:tc>
        <w:tc>
          <w:tcPr>
            <w:tcW w:w="1080" w:type="dxa"/>
            <w:vAlign w:val="center"/>
          </w:tcPr>
          <w:p w:rsidR="002B232B" w:rsidRDefault="0056363F">
            <w:pPr>
              <w:jc w:val="right"/>
            </w:pPr>
            <w:r>
              <w:rPr>
                <w:color w:val="000000"/>
                <w:szCs w:val="21"/>
              </w:rPr>
              <w:t>22.46%</w:t>
            </w:r>
          </w:p>
        </w:tc>
        <w:tc>
          <w:tcPr>
            <w:tcW w:w="1080" w:type="dxa"/>
            <w:vAlign w:val="center"/>
          </w:tcPr>
          <w:p w:rsidR="002B232B" w:rsidRDefault="0056363F">
            <w:pPr>
              <w:jc w:val="left"/>
            </w:pPr>
            <w:r>
              <w:rPr>
                <w:color w:val="000000"/>
                <w:szCs w:val="21"/>
              </w:rPr>
              <w:t>-</w:t>
            </w:r>
          </w:p>
        </w:tc>
      </w:tr>
      <w:tr w:rsidR="002B232B">
        <w:tc>
          <w:tcPr>
            <w:tcW w:w="1559" w:type="dxa"/>
            <w:vAlign w:val="center"/>
          </w:tcPr>
          <w:p w:rsidR="002B232B" w:rsidRDefault="0056363F">
            <w:pPr>
              <w:jc w:val="left"/>
            </w:pPr>
            <w:r>
              <w:rPr>
                <w:color w:val="000000"/>
                <w:szCs w:val="21"/>
              </w:rPr>
              <w:t>安信证券股份有限公司</w:t>
            </w:r>
          </w:p>
        </w:tc>
        <w:tc>
          <w:tcPr>
            <w:tcW w:w="779" w:type="dxa"/>
            <w:vAlign w:val="center"/>
          </w:tcPr>
          <w:p w:rsidR="002B232B" w:rsidRDefault="0056363F">
            <w:pPr>
              <w:jc w:val="right"/>
            </w:pPr>
            <w:r>
              <w:rPr>
                <w:color w:val="000000"/>
                <w:szCs w:val="21"/>
              </w:rPr>
              <w:t>2</w:t>
            </w:r>
          </w:p>
        </w:tc>
        <w:tc>
          <w:tcPr>
            <w:tcW w:w="1800" w:type="dxa"/>
            <w:vAlign w:val="center"/>
          </w:tcPr>
          <w:p w:rsidR="002B232B" w:rsidRDefault="0056363F">
            <w:pPr>
              <w:jc w:val="right"/>
            </w:pPr>
            <w:r>
              <w:rPr>
                <w:color w:val="000000"/>
                <w:szCs w:val="21"/>
              </w:rPr>
              <w:t>513,370,943.60</w:t>
            </w:r>
          </w:p>
        </w:tc>
        <w:tc>
          <w:tcPr>
            <w:tcW w:w="1080" w:type="dxa"/>
            <w:vAlign w:val="center"/>
          </w:tcPr>
          <w:p w:rsidR="002B232B" w:rsidRDefault="0056363F">
            <w:pPr>
              <w:jc w:val="right"/>
            </w:pPr>
            <w:r>
              <w:rPr>
                <w:color w:val="000000"/>
                <w:szCs w:val="21"/>
              </w:rPr>
              <w:t>14.76%</w:t>
            </w:r>
          </w:p>
        </w:tc>
        <w:tc>
          <w:tcPr>
            <w:tcW w:w="1620" w:type="dxa"/>
            <w:vAlign w:val="center"/>
          </w:tcPr>
          <w:p w:rsidR="002B232B" w:rsidRDefault="0056363F">
            <w:pPr>
              <w:jc w:val="right"/>
            </w:pPr>
            <w:r>
              <w:rPr>
                <w:color w:val="000000"/>
                <w:szCs w:val="21"/>
              </w:rPr>
              <w:t>478,826.94</w:t>
            </w:r>
          </w:p>
        </w:tc>
        <w:tc>
          <w:tcPr>
            <w:tcW w:w="1080" w:type="dxa"/>
            <w:vAlign w:val="center"/>
          </w:tcPr>
          <w:p w:rsidR="002B232B" w:rsidRDefault="0056363F">
            <w:pPr>
              <w:jc w:val="right"/>
            </w:pPr>
            <w:r>
              <w:rPr>
                <w:color w:val="000000"/>
                <w:szCs w:val="21"/>
              </w:rPr>
              <w:t>14.78%</w:t>
            </w:r>
          </w:p>
        </w:tc>
        <w:tc>
          <w:tcPr>
            <w:tcW w:w="1080" w:type="dxa"/>
            <w:vAlign w:val="center"/>
          </w:tcPr>
          <w:p w:rsidR="002B232B" w:rsidRDefault="0056363F">
            <w:pPr>
              <w:jc w:val="left"/>
            </w:pPr>
            <w:r>
              <w:rPr>
                <w:color w:val="000000"/>
                <w:szCs w:val="21"/>
              </w:rPr>
              <w:t>-</w:t>
            </w:r>
          </w:p>
        </w:tc>
      </w:tr>
      <w:tr w:rsidR="002B232B">
        <w:tc>
          <w:tcPr>
            <w:tcW w:w="1559" w:type="dxa"/>
            <w:vAlign w:val="center"/>
          </w:tcPr>
          <w:p w:rsidR="002B232B" w:rsidRDefault="0056363F">
            <w:pPr>
              <w:jc w:val="left"/>
            </w:pPr>
            <w:r>
              <w:rPr>
                <w:color w:val="000000"/>
                <w:szCs w:val="21"/>
              </w:rPr>
              <w:t>新时代证券股份有限公司</w:t>
            </w:r>
          </w:p>
        </w:tc>
        <w:tc>
          <w:tcPr>
            <w:tcW w:w="779" w:type="dxa"/>
            <w:vAlign w:val="center"/>
          </w:tcPr>
          <w:p w:rsidR="002B232B" w:rsidRDefault="0056363F">
            <w:pPr>
              <w:jc w:val="right"/>
            </w:pPr>
            <w:r>
              <w:rPr>
                <w:color w:val="000000"/>
                <w:szCs w:val="21"/>
              </w:rPr>
              <w:t>1</w:t>
            </w:r>
          </w:p>
        </w:tc>
        <w:tc>
          <w:tcPr>
            <w:tcW w:w="1800" w:type="dxa"/>
            <w:vAlign w:val="center"/>
          </w:tcPr>
          <w:p w:rsidR="002B232B" w:rsidRDefault="0056363F">
            <w:pPr>
              <w:jc w:val="right"/>
            </w:pPr>
            <w:r>
              <w:rPr>
                <w:color w:val="000000"/>
                <w:szCs w:val="21"/>
              </w:rPr>
              <w:t>173,213,306.58</w:t>
            </w:r>
          </w:p>
        </w:tc>
        <w:tc>
          <w:tcPr>
            <w:tcW w:w="1080" w:type="dxa"/>
            <w:vAlign w:val="center"/>
          </w:tcPr>
          <w:p w:rsidR="002B232B" w:rsidRDefault="0056363F">
            <w:pPr>
              <w:jc w:val="right"/>
            </w:pPr>
            <w:r>
              <w:rPr>
                <w:color w:val="000000"/>
                <w:szCs w:val="21"/>
              </w:rPr>
              <w:t>4.98%</w:t>
            </w:r>
          </w:p>
        </w:tc>
        <w:tc>
          <w:tcPr>
            <w:tcW w:w="1620" w:type="dxa"/>
            <w:vAlign w:val="center"/>
          </w:tcPr>
          <w:p w:rsidR="002B232B" w:rsidRDefault="0056363F">
            <w:pPr>
              <w:jc w:val="right"/>
            </w:pPr>
            <w:r>
              <w:rPr>
                <w:color w:val="000000"/>
                <w:szCs w:val="21"/>
              </w:rPr>
              <w:t>161,314.78</w:t>
            </w:r>
          </w:p>
        </w:tc>
        <w:tc>
          <w:tcPr>
            <w:tcW w:w="1080" w:type="dxa"/>
            <w:vAlign w:val="center"/>
          </w:tcPr>
          <w:p w:rsidR="002B232B" w:rsidRDefault="0056363F">
            <w:pPr>
              <w:jc w:val="right"/>
            </w:pPr>
            <w:r>
              <w:rPr>
                <w:color w:val="000000"/>
                <w:szCs w:val="21"/>
              </w:rPr>
              <w:t>4.98%</w:t>
            </w:r>
          </w:p>
        </w:tc>
        <w:tc>
          <w:tcPr>
            <w:tcW w:w="1080" w:type="dxa"/>
            <w:vAlign w:val="center"/>
          </w:tcPr>
          <w:p w:rsidR="002B232B" w:rsidRDefault="0056363F">
            <w:pPr>
              <w:jc w:val="left"/>
            </w:pPr>
            <w:r>
              <w:rPr>
                <w:color w:val="000000"/>
                <w:szCs w:val="21"/>
              </w:rPr>
              <w:t>-</w:t>
            </w:r>
          </w:p>
        </w:tc>
      </w:tr>
      <w:tr w:rsidR="002B232B">
        <w:tc>
          <w:tcPr>
            <w:tcW w:w="1559" w:type="dxa"/>
            <w:vAlign w:val="center"/>
          </w:tcPr>
          <w:p w:rsidR="002B232B" w:rsidRDefault="0056363F">
            <w:pPr>
              <w:jc w:val="left"/>
            </w:pPr>
            <w:r>
              <w:rPr>
                <w:color w:val="000000"/>
                <w:szCs w:val="21"/>
              </w:rPr>
              <w:t>国金证券股份有限公司</w:t>
            </w:r>
          </w:p>
        </w:tc>
        <w:tc>
          <w:tcPr>
            <w:tcW w:w="779" w:type="dxa"/>
            <w:vAlign w:val="center"/>
          </w:tcPr>
          <w:p w:rsidR="002B232B" w:rsidRDefault="0056363F">
            <w:pPr>
              <w:jc w:val="right"/>
            </w:pPr>
            <w:r>
              <w:rPr>
                <w:color w:val="000000"/>
                <w:szCs w:val="21"/>
              </w:rPr>
              <w:t>2</w:t>
            </w:r>
          </w:p>
        </w:tc>
        <w:tc>
          <w:tcPr>
            <w:tcW w:w="1800" w:type="dxa"/>
            <w:vAlign w:val="center"/>
          </w:tcPr>
          <w:p w:rsidR="002B232B" w:rsidRDefault="0056363F">
            <w:pPr>
              <w:jc w:val="right"/>
            </w:pPr>
            <w:r>
              <w:rPr>
                <w:color w:val="000000"/>
                <w:szCs w:val="21"/>
              </w:rPr>
              <w:t>1,133,379,483.04</w:t>
            </w:r>
          </w:p>
        </w:tc>
        <w:tc>
          <w:tcPr>
            <w:tcW w:w="1080" w:type="dxa"/>
            <w:vAlign w:val="center"/>
          </w:tcPr>
          <w:p w:rsidR="002B232B" w:rsidRDefault="0056363F">
            <w:pPr>
              <w:jc w:val="right"/>
            </w:pPr>
            <w:r>
              <w:rPr>
                <w:color w:val="000000"/>
                <w:szCs w:val="21"/>
              </w:rPr>
              <w:t>32.60%</w:t>
            </w:r>
          </w:p>
        </w:tc>
        <w:tc>
          <w:tcPr>
            <w:tcW w:w="1620" w:type="dxa"/>
            <w:vAlign w:val="center"/>
          </w:tcPr>
          <w:p w:rsidR="002B232B" w:rsidRDefault="0056363F">
            <w:pPr>
              <w:jc w:val="right"/>
            </w:pPr>
            <w:r>
              <w:rPr>
                <w:color w:val="000000"/>
                <w:szCs w:val="21"/>
              </w:rPr>
              <w:t>1,055,514.31</w:t>
            </w:r>
          </w:p>
        </w:tc>
        <w:tc>
          <w:tcPr>
            <w:tcW w:w="1080" w:type="dxa"/>
            <w:vAlign w:val="center"/>
          </w:tcPr>
          <w:p w:rsidR="002B232B" w:rsidRDefault="0056363F">
            <w:pPr>
              <w:jc w:val="right"/>
            </w:pPr>
            <w:r>
              <w:rPr>
                <w:color w:val="000000"/>
                <w:szCs w:val="21"/>
              </w:rPr>
              <w:t>32.59%</w:t>
            </w:r>
          </w:p>
        </w:tc>
        <w:tc>
          <w:tcPr>
            <w:tcW w:w="1080" w:type="dxa"/>
            <w:vAlign w:val="center"/>
          </w:tcPr>
          <w:p w:rsidR="002B232B" w:rsidRDefault="0056363F">
            <w:pPr>
              <w:jc w:val="left"/>
            </w:pPr>
            <w:r>
              <w:rPr>
                <w:color w:val="000000"/>
                <w:szCs w:val="21"/>
              </w:rPr>
              <w:t>-</w:t>
            </w:r>
          </w:p>
        </w:tc>
      </w:tr>
    </w:tbl>
    <w:p w:rsidR="001A59F9" w:rsidRPr="00C51C77" w:rsidRDefault="001A59F9" w:rsidP="00026C9C">
      <w:pPr>
        <w:spacing w:line="360" w:lineRule="auto"/>
        <w:rPr>
          <w:rFonts w:asciiTheme="minorEastAsia" w:eastAsiaTheme="minorEastAsia" w:hAnsiTheme="minorEastAsia"/>
          <w:color w:val="000000"/>
          <w:szCs w:val="21"/>
        </w:rPr>
      </w:pPr>
    </w:p>
    <w:p w:rsidR="001A59F9" w:rsidRPr="00245C29" w:rsidRDefault="001A59F9" w:rsidP="00245C29">
      <w:pPr>
        <w:pStyle w:val="20"/>
        <w:spacing w:before="29" w:after="0" w:line="288" w:lineRule="auto"/>
        <w:rPr>
          <w:rFonts w:ascii="Times New Roman" w:hAnsi="Times New Roman"/>
          <w:kern w:val="0"/>
          <w:szCs w:val="24"/>
        </w:rPr>
      </w:pPr>
      <w:r w:rsidRPr="00245C29">
        <w:rPr>
          <w:rFonts w:ascii="Times New Roman" w:hAnsi="Times New Roman"/>
          <w:kern w:val="0"/>
          <w:szCs w:val="24"/>
        </w:rPr>
        <w:t>11.</w:t>
      </w:r>
      <w:r w:rsidR="0056363F">
        <w:rPr>
          <w:rFonts w:ascii="Times New Roman" w:hAnsi="Times New Roman"/>
          <w:kern w:val="0"/>
          <w:szCs w:val="24"/>
        </w:rPr>
        <w:t>8</w:t>
      </w:r>
      <w:r w:rsidRPr="00245C29">
        <w:rPr>
          <w:rFonts w:ascii="Times New Roman" w:hAnsi="Times New Roman"/>
          <w:kern w:val="0"/>
          <w:szCs w:val="24"/>
        </w:rPr>
        <w:t>.2</w:t>
      </w:r>
      <w:r w:rsidR="009153A3" w:rsidRPr="00245C29">
        <w:rPr>
          <w:rFonts w:ascii="Times New Roman" w:hAnsi="Times New Roman" w:hint="eastAsia"/>
          <w:kern w:val="0"/>
          <w:szCs w:val="24"/>
        </w:rPr>
        <w:t xml:space="preserve"> </w:t>
      </w:r>
      <w:r w:rsidRPr="00245C29">
        <w:rPr>
          <w:rFonts w:ascii="Times New Roman" w:hAnsi="Times New Roman" w:hint="eastAsia"/>
          <w:kern w:val="0"/>
          <w:szCs w:val="24"/>
        </w:rPr>
        <w:t>基金租用证券公司交易单元进行其他证券投资的情况</w:t>
      </w:r>
      <w:bookmarkEnd w:id="95"/>
    </w:p>
    <w:p w:rsidR="001A59F9" w:rsidRPr="00FC1A5A" w:rsidRDefault="001A59F9" w:rsidP="00FC1A5A">
      <w:pPr>
        <w:autoSpaceDE w:val="0"/>
        <w:autoSpaceDN w:val="0"/>
        <w:adjustRightInd w:val="0"/>
        <w:spacing w:before="29" w:line="288" w:lineRule="auto"/>
        <w:ind w:left="15"/>
        <w:jc w:val="right"/>
        <w:rPr>
          <w:color w:val="000000"/>
          <w:sz w:val="24"/>
        </w:rPr>
      </w:pPr>
      <w:bookmarkStart w:id="96" w:name="_Toc249707408"/>
      <w:r w:rsidRPr="00FC1A5A">
        <w:rPr>
          <w:rFonts w:hint="eastAsia"/>
          <w:color w:val="000000"/>
          <w:sz w:val="24"/>
        </w:rPr>
        <w:t>金额单位：人民币元</w:t>
      </w:r>
      <w:bookmarkEnd w:id="9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1319"/>
        <w:gridCol w:w="1080"/>
        <w:gridCol w:w="1143"/>
        <w:gridCol w:w="1197"/>
        <w:gridCol w:w="1497"/>
        <w:gridCol w:w="1203"/>
      </w:tblGrid>
      <w:tr w:rsidR="009A36E4" w:rsidRPr="00465C9F" w:rsidTr="009D6BB6">
        <w:tc>
          <w:tcPr>
            <w:tcW w:w="1559" w:type="dxa"/>
            <w:vMerge w:val="restart"/>
            <w:vAlign w:val="center"/>
          </w:tcPr>
          <w:p w:rsidR="009A36E4" w:rsidRPr="00465C9F" w:rsidRDefault="009A36E4" w:rsidP="00A97873">
            <w:pPr>
              <w:spacing w:before="29" w:line="288" w:lineRule="auto"/>
              <w:ind w:left="17"/>
              <w:jc w:val="center"/>
              <w:rPr>
                <w:color w:val="000000"/>
                <w:szCs w:val="21"/>
              </w:rPr>
            </w:pPr>
            <w:bookmarkStart w:id="97" w:name="_Toc361324902"/>
            <w:r w:rsidRPr="00465C9F">
              <w:rPr>
                <w:rFonts w:hint="eastAsia"/>
                <w:color w:val="000000"/>
                <w:szCs w:val="21"/>
              </w:rPr>
              <w:t>券商名称</w:t>
            </w:r>
          </w:p>
        </w:tc>
        <w:tc>
          <w:tcPr>
            <w:tcW w:w="2399"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债券交易</w:t>
            </w:r>
          </w:p>
        </w:tc>
        <w:tc>
          <w:tcPr>
            <w:tcW w:w="234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回购交易</w:t>
            </w:r>
          </w:p>
        </w:tc>
        <w:tc>
          <w:tcPr>
            <w:tcW w:w="2700" w:type="dxa"/>
            <w:gridSpan w:val="2"/>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权证交易</w:t>
            </w:r>
          </w:p>
        </w:tc>
      </w:tr>
      <w:tr w:rsidR="009A36E4" w:rsidRPr="00465C9F" w:rsidTr="009D6BB6">
        <w:tc>
          <w:tcPr>
            <w:tcW w:w="1559" w:type="dxa"/>
            <w:vMerge/>
            <w:vAlign w:val="center"/>
          </w:tcPr>
          <w:p w:rsidR="009A36E4" w:rsidRPr="00465C9F" w:rsidRDefault="009A36E4" w:rsidP="00A97873">
            <w:pPr>
              <w:spacing w:before="29" w:line="288" w:lineRule="auto"/>
              <w:ind w:left="17"/>
              <w:jc w:val="center"/>
              <w:rPr>
                <w:color w:val="000000"/>
                <w:szCs w:val="21"/>
              </w:rPr>
            </w:pPr>
          </w:p>
        </w:tc>
        <w:tc>
          <w:tcPr>
            <w:tcW w:w="1319"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080"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占当期债券成交总额的比例</w:t>
            </w:r>
          </w:p>
        </w:tc>
        <w:tc>
          <w:tcPr>
            <w:tcW w:w="114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1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占当期回购成交总额的比例</w:t>
            </w:r>
          </w:p>
        </w:tc>
        <w:tc>
          <w:tcPr>
            <w:tcW w:w="1497"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成交金额</w:t>
            </w:r>
          </w:p>
        </w:tc>
        <w:tc>
          <w:tcPr>
            <w:tcW w:w="1203" w:type="dxa"/>
            <w:vAlign w:val="center"/>
          </w:tcPr>
          <w:p w:rsidR="009A36E4" w:rsidRPr="00465C9F" w:rsidRDefault="009A36E4" w:rsidP="00A97873">
            <w:pPr>
              <w:spacing w:before="29" w:line="288" w:lineRule="auto"/>
              <w:ind w:left="17"/>
              <w:jc w:val="center"/>
              <w:rPr>
                <w:color w:val="000000"/>
                <w:szCs w:val="21"/>
              </w:rPr>
            </w:pPr>
            <w:r w:rsidRPr="00465C9F">
              <w:rPr>
                <w:rFonts w:hint="eastAsia"/>
                <w:color w:val="000000"/>
                <w:szCs w:val="21"/>
              </w:rPr>
              <w:t>占当期权证成交总额的比例</w:t>
            </w:r>
          </w:p>
        </w:tc>
      </w:tr>
      <w:tr w:rsidR="002B232B">
        <w:tc>
          <w:tcPr>
            <w:tcW w:w="1559" w:type="dxa"/>
            <w:vAlign w:val="center"/>
          </w:tcPr>
          <w:p w:rsidR="002B232B" w:rsidRDefault="0056363F">
            <w:pPr>
              <w:jc w:val="left"/>
            </w:pPr>
            <w:r>
              <w:rPr>
                <w:color w:val="000000"/>
                <w:szCs w:val="21"/>
              </w:rPr>
              <w:t>中泰证券股份有限公司</w:t>
            </w:r>
          </w:p>
        </w:tc>
        <w:tc>
          <w:tcPr>
            <w:tcW w:w="1319" w:type="dxa"/>
            <w:vAlign w:val="center"/>
          </w:tcPr>
          <w:p w:rsidR="002B232B" w:rsidRDefault="0056363F">
            <w:pPr>
              <w:jc w:val="right"/>
            </w:pPr>
            <w:r>
              <w:rPr>
                <w:color w:val="000000"/>
                <w:szCs w:val="21"/>
              </w:rPr>
              <w:t>9,103,717.65</w:t>
            </w:r>
          </w:p>
        </w:tc>
        <w:tc>
          <w:tcPr>
            <w:tcW w:w="1080" w:type="dxa"/>
            <w:vAlign w:val="center"/>
          </w:tcPr>
          <w:p w:rsidR="002B232B" w:rsidRDefault="0056363F">
            <w:pPr>
              <w:jc w:val="right"/>
            </w:pPr>
            <w:r>
              <w:rPr>
                <w:color w:val="000000"/>
                <w:szCs w:val="21"/>
              </w:rPr>
              <w:t>10.70%</w:t>
            </w:r>
          </w:p>
        </w:tc>
        <w:tc>
          <w:tcPr>
            <w:tcW w:w="1143" w:type="dxa"/>
            <w:vAlign w:val="center"/>
          </w:tcPr>
          <w:p w:rsidR="002B232B" w:rsidRDefault="0056363F">
            <w:pPr>
              <w:jc w:val="right"/>
            </w:pPr>
            <w:r>
              <w:rPr>
                <w:color w:val="000000"/>
                <w:szCs w:val="21"/>
              </w:rPr>
              <w:t>-</w:t>
            </w:r>
          </w:p>
        </w:tc>
        <w:tc>
          <w:tcPr>
            <w:tcW w:w="1197" w:type="dxa"/>
            <w:vAlign w:val="center"/>
          </w:tcPr>
          <w:p w:rsidR="002B232B" w:rsidRDefault="0056363F">
            <w:pPr>
              <w:jc w:val="right"/>
            </w:pPr>
            <w:r>
              <w:rPr>
                <w:color w:val="000000"/>
                <w:szCs w:val="21"/>
              </w:rPr>
              <w:t>-</w:t>
            </w:r>
          </w:p>
        </w:tc>
        <w:tc>
          <w:tcPr>
            <w:tcW w:w="1497" w:type="dxa"/>
            <w:vAlign w:val="center"/>
          </w:tcPr>
          <w:p w:rsidR="002B232B" w:rsidRDefault="0056363F">
            <w:pPr>
              <w:jc w:val="right"/>
            </w:pPr>
            <w:r>
              <w:rPr>
                <w:color w:val="000000"/>
                <w:szCs w:val="21"/>
              </w:rPr>
              <w:t>-</w:t>
            </w:r>
          </w:p>
        </w:tc>
        <w:tc>
          <w:tcPr>
            <w:tcW w:w="1203" w:type="dxa"/>
            <w:vAlign w:val="center"/>
          </w:tcPr>
          <w:p w:rsidR="002B232B" w:rsidRDefault="0056363F">
            <w:pPr>
              <w:jc w:val="right"/>
            </w:pPr>
            <w:r>
              <w:rPr>
                <w:color w:val="000000"/>
                <w:szCs w:val="21"/>
              </w:rPr>
              <w:t>-</w:t>
            </w:r>
          </w:p>
        </w:tc>
      </w:tr>
      <w:tr w:rsidR="002B232B">
        <w:tc>
          <w:tcPr>
            <w:tcW w:w="1559" w:type="dxa"/>
            <w:vAlign w:val="center"/>
          </w:tcPr>
          <w:p w:rsidR="002B232B" w:rsidRDefault="0056363F">
            <w:pPr>
              <w:jc w:val="left"/>
            </w:pPr>
            <w:r>
              <w:rPr>
                <w:color w:val="000000"/>
                <w:szCs w:val="21"/>
              </w:rPr>
              <w:t>安信证券股份有限公司</w:t>
            </w:r>
          </w:p>
        </w:tc>
        <w:tc>
          <w:tcPr>
            <w:tcW w:w="1319" w:type="dxa"/>
            <w:vAlign w:val="center"/>
          </w:tcPr>
          <w:p w:rsidR="002B232B" w:rsidRDefault="0056363F">
            <w:pPr>
              <w:jc w:val="right"/>
            </w:pPr>
            <w:r>
              <w:rPr>
                <w:color w:val="000000"/>
                <w:szCs w:val="21"/>
              </w:rPr>
              <w:t>11,230,191.59</w:t>
            </w:r>
          </w:p>
        </w:tc>
        <w:tc>
          <w:tcPr>
            <w:tcW w:w="1080" w:type="dxa"/>
            <w:vAlign w:val="center"/>
          </w:tcPr>
          <w:p w:rsidR="002B232B" w:rsidRDefault="0056363F">
            <w:pPr>
              <w:jc w:val="right"/>
            </w:pPr>
            <w:r>
              <w:rPr>
                <w:color w:val="000000"/>
                <w:szCs w:val="21"/>
              </w:rPr>
              <w:t>13.20%</w:t>
            </w:r>
          </w:p>
        </w:tc>
        <w:tc>
          <w:tcPr>
            <w:tcW w:w="1143" w:type="dxa"/>
            <w:vAlign w:val="center"/>
          </w:tcPr>
          <w:p w:rsidR="002B232B" w:rsidRDefault="0056363F">
            <w:pPr>
              <w:jc w:val="right"/>
            </w:pPr>
            <w:r>
              <w:rPr>
                <w:color w:val="000000"/>
                <w:szCs w:val="21"/>
              </w:rPr>
              <w:t>-</w:t>
            </w:r>
          </w:p>
        </w:tc>
        <w:tc>
          <w:tcPr>
            <w:tcW w:w="1197" w:type="dxa"/>
            <w:vAlign w:val="center"/>
          </w:tcPr>
          <w:p w:rsidR="002B232B" w:rsidRDefault="0056363F">
            <w:pPr>
              <w:jc w:val="right"/>
            </w:pPr>
            <w:r>
              <w:rPr>
                <w:color w:val="000000"/>
                <w:szCs w:val="21"/>
              </w:rPr>
              <w:t>-</w:t>
            </w:r>
          </w:p>
        </w:tc>
        <w:tc>
          <w:tcPr>
            <w:tcW w:w="1497" w:type="dxa"/>
            <w:vAlign w:val="center"/>
          </w:tcPr>
          <w:p w:rsidR="002B232B" w:rsidRDefault="0056363F">
            <w:pPr>
              <w:jc w:val="right"/>
            </w:pPr>
            <w:r>
              <w:rPr>
                <w:color w:val="000000"/>
                <w:szCs w:val="21"/>
              </w:rPr>
              <w:t>-</w:t>
            </w:r>
          </w:p>
        </w:tc>
        <w:tc>
          <w:tcPr>
            <w:tcW w:w="1203" w:type="dxa"/>
            <w:vAlign w:val="center"/>
          </w:tcPr>
          <w:p w:rsidR="002B232B" w:rsidRDefault="0056363F">
            <w:pPr>
              <w:jc w:val="right"/>
            </w:pPr>
            <w:r>
              <w:rPr>
                <w:color w:val="000000"/>
                <w:szCs w:val="21"/>
              </w:rPr>
              <w:t>-</w:t>
            </w:r>
          </w:p>
        </w:tc>
      </w:tr>
      <w:tr w:rsidR="002B232B">
        <w:tc>
          <w:tcPr>
            <w:tcW w:w="1559" w:type="dxa"/>
            <w:vAlign w:val="center"/>
          </w:tcPr>
          <w:p w:rsidR="002B232B" w:rsidRDefault="0056363F">
            <w:pPr>
              <w:jc w:val="left"/>
            </w:pPr>
            <w:r>
              <w:rPr>
                <w:color w:val="000000"/>
                <w:szCs w:val="21"/>
              </w:rPr>
              <w:t>国金证券股份有限公司</w:t>
            </w:r>
          </w:p>
        </w:tc>
        <w:tc>
          <w:tcPr>
            <w:tcW w:w="1319" w:type="dxa"/>
            <w:vAlign w:val="center"/>
          </w:tcPr>
          <w:p w:rsidR="002B232B" w:rsidRDefault="0056363F">
            <w:pPr>
              <w:jc w:val="right"/>
            </w:pPr>
            <w:r>
              <w:rPr>
                <w:color w:val="000000"/>
                <w:szCs w:val="21"/>
              </w:rPr>
              <w:t>64,750,631.42</w:t>
            </w:r>
          </w:p>
        </w:tc>
        <w:tc>
          <w:tcPr>
            <w:tcW w:w="1080" w:type="dxa"/>
            <w:vAlign w:val="center"/>
          </w:tcPr>
          <w:p w:rsidR="002B232B" w:rsidRDefault="0056363F">
            <w:pPr>
              <w:jc w:val="right"/>
            </w:pPr>
            <w:r>
              <w:rPr>
                <w:color w:val="000000"/>
                <w:szCs w:val="21"/>
              </w:rPr>
              <w:t>76.10%</w:t>
            </w:r>
          </w:p>
        </w:tc>
        <w:tc>
          <w:tcPr>
            <w:tcW w:w="1143" w:type="dxa"/>
            <w:vAlign w:val="center"/>
          </w:tcPr>
          <w:p w:rsidR="002B232B" w:rsidRDefault="0056363F">
            <w:pPr>
              <w:jc w:val="right"/>
            </w:pPr>
            <w:r>
              <w:rPr>
                <w:color w:val="000000"/>
                <w:szCs w:val="21"/>
              </w:rPr>
              <w:t>50,000,000.00</w:t>
            </w:r>
          </w:p>
        </w:tc>
        <w:tc>
          <w:tcPr>
            <w:tcW w:w="1197" w:type="dxa"/>
            <w:vAlign w:val="center"/>
          </w:tcPr>
          <w:p w:rsidR="002B232B" w:rsidRDefault="0056363F">
            <w:pPr>
              <w:jc w:val="right"/>
            </w:pPr>
            <w:r>
              <w:rPr>
                <w:color w:val="000000"/>
                <w:szCs w:val="21"/>
              </w:rPr>
              <w:t>100.00%</w:t>
            </w:r>
          </w:p>
        </w:tc>
        <w:tc>
          <w:tcPr>
            <w:tcW w:w="1497" w:type="dxa"/>
            <w:vAlign w:val="center"/>
          </w:tcPr>
          <w:p w:rsidR="002B232B" w:rsidRDefault="0056363F">
            <w:pPr>
              <w:jc w:val="right"/>
            </w:pPr>
            <w:r>
              <w:rPr>
                <w:color w:val="000000"/>
                <w:szCs w:val="21"/>
              </w:rPr>
              <w:t>-</w:t>
            </w:r>
          </w:p>
        </w:tc>
        <w:tc>
          <w:tcPr>
            <w:tcW w:w="1203" w:type="dxa"/>
            <w:vAlign w:val="center"/>
          </w:tcPr>
          <w:p w:rsidR="002B232B" w:rsidRDefault="0056363F">
            <w:pPr>
              <w:jc w:val="right"/>
            </w:pPr>
            <w:r>
              <w:rPr>
                <w:color w:val="000000"/>
                <w:szCs w:val="21"/>
              </w:rPr>
              <w:t>-</w:t>
            </w:r>
          </w:p>
        </w:tc>
      </w:tr>
    </w:tbl>
    <w:p w:rsidR="002B232B" w:rsidRDefault="0056363F">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、报告期内基金交易单元新增新时代证券和中信证券；</w:t>
      </w:r>
    </w:p>
    <w:p w:rsidR="002B232B" w:rsidRDefault="0056363F">
      <w:pPr>
        <w:tabs>
          <w:tab w:val="left" w:pos="426"/>
        </w:tabs>
        <w:spacing w:before="29" w:line="288" w:lineRule="auto"/>
        <w:jc w:val="left"/>
        <w:rPr>
          <w:kern w:val="0"/>
          <w:sz w:val="24"/>
        </w:rPr>
      </w:pPr>
      <w:r>
        <w:rPr>
          <w:kern w:val="0"/>
          <w:sz w:val="24"/>
        </w:rPr>
        <w:t xml:space="preserve">    2</w:t>
      </w:r>
      <w:r>
        <w:rPr>
          <w:kern w:val="0"/>
          <w:sz w:val="24"/>
        </w:rPr>
        <w:t>、租用证券公司专用交易单元的选择标准主要包括：券商基本面评价（财务状况、经营状况）、券商研究机构评价（报告质量、及时性和数量）、券商每日信息评价（及时性和有效性）和券商协作表现评价等四个方面；</w:t>
      </w:r>
    </w:p>
    <w:p w:rsidR="009A36E4" w:rsidRDefault="009A36E4" w:rsidP="00273FD9">
      <w:pPr>
        <w:tabs>
          <w:tab w:val="left" w:pos="426"/>
        </w:tabs>
        <w:spacing w:before="29" w:line="288" w:lineRule="auto"/>
        <w:jc w:val="left"/>
        <w:rPr>
          <w:kern w:val="0"/>
          <w:sz w:val="24"/>
        </w:rPr>
      </w:pPr>
      <w:r w:rsidRPr="00273FD9">
        <w:rPr>
          <w:kern w:val="0"/>
          <w:sz w:val="24"/>
        </w:rPr>
        <w:t xml:space="preserve">    3</w:t>
      </w:r>
      <w:r w:rsidRPr="00273FD9">
        <w:rPr>
          <w:kern w:val="0"/>
          <w:sz w:val="24"/>
        </w:rPr>
        <w:t>、租用证券公司专用交易单元的程序：首先根据租用证券公司专用交易单元的选择标准进行综合评价，然后根据评价选择基金专用交易单元。研究部提交方案，并上报公司批准。</w:t>
      </w:r>
    </w:p>
    <w:p w:rsidR="00EA2417" w:rsidRPr="00273FD9" w:rsidRDefault="00EA2417" w:rsidP="00273FD9">
      <w:pPr>
        <w:tabs>
          <w:tab w:val="left" w:pos="426"/>
        </w:tabs>
        <w:spacing w:before="29" w:line="288" w:lineRule="auto"/>
        <w:jc w:val="left"/>
        <w:rPr>
          <w:kern w:val="0"/>
          <w:sz w:val="24"/>
        </w:rPr>
      </w:pPr>
    </w:p>
    <w:p w:rsidR="001320FD" w:rsidRPr="00723729" w:rsidRDefault="001320FD" w:rsidP="00214CDC">
      <w:pPr>
        <w:pStyle w:val="1"/>
        <w:keepNext/>
        <w:keepLines/>
        <w:widowControl w:val="0"/>
        <w:spacing w:beforeLines="100" w:before="312" w:afterLines="100" w:after="312" w:line="360" w:lineRule="auto"/>
        <w:jc w:val="center"/>
        <w:rPr>
          <w:rFonts w:eastAsiaTheme="minorEastAsia"/>
          <w:b/>
          <w:bCs/>
          <w:sz w:val="21"/>
          <w:szCs w:val="21"/>
          <w:lang w:val="en-US"/>
        </w:rPr>
      </w:pPr>
      <w:bookmarkStart w:id="98" w:name="_Toc374532345"/>
      <w:bookmarkEnd w:id="97"/>
      <w:r w:rsidRPr="00723729">
        <w:rPr>
          <w:rFonts w:eastAsiaTheme="minorEastAsia"/>
          <w:b/>
          <w:bCs/>
          <w:sz w:val="21"/>
          <w:szCs w:val="21"/>
          <w:lang w:val="en-US"/>
        </w:rPr>
        <w:lastRenderedPageBreak/>
        <w:t xml:space="preserve">12  </w:t>
      </w:r>
      <w:r w:rsidRPr="00723729">
        <w:rPr>
          <w:rFonts w:eastAsiaTheme="minorEastAsia"/>
          <w:b/>
          <w:bCs/>
          <w:sz w:val="21"/>
          <w:szCs w:val="21"/>
          <w:lang w:val="en-US"/>
        </w:rPr>
        <w:t>影响投资者决策的其他重要信息</w:t>
      </w:r>
      <w:bookmarkEnd w:id="98"/>
    </w:p>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b/>
          <w:bCs/>
          <w:color w:val="000000"/>
          <w:kern w:val="0"/>
          <w:szCs w:val="21"/>
        </w:rPr>
        <w:t>12.</w:t>
      </w:r>
      <w:r w:rsidRPr="004F0662">
        <w:rPr>
          <w:rFonts w:ascii="宋体" w:hAnsi="宋体" w:hint="eastAsia"/>
          <w:b/>
          <w:bCs/>
          <w:color w:val="000000"/>
          <w:kern w:val="0"/>
          <w:szCs w:val="21"/>
        </w:rPr>
        <w:t>1 报告期内单一投资者持有基金份额比例达到或超过20%的情况</w:t>
      </w:r>
    </w:p>
    <w:tbl>
      <w:tblPr>
        <w:tblW w:w="9212"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93"/>
        <w:gridCol w:w="992"/>
        <w:gridCol w:w="1843"/>
        <w:gridCol w:w="851"/>
        <w:gridCol w:w="850"/>
        <w:gridCol w:w="1134"/>
        <w:gridCol w:w="1419"/>
        <w:gridCol w:w="1130"/>
      </w:tblGrid>
      <w:tr w:rsidR="001320FD" w:rsidRPr="004F0662" w:rsidTr="008F3A25">
        <w:tc>
          <w:tcPr>
            <w:tcW w:w="993" w:type="dxa"/>
            <w:vMerge w:val="restart"/>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投资者类别</w:t>
            </w:r>
            <w:r w:rsidRPr="004F0662">
              <w:rPr>
                <w:rFonts w:ascii="宋体" w:hAnsi="宋体"/>
                <w:color w:val="000000"/>
                <w:kern w:val="0"/>
                <w:szCs w:val="21"/>
              </w:rPr>
              <w:t xml:space="preserve">  </w:t>
            </w:r>
          </w:p>
        </w:tc>
        <w:tc>
          <w:tcPr>
            <w:tcW w:w="5670" w:type="dxa"/>
            <w:gridSpan w:val="5"/>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报告期内持有基金份额变化情况</w:t>
            </w:r>
          </w:p>
        </w:tc>
        <w:tc>
          <w:tcPr>
            <w:tcW w:w="2549" w:type="dxa"/>
            <w:gridSpan w:val="2"/>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报告期末持有基金情况</w:t>
            </w:r>
          </w:p>
        </w:tc>
      </w:tr>
      <w:tr w:rsidR="001320FD" w:rsidRPr="004F0662" w:rsidTr="008F3A25">
        <w:tc>
          <w:tcPr>
            <w:tcW w:w="993" w:type="dxa"/>
            <w:vMerge/>
            <w:vAlign w:val="center"/>
          </w:tcPr>
          <w:p w:rsidR="001320FD" w:rsidRPr="004F0662" w:rsidRDefault="001320FD" w:rsidP="008F3A25">
            <w:pPr>
              <w:autoSpaceDE w:val="0"/>
              <w:autoSpaceDN w:val="0"/>
              <w:adjustRightInd w:val="0"/>
              <w:jc w:val="center"/>
              <w:rPr>
                <w:rFonts w:ascii="宋体" w:hAnsi="宋体"/>
                <w:b/>
                <w:bCs/>
                <w:color w:val="000000"/>
                <w:kern w:val="0"/>
                <w:szCs w:val="21"/>
              </w:rPr>
            </w:pPr>
          </w:p>
        </w:tc>
        <w:tc>
          <w:tcPr>
            <w:tcW w:w="992"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序号</w:t>
            </w:r>
          </w:p>
        </w:tc>
        <w:tc>
          <w:tcPr>
            <w:tcW w:w="1843"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持有基金份额比例达到或者超过20%的时间区间</w:t>
            </w:r>
          </w:p>
        </w:tc>
        <w:tc>
          <w:tcPr>
            <w:tcW w:w="851"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期初份额</w:t>
            </w:r>
          </w:p>
        </w:tc>
        <w:tc>
          <w:tcPr>
            <w:tcW w:w="850"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申购份额</w:t>
            </w:r>
          </w:p>
        </w:tc>
        <w:tc>
          <w:tcPr>
            <w:tcW w:w="1134" w:type="dxa"/>
            <w:vAlign w:val="center"/>
          </w:tcPr>
          <w:p w:rsidR="001320FD" w:rsidRPr="004F0662" w:rsidRDefault="001320FD" w:rsidP="008F3A25">
            <w:pPr>
              <w:widowControl/>
              <w:jc w:val="center"/>
              <w:rPr>
                <w:rFonts w:ascii="宋体" w:hAnsi="宋体"/>
                <w:b/>
                <w:bCs/>
                <w:color w:val="000000"/>
                <w:kern w:val="0"/>
                <w:szCs w:val="21"/>
              </w:rPr>
            </w:pPr>
            <w:r w:rsidRPr="004F0662">
              <w:rPr>
                <w:rFonts w:ascii="宋体" w:hAnsi="宋体" w:hint="eastAsia"/>
                <w:color w:val="000000"/>
                <w:kern w:val="0"/>
                <w:szCs w:val="21"/>
              </w:rPr>
              <w:t>赎回份额</w:t>
            </w:r>
          </w:p>
        </w:tc>
        <w:tc>
          <w:tcPr>
            <w:tcW w:w="1419"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持有份额</w:t>
            </w:r>
          </w:p>
        </w:tc>
        <w:tc>
          <w:tcPr>
            <w:tcW w:w="1130" w:type="dxa"/>
            <w:vAlign w:val="center"/>
          </w:tcPr>
          <w:p w:rsidR="001320FD" w:rsidRPr="004F0662" w:rsidRDefault="001320FD" w:rsidP="008F3A25">
            <w:pPr>
              <w:autoSpaceDE w:val="0"/>
              <w:autoSpaceDN w:val="0"/>
              <w:adjustRightInd w:val="0"/>
              <w:jc w:val="center"/>
              <w:rPr>
                <w:rFonts w:ascii="宋体" w:hAnsi="宋体"/>
                <w:b/>
                <w:bCs/>
                <w:color w:val="000000"/>
                <w:kern w:val="0"/>
                <w:szCs w:val="21"/>
              </w:rPr>
            </w:pPr>
            <w:r w:rsidRPr="004F0662">
              <w:rPr>
                <w:rFonts w:ascii="宋体" w:hAnsi="宋体" w:hint="eastAsia"/>
                <w:color w:val="000000"/>
                <w:kern w:val="0"/>
                <w:szCs w:val="21"/>
              </w:rPr>
              <w:t>份额占比</w:t>
            </w:r>
          </w:p>
        </w:tc>
      </w:tr>
      <w:tr w:rsidR="002B232B">
        <w:tc>
          <w:tcPr>
            <w:tcW w:w="993" w:type="dxa"/>
            <w:vMerge w:val="restart"/>
          </w:tcPr>
          <w:p w:rsidR="002B232B" w:rsidRDefault="002B232B"/>
          <w:p w:rsidR="002B232B" w:rsidRDefault="0056363F">
            <w:r>
              <w:rPr>
                <w:rFonts w:ascii="宋体" w:hAnsi="宋体" w:hint="eastAsia"/>
                <w:bCs/>
                <w:color w:val="000000"/>
                <w:kern w:val="0"/>
                <w:szCs w:val="21"/>
              </w:rPr>
              <w:t>机构</w:t>
            </w:r>
          </w:p>
        </w:tc>
        <w:tc>
          <w:tcPr>
            <w:tcW w:w="992" w:type="dxa"/>
            <w:vAlign w:val="center"/>
          </w:tcPr>
          <w:p w:rsidR="002B232B" w:rsidRDefault="0056363F">
            <w:pPr>
              <w:jc w:val="center"/>
            </w:pPr>
            <w:r>
              <w:rPr>
                <w:rFonts w:ascii="宋体" w:hAnsi="宋体"/>
                <w:color w:val="000000"/>
                <w:kern w:val="0"/>
                <w:szCs w:val="21"/>
              </w:rPr>
              <w:t>1</w:t>
            </w:r>
          </w:p>
        </w:tc>
        <w:tc>
          <w:tcPr>
            <w:tcW w:w="1843" w:type="dxa"/>
            <w:vAlign w:val="center"/>
          </w:tcPr>
          <w:p w:rsidR="002B232B" w:rsidRDefault="0056363F">
            <w:pPr>
              <w:jc w:val="center"/>
            </w:pPr>
            <w:r>
              <w:rPr>
                <w:rFonts w:ascii="宋体" w:hAnsi="宋体"/>
                <w:color w:val="000000"/>
                <w:kern w:val="0"/>
                <w:szCs w:val="21"/>
              </w:rPr>
              <w:t>2018/1/1-2018/12/31</w:t>
            </w:r>
          </w:p>
        </w:tc>
        <w:tc>
          <w:tcPr>
            <w:tcW w:w="851" w:type="dxa"/>
            <w:vAlign w:val="center"/>
          </w:tcPr>
          <w:p w:rsidR="002B232B" w:rsidRDefault="0056363F">
            <w:pPr>
              <w:jc w:val="center"/>
            </w:pPr>
            <w:r>
              <w:rPr>
                <w:rFonts w:ascii="宋体" w:hAnsi="宋体"/>
                <w:color w:val="000000"/>
                <w:kern w:val="0"/>
                <w:szCs w:val="21"/>
              </w:rPr>
              <w:t>-</w:t>
            </w:r>
          </w:p>
        </w:tc>
        <w:tc>
          <w:tcPr>
            <w:tcW w:w="850" w:type="dxa"/>
            <w:vAlign w:val="center"/>
          </w:tcPr>
          <w:p w:rsidR="002B232B" w:rsidRDefault="0056363F">
            <w:pPr>
              <w:jc w:val="center"/>
            </w:pPr>
            <w:r>
              <w:rPr>
                <w:rFonts w:ascii="宋体" w:hAnsi="宋体"/>
                <w:color w:val="000000"/>
                <w:kern w:val="0"/>
                <w:szCs w:val="21"/>
              </w:rPr>
              <w:t>172,561,691.11</w:t>
            </w:r>
          </w:p>
        </w:tc>
        <w:tc>
          <w:tcPr>
            <w:tcW w:w="1134" w:type="dxa"/>
            <w:vAlign w:val="center"/>
          </w:tcPr>
          <w:p w:rsidR="002B232B" w:rsidRDefault="0056363F">
            <w:pPr>
              <w:jc w:val="center"/>
            </w:pPr>
            <w:r>
              <w:rPr>
                <w:rFonts w:ascii="宋体" w:hAnsi="宋体"/>
                <w:color w:val="000000"/>
                <w:kern w:val="0"/>
                <w:szCs w:val="21"/>
              </w:rPr>
              <w:t>-</w:t>
            </w:r>
          </w:p>
        </w:tc>
        <w:tc>
          <w:tcPr>
            <w:tcW w:w="1419" w:type="dxa"/>
            <w:vAlign w:val="center"/>
          </w:tcPr>
          <w:p w:rsidR="002B232B" w:rsidRDefault="0056363F">
            <w:pPr>
              <w:jc w:val="center"/>
            </w:pPr>
            <w:r>
              <w:rPr>
                <w:rFonts w:ascii="宋体" w:hAnsi="宋体"/>
                <w:color w:val="000000"/>
                <w:kern w:val="0"/>
                <w:szCs w:val="21"/>
              </w:rPr>
              <w:t>172,561,691.11</w:t>
            </w:r>
          </w:p>
        </w:tc>
        <w:tc>
          <w:tcPr>
            <w:tcW w:w="1130" w:type="dxa"/>
            <w:vAlign w:val="center"/>
          </w:tcPr>
          <w:p w:rsidR="002B232B" w:rsidRDefault="0056363F">
            <w:pPr>
              <w:jc w:val="center"/>
            </w:pPr>
            <w:r>
              <w:rPr>
                <w:rFonts w:ascii="宋体" w:hAnsi="宋体"/>
                <w:color w:val="000000"/>
                <w:kern w:val="0"/>
                <w:szCs w:val="21"/>
              </w:rPr>
              <w:t>17.17%</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center"/>
              <w:rPr>
                <w:rFonts w:ascii="宋体" w:hAnsi="宋体"/>
                <w:kern w:val="0"/>
                <w:szCs w:val="21"/>
              </w:rPr>
            </w:pPr>
            <w:r w:rsidRPr="004F0662">
              <w:rPr>
                <w:rFonts w:ascii="宋体" w:hAnsi="宋体"/>
                <w:color w:val="000000"/>
                <w:kern w:val="0"/>
                <w:szCs w:val="21"/>
              </w:rPr>
              <w:t>产品特有风险</w:t>
            </w:r>
          </w:p>
        </w:tc>
      </w:tr>
      <w:tr w:rsidR="001320FD" w:rsidRPr="004F0662" w:rsidTr="008F3A25">
        <w:tc>
          <w:tcPr>
            <w:tcW w:w="9212" w:type="dxa"/>
            <w:gridSpan w:val="8"/>
            <w:vAlign w:val="center"/>
          </w:tcPr>
          <w:p w:rsidR="001320FD" w:rsidRPr="004F0662" w:rsidRDefault="001320FD" w:rsidP="008F3A25">
            <w:pPr>
              <w:autoSpaceDE w:val="0"/>
              <w:autoSpaceDN w:val="0"/>
              <w:adjustRightInd w:val="0"/>
              <w:jc w:val="left"/>
              <w:rPr>
                <w:rFonts w:ascii="宋体" w:hAnsi="宋体"/>
                <w:kern w:val="0"/>
                <w:szCs w:val="21"/>
              </w:rPr>
            </w:pPr>
            <w:r w:rsidRPr="004F0662">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R="001320FD" w:rsidRPr="004F0662" w:rsidRDefault="001320FD" w:rsidP="001320FD">
      <w:pPr>
        <w:autoSpaceDE w:val="0"/>
        <w:autoSpaceDN w:val="0"/>
        <w:adjustRightInd w:val="0"/>
        <w:spacing w:line="360" w:lineRule="auto"/>
        <w:jc w:val="left"/>
        <w:rPr>
          <w:rFonts w:ascii="宋体" w:hAnsi="宋体"/>
          <w:b/>
          <w:bCs/>
          <w:color w:val="000000"/>
          <w:kern w:val="0"/>
          <w:szCs w:val="21"/>
        </w:rPr>
      </w:pPr>
      <w:r w:rsidRPr="004F0662">
        <w:rPr>
          <w:rFonts w:ascii="宋体" w:hAnsi="宋体" w:hint="eastAsia"/>
          <w:b/>
          <w:bCs/>
          <w:color w:val="000000"/>
          <w:kern w:val="0"/>
          <w:szCs w:val="21"/>
        </w:rPr>
        <w:t>12.2 影响投资者决策的其他重要信息</w:t>
      </w:r>
    </w:p>
    <w:p w:rsidR="002B232B" w:rsidRDefault="0056363F">
      <w:pPr>
        <w:spacing w:line="360" w:lineRule="auto"/>
        <w:ind w:firstLineChars="200" w:firstLine="420"/>
        <w:rPr>
          <w:rFonts w:ascii="宋体" w:hAnsi="宋体"/>
          <w:color w:val="000000"/>
          <w:szCs w:val="21"/>
        </w:rPr>
      </w:pPr>
      <w:r>
        <w:rPr>
          <w:rFonts w:ascii="宋体" w:hAnsi="宋体"/>
          <w:color w:val="000000"/>
          <w:szCs w:val="21"/>
        </w:rPr>
        <w:t>1、本基金管理人依据国家税收法律、法规、规章及税收规范性文件的规定，对管理的基金产品运营过程中产生的应税收入，计提及缴纳增值税及附加税费，该部分税费由基金资产承担。详情请见有关公告。</w:t>
      </w:r>
    </w:p>
    <w:p w:rsidR="001320FD" w:rsidRPr="004F0662" w:rsidRDefault="001320FD" w:rsidP="001320FD">
      <w:pPr>
        <w:spacing w:line="360" w:lineRule="auto"/>
        <w:ind w:firstLineChars="200" w:firstLine="420"/>
        <w:rPr>
          <w:rFonts w:ascii="宋体" w:hAnsi="宋体"/>
          <w:color w:val="000000"/>
          <w:szCs w:val="21"/>
        </w:rPr>
      </w:pPr>
      <w:r w:rsidRPr="004F0662">
        <w:rPr>
          <w:rFonts w:ascii="宋体" w:hAnsi="宋体"/>
          <w:color w:val="000000"/>
          <w:szCs w:val="21"/>
        </w:rPr>
        <w:t>2、根据《公开募集开放式证券投资基金流动性风险管理规定》的有关规定及相关监管要求，经与基金托管人协商一致并报监管机构备案，基金管理人对本基金基金合同等法律文件作相应修改。请投资者关注基金合同中“对持续持有期少于7日的基金份额持有人收取不低于1.5%的赎回费并全额计入基金财产”的条款已于2018年3月31日起正式实施。欲知详情请查阅本基金管理人于2018年3月22日发布的有关公告及法律文件。</w:t>
      </w: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C51C77" w:rsidRDefault="001A59F9" w:rsidP="00C51C77">
      <w:pPr>
        <w:spacing w:line="360" w:lineRule="auto"/>
        <w:ind w:firstLineChars="150" w:firstLine="315"/>
        <w:rPr>
          <w:rFonts w:asciiTheme="minorEastAsia" w:eastAsiaTheme="minorEastAsia" w:hAnsiTheme="minorEastAsia"/>
          <w:bCs/>
          <w:color w:val="000000"/>
          <w:szCs w:val="21"/>
        </w:rPr>
      </w:pPr>
    </w:p>
    <w:p w:rsidR="001A59F9" w:rsidRPr="0014702D" w:rsidRDefault="001A59F9" w:rsidP="0014702D">
      <w:pPr>
        <w:spacing w:before="29" w:line="288" w:lineRule="auto"/>
        <w:ind w:firstLineChars="200" w:firstLine="482"/>
        <w:jc w:val="right"/>
        <w:rPr>
          <w:b/>
          <w:color w:val="000000"/>
          <w:sz w:val="24"/>
        </w:rPr>
      </w:pPr>
      <w:r w:rsidRPr="0014702D">
        <w:rPr>
          <w:b/>
          <w:color w:val="000000"/>
          <w:sz w:val="24"/>
        </w:rPr>
        <w:t>交银施罗德基金管理有限公司</w:t>
      </w:r>
    </w:p>
    <w:p w:rsidR="001A59F9" w:rsidRPr="0014702D" w:rsidRDefault="00A77C51" w:rsidP="0014702D">
      <w:pPr>
        <w:spacing w:before="29" w:line="288" w:lineRule="auto"/>
        <w:ind w:firstLineChars="200" w:firstLine="482"/>
        <w:jc w:val="right"/>
        <w:rPr>
          <w:b/>
          <w:color w:val="000000"/>
          <w:sz w:val="24"/>
        </w:rPr>
      </w:pPr>
      <w:r w:rsidRPr="0014702D">
        <w:rPr>
          <w:b/>
          <w:color w:val="000000"/>
          <w:sz w:val="24"/>
        </w:rPr>
        <w:t>二〇一九年三月二十七日</w:t>
      </w:r>
    </w:p>
    <w:p w:rsidR="001A59F9" w:rsidRPr="0014702D" w:rsidRDefault="001A59F9" w:rsidP="00026C9C">
      <w:pPr>
        <w:spacing w:line="360" w:lineRule="auto"/>
        <w:rPr>
          <w:rFonts w:asciiTheme="minorEastAsia" w:eastAsiaTheme="minorEastAsia" w:hAnsiTheme="minorEastAsia"/>
          <w:b/>
          <w:szCs w:val="21"/>
        </w:rPr>
      </w:pPr>
    </w:p>
    <w:sectPr w:rsidR="001A59F9" w:rsidRPr="0014702D" w:rsidSect="00937AC9">
      <w:footerReference w:type="even" r:id="rId15"/>
      <w:footerReference w:type="default" r:id="rId16"/>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63AC" w:rsidRDefault="002A63AC">
      <w:r>
        <w:separator/>
      </w:r>
    </w:p>
  </w:endnote>
  <w:endnote w:type="continuationSeparator" w:id="0">
    <w:p w:rsidR="002A63AC" w:rsidRDefault="002A63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pitch w:val="fixed"/>
    <w:sig w:usb0="E0002AFF" w:usb1="C0007843" w:usb2="00000009" w:usb3="00000000" w:csb0="000001FF"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7"/>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562D8A" w:rsidP="00C03B3A">
    <w:pPr>
      <w:pStyle w:val="a7"/>
      <w:framePr w:wrap="around" w:vAnchor="text" w:hAnchor="margin" w:xAlign="right" w:y="1"/>
      <w:rPr>
        <w:rStyle w:val="a8"/>
      </w:rPr>
    </w:pPr>
    <w:r>
      <w:rPr>
        <w:rStyle w:val="a8"/>
      </w:rPr>
      <w:fldChar w:fldCharType="begin"/>
    </w:r>
    <w:r w:rsidR="004D64B9">
      <w:rPr>
        <w:rStyle w:val="a8"/>
      </w:rPr>
      <w:instrText xml:space="preserve">PAGE  </w:instrText>
    </w:r>
    <w:r>
      <w:rPr>
        <w:rStyle w:val="a8"/>
      </w:rPr>
      <w:fldChar w:fldCharType="end"/>
    </w:r>
  </w:p>
  <w:p w:rsidR="004D64B9" w:rsidRDefault="004D64B9" w:rsidP="00C03B3A">
    <w:pPr>
      <w:pStyle w:val="a7"/>
      <w:ind w:right="360"/>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Default="004D64B9" w:rsidP="00C03B3A">
    <w:pPr>
      <w:pStyle w:val="a7"/>
      <w:ind w:right="360"/>
      <w:jc w:val="center"/>
    </w:pPr>
    <w:r>
      <w:rPr>
        <w:rFonts w:hint="eastAsia"/>
        <w:kern w:val="0"/>
        <w:szCs w:val="21"/>
      </w:rPr>
      <w:t>第</w:t>
    </w:r>
    <w:r w:rsidR="009D3BF1">
      <w:rPr>
        <w:rFonts w:hint="eastAsia"/>
        <w:kern w:val="0"/>
        <w:szCs w:val="21"/>
      </w:rPr>
      <w:t xml:space="preserve"> </w:t>
    </w:r>
    <w:r w:rsidR="00562D8A">
      <w:rPr>
        <w:kern w:val="0"/>
        <w:szCs w:val="21"/>
      </w:rPr>
      <w:fldChar w:fldCharType="begin"/>
    </w:r>
    <w:r>
      <w:rPr>
        <w:kern w:val="0"/>
        <w:szCs w:val="21"/>
      </w:rPr>
      <w:instrText xml:space="preserve"> PAGE </w:instrText>
    </w:r>
    <w:r w:rsidR="00562D8A">
      <w:rPr>
        <w:kern w:val="0"/>
        <w:szCs w:val="21"/>
      </w:rPr>
      <w:fldChar w:fldCharType="separate"/>
    </w:r>
    <w:r w:rsidR="00B55CA6">
      <w:rPr>
        <w:noProof/>
        <w:kern w:val="0"/>
        <w:szCs w:val="21"/>
      </w:rPr>
      <w:t>6</w:t>
    </w:r>
    <w:r w:rsidR="00562D8A">
      <w:rPr>
        <w:kern w:val="0"/>
        <w:szCs w:val="21"/>
      </w:rPr>
      <w:fldChar w:fldCharType="end"/>
    </w:r>
    <w:r w:rsidR="009D3BF1">
      <w:rPr>
        <w:rFonts w:hint="eastAsia"/>
        <w:kern w:val="0"/>
        <w:szCs w:val="21"/>
      </w:rPr>
      <w:t xml:space="preserve"> </w:t>
    </w:r>
    <w:r>
      <w:rPr>
        <w:rFonts w:hint="eastAsia"/>
        <w:kern w:val="0"/>
        <w:szCs w:val="21"/>
      </w:rPr>
      <w:t>页</w:t>
    </w:r>
    <w:r w:rsidR="009D3BF1">
      <w:rPr>
        <w:rFonts w:hint="eastAsia"/>
        <w:kern w:val="0"/>
        <w:szCs w:val="21"/>
      </w:rPr>
      <w:t xml:space="preserve"> </w:t>
    </w:r>
    <w:r>
      <w:rPr>
        <w:rFonts w:hint="eastAsia"/>
        <w:kern w:val="0"/>
        <w:szCs w:val="21"/>
      </w:rPr>
      <w:t>共</w:t>
    </w:r>
    <w:r w:rsidR="009D3BF1">
      <w:rPr>
        <w:rFonts w:hint="eastAsia"/>
        <w:kern w:val="0"/>
        <w:szCs w:val="21"/>
      </w:rPr>
      <w:t xml:space="preserve"> </w:t>
    </w:r>
    <w:r w:rsidR="00562D8A">
      <w:rPr>
        <w:kern w:val="0"/>
        <w:szCs w:val="21"/>
      </w:rPr>
      <w:fldChar w:fldCharType="begin"/>
    </w:r>
    <w:r>
      <w:rPr>
        <w:kern w:val="0"/>
        <w:szCs w:val="21"/>
      </w:rPr>
      <w:instrText xml:space="preserve"> NUMPAGES </w:instrText>
    </w:r>
    <w:r w:rsidR="00562D8A">
      <w:rPr>
        <w:kern w:val="0"/>
        <w:szCs w:val="21"/>
      </w:rPr>
      <w:fldChar w:fldCharType="separate"/>
    </w:r>
    <w:r w:rsidR="00B55CA6">
      <w:rPr>
        <w:noProof/>
        <w:kern w:val="0"/>
        <w:szCs w:val="21"/>
      </w:rPr>
      <w:t>35</w:t>
    </w:r>
    <w:r w:rsidR="00562D8A">
      <w:rPr>
        <w:kern w:val="0"/>
        <w:szCs w:val="21"/>
      </w:rPr>
      <w:fldChar w:fldCharType="end"/>
    </w:r>
    <w:r w:rsidR="009D3BF1">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63AC" w:rsidRDefault="002A63AC">
      <w:r>
        <w:separator/>
      </w:r>
    </w:p>
  </w:footnote>
  <w:footnote w:type="continuationSeparator" w:id="0">
    <w:p w:rsidR="002A63AC" w:rsidRDefault="002A63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64B9" w:rsidRPr="00477774" w:rsidRDefault="00477774" w:rsidP="00C2542B">
    <w:pPr>
      <w:pStyle w:val="aa"/>
      <w:pBdr>
        <w:bottom w:val="single" w:sz="6" w:space="0" w:color="auto"/>
      </w:pBdr>
      <w:jc w:val="right"/>
      <w:rPr>
        <w:sz w:val="24"/>
        <w:szCs w:val="24"/>
      </w:rPr>
    </w:pPr>
    <w:r w:rsidRPr="00FB2916">
      <w:rPr>
        <w:sz w:val="24"/>
        <w:szCs w:val="24"/>
      </w:rPr>
      <w:t>交银施罗德策略回报灵活配置混合型证券投资基金</w:t>
    </w:r>
    <w:r w:rsidRPr="00FB2916">
      <w:rPr>
        <w:sz w:val="24"/>
        <w:szCs w:val="24"/>
      </w:rPr>
      <w:t>2018</w:t>
    </w:r>
    <w:r w:rsidRPr="00FB2916">
      <w:rPr>
        <w:sz w:val="24"/>
        <w:szCs w:val="24"/>
      </w:rPr>
      <w:t>年年度报告</w:t>
    </w:r>
    <w:r w:rsidRPr="00FB2916">
      <w:rPr>
        <w:rFonts w:hint="eastAsia"/>
        <w:sz w:val="24"/>
        <w:szCs w:val="24"/>
      </w:rPr>
      <w:t>摘要</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77774" w:rsidRDefault="00477774">
    <w:pPr>
      <w:pStyle w:val="aa"/>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577"/>
    <w:rsid w:val="0000403B"/>
    <w:rsid w:val="00004337"/>
    <w:rsid w:val="00005172"/>
    <w:rsid w:val="0000551D"/>
    <w:rsid w:val="00005911"/>
    <w:rsid w:val="00005AA2"/>
    <w:rsid w:val="000102A7"/>
    <w:rsid w:val="00010918"/>
    <w:rsid w:val="00010A83"/>
    <w:rsid w:val="00010A8E"/>
    <w:rsid w:val="00010AC3"/>
    <w:rsid w:val="00010C1F"/>
    <w:rsid w:val="00010F11"/>
    <w:rsid w:val="00011081"/>
    <w:rsid w:val="00011850"/>
    <w:rsid w:val="00011EB5"/>
    <w:rsid w:val="0001280C"/>
    <w:rsid w:val="00013CAE"/>
    <w:rsid w:val="000145E9"/>
    <w:rsid w:val="000162AF"/>
    <w:rsid w:val="00016A50"/>
    <w:rsid w:val="00017581"/>
    <w:rsid w:val="0001767C"/>
    <w:rsid w:val="00020583"/>
    <w:rsid w:val="00021813"/>
    <w:rsid w:val="00021DD4"/>
    <w:rsid w:val="000221FE"/>
    <w:rsid w:val="00023BE7"/>
    <w:rsid w:val="00024200"/>
    <w:rsid w:val="0002453B"/>
    <w:rsid w:val="00024C15"/>
    <w:rsid w:val="00024C62"/>
    <w:rsid w:val="00024CA0"/>
    <w:rsid w:val="00026C9C"/>
    <w:rsid w:val="000274FE"/>
    <w:rsid w:val="000276C9"/>
    <w:rsid w:val="0003228A"/>
    <w:rsid w:val="000322D5"/>
    <w:rsid w:val="0003271C"/>
    <w:rsid w:val="00032ADD"/>
    <w:rsid w:val="00032FE1"/>
    <w:rsid w:val="000331EA"/>
    <w:rsid w:val="00033EC1"/>
    <w:rsid w:val="00034BA5"/>
    <w:rsid w:val="000358FE"/>
    <w:rsid w:val="00036ED5"/>
    <w:rsid w:val="00037267"/>
    <w:rsid w:val="000378BC"/>
    <w:rsid w:val="00037CF2"/>
    <w:rsid w:val="00037FCF"/>
    <w:rsid w:val="000415E6"/>
    <w:rsid w:val="00041BC8"/>
    <w:rsid w:val="000421B8"/>
    <w:rsid w:val="000429DF"/>
    <w:rsid w:val="00042AAD"/>
    <w:rsid w:val="000430CA"/>
    <w:rsid w:val="0004381B"/>
    <w:rsid w:val="00043ABF"/>
    <w:rsid w:val="00044158"/>
    <w:rsid w:val="000445E4"/>
    <w:rsid w:val="00045D10"/>
    <w:rsid w:val="0004616F"/>
    <w:rsid w:val="000471B4"/>
    <w:rsid w:val="0004778D"/>
    <w:rsid w:val="00047D10"/>
    <w:rsid w:val="00050260"/>
    <w:rsid w:val="00050C4A"/>
    <w:rsid w:val="000510AB"/>
    <w:rsid w:val="000514E0"/>
    <w:rsid w:val="00051639"/>
    <w:rsid w:val="00053091"/>
    <w:rsid w:val="00053242"/>
    <w:rsid w:val="00053438"/>
    <w:rsid w:val="0005346A"/>
    <w:rsid w:val="000534CD"/>
    <w:rsid w:val="00053EED"/>
    <w:rsid w:val="0005401D"/>
    <w:rsid w:val="0005448A"/>
    <w:rsid w:val="00054499"/>
    <w:rsid w:val="00055AF1"/>
    <w:rsid w:val="00055D56"/>
    <w:rsid w:val="000573B5"/>
    <w:rsid w:val="00057A1D"/>
    <w:rsid w:val="00060597"/>
    <w:rsid w:val="00060744"/>
    <w:rsid w:val="00060A2C"/>
    <w:rsid w:val="00060CB4"/>
    <w:rsid w:val="00061167"/>
    <w:rsid w:val="00061582"/>
    <w:rsid w:val="00061E30"/>
    <w:rsid w:val="00062997"/>
    <w:rsid w:val="00063D34"/>
    <w:rsid w:val="0006475F"/>
    <w:rsid w:val="00064AE3"/>
    <w:rsid w:val="00064FC8"/>
    <w:rsid w:val="00065208"/>
    <w:rsid w:val="00066524"/>
    <w:rsid w:val="000671A3"/>
    <w:rsid w:val="00067A89"/>
    <w:rsid w:val="00070549"/>
    <w:rsid w:val="00070CD1"/>
    <w:rsid w:val="00070E4D"/>
    <w:rsid w:val="00071022"/>
    <w:rsid w:val="0007171B"/>
    <w:rsid w:val="000717A1"/>
    <w:rsid w:val="00072DE0"/>
    <w:rsid w:val="00072FC7"/>
    <w:rsid w:val="00073DB1"/>
    <w:rsid w:val="00073EA5"/>
    <w:rsid w:val="00073F87"/>
    <w:rsid w:val="00074AAD"/>
    <w:rsid w:val="00075473"/>
    <w:rsid w:val="00075D2A"/>
    <w:rsid w:val="00076397"/>
    <w:rsid w:val="000764CB"/>
    <w:rsid w:val="00076CC5"/>
    <w:rsid w:val="00077FE0"/>
    <w:rsid w:val="000801F4"/>
    <w:rsid w:val="00080423"/>
    <w:rsid w:val="00080BC0"/>
    <w:rsid w:val="0008141B"/>
    <w:rsid w:val="00081A3D"/>
    <w:rsid w:val="00081D05"/>
    <w:rsid w:val="0008226A"/>
    <w:rsid w:val="00082B63"/>
    <w:rsid w:val="00083BAF"/>
    <w:rsid w:val="0008407B"/>
    <w:rsid w:val="000847EE"/>
    <w:rsid w:val="00084ADE"/>
    <w:rsid w:val="0008506D"/>
    <w:rsid w:val="00085F3E"/>
    <w:rsid w:val="000861D6"/>
    <w:rsid w:val="0008624A"/>
    <w:rsid w:val="000863CA"/>
    <w:rsid w:val="00086622"/>
    <w:rsid w:val="000866EC"/>
    <w:rsid w:val="00087011"/>
    <w:rsid w:val="00087272"/>
    <w:rsid w:val="000874BC"/>
    <w:rsid w:val="00087CF7"/>
    <w:rsid w:val="00087D8D"/>
    <w:rsid w:val="0009000C"/>
    <w:rsid w:val="00090120"/>
    <w:rsid w:val="000908ED"/>
    <w:rsid w:val="0009091B"/>
    <w:rsid w:val="000917D5"/>
    <w:rsid w:val="000919B7"/>
    <w:rsid w:val="0009357E"/>
    <w:rsid w:val="00094876"/>
    <w:rsid w:val="000951F7"/>
    <w:rsid w:val="00095912"/>
    <w:rsid w:val="00095CE0"/>
    <w:rsid w:val="000961CE"/>
    <w:rsid w:val="00096563"/>
    <w:rsid w:val="00096566"/>
    <w:rsid w:val="000968C8"/>
    <w:rsid w:val="00096933"/>
    <w:rsid w:val="00096995"/>
    <w:rsid w:val="00096A1F"/>
    <w:rsid w:val="00096B18"/>
    <w:rsid w:val="00097230"/>
    <w:rsid w:val="00097DB0"/>
    <w:rsid w:val="000A1448"/>
    <w:rsid w:val="000A1B00"/>
    <w:rsid w:val="000A1BD6"/>
    <w:rsid w:val="000A1BFB"/>
    <w:rsid w:val="000A3022"/>
    <w:rsid w:val="000A335B"/>
    <w:rsid w:val="000A38DE"/>
    <w:rsid w:val="000A457E"/>
    <w:rsid w:val="000A4672"/>
    <w:rsid w:val="000A4FEF"/>
    <w:rsid w:val="000A53FD"/>
    <w:rsid w:val="000A549A"/>
    <w:rsid w:val="000A578A"/>
    <w:rsid w:val="000A72F2"/>
    <w:rsid w:val="000B0C56"/>
    <w:rsid w:val="000B2B57"/>
    <w:rsid w:val="000B2C8D"/>
    <w:rsid w:val="000B3435"/>
    <w:rsid w:val="000B36CC"/>
    <w:rsid w:val="000B3E43"/>
    <w:rsid w:val="000B417C"/>
    <w:rsid w:val="000B4365"/>
    <w:rsid w:val="000B5CC0"/>
    <w:rsid w:val="000C01F9"/>
    <w:rsid w:val="000C05AB"/>
    <w:rsid w:val="000C0871"/>
    <w:rsid w:val="000C0A18"/>
    <w:rsid w:val="000C0A9A"/>
    <w:rsid w:val="000C0CA5"/>
    <w:rsid w:val="000C0F55"/>
    <w:rsid w:val="000C127D"/>
    <w:rsid w:val="000C15BE"/>
    <w:rsid w:val="000C1723"/>
    <w:rsid w:val="000C1774"/>
    <w:rsid w:val="000C1B20"/>
    <w:rsid w:val="000C224F"/>
    <w:rsid w:val="000C3FD9"/>
    <w:rsid w:val="000C4107"/>
    <w:rsid w:val="000C45E7"/>
    <w:rsid w:val="000C45F5"/>
    <w:rsid w:val="000C58C9"/>
    <w:rsid w:val="000C5C31"/>
    <w:rsid w:val="000C5E98"/>
    <w:rsid w:val="000C698D"/>
    <w:rsid w:val="000C705C"/>
    <w:rsid w:val="000C7AE4"/>
    <w:rsid w:val="000D01F4"/>
    <w:rsid w:val="000D0B89"/>
    <w:rsid w:val="000D1519"/>
    <w:rsid w:val="000D1889"/>
    <w:rsid w:val="000D2B86"/>
    <w:rsid w:val="000D3145"/>
    <w:rsid w:val="000D36D1"/>
    <w:rsid w:val="000D4AAD"/>
    <w:rsid w:val="000D52B3"/>
    <w:rsid w:val="000D52DC"/>
    <w:rsid w:val="000D6054"/>
    <w:rsid w:val="000D619B"/>
    <w:rsid w:val="000D788B"/>
    <w:rsid w:val="000D7D7C"/>
    <w:rsid w:val="000E34ED"/>
    <w:rsid w:val="000E4456"/>
    <w:rsid w:val="000E4505"/>
    <w:rsid w:val="000E4B9B"/>
    <w:rsid w:val="000E6184"/>
    <w:rsid w:val="000E67FE"/>
    <w:rsid w:val="000E7B5C"/>
    <w:rsid w:val="000F0C0A"/>
    <w:rsid w:val="000F0FF2"/>
    <w:rsid w:val="000F175F"/>
    <w:rsid w:val="000F17D1"/>
    <w:rsid w:val="000F255E"/>
    <w:rsid w:val="000F285F"/>
    <w:rsid w:val="000F2C75"/>
    <w:rsid w:val="000F3506"/>
    <w:rsid w:val="000F5122"/>
    <w:rsid w:val="000F5396"/>
    <w:rsid w:val="000F5704"/>
    <w:rsid w:val="000F593E"/>
    <w:rsid w:val="000F60F3"/>
    <w:rsid w:val="000F60FF"/>
    <w:rsid w:val="000F635F"/>
    <w:rsid w:val="000F6A8A"/>
    <w:rsid w:val="000F6C61"/>
    <w:rsid w:val="000F6F95"/>
    <w:rsid w:val="000F754C"/>
    <w:rsid w:val="00100C12"/>
    <w:rsid w:val="001013A8"/>
    <w:rsid w:val="00101C35"/>
    <w:rsid w:val="00102046"/>
    <w:rsid w:val="001021AD"/>
    <w:rsid w:val="00102CC8"/>
    <w:rsid w:val="001030B5"/>
    <w:rsid w:val="0010352B"/>
    <w:rsid w:val="001046E2"/>
    <w:rsid w:val="001049B6"/>
    <w:rsid w:val="00104DE3"/>
    <w:rsid w:val="001051C6"/>
    <w:rsid w:val="0010577B"/>
    <w:rsid w:val="0010598A"/>
    <w:rsid w:val="00105C9C"/>
    <w:rsid w:val="001069ED"/>
    <w:rsid w:val="00106C1F"/>
    <w:rsid w:val="00106F69"/>
    <w:rsid w:val="001116BA"/>
    <w:rsid w:val="0011177A"/>
    <w:rsid w:val="0011179E"/>
    <w:rsid w:val="00111C71"/>
    <w:rsid w:val="001134F0"/>
    <w:rsid w:val="00113763"/>
    <w:rsid w:val="001141C0"/>
    <w:rsid w:val="00116E31"/>
    <w:rsid w:val="0012065E"/>
    <w:rsid w:val="00120825"/>
    <w:rsid w:val="00120EED"/>
    <w:rsid w:val="001212B4"/>
    <w:rsid w:val="0012304E"/>
    <w:rsid w:val="00123252"/>
    <w:rsid w:val="001239C8"/>
    <w:rsid w:val="00123A56"/>
    <w:rsid w:val="0012478C"/>
    <w:rsid w:val="001248EF"/>
    <w:rsid w:val="001252EA"/>
    <w:rsid w:val="00125565"/>
    <w:rsid w:val="001257C7"/>
    <w:rsid w:val="00126502"/>
    <w:rsid w:val="001268F9"/>
    <w:rsid w:val="00126AF2"/>
    <w:rsid w:val="00126DDF"/>
    <w:rsid w:val="001270BF"/>
    <w:rsid w:val="00127BAC"/>
    <w:rsid w:val="00127FF5"/>
    <w:rsid w:val="00131EC2"/>
    <w:rsid w:val="001320FD"/>
    <w:rsid w:val="00132E82"/>
    <w:rsid w:val="0013374F"/>
    <w:rsid w:val="0013437B"/>
    <w:rsid w:val="00134789"/>
    <w:rsid w:val="00135467"/>
    <w:rsid w:val="001364D3"/>
    <w:rsid w:val="001366C4"/>
    <w:rsid w:val="0013686A"/>
    <w:rsid w:val="0013718B"/>
    <w:rsid w:val="00137BB5"/>
    <w:rsid w:val="00137BB9"/>
    <w:rsid w:val="00137D50"/>
    <w:rsid w:val="00140038"/>
    <w:rsid w:val="00140E52"/>
    <w:rsid w:val="00142280"/>
    <w:rsid w:val="0014241E"/>
    <w:rsid w:val="001424C6"/>
    <w:rsid w:val="00142A56"/>
    <w:rsid w:val="00142C11"/>
    <w:rsid w:val="001432A7"/>
    <w:rsid w:val="00143BE5"/>
    <w:rsid w:val="00144AAD"/>
    <w:rsid w:val="00144DF5"/>
    <w:rsid w:val="00145247"/>
    <w:rsid w:val="001455C7"/>
    <w:rsid w:val="00145A97"/>
    <w:rsid w:val="00146153"/>
    <w:rsid w:val="00146485"/>
    <w:rsid w:val="00146A28"/>
    <w:rsid w:val="0014702D"/>
    <w:rsid w:val="001470F0"/>
    <w:rsid w:val="00147492"/>
    <w:rsid w:val="00147D41"/>
    <w:rsid w:val="0015080E"/>
    <w:rsid w:val="00150AD6"/>
    <w:rsid w:val="0015173F"/>
    <w:rsid w:val="00151AAF"/>
    <w:rsid w:val="00151B23"/>
    <w:rsid w:val="00152B88"/>
    <w:rsid w:val="00152EE6"/>
    <w:rsid w:val="00153403"/>
    <w:rsid w:val="001535AE"/>
    <w:rsid w:val="00153B40"/>
    <w:rsid w:val="00153BCF"/>
    <w:rsid w:val="0015433E"/>
    <w:rsid w:val="00154ADA"/>
    <w:rsid w:val="00154B08"/>
    <w:rsid w:val="00154C47"/>
    <w:rsid w:val="0015519C"/>
    <w:rsid w:val="0015531A"/>
    <w:rsid w:val="00157418"/>
    <w:rsid w:val="00157B5A"/>
    <w:rsid w:val="00160039"/>
    <w:rsid w:val="0016050B"/>
    <w:rsid w:val="001622C3"/>
    <w:rsid w:val="00162C6F"/>
    <w:rsid w:val="0016380C"/>
    <w:rsid w:val="00163816"/>
    <w:rsid w:val="00163B27"/>
    <w:rsid w:val="0016425E"/>
    <w:rsid w:val="00164BF7"/>
    <w:rsid w:val="00165317"/>
    <w:rsid w:val="001657AB"/>
    <w:rsid w:val="001657E5"/>
    <w:rsid w:val="0016724C"/>
    <w:rsid w:val="0017073D"/>
    <w:rsid w:val="00170D38"/>
    <w:rsid w:val="00171484"/>
    <w:rsid w:val="00171BAD"/>
    <w:rsid w:val="00171F2C"/>
    <w:rsid w:val="00173AF1"/>
    <w:rsid w:val="001744B4"/>
    <w:rsid w:val="001751EF"/>
    <w:rsid w:val="001756A1"/>
    <w:rsid w:val="001761EE"/>
    <w:rsid w:val="00176E90"/>
    <w:rsid w:val="00176EAA"/>
    <w:rsid w:val="00177030"/>
    <w:rsid w:val="0017725A"/>
    <w:rsid w:val="00177405"/>
    <w:rsid w:val="0017761A"/>
    <w:rsid w:val="00177C4B"/>
    <w:rsid w:val="00177EE2"/>
    <w:rsid w:val="00177F6A"/>
    <w:rsid w:val="00181618"/>
    <w:rsid w:val="001819A8"/>
    <w:rsid w:val="00182A38"/>
    <w:rsid w:val="0018325A"/>
    <w:rsid w:val="00183D7A"/>
    <w:rsid w:val="00184CAE"/>
    <w:rsid w:val="00186199"/>
    <w:rsid w:val="00186F7A"/>
    <w:rsid w:val="0019036C"/>
    <w:rsid w:val="00190AE2"/>
    <w:rsid w:val="00190E27"/>
    <w:rsid w:val="001928F7"/>
    <w:rsid w:val="00193182"/>
    <w:rsid w:val="00193575"/>
    <w:rsid w:val="0019389D"/>
    <w:rsid w:val="00193B62"/>
    <w:rsid w:val="00193B93"/>
    <w:rsid w:val="00194537"/>
    <w:rsid w:val="0019563C"/>
    <w:rsid w:val="001956CA"/>
    <w:rsid w:val="00195781"/>
    <w:rsid w:val="00195B79"/>
    <w:rsid w:val="00197C86"/>
    <w:rsid w:val="001A088E"/>
    <w:rsid w:val="001A0F4A"/>
    <w:rsid w:val="001A1B13"/>
    <w:rsid w:val="001A1D38"/>
    <w:rsid w:val="001A20CE"/>
    <w:rsid w:val="001A21A9"/>
    <w:rsid w:val="001A2A8C"/>
    <w:rsid w:val="001A2A97"/>
    <w:rsid w:val="001A364F"/>
    <w:rsid w:val="001A383E"/>
    <w:rsid w:val="001A39B7"/>
    <w:rsid w:val="001A3AF4"/>
    <w:rsid w:val="001A42FA"/>
    <w:rsid w:val="001A4AEC"/>
    <w:rsid w:val="001A59D8"/>
    <w:rsid w:val="001A59F9"/>
    <w:rsid w:val="001A5FA6"/>
    <w:rsid w:val="001A668F"/>
    <w:rsid w:val="001A71CC"/>
    <w:rsid w:val="001A7F30"/>
    <w:rsid w:val="001B04D4"/>
    <w:rsid w:val="001B0A5D"/>
    <w:rsid w:val="001B179D"/>
    <w:rsid w:val="001B25CD"/>
    <w:rsid w:val="001B261A"/>
    <w:rsid w:val="001B2F0C"/>
    <w:rsid w:val="001B30CA"/>
    <w:rsid w:val="001B3513"/>
    <w:rsid w:val="001B353A"/>
    <w:rsid w:val="001B3A6B"/>
    <w:rsid w:val="001B3D3E"/>
    <w:rsid w:val="001B3F8B"/>
    <w:rsid w:val="001B50CD"/>
    <w:rsid w:val="001B52FE"/>
    <w:rsid w:val="001B7890"/>
    <w:rsid w:val="001C005A"/>
    <w:rsid w:val="001C00CF"/>
    <w:rsid w:val="001C0806"/>
    <w:rsid w:val="001C0A9E"/>
    <w:rsid w:val="001C2F9C"/>
    <w:rsid w:val="001C3399"/>
    <w:rsid w:val="001C37F6"/>
    <w:rsid w:val="001C4D9F"/>
    <w:rsid w:val="001C5289"/>
    <w:rsid w:val="001C5FC7"/>
    <w:rsid w:val="001C6288"/>
    <w:rsid w:val="001C67A1"/>
    <w:rsid w:val="001C7C6D"/>
    <w:rsid w:val="001D0538"/>
    <w:rsid w:val="001D0634"/>
    <w:rsid w:val="001D0B81"/>
    <w:rsid w:val="001D0F6A"/>
    <w:rsid w:val="001D1BBC"/>
    <w:rsid w:val="001D21BC"/>
    <w:rsid w:val="001D2E47"/>
    <w:rsid w:val="001D2FA5"/>
    <w:rsid w:val="001D35E0"/>
    <w:rsid w:val="001D38F2"/>
    <w:rsid w:val="001D5045"/>
    <w:rsid w:val="001D5494"/>
    <w:rsid w:val="001D5A44"/>
    <w:rsid w:val="001D5A62"/>
    <w:rsid w:val="001D5AFB"/>
    <w:rsid w:val="001D6213"/>
    <w:rsid w:val="001D699D"/>
    <w:rsid w:val="001D71BA"/>
    <w:rsid w:val="001D724B"/>
    <w:rsid w:val="001E03BE"/>
    <w:rsid w:val="001E040B"/>
    <w:rsid w:val="001E0AAA"/>
    <w:rsid w:val="001E0F28"/>
    <w:rsid w:val="001E11D3"/>
    <w:rsid w:val="001E15F1"/>
    <w:rsid w:val="001E1C4F"/>
    <w:rsid w:val="001E212B"/>
    <w:rsid w:val="001E2683"/>
    <w:rsid w:val="001E287E"/>
    <w:rsid w:val="001E2A6A"/>
    <w:rsid w:val="001E3DC2"/>
    <w:rsid w:val="001E4E2C"/>
    <w:rsid w:val="001E56FF"/>
    <w:rsid w:val="001E5C6B"/>
    <w:rsid w:val="001E60E8"/>
    <w:rsid w:val="001E6EBF"/>
    <w:rsid w:val="001E7ADB"/>
    <w:rsid w:val="001F0307"/>
    <w:rsid w:val="001F03E1"/>
    <w:rsid w:val="001F03EC"/>
    <w:rsid w:val="001F221F"/>
    <w:rsid w:val="001F3653"/>
    <w:rsid w:val="001F3CC6"/>
    <w:rsid w:val="001F3EE3"/>
    <w:rsid w:val="001F3F50"/>
    <w:rsid w:val="001F4530"/>
    <w:rsid w:val="001F493C"/>
    <w:rsid w:val="001F4A92"/>
    <w:rsid w:val="001F5CE2"/>
    <w:rsid w:val="001F5DBA"/>
    <w:rsid w:val="001F5DE3"/>
    <w:rsid w:val="001F5F74"/>
    <w:rsid w:val="001F790F"/>
    <w:rsid w:val="002010DE"/>
    <w:rsid w:val="0020150C"/>
    <w:rsid w:val="00201958"/>
    <w:rsid w:val="00201962"/>
    <w:rsid w:val="00201B58"/>
    <w:rsid w:val="00202968"/>
    <w:rsid w:val="00202C32"/>
    <w:rsid w:val="00203973"/>
    <w:rsid w:val="00203AEF"/>
    <w:rsid w:val="00204CB6"/>
    <w:rsid w:val="00210CF1"/>
    <w:rsid w:val="00211520"/>
    <w:rsid w:val="00211615"/>
    <w:rsid w:val="00211A26"/>
    <w:rsid w:val="00212249"/>
    <w:rsid w:val="002125F7"/>
    <w:rsid w:val="00212901"/>
    <w:rsid w:val="00212DFE"/>
    <w:rsid w:val="0021360C"/>
    <w:rsid w:val="002136AC"/>
    <w:rsid w:val="0021397C"/>
    <w:rsid w:val="00214463"/>
    <w:rsid w:val="00214756"/>
    <w:rsid w:val="00214CDC"/>
    <w:rsid w:val="00215824"/>
    <w:rsid w:val="00215C8E"/>
    <w:rsid w:val="00215CF2"/>
    <w:rsid w:val="00215D9F"/>
    <w:rsid w:val="00216310"/>
    <w:rsid w:val="00216BCE"/>
    <w:rsid w:val="00217867"/>
    <w:rsid w:val="00220542"/>
    <w:rsid w:val="00220D7F"/>
    <w:rsid w:val="002210EB"/>
    <w:rsid w:val="00221174"/>
    <w:rsid w:val="00222B4E"/>
    <w:rsid w:val="00222DE3"/>
    <w:rsid w:val="002233F0"/>
    <w:rsid w:val="0022347C"/>
    <w:rsid w:val="0022498A"/>
    <w:rsid w:val="00225756"/>
    <w:rsid w:val="00225ADC"/>
    <w:rsid w:val="00225CEB"/>
    <w:rsid w:val="00225FC3"/>
    <w:rsid w:val="0022692D"/>
    <w:rsid w:val="00230FFD"/>
    <w:rsid w:val="002310FE"/>
    <w:rsid w:val="002318F3"/>
    <w:rsid w:val="002330CE"/>
    <w:rsid w:val="0023323F"/>
    <w:rsid w:val="002334A5"/>
    <w:rsid w:val="00234202"/>
    <w:rsid w:val="002359EB"/>
    <w:rsid w:val="002363AB"/>
    <w:rsid w:val="00236933"/>
    <w:rsid w:val="0023727B"/>
    <w:rsid w:val="00237579"/>
    <w:rsid w:val="00237675"/>
    <w:rsid w:val="00237C6D"/>
    <w:rsid w:val="002401E6"/>
    <w:rsid w:val="0024096B"/>
    <w:rsid w:val="0024112E"/>
    <w:rsid w:val="00241582"/>
    <w:rsid w:val="00241B45"/>
    <w:rsid w:val="00241E77"/>
    <w:rsid w:val="002424D7"/>
    <w:rsid w:val="0024260D"/>
    <w:rsid w:val="00242657"/>
    <w:rsid w:val="002428F6"/>
    <w:rsid w:val="00242F49"/>
    <w:rsid w:val="00242FA2"/>
    <w:rsid w:val="00243BD8"/>
    <w:rsid w:val="00244740"/>
    <w:rsid w:val="00245012"/>
    <w:rsid w:val="0024504E"/>
    <w:rsid w:val="00245761"/>
    <w:rsid w:val="00245C29"/>
    <w:rsid w:val="002462DE"/>
    <w:rsid w:val="0024651F"/>
    <w:rsid w:val="00246775"/>
    <w:rsid w:val="00247729"/>
    <w:rsid w:val="0025158D"/>
    <w:rsid w:val="00251C7E"/>
    <w:rsid w:val="00252697"/>
    <w:rsid w:val="0025281A"/>
    <w:rsid w:val="00253D3C"/>
    <w:rsid w:val="002544D7"/>
    <w:rsid w:val="002546CC"/>
    <w:rsid w:val="00255292"/>
    <w:rsid w:val="00255A23"/>
    <w:rsid w:val="00257578"/>
    <w:rsid w:val="00257FB4"/>
    <w:rsid w:val="00260200"/>
    <w:rsid w:val="00260B06"/>
    <w:rsid w:val="00261D93"/>
    <w:rsid w:val="00261E26"/>
    <w:rsid w:val="00262029"/>
    <w:rsid w:val="002637E8"/>
    <w:rsid w:val="00263BBD"/>
    <w:rsid w:val="00264709"/>
    <w:rsid w:val="002648D8"/>
    <w:rsid w:val="00264D54"/>
    <w:rsid w:val="00265AFB"/>
    <w:rsid w:val="00267133"/>
    <w:rsid w:val="00267EE3"/>
    <w:rsid w:val="00267F59"/>
    <w:rsid w:val="002700E9"/>
    <w:rsid w:val="00270CE9"/>
    <w:rsid w:val="0027189F"/>
    <w:rsid w:val="00271B5C"/>
    <w:rsid w:val="00271DCB"/>
    <w:rsid w:val="0027235A"/>
    <w:rsid w:val="00273F86"/>
    <w:rsid w:val="00273FD9"/>
    <w:rsid w:val="002741BE"/>
    <w:rsid w:val="002742D7"/>
    <w:rsid w:val="002752EA"/>
    <w:rsid w:val="00275EAD"/>
    <w:rsid w:val="00276B03"/>
    <w:rsid w:val="002773FB"/>
    <w:rsid w:val="002774F0"/>
    <w:rsid w:val="00277722"/>
    <w:rsid w:val="00280DB6"/>
    <w:rsid w:val="002813C5"/>
    <w:rsid w:val="00282C23"/>
    <w:rsid w:val="0028315D"/>
    <w:rsid w:val="00283687"/>
    <w:rsid w:val="00283885"/>
    <w:rsid w:val="002839A4"/>
    <w:rsid w:val="0028459B"/>
    <w:rsid w:val="00284C5F"/>
    <w:rsid w:val="0028507E"/>
    <w:rsid w:val="00286183"/>
    <w:rsid w:val="002862AE"/>
    <w:rsid w:val="002869EF"/>
    <w:rsid w:val="002873F0"/>
    <w:rsid w:val="00287762"/>
    <w:rsid w:val="00290793"/>
    <w:rsid w:val="00291097"/>
    <w:rsid w:val="002916E3"/>
    <w:rsid w:val="00291A70"/>
    <w:rsid w:val="00291F6F"/>
    <w:rsid w:val="002923B1"/>
    <w:rsid w:val="0029379A"/>
    <w:rsid w:val="00293C97"/>
    <w:rsid w:val="00294271"/>
    <w:rsid w:val="002942CB"/>
    <w:rsid w:val="00294431"/>
    <w:rsid w:val="00294D8F"/>
    <w:rsid w:val="00295D5A"/>
    <w:rsid w:val="00295E0F"/>
    <w:rsid w:val="002961CF"/>
    <w:rsid w:val="002964F9"/>
    <w:rsid w:val="0029690F"/>
    <w:rsid w:val="002969CC"/>
    <w:rsid w:val="0029732D"/>
    <w:rsid w:val="00297BC2"/>
    <w:rsid w:val="00297D85"/>
    <w:rsid w:val="002A07F4"/>
    <w:rsid w:val="002A090A"/>
    <w:rsid w:val="002A0B47"/>
    <w:rsid w:val="002A1381"/>
    <w:rsid w:val="002A1F14"/>
    <w:rsid w:val="002A2678"/>
    <w:rsid w:val="002A2901"/>
    <w:rsid w:val="002A2A5F"/>
    <w:rsid w:val="002A2E01"/>
    <w:rsid w:val="002A32E5"/>
    <w:rsid w:val="002A362E"/>
    <w:rsid w:val="002A398F"/>
    <w:rsid w:val="002A3DFD"/>
    <w:rsid w:val="002A46A7"/>
    <w:rsid w:val="002A5C6B"/>
    <w:rsid w:val="002A5D31"/>
    <w:rsid w:val="002A5EF1"/>
    <w:rsid w:val="002A63AC"/>
    <w:rsid w:val="002A6A99"/>
    <w:rsid w:val="002A714F"/>
    <w:rsid w:val="002A75D7"/>
    <w:rsid w:val="002B02AE"/>
    <w:rsid w:val="002B0556"/>
    <w:rsid w:val="002B09C0"/>
    <w:rsid w:val="002B1851"/>
    <w:rsid w:val="002B232B"/>
    <w:rsid w:val="002B27FF"/>
    <w:rsid w:val="002B2F4E"/>
    <w:rsid w:val="002B465E"/>
    <w:rsid w:val="002B5C8E"/>
    <w:rsid w:val="002B6793"/>
    <w:rsid w:val="002B6F27"/>
    <w:rsid w:val="002B780B"/>
    <w:rsid w:val="002B7F59"/>
    <w:rsid w:val="002C1260"/>
    <w:rsid w:val="002C1726"/>
    <w:rsid w:val="002C21A6"/>
    <w:rsid w:val="002C26D5"/>
    <w:rsid w:val="002C3EAB"/>
    <w:rsid w:val="002C4E82"/>
    <w:rsid w:val="002C5777"/>
    <w:rsid w:val="002C5889"/>
    <w:rsid w:val="002C65FA"/>
    <w:rsid w:val="002C661D"/>
    <w:rsid w:val="002C6C89"/>
    <w:rsid w:val="002C758F"/>
    <w:rsid w:val="002C7C89"/>
    <w:rsid w:val="002D0054"/>
    <w:rsid w:val="002D174A"/>
    <w:rsid w:val="002D1A0F"/>
    <w:rsid w:val="002D22BF"/>
    <w:rsid w:val="002D237C"/>
    <w:rsid w:val="002D32E3"/>
    <w:rsid w:val="002D33F1"/>
    <w:rsid w:val="002D344B"/>
    <w:rsid w:val="002D353D"/>
    <w:rsid w:val="002D5076"/>
    <w:rsid w:val="002D52AD"/>
    <w:rsid w:val="002D58D8"/>
    <w:rsid w:val="002D5EB1"/>
    <w:rsid w:val="002E0394"/>
    <w:rsid w:val="002E0644"/>
    <w:rsid w:val="002E0FEB"/>
    <w:rsid w:val="002E171B"/>
    <w:rsid w:val="002E23A0"/>
    <w:rsid w:val="002E2E3E"/>
    <w:rsid w:val="002E319D"/>
    <w:rsid w:val="002E4AD5"/>
    <w:rsid w:val="002E4C2D"/>
    <w:rsid w:val="002E63B8"/>
    <w:rsid w:val="002F0F79"/>
    <w:rsid w:val="002F1C9E"/>
    <w:rsid w:val="002F1EB2"/>
    <w:rsid w:val="002F2359"/>
    <w:rsid w:val="002F25C3"/>
    <w:rsid w:val="002F280E"/>
    <w:rsid w:val="002F2CBB"/>
    <w:rsid w:val="002F3470"/>
    <w:rsid w:val="002F3709"/>
    <w:rsid w:val="002F3A6C"/>
    <w:rsid w:val="002F3F8C"/>
    <w:rsid w:val="002F4296"/>
    <w:rsid w:val="002F4B0F"/>
    <w:rsid w:val="002F5777"/>
    <w:rsid w:val="002F60EA"/>
    <w:rsid w:val="002F6772"/>
    <w:rsid w:val="002F680E"/>
    <w:rsid w:val="002F6FFD"/>
    <w:rsid w:val="002F7DF4"/>
    <w:rsid w:val="00300454"/>
    <w:rsid w:val="00300871"/>
    <w:rsid w:val="00300951"/>
    <w:rsid w:val="00300E8A"/>
    <w:rsid w:val="003023C9"/>
    <w:rsid w:val="00302CA8"/>
    <w:rsid w:val="00302DE9"/>
    <w:rsid w:val="00304860"/>
    <w:rsid w:val="00304E23"/>
    <w:rsid w:val="00305084"/>
    <w:rsid w:val="00306408"/>
    <w:rsid w:val="00307249"/>
    <w:rsid w:val="0031007A"/>
    <w:rsid w:val="00310315"/>
    <w:rsid w:val="003104B9"/>
    <w:rsid w:val="00312122"/>
    <w:rsid w:val="00312C47"/>
    <w:rsid w:val="00312DAE"/>
    <w:rsid w:val="00313000"/>
    <w:rsid w:val="003132DB"/>
    <w:rsid w:val="00313336"/>
    <w:rsid w:val="003137CA"/>
    <w:rsid w:val="00313918"/>
    <w:rsid w:val="003153CB"/>
    <w:rsid w:val="0031604C"/>
    <w:rsid w:val="003166DE"/>
    <w:rsid w:val="003171A3"/>
    <w:rsid w:val="00317226"/>
    <w:rsid w:val="003201F9"/>
    <w:rsid w:val="003204E9"/>
    <w:rsid w:val="0032050A"/>
    <w:rsid w:val="00320AF3"/>
    <w:rsid w:val="00320B7B"/>
    <w:rsid w:val="0032160D"/>
    <w:rsid w:val="00321618"/>
    <w:rsid w:val="00321E8C"/>
    <w:rsid w:val="00321FDA"/>
    <w:rsid w:val="00322318"/>
    <w:rsid w:val="003224FE"/>
    <w:rsid w:val="00322A86"/>
    <w:rsid w:val="00323041"/>
    <w:rsid w:val="00323AE8"/>
    <w:rsid w:val="00323B32"/>
    <w:rsid w:val="00324548"/>
    <w:rsid w:val="003251F4"/>
    <w:rsid w:val="003253A7"/>
    <w:rsid w:val="00325408"/>
    <w:rsid w:val="00325504"/>
    <w:rsid w:val="00326927"/>
    <w:rsid w:val="00326CB3"/>
    <w:rsid w:val="00327090"/>
    <w:rsid w:val="003303E3"/>
    <w:rsid w:val="00330478"/>
    <w:rsid w:val="00330651"/>
    <w:rsid w:val="00331A88"/>
    <w:rsid w:val="003329EA"/>
    <w:rsid w:val="00332C6E"/>
    <w:rsid w:val="00332D73"/>
    <w:rsid w:val="00332F24"/>
    <w:rsid w:val="003338BE"/>
    <w:rsid w:val="00333D8E"/>
    <w:rsid w:val="00336AA2"/>
    <w:rsid w:val="00337B1B"/>
    <w:rsid w:val="00337FC0"/>
    <w:rsid w:val="003405DA"/>
    <w:rsid w:val="003407A5"/>
    <w:rsid w:val="0034096C"/>
    <w:rsid w:val="003410A1"/>
    <w:rsid w:val="00341188"/>
    <w:rsid w:val="0034147B"/>
    <w:rsid w:val="003424CB"/>
    <w:rsid w:val="003439DB"/>
    <w:rsid w:val="003444EB"/>
    <w:rsid w:val="00344ED6"/>
    <w:rsid w:val="00344FBE"/>
    <w:rsid w:val="003465F9"/>
    <w:rsid w:val="00346759"/>
    <w:rsid w:val="00350238"/>
    <w:rsid w:val="003502AD"/>
    <w:rsid w:val="0035109C"/>
    <w:rsid w:val="00351752"/>
    <w:rsid w:val="00351F0A"/>
    <w:rsid w:val="00352648"/>
    <w:rsid w:val="00352EBB"/>
    <w:rsid w:val="00353AC6"/>
    <w:rsid w:val="003542B7"/>
    <w:rsid w:val="0035432B"/>
    <w:rsid w:val="00354765"/>
    <w:rsid w:val="00354E10"/>
    <w:rsid w:val="00355CDA"/>
    <w:rsid w:val="00357B15"/>
    <w:rsid w:val="00357BA8"/>
    <w:rsid w:val="00357BB3"/>
    <w:rsid w:val="003602EA"/>
    <w:rsid w:val="00360905"/>
    <w:rsid w:val="00360E5D"/>
    <w:rsid w:val="00360F81"/>
    <w:rsid w:val="00361E7E"/>
    <w:rsid w:val="003648F2"/>
    <w:rsid w:val="00364FA1"/>
    <w:rsid w:val="00365873"/>
    <w:rsid w:val="00366B02"/>
    <w:rsid w:val="003671F5"/>
    <w:rsid w:val="00370005"/>
    <w:rsid w:val="00370AA4"/>
    <w:rsid w:val="00370FB7"/>
    <w:rsid w:val="003711F2"/>
    <w:rsid w:val="003717FC"/>
    <w:rsid w:val="00371FF4"/>
    <w:rsid w:val="003723C2"/>
    <w:rsid w:val="0037269C"/>
    <w:rsid w:val="0037275D"/>
    <w:rsid w:val="00372797"/>
    <w:rsid w:val="00373C7E"/>
    <w:rsid w:val="0037470E"/>
    <w:rsid w:val="00375CC4"/>
    <w:rsid w:val="00376103"/>
    <w:rsid w:val="003767B3"/>
    <w:rsid w:val="00376B49"/>
    <w:rsid w:val="00376FC5"/>
    <w:rsid w:val="00377520"/>
    <w:rsid w:val="00380D36"/>
    <w:rsid w:val="00380F49"/>
    <w:rsid w:val="003822D3"/>
    <w:rsid w:val="003828F5"/>
    <w:rsid w:val="0038480C"/>
    <w:rsid w:val="00384DC9"/>
    <w:rsid w:val="003854F4"/>
    <w:rsid w:val="0038566E"/>
    <w:rsid w:val="00385AA6"/>
    <w:rsid w:val="00385C66"/>
    <w:rsid w:val="00386630"/>
    <w:rsid w:val="00386A6C"/>
    <w:rsid w:val="00387876"/>
    <w:rsid w:val="00390379"/>
    <w:rsid w:val="00390741"/>
    <w:rsid w:val="003909FB"/>
    <w:rsid w:val="00390B25"/>
    <w:rsid w:val="00390DD9"/>
    <w:rsid w:val="0039116E"/>
    <w:rsid w:val="0039279A"/>
    <w:rsid w:val="00392958"/>
    <w:rsid w:val="00392AE5"/>
    <w:rsid w:val="00395B3E"/>
    <w:rsid w:val="00395CAA"/>
    <w:rsid w:val="00396588"/>
    <w:rsid w:val="00396863"/>
    <w:rsid w:val="00396EA4"/>
    <w:rsid w:val="00397156"/>
    <w:rsid w:val="00397960"/>
    <w:rsid w:val="003A0663"/>
    <w:rsid w:val="003A0690"/>
    <w:rsid w:val="003A0FD0"/>
    <w:rsid w:val="003A1FE0"/>
    <w:rsid w:val="003A3B3B"/>
    <w:rsid w:val="003A3BC4"/>
    <w:rsid w:val="003A3F9D"/>
    <w:rsid w:val="003A458A"/>
    <w:rsid w:val="003A4FE2"/>
    <w:rsid w:val="003A551D"/>
    <w:rsid w:val="003A5B8B"/>
    <w:rsid w:val="003A7E6F"/>
    <w:rsid w:val="003B05F2"/>
    <w:rsid w:val="003B0D04"/>
    <w:rsid w:val="003B130C"/>
    <w:rsid w:val="003B208E"/>
    <w:rsid w:val="003B2F13"/>
    <w:rsid w:val="003B3353"/>
    <w:rsid w:val="003B405E"/>
    <w:rsid w:val="003B4712"/>
    <w:rsid w:val="003B47EB"/>
    <w:rsid w:val="003B48BA"/>
    <w:rsid w:val="003B5508"/>
    <w:rsid w:val="003B57D3"/>
    <w:rsid w:val="003B59CA"/>
    <w:rsid w:val="003B6067"/>
    <w:rsid w:val="003B6141"/>
    <w:rsid w:val="003B7CF8"/>
    <w:rsid w:val="003C0892"/>
    <w:rsid w:val="003C08E3"/>
    <w:rsid w:val="003C09B5"/>
    <w:rsid w:val="003C0F62"/>
    <w:rsid w:val="003C1176"/>
    <w:rsid w:val="003C1D9A"/>
    <w:rsid w:val="003C1F58"/>
    <w:rsid w:val="003C48B1"/>
    <w:rsid w:val="003C57A7"/>
    <w:rsid w:val="003C5AF2"/>
    <w:rsid w:val="003C5C2B"/>
    <w:rsid w:val="003C6943"/>
    <w:rsid w:val="003C6BD2"/>
    <w:rsid w:val="003C7294"/>
    <w:rsid w:val="003C792F"/>
    <w:rsid w:val="003C7ABD"/>
    <w:rsid w:val="003C7C3D"/>
    <w:rsid w:val="003D0669"/>
    <w:rsid w:val="003D08F8"/>
    <w:rsid w:val="003D124B"/>
    <w:rsid w:val="003D18F3"/>
    <w:rsid w:val="003D2CC1"/>
    <w:rsid w:val="003D4FFC"/>
    <w:rsid w:val="003D51ED"/>
    <w:rsid w:val="003D569B"/>
    <w:rsid w:val="003D637D"/>
    <w:rsid w:val="003D66E3"/>
    <w:rsid w:val="003D746C"/>
    <w:rsid w:val="003D78B5"/>
    <w:rsid w:val="003D7A7D"/>
    <w:rsid w:val="003E04AE"/>
    <w:rsid w:val="003E099F"/>
    <w:rsid w:val="003E17DE"/>
    <w:rsid w:val="003E19FF"/>
    <w:rsid w:val="003E1E98"/>
    <w:rsid w:val="003E244F"/>
    <w:rsid w:val="003E3705"/>
    <w:rsid w:val="003E37AE"/>
    <w:rsid w:val="003E4D87"/>
    <w:rsid w:val="003E5165"/>
    <w:rsid w:val="003E53AD"/>
    <w:rsid w:val="003E62A6"/>
    <w:rsid w:val="003E695F"/>
    <w:rsid w:val="003E6C9B"/>
    <w:rsid w:val="003E6D39"/>
    <w:rsid w:val="003E709C"/>
    <w:rsid w:val="003E712E"/>
    <w:rsid w:val="003E726D"/>
    <w:rsid w:val="003E73C3"/>
    <w:rsid w:val="003E7B89"/>
    <w:rsid w:val="003F0B30"/>
    <w:rsid w:val="003F0FA3"/>
    <w:rsid w:val="003F276B"/>
    <w:rsid w:val="003F3B08"/>
    <w:rsid w:val="003F4241"/>
    <w:rsid w:val="003F4597"/>
    <w:rsid w:val="003F4B8A"/>
    <w:rsid w:val="003F62BB"/>
    <w:rsid w:val="003F6580"/>
    <w:rsid w:val="003F6FEC"/>
    <w:rsid w:val="003F79D5"/>
    <w:rsid w:val="003F7C45"/>
    <w:rsid w:val="00400241"/>
    <w:rsid w:val="00401314"/>
    <w:rsid w:val="0040132C"/>
    <w:rsid w:val="0040141B"/>
    <w:rsid w:val="00401C86"/>
    <w:rsid w:val="0040231A"/>
    <w:rsid w:val="004036C3"/>
    <w:rsid w:val="00403F0C"/>
    <w:rsid w:val="004049BD"/>
    <w:rsid w:val="00404EB5"/>
    <w:rsid w:val="00405085"/>
    <w:rsid w:val="00405D28"/>
    <w:rsid w:val="004066FC"/>
    <w:rsid w:val="004067B4"/>
    <w:rsid w:val="00407481"/>
    <w:rsid w:val="0040762F"/>
    <w:rsid w:val="00407C10"/>
    <w:rsid w:val="00407E90"/>
    <w:rsid w:val="004113B4"/>
    <w:rsid w:val="00413323"/>
    <w:rsid w:val="00414503"/>
    <w:rsid w:val="00414827"/>
    <w:rsid w:val="004153B3"/>
    <w:rsid w:val="004156D3"/>
    <w:rsid w:val="00415772"/>
    <w:rsid w:val="004163FD"/>
    <w:rsid w:val="0041683D"/>
    <w:rsid w:val="00416AEB"/>
    <w:rsid w:val="00416C10"/>
    <w:rsid w:val="00417976"/>
    <w:rsid w:val="00417A0E"/>
    <w:rsid w:val="0042053A"/>
    <w:rsid w:val="004213D6"/>
    <w:rsid w:val="00421C75"/>
    <w:rsid w:val="00422440"/>
    <w:rsid w:val="00422916"/>
    <w:rsid w:val="00422F49"/>
    <w:rsid w:val="00423984"/>
    <w:rsid w:val="00423BA3"/>
    <w:rsid w:val="00424213"/>
    <w:rsid w:val="00424EF3"/>
    <w:rsid w:val="004267DB"/>
    <w:rsid w:val="004268BB"/>
    <w:rsid w:val="00426A4B"/>
    <w:rsid w:val="00427D2F"/>
    <w:rsid w:val="00430724"/>
    <w:rsid w:val="00431047"/>
    <w:rsid w:val="00431B86"/>
    <w:rsid w:val="00431E4A"/>
    <w:rsid w:val="00432B85"/>
    <w:rsid w:val="00433EED"/>
    <w:rsid w:val="004345BA"/>
    <w:rsid w:val="00435BF3"/>
    <w:rsid w:val="00436166"/>
    <w:rsid w:val="00437334"/>
    <w:rsid w:val="00437C96"/>
    <w:rsid w:val="00437F46"/>
    <w:rsid w:val="004408EC"/>
    <w:rsid w:val="004416A4"/>
    <w:rsid w:val="00441E6A"/>
    <w:rsid w:val="00442AEE"/>
    <w:rsid w:val="00443C8F"/>
    <w:rsid w:val="00444105"/>
    <w:rsid w:val="00444C60"/>
    <w:rsid w:val="00444E35"/>
    <w:rsid w:val="0044502D"/>
    <w:rsid w:val="00445F6B"/>
    <w:rsid w:val="00447CEF"/>
    <w:rsid w:val="00447E28"/>
    <w:rsid w:val="00450BA9"/>
    <w:rsid w:val="00451388"/>
    <w:rsid w:val="00452481"/>
    <w:rsid w:val="004528FA"/>
    <w:rsid w:val="00453DC8"/>
    <w:rsid w:val="00455165"/>
    <w:rsid w:val="00455821"/>
    <w:rsid w:val="00456CA2"/>
    <w:rsid w:val="00457804"/>
    <w:rsid w:val="00460304"/>
    <w:rsid w:val="00460AEF"/>
    <w:rsid w:val="00460C52"/>
    <w:rsid w:val="00460EF9"/>
    <w:rsid w:val="00461001"/>
    <w:rsid w:val="00461729"/>
    <w:rsid w:val="00462279"/>
    <w:rsid w:val="004627DD"/>
    <w:rsid w:val="00463035"/>
    <w:rsid w:val="0046389C"/>
    <w:rsid w:val="00463BF5"/>
    <w:rsid w:val="004646BF"/>
    <w:rsid w:val="00464744"/>
    <w:rsid w:val="00465368"/>
    <w:rsid w:val="00465C9F"/>
    <w:rsid w:val="004665E3"/>
    <w:rsid w:val="0046760F"/>
    <w:rsid w:val="0047237D"/>
    <w:rsid w:val="00472561"/>
    <w:rsid w:val="004731F1"/>
    <w:rsid w:val="00473EB5"/>
    <w:rsid w:val="0047456B"/>
    <w:rsid w:val="00475251"/>
    <w:rsid w:val="00475872"/>
    <w:rsid w:val="0047594E"/>
    <w:rsid w:val="00477400"/>
    <w:rsid w:val="00477774"/>
    <w:rsid w:val="00480BC8"/>
    <w:rsid w:val="00481265"/>
    <w:rsid w:val="004814BF"/>
    <w:rsid w:val="00482649"/>
    <w:rsid w:val="00483630"/>
    <w:rsid w:val="004836EA"/>
    <w:rsid w:val="00483F72"/>
    <w:rsid w:val="00485215"/>
    <w:rsid w:val="00485340"/>
    <w:rsid w:val="0048587E"/>
    <w:rsid w:val="00487C2B"/>
    <w:rsid w:val="004900FF"/>
    <w:rsid w:val="0049125B"/>
    <w:rsid w:val="00491C58"/>
    <w:rsid w:val="00491FAB"/>
    <w:rsid w:val="00492081"/>
    <w:rsid w:val="0049227D"/>
    <w:rsid w:val="004926D2"/>
    <w:rsid w:val="0049297D"/>
    <w:rsid w:val="004929F2"/>
    <w:rsid w:val="00492F5E"/>
    <w:rsid w:val="00495A03"/>
    <w:rsid w:val="00495D1C"/>
    <w:rsid w:val="00495E28"/>
    <w:rsid w:val="00497079"/>
    <w:rsid w:val="00497450"/>
    <w:rsid w:val="00497F49"/>
    <w:rsid w:val="004A08B2"/>
    <w:rsid w:val="004A16E8"/>
    <w:rsid w:val="004A1BBA"/>
    <w:rsid w:val="004A207B"/>
    <w:rsid w:val="004A23C2"/>
    <w:rsid w:val="004A2CB1"/>
    <w:rsid w:val="004A3336"/>
    <w:rsid w:val="004A3E3C"/>
    <w:rsid w:val="004A4069"/>
    <w:rsid w:val="004A484E"/>
    <w:rsid w:val="004A4FB6"/>
    <w:rsid w:val="004A6513"/>
    <w:rsid w:val="004B0E6D"/>
    <w:rsid w:val="004B16E8"/>
    <w:rsid w:val="004B25B0"/>
    <w:rsid w:val="004B2CA5"/>
    <w:rsid w:val="004B412E"/>
    <w:rsid w:val="004B51C9"/>
    <w:rsid w:val="004B5B92"/>
    <w:rsid w:val="004B6250"/>
    <w:rsid w:val="004B66F3"/>
    <w:rsid w:val="004B76B1"/>
    <w:rsid w:val="004B7800"/>
    <w:rsid w:val="004C0057"/>
    <w:rsid w:val="004C0541"/>
    <w:rsid w:val="004C0BBF"/>
    <w:rsid w:val="004C1D08"/>
    <w:rsid w:val="004C1D55"/>
    <w:rsid w:val="004C255E"/>
    <w:rsid w:val="004C2836"/>
    <w:rsid w:val="004C2C35"/>
    <w:rsid w:val="004C2C46"/>
    <w:rsid w:val="004C3626"/>
    <w:rsid w:val="004C38F5"/>
    <w:rsid w:val="004C405B"/>
    <w:rsid w:val="004C4550"/>
    <w:rsid w:val="004C51A0"/>
    <w:rsid w:val="004C54CA"/>
    <w:rsid w:val="004C62FD"/>
    <w:rsid w:val="004C7235"/>
    <w:rsid w:val="004C75C5"/>
    <w:rsid w:val="004C7955"/>
    <w:rsid w:val="004D0213"/>
    <w:rsid w:val="004D047F"/>
    <w:rsid w:val="004D0ECC"/>
    <w:rsid w:val="004D1529"/>
    <w:rsid w:val="004D1C3E"/>
    <w:rsid w:val="004D228E"/>
    <w:rsid w:val="004D23E7"/>
    <w:rsid w:val="004D29F1"/>
    <w:rsid w:val="004D29F3"/>
    <w:rsid w:val="004D3D96"/>
    <w:rsid w:val="004D40BB"/>
    <w:rsid w:val="004D45BD"/>
    <w:rsid w:val="004D5316"/>
    <w:rsid w:val="004D575C"/>
    <w:rsid w:val="004D64B9"/>
    <w:rsid w:val="004D650F"/>
    <w:rsid w:val="004D7269"/>
    <w:rsid w:val="004D74EE"/>
    <w:rsid w:val="004D7F01"/>
    <w:rsid w:val="004E08FC"/>
    <w:rsid w:val="004E0ADE"/>
    <w:rsid w:val="004E0B6E"/>
    <w:rsid w:val="004E0F59"/>
    <w:rsid w:val="004E2133"/>
    <w:rsid w:val="004E2BD2"/>
    <w:rsid w:val="004E395B"/>
    <w:rsid w:val="004E3CB2"/>
    <w:rsid w:val="004E5EDB"/>
    <w:rsid w:val="004E60FB"/>
    <w:rsid w:val="004E73A5"/>
    <w:rsid w:val="004E758A"/>
    <w:rsid w:val="004E7BA7"/>
    <w:rsid w:val="004F1010"/>
    <w:rsid w:val="004F1C42"/>
    <w:rsid w:val="004F2340"/>
    <w:rsid w:val="004F23CE"/>
    <w:rsid w:val="004F2C5A"/>
    <w:rsid w:val="004F31EA"/>
    <w:rsid w:val="004F4601"/>
    <w:rsid w:val="004F69D2"/>
    <w:rsid w:val="004F6AA8"/>
    <w:rsid w:val="004F779C"/>
    <w:rsid w:val="004F7846"/>
    <w:rsid w:val="005000A6"/>
    <w:rsid w:val="005000D4"/>
    <w:rsid w:val="005004EE"/>
    <w:rsid w:val="005007AB"/>
    <w:rsid w:val="00500B1E"/>
    <w:rsid w:val="00500B24"/>
    <w:rsid w:val="00500C17"/>
    <w:rsid w:val="00501A91"/>
    <w:rsid w:val="00502416"/>
    <w:rsid w:val="0050264A"/>
    <w:rsid w:val="005027F4"/>
    <w:rsid w:val="00503085"/>
    <w:rsid w:val="005036C2"/>
    <w:rsid w:val="0050492E"/>
    <w:rsid w:val="005051C9"/>
    <w:rsid w:val="005060E7"/>
    <w:rsid w:val="00506389"/>
    <w:rsid w:val="00507000"/>
    <w:rsid w:val="00507FC5"/>
    <w:rsid w:val="00510A69"/>
    <w:rsid w:val="00510CAF"/>
    <w:rsid w:val="0051114C"/>
    <w:rsid w:val="00511597"/>
    <w:rsid w:val="00511915"/>
    <w:rsid w:val="005128C5"/>
    <w:rsid w:val="00512905"/>
    <w:rsid w:val="00512D8B"/>
    <w:rsid w:val="00512E85"/>
    <w:rsid w:val="0051346B"/>
    <w:rsid w:val="005136C7"/>
    <w:rsid w:val="005140E5"/>
    <w:rsid w:val="0051478B"/>
    <w:rsid w:val="00514C1C"/>
    <w:rsid w:val="0051524F"/>
    <w:rsid w:val="00515549"/>
    <w:rsid w:val="0051566A"/>
    <w:rsid w:val="00515D7B"/>
    <w:rsid w:val="00515DD8"/>
    <w:rsid w:val="0051658F"/>
    <w:rsid w:val="005166E9"/>
    <w:rsid w:val="00516B6F"/>
    <w:rsid w:val="00517917"/>
    <w:rsid w:val="0052009E"/>
    <w:rsid w:val="005200F7"/>
    <w:rsid w:val="00520AB5"/>
    <w:rsid w:val="00521568"/>
    <w:rsid w:val="00521596"/>
    <w:rsid w:val="00522066"/>
    <w:rsid w:val="005222FA"/>
    <w:rsid w:val="00522921"/>
    <w:rsid w:val="00524A64"/>
    <w:rsid w:val="00525740"/>
    <w:rsid w:val="00525E59"/>
    <w:rsid w:val="005278EE"/>
    <w:rsid w:val="00530A21"/>
    <w:rsid w:val="005310DD"/>
    <w:rsid w:val="00531851"/>
    <w:rsid w:val="005318CC"/>
    <w:rsid w:val="0053199E"/>
    <w:rsid w:val="00531D65"/>
    <w:rsid w:val="005334E4"/>
    <w:rsid w:val="005349B1"/>
    <w:rsid w:val="00535AA4"/>
    <w:rsid w:val="00535C00"/>
    <w:rsid w:val="00535DA3"/>
    <w:rsid w:val="005364A6"/>
    <w:rsid w:val="005364AE"/>
    <w:rsid w:val="0053652C"/>
    <w:rsid w:val="0053659B"/>
    <w:rsid w:val="005368A0"/>
    <w:rsid w:val="005374BC"/>
    <w:rsid w:val="00540257"/>
    <w:rsid w:val="0054097B"/>
    <w:rsid w:val="00540A78"/>
    <w:rsid w:val="005427DC"/>
    <w:rsid w:val="00543188"/>
    <w:rsid w:val="005432F0"/>
    <w:rsid w:val="00543367"/>
    <w:rsid w:val="0054384E"/>
    <w:rsid w:val="00543BFA"/>
    <w:rsid w:val="0054655E"/>
    <w:rsid w:val="00546601"/>
    <w:rsid w:val="00547D9C"/>
    <w:rsid w:val="00547DA1"/>
    <w:rsid w:val="005501BC"/>
    <w:rsid w:val="0055068D"/>
    <w:rsid w:val="00551BAB"/>
    <w:rsid w:val="00551C53"/>
    <w:rsid w:val="0055221B"/>
    <w:rsid w:val="005526DC"/>
    <w:rsid w:val="00552CFB"/>
    <w:rsid w:val="005531B6"/>
    <w:rsid w:val="005531DC"/>
    <w:rsid w:val="005535B7"/>
    <w:rsid w:val="00554CAC"/>
    <w:rsid w:val="0055513C"/>
    <w:rsid w:val="0055637C"/>
    <w:rsid w:val="00556B00"/>
    <w:rsid w:val="005573FE"/>
    <w:rsid w:val="0055753F"/>
    <w:rsid w:val="00557618"/>
    <w:rsid w:val="00557782"/>
    <w:rsid w:val="00560C94"/>
    <w:rsid w:val="00560FD5"/>
    <w:rsid w:val="005617A2"/>
    <w:rsid w:val="00561C0A"/>
    <w:rsid w:val="00562765"/>
    <w:rsid w:val="0056283B"/>
    <w:rsid w:val="0056291C"/>
    <w:rsid w:val="00562D8A"/>
    <w:rsid w:val="0056318B"/>
    <w:rsid w:val="0056363F"/>
    <w:rsid w:val="00563E82"/>
    <w:rsid w:val="005646BB"/>
    <w:rsid w:val="005647F9"/>
    <w:rsid w:val="00564B19"/>
    <w:rsid w:val="00564C4B"/>
    <w:rsid w:val="00565A63"/>
    <w:rsid w:val="00566588"/>
    <w:rsid w:val="0056662E"/>
    <w:rsid w:val="00566A26"/>
    <w:rsid w:val="00566B1D"/>
    <w:rsid w:val="00566F6B"/>
    <w:rsid w:val="00567012"/>
    <w:rsid w:val="00567EA5"/>
    <w:rsid w:val="00570050"/>
    <w:rsid w:val="00570514"/>
    <w:rsid w:val="005717F5"/>
    <w:rsid w:val="00571A41"/>
    <w:rsid w:val="005721D0"/>
    <w:rsid w:val="0057275D"/>
    <w:rsid w:val="00572919"/>
    <w:rsid w:val="00573820"/>
    <w:rsid w:val="00574103"/>
    <w:rsid w:val="00575B68"/>
    <w:rsid w:val="00575DA6"/>
    <w:rsid w:val="00576FEE"/>
    <w:rsid w:val="0057733C"/>
    <w:rsid w:val="0057737F"/>
    <w:rsid w:val="00577C32"/>
    <w:rsid w:val="005800A9"/>
    <w:rsid w:val="00580488"/>
    <w:rsid w:val="0058074D"/>
    <w:rsid w:val="00580FD1"/>
    <w:rsid w:val="00582FAD"/>
    <w:rsid w:val="00583489"/>
    <w:rsid w:val="0058391F"/>
    <w:rsid w:val="00583970"/>
    <w:rsid w:val="00583A80"/>
    <w:rsid w:val="00583E3F"/>
    <w:rsid w:val="00584114"/>
    <w:rsid w:val="00584188"/>
    <w:rsid w:val="00584E33"/>
    <w:rsid w:val="00585100"/>
    <w:rsid w:val="00585AD4"/>
    <w:rsid w:val="00586819"/>
    <w:rsid w:val="00586E9A"/>
    <w:rsid w:val="00587419"/>
    <w:rsid w:val="00590FE4"/>
    <w:rsid w:val="00591D9C"/>
    <w:rsid w:val="0059282D"/>
    <w:rsid w:val="00592B3C"/>
    <w:rsid w:val="005932C1"/>
    <w:rsid w:val="00593440"/>
    <w:rsid w:val="005936BF"/>
    <w:rsid w:val="00593D1E"/>
    <w:rsid w:val="00593DE5"/>
    <w:rsid w:val="0059592B"/>
    <w:rsid w:val="00595AB2"/>
    <w:rsid w:val="005961DD"/>
    <w:rsid w:val="00596617"/>
    <w:rsid w:val="00596CC4"/>
    <w:rsid w:val="00597057"/>
    <w:rsid w:val="005973A6"/>
    <w:rsid w:val="00597AAB"/>
    <w:rsid w:val="00597D8B"/>
    <w:rsid w:val="005A0742"/>
    <w:rsid w:val="005A1C30"/>
    <w:rsid w:val="005A31C9"/>
    <w:rsid w:val="005A3295"/>
    <w:rsid w:val="005A43BE"/>
    <w:rsid w:val="005A46FF"/>
    <w:rsid w:val="005A49A4"/>
    <w:rsid w:val="005A4AFF"/>
    <w:rsid w:val="005A65F0"/>
    <w:rsid w:val="005A724A"/>
    <w:rsid w:val="005A7758"/>
    <w:rsid w:val="005B011E"/>
    <w:rsid w:val="005B028B"/>
    <w:rsid w:val="005B1208"/>
    <w:rsid w:val="005B17ED"/>
    <w:rsid w:val="005B254A"/>
    <w:rsid w:val="005B2E84"/>
    <w:rsid w:val="005B352F"/>
    <w:rsid w:val="005B3C9F"/>
    <w:rsid w:val="005B3E66"/>
    <w:rsid w:val="005B3FE8"/>
    <w:rsid w:val="005B4215"/>
    <w:rsid w:val="005B436C"/>
    <w:rsid w:val="005B47C5"/>
    <w:rsid w:val="005B4B4F"/>
    <w:rsid w:val="005B4F97"/>
    <w:rsid w:val="005B52A4"/>
    <w:rsid w:val="005B5731"/>
    <w:rsid w:val="005B5CA4"/>
    <w:rsid w:val="005B6E01"/>
    <w:rsid w:val="005B7476"/>
    <w:rsid w:val="005B75B3"/>
    <w:rsid w:val="005B7688"/>
    <w:rsid w:val="005B7849"/>
    <w:rsid w:val="005B7B0E"/>
    <w:rsid w:val="005C0DFA"/>
    <w:rsid w:val="005C0FF0"/>
    <w:rsid w:val="005C1282"/>
    <w:rsid w:val="005C1524"/>
    <w:rsid w:val="005C219B"/>
    <w:rsid w:val="005C3618"/>
    <w:rsid w:val="005C3AFB"/>
    <w:rsid w:val="005C492F"/>
    <w:rsid w:val="005C4B4C"/>
    <w:rsid w:val="005C5409"/>
    <w:rsid w:val="005C55D8"/>
    <w:rsid w:val="005C55EF"/>
    <w:rsid w:val="005C628C"/>
    <w:rsid w:val="005C6765"/>
    <w:rsid w:val="005C69AC"/>
    <w:rsid w:val="005C722E"/>
    <w:rsid w:val="005C7576"/>
    <w:rsid w:val="005C7759"/>
    <w:rsid w:val="005D01A4"/>
    <w:rsid w:val="005D072B"/>
    <w:rsid w:val="005D15AE"/>
    <w:rsid w:val="005D1A7B"/>
    <w:rsid w:val="005D1EDD"/>
    <w:rsid w:val="005D2E84"/>
    <w:rsid w:val="005D456F"/>
    <w:rsid w:val="005D45B3"/>
    <w:rsid w:val="005D4AB3"/>
    <w:rsid w:val="005D4CEB"/>
    <w:rsid w:val="005D5344"/>
    <w:rsid w:val="005D5D64"/>
    <w:rsid w:val="005D5DA8"/>
    <w:rsid w:val="005D5E86"/>
    <w:rsid w:val="005D61EB"/>
    <w:rsid w:val="005D6241"/>
    <w:rsid w:val="005D78D1"/>
    <w:rsid w:val="005E0AE0"/>
    <w:rsid w:val="005E4EB2"/>
    <w:rsid w:val="005F04E6"/>
    <w:rsid w:val="005F057B"/>
    <w:rsid w:val="005F17EC"/>
    <w:rsid w:val="005F1C2F"/>
    <w:rsid w:val="005F26A9"/>
    <w:rsid w:val="005F39D5"/>
    <w:rsid w:val="005F3AB5"/>
    <w:rsid w:val="005F3E05"/>
    <w:rsid w:val="005F43B9"/>
    <w:rsid w:val="005F5256"/>
    <w:rsid w:val="005F55D6"/>
    <w:rsid w:val="005F5CA9"/>
    <w:rsid w:val="005F5D03"/>
    <w:rsid w:val="005F68CB"/>
    <w:rsid w:val="005F6BDE"/>
    <w:rsid w:val="005F72CF"/>
    <w:rsid w:val="00600242"/>
    <w:rsid w:val="0060066A"/>
    <w:rsid w:val="0060235D"/>
    <w:rsid w:val="006033E3"/>
    <w:rsid w:val="0060413F"/>
    <w:rsid w:val="00605FC7"/>
    <w:rsid w:val="00606218"/>
    <w:rsid w:val="00606CA3"/>
    <w:rsid w:val="00606E91"/>
    <w:rsid w:val="00607018"/>
    <w:rsid w:val="006073BA"/>
    <w:rsid w:val="006077ED"/>
    <w:rsid w:val="00607823"/>
    <w:rsid w:val="00610412"/>
    <w:rsid w:val="00610954"/>
    <w:rsid w:val="00610A19"/>
    <w:rsid w:val="00610CBE"/>
    <w:rsid w:val="00610E1F"/>
    <w:rsid w:val="0061321C"/>
    <w:rsid w:val="00614CA1"/>
    <w:rsid w:val="00615C2C"/>
    <w:rsid w:val="0062038A"/>
    <w:rsid w:val="006203A8"/>
    <w:rsid w:val="00620E59"/>
    <w:rsid w:val="00621132"/>
    <w:rsid w:val="00622656"/>
    <w:rsid w:val="006234C2"/>
    <w:rsid w:val="0062386E"/>
    <w:rsid w:val="00623D9A"/>
    <w:rsid w:val="00623F01"/>
    <w:rsid w:val="006242FB"/>
    <w:rsid w:val="00624738"/>
    <w:rsid w:val="00626E2D"/>
    <w:rsid w:val="006272DE"/>
    <w:rsid w:val="00627D94"/>
    <w:rsid w:val="00630017"/>
    <w:rsid w:val="006304D3"/>
    <w:rsid w:val="00630AB9"/>
    <w:rsid w:val="00630B42"/>
    <w:rsid w:val="0063104D"/>
    <w:rsid w:val="006310FC"/>
    <w:rsid w:val="00631688"/>
    <w:rsid w:val="006320D8"/>
    <w:rsid w:val="006321F5"/>
    <w:rsid w:val="00632540"/>
    <w:rsid w:val="00632E88"/>
    <w:rsid w:val="0063454C"/>
    <w:rsid w:val="00634DBB"/>
    <w:rsid w:val="00637C26"/>
    <w:rsid w:val="00640732"/>
    <w:rsid w:val="00641BFC"/>
    <w:rsid w:val="00642072"/>
    <w:rsid w:val="00643BA5"/>
    <w:rsid w:val="006440ED"/>
    <w:rsid w:val="0064467C"/>
    <w:rsid w:val="00644AB5"/>
    <w:rsid w:val="00645213"/>
    <w:rsid w:val="00645293"/>
    <w:rsid w:val="00645980"/>
    <w:rsid w:val="006468CB"/>
    <w:rsid w:val="00650E05"/>
    <w:rsid w:val="00651A3C"/>
    <w:rsid w:val="00651B78"/>
    <w:rsid w:val="00652263"/>
    <w:rsid w:val="0065238F"/>
    <w:rsid w:val="006523FC"/>
    <w:rsid w:val="00652881"/>
    <w:rsid w:val="00652985"/>
    <w:rsid w:val="006533AE"/>
    <w:rsid w:val="0065374C"/>
    <w:rsid w:val="006542A8"/>
    <w:rsid w:val="006551AE"/>
    <w:rsid w:val="00655D85"/>
    <w:rsid w:val="00655F30"/>
    <w:rsid w:val="00657420"/>
    <w:rsid w:val="00657D9D"/>
    <w:rsid w:val="00661974"/>
    <w:rsid w:val="006623E2"/>
    <w:rsid w:val="006624E3"/>
    <w:rsid w:val="006640F9"/>
    <w:rsid w:val="00664551"/>
    <w:rsid w:val="00664685"/>
    <w:rsid w:val="00664B95"/>
    <w:rsid w:val="00665D5F"/>
    <w:rsid w:val="00666372"/>
    <w:rsid w:val="00666D50"/>
    <w:rsid w:val="006676A0"/>
    <w:rsid w:val="006704F3"/>
    <w:rsid w:val="00670857"/>
    <w:rsid w:val="00671124"/>
    <w:rsid w:val="0067271C"/>
    <w:rsid w:val="006727B0"/>
    <w:rsid w:val="00672869"/>
    <w:rsid w:val="00672F43"/>
    <w:rsid w:val="0067307E"/>
    <w:rsid w:val="006739C0"/>
    <w:rsid w:val="00673F6D"/>
    <w:rsid w:val="00674850"/>
    <w:rsid w:val="00675116"/>
    <w:rsid w:val="00675D03"/>
    <w:rsid w:val="00676016"/>
    <w:rsid w:val="00676EA7"/>
    <w:rsid w:val="00680CD4"/>
    <w:rsid w:val="00682AAC"/>
    <w:rsid w:val="00682EFD"/>
    <w:rsid w:val="006833F0"/>
    <w:rsid w:val="00683F61"/>
    <w:rsid w:val="00685E80"/>
    <w:rsid w:val="00686A36"/>
    <w:rsid w:val="0068776C"/>
    <w:rsid w:val="00687AD5"/>
    <w:rsid w:val="0069211A"/>
    <w:rsid w:val="00692B81"/>
    <w:rsid w:val="00692C4F"/>
    <w:rsid w:val="00692F83"/>
    <w:rsid w:val="0069389C"/>
    <w:rsid w:val="006949D2"/>
    <w:rsid w:val="00694C5F"/>
    <w:rsid w:val="00695027"/>
    <w:rsid w:val="00695251"/>
    <w:rsid w:val="006953EF"/>
    <w:rsid w:val="00695498"/>
    <w:rsid w:val="00695689"/>
    <w:rsid w:val="00695ADE"/>
    <w:rsid w:val="00695C0D"/>
    <w:rsid w:val="00695CAE"/>
    <w:rsid w:val="00696356"/>
    <w:rsid w:val="00696586"/>
    <w:rsid w:val="006968EA"/>
    <w:rsid w:val="0069776C"/>
    <w:rsid w:val="006A015D"/>
    <w:rsid w:val="006A1415"/>
    <w:rsid w:val="006A1645"/>
    <w:rsid w:val="006A2EA3"/>
    <w:rsid w:val="006A3CC1"/>
    <w:rsid w:val="006A4899"/>
    <w:rsid w:val="006A4B92"/>
    <w:rsid w:val="006A62E1"/>
    <w:rsid w:val="006A6566"/>
    <w:rsid w:val="006A72C6"/>
    <w:rsid w:val="006A7310"/>
    <w:rsid w:val="006A74F4"/>
    <w:rsid w:val="006A7E68"/>
    <w:rsid w:val="006B02DA"/>
    <w:rsid w:val="006B08FB"/>
    <w:rsid w:val="006B0E37"/>
    <w:rsid w:val="006B2065"/>
    <w:rsid w:val="006B275B"/>
    <w:rsid w:val="006B30BF"/>
    <w:rsid w:val="006B38C6"/>
    <w:rsid w:val="006B3940"/>
    <w:rsid w:val="006B45A6"/>
    <w:rsid w:val="006B6275"/>
    <w:rsid w:val="006B62F0"/>
    <w:rsid w:val="006B686C"/>
    <w:rsid w:val="006B6C6B"/>
    <w:rsid w:val="006B6F85"/>
    <w:rsid w:val="006B77AE"/>
    <w:rsid w:val="006B7D5F"/>
    <w:rsid w:val="006C013C"/>
    <w:rsid w:val="006C09B6"/>
    <w:rsid w:val="006C168D"/>
    <w:rsid w:val="006C2116"/>
    <w:rsid w:val="006C2BF5"/>
    <w:rsid w:val="006C4A40"/>
    <w:rsid w:val="006C4E56"/>
    <w:rsid w:val="006C61CD"/>
    <w:rsid w:val="006C642C"/>
    <w:rsid w:val="006C6491"/>
    <w:rsid w:val="006C6FC6"/>
    <w:rsid w:val="006C7BB9"/>
    <w:rsid w:val="006C7D50"/>
    <w:rsid w:val="006D141C"/>
    <w:rsid w:val="006D2425"/>
    <w:rsid w:val="006D2A81"/>
    <w:rsid w:val="006D2CF3"/>
    <w:rsid w:val="006D2D08"/>
    <w:rsid w:val="006D2F35"/>
    <w:rsid w:val="006D3228"/>
    <w:rsid w:val="006D349E"/>
    <w:rsid w:val="006D41EF"/>
    <w:rsid w:val="006D4A94"/>
    <w:rsid w:val="006D53AA"/>
    <w:rsid w:val="006D6993"/>
    <w:rsid w:val="006D6B92"/>
    <w:rsid w:val="006E0D09"/>
    <w:rsid w:val="006E241F"/>
    <w:rsid w:val="006E24EE"/>
    <w:rsid w:val="006E25BD"/>
    <w:rsid w:val="006E3379"/>
    <w:rsid w:val="006E33C9"/>
    <w:rsid w:val="006E34B7"/>
    <w:rsid w:val="006E36B8"/>
    <w:rsid w:val="006E3874"/>
    <w:rsid w:val="006E50C7"/>
    <w:rsid w:val="006E5585"/>
    <w:rsid w:val="006E5E32"/>
    <w:rsid w:val="006E6196"/>
    <w:rsid w:val="006E633A"/>
    <w:rsid w:val="006E6A14"/>
    <w:rsid w:val="006E6B16"/>
    <w:rsid w:val="006E6DE8"/>
    <w:rsid w:val="006E780C"/>
    <w:rsid w:val="006F0820"/>
    <w:rsid w:val="006F0B8C"/>
    <w:rsid w:val="006F0BA7"/>
    <w:rsid w:val="006F0F01"/>
    <w:rsid w:val="006F174D"/>
    <w:rsid w:val="006F1F41"/>
    <w:rsid w:val="006F32EF"/>
    <w:rsid w:val="006F3615"/>
    <w:rsid w:val="006F3C54"/>
    <w:rsid w:val="006F4CD8"/>
    <w:rsid w:val="006F53D9"/>
    <w:rsid w:val="006F5812"/>
    <w:rsid w:val="006F609A"/>
    <w:rsid w:val="006F69A3"/>
    <w:rsid w:val="007004DC"/>
    <w:rsid w:val="00700C00"/>
    <w:rsid w:val="00701093"/>
    <w:rsid w:val="00701155"/>
    <w:rsid w:val="007013D9"/>
    <w:rsid w:val="007022C4"/>
    <w:rsid w:val="007026E9"/>
    <w:rsid w:val="00703C8B"/>
    <w:rsid w:val="00703E8A"/>
    <w:rsid w:val="00704F60"/>
    <w:rsid w:val="007056F3"/>
    <w:rsid w:val="00705A28"/>
    <w:rsid w:val="00706EA3"/>
    <w:rsid w:val="007078BE"/>
    <w:rsid w:val="00707A3C"/>
    <w:rsid w:val="00707CDD"/>
    <w:rsid w:val="00707FDA"/>
    <w:rsid w:val="00710BF6"/>
    <w:rsid w:val="007113D5"/>
    <w:rsid w:val="00711522"/>
    <w:rsid w:val="007118A6"/>
    <w:rsid w:val="007124FE"/>
    <w:rsid w:val="00712533"/>
    <w:rsid w:val="00713186"/>
    <w:rsid w:val="00713757"/>
    <w:rsid w:val="00713758"/>
    <w:rsid w:val="007137D8"/>
    <w:rsid w:val="00714064"/>
    <w:rsid w:val="0071409E"/>
    <w:rsid w:val="00714192"/>
    <w:rsid w:val="00715E29"/>
    <w:rsid w:val="00717772"/>
    <w:rsid w:val="007200E5"/>
    <w:rsid w:val="00720C17"/>
    <w:rsid w:val="0072139B"/>
    <w:rsid w:val="00721AF1"/>
    <w:rsid w:val="0072280F"/>
    <w:rsid w:val="00722B5E"/>
    <w:rsid w:val="00722BC5"/>
    <w:rsid w:val="00722EBF"/>
    <w:rsid w:val="007235F5"/>
    <w:rsid w:val="007236F8"/>
    <w:rsid w:val="00723B2C"/>
    <w:rsid w:val="00723D38"/>
    <w:rsid w:val="007253CC"/>
    <w:rsid w:val="00726452"/>
    <w:rsid w:val="00726F5A"/>
    <w:rsid w:val="0072708F"/>
    <w:rsid w:val="007279F4"/>
    <w:rsid w:val="00730935"/>
    <w:rsid w:val="00730E81"/>
    <w:rsid w:val="00731000"/>
    <w:rsid w:val="00731204"/>
    <w:rsid w:val="007319BC"/>
    <w:rsid w:val="0073222B"/>
    <w:rsid w:val="00732517"/>
    <w:rsid w:val="00732582"/>
    <w:rsid w:val="00732D1D"/>
    <w:rsid w:val="007332C4"/>
    <w:rsid w:val="0073364B"/>
    <w:rsid w:val="00734381"/>
    <w:rsid w:val="00736034"/>
    <w:rsid w:val="0073681C"/>
    <w:rsid w:val="00736C4E"/>
    <w:rsid w:val="0073725B"/>
    <w:rsid w:val="0074033C"/>
    <w:rsid w:val="0074050E"/>
    <w:rsid w:val="00740B66"/>
    <w:rsid w:val="00741AF8"/>
    <w:rsid w:val="00741EBE"/>
    <w:rsid w:val="00742181"/>
    <w:rsid w:val="007424EC"/>
    <w:rsid w:val="00742EDA"/>
    <w:rsid w:val="00742F5D"/>
    <w:rsid w:val="007440FA"/>
    <w:rsid w:val="00744201"/>
    <w:rsid w:val="0074460E"/>
    <w:rsid w:val="00744A47"/>
    <w:rsid w:val="00744E53"/>
    <w:rsid w:val="00745B3E"/>
    <w:rsid w:val="00745FCE"/>
    <w:rsid w:val="00746130"/>
    <w:rsid w:val="007468E6"/>
    <w:rsid w:val="00746A40"/>
    <w:rsid w:val="00746E6A"/>
    <w:rsid w:val="00747598"/>
    <w:rsid w:val="00750358"/>
    <w:rsid w:val="007520A3"/>
    <w:rsid w:val="007526F5"/>
    <w:rsid w:val="00753C69"/>
    <w:rsid w:val="007540CB"/>
    <w:rsid w:val="00754717"/>
    <w:rsid w:val="00754836"/>
    <w:rsid w:val="00754FB9"/>
    <w:rsid w:val="00755CDF"/>
    <w:rsid w:val="00756AD3"/>
    <w:rsid w:val="00757042"/>
    <w:rsid w:val="007578C3"/>
    <w:rsid w:val="00757A4C"/>
    <w:rsid w:val="00760895"/>
    <w:rsid w:val="00761D02"/>
    <w:rsid w:val="00762ABF"/>
    <w:rsid w:val="00763FE6"/>
    <w:rsid w:val="00764A94"/>
    <w:rsid w:val="00764B26"/>
    <w:rsid w:val="00764DBA"/>
    <w:rsid w:val="00764EA6"/>
    <w:rsid w:val="007651A9"/>
    <w:rsid w:val="007651E5"/>
    <w:rsid w:val="0076524F"/>
    <w:rsid w:val="00765584"/>
    <w:rsid w:val="0076646B"/>
    <w:rsid w:val="007665B2"/>
    <w:rsid w:val="00766709"/>
    <w:rsid w:val="007670DC"/>
    <w:rsid w:val="00767356"/>
    <w:rsid w:val="00767EA9"/>
    <w:rsid w:val="007705D4"/>
    <w:rsid w:val="00770F2A"/>
    <w:rsid w:val="0077111A"/>
    <w:rsid w:val="0077213A"/>
    <w:rsid w:val="00772272"/>
    <w:rsid w:val="0077369F"/>
    <w:rsid w:val="0077463A"/>
    <w:rsid w:val="00774AB3"/>
    <w:rsid w:val="00774D0F"/>
    <w:rsid w:val="00774D7B"/>
    <w:rsid w:val="007756ED"/>
    <w:rsid w:val="0077589D"/>
    <w:rsid w:val="00776075"/>
    <w:rsid w:val="0077617F"/>
    <w:rsid w:val="00776A3D"/>
    <w:rsid w:val="0077707A"/>
    <w:rsid w:val="0077767E"/>
    <w:rsid w:val="007776BF"/>
    <w:rsid w:val="0078060F"/>
    <w:rsid w:val="00780820"/>
    <w:rsid w:val="007819A1"/>
    <w:rsid w:val="007831A4"/>
    <w:rsid w:val="00783BA5"/>
    <w:rsid w:val="00784F9E"/>
    <w:rsid w:val="0078533C"/>
    <w:rsid w:val="007857FB"/>
    <w:rsid w:val="007870FC"/>
    <w:rsid w:val="00787CD0"/>
    <w:rsid w:val="007905A2"/>
    <w:rsid w:val="00791053"/>
    <w:rsid w:val="00791261"/>
    <w:rsid w:val="0079155B"/>
    <w:rsid w:val="007918FE"/>
    <w:rsid w:val="00791A3A"/>
    <w:rsid w:val="0079262D"/>
    <w:rsid w:val="00792A53"/>
    <w:rsid w:val="00792D48"/>
    <w:rsid w:val="00794196"/>
    <w:rsid w:val="00794C47"/>
    <w:rsid w:val="00794FFF"/>
    <w:rsid w:val="00796D4D"/>
    <w:rsid w:val="007971B8"/>
    <w:rsid w:val="00797637"/>
    <w:rsid w:val="007A0018"/>
    <w:rsid w:val="007A020D"/>
    <w:rsid w:val="007A05A7"/>
    <w:rsid w:val="007A0ADE"/>
    <w:rsid w:val="007A1B35"/>
    <w:rsid w:val="007A3680"/>
    <w:rsid w:val="007A3BCD"/>
    <w:rsid w:val="007A50C4"/>
    <w:rsid w:val="007A5214"/>
    <w:rsid w:val="007A59B8"/>
    <w:rsid w:val="007A65AF"/>
    <w:rsid w:val="007A7682"/>
    <w:rsid w:val="007A7F42"/>
    <w:rsid w:val="007B0301"/>
    <w:rsid w:val="007B0C38"/>
    <w:rsid w:val="007B2862"/>
    <w:rsid w:val="007B2FD8"/>
    <w:rsid w:val="007B3968"/>
    <w:rsid w:val="007B45AF"/>
    <w:rsid w:val="007B4DD0"/>
    <w:rsid w:val="007B611E"/>
    <w:rsid w:val="007B662A"/>
    <w:rsid w:val="007B71DC"/>
    <w:rsid w:val="007B7743"/>
    <w:rsid w:val="007C04F4"/>
    <w:rsid w:val="007C0DDA"/>
    <w:rsid w:val="007C2139"/>
    <w:rsid w:val="007C27DE"/>
    <w:rsid w:val="007C299E"/>
    <w:rsid w:val="007C3A11"/>
    <w:rsid w:val="007C525F"/>
    <w:rsid w:val="007C5321"/>
    <w:rsid w:val="007C5981"/>
    <w:rsid w:val="007C5E8A"/>
    <w:rsid w:val="007C5F4B"/>
    <w:rsid w:val="007C6AAB"/>
    <w:rsid w:val="007C7B84"/>
    <w:rsid w:val="007D0C4D"/>
    <w:rsid w:val="007D125C"/>
    <w:rsid w:val="007D1336"/>
    <w:rsid w:val="007D167D"/>
    <w:rsid w:val="007D1FE9"/>
    <w:rsid w:val="007D28C9"/>
    <w:rsid w:val="007D326B"/>
    <w:rsid w:val="007D38F0"/>
    <w:rsid w:val="007D3CC8"/>
    <w:rsid w:val="007D430A"/>
    <w:rsid w:val="007D47FB"/>
    <w:rsid w:val="007D4DD3"/>
    <w:rsid w:val="007D576A"/>
    <w:rsid w:val="007D62F9"/>
    <w:rsid w:val="007D63A4"/>
    <w:rsid w:val="007D6542"/>
    <w:rsid w:val="007E0F5E"/>
    <w:rsid w:val="007E1AA2"/>
    <w:rsid w:val="007E1EB2"/>
    <w:rsid w:val="007E1F2C"/>
    <w:rsid w:val="007E279D"/>
    <w:rsid w:val="007E2D69"/>
    <w:rsid w:val="007E3B9A"/>
    <w:rsid w:val="007E3EEF"/>
    <w:rsid w:val="007E41CD"/>
    <w:rsid w:val="007E46E8"/>
    <w:rsid w:val="007E470F"/>
    <w:rsid w:val="007E4C1F"/>
    <w:rsid w:val="007E58AE"/>
    <w:rsid w:val="007F01DE"/>
    <w:rsid w:val="007F0759"/>
    <w:rsid w:val="007F0BCC"/>
    <w:rsid w:val="007F1154"/>
    <w:rsid w:val="007F156E"/>
    <w:rsid w:val="007F1CF3"/>
    <w:rsid w:val="007F25C0"/>
    <w:rsid w:val="007F30BB"/>
    <w:rsid w:val="007F35DC"/>
    <w:rsid w:val="007F3BC1"/>
    <w:rsid w:val="007F5F52"/>
    <w:rsid w:val="007F672A"/>
    <w:rsid w:val="007F6A1D"/>
    <w:rsid w:val="007F77C6"/>
    <w:rsid w:val="007F79D4"/>
    <w:rsid w:val="007F7EB4"/>
    <w:rsid w:val="008003A1"/>
    <w:rsid w:val="0080046C"/>
    <w:rsid w:val="008006B7"/>
    <w:rsid w:val="00800FDB"/>
    <w:rsid w:val="00802081"/>
    <w:rsid w:val="008020F6"/>
    <w:rsid w:val="0080298E"/>
    <w:rsid w:val="008033BA"/>
    <w:rsid w:val="00803833"/>
    <w:rsid w:val="00804316"/>
    <w:rsid w:val="008044EA"/>
    <w:rsid w:val="008044F8"/>
    <w:rsid w:val="00806461"/>
    <w:rsid w:val="008064C1"/>
    <w:rsid w:val="00807CD5"/>
    <w:rsid w:val="0081096D"/>
    <w:rsid w:val="00810EAD"/>
    <w:rsid w:val="00811833"/>
    <w:rsid w:val="00814BDE"/>
    <w:rsid w:val="00814DBC"/>
    <w:rsid w:val="008174D4"/>
    <w:rsid w:val="0082002E"/>
    <w:rsid w:val="0082083C"/>
    <w:rsid w:val="008209AC"/>
    <w:rsid w:val="00820C54"/>
    <w:rsid w:val="00820F37"/>
    <w:rsid w:val="00820FE6"/>
    <w:rsid w:val="00821A66"/>
    <w:rsid w:val="00822476"/>
    <w:rsid w:val="00822882"/>
    <w:rsid w:val="00822A1E"/>
    <w:rsid w:val="008238C7"/>
    <w:rsid w:val="008239AB"/>
    <w:rsid w:val="00825268"/>
    <w:rsid w:val="0082571C"/>
    <w:rsid w:val="00825B94"/>
    <w:rsid w:val="00825BB4"/>
    <w:rsid w:val="00825F68"/>
    <w:rsid w:val="0082600E"/>
    <w:rsid w:val="008273D2"/>
    <w:rsid w:val="00827B52"/>
    <w:rsid w:val="00830E92"/>
    <w:rsid w:val="00831DD0"/>
    <w:rsid w:val="008320ED"/>
    <w:rsid w:val="00832858"/>
    <w:rsid w:val="00832A0F"/>
    <w:rsid w:val="008353D5"/>
    <w:rsid w:val="00835408"/>
    <w:rsid w:val="008358A2"/>
    <w:rsid w:val="008359DA"/>
    <w:rsid w:val="00837CEF"/>
    <w:rsid w:val="00837E2F"/>
    <w:rsid w:val="00840035"/>
    <w:rsid w:val="00841F68"/>
    <w:rsid w:val="00842525"/>
    <w:rsid w:val="00842661"/>
    <w:rsid w:val="008428A9"/>
    <w:rsid w:val="00842925"/>
    <w:rsid w:val="00844112"/>
    <w:rsid w:val="008456C9"/>
    <w:rsid w:val="0084611D"/>
    <w:rsid w:val="00846177"/>
    <w:rsid w:val="0084654D"/>
    <w:rsid w:val="00846C9F"/>
    <w:rsid w:val="00847A83"/>
    <w:rsid w:val="00847BD6"/>
    <w:rsid w:val="00850137"/>
    <w:rsid w:val="00850C62"/>
    <w:rsid w:val="00852116"/>
    <w:rsid w:val="00852B48"/>
    <w:rsid w:val="0085474D"/>
    <w:rsid w:val="0085606B"/>
    <w:rsid w:val="00856481"/>
    <w:rsid w:val="008567A2"/>
    <w:rsid w:val="00856E6C"/>
    <w:rsid w:val="0085740D"/>
    <w:rsid w:val="00857DE1"/>
    <w:rsid w:val="00857EA7"/>
    <w:rsid w:val="0086066A"/>
    <w:rsid w:val="00860793"/>
    <w:rsid w:val="00860AC3"/>
    <w:rsid w:val="00863011"/>
    <w:rsid w:val="00863C5B"/>
    <w:rsid w:val="00863D2E"/>
    <w:rsid w:val="008641F2"/>
    <w:rsid w:val="00864E32"/>
    <w:rsid w:val="00865075"/>
    <w:rsid w:val="0086615F"/>
    <w:rsid w:val="0086748F"/>
    <w:rsid w:val="008725CB"/>
    <w:rsid w:val="00872757"/>
    <w:rsid w:val="00872BA6"/>
    <w:rsid w:val="00872CE4"/>
    <w:rsid w:val="00873AA4"/>
    <w:rsid w:val="00873CA8"/>
    <w:rsid w:val="00873F5D"/>
    <w:rsid w:val="008741AC"/>
    <w:rsid w:val="00875075"/>
    <w:rsid w:val="0087570C"/>
    <w:rsid w:val="008773BA"/>
    <w:rsid w:val="00877B62"/>
    <w:rsid w:val="00881015"/>
    <w:rsid w:val="008810B0"/>
    <w:rsid w:val="00881665"/>
    <w:rsid w:val="008819B6"/>
    <w:rsid w:val="00881AAC"/>
    <w:rsid w:val="008836B7"/>
    <w:rsid w:val="00883F7C"/>
    <w:rsid w:val="008841D3"/>
    <w:rsid w:val="00884987"/>
    <w:rsid w:val="00884A07"/>
    <w:rsid w:val="00884BE0"/>
    <w:rsid w:val="008867EA"/>
    <w:rsid w:val="008870EF"/>
    <w:rsid w:val="00887BF9"/>
    <w:rsid w:val="00887DE6"/>
    <w:rsid w:val="00890C01"/>
    <w:rsid w:val="0089214A"/>
    <w:rsid w:val="00892226"/>
    <w:rsid w:val="008922FA"/>
    <w:rsid w:val="008923CB"/>
    <w:rsid w:val="008927B8"/>
    <w:rsid w:val="00892D3E"/>
    <w:rsid w:val="008936DC"/>
    <w:rsid w:val="00893E53"/>
    <w:rsid w:val="008945EB"/>
    <w:rsid w:val="00894C2A"/>
    <w:rsid w:val="00895389"/>
    <w:rsid w:val="00895DFF"/>
    <w:rsid w:val="0089690B"/>
    <w:rsid w:val="00896A5F"/>
    <w:rsid w:val="0089728F"/>
    <w:rsid w:val="008976C0"/>
    <w:rsid w:val="00897708"/>
    <w:rsid w:val="00897D88"/>
    <w:rsid w:val="008A0029"/>
    <w:rsid w:val="008A0860"/>
    <w:rsid w:val="008A17AF"/>
    <w:rsid w:val="008A1ED9"/>
    <w:rsid w:val="008A2C65"/>
    <w:rsid w:val="008A2F16"/>
    <w:rsid w:val="008A36AE"/>
    <w:rsid w:val="008A3A74"/>
    <w:rsid w:val="008A48C3"/>
    <w:rsid w:val="008A49D2"/>
    <w:rsid w:val="008A4E18"/>
    <w:rsid w:val="008A520C"/>
    <w:rsid w:val="008A5493"/>
    <w:rsid w:val="008A596C"/>
    <w:rsid w:val="008A64C4"/>
    <w:rsid w:val="008A6BF7"/>
    <w:rsid w:val="008A6CC1"/>
    <w:rsid w:val="008A71CC"/>
    <w:rsid w:val="008A72FB"/>
    <w:rsid w:val="008A7F03"/>
    <w:rsid w:val="008B1823"/>
    <w:rsid w:val="008B1B4E"/>
    <w:rsid w:val="008B2975"/>
    <w:rsid w:val="008B2AA9"/>
    <w:rsid w:val="008B2BDF"/>
    <w:rsid w:val="008B2D72"/>
    <w:rsid w:val="008B4198"/>
    <w:rsid w:val="008B4C9F"/>
    <w:rsid w:val="008B586A"/>
    <w:rsid w:val="008B5CC9"/>
    <w:rsid w:val="008B5DEB"/>
    <w:rsid w:val="008B6651"/>
    <w:rsid w:val="008B6E16"/>
    <w:rsid w:val="008B7110"/>
    <w:rsid w:val="008B7A20"/>
    <w:rsid w:val="008C0DD5"/>
    <w:rsid w:val="008C0DF9"/>
    <w:rsid w:val="008C1ED0"/>
    <w:rsid w:val="008C2029"/>
    <w:rsid w:val="008C255B"/>
    <w:rsid w:val="008C267C"/>
    <w:rsid w:val="008C2E44"/>
    <w:rsid w:val="008C3427"/>
    <w:rsid w:val="008C3B7F"/>
    <w:rsid w:val="008C3BC2"/>
    <w:rsid w:val="008C4F76"/>
    <w:rsid w:val="008C55AD"/>
    <w:rsid w:val="008C61D6"/>
    <w:rsid w:val="008C649D"/>
    <w:rsid w:val="008C64F1"/>
    <w:rsid w:val="008C7C1A"/>
    <w:rsid w:val="008D0DC1"/>
    <w:rsid w:val="008D1BB0"/>
    <w:rsid w:val="008D20FF"/>
    <w:rsid w:val="008D22A4"/>
    <w:rsid w:val="008D2B9A"/>
    <w:rsid w:val="008D3DE6"/>
    <w:rsid w:val="008D4223"/>
    <w:rsid w:val="008D44CC"/>
    <w:rsid w:val="008D46E3"/>
    <w:rsid w:val="008D4CED"/>
    <w:rsid w:val="008D50F9"/>
    <w:rsid w:val="008D5CAF"/>
    <w:rsid w:val="008D6709"/>
    <w:rsid w:val="008D78D2"/>
    <w:rsid w:val="008E083A"/>
    <w:rsid w:val="008E0EE9"/>
    <w:rsid w:val="008E12AD"/>
    <w:rsid w:val="008E1883"/>
    <w:rsid w:val="008E1F62"/>
    <w:rsid w:val="008E2152"/>
    <w:rsid w:val="008E22FF"/>
    <w:rsid w:val="008E2450"/>
    <w:rsid w:val="008E29BE"/>
    <w:rsid w:val="008E2DCA"/>
    <w:rsid w:val="008E3F27"/>
    <w:rsid w:val="008E47EF"/>
    <w:rsid w:val="008E4E6E"/>
    <w:rsid w:val="008E5783"/>
    <w:rsid w:val="008E5DB7"/>
    <w:rsid w:val="008E61EB"/>
    <w:rsid w:val="008E7076"/>
    <w:rsid w:val="008E7896"/>
    <w:rsid w:val="008E79C7"/>
    <w:rsid w:val="008E7B6F"/>
    <w:rsid w:val="008E7C9D"/>
    <w:rsid w:val="008E7D8A"/>
    <w:rsid w:val="008F14C7"/>
    <w:rsid w:val="008F1D02"/>
    <w:rsid w:val="008F1E9E"/>
    <w:rsid w:val="008F2165"/>
    <w:rsid w:val="008F2356"/>
    <w:rsid w:val="008F2477"/>
    <w:rsid w:val="008F3879"/>
    <w:rsid w:val="008F5442"/>
    <w:rsid w:val="008F60A3"/>
    <w:rsid w:val="008F653E"/>
    <w:rsid w:val="008F7769"/>
    <w:rsid w:val="009004FE"/>
    <w:rsid w:val="00901014"/>
    <w:rsid w:val="009010F0"/>
    <w:rsid w:val="00901162"/>
    <w:rsid w:val="00901247"/>
    <w:rsid w:val="00901B53"/>
    <w:rsid w:val="0090223A"/>
    <w:rsid w:val="009028E2"/>
    <w:rsid w:val="00902D6A"/>
    <w:rsid w:val="009039FE"/>
    <w:rsid w:val="00903E9A"/>
    <w:rsid w:val="009048A5"/>
    <w:rsid w:val="00905404"/>
    <w:rsid w:val="00906478"/>
    <w:rsid w:val="00906753"/>
    <w:rsid w:val="00907264"/>
    <w:rsid w:val="0090765F"/>
    <w:rsid w:val="00907748"/>
    <w:rsid w:val="009079E4"/>
    <w:rsid w:val="00907B32"/>
    <w:rsid w:val="00911305"/>
    <w:rsid w:val="00912590"/>
    <w:rsid w:val="0091312A"/>
    <w:rsid w:val="00913200"/>
    <w:rsid w:val="009136A4"/>
    <w:rsid w:val="00913EC2"/>
    <w:rsid w:val="00914EAB"/>
    <w:rsid w:val="009152D8"/>
    <w:rsid w:val="009153A3"/>
    <w:rsid w:val="00915A1D"/>
    <w:rsid w:val="0091716F"/>
    <w:rsid w:val="009173E8"/>
    <w:rsid w:val="00917994"/>
    <w:rsid w:val="00922567"/>
    <w:rsid w:val="009228DB"/>
    <w:rsid w:val="00922D37"/>
    <w:rsid w:val="00922D49"/>
    <w:rsid w:val="009236B9"/>
    <w:rsid w:val="00924183"/>
    <w:rsid w:val="00925E37"/>
    <w:rsid w:val="00925EDD"/>
    <w:rsid w:val="00925F20"/>
    <w:rsid w:val="00926B3B"/>
    <w:rsid w:val="00927899"/>
    <w:rsid w:val="00927D0E"/>
    <w:rsid w:val="009309DA"/>
    <w:rsid w:val="00931040"/>
    <w:rsid w:val="00931663"/>
    <w:rsid w:val="00931B45"/>
    <w:rsid w:val="00931D22"/>
    <w:rsid w:val="00932CC7"/>
    <w:rsid w:val="0093355C"/>
    <w:rsid w:val="009338F3"/>
    <w:rsid w:val="00935306"/>
    <w:rsid w:val="0093640D"/>
    <w:rsid w:val="00936688"/>
    <w:rsid w:val="00937683"/>
    <w:rsid w:val="00937AC9"/>
    <w:rsid w:val="00937CFA"/>
    <w:rsid w:val="00940291"/>
    <w:rsid w:val="009406B3"/>
    <w:rsid w:val="009414BB"/>
    <w:rsid w:val="00942286"/>
    <w:rsid w:val="00943748"/>
    <w:rsid w:val="00943CEE"/>
    <w:rsid w:val="009443C5"/>
    <w:rsid w:val="009444F4"/>
    <w:rsid w:val="00944674"/>
    <w:rsid w:val="00944F2F"/>
    <w:rsid w:val="00945B95"/>
    <w:rsid w:val="00945CC4"/>
    <w:rsid w:val="00945CF5"/>
    <w:rsid w:val="00946437"/>
    <w:rsid w:val="0094691C"/>
    <w:rsid w:val="00947229"/>
    <w:rsid w:val="00947C95"/>
    <w:rsid w:val="00947EED"/>
    <w:rsid w:val="009500A1"/>
    <w:rsid w:val="0095037E"/>
    <w:rsid w:val="00951D97"/>
    <w:rsid w:val="00952230"/>
    <w:rsid w:val="00952266"/>
    <w:rsid w:val="00952A9B"/>
    <w:rsid w:val="00952AAD"/>
    <w:rsid w:val="00953B2B"/>
    <w:rsid w:val="00954567"/>
    <w:rsid w:val="009547B3"/>
    <w:rsid w:val="00954A89"/>
    <w:rsid w:val="00955CB7"/>
    <w:rsid w:val="00956671"/>
    <w:rsid w:val="00957466"/>
    <w:rsid w:val="009576F7"/>
    <w:rsid w:val="00960722"/>
    <w:rsid w:val="00961313"/>
    <w:rsid w:val="0096133D"/>
    <w:rsid w:val="00961356"/>
    <w:rsid w:val="00962401"/>
    <w:rsid w:val="00962510"/>
    <w:rsid w:val="0096260B"/>
    <w:rsid w:val="0096275C"/>
    <w:rsid w:val="009627FF"/>
    <w:rsid w:val="00962A27"/>
    <w:rsid w:val="00962B9D"/>
    <w:rsid w:val="00962EDC"/>
    <w:rsid w:val="00963ACF"/>
    <w:rsid w:val="00963D03"/>
    <w:rsid w:val="00964E3D"/>
    <w:rsid w:val="009664D5"/>
    <w:rsid w:val="0096663A"/>
    <w:rsid w:val="009670C1"/>
    <w:rsid w:val="009671B0"/>
    <w:rsid w:val="00967657"/>
    <w:rsid w:val="00970C69"/>
    <w:rsid w:val="00971F1C"/>
    <w:rsid w:val="0097211D"/>
    <w:rsid w:val="009724F9"/>
    <w:rsid w:val="0097263C"/>
    <w:rsid w:val="00972DF9"/>
    <w:rsid w:val="00972E10"/>
    <w:rsid w:val="009738AD"/>
    <w:rsid w:val="00974694"/>
    <w:rsid w:val="009746CA"/>
    <w:rsid w:val="00974E7C"/>
    <w:rsid w:val="00975B7B"/>
    <w:rsid w:val="00976DCD"/>
    <w:rsid w:val="00977134"/>
    <w:rsid w:val="009778D3"/>
    <w:rsid w:val="00977B69"/>
    <w:rsid w:val="00980013"/>
    <w:rsid w:val="00980E65"/>
    <w:rsid w:val="0098122D"/>
    <w:rsid w:val="00981963"/>
    <w:rsid w:val="00982FD1"/>
    <w:rsid w:val="009831B9"/>
    <w:rsid w:val="00983C82"/>
    <w:rsid w:val="009844D6"/>
    <w:rsid w:val="00984520"/>
    <w:rsid w:val="0098545C"/>
    <w:rsid w:val="00985506"/>
    <w:rsid w:val="009862F1"/>
    <w:rsid w:val="009871EA"/>
    <w:rsid w:val="00987220"/>
    <w:rsid w:val="00991675"/>
    <w:rsid w:val="00992BA2"/>
    <w:rsid w:val="00992F83"/>
    <w:rsid w:val="0099344F"/>
    <w:rsid w:val="009939A9"/>
    <w:rsid w:val="00993A3C"/>
    <w:rsid w:val="0099449B"/>
    <w:rsid w:val="0099508A"/>
    <w:rsid w:val="00995E53"/>
    <w:rsid w:val="00996BAA"/>
    <w:rsid w:val="00996D7F"/>
    <w:rsid w:val="009974EB"/>
    <w:rsid w:val="009978D5"/>
    <w:rsid w:val="00997A12"/>
    <w:rsid w:val="009A0EB3"/>
    <w:rsid w:val="009A1126"/>
    <w:rsid w:val="009A1232"/>
    <w:rsid w:val="009A36E4"/>
    <w:rsid w:val="009A3C12"/>
    <w:rsid w:val="009A4B06"/>
    <w:rsid w:val="009A5564"/>
    <w:rsid w:val="009A7469"/>
    <w:rsid w:val="009B07EE"/>
    <w:rsid w:val="009B0D82"/>
    <w:rsid w:val="009B1584"/>
    <w:rsid w:val="009B1B32"/>
    <w:rsid w:val="009B21CA"/>
    <w:rsid w:val="009B2648"/>
    <w:rsid w:val="009B39B1"/>
    <w:rsid w:val="009B424E"/>
    <w:rsid w:val="009B4317"/>
    <w:rsid w:val="009B4EBB"/>
    <w:rsid w:val="009B529C"/>
    <w:rsid w:val="009B5359"/>
    <w:rsid w:val="009B5860"/>
    <w:rsid w:val="009B5C45"/>
    <w:rsid w:val="009B5FD9"/>
    <w:rsid w:val="009B6133"/>
    <w:rsid w:val="009B7332"/>
    <w:rsid w:val="009B7420"/>
    <w:rsid w:val="009B7B46"/>
    <w:rsid w:val="009B7C6D"/>
    <w:rsid w:val="009C0294"/>
    <w:rsid w:val="009C03E5"/>
    <w:rsid w:val="009C08B6"/>
    <w:rsid w:val="009C0920"/>
    <w:rsid w:val="009C1266"/>
    <w:rsid w:val="009C12C3"/>
    <w:rsid w:val="009C196C"/>
    <w:rsid w:val="009C1B5C"/>
    <w:rsid w:val="009C232B"/>
    <w:rsid w:val="009C36E6"/>
    <w:rsid w:val="009C3730"/>
    <w:rsid w:val="009C37BD"/>
    <w:rsid w:val="009C3888"/>
    <w:rsid w:val="009C3AAC"/>
    <w:rsid w:val="009C43E5"/>
    <w:rsid w:val="009C44A1"/>
    <w:rsid w:val="009C4D19"/>
    <w:rsid w:val="009C5F6C"/>
    <w:rsid w:val="009C5FDB"/>
    <w:rsid w:val="009C6919"/>
    <w:rsid w:val="009C693E"/>
    <w:rsid w:val="009C6B2C"/>
    <w:rsid w:val="009C6ED6"/>
    <w:rsid w:val="009C70CB"/>
    <w:rsid w:val="009C7623"/>
    <w:rsid w:val="009D0411"/>
    <w:rsid w:val="009D14EB"/>
    <w:rsid w:val="009D1B18"/>
    <w:rsid w:val="009D1E70"/>
    <w:rsid w:val="009D1EA4"/>
    <w:rsid w:val="009D27AA"/>
    <w:rsid w:val="009D2BFD"/>
    <w:rsid w:val="009D2FF8"/>
    <w:rsid w:val="009D2FFA"/>
    <w:rsid w:val="009D3BF1"/>
    <w:rsid w:val="009D3F20"/>
    <w:rsid w:val="009D428F"/>
    <w:rsid w:val="009D4991"/>
    <w:rsid w:val="009D515C"/>
    <w:rsid w:val="009D597B"/>
    <w:rsid w:val="009D5BB5"/>
    <w:rsid w:val="009D683D"/>
    <w:rsid w:val="009D696D"/>
    <w:rsid w:val="009D6993"/>
    <w:rsid w:val="009D6BB6"/>
    <w:rsid w:val="009D6ED2"/>
    <w:rsid w:val="009E08B3"/>
    <w:rsid w:val="009E0A6A"/>
    <w:rsid w:val="009E0D0F"/>
    <w:rsid w:val="009E0F1A"/>
    <w:rsid w:val="009E140D"/>
    <w:rsid w:val="009E1A86"/>
    <w:rsid w:val="009E43DD"/>
    <w:rsid w:val="009E4465"/>
    <w:rsid w:val="009E5318"/>
    <w:rsid w:val="009E6401"/>
    <w:rsid w:val="009E6C54"/>
    <w:rsid w:val="009E773E"/>
    <w:rsid w:val="009F04C8"/>
    <w:rsid w:val="009F0812"/>
    <w:rsid w:val="009F0E02"/>
    <w:rsid w:val="009F248B"/>
    <w:rsid w:val="009F2A25"/>
    <w:rsid w:val="009F3A1A"/>
    <w:rsid w:val="009F4C7D"/>
    <w:rsid w:val="009F5235"/>
    <w:rsid w:val="009F531A"/>
    <w:rsid w:val="009F6344"/>
    <w:rsid w:val="009F6550"/>
    <w:rsid w:val="009F6927"/>
    <w:rsid w:val="009F6B65"/>
    <w:rsid w:val="009F786E"/>
    <w:rsid w:val="00A00680"/>
    <w:rsid w:val="00A00902"/>
    <w:rsid w:val="00A0098B"/>
    <w:rsid w:val="00A0191A"/>
    <w:rsid w:val="00A0223F"/>
    <w:rsid w:val="00A0294E"/>
    <w:rsid w:val="00A039FF"/>
    <w:rsid w:val="00A04524"/>
    <w:rsid w:val="00A05ACE"/>
    <w:rsid w:val="00A05EAF"/>
    <w:rsid w:val="00A076E9"/>
    <w:rsid w:val="00A114B9"/>
    <w:rsid w:val="00A1158C"/>
    <w:rsid w:val="00A12107"/>
    <w:rsid w:val="00A13A65"/>
    <w:rsid w:val="00A14589"/>
    <w:rsid w:val="00A14AE3"/>
    <w:rsid w:val="00A15FEA"/>
    <w:rsid w:val="00A16675"/>
    <w:rsid w:val="00A17957"/>
    <w:rsid w:val="00A20404"/>
    <w:rsid w:val="00A20DFB"/>
    <w:rsid w:val="00A21955"/>
    <w:rsid w:val="00A22283"/>
    <w:rsid w:val="00A225D8"/>
    <w:rsid w:val="00A22CD6"/>
    <w:rsid w:val="00A234EC"/>
    <w:rsid w:val="00A24128"/>
    <w:rsid w:val="00A2417A"/>
    <w:rsid w:val="00A25642"/>
    <w:rsid w:val="00A2631B"/>
    <w:rsid w:val="00A26668"/>
    <w:rsid w:val="00A2681F"/>
    <w:rsid w:val="00A27804"/>
    <w:rsid w:val="00A27EED"/>
    <w:rsid w:val="00A3276D"/>
    <w:rsid w:val="00A3283D"/>
    <w:rsid w:val="00A334D1"/>
    <w:rsid w:val="00A34257"/>
    <w:rsid w:val="00A3655D"/>
    <w:rsid w:val="00A3663D"/>
    <w:rsid w:val="00A36822"/>
    <w:rsid w:val="00A36AB5"/>
    <w:rsid w:val="00A37170"/>
    <w:rsid w:val="00A374FD"/>
    <w:rsid w:val="00A3754B"/>
    <w:rsid w:val="00A378AC"/>
    <w:rsid w:val="00A402DD"/>
    <w:rsid w:val="00A4069E"/>
    <w:rsid w:val="00A40BBF"/>
    <w:rsid w:val="00A411D1"/>
    <w:rsid w:val="00A41A09"/>
    <w:rsid w:val="00A42E88"/>
    <w:rsid w:val="00A43389"/>
    <w:rsid w:val="00A434A7"/>
    <w:rsid w:val="00A43E71"/>
    <w:rsid w:val="00A44C11"/>
    <w:rsid w:val="00A4526F"/>
    <w:rsid w:val="00A45753"/>
    <w:rsid w:val="00A457B8"/>
    <w:rsid w:val="00A47B15"/>
    <w:rsid w:val="00A500C1"/>
    <w:rsid w:val="00A5094A"/>
    <w:rsid w:val="00A5103D"/>
    <w:rsid w:val="00A51708"/>
    <w:rsid w:val="00A52F84"/>
    <w:rsid w:val="00A533CC"/>
    <w:rsid w:val="00A54284"/>
    <w:rsid w:val="00A5465A"/>
    <w:rsid w:val="00A54FB5"/>
    <w:rsid w:val="00A560F7"/>
    <w:rsid w:val="00A56B05"/>
    <w:rsid w:val="00A56C06"/>
    <w:rsid w:val="00A56E50"/>
    <w:rsid w:val="00A5726C"/>
    <w:rsid w:val="00A57672"/>
    <w:rsid w:val="00A57678"/>
    <w:rsid w:val="00A57972"/>
    <w:rsid w:val="00A57982"/>
    <w:rsid w:val="00A579F5"/>
    <w:rsid w:val="00A57F83"/>
    <w:rsid w:val="00A60E2F"/>
    <w:rsid w:val="00A627AD"/>
    <w:rsid w:val="00A6320B"/>
    <w:rsid w:val="00A63246"/>
    <w:rsid w:val="00A63284"/>
    <w:rsid w:val="00A63458"/>
    <w:rsid w:val="00A6372D"/>
    <w:rsid w:val="00A6401C"/>
    <w:rsid w:val="00A64CB8"/>
    <w:rsid w:val="00A66065"/>
    <w:rsid w:val="00A66291"/>
    <w:rsid w:val="00A66BDE"/>
    <w:rsid w:val="00A66C69"/>
    <w:rsid w:val="00A67018"/>
    <w:rsid w:val="00A671D2"/>
    <w:rsid w:val="00A67289"/>
    <w:rsid w:val="00A672F3"/>
    <w:rsid w:val="00A673DC"/>
    <w:rsid w:val="00A67F9C"/>
    <w:rsid w:val="00A7076E"/>
    <w:rsid w:val="00A709BE"/>
    <w:rsid w:val="00A70D85"/>
    <w:rsid w:val="00A7162E"/>
    <w:rsid w:val="00A7179D"/>
    <w:rsid w:val="00A72D71"/>
    <w:rsid w:val="00A72EF3"/>
    <w:rsid w:val="00A73112"/>
    <w:rsid w:val="00A73617"/>
    <w:rsid w:val="00A747D2"/>
    <w:rsid w:val="00A75123"/>
    <w:rsid w:val="00A75705"/>
    <w:rsid w:val="00A75F35"/>
    <w:rsid w:val="00A765A9"/>
    <w:rsid w:val="00A765BC"/>
    <w:rsid w:val="00A76E17"/>
    <w:rsid w:val="00A77B30"/>
    <w:rsid w:val="00A77C51"/>
    <w:rsid w:val="00A77C69"/>
    <w:rsid w:val="00A8063F"/>
    <w:rsid w:val="00A812B1"/>
    <w:rsid w:val="00A81E7C"/>
    <w:rsid w:val="00A82AB9"/>
    <w:rsid w:val="00A82C61"/>
    <w:rsid w:val="00A8301B"/>
    <w:rsid w:val="00A83049"/>
    <w:rsid w:val="00A8368D"/>
    <w:rsid w:val="00A83945"/>
    <w:rsid w:val="00A83953"/>
    <w:rsid w:val="00A83CD7"/>
    <w:rsid w:val="00A8400B"/>
    <w:rsid w:val="00A8416A"/>
    <w:rsid w:val="00A846DA"/>
    <w:rsid w:val="00A84956"/>
    <w:rsid w:val="00A853D8"/>
    <w:rsid w:val="00A85BBE"/>
    <w:rsid w:val="00A8661E"/>
    <w:rsid w:val="00A8695A"/>
    <w:rsid w:val="00A86ACF"/>
    <w:rsid w:val="00A8708E"/>
    <w:rsid w:val="00A903B6"/>
    <w:rsid w:val="00A9054B"/>
    <w:rsid w:val="00A90F4F"/>
    <w:rsid w:val="00A92579"/>
    <w:rsid w:val="00A936F9"/>
    <w:rsid w:val="00A9384E"/>
    <w:rsid w:val="00A943D0"/>
    <w:rsid w:val="00A947AA"/>
    <w:rsid w:val="00A94888"/>
    <w:rsid w:val="00A9681C"/>
    <w:rsid w:val="00A96867"/>
    <w:rsid w:val="00A96B3D"/>
    <w:rsid w:val="00A97873"/>
    <w:rsid w:val="00A978B4"/>
    <w:rsid w:val="00AA0214"/>
    <w:rsid w:val="00AA16A6"/>
    <w:rsid w:val="00AA18AB"/>
    <w:rsid w:val="00AA1B53"/>
    <w:rsid w:val="00AA1DEA"/>
    <w:rsid w:val="00AA256D"/>
    <w:rsid w:val="00AA2737"/>
    <w:rsid w:val="00AA2B76"/>
    <w:rsid w:val="00AA311D"/>
    <w:rsid w:val="00AA3556"/>
    <w:rsid w:val="00AA35FD"/>
    <w:rsid w:val="00AA3DB7"/>
    <w:rsid w:val="00AA41D3"/>
    <w:rsid w:val="00AA54E3"/>
    <w:rsid w:val="00AA5B93"/>
    <w:rsid w:val="00AB0039"/>
    <w:rsid w:val="00AB067C"/>
    <w:rsid w:val="00AB0828"/>
    <w:rsid w:val="00AB0D96"/>
    <w:rsid w:val="00AB15A3"/>
    <w:rsid w:val="00AB177A"/>
    <w:rsid w:val="00AB216D"/>
    <w:rsid w:val="00AB3012"/>
    <w:rsid w:val="00AB311F"/>
    <w:rsid w:val="00AB321C"/>
    <w:rsid w:val="00AB37D2"/>
    <w:rsid w:val="00AB3A48"/>
    <w:rsid w:val="00AB473F"/>
    <w:rsid w:val="00AB4C91"/>
    <w:rsid w:val="00AB4E3B"/>
    <w:rsid w:val="00AB5381"/>
    <w:rsid w:val="00AB54C1"/>
    <w:rsid w:val="00AB688F"/>
    <w:rsid w:val="00AB75EA"/>
    <w:rsid w:val="00AB7AA2"/>
    <w:rsid w:val="00AC0A22"/>
    <w:rsid w:val="00AC1249"/>
    <w:rsid w:val="00AC1515"/>
    <w:rsid w:val="00AC2234"/>
    <w:rsid w:val="00AC22D8"/>
    <w:rsid w:val="00AC34AE"/>
    <w:rsid w:val="00AC3FF3"/>
    <w:rsid w:val="00AC4BC1"/>
    <w:rsid w:val="00AC5715"/>
    <w:rsid w:val="00AD04BD"/>
    <w:rsid w:val="00AD0765"/>
    <w:rsid w:val="00AD0F00"/>
    <w:rsid w:val="00AD16A3"/>
    <w:rsid w:val="00AD1D73"/>
    <w:rsid w:val="00AD3C7F"/>
    <w:rsid w:val="00AD55A8"/>
    <w:rsid w:val="00AD58D5"/>
    <w:rsid w:val="00AD5CA4"/>
    <w:rsid w:val="00AD6A91"/>
    <w:rsid w:val="00AD7214"/>
    <w:rsid w:val="00AE04DB"/>
    <w:rsid w:val="00AE1066"/>
    <w:rsid w:val="00AE14DD"/>
    <w:rsid w:val="00AE2FA5"/>
    <w:rsid w:val="00AE3486"/>
    <w:rsid w:val="00AE3A4F"/>
    <w:rsid w:val="00AE4513"/>
    <w:rsid w:val="00AE4518"/>
    <w:rsid w:val="00AE5D7F"/>
    <w:rsid w:val="00AE79F0"/>
    <w:rsid w:val="00AF05D4"/>
    <w:rsid w:val="00AF07B0"/>
    <w:rsid w:val="00AF109C"/>
    <w:rsid w:val="00AF1701"/>
    <w:rsid w:val="00AF1752"/>
    <w:rsid w:val="00AF31CF"/>
    <w:rsid w:val="00AF42FC"/>
    <w:rsid w:val="00AF4AC5"/>
    <w:rsid w:val="00AF4C2C"/>
    <w:rsid w:val="00AF597D"/>
    <w:rsid w:val="00AF6EC1"/>
    <w:rsid w:val="00AF784D"/>
    <w:rsid w:val="00AF78DD"/>
    <w:rsid w:val="00AF7BCD"/>
    <w:rsid w:val="00AF7CE9"/>
    <w:rsid w:val="00B00331"/>
    <w:rsid w:val="00B0062E"/>
    <w:rsid w:val="00B0117E"/>
    <w:rsid w:val="00B014A1"/>
    <w:rsid w:val="00B01A80"/>
    <w:rsid w:val="00B046AF"/>
    <w:rsid w:val="00B05374"/>
    <w:rsid w:val="00B06036"/>
    <w:rsid w:val="00B061F1"/>
    <w:rsid w:val="00B06615"/>
    <w:rsid w:val="00B07C27"/>
    <w:rsid w:val="00B07FB2"/>
    <w:rsid w:val="00B10017"/>
    <w:rsid w:val="00B1004A"/>
    <w:rsid w:val="00B101CE"/>
    <w:rsid w:val="00B10531"/>
    <w:rsid w:val="00B10C40"/>
    <w:rsid w:val="00B10DE1"/>
    <w:rsid w:val="00B10FF8"/>
    <w:rsid w:val="00B11E02"/>
    <w:rsid w:val="00B12F0D"/>
    <w:rsid w:val="00B12FCF"/>
    <w:rsid w:val="00B13A85"/>
    <w:rsid w:val="00B13BC7"/>
    <w:rsid w:val="00B13CD4"/>
    <w:rsid w:val="00B153D8"/>
    <w:rsid w:val="00B154DE"/>
    <w:rsid w:val="00B157AB"/>
    <w:rsid w:val="00B15814"/>
    <w:rsid w:val="00B17B14"/>
    <w:rsid w:val="00B203C4"/>
    <w:rsid w:val="00B20863"/>
    <w:rsid w:val="00B20BEC"/>
    <w:rsid w:val="00B20CDD"/>
    <w:rsid w:val="00B22683"/>
    <w:rsid w:val="00B22BC9"/>
    <w:rsid w:val="00B22E81"/>
    <w:rsid w:val="00B232FE"/>
    <w:rsid w:val="00B23423"/>
    <w:rsid w:val="00B23996"/>
    <w:rsid w:val="00B23A8A"/>
    <w:rsid w:val="00B23CB2"/>
    <w:rsid w:val="00B23FA6"/>
    <w:rsid w:val="00B240CC"/>
    <w:rsid w:val="00B24E14"/>
    <w:rsid w:val="00B2561A"/>
    <w:rsid w:val="00B256C1"/>
    <w:rsid w:val="00B25A64"/>
    <w:rsid w:val="00B25B94"/>
    <w:rsid w:val="00B271F2"/>
    <w:rsid w:val="00B30B9E"/>
    <w:rsid w:val="00B31884"/>
    <w:rsid w:val="00B31D19"/>
    <w:rsid w:val="00B32AB3"/>
    <w:rsid w:val="00B32DAE"/>
    <w:rsid w:val="00B33825"/>
    <w:rsid w:val="00B34BB2"/>
    <w:rsid w:val="00B34E7C"/>
    <w:rsid w:val="00B35AF6"/>
    <w:rsid w:val="00B36228"/>
    <w:rsid w:val="00B366A3"/>
    <w:rsid w:val="00B368EA"/>
    <w:rsid w:val="00B37EEF"/>
    <w:rsid w:val="00B418AD"/>
    <w:rsid w:val="00B41E3D"/>
    <w:rsid w:val="00B42F1A"/>
    <w:rsid w:val="00B43790"/>
    <w:rsid w:val="00B43829"/>
    <w:rsid w:val="00B443D9"/>
    <w:rsid w:val="00B44531"/>
    <w:rsid w:val="00B4640F"/>
    <w:rsid w:val="00B46521"/>
    <w:rsid w:val="00B46587"/>
    <w:rsid w:val="00B47AD2"/>
    <w:rsid w:val="00B47CF7"/>
    <w:rsid w:val="00B502B0"/>
    <w:rsid w:val="00B50408"/>
    <w:rsid w:val="00B50686"/>
    <w:rsid w:val="00B50C50"/>
    <w:rsid w:val="00B513C0"/>
    <w:rsid w:val="00B535AF"/>
    <w:rsid w:val="00B53708"/>
    <w:rsid w:val="00B53DCB"/>
    <w:rsid w:val="00B5428F"/>
    <w:rsid w:val="00B54370"/>
    <w:rsid w:val="00B54460"/>
    <w:rsid w:val="00B54C9B"/>
    <w:rsid w:val="00B54DEA"/>
    <w:rsid w:val="00B55185"/>
    <w:rsid w:val="00B55C03"/>
    <w:rsid w:val="00B55CA6"/>
    <w:rsid w:val="00B55F0B"/>
    <w:rsid w:val="00B56670"/>
    <w:rsid w:val="00B56A70"/>
    <w:rsid w:val="00B60638"/>
    <w:rsid w:val="00B606F8"/>
    <w:rsid w:val="00B61923"/>
    <w:rsid w:val="00B621D6"/>
    <w:rsid w:val="00B63AF2"/>
    <w:rsid w:val="00B64054"/>
    <w:rsid w:val="00B65747"/>
    <w:rsid w:val="00B65D6F"/>
    <w:rsid w:val="00B65FAD"/>
    <w:rsid w:val="00B66174"/>
    <w:rsid w:val="00B67021"/>
    <w:rsid w:val="00B673C9"/>
    <w:rsid w:val="00B67B37"/>
    <w:rsid w:val="00B67C23"/>
    <w:rsid w:val="00B7079B"/>
    <w:rsid w:val="00B70DC7"/>
    <w:rsid w:val="00B721A4"/>
    <w:rsid w:val="00B72B5B"/>
    <w:rsid w:val="00B72EFF"/>
    <w:rsid w:val="00B73832"/>
    <w:rsid w:val="00B73B26"/>
    <w:rsid w:val="00B73CA9"/>
    <w:rsid w:val="00B750C2"/>
    <w:rsid w:val="00B756CB"/>
    <w:rsid w:val="00B75735"/>
    <w:rsid w:val="00B77142"/>
    <w:rsid w:val="00B80879"/>
    <w:rsid w:val="00B80A2C"/>
    <w:rsid w:val="00B80D3B"/>
    <w:rsid w:val="00B8135C"/>
    <w:rsid w:val="00B814BB"/>
    <w:rsid w:val="00B81730"/>
    <w:rsid w:val="00B81C0E"/>
    <w:rsid w:val="00B81F60"/>
    <w:rsid w:val="00B82123"/>
    <w:rsid w:val="00B823D4"/>
    <w:rsid w:val="00B8314A"/>
    <w:rsid w:val="00B83E61"/>
    <w:rsid w:val="00B841AC"/>
    <w:rsid w:val="00B85869"/>
    <w:rsid w:val="00B85873"/>
    <w:rsid w:val="00B85E95"/>
    <w:rsid w:val="00B865B0"/>
    <w:rsid w:val="00B865DC"/>
    <w:rsid w:val="00B870E8"/>
    <w:rsid w:val="00B875E3"/>
    <w:rsid w:val="00B87C29"/>
    <w:rsid w:val="00B90780"/>
    <w:rsid w:val="00B90968"/>
    <w:rsid w:val="00B90BC6"/>
    <w:rsid w:val="00B91BC2"/>
    <w:rsid w:val="00B9240D"/>
    <w:rsid w:val="00B9358B"/>
    <w:rsid w:val="00B94960"/>
    <w:rsid w:val="00B94AF7"/>
    <w:rsid w:val="00B96F6E"/>
    <w:rsid w:val="00BA0185"/>
    <w:rsid w:val="00BA22A8"/>
    <w:rsid w:val="00BA309F"/>
    <w:rsid w:val="00BA3E48"/>
    <w:rsid w:val="00BA4905"/>
    <w:rsid w:val="00BA4BD3"/>
    <w:rsid w:val="00BA535D"/>
    <w:rsid w:val="00BA6E49"/>
    <w:rsid w:val="00BB0187"/>
    <w:rsid w:val="00BB06E7"/>
    <w:rsid w:val="00BB0E56"/>
    <w:rsid w:val="00BB1EB3"/>
    <w:rsid w:val="00BB2147"/>
    <w:rsid w:val="00BB2678"/>
    <w:rsid w:val="00BB3077"/>
    <w:rsid w:val="00BB33A8"/>
    <w:rsid w:val="00BB3927"/>
    <w:rsid w:val="00BB3D8C"/>
    <w:rsid w:val="00BB4B39"/>
    <w:rsid w:val="00BB53AF"/>
    <w:rsid w:val="00BB5883"/>
    <w:rsid w:val="00BB5C26"/>
    <w:rsid w:val="00BB6A40"/>
    <w:rsid w:val="00BC013A"/>
    <w:rsid w:val="00BC162A"/>
    <w:rsid w:val="00BC2060"/>
    <w:rsid w:val="00BC2343"/>
    <w:rsid w:val="00BC5824"/>
    <w:rsid w:val="00BC584D"/>
    <w:rsid w:val="00BC5CD5"/>
    <w:rsid w:val="00BC702F"/>
    <w:rsid w:val="00BD0ECF"/>
    <w:rsid w:val="00BD1BD7"/>
    <w:rsid w:val="00BD30C8"/>
    <w:rsid w:val="00BD38F4"/>
    <w:rsid w:val="00BD3EB4"/>
    <w:rsid w:val="00BD4C5B"/>
    <w:rsid w:val="00BD50EA"/>
    <w:rsid w:val="00BD5359"/>
    <w:rsid w:val="00BD54DB"/>
    <w:rsid w:val="00BD5C65"/>
    <w:rsid w:val="00BD7BCC"/>
    <w:rsid w:val="00BE0717"/>
    <w:rsid w:val="00BE16E9"/>
    <w:rsid w:val="00BE2730"/>
    <w:rsid w:val="00BE280A"/>
    <w:rsid w:val="00BE2A17"/>
    <w:rsid w:val="00BE31BE"/>
    <w:rsid w:val="00BE3A1D"/>
    <w:rsid w:val="00BE3B33"/>
    <w:rsid w:val="00BE3B92"/>
    <w:rsid w:val="00BE41BF"/>
    <w:rsid w:val="00BE487E"/>
    <w:rsid w:val="00BE4E5D"/>
    <w:rsid w:val="00BE6018"/>
    <w:rsid w:val="00BE7086"/>
    <w:rsid w:val="00BE7278"/>
    <w:rsid w:val="00BE7735"/>
    <w:rsid w:val="00BF1F57"/>
    <w:rsid w:val="00BF20FD"/>
    <w:rsid w:val="00BF2239"/>
    <w:rsid w:val="00BF22C6"/>
    <w:rsid w:val="00BF34C2"/>
    <w:rsid w:val="00BF3804"/>
    <w:rsid w:val="00BF3B4E"/>
    <w:rsid w:val="00BF4040"/>
    <w:rsid w:val="00BF4086"/>
    <w:rsid w:val="00BF426C"/>
    <w:rsid w:val="00BF4594"/>
    <w:rsid w:val="00BF4BF3"/>
    <w:rsid w:val="00BF5370"/>
    <w:rsid w:val="00BF577F"/>
    <w:rsid w:val="00BF58D0"/>
    <w:rsid w:val="00BF6027"/>
    <w:rsid w:val="00BF6702"/>
    <w:rsid w:val="00BF6D7A"/>
    <w:rsid w:val="00BF7853"/>
    <w:rsid w:val="00BF787C"/>
    <w:rsid w:val="00BF7952"/>
    <w:rsid w:val="00BF7D0C"/>
    <w:rsid w:val="00BF7D6A"/>
    <w:rsid w:val="00C0021D"/>
    <w:rsid w:val="00C00300"/>
    <w:rsid w:val="00C00A6C"/>
    <w:rsid w:val="00C00B19"/>
    <w:rsid w:val="00C00B8B"/>
    <w:rsid w:val="00C013E1"/>
    <w:rsid w:val="00C01611"/>
    <w:rsid w:val="00C016E9"/>
    <w:rsid w:val="00C02BDB"/>
    <w:rsid w:val="00C02D59"/>
    <w:rsid w:val="00C02FE3"/>
    <w:rsid w:val="00C030B6"/>
    <w:rsid w:val="00C03284"/>
    <w:rsid w:val="00C03B3A"/>
    <w:rsid w:val="00C03CD4"/>
    <w:rsid w:val="00C04694"/>
    <w:rsid w:val="00C050C4"/>
    <w:rsid w:val="00C050D7"/>
    <w:rsid w:val="00C05AAA"/>
    <w:rsid w:val="00C05B5F"/>
    <w:rsid w:val="00C06125"/>
    <w:rsid w:val="00C065C2"/>
    <w:rsid w:val="00C0703A"/>
    <w:rsid w:val="00C10086"/>
    <w:rsid w:val="00C104CC"/>
    <w:rsid w:val="00C106B3"/>
    <w:rsid w:val="00C11521"/>
    <w:rsid w:val="00C13912"/>
    <w:rsid w:val="00C14156"/>
    <w:rsid w:val="00C142AD"/>
    <w:rsid w:val="00C142C1"/>
    <w:rsid w:val="00C14A30"/>
    <w:rsid w:val="00C152FE"/>
    <w:rsid w:val="00C15D1B"/>
    <w:rsid w:val="00C16013"/>
    <w:rsid w:val="00C16739"/>
    <w:rsid w:val="00C168DD"/>
    <w:rsid w:val="00C172F3"/>
    <w:rsid w:val="00C176CC"/>
    <w:rsid w:val="00C21031"/>
    <w:rsid w:val="00C221B9"/>
    <w:rsid w:val="00C225EA"/>
    <w:rsid w:val="00C22CCE"/>
    <w:rsid w:val="00C23035"/>
    <w:rsid w:val="00C232BC"/>
    <w:rsid w:val="00C234F0"/>
    <w:rsid w:val="00C23BA2"/>
    <w:rsid w:val="00C23BEA"/>
    <w:rsid w:val="00C2485F"/>
    <w:rsid w:val="00C248B1"/>
    <w:rsid w:val="00C24B63"/>
    <w:rsid w:val="00C2542B"/>
    <w:rsid w:val="00C25C1B"/>
    <w:rsid w:val="00C262A0"/>
    <w:rsid w:val="00C26A4E"/>
    <w:rsid w:val="00C2755C"/>
    <w:rsid w:val="00C27E4C"/>
    <w:rsid w:val="00C303F3"/>
    <w:rsid w:val="00C31195"/>
    <w:rsid w:val="00C31774"/>
    <w:rsid w:val="00C3180E"/>
    <w:rsid w:val="00C32AF2"/>
    <w:rsid w:val="00C33051"/>
    <w:rsid w:val="00C33204"/>
    <w:rsid w:val="00C338EB"/>
    <w:rsid w:val="00C33F75"/>
    <w:rsid w:val="00C34389"/>
    <w:rsid w:val="00C3465D"/>
    <w:rsid w:val="00C347D5"/>
    <w:rsid w:val="00C371C9"/>
    <w:rsid w:val="00C379E9"/>
    <w:rsid w:val="00C379FD"/>
    <w:rsid w:val="00C37A8A"/>
    <w:rsid w:val="00C403CD"/>
    <w:rsid w:val="00C411C4"/>
    <w:rsid w:val="00C42041"/>
    <w:rsid w:val="00C434C4"/>
    <w:rsid w:val="00C43934"/>
    <w:rsid w:val="00C439FB"/>
    <w:rsid w:val="00C43AA8"/>
    <w:rsid w:val="00C43F23"/>
    <w:rsid w:val="00C441A4"/>
    <w:rsid w:val="00C444F3"/>
    <w:rsid w:val="00C463C9"/>
    <w:rsid w:val="00C466CF"/>
    <w:rsid w:val="00C47648"/>
    <w:rsid w:val="00C47852"/>
    <w:rsid w:val="00C50011"/>
    <w:rsid w:val="00C510DB"/>
    <w:rsid w:val="00C51C77"/>
    <w:rsid w:val="00C5220D"/>
    <w:rsid w:val="00C5254B"/>
    <w:rsid w:val="00C526A2"/>
    <w:rsid w:val="00C54F7F"/>
    <w:rsid w:val="00C55D39"/>
    <w:rsid w:val="00C55FBF"/>
    <w:rsid w:val="00C5718C"/>
    <w:rsid w:val="00C57E68"/>
    <w:rsid w:val="00C601C9"/>
    <w:rsid w:val="00C6200C"/>
    <w:rsid w:val="00C6212F"/>
    <w:rsid w:val="00C623C6"/>
    <w:rsid w:val="00C62AB0"/>
    <w:rsid w:val="00C62F35"/>
    <w:rsid w:val="00C631D3"/>
    <w:rsid w:val="00C645E6"/>
    <w:rsid w:val="00C6464F"/>
    <w:rsid w:val="00C64813"/>
    <w:rsid w:val="00C64D82"/>
    <w:rsid w:val="00C64FBC"/>
    <w:rsid w:val="00C657A6"/>
    <w:rsid w:val="00C65A83"/>
    <w:rsid w:val="00C66A00"/>
    <w:rsid w:val="00C66CBE"/>
    <w:rsid w:val="00C67118"/>
    <w:rsid w:val="00C67276"/>
    <w:rsid w:val="00C67760"/>
    <w:rsid w:val="00C67DDD"/>
    <w:rsid w:val="00C70139"/>
    <w:rsid w:val="00C70A09"/>
    <w:rsid w:val="00C7191D"/>
    <w:rsid w:val="00C72C6F"/>
    <w:rsid w:val="00C73183"/>
    <w:rsid w:val="00C7350B"/>
    <w:rsid w:val="00C73F2D"/>
    <w:rsid w:val="00C74453"/>
    <w:rsid w:val="00C7473A"/>
    <w:rsid w:val="00C75AB0"/>
    <w:rsid w:val="00C7606F"/>
    <w:rsid w:val="00C76166"/>
    <w:rsid w:val="00C76B7B"/>
    <w:rsid w:val="00C76BBD"/>
    <w:rsid w:val="00C76DE2"/>
    <w:rsid w:val="00C772BA"/>
    <w:rsid w:val="00C802D1"/>
    <w:rsid w:val="00C8036C"/>
    <w:rsid w:val="00C80CD8"/>
    <w:rsid w:val="00C80F23"/>
    <w:rsid w:val="00C81151"/>
    <w:rsid w:val="00C82255"/>
    <w:rsid w:val="00C82CC6"/>
    <w:rsid w:val="00C839CB"/>
    <w:rsid w:val="00C840DF"/>
    <w:rsid w:val="00C84593"/>
    <w:rsid w:val="00C850A3"/>
    <w:rsid w:val="00C85C32"/>
    <w:rsid w:val="00C85F45"/>
    <w:rsid w:val="00C86C8C"/>
    <w:rsid w:val="00C87568"/>
    <w:rsid w:val="00C87CA8"/>
    <w:rsid w:val="00C87FD0"/>
    <w:rsid w:val="00C90628"/>
    <w:rsid w:val="00C90DB6"/>
    <w:rsid w:val="00C915A6"/>
    <w:rsid w:val="00C92603"/>
    <w:rsid w:val="00C92652"/>
    <w:rsid w:val="00C9394F"/>
    <w:rsid w:val="00C93B1A"/>
    <w:rsid w:val="00C9444E"/>
    <w:rsid w:val="00C96F5F"/>
    <w:rsid w:val="00C97055"/>
    <w:rsid w:val="00CA194C"/>
    <w:rsid w:val="00CA2596"/>
    <w:rsid w:val="00CA2670"/>
    <w:rsid w:val="00CA2B4F"/>
    <w:rsid w:val="00CA30C3"/>
    <w:rsid w:val="00CA5927"/>
    <w:rsid w:val="00CA635E"/>
    <w:rsid w:val="00CA6BB0"/>
    <w:rsid w:val="00CA70CE"/>
    <w:rsid w:val="00CA74B3"/>
    <w:rsid w:val="00CA79EC"/>
    <w:rsid w:val="00CB002C"/>
    <w:rsid w:val="00CB1E4B"/>
    <w:rsid w:val="00CB24BA"/>
    <w:rsid w:val="00CB259F"/>
    <w:rsid w:val="00CB39C2"/>
    <w:rsid w:val="00CB3E38"/>
    <w:rsid w:val="00CB4C8C"/>
    <w:rsid w:val="00CB4E90"/>
    <w:rsid w:val="00CB5850"/>
    <w:rsid w:val="00CB5C99"/>
    <w:rsid w:val="00CB5DBA"/>
    <w:rsid w:val="00CB633B"/>
    <w:rsid w:val="00CB6782"/>
    <w:rsid w:val="00CB6E3E"/>
    <w:rsid w:val="00CC080A"/>
    <w:rsid w:val="00CC0D0F"/>
    <w:rsid w:val="00CC1275"/>
    <w:rsid w:val="00CC12EE"/>
    <w:rsid w:val="00CC3341"/>
    <w:rsid w:val="00CC3767"/>
    <w:rsid w:val="00CC5767"/>
    <w:rsid w:val="00CC5D2F"/>
    <w:rsid w:val="00CC68CC"/>
    <w:rsid w:val="00CC701E"/>
    <w:rsid w:val="00CC7735"/>
    <w:rsid w:val="00CD0310"/>
    <w:rsid w:val="00CD2E48"/>
    <w:rsid w:val="00CD4491"/>
    <w:rsid w:val="00CD4826"/>
    <w:rsid w:val="00CD4E19"/>
    <w:rsid w:val="00CD6219"/>
    <w:rsid w:val="00CD700F"/>
    <w:rsid w:val="00CD7319"/>
    <w:rsid w:val="00CE027B"/>
    <w:rsid w:val="00CE148E"/>
    <w:rsid w:val="00CE208D"/>
    <w:rsid w:val="00CE2453"/>
    <w:rsid w:val="00CE28F0"/>
    <w:rsid w:val="00CE356D"/>
    <w:rsid w:val="00CE3FA4"/>
    <w:rsid w:val="00CE44F8"/>
    <w:rsid w:val="00CE4942"/>
    <w:rsid w:val="00CE5277"/>
    <w:rsid w:val="00CE57E9"/>
    <w:rsid w:val="00CE5B4D"/>
    <w:rsid w:val="00CE614C"/>
    <w:rsid w:val="00CE6358"/>
    <w:rsid w:val="00CE6686"/>
    <w:rsid w:val="00CE6E97"/>
    <w:rsid w:val="00CE7868"/>
    <w:rsid w:val="00CE796C"/>
    <w:rsid w:val="00CF1B70"/>
    <w:rsid w:val="00CF1DD1"/>
    <w:rsid w:val="00CF2161"/>
    <w:rsid w:val="00CF2307"/>
    <w:rsid w:val="00CF26AE"/>
    <w:rsid w:val="00CF2D54"/>
    <w:rsid w:val="00CF311F"/>
    <w:rsid w:val="00CF5047"/>
    <w:rsid w:val="00CF6911"/>
    <w:rsid w:val="00D000DA"/>
    <w:rsid w:val="00D002E7"/>
    <w:rsid w:val="00D01344"/>
    <w:rsid w:val="00D01B90"/>
    <w:rsid w:val="00D024CD"/>
    <w:rsid w:val="00D034DA"/>
    <w:rsid w:val="00D03538"/>
    <w:rsid w:val="00D03790"/>
    <w:rsid w:val="00D0421D"/>
    <w:rsid w:val="00D046FD"/>
    <w:rsid w:val="00D047F7"/>
    <w:rsid w:val="00D049B8"/>
    <w:rsid w:val="00D04C8A"/>
    <w:rsid w:val="00D0516C"/>
    <w:rsid w:val="00D05B56"/>
    <w:rsid w:val="00D05C2F"/>
    <w:rsid w:val="00D05EE7"/>
    <w:rsid w:val="00D068D0"/>
    <w:rsid w:val="00D06FE0"/>
    <w:rsid w:val="00D07211"/>
    <w:rsid w:val="00D07307"/>
    <w:rsid w:val="00D076A9"/>
    <w:rsid w:val="00D07754"/>
    <w:rsid w:val="00D078D1"/>
    <w:rsid w:val="00D1113D"/>
    <w:rsid w:val="00D1293B"/>
    <w:rsid w:val="00D129A8"/>
    <w:rsid w:val="00D12FB9"/>
    <w:rsid w:val="00D135F2"/>
    <w:rsid w:val="00D13D00"/>
    <w:rsid w:val="00D147C0"/>
    <w:rsid w:val="00D15696"/>
    <w:rsid w:val="00D15C51"/>
    <w:rsid w:val="00D16C68"/>
    <w:rsid w:val="00D200BD"/>
    <w:rsid w:val="00D201AA"/>
    <w:rsid w:val="00D204A7"/>
    <w:rsid w:val="00D20AA5"/>
    <w:rsid w:val="00D22399"/>
    <w:rsid w:val="00D2559A"/>
    <w:rsid w:val="00D2662C"/>
    <w:rsid w:val="00D27FA3"/>
    <w:rsid w:val="00D308D7"/>
    <w:rsid w:val="00D3176C"/>
    <w:rsid w:val="00D31B3F"/>
    <w:rsid w:val="00D33751"/>
    <w:rsid w:val="00D34738"/>
    <w:rsid w:val="00D3486B"/>
    <w:rsid w:val="00D34C2B"/>
    <w:rsid w:val="00D35947"/>
    <w:rsid w:val="00D35D4A"/>
    <w:rsid w:val="00D36F6E"/>
    <w:rsid w:val="00D372B0"/>
    <w:rsid w:val="00D37343"/>
    <w:rsid w:val="00D415F5"/>
    <w:rsid w:val="00D41960"/>
    <w:rsid w:val="00D4205E"/>
    <w:rsid w:val="00D47399"/>
    <w:rsid w:val="00D47475"/>
    <w:rsid w:val="00D478E1"/>
    <w:rsid w:val="00D47BB2"/>
    <w:rsid w:val="00D47D04"/>
    <w:rsid w:val="00D5056A"/>
    <w:rsid w:val="00D508DC"/>
    <w:rsid w:val="00D510A0"/>
    <w:rsid w:val="00D527EE"/>
    <w:rsid w:val="00D529C4"/>
    <w:rsid w:val="00D53929"/>
    <w:rsid w:val="00D539D0"/>
    <w:rsid w:val="00D540DC"/>
    <w:rsid w:val="00D543C0"/>
    <w:rsid w:val="00D55616"/>
    <w:rsid w:val="00D5574C"/>
    <w:rsid w:val="00D55DAC"/>
    <w:rsid w:val="00D6153F"/>
    <w:rsid w:val="00D61982"/>
    <w:rsid w:val="00D61EA9"/>
    <w:rsid w:val="00D61EFF"/>
    <w:rsid w:val="00D62655"/>
    <w:rsid w:val="00D6267A"/>
    <w:rsid w:val="00D62998"/>
    <w:rsid w:val="00D62999"/>
    <w:rsid w:val="00D647DE"/>
    <w:rsid w:val="00D6501F"/>
    <w:rsid w:val="00D65347"/>
    <w:rsid w:val="00D67D12"/>
    <w:rsid w:val="00D705FF"/>
    <w:rsid w:val="00D70B0C"/>
    <w:rsid w:val="00D7145C"/>
    <w:rsid w:val="00D73A88"/>
    <w:rsid w:val="00D744BC"/>
    <w:rsid w:val="00D7489E"/>
    <w:rsid w:val="00D7585A"/>
    <w:rsid w:val="00D77337"/>
    <w:rsid w:val="00D77C53"/>
    <w:rsid w:val="00D77E96"/>
    <w:rsid w:val="00D80618"/>
    <w:rsid w:val="00D807DF"/>
    <w:rsid w:val="00D80862"/>
    <w:rsid w:val="00D82339"/>
    <w:rsid w:val="00D82494"/>
    <w:rsid w:val="00D82FF2"/>
    <w:rsid w:val="00D83774"/>
    <w:rsid w:val="00D83C27"/>
    <w:rsid w:val="00D84A4B"/>
    <w:rsid w:val="00D85686"/>
    <w:rsid w:val="00D877B1"/>
    <w:rsid w:val="00D90A81"/>
    <w:rsid w:val="00D90B7D"/>
    <w:rsid w:val="00D90DCE"/>
    <w:rsid w:val="00D91873"/>
    <w:rsid w:val="00D92168"/>
    <w:rsid w:val="00D9231C"/>
    <w:rsid w:val="00D9264D"/>
    <w:rsid w:val="00D9292C"/>
    <w:rsid w:val="00D92A5E"/>
    <w:rsid w:val="00D935BD"/>
    <w:rsid w:val="00D93F1F"/>
    <w:rsid w:val="00D940B5"/>
    <w:rsid w:val="00D9582D"/>
    <w:rsid w:val="00D95CB0"/>
    <w:rsid w:val="00D9640C"/>
    <w:rsid w:val="00D9654F"/>
    <w:rsid w:val="00D966FE"/>
    <w:rsid w:val="00D97417"/>
    <w:rsid w:val="00D977C0"/>
    <w:rsid w:val="00D97E14"/>
    <w:rsid w:val="00DA00A3"/>
    <w:rsid w:val="00DA13F3"/>
    <w:rsid w:val="00DA199F"/>
    <w:rsid w:val="00DA21E1"/>
    <w:rsid w:val="00DA2DE3"/>
    <w:rsid w:val="00DA3633"/>
    <w:rsid w:val="00DA3B22"/>
    <w:rsid w:val="00DA400B"/>
    <w:rsid w:val="00DA44D6"/>
    <w:rsid w:val="00DA53DE"/>
    <w:rsid w:val="00DA6443"/>
    <w:rsid w:val="00DA64BA"/>
    <w:rsid w:val="00DA6B5E"/>
    <w:rsid w:val="00DA6D55"/>
    <w:rsid w:val="00DA70F5"/>
    <w:rsid w:val="00DA7146"/>
    <w:rsid w:val="00DA716A"/>
    <w:rsid w:val="00DA775D"/>
    <w:rsid w:val="00DA7B82"/>
    <w:rsid w:val="00DB0434"/>
    <w:rsid w:val="00DB1F4F"/>
    <w:rsid w:val="00DB289C"/>
    <w:rsid w:val="00DB2981"/>
    <w:rsid w:val="00DB2B47"/>
    <w:rsid w:val="00DB2CD0"/>
    <w:rsid w:val="00DB347D"/>
    <w:rsid w:val="00DB37EE"/>
    <w:rsid w:val="00DB401F"/>
    <w:rsid w:val="00DB4450"/>
    <w:rsid w:val="00DB4544"/>
    <w:rsid w:val="00DB4EE7"/>
    <w:rsid w:val="00DB521D"/>
    <w:rsid w:val="00DB5971"/>
    <w:rsid w:val="00DB5D51"/>
    <w:rsid w:val="00DB5F53"/>
    <w:rsid w:val="00DB7B69"/>
    <w:rsid w:val="00DC0A2F"/>
    <w:rsid w:val="00DC0DBE"/>
    <w:rsid w:val="00DC0DBF"/>
    <w:rsid w:val="00DC234A"/>
    <w:rsid w:val="00DC2AA0"/>
    <w:rsid w:val="00DC41E4"/>
    <w:rsid w:val="00DC42D9"/>
    <w:rsid w:val="00DC43D0"/>
    <w:rsid w:val="00DC496E"/>
    <w:rsid w:val="00DC5116"/>
    <w:rsid w:val="00DC7C77"/>
    <w:rsid w:val="00DC7FD5"/>
    <w:rsid w:val="00DD02FF"/>
    <w:rsid w:val="00DD24F9"/>
    <w:rsid w:val="00DD26EC"/>
    <w:rsid w:val="00DD2DFB"/>
    <w:rsid w:val="00DD3604"/>
    <w:rsid w:val="00DD39F4"/>
    <w:rsid w:val="00DD3F4D"/>
    <w:rsid w:val="00DD481D"/>
    <w:rsid w:val="00DD5580"/>
    <w:rsid w:val="00DD6F2E"/>
    <w:rsid w:val="00DD72E1"/>
    <w:rsid w:val="00DD7EA2"/>
    <w:rsid w:val="00DD7FA4"/>
    <w:rsid w:val="00DE00F2"/>
    <w:rsid w:val="00DE117F"/>
    <w:rsid w:val="00DE2D17"/>
    <w:rsid w:val="00DE31FD"/>
    <w:rsid w:val="00DE353C"/>
    <w:rsid w:val="00DE401C"/>
    <w:rsid w:val="00DE6E2F"/>
    <w:rsid w:val="00DE6F47"/>
    <w:rsid w:val="00DE7D13"/>
    <w:rsid w:val="00DF1EAE"/>
    <w:rsid w:val="00DF279F"/>
    <w:rsid w:val="00DF2A18"/>
    <w:rsid w:val="00DF3816"/>
    <w:rsid w:val="00DF3818"/>
    <w:rsid w:val="00DF3F94"/>
    <w:rsid w:val="00DF4369"/>
    <w:rsid w:val="00DF49AE"/>
    <w:rsid w:val="00DF5970"/>
    <w:rsid w:val="00DF5B14"/>
    <w:rsid w:val="00DF614E"/>
    <w:rsid w:val="00DF63FA"/>
    <w:rsid w:val="00DF66E2"/>
    <w:rsid w:val="00E001FD"/>
    <w:rsid w:val="00E00A1C"/>
    <w:rsid w:val="00E00D60"/>
    <w:rsid w:val="00E012CC"/>
    <w:rsid w:val="00E0147A"/>
    <w:rsid w:val="00E0220A"/>
    <w:rsid w:val="00E0220E"/>
    <w:rsid w:val="00E02845"/>
    <w:rsid w:val="00E02961"/>
    <w:rsid w:val="00E02A1E"/>
    <w:rsid w:val="00E02B71"/>
    <w:rsid w:val="00E02DEB"/>
    <w:rsid w:val="00E03999"/>
    <w:rsid w:val="00E0399E"/>
    <w:rsid w:val="00E042A1"/>
    <w:rsid w:val="00E056A4"/>
    <w:rsid w:val="00E05CF4"/>
    <w:rsid w:val="00E05E82"/>
    <w:rsid w:val="00E07425"/>
    <w:rsid w:val="00E074BE"/>
    <w:rsid w:val="00E1043E"/>
    <w:rsid w:val="00E104FA"/>
    <w:rsid w:val="00E1082A"/>
    <w:rsid w:val="00E10956"/>
    <w:rsid w:val="00E110B5"/>
    <w:rsid w:val="00E11166"/>
    <w:rsid w:val="00E1223C"/>
    <w:rsid w:val="00E122CE"/>
    <w:rsid w:val="00E12818"/>
    <w:rsid w:val="00E12D39"/>
    <w:rsid w:val="00E13182"/>
    <w:rsid w:val="00E14523"/>
    <w:rsid w:val="00E14972"/>
    <w:rsid w:val="00E14CB9"/>
    <w:rsid w:val="00E151F2"/>
    <w:rsid w:val="00E15383"/>
    <w:rsid w:val="00E15A4E"/>
    <w:rsid w:val="00E15C82"/>
    <w:rsid w:val="00E1738C"/>
    <w:rsid w:val="00E201C0"/>
    <w:rsid w:val="00E20951"/>
    <w:rsid w:val="00E20B2A"/>
    <w:rsid w:val="00E20BB0"/>
    <w:rsid w:val="00E21484"/>
    <w:rsid w:val="00E21ABD"/>
    <w:rsid w:val="00E22775"/>
    <w:rsid w:val="00E22D28"/>
    <w:rsid w:val="00E22F81"/>
    <w:rsid w:val="00E22F87"/>
    <w:rsid w:val="00E230E3"/>
    <w:rsid w:val="00E23C97"/>
    <w:rsid w:val="00E24727"/>
    <w:rsid w:val="00E265A7"/>
    <w:rsid w:val="00E26B61"/>
    <w:rsid w:val="00E27B80"/>
    <w:rsid w:val="00E27FCE"/>
    <w:rsid w:val="00E30E85"/>
    <w:rsid w:val="00E30EDF"/>
    <w:rsid w:val="00E31B43"/>
    <w:rsid w:val="00E31FBA"/>
    <w:rsid w:val="00E32E11"/>
    <w:rsid w:val="00E33513"/>
    <w:rsid w:val="00E33A4F"/>
    <w:rsid w:val="00E33F3E"/>
    <w:rsid w:val="00E341E5"/>
    <w:rsid w:val="00E34315"/>
    <w:rsid w:val="00E35D4B"/>
    <w:rsid w:val="00E35FBC"/>
    <w:rsid w:val="00E36AAE"/>
    <w:rsid w:val="00E3707C"/>
    <w:rsid w:val="00E37198"/>
    <w:rsid w:val="00E3774C"/>
    <w:rsid w:val="00E37F7D"/>
    <w:rsid w:val="00E40620"/>
    <w:rsid w:val="00E41313"/>
    <w:rsid w:val="00E41773"/>
    <w:rsid w:val="00E41ACD"/>
    <w:rsid w:val="00E42C09"/>
    <w:rsid w:val="00E42FE6"/>
    <w:rsid w:val="00E44E78"/>
    <w:rsid w:val="00E460B6"/>
    <w:rsid w:val="00E464D9"/>
    <w:rsid w:val="00E46BD2"/>
    <w:rsid w:val="00E473D4"/>
    <w:rsid w:val="00E474CF"/>
    <w:rsid w:val="00E50BE8"/>
    <w:rsid w:val="00E513F6"/>
    <w:rsid w:val="00E51EC6"/>
    <w:rsid w:val="00E52F3B"/>
    <w:rsid w:val="00E52F80"/>
    <w:rsid w:val="00E536E1"/>
    <w:rsid w:val="00E53D94"/>
    <w:rsid w:val="00E53DEA"/>
    <w:rsid w:val="00E53EAF"/>
    <w:rsid w:val="00E5424B"/>
    <w:rsid w:val="00E544BA"/>
    <w:rsid w:val="00E55B64"/>
    <w:rsid w:val="00E60BE8"/>
    <w:rsid w:val="00E6117A"/>
    <w:rsid w:val="00E616DB"/>
    <w:rsid w:val="00E62442"/>
    <w:rsid w:val="00E627A4"/>
    <w:rsid w:val="00E630ED"/>
    <w:rsid w:val="00E63239"/>
    <w:rsid w:val="00E63CFB"/>
    <w:rsid w:val="00E6437C"/>
    <w:rsid w:val="00E64B66"/>
    <w:rsid w:val="00E65237"/>
    <w:rsid w:val="00E67862"/>
    <w:rsid w:val="00E70ACF"/>
    <w:rsid w:val="00E70D46"/>
    <w:rsid w:val="00E712A9"/>
    <w:rsid w:val="00E713BC"/>
    <w:rsid w:val="00E71F31"/>
    <w:rsid w:val="00E7239C"/>
    <w:rsid w:val="00E72444"/>
    <w:rsid w:val="00E73DEB"/>
    <w:rsid w:val="00E7410F"/>
    <w:rsid w:val="00E74EC5"/>
    <w:rsid w:val="00E75790"/>
    <w:rsid w:val="00E75ED1"/>
    <w:rsid w:val="00E76B86"/>
    <w:rsid w:val="00E77D79"/>
    <w:rsid w:val="00E809F3"/>
    <w:rsid w:val="00E80C21"/>
    <w:rsid w:val="00E80D61"/>
    <w:rsid w:val="00E80EFF"/>
    <w:rsid w:val="00E8131A"/>
    <w:rsid w:val="00E8167C"/>
    <w:rsid w:val="00E81CA2"/>
    <w:rsid w:val="00E820BD"/>
    <w:rsid w:val="00E8227B"/>
    <w:rsid w:val="00E826BC"/>
    <w:rsid w:val="00E8342F"/>
    <w:rsid w:val="00E84210"/>
    <w:rsid w:val="00E844CD"/>
    <w:rsid w:val="00E847A7"/>
    <w:rsid w:val="00E84FE5"/>
    <w:rsid w:val="00E86682"/>
    <w:rsid w:val="00E86A35"/>
    <w:rsid w:val="00E86A48"/>
    <w:rsid w:val="00E86E79"/>
    <w:rsid w:val="00E90075"/>
    <w:rsid w:val="00E906B4"/>
    <w:rsid w:val="00E9095B"/>
    <w:rsid w:val="00E9145E"/>
    <w:rsid w:val="00E9152D"/>
    <w:rsid w:val="00E918B3"/>
    <w:rsid w:val="00E91B24"/>
    <w:rsid w:val="00E91DEC"/>
    <w:rsid w:val="00E926B8"/>
    <w:rsid w:val="00E927BF"/>
    <w:rsid w:val="00E936DA"/>
    <w:rsid w:val="00E9399B"/>
    <w:rsid w:val="00E939A7"/>
    <w:rsid w:val="00E94008"/>
    <w:rsid w:val="00E94762"/>
    <w:rsid w:val="00E94B75"/>
    <w:rsid w:val="00E956BA"/>
    <w:rsid w:val="00E959E6"/>
    <w:rsid w:val="00E96B52"/>
    <w:rsid w:val="00E97D31"/>
    <w:rsid w:val="00EA0018"/>
    <w:rsid w:val="00EA08BE"/>
    <w:rsid w:val="00EA0A85"/>
    <w:rsid w:val="00EA14B0"/>
    <w:rsid w:val="00EA2244"/>
    <w:rsid w:val="00EA2417"/>
    <w:rsid w:val="00EA2EC5"/>
    <w:rsid w:val="00EA4DDC"/>
    <w:rsid w:val="00EA6FA7"/>
    <w:rsid w:val="00EB067F"/>
    <w:rsid w:val="00EB07BA"/>
    <w:rsid w:val="00EB17BE"/>
    <w:rsid w:val="00EB18B8"/>
    <w:rsid w:val="00EB1A1B"/>
    <w:rsid w:val="00EB1F02"/>
    <w:rsid w:val="00EB2E64"/>
    <w:rsid w:val="00EB3290"/>
    <w:rsid w:val="00EB3D4B"/>
    <w:rsid w:val="00EB5BC5"/>
    <w:rsid w:val="00EB6097"/>
    <w:rsid w:val="00EB6212"/>
    <w:rsid w:val="00EB6BB5"/>
    <w:rsid w:val="00EB6E30"/>
    <w:rsid w:val="00EB7618"/>
    <w:rsid w:val="00EB7B51"/>
    <w:rsid w:val="00EB7F93"/>
    <w:rsid w:val="00EC086C"/>
    <w:rsid w:val="00EC100B"/>
    <w:rsid w:val="00EC1720"/>
    <w:rsid w:val="00EC2DB7"/>
    <w:rsid w:val="00EC337D"/>
    <w:rsid w:val="00EC42D0"/>
    <w:rsid w:val="00EC4784"/>
    <w:rsid w:val="00EC599D"/>
    <w:rsid w:val="00EC638F"/>
    <w:rsid w:val="00EC6F34"/>
    <w:rsid w:val="00EC7927"/>
    <w:rsid w:val="00ED095E"/>
    <w:rsid w:val="00ED0CB9"/>
    <w:rsid w:val="00ED1319"/>
    <w:rsid w:val="00ED1A0B"/>
    <w:rsid w:val="00ED27DD"/>
    <w:rsid w:val="00ED4046"/>
    <w:rsid w:val="00ED5162"/>
    <w:rsid w:val="00ED53EF"/>
    <w:rsid w:val="00ED5669"/>
    <w:rsid w:val="00ED5DF2"/>
    <w:rsid w:val="00ED697C"/>
    <w:rsid w:val="00EE06CA"/>
    <w:rsid w:val="00EE1CF9"/>
    <w:rsid w:val="00EE2F83"/>
    <w:rsid w:val="00EE3319"/>
    <w:rsid w:val="00EE43AD"/>
    <w:rsid w:val="00EE4874"/>
    <w:rsid w:val="00EE48D6"/>
    <w:rsid w:val="00EE4A6E"/>
    <w:rsid w:val="00EE4BAB"/>
    <w:rsid w:val="00EE6D39"/>
    <w:rsid w:val="00EE7922"/>
    <w:rsid w:val="00EE79A6"/>
    <w:rsid w:val="00EF11DF"/>
    <w:rsid w:val="00EF130D"/>
    <w:rsid w:val="00EF30E0"/>
    <w:rsid w:val="00EF3943"/>
    <w:rsid w:val="00EF3D05"/>
    <w:rsid w:val="00EF42CF"/>
    <w:rsid w:val="00EF5403"/>
    <w:rsid w:val="00EF567D"/>
    <w:rsid w:val="00EF5F11"/>
    <w:rsid w:val="00EF6111"/>
    <w:rsid w:val="00EF6D0C"/>
    <w:rsid w:val="00EF79F2"/>
    <w:rsid w:val="00F005A0"/>
    <w:rsid w:val="00F017B1"/>
    <w:rsid w:val="00F01835"/>
    <w:rsid w:val="00F01DE9"/>
    <w:rsid w:val="00F0229D"/>
    <w:rsid w:val="00F02B1B"/>
    <w:rsid w:val="00F032BB"/>
    <w:rsid w:val="00F032C8"/>
    <w:rsid w:val="00F03567"/>
    <w:rsid w:val="00F03DD3"/>
    <w:rsid w:val="00F044C6"/>
    <w:rsid w:val="00F047A3"/>
    <w:rsid w:val="00F04BBE"/>
    <w:rsid w:val="00F05828"/>
    <w:rsid w:val="00F06616"/>
    <w:rsid w:val="00F07001"/>
    <w:rsid w:val="00F07263"/>
    <w:rsid w:val="00F07485"/>
    <w:rsid w:val="00F10BC6"/>
    <w:rsid w:val="00F10C5B"/>
    <w:rsid w:val="00F11352"/>
    <w:rsid w:val="00F11AD0"/>
    <w:rsid w:val="00F12181"/>
    <w:rsid w:val="00F12238"/>
    <w:rsid w:val="00F12313"/>
    <w:rsid w:val="00F13D34"/>
    <w:rsid w:val="00F14602"/>
    <w:rsid w:val="00F1498D"/>
    <w:rsid w:val="00F14DDF"/>
    <w:rsid w:val="00F152AD"/>
    <w:rsid w:val="00F15BA3"/>
    <w:rsid w:val="00F15BB3"/>
    <w:rsid w:val="00F165B7"/>
    <w:rsid w:val="00F20C9C"/>
    <w:rsid w:val="00F20F8D"/>
    <w:rsid w:val="00F21827"/>
    <w:rsid w:val="00F21A00"/>
    <w:rsid w:val="00F2285F"/>
    <w:rsid w:val="00F23155"/>
    <w:rsid w:val="00F23EE4"/>
    <w:rsid w:val="00F24236"/>
    <w:rsid w:val="00F24E0E"/>
    <w:rsid w:val="00F25707"/>
    <w:rsid w:val="00F26693"/>
    <w:rsid w:val="00F26A13"/>
    <w:rsid w:val="00F26ADF"/>
    <w:rsid w:val="00F27B5F"/>
    <w:rsid w:val="00F27D3B"/>
    <w:rsid w:val="00F300C1"/>
    <w:rsid w:val="00F306ED"/>
    <w:rsid w:val="00F31261"/>
    <w:rsid w:val="00F31697"/>
    <w:rsid w:val="00F31BB3"/>
    <w:rsid w:val="00F31C67"/>
    <w:rsid w:val="00F31E27"/>
    <w:rsid w:val="00F323C3"/>
    <w:rsid w:val="00F32A15"/>
    <w:rsid w:val="00F32A89"/>
    <w:rsid w:val="00F32EE6"/>
    <w:rsid w:val="00F32F3C"/>
    <w:rsid w:val="00F339EC"/>
    <w:rsid w:val="00F33A65"/>
    <w:rsid w:val="00F33E17"/>
    <w:rsid w:val="00F3443B"/>
    <w:rsid w:val="00F34FDD"/>
    <w:rsid w:val="00F35279"/>
    <w:rsid w:val="00F35923"/>
    <w:rsid w:val="00F35F1A"/>
    <w:rsid w:val="00F36130"/>
    <w:rsid w:val="00F3644F"/>
    <w:rsid w:val="00F36B71"/>
    <w:rsid w:val="00F373AE"/>
    <w:rsid w:val="00F4032F"/>
    <w:rsid w:val="00F40360"/>
    <w:rsid w:val="00F40444"/>
    <w:rsid w:val="00F40A4C"/>
    <w:rsid w:val="00F40CE6"/>
    <w:rsid w:val="00F40F15"/>
    <w:rsid w:val="00F410E7"/>
    <w:rsid w:val="00F41B59"/>
    <w:rsid w:val="00F42099"/>
    <w:rsid w:val="00F423BD"/>
    <w:rsid w:val="00F431C5"/>
    <w:rsid w:val="00F432FF"/>
    <w:rsid w:val="00F456D2"/>
    <w:rsid w:val="00F45B08"/>
    <w:rsid w:val="00F46431"/>
    <w:rsid w:val="00F469AD"/>
    <w:rsid w:val="00F4715C"/>
    <w:rsid w:val="00F47C9F"/>
    <w:rsid w:val="00F50CE8"/>
    <w:rsid w:val="00F51256"/>
    <w:rsid w:val="00F51361"/>
    <w:rsid w:val="00F52330"/>
    <w:rsid w:val="00F52407"/>
    <w:rsid w:val="00F535B5"/>
    <w:rsid w:val="00F53C7C"/>
    <w:rsid w:val="00F541F0"/>
    <w:rsid w:val="00F54603"/>
    <w:rsid w:val="00F54772"/>
    <w:rsid w:val="00F54869"/>
    <w:rsid w:val="00F556B2"/>
    <w:rsid w:val="00F55FD4"/>
    <w:rsid w:val="00F565E8"/>
    <w:rsid w:val="00F56CB4"/>
    <w:rsid w:val="00F5754B"/>
    <w:rsid w:val="00F576DE"/>
    <w:rsid w:val="00F57747"/>
    <w:rsid w:val="00F57898"/>
    <w:rsid w:val="00F578BC"/>
    <w:rsid w:val="00F601EF"/>
    <w:rsid w:val="00F606E4"/>
    <w:rsid w:val="00F62584"/>
    <w:rsid w:val="00F633F1"/>
    <w:rsid w:val="00F63BF7"/>
    <w:rsid w:val="00F6453E"/>
    <w:rsid w:val="00F64FAD"/>
    <w:rsid w:val="00F65215"/>
    <w:rsid w:val="00F65617"/>
    <w:rsid w:val="00F65A88"/>
    <w:rsid w:val="00F66494"/>
    <w:rsid w:val="00F710BE"/>
    <w:rsid w:val="00F712C1"/>
    <w:rsid w:val="00F71D7B"/>
    <w:rsid w:val="00F72016"/>
    <w:rsid w:val="00F72D3F"/>
    <w:rsid w:val="00F72DAD"/>
    <w:rsid w:val="00F72FAE"/>
    <w:rsid w:val="00F736D2"/>
    <w:rsid w:val="00F73953"/>
    <w:rsid w:val="00F74F0A"/>
    <w:rsid w:val="00F7564C"/>
    <w:rsid w:val="00F76220"/>
    <w:rsid w:val="00F769BE"/>
    <w:rsid w:val="00F7735C"/>
    <w:rsid w:val="00F77BD5"/>
    <w:rsid w:val="00F8164A"/>
    <w:rsid w:val="00F8216D"/>
    <w:rsid w:val="00F82E6B"/>
    <w:rsid w:val="00F83662"/>
    <w:rsid w:val="00F838C0"/>
    <w:rsid w:val="00F85F83"/>
    <w:rsid w:val="00F86F3C"/>
    <w:rsid w:val="00F91246"/>
    <w:rsid w:val="00F912FD"/>
    <w:rsid w:val="00F91593"/>
    <w:rsid w:val="00F91D43"/>
    <w:rsid w:val="00F9254F"/>
    <w:rsid w:val="00F9367F"/>
    <w:rsid w:val="00F94DDB"/>
    <w:rsid w:val="00F95411"/>
    <w:rsid w:val="00F95642"/>
    <w:rsid w:val="00F95E55"/>
    <w:rsid w:val="00F96339"/>
    <w:rsid w:val="00F97859"/>
    <w:rsid w:val="00F97973"/>
    <w:rsid w:val="00F97B71"/>
    <w:rsid w:val="00FA06A3"/>
    <w:rsid w:val="00FA2CFC"/>
    <w:rsid w:val="00FA2DDA"/>
    <w:rsid w:val="00FA34CA"/>
    <w:rsid w:val="00FA3E3E"/>
    <w:rsid w:val="00FA4A55"/>
    <w:rsid w:val="00FA4D4F"/>
    <w:rsid w:val="00FA54E8"/>
    <w:rsid w:val="00FA5A36"/>
    <w:rsid w:val="00FA5FE8"/>
    <w:rsid w:val="00FA668B"/>
    <w:rsid w:val="00FA67CF"/>
    <w:rsid w:val="00FA6C3E"/>
    <w:rsid w:val="00FA6CFA"/>
    <w:rsid w:val="00FB0D68"/>
    <w:rsid w:val="00FB232C"/>
    <w:rsid w:val="00FB2D17"/>
    <w:rsid w:val="00FB2F69"/>
    <w:rsid w:val="00FB368B"/>
    <w:rsid w:val="00FB3A3A"/>
    <w:rsid w:val="00FB4217"/>
    <w:rsid w:val="00FB4379"/>
    <w:rsid w:val="00FB45FF"/>
    <w:rsid w:val="00FB5D97"/>
    <w:rsid w:val="00FB61EA"/>
    <w:rsid w:val="00FB6C7A"/>
    <w:rsid w:val="00FB732E"/>
    <w:rsid w:val="00FB79F7"/>
    <w:rsid w:val="00FC09E7"/>
    <w:rsid w:val="00FC1A5A"/>
    <w:rsid w:val="00FC1CA5"/>
    <w:rsid w:val="00FC1D8E"/>
    <w:rsid w:val="00FC2733"/>
    <w:rsid w:val="00FC2979"/>
    <w:rsid w:val="00FC45CB"/>
    <w:rsid w:val="00FC6D6C"/>
    <w:rsid w:val="00FD1C3C"/>
    <w:rsid w:val="00FD24F6"/>
    <w:rsid w:val="00FD2D6C"/>
    <w:rsid w:val="00FD2DB1"/>
    <w:rsid w:val="00FD3669"/>
    <w:rsid w:val="00FD38A8"/>
    <w:rsid w:val="00FD3AB2"/>
    <w:rsid w:val="00FD634B"/>
    <w:rsid w:val="00FD6854"/>
    <w:rsid w:val="00FD6AC8"/>
    <w:rsid w:val="00FD772D"/>
    <w:rsid w:val="00FE02F8"/>
    <w:rsid w:val="00FE0A6C"/>
    <w:rsid w:val="00FE1727"/>
    <w:rsid w:val="00FE2F58"/>
    <w:rsid w:val="00FE362F"/>
    <w:rsid w:val="00FE3638"/>
    <w:rsid w:val="00FE3A67"/>
    <w:rsid w:val="00FE3EA1"/>
    <w:rsid w:val="00FE4818"/>
    <w:rsid w:val="00FE4CA4"/>
    <w:rsid w:val="00FE5AE4"/>
    <w:rsid w:val="00FE5D80"/>
    <w:rsid w:val="00FE637F"/>
    <w:rsid w:val="00FE64EE"/>
    <w:rsid w:val="00FE668D"/>
    <w:rsid w:val="00FE73F7"/>
    <w:rsid w:val="00FE745E"/>
    <w:rsid w:val="00FE7865"/>
    <w:rsid w:val="00FF00DE"/>
    <w:rsid w:val="00FF0BB0"/>
    <w:rsid w:val="00FF0E34"/>
    <w:rsid w:val="00FF1342"/>
    <w:rsid w:val="00FF14FA"/>
    <w:rsid w:val="00FF1513"/>
    <w:rsid w:val="00FF1577"/>
    <w:rsid w:val="00FF2145"/>
    <w:rsid w:val="00FF2178"/>
    <w:rsid w:val="00FF2470"/>
    <w:rsid w:val="00FF3334"/>
    <w:rsid w:val="00FF3DF9"/>
    <w:rsid w:val="00FF59BE"/>
    <w:rsid w:val="00FF6ADB"/>
    <w:rsid w:val="00FF6C36"/>
    <w:rsid w:val="00FF70D6"/>
    <w:rsid w:val="00FF7B7E"/>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5:docId w15:val="{E69753FA-A050-4326-BC32-3241B1C821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lock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4">
    <w:name w:val="Balloon Text"/>
    <w:basedOn w:val="a"/>
    <w:link w:val="Char"/>
    <w:uiPriority w:val="99"/>
    <w:semiHidden/>
    <w:rsid w:val="00FB732E"/>
    <w:rPr>
      <w:sz w:val="18"/>
      <w:szCs w:val="18"/>
    </w:rPr>
  </w:style>
  <w:style w:type="character" w:customStyle="1" w:styleId="Char">
    <w:name w:val="批注框文本 Char"/>
    <w:link w:val="a4"/>
    <w:uiPriority w:val="99"/>
    <w:semiHidden/>
    <w:locked/>
    <w:rsid w:val="006D141C"/>
    <w:rPr>
      <w:rFonts w:cs="Times New Roman"/>
      <w:kern w:val="2"/>
      <w:sz w:val="18"/>
      <w:szCs w:val="18"/>
    </w:rPr>
  </w:style>
  <w:style w:type="paragraph" w:styleId="a0">
    <w:name w:val="Normal Indent"/>
    <w:basedOn w:val="a"/>
    <w:uiPriority w:val="99"/>
    <w:rsid w:val="00FB732E"/>
    <w:pPr>
      <w:ind w:firstLineChars="200" w:firstLine="420"/>
    </w:pPr>
  </w:style>
  <w:style w:type="paragraph" w:styleId="a5">
    <w:name w:val="Body Text Indent"/>
    <w:basedOn w:val="a"/>
    <w:link w:val="Char0"/>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0">
    <w:name w:val="正文文本缩进 Char"/>
    <w:link w:val="a5"/>
    <w:uiPriority w:val="99"/>
    <w:locked/>
    <w:rsid w:val="006D141C"/>
    <w:rPr>
      <w:rFonts w:ascii="Arial Unicode MS" w:eastAsia="Times New Roman" w:hAnsi="Arial Unicode MS" w:cs="Arial Unicode MS"/>
      <w:sz w:val="24"/>
      <w:szCs w:val="24"/>
    </w:rPr>
  </w:style>
  <w:style w:type="paragraph" w:styleId="a6">
    <w:name w:val="Plain Text"/>
    <w:basedOn w:val="a"/>
    <w:link w:val="Char1"/>
    <w:rsid w:val="00FB732E"/>
    <w:rPr>
      <w:rFonts w:ascii="宋体" w:hAnsi="Courier New"/>
      <w:szCs w:val="21"/>
    </w:rPr>
  </w:style>
  <w:style w:type="character" w:customStyle="1" w:styleId="Char1">
    <w:name w:val="纯文本 Char"/>
    <w:link w:val="a6"/>
    <w:locked/>
    <w:rsid w:val="00586E9A"/>
    <w:rPr>
      <w:rFonts w:ascii="宋体" w:hAnsi="Courier New"/>
      <w:kern w:val="2"/>
      <w:sz w:val="21"/>
    </w:rPr>
  </w:style>
  <w:style w:type="paragraph" w:styleId="21">
    <w:name w:val="Body Text Indent 2"/>
    <w:basedOn w:val="a"/>
    <w:link w:val="2Char0"/>
    <w:uiPriority w:val="99"/>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uiPriority w:val="99"/>
    <w:locked/>
    <w:rsid w:val="006D141C"/>
    <w:rPr>
      <w:rFonts w:ascii="宋体" w:eastAsia="宋体" w:cs="Times New Roman"/>
      <w:color w:val="FF0000"/>
      <w:kern w:val="2"/>
      <w:sz w:val="24"/>
      <w:szCs w:val="24"/>
    </w:rPr>
  </w:style>
  <w:style w:type="paragraph" w:styleId="a7">
    <w:name w:val="footer"/>
    <w:basedOn w:val="a"/>
    <w:link w:val="Char2"/>
    <w:uiPriority w:val="99"/>
    <w:rsid w:val="00FB732E"/>
    <w:pPr>
      <w:tabs>
        <w:tab w:val="center" w:pos="4153"/>
        <w:tab w:val="right" w:pos="8306"/>
      </w:tabs>
      <w:snapToGrid w:val="0"/>
      <w:jc w:val="left"/>
    </w:pPr>
    <w:rPr>
      <w:sz w:val="18"/>
      <w:szCs w:val="18"/>
    </w:rPr>
  </w:style>
  <w:style w:type="character" w:customStyle="1" w:styleId="Char2">
    <w:name w:val="页脚 Char"/>
    <w:link w:val="a7"/>
    <w:uiPriority w:val="99"/>
    <w:locked/>
    <w:rsid w:val="006D141C"/>
    <w:rPr>
      <w:rFonts w:cs="Times New Roman"/>
      <w:kern w:val="2"/>
      <w:sz w:val="18"/>
      <w:szCs w:val="18"/>
    </w:rPr>
  </w:style>
  <w:style w:type="character" w:styleId="a8">
    <w:name w:val="page number"/>
    <w:uiPriority w:val="99"/>
    <w:rsid w:val="00FB732E"/>
    <w:rPr>
      <w:rFonts w:cs="Times New Roman"/>
    </w:rPr>
  </w:style>
  <w:style w:type="character" w:styleId="a9">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a">
    <w:name w:val="header"/>
    <w:basedOn w:val="a"/>
    <w:link w:val="Char3"/>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3">
    <w:name w:val="页眉 Char"/>
    <w:link w:val="aa"/>
    <w:uiPriority w:val="99"/>
    <w:locked/>
    <w:rsid w:val="006D141C"/>
    <w:rPr>
      <w:rFonts w:cs="Times New Roman"/>
      <w:kern w:val="2"/>
      <w:sz w:val="18"/>
      <w:szCs w:val="18"/>
    </w:rPr>
  </w:style>
  <w:style w:type="character" w:styleId="ab">
    <w:name w:val="FollowedHyperlink"/>
    <w:uiPriority w:val="99"/>
    <w:rsid w:val="00FB732E"/>
    <w:rPr>
      <w:rFonts w:cs="Times New Roman"/>
      <w:color w:val="800080"/>
      <w:u w:val="single"/>
    </w:rPr>
  </w:style>
  <w:style w:type="paragraph" w:styleId="ac">
    <w:name w:val="List"/>
    <w:basedOn w:val="ad"/>
    <w:uiPriority w:val="99"/>
    <w:rsid w:val="00FB732E"/>
    <w:pPr>
      <w:spacing w:after="220" w:line="220" w:lineRule="atLeast"/>
      <w:ind w:left="1440" w:hanging="360"/>
    </w:pPr>
    <w:rPr>
      <w:szCs w:val="20"/>
    </w:rPr>
  </w:style>
  <w:style w:type="paragraph" w:styleId="ad">
    <w:name w:val="Body Text"/>
    <w:basedOn w:val="a"/>
    <w:link w:val="Char4"/>
    <w:uiPriority w:val="99"/>
    <w:rsid w:val="00FB732E"/>
    <w:pPr>
      <w:spacing w:after="120"/>
    </w:pPr>
  </w:style>
  <w:style w:type="character" w:customStyle="1" w:styleId="Char4">
    <w:name w:val="正文文本 Char"/>
    <w:link w:val="ad"/>
    <w:uiPriority w:val="99"/>
    <w:locked/>
    <w:rsid w:val="006D141C"/>
    <w:rPr>
      <w:rFonts w:cs="Times New Roman"/>
      <w:kern w:val="2"/>
      <w:sz w:val="24"/>
      <w:szCs w:val="24"/>
    </w:rPr>
  </w:style>
  <w:style w:type="paragraph" w:styleId="ae">
    <w:name w:val="Date"/>
    <w:basedOn w:val="a"/>
    <w:next w:val="a"/>
    <w:link w:val="Char5"/>
    <w:uiPriority w:val="99"/>
    <w:rsid w:val="00FB732E"/>
    <w:rPr>
      <w:sz w:val="24"/>
      <w:szCs w:val="20"/>
    </w:rPr>
  </w:style>
  <w:style w:type="character" w:customStyle="1" w:styleId="Char5">
    <w:name w:val="日期 Char"/>
    <w:link w:val="ae"/>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semiHidden/>
    <w:rsid w:val="00547D9C"/>
    <w:pPr>
      <w:snapToGrid w:val="0"/>
      <w:jc w:val="left"/>
    </w:pPr>
    <w:rPr>
      <w:sz w:val="18"/>
      <w:szCs w:val="18"/>
    </w:rPr>
  </w:style>
  <w:style w:type="character" w:customStyle="1" w:styleId="Chara">
    <w:name w:val="脚注文本 Char"/>
    <w:link w:val="af4"/>
    <w:uiPriority w:val="99"/>
    <w:semiHidden/>
    <w:locked/>
    <w:rsid w:val="006D141C"/>
    <w:rPr>
      <w:rFonts w:cs="Times New Roman"/>
      <w:kern w:val="2"/>
      <w:sz w:val="18"/>
      <w:szCs w:val="18"/>
    </w:rPr>
  </w:style>
  <w:style w:type="character" w:styleId="af5">
    <w:name w:val="footnote reference"/>
    <w:uiPriority w:val="99"/>
    <w:semiHidden/>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uiPriority w:val="99"/>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39"/>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39"/>
    <w:rsid w:val="00BE2A17"/>
    <w:pPr>
      <w:tabs>
        <w:tab w:val="right" w:leader="dot" w:pos="9072"/>
      </w:tabs>
    </w:pPr>
  </w:style>
  <w:style w:type="paragraph" w:styleId="32">
    <w:name w:val="toc 3"/>
    <w:basedOn w:val="a"/>
    <w:next w:val="a"/>
    <w:autoRedefine/>
    <w:uiPriority w:val="39"/>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numbering" w:customStyle="1" w:styleId="5">
    <w:name w:val="样式5"/>
    <w:rsid w:val="004878C2"/>
    <w:pPr>
      <w:numPr>
        <w:numId w:val="8"/>
      </w:numPr>
    </w:pPr>
  </w:style>
  <w:style w:type="numbering" w:customStyle="1" w:styleId="3">
    <w:name w:val="样式3"/>
    <w:rsid w:val="004878C2"/>
    <w:pPr>
      <w:numPr>
        <w:numId w:val="7"/>
      </w:numPr>
    </w:pPr>
  </w:style>
  <w:style w:type="numbering" w:customStyle="1" w:styleId="4">
    <w:name w:val="样式4"/>
    <w:rsid w:val="004878C2"/>
    <w:pPr>
      <w:numPr>
        <w:numId w:val="9"/>
      </w:numPr>
    </w:pPr>
  </w:style>
  <w:style w:type="numbering" w:customStyle="1" w:styleId="2">
    <w:name w:val="样式2"/>
    <w:rsid w:val="004878C2"/>
    <w:pPr>
      <w:numPr>
        <w:numId w:val="16"/>
      </w:numPr>
    </w:pPr>
  </w:style>
  <w:style w:type="paragraph" w:customStyle="1" w:styleId="Default">
    <w:name w:val="Default"/>
    <w:uiPriority w:val="99"/>
    <w:rsid w:val="005D072B"/>
    <w:pPr>
      <w:widowControl w:val="0"/>
      <w:autoSpaceDE w:val="0"/>
      <w:autoSpaceDN w:val="0"/>
      <w:adjustRightInd w:val="0"/>
    </w:pPr>
    <w:rPr>
      <w:rFonts w:ascii="FangSong" w:hAnsi="FangSong" w:cs="FangSong"/>
      <w:color w:val="000000"/>
      <w:sz w:val="24"/>
      <w:szCs w:val="24"/>
    </w:rPr>
  </w:style>
  <w:style w:type="character" w:styleId="af8">
    <w:name w:val="Strong"/>
    <w:basedOn w:val="a1"/>
    <w:uiPriority w:val="22"/>
    <w:qFormat/>
    <w:locked/>
    <w:rsid w:val="006B627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823935">
      <w:bodyDiv w:val="1"/>
      <w:marLeft w:val="0"/>
      <w:marRight w:val="0"/>
      <w:marTop w:val="0"/>
      <w:marBottom w:val="0"/>
      <w:divBdr>
        <w:top w:val="none" w:sz="0" w:space="0" w:color="auto"/>
        <w:left w:val="none" w:sz="0" w:space="0" w:color="auto"/>
        <w:bottom w:val="none" w:sz="0" w:space="0" w:color="auto"/>
        <w:right w:val="none" w:sz="0" w:space="0" w:color="auto"/>
      </w:divBdr>
    </w:div>
    <w:div w:id="316343669">
      <w:bodyDiv w:val="1"/>
      <w:marLeft w:val="0"/>
      <w:marRight w:val="0"/>
      <w:marTop w:val="0"/>
      <w:marBottom w:val="0"/>
      <w:divBdr>
        <w:top w:val="none" w:sz="0" w:space="0" w:color="auto"/>
        <w:left w:val="none" w:sz="0" w:space="0" w:color="auto"/>
        <w:bottom w:val="none" w:sz="0" w:space="0" w:color="auto"/>
        <w:right w:val="none" w:sz="0" w:space="0" w:color="auto"/>
      </w:divBdr>
    </w:div>
    <w:div w:id="362171279">
      <w:bodyDiv w:val="1"/>
      <w:marLeft w:val="0"/>
      <w:marRight w:val="0"/>
      <w:marTop w:val="0"/>
      <w:marBottom w:val="0"/>
      <w:divBdr>
        <w:top w:val="none" w:sz="0" w:space="0" w:color="auto"/>
        <w:left w:val="none" w:sz="0" w:space="0" w:color="auto"/>
        <w:bottom w:val="none" w:sz="0" w:space="0" w:color="auto"/>
        <w:right w:val="none" w:sz="0" w:space="0" w:color="auto"/>
      </w:divBdr>
    </w:div>
    <w:div w:id="643511383">
      <w:bodyDiv w:val="1"/>
      <w:marLeft w:val="0"/>
      <w:marRight w:val="0"/>
      <w:marTop w:val="0"/>
      <w:marBottom w:val="0"/>
      <w:divBdr>
        <w:top w:val="none" w:sz="0" w:space="0" w:color="auto"/>
        <w:left w:val="none" w:sz="0" w:space="0" w:color="auto"/>
        <w:bottom w:val="none" w:sz="0" w:space="0" w:color="auto"/>
        <w:right w:val="none" w:sz="0" w:space="0" w:color="auto"/>
      </w:divBdr>
    </w:div>
    <w:div w:id="861240251">
      <w:bodyDiv w:val="1"/>
      <w:marLeft w:val="0"/>
      <w:marRight w:val="0"/>
      <w:marTop w:val="0"/>
      <w:marBottom w:val="0"/>
      <w:divBdr>
        <w:top w:val="none" w:sz="0" w:space="0" w:color="auto"/>
        <w:left w:val="none" w:sz="0" w:space="0" w:color="auto"/>
        <w:bottom w:val="none" w:sz="0" w:space="0" w:color="auto"/>
        <w:right w:val="none" w:sz="0" w:space="0" w:color="auto"/>
      </w:divBdr>
    </w:div>
    <w:div w:id="1551767477">
      <w:bodyDiv w:val="1"/>
      <w:marLeft w:val="0"/>
      <w:marRight w:val="0"/>
      <w:marTop w:val="0"/>
      <w:marBottom w:val="0"/>
      <w:divBdr>
        <w:top w:val="none" w:sz="0" w:space="0" w:color="auto"/>
        <w:left w:val="none" w:sz="0" w:space="0" w:color="auto"/>
        <w:bottom w:val="none" w:sz="0" w:space="0" w:color="auto"/>
        <w:right w:val="none" w:sz="0" w:space="0" w:color="auto"/>
      </w:divBdr>
      <w:divsChild>
        <w:div w:id="1983386177">
          <w:marLeft w:val="0"/>
          <w:marRight w:val="0"/>
          <w:marTop w:val="0"/>
          <w:marBottom w:val="0"/>
          <w:divBdr>
            <w:top w:val="none" w:sz="0" w:space="0" w:color="auto"/>
            <w:left w:val="none" w:sz="0" w:space="0" w:color="auto"/>
            <w:bottom w:val="none" w:sz="0" w:space="0" w:color="auto"/>
            <w:right w:val="none" w:sz="0" w:space="0" w:color="auto"/>
          </w:divBdr>
        </w:div>
      </w:divsChild>
    </w:div>
    <w:div w:id="2063090621">
      <w:marLeft w:val="0"/>
      <w:marRight w:val="0"/>
      <w:marTop w:val="0"/>
      <w:marBottom w:val="0"/>
      <w:divBdr>
        <w:top w:val="none" w:sz="0" w:space="0" w:color="auto"/>
        <w:left w:val="none" w:sz="0" w:space="0" w:color="auto"/>
        <w:bottom w:val="none" w:sz="0" w:space="0" w:color="auto"/>
        <w:right w:val="none" w:sz="0" w:space="0" w:color="auto"/>
      </w:divBdr>
    </w:div>
    <w:div w:id="2063090622">
      <w:marLeft w:val="0"/>
      <w:marRight w:val="0"/>
      <w:marTop w:val="0"/>
      <w:marBottom w:val="0"/>
      <w:divBdr>
        <w:top w:val="none" w:sz="0" w:space="0" w:color="auto"/>
        <w:left w:val="none" w:sz="0" w:space="0" w:color="auto"/>
        <w:bottom w:val="none" w:sz="0" w:space="0" w:color="auto"/>
        <w:right w:val="none" w:sz="0" w:space="0" w:color="auto"/>
      </w:divBdr>
    </w:div>
    <w:div w:id="2063090623">
      <w:marLeft w:val="0"/>
      <w:marRight w:val="0"/>
      <w:marTop w:val="0"/>
      <w:marBottom w:val="0"/>
      <w:divBdr>
        <w:top w:val="none" w:sz="0" w:space="0" w:color="auto"/>
        <w:left w:val="none" w:sz="0" w:space="0" w:color="auto"/>
        <w:bottom w:val="none" w:sz="0" w:space="0" w:color="auto"/>
        <w:right w:val="none" w:sz="0" w:space="0" w:color="auto"/>
      </w:divBdr>
    </w:div>
    <w:div w:id="2063090624">
      <w:marLeft w:val="0"/>
      <w:marRight w:val="0"/>
      <w:marTop w:val="0"/>
      <w:marBottom w:val="0"/>
      <w:divBdr>
        <w:top w:val="none" w:sz="0" w:space="0" w:color="auto"/>
        <w:left w:val="none" w:sz="0" w:space="0" w:color="auto"/>
        <w:bottom w:val="none" w:sz="0" w:space="0" w:color="auto"/>
        <w:right w:val="none" w:sz="0" w:space="0" w:color="auto"/>
      </w:divBdr>
    </w:div>
    <w:div w:id="2063090625">
      <w:marLeft w:val="0"/>
      <w:marRight w:val="0"/>
      <w:marTop w:val="0"/>
      <w:marBottom w:val="0"/>
      <w:divBdr>
        <w:top w:val="none" w:sz="0" w:space="0" w:color="auto"/>
        <w:left w:val="none" w:sz="0" w:space="0" w:color="auto"/>
        <w:bottom w:val="none" w:sz="0" w:space="0" w:color="auto"/>
        <w:right w:val="none" w:sz="0" w:space="0" w:color="auto"/>
      </w:divBdr>
    </w:div>
    <w:div w:id="2063090626">
      <w:marLeft w:val="0"/>
      <w:marRight w:val="0"/>
      <w:marTop w:val="0"/>
      <w:marBottom w:val="0"/>
      <w:divBdr>
        <w:top w:val="none" w:sz="0" w:space="0" w:color="auto"/>
        <w:left w:val="none" w:sz="0" w:space="0" w:color="auto"/>
        <w:bottom w:val="none" w:sz="0" w:space="0" w:color="auto"/>
        <w:right w:val="none" w:sz="0" w:space="0" w:color="auto"/>
      </w:divBdr>
    </w:div>
    <w:div w:id="2063090627">
      <w:marLeft w:val="0"/>
      <w:marRight w:val="0"/>
      <w:marTop w:val="0"/>
      <w:marBottom w:val="0"/>
      <w:divBdr>
        <w:top w:val="none" w:sz="0" w:space="0" w:color="auto"/>
        <w:left w:val="none" w:sz="0" w:space="0" w:color="auto"/>
        <w:bottom w:val="none" w:sz="0" w:space="0" w:color="auto"/>
        <w:right w:val="none" w:sz="0" w:space="0" w:color="auto"/>
      </w:divBdr>
    </w:div>
    <w:div w:id="2063090628">
      <w:marLeft w:val="0"/>
      <w:marRight w:val="0"/>
      <w:marTop w:val="0"/>
      <w:marBottom w:val="0"/>
      <w:divBdr>
        <w:top w:val="none" w:sz="0" w:space="0" w:color="auto"/>
        <w:left w:val="none" w:sz="0" w:space="0" w:color="auto"/>
        <w:bottom w:val="none" w:sz="0" w:space="0" w:color="auto"/>
        <w:right w:val="none" w:sz="0" w:space="0" w:color="auto"/>
      </w:divBdr>
    </w:div>
    <w:div w:id="2063090629">
      <w:marLeft w:val="0"/>
      <w:marRight w:val="0"/>
      <w:marTop w:val="0"/>
      <w:marBottom w:val="0"/>
      <w:divBdr>
        <w:top w:val="none" w:sz="0" w:space="0" w:color="auto"/>
        <w:left w:val="none" w:sz="0" w:space="0" w:color="auto"/>
        <w:bottom w:val="none" w:sz="0" w:space="0" w:color="auto"/>
        <w:right w:val="none" w:sz="0" w:space="0" w:color="auto"/>
      </w:divBdr>
      <w:divsChild>
        <w:div w:id="2063090688">
          <w:marLeft w:val="0"/>
          <w:marRight w:val="0"/>
          <w:marTop w:val="0"/>
          <w:marBottom w:val="0"/>
          <w:divBdr>
            <w:top w:val="none" w:sz="0" w:space="0" w:color="auto"/>
            <w:left w:val="none" w:sz="0" w:space="0" w:color="auto"/>
            <w:bottom w:val="none" w:sz="0" w:space="0" w:color="auto"/>
            <w:right w:val="none" w:sz="0" w:space="0" w:color="auto"/>
          </w:divBdr>
        </w:div>
      </w:divsChild>
    </w:div>
    <w:div w:id="2063090630">
      <w:marLeft w:val="0"/>
      <w:marRight w:val="0"/>
      <w:marTop w:val="0"/>
      <w:marBottom w:val="0"/>
      <w:divBdr>
        <w:top w:val="none" w:sz="0" w:space="0" w:color="auto"/>
        <w:left w:val="none" w:sz="0" w:space="0" w:color="auto"/>
        <w:bottom w:val="none" w:sz="0" w:space="0" w:color="auto"/>
        <w:right w:val="none" w:sz="0" w:space="0" w:color="auto"/>
      </w:divBdr>
    </w:div>
    <w:div w:id="2063090631">
      <w:marLeft w:val="0"/>
      <w:marRight w:val="0"/>
      <w:marTop w:val="0"/>
      <w:marBottom w:val="0"/>
      <w:divBdr>
        <w:top w:val="none" w:sz="0" w:space="0" w:color="auto"/>
        <w:left w:val="none" w:sz="0" w:space="0" w:color="auto"/>
        <w:bottom w:val="none" w:sz="0" w:space="0" w:color="auto"/>
        <w:right w:val="none" w:sz="0" w:space="0" w:color="auto"/>
      </w:divBdr>
    </w:div>
    <w:div w:id="2063090632">
      <w:marLeft w:val="0"/>
      <w:marRight w:val="0"/>
      <w:marTop w:val="0"/>
      <w:marBottom w:val="0"/>
      <w:divBdr>
        <w:top w:val="none" w:sz="0" w:space="0" w:color="auto"/>
        <w:left w:val="none" w:sz="0" w:space="0" w:color="auto"/>
        <w:bottom w:val="none" w:sz="0" w:space="0" w:color="auto"/>
        <w:right w:val="none" w:sz="0" w:space="0" w:color="auto"/>
      </w:divBdr>
    </w:div>
    <w:div w:id="2063090633">
      <w:marLeft w:val="0"/>
      <w:marRight w:val="0"/>
      <w:marTop w:val="0"/>
      <w:marBottom w:val="0"/>
      <w:divBdr>
        <w:top w:val="none" w:sz="0" w:space="0" w:color="auto"/>
        <w:left w:val="none" w:sz="0" w:space="0" w:color="auto"/>
        <w:bottom w:val="none" w:sz="0" w:space="0" w:color="auto"/>
        <w:right w:val="none" w:sz="0" w:space="0" w:color="auto"/>
      </w:divBdr>
    </w:div>
    <w:div w:id="2063090634">
      <w:marLeft w:val="0"/>
      <w:marRight w:val="0"/>
      <w:marTop w:val="0"/>
      <w:marBottom w:val="0"/>
      <w:divBdr>
        <w:top w:val="none" w:sz="0" w:space="0" w:color="auto"/>
        <w:left w:val="none" w:sz="0" w:space="0" w:color="auto"/>
        <w:bottom w:val="none" w:sz="0" w:space="0" w:color="auto"/>
        <w:right w:val="none" w:sz="0" w:space="0" w:color="auto"/>
      </w:divBdr>
    </w:div>
    <w:div w:id="2063090635">
      <w:marLeft w:val="0"/>
      <w:marRight w:val="0"/>
      <w:marTop w:val="0"/>
      <w:marBottom w:val="0"/>
      <w:divBdr>
        <w:top w:val="none" w:sz="0" w:space="0" w:color="auto"/>
        <w:left w:val="none" w:sz="0" w:space="0" w:color="auto"/>
        <w:bottom w:val="none" w:sz="0" w:space="0" w:color="auto"/>
        <w:right w:val="none" w:sz="0" w:space="0" w:color="auto"/>
      </w:divBdr>
    </w:div>
    <w:div w:id="2063090636">
      <w:marLeft w:val="0"/>
      <w:marRight w:val="0"/>
      <w:marTop w:val="0"/>
      <w:marBottom w:val="0"/>
      <w:divBdr>
        <w:top w:val="none" w:sz="0" w:space="0" w:color="auto"/>
        <w:left w:val="none" w:sz="0" w:space="0" w:color="auto"/>
        <w:bottom w:val="none" w:sz="0" w:space="0" w:color="auto"/>
        <w:right w:val="none" w:sz="0" w:space="0" w:color="auto"/>
      </w:divBdr>
    </w:div>
    <w:div w:id="2063090637">
      <w:marLeft w:val="0"/>
      <w:marRight w:val="0"/>
      <w:marTop w:val="0"/>
      <w:marBottom w:val="0"/>
      <w:divBdr>
        <w:top w:val="none" w:sz="0" w:space="0" w:color="auto"/>
        <w:left w:val="none" w:sz="0" w:space="0" w:color="auto"/>
        <w:bottom w:val="none" w:sz="0" w:space="0" w:color="auto"/>
        <w:right w:val="none" w:sz="0" w:space="0" w:color="auto"/>
      </w:divBdr>
    </w:div>
    <w:div w:id="2063090638">
      <w:marLeft w:val="0"/>
      <w:marRight w:val="0"/>
      <w:marTop w:val="0"/>
      <w:marBottom w:val="0"/>
      <w:divBdr>
        <w:top w:val="none" w:sz="0" w:space="0" w:color="auto"/>
        <w:left w:val="none" w:sz="0" w:space="0" w:color="auto"/>
        <w:bottom w:val="none" w:sz="0" w:space="0" w:color="auto"/>
        <w:right w:val="none" w:sz="0" w:space="0" w:color="auto"/>
      </w:divBdr>
    </w:div>
    <w:div w:id="2063090639">
      <w:marLeft w:val="0"/>
      <w:marRight w:val="0"/>
      <w:marTop w:val="0"/>
      <w:marBottom w:val="0"/>
      <w:divBdr>
        <w:top w:val="none" w:sz="0" w:space="0" w:color="auto"/>
        <w:left w:val="none" w:sz="0" w:space="0" w:color="auto"/>
        <w:bottom w:val="none" w:sz="0" w:space="0" w:color="auto"/>
        <w:right w:val="none" w:sz="0" w:space="0" w:color="auto"/>
      </w:divBdr>
    </w:div>
    <w:div w:id="2063090640">
      <w:marLeft w:val="0"/>
      <w:marRight w:val="0"/>
      <w:marTop w:val="0"/>
      <w:marBottom w:val="0"/>
      <w:divBdr>
        <w:top w:val="none" w:sz="0" w:space="0" w:color="auto"/>
        <w:left w:val="none" w:sz="0" w:space="0" w:color="auto"/>
        <w:bottom w:val="none" w:sz="0" w:space="0" w:color="auto"/>
        <w:right w:val="none" w:sz="0" w:space="0" w:color="auto"/>
      </w:divBdr>
    </w:div>
    <w:div w:id="2063090641">
      <w:marLeft w:val="0"/>
      <w:marRight w:val="0"/>
      <w:marTop w:val="0"/>
      <w:marBottom w:val="0"/>
      <w:divBdr>
        <w:top w:val="none" w:sz="0" w:space="0" w:color="auto"/>
        <w:left w:val="none" w:sz="0" w:space="0" w:color="auto"/>
        <w:bottom w:val="none" w:sz="0" w:space="0" w:color="auto"/>
        <w:right w:val="none" w:sz="0" w:space="0" w:color="auto"/>
      </w:divBdr>
    </w:div>
    <w:div w:id="2063090642">
      <w:marLeft w:val="0"/>
      <w:marRight w:val="0"/>
      <w:marTop w:val="0"/>
      <w:marBottom w:val="0"/>
      <w:divBdr>
        <w:top w:val="none" w:sz="0" w:space="0" w:color="auto"/>
        <w:left w:val="none" w:sz="0" w:space="0" w:color="auto"/>
        <w:bottom w:val="none" w:sz="0" w:space="0" w:color="auto"/>
        <w:right w:val="none" w:sz="0" w:space="0" w:color="auto"/>
      </w:divBdr>
    </w:div>
    <w:div w:id="2063090643">
      <w:marLeft w:val="0"/>
      <w:marRight w:val="0"/>
      <w:marTop w:val="0"/>
      <w:marBottom w:val="0"/>
      <w:divBdr>
        <w:top w:val="none" w:sz="0" w:space="0" w:color="auto"/>
        <w:left w:val="none" w:sz="0" w:space="0" w:color="auto"/>
        <w:bottom w:val="none" w:sz="0" w:space="0" w:color="auto"/>
        <w:right w:val="none" w:sz="0" w:space="0" w:color="auto"/>
      </w:divBdr>
    </w:div>
    <w:div w:id="2063090644">
      <w:marLeft w:val="0"/>
      <w:marRight w:val="0"/>
      <w:marTop w:val="0"/>
      <w:marBottom w:val="0"/>
      <w:divBdr>
        <w:top w:val="none" w:sz="0" w:space="0" w:color="auto"/>
        <w:left w:val="none" w:sz="0" w:space="0" w:color="auto"/>
        <w:bottom w:val="none" w:sz="0" w:space="0" w:color="auto"/>
        <w:right w:val="none" w:sz="0" w:space="0" w:color="auto"/>
      </w:divBdr>
    </w:div>
    <w:div w:id="2063090645">
      <w:marLeft w:val="0"/>
      <w:marRight w:val="0"/>
      <w:marTop w:val="0"/>
      <w:marBottom w:val="0"/>
      <w:divBdr>
        <w:top w:val="none" w:sz="0" w:space="0" w:color="auto"/>
        <w:left w:val="none" w:sz="0" w:space="0" w:color="auto"/>
        <w:bottom w:val="none" w:sz="0" w:space="0" w:color="auto"/>
        <w:right w:val="none" w:sz="0" w:space="0" w:color="auto"/>
      </w:divBdr>
    </w:div>
    <w:div w:id="2063090646">
      <w:marLeft w:val="0"/>
      <w:marRight w:val="0"/>
      <w:marTop w:val="0"/>
      <w:marBottom w:val="0"/>
      <w:divBdr>
        <w:top w:val="none" w:sz="0" w:space="0" w:color="auto"/>
        <w:left w:val="none" w:sz="0" w:space="0" w:color="auto"/>
        <w:bottom w:val="none" w:sz="0" w:space="0" w:color="auto"/>
        <w:right w:val="none" w:sz="0" w:space="0" w:color="auto"/>
      </w:divBdr>
    </w:div>
    <w:div w:id="2063090647">
      <w:marLeft w:val="0"/>
      <w:marRight w:val="0"/>
      <w:marTop w:val="0"/>
      <w:marBottom w:val="0"/>
      <w:divBdr>
        <w:top w:val="none" w:sz="0" w:space="0" w:color="auto"/>
        <w:left w:val="none" w:sz="0" w:space="0" w:color="auto"/>
        <w:bottom w:val="none" w:sz="0" w:space="0" w:color="auto"/>
        <w:right w:val="none" w:sz="0" w:space="0" w:color="auto"/>
      </w:divBdr>
    </w:div>
    <w:div w:id="2063090648">
      <w:marLeft w:val="0"/>
      <w:marRight w:val="0"/>
      <w:marTop w:val="0"/>
      <w:marBottom w:val="0"/>
      <w:divBdr>
        <w:top w:val="none" w:sz="0" w:space="0" w:color="auto"/>
        <w:left w:val="none" w:sz="0" w:space="0" w:color="auto"/>
        <w:bottom w:val="none" w:sz="0" w:space="0" w:color="auto"/>
        <w:right w:val="none" w:sz="0" w:space="0" w:color="auto"/>
      </w:divBdr>
    </w:div>
    <w:div w:id="2063090649">
      <w:marLeft w:val="0"/>
      <w:marRight w:val="0"/>
      <w:marTop w:val="0"/>
      <w:marBottom w:val="0"/>
      <w:divBdr>
        <w:top w:val="none" w:sz="0" w:space="0" w:color="auto"/>
        <w:left w:val="none" w:sz="0" w:space="0" w:color="auto"/>
        <w:bottom w:val="none" w:sz="0" w:space="0" w:color="auto"/>
        <w:right w:val="none" w:sz="0" w:space="0" w:color="auto"/>
      </w:divBdr>
    </w:div>
    <w:div w:id="2063090650">
      <w:marLeft w:val="0"/>
      <w:marRight w:val="0"/>
      <w:marTop w:val="0"/>
      <w:marBottom w:val="0"/>
      <w:divBdr>
        <w:top w:val="none" w:sz="0" w:space="0" w:color="auto"/>
        <w:left w:val="none" w:sz="0" w:space="0" w:color="auto"/>
        <w:bottom w:val="none" w:sz="0" w:space="0" w:color="auto"/>
        <w:right w:val="none" w:sz="0" w:space="0" w:color="auto"/>
      </w:divBdr>
    </w:div>
    <w:div w:id="2063090651">
      <w:marLeft w:val="0"/>
      <w:marRight w:val="0"/>
      <w:marTop w:val="0"/>
      <w:marBottom w:val="0"/>
      <w:divBdr>
        <w:top w:val="none" w:sz="0" w:space="0" w:color="auto"/>
        <w:left w:val="none" w:sz="0" w:space="0" w:color="auto"/>
        <w:bottom w:val="none" w:sz="0" w:space="0" w:color="auto"/>
        <w:right w:val="none" w:sz="0" w:space="0" w:color="auto"/>
      </w:divBdr>
    </w:div>
    <w:div w:id="2063090652">
      <w:marLeft w:val="0"/>
      <w:marRight w:val="0"/>
      <w:marTop w:val="0"/>
      <w:marBottom w:val="0"/>
      <w:divBdr>
        <w:top w:val="none" w:sz="0" w:space="0" w:color="auto"/>
        <w:left w:val="none" w:sz="0" w:space="0" w:color="auto"/>
        <w:bottom w:val="none" w:sz="0" w:space="0" w:color="auto"/>
        <w:right w:val="none" w:sz="0" w:space="0" w:color="auto"/>
      </w:divBdr>
    </w:div>
    <w:div w:id="2063090653">
      <w:marLeft w:val="0"/>
      <w:marRight w:val="0"/>
      <w:marTop w:val="0"/>
      <w:marBottom w:val="0"/>
      <w:divBdr>
        <w:top w:val="none" w:sz="0" w:space="0" w:color="auto"/>
        <w:left w:val="none" w:sz="0" w:space="0" w:color="auto"/>
        <w:bottom w:val="none" w:sz="0" w:space="0" w:color="auto"/>
        <w:right w:val="none" w:sz="0" w:space="0" w:color="auto"/>
      </w:divBdr>
    </w:div>
    <w:div w:id="2063090654">
      <w:marLeft w:val="0"/>
      <w:marRight w:val="0"/>
      <w:marTop w:val="0"/>
      <w:marBottom w:val="0"/>
      <w:divBdr>
        <w:top w:val="none" w:sz="0" w:space="0" w:color="auto"/>
        <w:left w:val="none" w:sz="0" w:space="0" w:color="auto"/>
        <w:bottom w:val="none" w:sz="0" w:space="0" w:color="auto"/>
        <w:right w:val="none" w:sz="0" w:space="0" w:color="auto"/>
      </w:divBdr>
    </w:div>
    <w:div w:id="2063090655">
      <w:marLeft w:val="0"/>
      <w:marRight w:val="0"/>
      <w:marTop w:val="0"/>
      <w:marBottom w:val="0"/>
      <w:divBdr>
        <w:top w:val="none" w:sz="0" w:space="0" w:color="auto"/>
        <w:left w:val="none" w:sz="0" w:space="0" w:color="auto"/>
        <w:bottom w:val="none" w:sz="0" w:space="0" w:color="auto"/>
        <w:right w:val="none" w:sz="0" w:space="0" w:color="auto"/>
      </w:divBdr>
    </w:div>
    <w:div w:id="2063090656">
      <w:marLeft w:val="0"/>
      <w:marRight w:val="0"/>
      <w:marTop w:val="0"/>
      <w:marBottom w:val="0"/>
      <w:divBdr>
        <w:top w:val="none" w:sz="0" w:space="0" w:color="auto"/>
        <w:left w:val="none" w:sz="0" w:space="0" w:color="auto"/>
        <w:bottom w:val="none" w:sz="0" w:space="0" w:color="auto"/>
        <w:right w:val="none" w:sz="0" w:space="0" w:color="auto"/>
      </w:divBdr>
    </w:div>
    <w:div w:id="2063090657">
      <w:marLeft w:val="0"/>
      <w:marRight w:val="0"/>
      <w:marTop w:val="0"/>
      <w:marBottom w:val="0"/>
      <w:divBdr>
        <w:top w:val="none" w:sz="0" w:space="0" w:color="auto"/>
        <w:left w:val="none" w:sz="0" w:space="0" w:color="auto"/>
        <w:bottom w:val="none" w:sz="0" w:space="0" w:color="auto"/>
        <w:right w:val="none" w:sz="0" w:space="0" w:color="auto"/>
      </w:divBdr>
    </w:div>
    <w:div w:id="2063090658">
      <w:marLeft w:val="0"/>
      <w:marRight w:val="0"/>
      <w:marTop w:val="0"/>
      <w:marBottom w:val="0"/>
      <w:divBdr>
        <w:top w:val="none" w:sz="0" w:space="0" w:color="auto"/>
        <w:left w:val="none" w:sz="0" w:space="0" w:color="auto"/>
        <w:bottom w:val="none" w:sz="0" w:space="0" w:color="auto"/>
        <w:right w:val="none" w:sz="0" w:space="0" w:color="auto"/>
      </w:divBdr>
    </w:div>
    <w:div w:id="2063090659">
      <w:marLeft w:val="0"/>
      <w:marRight w:val="0"/>
      <w:marTop w:val="0"/>
      <w:marBottom w:val="0"/>
      <w:divBdr>
        <w:top w:val="none" w:sz="0" w:space="0" w:color="auto"/>
        <w:left w:val="none" w:sz="0" w:space="0" w:color="auto"/>
        <w:bottom w:val="none" w:sz="0" w:space="0" w:color="auto"/>
        <w:right w:val="none" w:sz="0" w:space="0" w:color="auto"/>
      </w:divBdr>
    </w:div>
    <w:div w:id="2063090660">
      <w:marLeft w:val="0"/>
      <w:marRight w:val="0"/>
      <w:marTop w:val="0"/>
      <w:marBottom w:val="0"/>
      <w:divBdr>
        <w:top w:val="none" w:sz="0" w:space="0" w:color="auto"/>
        <w:left w:val="none" w:sz="0" w:space="0" w:color="auto"/>
        <w:bottom w:val="none" w:sz="0" w:space="0" w:color="auto"/>
        <w:right w:val="none" w:sz="0" w:space="0" w:color="auto"/>
      </w:divBdr>
    </w:div>
    <w:div w:id="2063090661">
      <w:marLeft w:val="0"/>
      <w:marRight w:val="0"/>
      <w:marTop w:val="0"/>
      <w:marBottom w:val="0"/>
      <w:divBdr>
        <w:top w:val="none" w:sz="0" w:space="0" w:color="auto"/>
        <w:left w:val="none" w:sz="0" w:space="0" w:color="auto"/>
        <w:bottom w:val="none" w:sz="0" w:space="0" w:color="auto"/>
        <w:right w:val="none" w:sz="0" w:space="0" w:color="auto"/>
      </w:divBdr>
    </w:div>
    <w:div w:id="2063090662">
      <w:marLeft w:val="0"/>
      <w:marRight w:val="0"/>
      <w:marTop w:val="0"/>
      <w:marBottom w:val="0"/>
      <w:divBdr>
        <w:top w:val="none" w:sz="0" w:space="0" w:color="auto"/>
        <w:left w:val="none" w:sz="0" w:space="0" w:color="auto"/>
        <w:bottom w:val="none" w:sz="0" w:space="0" w:color="auto"/>
        <w:right w:val="none" w:sz="0" w:space="0" w:color="auto"/>
      </w:divBdr>
    </w:div>
    <w:div w:id="2063090663">
      <w:marLeft w:val="0"/>
      <w:marRight w:val="0"/>
      <w:marTop w:val="0"/>
      <w:marBottom w:val="0"/>
      <w:divBdr>
        <w:top w:val="none" w:sz="0" w:space="0" w:color="auto"/>
        <w:left w:val="none" w:sz="0" w:space="0" w:color="auto"/>
        <w:bottom w:val="none" w:sz="0" w:space="0" w:color="auto"/>
        <w:right w:val="none" w:sz="0" w:space="0" w:color="auto"/>
      </w:divBdr>
    </w:div>
    <w:div w:id="2063090664">
      <w:marLeft w:val="0"/>
      <w:marRight w:val="0"/>
      <w:marTop w:val="0"/>
      <w:marBottom w:val="0"/>
      <w:divBdr>
        <w:top w:val="none" w:sz="0" w:space="0" w:color="auto"/>
        <w:left w:val="none" w:sz="0" w:space="0" w:color="auto"/>
        <w:bottom w:val="none" w:sz="0" w:space="0" w:color="auto"/>
        <w:right w:val="none" w:sz="0" w:space="0" w:color="auto"/>
      </w:divBdr>
    </w:div>
    <w:div w:id="2063090665">
      <w:marLeft w:val="0"/>
      <w:marRight w:val="0"/>
      <w:marTop w:val="0"/>
      <w:marBottom w:val="0"/>
      <w:divBdr>
        <w:top w:val="none" w:sz="0" w:space="0" w:color="auto"/>
        <w:left w:val="none" w:sz="0" w:space="0" w:color="auto"/>
        <w:bottom w:val="none" w:sz="0" w:space="0" w:color="auto"/>
        <w:right w:val="none" w:sz="0" w:space="0" w:color="auto"/>
      </w:divBdr>
    </w:div>
    <w:div w:id="2063090666">
      <w:marLeft w:val="0"/>
      <w:marRight w:val="0"/>
      <w:marTop w:val="0"/>
      <w:marBottom w:val="0"/>
      <w:divBdr>
        <w:top w:val="none" w:sz="0" w:space="0" w:color="auto"/>
        <w:left w:val="none" w:sz="0" w:space="0" w:color="auto"/>
        <w:bottom w:val="none" w:sz="0" w:space="0" w:color="auto"/>
        <w:right w:val="none" w:sz="0" w:space="0" w:color="auto"/>
      </w:divBdr>
    </w:div>
    <w:div w:id="2063090667">
      <w:marLeft w:val="0"/>
      <w:marRight w:val="0"/>
      <w:marTop w:val="0"/>
      <w:marBottom w:val="0"/>
      <w:divBdr>
        <w:top w:val="none" w:sz="0" w:space="0" w:color="auto"/>
        <w:left w:val="none" w:sz="0" w:space="0" w:color="auto"/>
        <w:bottom w:val="none" w:sz="0" w:space="0" w:color="auto"/>
        <w:right w:val="none" w:sz="0" w:space="0" w:color="auto"/>
      </w:divBdr>
    </w:div>
    <w:div w:id="2063090668">
      <w:marLeft w:val="0"/>
      <w:marRight w:val="0"/>
      <w:marTop w:val="0"/>
      <w:marBottom w:val="0"/>
      <w:divBdr>
        <w:top w:val="none" w:sz="0" w:space="0" w:color="auto"/>
        <w:left w:val="none" w:sz="0" w:space="0" w:color="auto"/>
        <w:bottom w:val="none" w:sz="0" w:space="0" w:color="auto"/>
        <w:right w:val="none" w:sz="0" w:space="0" w:color="auto"/>
      </w:divBdr>
    </w:div>
    <w:div w:id="2063090669">
      <w:marLeft w:val="0"/>
      <w:marRight w:val="0"/>
      <w:marTop w:val="0"/>
      <w:marBottom w:val="0"/>
      <w:divBdr>
        <w:top w:val="none" w:sz="0" w:space="0" w:color="auto"/>
        <w:left w:val="none" w:sz="0" w:space="0" w:color="auto"/>
        <w:bottom w:val="none" w:sz="0" w:space="0" w:color="auto"/>
        <w:right w:val="none" w:sz="0" w:space="0" w:color="auto"/>
      </w:divBdr>
    </w:div>
    <w:div w:id="2063090670">
      <w:marLeft w:val="0"/>
      <w:marRight w:val="0"/>
      <w:marTop w:val="0"/>
      <w:marBottom w:val="0"/>
      <w:divBdr>
        <w:top w:val="none" w:sz="0" w:space="0" w:color="auto"/>
        <w:left w:val="none" w:sz="0" w:space="0" w:color="auto"/>
        <w:bottom w:val="none" w:sz="0" w:space="0" w:color="auto"/>
        <w:right w:val="none" w:sz="0" w:space="0" w:color="auto"/>
      </w:divBdr>
    </w:div>
    <w:div w:id="2063090671">
      <w:marLeft w:val="0"/>
      <w:marRight w:val="0"/>
      <w:marTop w:val="0"/>
      <w:marBottom w:val="0"/>
      <w:divBdr>
        <w:top w:val="none" w:sz="0" w:space="0" w:color="auto"/>
        <w:left w:val="none" w:sz="0" w:space="0" w:color="auto"/>
        <w:bottom w:val="none" w:sz="0" w:space="0" w:color="auto"/>
        <w:right w:val="none" w:sz="0" w:space="0" w:color="auto"/>
      </w:divBdr>
    </w:div>
    <w:div w:id="2063090672">
      <w:marLeft w:val="0"/>
      <w:marRight w:val="0"/>
      <w:marTop w:val="0"/>
      <w:marBottom w:val="0"/>
      <w:divBdr>
        <w:top w:val="none" w:sz="0" w:space="0" w:color="auto"/>
        <w:left w:val="none" w:sz="0" w:space="0" w:color="auto"/>
        <w:bottom w:val="none" w:sz="0" w:space="0" w:color="auto"/>
        <w:right w:val="none" w:sz="0" w:space="0" w:color="auto"/>
      </w:divBdr>
    </w:div>
    <w:div w:id="2063090673">
      <w:marLeft w:val="0"/>
      <w:marRight w:val="0"/>
      <w:marTop w:val="0"/>
      <w:marBottom w:val="0"/>
      <w:divBdr>
        <w:top w:val="none" w:sz="0" w:space="0" w:color="auto"/>
        <w:left w:val="none" w:sz="0" w:space="0" w:color="auto"/>
        <w:bottom w:val="none" w:sz="0" w:space="0" w:color="auto"/>
        <w:right w:val="none" w:sz="0" w:space="0" w:color="auto"/>
      </w:divBdr>
    </w:div>
    <w:div w:id="2063090674">
      <w:marLeft w:val="0"/>
      <w:marRight w:val="0"/>
      <w:marTop w:val="0"/>
      <w:marBottom w:val="0"/>
      <w:divBdr>
        <w:top w:val="none" w:sz="0" w:space="0" w:color="auto"/>
        <w:left w:val="none" w:sz="0" w:space="0" w:color="auto"/>
        <w:bottom w:val="none" w:sz="0" w:space="0" w:color="auto"/>
        <w:right w:val="none" w:sz="0" w:space="0" w:color="auto"/>
      </w:divBdr>
    </w:div>
    <w:div w:id="2063090675">
      <w:marLeft w:val="0"/>
      <w:marRight w:val="0"/>
      <w:marTop w:val="0"/>
      <w:marBottom w:val="0"/>
      <w:divBdr>
        <w:top w:val="none" w:sz="0" w:space="0" w:color="auto"/>
        <w:left w:val="none" w:sz="0" w:space="0" w:color="auto"/>
        <w:bottom w:val="none" w:sz="0" w:space="0" w:color="auto"/>
        <w:right w:val="none" w:sz="0" w:space="0" w:color="auto"/>
      </w:divBdr>
    </w:div>
    <w:div w:id="2063090676">
      <w:marLeft w:val="0"/>
      <w:marRight w:val="0"/>
      <w:marTop w:val="0"/>
      <w:marBottom w:val="0"/>
      <w:divBdr>
        <w:top w:val="none" w:sz="0" w:space="0" w:color="auto"/>
        <w:left w:val="none" w:sz="0" w:space="0" w:color="auto"/>
        <w:bottom w:val="none" w:sz="0" w:space="0" w:color="auto"/>
        <w:right w:val="none" w:sz="0" w:space="0" w:color="auto"/>
      </w:divBdr>
    </w:div>
    <w:div w:id="2063090677">
      <w:marLeft w:val="0"/>
      <w:marRight w:val="0"/>
      <w:marTop w:val="0"/>
      <w:marBottom w:val="0"/>
      <w:divBdr>
        <w:top w:val="none" w:sz="0" w:space="0" w:color="auto"/>
        <w:left w:val="none" w:sz="0" w:space="0" w:color="auto"/>
        <w:bottom w:val="none" w:sz="0" w:space="0" w:color="auto"/>
        <w:right w:val="none" w:sz="0" w:space="0" w:color="auto"/>
      </w:divBdr>
    </w:div>
    <w:div w:id="2063090678">
      <w:marLeft w:val="0"/>
      <w:marRight w:val="0"/>
      <w:marTop w:val="0"/>
      <w:marBottom w:val="0"/>
      <w:divBdr>
        <w:top w:val="none" w:sz="0" w:space="0" w:color="auto"/>
        <w:left w:val="none" w:sz="0" w:space="0" w:color="auto"/>
        <w:bottom w:val="none" w:sz="0" w:space="0" w:color="auto"/>
        <w:right w:val="none" w:sz="0" w:space="0" w:color="auto"/>
      </w:divBdr>
    </w:div>
    <w:div w:id="2063090679">
      <w:marLeft w:val="0"/>
      <w:marRight w:val="0"/>
      <w:marTop w:val="0"/>
      <w:marBottom w:val="0"/>
      <w:divBdr>
        <w:top w:val="none" w:sz="0" w:space="0" w:color="auto"/>
        <w:left w:val="none" w:sz="0" w:space="0" w:color="auto"/>
        <w:bottom w:val="none" w:sz="0" w:space="0" w:color="auto"/>
        <w:right w:val="none" w:sz="0" w:space="0" w:color="auto"/>
      </w:divBdr>
    </w:div>
    <w:div w:id="2063090680">
      <w:marLeft w:val="0"/>
      <w:marRight w:val="0"/>
      <w:marTop w:val="0"/>
      <w:marBottom w:val="0"/>
      <w:divBdr>
        <w:top w:val="none" w:sz="0" w:space="0" w:color="auto"/>
        <w:left w:val="none" w:sz="0" w:space="0" w:color="auto"/>
        <w:bottom w:val="none" w:sz="0" w:space="0" w:color="auto"/>
        <w:right w:val="none" w:sz="0" w:space="0" w:color="auto"/>
      </w:divBdr>
    </w:div>
    <w:div w:id="2063090681">
      <w:marLeft w:val="0"/>
      <w:marRight w:val="0"/>
      <w:marTop w:val="0"/>
      <w:marBottom w:val="0"/>
      <w:divBdr>
        <w:top w:val="none" w:sz="0" w:space="0" w:color="auto"/>
        <w:left w:val="none" w:sz="0" w:space="0" w:color="auto"/>
        <w:bottom w:val="none" w:sz="0" w:space="0" w:color="auto"/>
        <w:right w:val="none" w:sz="0" w:space="0" w:color="auto"/>
      </w:divBdr>
    </w:div>
    <w:div w:id="2063090682">
      <w:marLeft w:val="0"/>
      <w:marRight w:val="0"/>
      <w:marTop w:val="0"/>
      <w:marBottom w:val="0"/>
      <w:divBdr>
        <w:top w:val="none" w:sz="0" w:space="0" w:color="auto"/>
        <w:left w:val="none" w:sz="0" w:space="0" w:color="auto"/>
        <w:bottom w:val="none" w:sz="0" w:space="0" w:color="auto"/>
        <w:right w:val="none" w:sz="0" w:space="0" w:color="auto"/>
      </w:divBdr>
    </w:div>
    <w:div w:id="2063090683">
      <w:marLeft w:val="0"/>
      <w:marRight w:val="0"/>
      <w:marTop w:val="0"/>
      <w:marBottom w:val="0"/>
      <w:divBdr>
        <w:top w:val="none" w:sz="0" w:space="0" w:color="auto"/>
        <w:left w:val="none" w:sz="0" w:space="0" w:color="auto"/>
        <w:bottom w:val="none" w:sz="0" w:space="0" w:color="auto"/>
        <w:right w:val="none" w:sz="0" w:space="0" w:color="auto"/>
      </w:divBdr>
    </w:div>
    <w:div w:id="2063090684">
      <w:marLeft w:val="0"/>
      <w:marRight w:val="0"/>
      <w:marTop w:val="0"/>
      <w:marBottom w:val="0"/>
      <w:divBdr>
        <w:top w:val="none" w:sz="0" w:space="0" w:color="auto"/>
        <w:left w:val="none" w:sz="0" w:space="0" w:color="auto"/>
        <w:bottom w:val="none" w:sz="0" w:space="0" w:color="auto"/>
        <w:right w:val="none" w:sz="0" w:space="0" w:color="auto"/>
      </w:divBdr>
    </w:div>
    <w:div w:id="2063090685">
      <w:marLeft w:val="0"/>
      <w:marRight w:val="0"/>
      <w:marTop w:val="0"/>
      <w:marBottom w:val="0"/>
      <w:divBdr>
        <w:top w:val="none" w:sz="0" w:space="0" w:color="auto"/>
        <w:left w:val="none" w:sz="0" w:space="0" w:color="auto"/>
        <w:bottom w:val="none" w:sz="0" w:space="0" w:color="auto"/>
        <w:right w:val="none" w:sz="0" w:space="0" w:color="auto"/>
      </w:divBdr>
    </w:div>
    <w:div w:id="2063090686">
      <w:marLeft w:val="0"/>
      <w:marRight w:val="0"/>
      <w:marTop w:val="0"/>
      <w:marBottom w:val="0"/>
      <w:divBdr>
        <w:top w:val="none" w:sz="0" w:space="0" w:color="auto"/>
        <w:left w:val="none" w:sz="0" w:space="0" w:color="auto"/>
        <w:bottom w:val="none" w:sz="0" w:space="0" w:color="auto"/>
        <w:right w:val="none" w:sz="0" w:space="0" w:color="auto"/>
      </w:divBdr>
    </w:div>
    <w:div w:id="2063090687">
      <w:marLeft w:val="0"/>
      <w:marRight w:val="0"/>
      <w:marTop w:val="0"/>
      <w:marBottom w:val="0"/>
      <w:divBdr>
        <w:top w:val="none" w:sz="0" w:space="0" w:color="auto"/>
        <w:left w:val="none" w:sz="0" w:space="0" w:color="auto"/>
        <w:bottom w:val="none" w:sz="0" w:space="0" w:color="auto"/>
        <w:right w:val="none" w:sz="0" w:space="0" w:color="auto"/>
      </w:divBdr>
    </w:div>
    <w:div w:id="2063090689">
      <w:marLeft w:val="0"/>
      <w:marRight w:val="0"/>
      <w:marTop w:val="0"/>
      <w:marBottom w:val="0"/>
      <w:divBdr>
        <w:top w:val="none" w:sz="0" w:space="0" w:color="auto"/>
        <w:left w:val="none" w:sz="0" w:space="0" w:color="auto"/>
        <w:bottom w:val="none" w:sz="0" w:space="0" w:color="auto"/>
        <w:right w:val="none" w:sz="0" w:space="0" w:color="auto"/>
      </w:divBdr>
    </w:div>
    <w:div w:id="2063090690">
      <w:marLeft w:val="0"/>
      <w:marRight w:val="0"/>
      <w:marTop w:val="0"/>
      <w:marBottom w:val="0"/>
      <w:divBdr>
        <w:top w:val="none" w:sz="0" w:space="0" w:color="auto"/>
        <w:left w:val="none" w:sz="0" w:space="0" w:color="auto"/>
        <w:bottom w:val="none" w:sz="0" w:space="0" w:color="auto"/>
        <w:right w:val="none" w:sz="0" w:space="0" w:color="auto"/>
      </w:divBdr>
    </w:div>
    <w:div w:id="2063090691">
      <w:marLeft w:val="0"/>
      <w:marRight w:val="0"/>
      <w:marTop w:val="0"/>
      <w:marBottom w:val="0"/>
      <w:divBdr>
        <w:top w:val="none" w:sz="0" w:space="0" w:color="auto"/>
        <w:left w:val="none" w:sz="0" w:space="0" w:color="auto"/>
        <w:bottom w:val="none" w:sz="0" w:space="0" w:color="auto"/>
        <w:right w:val="none" w:sz="0" w:space="0" w:color="auto"/>
      </w:divBdr>
    </w:div>
    <w:div w:id="2063090692">
      <w:marLeft w:val="0"/>
      <w:marRight w:val="0"/>
      <w:marTop w:val="0"/>
      <w:marBottom w:val="0"/>
      <w:divBdr>
        <w:top w:val="none" w:sz="0" w:space="0" w:color="auto"/>
        <w:left w:val="none" w:sz="0" w:space="0" w:color="auto"/>
        <w:bottom w:val="none" w:sz="0" w:space="0" w:color="auto"/>
        <w:right w:val="none" w:sz="0" w:space="0" w:color="auto"/>
      </w:divBdr>
    </w:div>
    <w:div w:id="2063090693">
      <w:marLeft w:val="0"/>
      <w:marRight w:val="0"/>
      <w:marTop w:val="0"/>
      <w:marBottom w:val="0"/>
      <w:divBdr>
        <w:top w:val="none" w:sz="0" w:space="0" w:color="auto"/>
        <w:left w:val="none" w:sz="0" w:space="0" w:color="auto"/>
        <w:bottom w:val="none" w:sz="0" w:space="0" w:color="auto"/>
        <w:right w:val="none" w:sz="0" w:space="0" w:color="auto"/>
      </w:divBdr>
    </w:div>
    <w:div w:id="2063090694">
      <w:marLeft w:val="0"/>
      <w:marRight w:val="0"/>
      <w:marTop w:val="0"/>
      <w:marBottom w:val="0"/>
      <w:divBdr>
        <w:top w:val="none" w:sz="0" w:space="0" w:color="auto"/>
        <w:left w:val="none" w:sz="0" w:space="0" w:color="auto"/>
        <w:bottom w:val="none" w:sz="0" w:space="0" w:color="auto"/>
        <w:right w:val="none" w:sz="0" w:space="0" w:color="auto"/>
      </w:divBdr>
    </w:div>
    <w:div w:id="2063090695">
      <w:marLeft w:val="0"/>
      <w:marRight w:val="0"/>
      <w:marTop w:val="0"/>
      <w:marBottom w:val="0"/>
      <w:divBdr>
        <w:top w:val="none" w:sz="0" w:space="0" w:color="auto"/>
        <w:left w:val="none" w:sz="0" w:space="0" w:color="auto"/>
        <w:bottom w:val="none" w:sz="0" w:space="0" w:color="auto"/>
        <w:right w:val="none" w:sz="0" w:space="0" w:color="auto"/>
      </w:divBdr>
    </w:div>
    <w:div w:id="2063090696">
      <w:marLeft w:val="0"/>
      <w:marRight w:val="0"/>
      <w:marTop w:val="0"/>
      <w:marBottom w:val="0"/>
      <w:divBdr>
        <w:top w:val="none" w:sz="0" w:space="0" w:color="auto"/>
        <w:left w:val="none" w:sz="0" w:space="0" w:color="auto"/>
        <w:bottom w:val="none" w:sz="0" w:space="0" w:color="auto"/>
        <w:right w:val="none" w:sz="0" w:space="0" w:color="auto"/>
      </w:divBdr>
    </w:div>
    <w:div w:id="2063090697">
      <w:marLeft w:val="0"/>
      <w:marRight w:val="0"/>
      <w:marTop w:val="0"/>
      <w:marBottom w:val="0"/>
      <w:divBdr>
        <w:top w:val="none" w:sz="0" w:space="0" w:color="auto"/>
        <w:left w:val="none" w:sz="0" w:space="0" w:color="auto"/>
        <w:bottom w:val="none" w:sz="0" w:space="0" w:color="auto"/>
        <w:right w:val="none" w:sz="0" w:space="0" w:color="auto"/>
      </w:divBdr>
    </w:div>
    <w:div w:id="2063090698">
      <w:marLeft w:val="0"/>
      <w:marRight w:val="0"/>
      <w:marTop w:val="0"/>
      <w:marBottom w:val="0"/>
      <w:divBdr>
        <w:top w:val="none" w:sz="0" w:space="0" w:color="auto"/>
        <w:left w:val="none" w:sz="0" w:space="0" w:color="auto"/>
        <w:bottom w:val="none" w:sz="0" w:space="0" w:color="auto"/>
        <w:right w:val="none" w:sz="0" w:space="0" w:color="auto"/>
      </w:divBdr>
    </w:div>
    <w:div w:id="2063090699">
      <w:marLeft w:val="0"/>
      <w:marRight w:val="0"/>
      <w:marTop w:val="0"/>
      <w:marBottom w:val="0"/>
      <w:divBdr>
        <w:top w:val="none" w:sz="0" w:space="0" w:color="auto"/>
        <w:left w:val="none" w:sz="0" w:space="0" w:color="auto"/>
        <w:bottom w:val="none" w:sz="0" w:space="0" w:color="auto"/>
        <w:right w:val="none" w:sz="0" w:space="0" w:color="auto"/>
      </w:divBdr>
    </w:div>
    <w:div w:id="2063090700">
      <w:marLeft w:val="0"/>
      <w:marRight w:val="0"/>
      <w:marTop w:val="0"/>
      <w:marBottom w:val="0"/>
      <w:divBdr>
        <w:top w:val="none" w:sz="0" w:space="0" w:color="auto"/>
        <w:left w:val="none" w:sz="0" w:space="0" w:color="auto"/>
        <w:bottom w:val="none" w:sz="0" w:space="0" w:color="auto"/>
        <w:right w:val="none" w:sz="0" w:space="0" w:color="auto"/>
      </w:divBdr>
    </w:div>
    <w:div w:id="2063090701">
      <w:marLeft w:val="0"/>
      <w:marRight w:val="0"/>
      <w:marTop w:val="0"/>
      <w:marBottom w:val="0"/>
      <w:divBdr>
        <w:top w:val="none" w:sz="0" w:space="0" w:color="auto"/>
        <w:left w:val="none" w:sz="0" w:space="0" w:color="auto"/>
        <w:bottom w:val="none" w:sz="0" w:space="0" w:color="auto"/>
        <w:right w:val="none" w:sz="0" w:space="0" w:color="auto"/>
      </w:divBdr>
    </w:div>
    <w:div w:id="2063090702">
      <w:marLeft w:val="0"/>
      <w:marRight w:val="0"/>
      <w:marTop w:val="0"/>
      <w:marBottom w:val="0"/>
      <w:divBdr>
        <w:top w:val="none" w:sz="0" w:space="0" w:color="auto"/>
        <w:left w:val="none" w:sz="0" w:space="0" w:color="auto"/>
        <w:bottom w:val="none" w:sz="0" w:space="0" w:color="auto"/>
        <w:right w:val="none" w:sz="0" w:space="0" w:color="auto"/>
      </w:divBdr>
    </w:div>
    <w:div w:id="2063090703">
      <w:marLeft w:val="0"/>
      <w:marRight w:val="0"/>
      <w:marTop w:val="0"/>
      <w:marBottom w:val="0"/>
      <w:divBdr>
        <w:top w:val="none" w:sz="0" w:space="0" w:color="auto"/>
        <w:left w:val="none" w:sz="0" w:space="0" w:color="auto"/>
        <w:bottom w:val="none" w:sz="0" w:space="0" w:color="auto"/>
        <w:right w:val="none" w:sz="0" w:space="0" w:color="auto"/>
      </w:divBdr>
    </w:div>
    <w:div w:id="2063090704">
      <w:marLeft w:val="0"/>
      <w:marRight w:val="0"/>
      <w:marTop w:val="0"/>
      <w:marBottom w:val="0"/>
      <w:divBdr>
        <w:top w:val="none" w:sz="0" w:space="0" w:color="auto"/>
        <w:left w:val="none" w:sz="0" w:space="0" w:color="auto"/>
        <w:bottom w:val="none" w:sz="0" w:space="0" w:color="auto"/>
        <w:right w:val="none" w:sz="0" w:space="0" w:color="auto"/>
      </w:divBdr>
    </w:div>
    <w:div w:id="2063090705">
      <w:marLeft w:val="0"/>
      <w:marRight w:val="0"/>
      <w:marTop w:val="0"/>
      <w:marBottom w:val="0"/>
      <w:divBdr>
        <w:top w:val="none" w:sz="0" w:space="0" w:color="auto"/>
        <w:left w:val="none" w:sz="0" w:space="0" w:color="auto"/>
        <w:bottom w:val="none" w:sz="0" w:space="0" w:color="auto"/>
        <w:right w:val="none" w:sz="0" w:space="0" w:color="auto"/>
      </w:divBdr>
    </w:div>
    <w:div w:id="2063090706">
      <w:marLeft w:val="0"/>
      <w:marRight w:val="0"/>
      <w:marTop w:val="0"/>
      <w:marBottom w:val="0"/>
      <w:divBdr>
        <w:top w:val="none" w:sz="0" w:space="0" w:color="auto"/>
        <w:left w:val="none" w:sz="0" w:space="0" w:color="auto"/>
        <w:bottom w:val="none" w:sz="0" w:space="0" w:color="auto"/>
        <w:right w:val="none" w:sz="0" w:space="0" w:color="auto"/>
      </w:divBdr>
    </w:div>
    <w:div w:id="2063090707">
      <w:marLeft w:val="0"/>
      <w:marRight w:val="0"/>
      <w:marTop w:val="0"/>
      <w:marBottom w:val="0"/>
      <w:divBdr>
        <w:top w:val="none" w:sz="0" w:space="0" w:color="auto"/>
        <w:left w:val="none" w:sz="0" w:space="0" w:color="auto"/>
        <w:bottom w:val="none" w:sz="0" w:space="0" w:color="auto"/>
        <w:right w:val="none" w:sz="0" w:space="0" w:color="auto"/>
      </w:divBdr>
    </w:div>
    <w:div w:id="2063090708">
      <w:marLeft w:val="0"/>
      <w:marRight w:val="0"/>
      <w:marTop w:val="0"/>
      <w:marBottom w:val="0"/>
      <w:divBdr>
        <w:top w:val="none" w:sz="0" w:space="0" w:color="auto"/>
        <w:left w:val="none" w:sz="0" w:space="0" w:color="auto"/>
        <w:bottom w:val="none" w:sz="0" w:space="0" w:color="auto"/>
        <w:right w:val="none" w:sz="0" w:space="0" w:color="auto"/>
      </w:divBdr>
    </w:div>
    <w:div w:id="2063090709">
      <w:marLeft w:val="0"/>
      <w:marRight w:val="0"/>
      <w:marTop w:val="0"/>
      <w:marBottom w:val="0"/>
      <w:divBdr>
        <w:top w:val="none" w:sz="0" w:space="0" w:color="auto"/>
        <w:left w:val="none" w:sz="0" w:space="0" w:color="auto"/>
        <w:bottom w:val="none" w:sz="0" w:space="0" w:color="auto"/>
        <w:right w:val="none" w:sz="0" w:space="0" w:color="auto"/>
      </w:divBdr>
    </w:div>
    <w:div w:id="2063090710">
      <w:marLeft w:val="0"/>
      <w:marRight w:val="0"/>
      <w:marTop w:val="0"/>
      <w:marBottom w:val="0"/>
      <w:divBdr>
        <w:top w:val="none" w:sz="0" w:space="0" w:color="auto"/>
        <w:left w:val="none" w:sz="0" w:space="0" w:color="auto"/>
        <w:bottom w:val="none" w:sz="0" w:space="0" w:color="auto"/>
        <w:right w:val="none" w:sz="0" w:space="0" w:color="auto"/>
      </w:divBdr>
    </w:div>
    <w:div w:id="2063090711">
      <w:marLeft w:val="0"/>
      <w:marRight w:val="0"/>
      <w:marTop w:val="0"/>
      <w:marBottom w:val="0"/>
      <w:divBdr>
        <w:top w:val="none" w:sz="0" w:space="0" w:color="auto"/>
        <w:left w:val="none" w:sz="0" w:space="0" w:color="auto"/>
        <w:bottom w:val="none" w:sz="0" w:space="0" w:color="auto"/>
        <w:right w:val="none" w:sz="0" w:space="0" w:color="auto"/>
      </w:divBdr>
    </w:div>
    <w:div w:id="2063090712">
      <w:marLeft w:val="0"/>
      <w:marRight w:val="0"/>
      <w:marTop w:val="0"/>
      <w:marBottom w:val="0"/>
      <w:divBdr>
        <w:top w:val="none" w:sz="0" w:space="0" w:color="auto"/>
        <w:left w:val="none" w:sz="0" w:space="0" w:color="auto"/>
        <w:bottom w:val="none" w:sz="0" w:space="0" w:color="auto"/>
        <w:right w:val="none" w:sz="0" w:space="0" w:color="auto"/>
      </w:divBdr>
    </w:div>
    <w:div w:id="2063090713">
      <w:marLeft w:val="0"/>
      <w:marRight w:val="0"/>
      <w:marTop w:val="0"/>
      <w:marBottom w:val="0"/>
      <w:divBdr>
        <w:top w:val="none" w:sz="0" w:space="0" w:color="auto"/>
        <w:left w:val="none" w:sz="0" w:space="0" w:color="auto"/>
        <w:bottom w:val="none" w:sz="0" w:space="0" w:color="auto"/>
        <w:right w:val="none" w:sz="0" w:space="0" w:color="auto"/>
      </w:divBdr>
    </w:div>
    <w:div w:id="2063090714">
      <w:marLeft w:val="0"/>
      <w:marRight w:val="0"/>
      <w:marTop w:val="0"/>
      <w:marBottom w:val="0"/>
      <w:divBdr>
        <w:top w:val="none" w:sz="0" w:space="0" w:color="auto"/>
        <w:left w:val="none" w:sz="0" w:space="0" w:color="auto"/>
        <w:bottom w:val="none" w:sz="0" w:space="0" w:color="auto"/>
        <w:right w:val="none" w:sz="0" w:space="0" w:color="auto"/>
      </w:divBdr>
    </w:div>
    <w:div w:id="2063090715">
      <w:marLeft w:val="0"/>
      <w:marRight w:val="0"/>
      <w:marTop w:val="0"/>
      <w:marBottom w:val="0"/>
      <w:divBdr>
        <w:top w:val="none" w:sz="0" w:space="0" w:color="auto"/>
        <w:left w:val="none" w:sz="0" w:space="0" w:color="auto"/>
        <w:bottom w:val="none" w:sz="0" w:space="0" w:color="auto"/>
        <w:right w:val="none" w:sz="0" w:space="0" w:color="auto"/>
      </w:divBdr>
    </w:div>
    <w:div w:id="2063090716">
      <w:marLeft w:val="0"/>
      <w:marRight w:val="0"/>
      <w:marTop w:val="0"/>
      <w:marBottom w:val="0"/>
      <w:divBdr>
        <w:top w:val="none" w:sz="0" w:space="0" w:color="auto"/>
        <w:left w:val="none" w:sz="0" w:space="0" w:color="auto"/>
        <w:bottom w:val="none" w:sz="0" w:space="0" w:color="auto"/>
        <w:right w:val="none" w:sz="0" w:space="0" w:color="auto"/>
      </w:divBdr>
    </w:div>
    <w:div w:id="2063090717">
      <w:marLeft w:val="0"/>
      <w:marRight w:val="0"/>
      <w:marTop w:val="0"/>
      <w:marBottom w:val="0"/>
      <w:divBdr>
        <w:top w:val="none" w:sz="0" w:space="0" w:color="auto"/>
        <w:left w:val="none" w:sz="0" w:space="0" w:color="auto"/>
        <w:bottom w:val="none" w:sz="0" w:space="0" w:color="auto"/>
        <w:right w:val="none" w:sz="0" w:space="0" w:color="auto"/>
      </w:divBdr>
    </w:div>
    <w:div w:id="2063090718">
      <w:marLeft w:val="0"/>
      <w:marRight w:val="0"/>
      <w:marTop w:val="0"/>
      <w:marBottom w:val="0"/>
      <w:divBdr>
        <w:top w:val="none" w:sz="0" w:space="0" w:color="auto"/>
        <w:left w:val="none" w:sz="0" w:space="0" w:color="auto"/>
        <w:bottom w:val="none" w:sz="0" w:space="0" w:color="auto"/>
        <w:right w:val="none" w:sz="0" w:space="0" w:color="auto"/>
      </w:divBdr>
    </w:div>
    <w:div w:id="2063090719">
      <w:marLeft w:val="0"/>
      <w:marRight w:val="0"/>
      <w:marTop w:val="0"/>
      <w:marBottom w:val="0"/>
      <w:divBdr>
        <w:top w:val="none" w:sz="0" w:space="0" w:color="auto"/>
        <w:left w:val="none" w:sz="0" w:space="0" w:color="auto"/>
        <w:bottom w:val="none" w:sz="0" w:space="0" w:color="auto"/>
        <w:right w:val="none" w:sz="0" w:space="0" w:color="auto"/>
      </w:divBdr>
    </w:div>
    <w:div w:id="2063090720">
      <w:marLeft w:val="0"/>
      <w:marRight w:val="0"/>
      <w:marTop w:val="0"/>
      <w:marBottom w:val="0"/>
      <w:divBdr>
        <w:top w:val="none" w:sz="0" w:space="0" w:color="auto"/>
        <w:left w:val="none" w:sz="0" w:space="0" w:color="auto"/>
        <w:bottom w:val="none" w:sz="0" w:space="0" w:color="auto"/>
        <w:right w:val="none" w:sz="0" w:space="0" w:color="auto"/>
      </w:divBdr>
    </w:div>
    <w:div w:id="2063090721">
      <w:marLeft w:val="0"/>
      <w:marRight w:val="0"/>
      <w:marTop w:val="0"/>
      <w:marBottom w:val="0"/>
      <w:divBdr>
        <w:top w:val="none" w:sz="0" w:space="0" w:color="auto"/>
        <w:left w:val="none" w:sz="0" w:space="0" w:color="auto"/>
        <w:bottom w:val="none" w:sz="0" w:space="0" w:color="auto"/>
        <w:right w:val="none" w:sz="0" w:space="0" w:color="auto"/>
      </w:divBdr>
    </w:div>
    <w:div w:id="2063090722">
      <w:marLeft w:val="0"/>
      <w:marRight w:val="0"/>
      <w:marTop w:val="0"/>
      <w:marBottom w:val="0"/>
      <w:divBdr>
        <w:top w:val="none" w:sz="0" w:space="0" w:color="auto"/>
        <w:left w:val="none" w:sz="0" w:space="0" w:color="auto"/>
        <w:bottom w:val="none" w:sz="0" w:space="0" w:color="auto"/>
        <w:right w:val="none" w:sz="0" w:space="0" w:color="auto"/>
      </w:divBdr>
    </w:div>
    <w:div w:id="2063090723">
      <w:marLeft w:val="0"/>
      <w:marRight w:val="0"/>
      <w:marTop w:val="0"/>
      <w:marBottom w:val="0"/>
      <w:divBdr>
        <w:top w:val="none" w:sz="0" w:space="0" w:color="auto"/>
        <w:left w:val="none" w:sz="0" w:space="0" w:color="auto"/>
        <w:bottom w:val="none" w:sz="0" w:space="0" w:color="auto"/>
        <w:right w:val="none" w:sz="0" w:space="0" w:color="auto"/>
      </w:divBdr>
    </w:div>
    <w:div w:id="2063090724">
      <w:marLeft w:val="0"/>
      <w:marRight w:val="0"/>
      <w:marTop w:val="0"/>
      <w:marBottom w:val="0"/>
      <w:divBdr>
        <w:top w:val="none" w:sz="0" w:space="0" w:color="auto"/>
        <w:left w:val="none" w:sz="0" w:space="0" w:color="auto"/>
        <w:bottom w:val="none" w:sz="0" w:space="0" w:color="auto"/>
        <w:right w:val="none" w:sz="0" w:space="0" w:color="auto"/>
      </w:divBdr>
    </w:div>
    <w:div w:id="2063090725">
      <w:marLeft w:val="0"/>
      <w:marRight w:val="0"/>
      <w:marTop w:val="0"/>
      <w:marBottom w:val="0"/>
      <w:divBdr>
        <w:top w:val="none" w:sz="0" w:space="0" w:color="auto"/>
        <w:left w:val="none" w:sz="0" w:space="0" w:color="auto"/>
        <w:bottom w:val="none" w:sz="0" w:space="0" w:color="auto"/>
        <w:right w:val="none" w:sz="0" w:space="0" w:color="auto"/>
      </w:divBdr>
    </w:div>
    <w:div w:id="2063090726">
      <w:marLeft w:val="0"/>
      <w:marRight w:val="0"/>
      <w:marTop w:val="0"/>
      <w:marBottom w:val="0"/>
      <w:divBdr>
        <w:top w:val="none" w:sz="0" w:space="0" w:color="auto"/>
        <w:left w:val="none" w:sz="0" w:space="0" w:color="auto"/>
        <w:bottom w:val="none" w:sz="0" w:space="0" w:color="auto"/>
        <w:right w:val="none" w:sz="0" w:space="0" w:color="auto"/>
      </w:divBdr>
    </w:div>
    <w:div w:id="2063090727">
      <w:marLeft w:val="0"/>
      <w:marRight w:val="0"/>
      <w:marTop w:val="0"/>
      <w:marBottom w:val="0"/>
      <w:divBdr>
        <w:top w:val="none" w:sz="0" w:space="0" w:color="auto"/>
        <w:left w:val="none" w:sz="0" w:space="0" w:color="auto"/>
        <w:bottom w:val="none" w:sz="0" w:space="0" w:color="auto"/>
        <w:right w:val="none" w:sz="0" w:space="0" w:color="auto"/>
      </w:divBdr>
    </w:div>
    <w:div w:id="2063090728">
      <w:marLeft w:val="0"/>
      <w:marRight w:val="0"/>
      <w:marTop w:val="0"/>
      <w:marBottom w:val="0"/>
      <w:divBdr>
        <w:top w:val="none" w:sz="0" w:space="0" w:color="auto"/>
        <w:left w:val="none" w:sz="0" w:space="0" w:color="auto"/>
        <w:bottom w:val="none" w:sz="0" w:space="0" w:color="auto"/>
        <w:right w:val="none" w:sz="0" w:space="0" w:color="auto"/>
      </w:divBdr>
    </w:div>
    <w:div w:id="2063090729">
      <w:marLeft w:val="0"/>
      <w:marRight w:val="0"/>
      <w:marTop w:val="0"/>
      <w:marBottom w:val="0"/>
      <w:divBdr>
        <w:top w:val="none" w:sz="0" w:space="0" w:color="auto"/>
        <w:left w:val="none" w:sz="0" w:space="0" w:color="auto"/>
        <w:bottom w:val="none" w:sz="0" w:space="0" w:color="auto"/>
        <w:right w:val="none" w:sz="0" w:space="0" w:color="auto"/>
      </w:divBdr>
    </w:div>
    <w:div w:id="2063090730">
      <w:marLeft w:val="0"/>
      <w:marRight w:val="0"/>
      <w:marTop w:val="0"/>
      <w:marBottom w:val="0"/>
      <w:divBdr>
        <w:top w:val="none" w:sz="0" w:space="0" w:color="auto"/>
        <w:left w:val="none" w:sz="0" w:space="0" w:color="auto"/>
        <w:bottom w:val="none" w:sz="0" w:space="0" w:color="auto"/>
        <w:right w:val="none" w:sz="0" w:space="0" w:color="auto"/>
      </w:divBdr>
    </w:div>
    <w:div w:id="206309073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image" Target="media/image1.jpe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5.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575</TotalTime>
  <Pages>35</Pages>
  <Words>4053</Words>
  <Characters>23104</Characters>
  <Application>Microsoft Office Word</Application>
  <DocSecurity>0</DocSecurity>
  <Lines>192</Lines>
  <Paragraphs>54</Paragraphs>
  <ScaleCrop>false</ScaleCrop>
  <Company/>
  <LinksUpToDate>false</LinksUpToDate>
  <CharactersWithSpaces>27103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祝妍</cp:lastModifiedBy>
  <cp:revision>555</cp:revision>
  <cp:lastPrinted>2007-07-19T00:46:00Z</cp:lastPrinted>
  <dcterms:created xsi:type="dcterms:W3CDTF">2013-10-15T01:57:00Z</dcterms:created>
  <dcterms:modified xsi:type="dcterms:W3CDTF">2020-03-12T07:18:00Z</dcterms:modified>
</cp:coreProperties>
</file>