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E75E2" w:rsidRDefault="00FE03C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265,001,523.10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2017" w:rsidRPr="00414345" w:rsidTr="0020201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02017" w:rsidRPr="00414345" w:rsidTr="002020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49,866,198.30</w:t>
            </w:r>
          </w:p>
        </w:tc>
      </w:tr>
      <w:tr w:rsidR="00202017" w:rsidRPr="00414345" w:rsidTr="002020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59,516,251.76</w:t>
            </w:r>
          </w:p>
        </w:tc>
      </w:tr>
      <w:tr w:rsidR="00202017" w:rsidRPr="00414345" w:rsidTr="002020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0.2378</w:t>
            </w:r>
          </w:p>
        </w:tc>
      </w:tr>
      <w:tr w:rsidR="00202017" w:rsidRPr="00414345" w:rsidTr="0020201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433,867,659.45</w:t>
            </w:r>
          </w:p>
        </w:tc>
      </w:tr>
      <w:tr w:rsidR="00202017" w:rsidRPr="00414345" w:rsidTr="0020201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1.6372</w:t>
            </w:r>
          </w:p>
        </w:tc>
      </w:tr>
    </w:tbl>
    <w:p w:rsidR="004E75E2" w:rsidRDefault="00FE03C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E75E2">
        <w:trPr>
          <w:jc w:val="center"/>
        </w:trPr>
        <w:tc>
          <w:tcPr>
            <w:tcW w:w="1701" w:type="dxa"/>
            <w:vAlign w:val="center"/>
          </w:tcPr>
          <w:p w:rsidR="004E75E2" w:rsidRDefault="00FE03C7">
            <w:pPr>
              <w:jc w:val="left"/>
            </w:pPr>
            <w:r>
              <w:rPr>
                <w:color w:val="000000"/>
                <w:sz w:val="24"/>
                <w:szCs w:val="24"/>
              </w:rPr>
              <w:t>过去三个月</w:t>
            </w:r>
          </w:p>
        </w:tc>
        <w:tc>
          <w:tcPr>
            <w:tcW w:w="1045" w:type="dxa"/>
            <w:vAlign w:val="center"/>
          </w:tcPr>
          <w:p w:rsidR="004E75E2" w:rsidRDefault="00FE03C7">
            <w:pPr>
              <w:jc w:val="center"/>
            </w:pPr>
            <w:r>
              <w:rPr>
                <w:color w:val="000000"/>
                <w:sz w:val="24"/>
                <w:szCs w:val="24"/>
              </w:rPr>
              <w:t>16.91%</w:t>
            </w:r>
          </w:p>
        </w:tc>
        <w:tc>
          <w:tcPr>
            <w:tcW w:w="1344" w:type="dxa"/>
            <w:vAlign w:val="center"/>
          </w:tcPr>
          <w:p w:rsidR="004E75E2" w:rsidRDefault="00FE03C7">
            <w:pPr>
              <w:jc w:val="center"/>
            </w:pPr>
            <w:r>
              <w:rPr>
                <w:color w:val="000000"/>
                <w:sz w:val="24"/>
                <w:szCs w:val="24"/>
              </w:rPr>
              <w:t>1.10%</w:t>
            </w:r>
          </w:p>
        </w:tc>
        <w:tc>
          <w:tcPr>
            <w:tcW w:w="1194" w:type="dxa"/>
            <w:vAlign w:val="center"/>
          </w:tcPr>
          <w:p w:rsidR="004E75E2" w:rsidRDefault="00FE03C7">
            <w:pPr>
              <w:jc w:val="center"/>
            </w:pPr>
            <w:r>
              <w:rPr>
                <w:color w:val="000000"/>
                <w:sz w:val="24"/>
                <w:szCs w:val="24"/>
              </w:rPr>
              <w:t>4.73%</w:t>
            </w:r>
          </w:p>
        </w:tc>
        <w:tc>
          <w:tcPr>
            <w:tcW w:w="1492" w:type="dxa"/>
            <w:vAlign w:val="center"/>
          </w:tcPr>
          <w:p w:rsidR="004E75E2" w:rsidRDefault="00FE03C7">
            <w:pPr>
              <w:jc w:val="center"/>
            </w:pPr>
            <w:r>
              <w:rPr>
                <w:color w:val="000000"/>
                <w:sz w:val="24"/>
                <w:szCs w:val="24"/>
              </w:rPr>
              <w:t>0.91%</w:t>
            </w:r>
          </w:p>
        </w:tc>
        <w:tc>
          <w:tcPr>
            <w:tcW w:w="1194" w:type="dxa"/>
            <w:vAlign w:val="center"/>
          </w:tcPr>
          <w:p w:rsidR="004E75E2" w:rsidRDefault="00FE03C7">
            <w:pPr>
              <w:jc w:val="center"/>
            </w:pPr>
            <w:r>
              <w:rPr>
                <w:color w:val="000000"/>
                <w:sz w:val="24"/>
                <w:szCs w:val="24"/>
              </w:rPr>
              <w:t>12.18%</w:t>
            </w:r>
          </w:p>
        </w:tc>
        <w:tc>
          <w:tcPr>
            <w:tcW w:w="898" w:type="dxa"/>
            <w:vAlign w:val="center"/>
          </w:tcPr>
          <w:p w:rsidR="004E75E2" w:rsidRDefault="00FE03C7">
            <w:pPr>
              <w:jc w:val="center"/>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20201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5D492EEF" wp14:editId="5B9A781E">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E75E2">
        <w:trPr>
          <w:jc w:val="center"/>
        </w:trPr>
        <w:tc>
          <w:tcPr>
            <w:tcW w:w="846" w:type="dxa"/>
            <w:vAlign w:val="center"/>
          </w:tcPr>
          <w:p w:rsidR="004E75E2" w:rsidRDefault="00FE03C7">
            <w:pPr>
              <w:jc w:val="center"/>
            </w:pPr>
            <w:r>
              <w:rPr>
                <w:color w:val="000000"/>
                <w:sz w:val="24"/>
                <w:szCs w:val="24"/>
              </w:rPr>
              <w:t>楼慧源</w:t>
            </w:r>
          </w:p>
        </w:tc>
        <w:tc>
          <w:tcPr>
            <w:tcW w:w="845" w:type="dxa"/>
            <w:vAlign w:val="center"/>
          </w:tcPr>
          <w:p w:rsidR="004E75E2" w:rsidRDefault="00FE03C7">
            <w:pPr>
              <w:jc w:val="center"/>
            </w:pPr>
            <w:r>
              <w:rPr>
                <w:color w:val="000000"/>
                <w:sz w:val="24"/>
                <w:szCs w:val="24"/>
              </w:rPr>
              <w:t>交银医药创新股票的基金经理</w:t>
            </w:r>
          </w:p>
        </w:tc>
        <w:tc>
          <w:tcPr>
            <w:tcW w:w="1549" w:type="dxa"/>
            <w:vAlign w:val="center"/>
          </w:tcPr>
          <w:p w:rsidR="004E75E2" w:rsidRDefault="00FE03C7">
            <w:pPr>
              <w:jc w:val="center"/>
            </w:pPr>
            <w:r>
              <w:rPr>
                <w:color w:val="000000"/>
                <w:sz w:val="24"/>
                <w:szCs w:val="24"/>
              </w:rPr>
              <w:t>2018-09-12</w:t>
            </w:r>
          </w:p>
        </w:tc>
        <w:tc>
          <w:tcPr>
            <w:tcW w:w="1548" w:type="dxa"/>
            <w:vAlign w:val="center"/>
          </w:tcPr>
          <w:p w:rsidR="004E75E2" w:rsidRDefault="00FE03C7">
            <w:pPr>
              <w:jc w:val="center"/>
            </w:pPr>
            <w:r>
              <w:rPr>
                <w:color w:val="000000"/>
                <w:sz w:val="24"/>
                <w:szCs w:val="24"/>
              </w:rPr>
              <w:t>-</w:t>
            </w:r>
          </w:p>
        </w:tc>
        <w:tc>
          <w:tcPr>
            <w:tcW w:w="1407" w:type="dxa"/>
            <w:vAlign w:val="center"/>
          </w:tcPr>
          <w:p w:rsidR="004E75E2" w:rsidRDefault="00FE03C7">
            <w:pPr>
              <w:jc w:val="center"/>
            </w:pPr>
            <w:r>
              <w:rPr>
                <w:color w:val="000000"/>
                <w:sz w:val="24"/>
                <w:szCs w:val="24"/>
              </w:rPr>
              <w:t>5</w:t>
            </w:r>
            <w:r>
              <w:rPr>
                <w:color w:val="000000"/>
                <w:sz w:val="24"/>
                <w:szCs w:val="24"/>
              </w:rPr>
              <w:t>年</w:t>
            </w:r>
          </w:p>
        </w:tc>
        <w:tc>
          <w:tcPr>
            <w:tcW w:w="2673" w:type="dxa"/>
            <w:vAlign w:val="center"/>
          </w:tcPr>
          <w:p w:rsidR="004E75E2" w:rsidRDefault="00FE03C7">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E75E2" w:rsidRDefault="00FE03C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E75E2" w:rsidRDefault="00FE03C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E75E2" w:rsidRDefault="00FE03C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E75E2" w:rsidRDefault="00FE03C7">
      <w:pPr>
        <w:spacing w:before="29" w:line="288" w:lineRule="auto"/>
        <w:ind w:firstLineChars="200" w:firstLine="480"/>
        <w:rPr>
          <w:color w:val="000000"/>
          <w:sz w:val="24"/>
          <w:szCs w:val="24"/>
        </w:rPr>
      </w:pPr>
      <w:r>
        <w:rPr>
          <w:color w:val="000000"/>
          <w:sz w:val="24"/>
          <w:szCs w:val="24"/>
        </w:rPr>
        <w:t>2019</w:t>
      </w:r>
      <w:r>
        <w:rPr>
          <w:color w:val="000000"/>
          <w:sz w:val="24"/>
          <w:szCs w:val="24"/>
        </w:rPr>
        <w:t>年三季度，上证综指、深证成指、创业板指分别上涨</w:t>
      </w:r>
      <w:r>
        <w:rPr>
          <w:color w:val="000000"/>
          <w:sz w:val="24"/>
          <w:szCs w:val="24"/>
        </w:rPr>
        <w:t>-2.47%</w:t>
      </w:r>
      <w:r>
        <w:rPr>
          <w:color w:val="000000"/>
          <w:sz w:val="24"/>
          <w:szCs w:val="24"/>
        </w:rPr>
        <w:t>、</w:t>
      </w:r>
      <w:r>
        <w:rPr>
          <w:color w:val="000000"/>
          <w:sz w:val="24"/>
          <w:szCs w:val="24"/>
        </w:rPr>
        <w:t>2.92%</w:t>
      </w:r>
      <w:r>
        <w:rPr>
          <w:color w:val="000000"/>
          <w:sz w:val="24"/>
          <w:szCs w:val="24"/>
        </w:rPr>
        <w:t>、</w:t>
      </w:r>
      <w:r>
        <w:rPr>
          <w:color w:val="000000"/>
          <w:sz w:val="24"/>
          <w:szCs w:val="24"/>
        </w:rPr>
        <w:t>7.68%</w:t>
      </w:r>
      <w:r>
        <w:rPr>
          <w:color w:val="000000"/>
          <w:sz w:val="24"/>
          <w:szCs w:val="24"/>
        </w:rPr>
        <w:t>，其中申万医药生物指数上涨</w:t>
      </w:r>
      <w:r>
        <w:rPr>
          <w:color w:val="000000"/>
          <w:sz w:val="24"/>
          <w:szCs w:val="24"/>
        </w:rPr>
        <w:t>6.36%</w:t>
      </w:r>
      <w:r>
        <w:rPr>
          <w:color w:val="000000"/>
          <w:sz w:val="24"/>
          <w:szCs w:val="24"/>
        </w:rPr>
        <w:t>，处于行业中游水平。</w:t>
      </w:r>
    </w:p>
    <w:p w:rsidR="004E75E2" w:rsidRDefault="00FE03C7">
      <w:pPr>
        <w:spacing w:before="29" w:line="288" w:lineRule="auto"/>
        <w:ind w:firstLineChars="200" w:firstLine="480"/>
        <w:rPr>
          <w:color w:val="000000"/>
          <w:sz w:val="24"/>
          <w:szCs w:val="24"/>
        </w:rPr>
      </w:pPr>
      <w:r>
        <w:rPr>
          <w:color w:val="000000"/>
          <w:sz w:val="24"/>
          <w:szCs w:val="24"/>
        </w:rPr>
        <w:t>全球经济继续降温，美国经济数据下行，全球有望开启流动性宽松趋势。中国权益资产或存在结构化机会，优质权益资产的配置还处于初级阶段，海外资金（包括指数配置型）有望将持续流入。</w:t>
      </w:r>
    </w:p>
    <w:p w:rsidR="004E75E2" w:rsidRDefault="00FE03C7">
      <w:pPr>
        <w:spacing w:before="29" w:line="288" w:lineRule="auto"/>
        <w:ind w:firstLineChars="200" w:firstLine="480"/>
        <w:rPr>
          <w:color w:val="000000"/>
          <w:sz w:val="24"/>
          <w:szCs w:val="24"/>
        </w:rPr>
      </w:pPr>
      <w:r>
        <w:rPr>
          <w:color w:val="000000"/>
          <w:sz w:val="24"/>
          <w:szCs w:val="24"/>
        </w:rPr>
        <w:t>报告期内，考虑到医药股估值水平（历史偏上），组合进行相对均衡的配置，增配了部分处于估值底部、负面预期已消化的品种以及因短期业绩低预期而错杀、长期逻辑顺畅的品种。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年四季度，组合内部分个股有望享受估值切换的收益，同时我们将继续</w:t>
      </w:r>
      <w:r w:rsidRPr="00414345">
        <w:rPr>
          <w:color w:val="000000"/>
          <w:sz w:val="24"/>
          <w:szCs w:val="24"/>
        </w:rPr>
        <w:lastRenderedPageBreak/>
        <w:t>看好高景气度的细分板块（服务、器械、新药产业链等），看好提供真正优质服务或产品的公司，医药板块具备需求稳定、穿越周期的消费属性，具备技术迭代、供给拉动需求的科技属性，长期的良好回报可期。</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374,973,607.08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85.38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374,973,607.08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85.38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323,986.95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323,986.95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59,786,503.52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13.61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4,072,893.98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439,156,991.53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245,075,983.73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12,754,752.56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7,674,836.00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3,640,816.40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45,278.20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4,527,593.00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22,131,750.88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79,104,539.95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18,056.36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374,973,607.08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86.43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E75E2">
        <w:trPr>
          <w:jc w:val="center"/>
        </w:trPr>
        <w:tc>
          <w:tcPr>
            <w:tcW w:w="855" w:type="dxa"/>
            <w:vAlign w:val="center"/>
          </w:tcPr>
          <w:p w:rsidR="004E75E2" w:rsidRDefault="00FE03C7">
            <w:pPr>
              <w:jc w:val="center"/>
            </w:pPr>
            <w:r>
              <w:rPr>
                <w:color w:val="000000"/>
                <w:sz w:val="24"/>
                <w:szCs w:val="24"/>
              </w:rPr>
              <w:t>1</w:t>
            </w:r>
          </w:p>
        </w:tc>
        <w:tc>
          <w:tcPr>
            <w:tcW w:w="1334" w:type="dxa"/>
            <w:vAlign w:val="center"/>
          </w:tcPr>
          <w:p w:rsidR="004E75E2" w:rsidRDefault="00FE03C7">
            <w:pPr>
              <w:jc w:val="center"/>
            </w:pPr>
            <w:r>
              <w:rPr>
                <w:color w:val="000000"/>
                <w:sz w:val="24"/>
                <w:szCs w:val="24"/>
              </w:rPr>
              <w:t>600276</w:t>
            </w:r>
          </w:p>
        </w:tc>
        <w:tc>
          <w:tcPr>
            <w:tcW w:w="1777" w:type="dxa"/>
            <w:vAlign w:val="center"/>
          </w:tcPr>
          <w:p w:rsidR="004E75E2" w:rsidRDefault="00FE03C7">
            <w:pPr>
              <w:jc w:val="center"/>
            </w:pPr>
            <w:r>
              <w:rPr>
                <w:color w:val="000000"/>
                <w:sz w:val="24"/>
                <w:szCs w:val="24"/>
              </w:rPr>
              <w:t>恒瑞医药</w:t>
            </w:r>
          </w:p>
        </w:tc>
        <w:tc>
          <w:tcPr>
            <w:tcW w:w="1334" w:type="dxa"/>
            <w:vAlign w:val="center"/>
          </w:tcPr>
          <w:p w:rsidR="004E75E2" w:rsidRDefault="00FE03C7">
            <w:pPr>
              <w:jc w:val="right"/>
            </w:pPr>
            <w:r>
              <w:rPr>
                <w:color w:val="000000"/>
                <w:sz w:val="24"/>
                <w:szCs w:val="24"/>
              </w:rPr>
              <w:t>383,842</w:t>
            </w:r>
          </w:p>
        </w:tc>
        <w:tc>
          <w:tcPr>
            <w:tcW w:w="1924" w:type="dxa"/>
            <w:vAlign w:val="center"/>
          </w:tcPr>
          <w:p w:rsidR="004E75E2" w:rsidRDefault="00FE03C7">
            <w:pPr>
              <w:jc w:val="right"/>
            </w:pPr>
            <w:r>
              <w:rPr>
                <w:color w:val="000000"/>
                <w:sz w:val="24"/>
                <w:szCs w:val="24"/>
              </w:rPr>
              <w:t>30,968,372.56</w:t>
            </w:r>
          </w:p>
        </w:tc>
        <w:tc>
          <w:tcPr>
            <w:tcW w:w="1644" w:type="dxa"/>
            <w:vAlign w:val="center"/>
          </w:tcPr>
          <w:p w:rsidR="004E75E2" w:rsidRDefault="00FE03C7">
            <w:pPr>
              <w:jc w:val="right"/>
            </w:pPr>
            <w:r>
              <w:rPr>
                <w:color w:val="000000"/>
                <w:sz w:val="24"/>
                <w:szCs w:val="24"/>
              </w:rPr>
              <w:t>7.14</w:t>
            </w:r>
          </w:p>
        </w:tc>
      </w:tr>
      <w:tr w:rsidR="004E75E2">
        <w:trPr>
          <w:jc w:val="center"/>
        </w:trPr>
        <w:tc>
          <w:tcPr>
            <w:tcW w:w="855" w:type="dxa"/>
            <w:vAlign w:val="center"/>
          </w:tcPr>
          <w:p w:rsidR="004E75E2" w:rsidRDefault="00FE03C7">
            <w:pPr>
              <w:jc w:val="center"/>
            </w:pPr>
            <w:r>
              <w:rPr>
                <w:color w:val="000000"/>
                <w:sz w:val="24"/>
                <w:szCs w:val="24"/>
              </w:rPr>
              <w:t>2</w:t>
            </w:r>
          </w:p>
        </w:tc>
        <w:tc>
          <w:tcPr>
            <w:tcW w:w="1334" w:type="dxa"/>
            <w:vAlign w:val="center"/>
          </w:tcPr>
          <w:p w:rsidR="004E75E2" w:rsidRDefault="00FE03C7">
            <w:pPr>
              <w:jc w:val="center"/>
            </w:pPr>
            <w:r>
              <w:rPr>
                <w:color w:val="000000"/>
                <w:sz w:val="24"/>
                <w:szCs w:val="24"/>
              </w:rPr>
              <w:t>600529</w:t>
            </w:r>
          </w:p>
        </w:tc>
        <w:tc>
          <w:tcPr>
            <w:tcW w:w="1777" w:type="dxa"/>
            <w:vAlign w:val="center"/>
          </w:tcPr>
          <w:p w:rsidR="004E75E2" w:rsidRDefault="00FE03C7">
            <w:pPr>
              <w:jc w:val="center"/>
            </w:pPr>
            <w:r>
              <w:rPr>
                <w:color w:val="000000"/>
                <w:sz w:val="24"/>
                <w:szCs w:val="24"/>
              </w:rPr>
              <w:t>山东药玻</w:t>
            </w:r>
          </w:p>
        </w:tc>
        <w:tc>
          <w:tcPr>
            <w:tcW w:w="1334" w:type="dxa"/>
            <w:vAlign w:val="center"/>
          </w:tcPr>
          <w:p w:rsidR="004E75E2" w:rsidRDefault="00FE03C7">
            <w:pPr>
              <w:jc w:val="right"/>
            </w:pPr>
            <w:r>
              <w:rPr>
                <w:color w:val="000000"/>
                <w:sz w:val="24"/>
                <w:szCs w:val="24"/>
              </w:rPr>
              <w:t>1,240,808</w:t>
            </w:r>
          </w:p>
        </w:tc>
        <w:tc>
          <w:tcPr>
            <w:tcW w:w="1924" w:type="dxa"/>
            <w:vAlign w:val="center"/>
          </w:tcPr>
          <w:p w:rsidR="004E75E2" w:rsidRDefault="00FE03C7">
            <w:pPr>
              <w:jc w:val="right"/>
            </w:pPr>
            <w:r>
              <w:rPr>
                <w:color w:val="000000"/>
                <w:sz w:val="24"/>
                <w:szCs w:val="24"/>
              </w:rPr>
              <w:t>28,935,642.56</w:t>
            </w:r>
          </w:p>
        </w:tc>
        <w:tc>
          <w:tcPr>
            <w:tcW w:w="1644" w:type="dxa"/>
            <w:vAlign w:val="center"/>
          </w:tcPr>
          <w:p w:rsidR="004E75E2" w:rsidRDefault="00FE03C7">
            <w:pPr>
              <w:jc w:val="right"/>
            </w:pPr>
            <w:r>
              <w:rPr>
                <w:color w:val="000000"/>
                <w:sz w:val="24"/>
                <w:szCs w:val="24"/>
              </w:rPr>
              <w:t>6.67</w:t>
            </w:r>
          </w:p>
        </w:tc>
      </w:tr>
      <w:tr w:rsidR="004E75E2">
        <w:trPr>
          <w:jc w:val="center"/>
        </w:trPr>
        <w:tc>
          <w:tcPr>
            <w:tcW w:w="855" w:type="dxa"/>
            <w:vAlign w:val="center"/>
          </w:tcPr>
          <w:p w:rsidR="004E75E2" w:rsidRDefault="00FE03C7">
            <w:pPr>
              <w:jc w:val="center"/>
            </w:pPr>
            <w:r>
              <w:rPr>
                <w:color w:val="000000"/>
                <w:sz w:val="24"/>
                <w:szCs w:val="24"/>
              </w:rPr>
              <w:t>3</w:t>
            </w:r>
          </w:p>
        </w:tc>
        <w:tc>
          <w:tcPr>
            <w:tcW w:w="1334" w:type="dxa"/>
            <w:vAlign w:val="center"/>
          </w:tcPr>
          <w:p w:rsidR="004E75E2" w:rsidRDefault="00FE03C7">
            <w:pPr>
              <w:jc w:val="center"/>
            </w:pPr>
            <w:r>
              <w:rPr>
                <w:color w:val="000000"/>
                <w:sz w:val="24"/>
                <w:szCs w:val="24"/>
              </w:rPr>
              <w:t>000661</w:t>
            </w:r>
          </w:p>
        </w:tc>
        <w:tc>
          <w:tcPr>
            <w:tcW w:w="1777" w:type="dxa"/>
            <w:vAlign w:val="center"/>
          </w:tcPr>
          <w:p w:rsidR="004E75E2" w:rsidRDefault="00FE03C7">
            <w:pPr>
              <w:jc w:val="center"/>
            </w:pPr>
            <w:r>
              <w:rPr>
                <w:color w:val="000000"/>
                <w:sz w:val="24"/>
                <w:szCs w:val="24"/>
              </w:rPr>
              <w:t>长春高新</w:t>
            </w:r>
          </w:p>
        </w:tc>
        <w:tc>
          <w:tcPr>
            <w:tcW w:w="1334" w:type="dxa"/>
            <w:vAlign w:val="center"/>
          </w:tcPr>
          <w:p w:rsidR="004E75E2" w:rsidRDefault="00FE03C7">
            <w:pPr>
              <w:jc w:val="right"/>
            </w:pPr>
            <w:r>
              <w:rPr>
                <w:color w:val="000000"/>
                <w:sz w:val="24"/>
                <w:szCs w:val="24"/>
              </w:rPr>
              <w:t>57,188</w:t>
            </w:r>
          </w:p>
        </w:tc>
        <w:tc>
          <w:tcPr>
            <w:tcW w:w="1924" w:type="dxa"/>
            <w:vAlign w:val="center"/>
          </w:tcPr>
          <w:p w:rsidR="004E75E2" w:rsidRDefault="00FE03C7">
            <w:pPr>
              <w:jc w:val="right"/>
            </w:pPr>
            <w:r>
              <w:rPr>
                <w:color w:val="000000"/>
                <w:sz w:val="24"/>
                <w:szCs w:val="24"/>
              </w:rPr>
              <w:t>22,552,659.68</w:t>
            </w:r>
          </w:p>
        </w:tc>
        <w:tc>
          <w:tcPr>
            <w:tcW w:w="1644" w:type="dxa"/>
            <w:vAlign w:val="center"/>
          </w:tcPr>
          <w:p w:rsidR="004E75E2" w:rsidRDefault="00FE03C7">
            <w:pPr>
              <w:jc w:val="right"/>
            </w:pPr>
            <w:r>
              <w:rPr>
                <w:color w:val="000000"/>
                <w:sz w:val="24"/>
                <w:szCs w:val="24"/>
              </w:rPr>
              <w:t>5.20</w:t>
            </w:r>
          </w:p>
        </w:tc>
      </w:tr>
      <w:tr w:rsidR="004E75E2">
        <w:trPr>
          <w:jc w:val="center"/>
        </w:trPr>
        <w:tc>
          <w:tcPr>
            <w:tcW w:w="855" w:type="dxa"/>
            <w:vAlign w:val="center"/>
          </w:tcPr>
          <w:p w:rsidR="004E75E2" w:rsidRDefault="00FE03C7">
            <w:pPr>
              <w:jc w:val="center"/>
            </w:pPr>
            <w:r>
              <w:rPr>
                <w:color w:val="000000"/>
                <w:sz w:val="24"/>
                <w:szCs w:val="24"/>
              </w:rPr>
              <w:t>4</w:t>
            </w:r>
          </w:p>
        </w:tc>
        <w:tc>
          <w:tcPr>
            <w:tcW w:w="1334" w:type="dxa"/>
            <w:vAlign w:val="center"/>
          </w:tcPr>
          <w:p w:rsidR="004E75E2" w:rsidRDefault="00FE03C7">
            <w:pPr>
              <w:jc w:val="center"/>
            </w:pPr>
            <w:r>
              <w:rPr>
                <w:color w:val="000000"/>
                <w:sz w:val="24"/>
                <w:szCs w:val="24"/>
              </w:rPr>
              <w:t>300015</w:t>
            </w:r>
          </w:p>
        </w:tc>
        <w:tc>
          <w:tcPr>
            <w:tcW w:w="1777" w:type="dxa"/>
            <w:vAlign w:val="center"/>
          </w:tcPr>
          <w:p w:rsidR="004E75E2" w:rsidRDefault="00FE03C7">
            <w:pPr>
              <w:jc w:val="center"/>
            </w:pPr>
            <w:r>
              <w:rPr>
                <w:color w:val="000000"/>
                <w:sz w:val="24"/>
                <w:szCs w:val="24"/>
              </w:rPr>
              <w:t>爱尔眼科</w:t>
            </w:r>
          </w:p>
        </w:tc>
        <w:tc>
          <w:tcPr>
            <w:tcW w:w="1334" w:type="dxa"/>
            <w:vAlign w:val="center"/>
          </w:tcPr>
          <w:p w:rsidR="004E75E2" w:rsidRDefault="00FE03C7">
            <w:pPr>
              <w:jc w:val="right"/>
            </w:pPr>
            <w:r>
              <w:rPr>
                <w:color w:val="000000"/>
                <w:sz w:val="24"/>
                <w:szCs w:val="24"/>
              </w:rPr>
              <w:t>575,504</w:t>
            </w:r>
          </w:p>
        </w:tc>
        <w:tc>
          <w:tcPr>
            <w:tcW w:w="1924" w:type="dxa"/>
            <w:vAlign w:val="center"/>
          </w:tcPr>
          <w:p w:rsidR="004E75E2" w:rsidRDefault="00FE03C7">
            <w:pPr>
              <w:jc w:val="right"/>
            </w:pPr>
            <w:r>
              <w:rPr>
                <w:color w:val="000000"/>
                <w:sz w:val="24"/>
                <w:szCs w:val="24"/>
              </w:rPr>
              <w:t>20,413,126.88</w:t>
            </w:r>
          </w:p>
        </w:tc>
        <w:tc>
          <w:tcPr>
            <w:tcW w:w="1644" w:type="dxa"/>
            <w:vAlign w:val="center"/>
          </w:tcPr>
          <w:p w:rsidR="004E75E2" w:rsidRDefault="00FE03C7">
            <w:pPr>
              <w:jc w:val="right"/>
            </w:pPr>
            <w:r>
              <w:rPr>
                <w:color w:val="000000"/>
                <w:sz w:val="24"/>
                <w:szCs w:val="24"/>
              </w:rPr>
              <w:t>4.70</w:t>
            </w:r>
          </w:p>
        </w:tc>
      </w:tr>
      <w:tr w:rsidR="004E75E2">
        <w:trPr>
          <w:jc w:val="center"/>
        </w:trPr>
        <w:tc>
          <w:tcPr>
            <w:tcW w:w="855" w:type="dxa"/>
            <w:vAlign w:val="center"/>
          </w:tcPr>
          <w:p w:rsidR="004E75E2" w:rsidRDefault="00FE03C7">
            <w:pPr>
              <w:jc w:val="center"/>
            </w:pPr>
            <w:r>
              <w:rPr>
                <w:color w:val="000000"/>
                <w:sz w:val="24"/>
                <w:szCs w:val="24"/>
              </w:rPr>
              <w:t>5</w:t>
            </w:r>
          </w:p>
        </w:tc>
        <w:tc>
          <w:tcPr>
            <w:tcW w:w="1334" w:type="dxa"/>
            <w:vAlign w:val="center"/>
          </w:tcPr>
          <w:p w:rsidR="004E75E2" w:rsidRDefault="00FE03C7">
            <w:pPr>
              <w:jc w:val="center"/>
            </w:pPr>
            <w:r>
              <w:rPr>
                <w:color w:val="000000"/>
                <w:sz w:val="24"/>
                <w:szCs w:val="24"/>
              </w:rPr>
              <w:t>300347</w:t>
            </w:r>
          </w:p>
        </w:tc>
        <w:tc>
          <w:tcPr>
            <w:tcW w:w="1777" w:type="dxa"/>
            <w:vAlign w:val="center"/>
          </w:tcPr>
          <w:p w:rsidR="004E75E2" w:rsidRDefault="00FE03C7">
            <w:pPr>
              <w:jc w:val="center"/>
            </w:pPr>
            <w:r>
              <w:rPr>
                <w:color w:val="000000"/>
                <w:sz w:val="24"/>
                <w:szCs w:val="24"/>
              </w:rPr>
              <w:t>泰格医药</w:t>
            </w:r>
          </w:p>
        </w:tc>
        <w:tc>
          <w:tcPr>
            <w:tcW w:w="1334" w:type="dxa"/>
            <w:vAlign w:val="center"/>
          </w:tcPr>
          <w:p w:rsidR="004E75E2" w:rsidRDefault="00FE03C7">
            <w:pPr>
              <w:jc w:val="right"/>
            </w:pPr>
            <w:r>
              <w:rPr>
                <w:color w:val="000000"/>
                <w:sz w:val="24"/>
                <w:szCs w:val="24"/>
              </w:rPr>
              <w:t>322,899</w:t>
            </w:r>
          </w:p>
        </w:tc>
        <w:tc>
          <w:tcPr>
            <w:tcW w:w="1924" w:type="dxa"/>
            <w:vAlign w:val="center"/>
          </w:tcPr>
          <w:p w:rsidR="004E75E2" w:rsidRDefault="00FE03C7">
            <w:pPr>
              <w:jc w:val="right"/>
            </w:pPr>
            <w:r>
              <w:rPr>
                <w:color w:val="000000"/>
                <w:sz w:val="24"/>
                <w:szCs w:val="24"/>
              </w:rPr>
              <w:t>20,035,882.95</w:t>
            </w:r>
          </w:p>
        </w:tc>
        <w:tc>
          <w:tcPr>
            <w:tcW w:w="1644" w:type="dxa"/>
            <w:vAlign w:val="center"/>
          </w:tcPr>
          <w:p w:rsidR="004E75E2" w:rsidRDefault="00FE03C7">
            <w:pPr>
              <w:jc w:val="right"/>
            </w:pPr>
            <w:r>
              <w:rPr>
                <w:color w:val="000000"/>
                <w:sz w:val="24"/>
                <w:szCs w:val="24"/>
              </w:rPr>
              <w:t>4.62</w:t>
            </w:r>
          </w:p>
        </w:tc>
      </w:tr>
      <w:tr w:rsidR="004E75E2">
        <w:trPr>
          <w:jc w:val="center"/>
        </w:trPr>
        <w:tc>
          <w:tcPr>
            <w:tcW w:w="855" w:type="dxa"/>
            <w:vAlign w:val="center"/>
          </w:tcPr>
          <w:p w:rsidR="004E75E2" w:rsidRDefault="00FE03C7">
            <w:pPr>
              <w:jc w:val="center"/>
            </w:pPr>
            <w:r>
              <w:rPr>
                <w:color w:val="000000"/>
                <w:sz w:val="24"/>
                <w:szCs w:val="24"/>
              </w:rPr>
              <w:t>6</w:t>
            </w:r>
          </w:p>
        </w:tc>
        <w:tc>
          <w:tcPr>
            <w:tcW w:w="1334" w:type="dxa"/>
            <w:vAlign w:val="center"/>
          </w:tcPr>
          <w:p w:rsidR="004E75E2" w:rsidRDefault="00FE03C7">
            <w:pPr>
              <w:jc w:val="center"/>
            </w:pPr>
            <w:r>
              <w:rPr>
                <w:color w:val="000000"/>
                <w:sz w:val="24"/>
                <w:szCs w:val="24"/>
              </w:rPr>
              <w:t>603882</w:t>
            </w:r>
          </w:p>
        </w:tc>
        <w:tc>
          <w:tcPr>
            <w:tcW w:w="1777" w:type="dxa"/>
            <w:vAlign w:val="center"/>
          </w:tcPr>
          <w:p w:rsidR="004E75E2" w:rsidRDefault="00FE03C7">
            <w:pPr>
              <w:jc w:val="center"/>
            </w:pPr>
            <w:r>
              <w:rPr>
                <w:color w:val="000000"/>
                <w:sz w:val="24"/>
                <w:szCs w:val="24"/>
              </w:rPr>
              <w:t>金域医学</w:t>
            </w:r>
          </w:p>
        </w:tc>
        <w:tc>
          <w:tcPr>
            <w:tcW w:w="1334" w:type="dxa"/>
            <w:vAlign w:val="center"/>
          </w:tcPr>
          <w:p w:rsidR="004E75E2" w:rsidRDefault="00FE03C7">
            <w:pPr>
              <w:jc w:val="right"/>
            </w:pPr>
            <w:r>
              <w:rPr>
                <w:color w:val="000000"/>
                <w:sz w:val="24"/>
                <w:szCs w:val="24"/>
              </w:rPr>
              <w:t>359,569</w:t>
            </w:r>
          </w:p>
        </w:tc>
        <w:tc>
          <w:tcPr>
            <w:tcW w:w="1924" w:type="dxa"/>
            <w:vAlign w:val="center"/>
          </w:tcPr>
          <w:p w:rsidR="004E75E2" w:rsidRDefault="00FE03C7">
            <w:pPr>
              <w:jc w:val="right"/>
            </w:pPr>
            <w:r>
              <w:rPr>
                <w:color w:val="000000"/>
                <w:sz w:val="24"/>
                <w:szCs w:val="24"/>
              </w:rPr>
              <w:t>19,641,472.62</w:t>
            </w:r>
          </w:p>
        </w:tc>
        <w:tc>
          <w:tcPr>
            <w:tcW w:w="1644" w:type="dxa"/>
            <w:vAlign w:val="center"/>
          </w:tcPr>
          <w:p w:rsidR="004E75E2" w:rsidRDefault="00FE03C7">
            <w:pPr>
              <w:jc w:val="right"/>
            </w:pPr>
            <w:r>
              <w:rPr>
                <w:color w:val="000000"/>
                <w:sz w:val="24"/>
                <w:szCs w:val="24"/>
              </w:rPr>
              <w:t>4.53</w:t>
            </w:r>
          </w:p>
        </w:tc>
      </w:tr>
      <w:tr w:rsidR="004E75E2">
        <w:trPr>
          <w:jc w:val="center"/>
        </w:trPr>
        <w:tc>
          <w:tcPr>
            <w:tcW w:w="855" w:type="dxa"/>
            <w:vAlign w:val="center"/>
          </w:tcPr>
          <w:p w:rsidR="004E75E2" w:rsidRDefault="00FE03C7">
            <w:pPr>
              <w:jc w:val="center"/>
            </w:pPr>
            <w:r>
              <w:rPr>
                <w:color w:val="000000"/>
                <w:sz w:val="24"/>
                <w:szCs w:val="24"/>
              </w:rPr>
              <w:t>7</w:t>
            </w:r>
          </w:p>
        </w:tc>
        <w:tc>
          <w:tcPr>
            <w:tcW w:w="1334" w:type="dxa"/>
            <w:vAlign w:val="center"/>
          </w:tcPr>
          <w:p w:rsidR="004E75E2" w:rsidRDefault="00FE03C7">
            <w:pPr>
              <w:jc w:val="center"/>
            </w:pPr>
            <w:r>
              <w:rPr>
                <w:color w:val="000000"/>
                <w:sz w:val="24"/>
                <w:szCs w:val="24"/>
              </w:rPr>
              <w:t>603259</w:t>
            </w:r>
          </w:p>
        </w:tc>
        <w:tc>
          <w:tcPr>
            <w:tcW w:w="1777" w:type="dxa"/>
            <w:vAlign w:val="center"/>
          </w:tcPr>
          <w:p w:rsidR="004E75E2" w:rsidRDefault="00FE03C7">
            <w:pPr>
              <w:jc w:val="center"/>
            </w:pPr>
            <w:r>
              <w:rPr>
                <w:color w:val="000000"/>
                <w:sz w:val="24"/>
                <w:szCs w:val="24"/>
              </w:rPr>
              <w:t>药明康德</w:t>
            </w:r>
          </w:p>
        </w:tc>
        <w:tc>
          <w:tcPr>
            <w:tcW w:w="1334" w:type="dxa"/>
            <w:vAlign w:val="center"/>
          </w:tcPr>
          <w:p w:rsidR="004E75E2" w:rsidRDefault="00FE03C7">
            <w:pPr>
              <w:jc w:val="right"/>
            </w:pPr>
            <w:r>
              <w:rPr>
                <w:color w:val="000000"/>
                <w:sz w:val="24"/>
                <w:szCs w:val="24"/>
              </w:rPr>
              <w:t>224,800</w:t>
            </w:r>
          </w:p>
        </w:tc>
        <w:tc>
          <w:tcPr>
            <w:tcW w:w="1924" w:type="dxa"/>
            <w:vAlign w:val="center"/>
          </w:tcPr>
          <w:p w:rsidR="004E75E2" w:rsidRDefault="00FE03C7">
            <w:pPr>
              <w:jc w:val="right"/>
            </w:pPr>
            <w:r>
              <w:rPr>
                <w:color w:val="000000"/>
                <w:sz w:val="24"/>
                <w:szCs w:val="24"/>
              </w:rPr>
              <w:t>19,490,160.00</w:t>
            </w:r>
          </w:p>
        </w:tc>
        <w:tc>
          <w:tcPr>
            <w:tcW w:w="1644" w:type="dxa"/>
            <w:vAlign w:val="center"/>
          </w:tcPr>
          <w:p w:rsidR="004E75E2" w:rsidRDefault="00FE03C7">
            <w:pPr>
              <w:jc w:val="right"/>
            </w:pPr>
            <w:r>
              <w:rPr>
                <w:color w:val="000000"/>
                <w:sz w:val="24"/>
                <w:szCs w:val="24"/>
              </w:rPr>
              <w:t>4.49</w:t>
            </w:r>
          </w:p>
        </w:tc>
      </w:tr>
      <w:tr w:rsidR="004E75E2">
        <w:trPr>
          <w:jc w:val="center"/>
        </w:trPr>
        <w:tc>
          <w:tcPr>
            <w:tcW w:w="855" w:type="dxa"/>
            <w:vAlign w:val="center"/>
          </w:tcPr>
          <w:p w:rsidR="004E75E2" w:rsidRDefault="00FE03C7">
            <w:pPr>
              <w:jc w:val="center"/>
            </w:pPr>
            <w:r>
              <w:rPr>
                <w:color w:val="000000"/>
                <w:sz w:val="24"/>
                <w:szCs w:val="24"/>
              </w:rPr>
              <w:t>8</w:t>
            </w:r>
          </w:p>
        </w:tc>
        <w:tc>
          <w:tcPr>
            <w:tcW w:w="1334" w:type="dxa"/>
            <w:vAlign w:val="center"/>
          </w:tcPr>
          <w:p w:rsidR="004E75E2" w:rsidRDefault="00FE03C7">
            <w:pPr>
              <w:jc w:val="center"/>
            </w:pPr>
            <w:r>
              <w:rPr>
                <w:color w:val="000000"/>
                <w:sz w:val="24"/>
                <w:szCs w:val="24"/>
              </w:rPr>
              <w:t>600763</w:t>
            </w:r>
          </w:p>
        </w:tc>
        <w:tc>
          <w:tcPr>
            <w:tcW w:w="1777" w:type="dxa"/>
            <w:vAlign w:val="center"/>
          </w:tcPr>
          <w:p w:rsidR="004E75E2" w:rsidRDefault="00FE03C7">
            <w:pPr>
              <w:jc w:val="center"/>
            </w:pPr>
            <w:r>
              <w:rPr>
                <w:color w:val="000000"/>
                <w:sz w:val="24"/>
                <w:szCs w:val="24"/>
              </w:rPr>
              <w:t>通策医疗</w:t>
            </w:r>
          </w:p>
        </w:tc>
        <w:tc>
          <w:tcPr>
            <w:tcW w:w="1334" w:type="dxa"/>
            <w:vAlign w:val="center"/>
          </w:tcPr>
          <w:p w:rsidR="004E75E2" w:rsidRDefault="00FE03C7">
            <w:pPr>
              <w:jc w:val="right"/>
            </w:pPr>
            <w:r>
              <w:rPr>
                <w:color w:val="000000"/>
                <w:sz w:val="24"/>
                <w:szCs w:val="24"/>
              </w:rPr>
              <w:t>185,503</w:t>
            </w:r>
          </w:p>
        </w:tc>
        <w:tc>
          <w:tcPr>
            <w:tcW w:w="1924" w:type="dxa"/>
            <w:vAlign w:val="center"/>
          </w:tcPr>
          <w:p w:rsidR="004E75E2" w:rsidRDefault="00FE03C7">
            <w:pPr>
              <w:jc w:val="right"/>
            </w:pPr>
            <w:r>
              <w:rPr>
                <w:color w:val="000000"/>
                <w:sz w:val="24"/>
                <w:szCs w:val="24"/>
              </w:rPr>
              <w:t>19,014,057.50</w:t>
            </w:r>
          </w:p>
        </w:tc>
        <w:tc>
          <w:tcPr>
            <w:tcW w:w="1644" w:type="dxa"/>
            <w:vAlign w:val="center"/>
          </w:tcPr>
          <w:p w:rsidR="004E75E2" w:rsidRDefault="00FE03C7">
            <w:pPr>
              <w:jc w:val="right"/>
            </w:pPr>
            <w:r>
              <w:rPr>
                <w:color w:val="000000"/>
                <w:sz w:val="24"/>
                <w:szCs w:val="24"/>
              </w:rPr>
              <w:t>4.38</w:t>
            </w:r>
          </w:p>
        </w:tc>
      </w:tr>
      <w:tr w:rsidR="004E75E2">
        <w:trPr>
          <w:jc w:val="center"/>
        </w:trPr>
        <w:tc>
          <w:tcPr>
            <w:tcW w:w="855" w:type="dxa"/>
            <w:vAlign w:val="center"/>
          </w:tcPr>
          <w:p w:rsidR="004E75E2" w:rsidRDefault="00FE03C7">
            <w:pPr>
              <w:jc w:val="center"/>
            </w:pPr>
            <w:r>
              <w:rPr>
                <w:color w:val="000000"/>
                <w:sz w:val="24"/>
                <w:szCs w:val="24"/>
              </w:rPr>
              <w:t>9</w:t>
            </w:r>
          </w:p>
        </w:tc>
        <w:tc>
          <w:tcPr>
            <w:tcW w:w="1334" w:type="dxa"/>
            <w:vAlign w:val="center"/>
          </w:tcPr>
          <w:p w:rsidR="004E75E2" w:rsidRDefault="00FE03C7">
            <w:pPr>
              <w:jc w:val="center"/>
            </w:pPr>
            <w:r>
              <w:rPr>
                <w:color w:val="000000"/>
                <w:sz w:val="24"/>
                <w:szCs w:val="24"/>
              </w:rPr>
              <w:t>300760</w:t>
            </w:r>
          </w:p>
        </w:tc>
        <w:tc>
          <w:tcPr>
            <w:tcW w:w="1777" w:type="dxa"/>
            <w:vAlign w:val="center"/>
          </w:tcPr>
          <w:p w:rsidR="004E75E2" w:rsidRDefault="00FE03C7">
            <w:pPr>
              <w:jc w:val="center"/>
            </w:pPr>
            <w:r>
              <w:rPr>
                <w:color w:val="000000"/>
                <w:sz w:val="24"/>
                <w:szCs w:val="24"/>
              </w:rPr>
              <w:t>迈瑞医疗</w:t>
            </w:r>
          </w:p>
        </w:tc>
        <w:tc>
          <w:tcPr>
            <w:tcW w:w="1334" w:type="dxa"/>
            <w:vAlign w:val="center"/>
          </w:tcPr>
          <w:p w:rsidR="004E75E2" w:rsidRDefault="00FE03C7">
            <w:pPr>
              <w:jc w:val="right"/>
            </w:pPr>
            <w:r>
              <w:rPr>
                <w:color w:val="000000"/>
                <w:sz w:val="24"/>
                <w:szCs w:val="24"/>
              </w:rPr>
              <w:t>95,270</w:t>
            </w:r>
          </w:p>
        </w:tc>
        <w:tc>
          <w:tcPr>
            <w:tcW w:w="1924" w:type="dxa"/>
            <w:vAlign w:val="center"/>
          </w:tcPr>
          <w:p w:rsidR="004E75E2" w:rsidRDefault="00FE03C7">
            <w:pPr>
              <w:jc w:val="right"/>
            </w:pPr>
            <w:r>
              <w:rPr>
                <w:color w:val="000000"/>
                <w:sz w:val="24"/>
                <w:szCs w:val="24"/>
              </w:rPr>
              <w:t>17,573,504.20</w:t>
            </w:r>
          </w:p>
        </w:tc>
        <w:tc>
          <w:tcPr>
            <w:tcW w:w="1644" w:type="dxa"/>
            <w:vAlign w:val="center"/>
          </w:tcPr>
          <w:p w:rsidR="004E75E2" w:rsidRDefault="00FE03C7">
            <w:pPr>
              <w:jc w:val="right"/>
            </w:pPr>
            <w:r>
              <w:rPr>
                <w:color w:val="000000"/>
                <w:sz w:val="24"/>
                <w:szCs w:val="24"/>
              </w:rPr>
              <w:t>4.05</w:t>
            </w:r>
          </w:p>
        </w:tc>
      </w:tr>
      <w:tr w:rsidR="004E75E2">
        <w:trPr>
          <w:jc w:val="center"/>
        </w:trPr>
        <w:tc>
          <w:tcPr>
            <w:tcW w:w="855" w:type="dxa"/>
            <w:vAlign w:val="center"/>
          </w:tcPr>
          <w:p w:rsidR="004E75E2" w:rsidRDefault="00FE03C7">
            <w:pPr>
              <w:jc w:val="center"/>
            </w:pPr>
            <w:r>
              <w:rPr>
                <w:color w:val="000000"/>
                <w:sz w:val="24"/>
                <w:szCs w:val="24"/>
              </w:rPr>
              <w:t>10</w:t>
            </w:r>
          </w:p>
        </w:tc>
        <w:tc>
          <w:tcPr>
            <w:tcW w:w="1334" w:type="dxa"/>
            <w:vAlign w:val="center"/>
          </w:tcPr>
          <w:p w:rsidR="004E75E2" w:rsidRDefault="00FE03C7">
            <w:pPr>
              <w:jc w:val="center"/>
            </w:pPr>
            <w:r>
              <w:rPr>
                <w:color w:val="000000"/>
                <w:sz w:val="24"/>
                <w:szCs w:val="24"/>
              </w:rPr>
              <w:t>600867</w:t>
            </w:r>
          </w:p>
        </w:tc>
        <w:tc>
          <w:tcPr>
            <w:tcW w:w="1777" w:type="dxa"/>
            <w:vAlign w:val="center"/>
          </w:tcPr>
          <w:p w:rsidR="004E75E2" w:rsidRDefault="00FE03C7">
            <w:pPr>
              <w:jc w:val="center"/>
            </w:pPr>
            <w:r>
              <w:rPr>
                <w:color w:val="000000"/>
                <w:sz w:val="24"/>
                <w:szCs w:val="24"/>
              </w:rPr>
              <w:t>通化东宝</w:t>
            </w:r>
          </w:p>
        </w:tc>
        <w:tc>
          <w:tcPr>
            <w:tcW w:w="1334" w:type="dxa"/>
            <w:vAlign w:val="center"/>
          </w:tcPr>
          <w:p w:rsidR="004E75E2" w:rsidRDefault="00FE03C7">
            <w:pPr>
              <w:jc w:val="right"/>
            </w:pPr>
            <w:r>
              <w:rPr>
                <w:color w:val="000000"/>
                <w:sz w:val="24"/>
                <w:szCs w:val="24"/>
              </w:rPr>
              <w:t>792,900</w:t>
            </w:r>
          </w:p>
        </w:tc>
        <w:tc>
          <w:tcPr>
            <w:tcW w:w="1924" w:type="dxa"/>
            <w:vAlign w:val="center"/>
          </w:tcPr>
          <w:p w:rsidR="004E75E2" w:rsidRDefault="00FE03C7">
            <w:pPr>
              <w:jc w:val="right"/>
            </w:pPr>
            <w:r>
              <w:rPr>
                <w:color w:val="000000"/>
                <w:sz w:val="24"/>
                <w:szCs w:val="24"/>
              </w:rPr>
              <w:t>13,875,750.00</w:t>
            </w:r>
          </w:p>
        </w:tc>
        <w:tc>
          <w:tcPr>
            <w:tcW w:w="1644" w:type="dxa"/>
            <w:vAlign w:val="center"/>
          </w:tcPr>
          <w:p w:rsidR="004E75E2" w:rsidRDefault="00FE03C7">
            <w:pPr>
              <w:jc w:val="right"/>
            </w:pPr>
            <w:r>
              <w:rPr>
                <w:color w:val="000000"/>
                <w:sz w:val="24"/>
                <w:szCs w:val="24"/>
              </w:rPr>
              <w:t>3.20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323,986.95</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323,986.95</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w:t>
            </w:r>
            <w:r w:rsidRPr="00414345">
              <w:rPr>
                <w:color w:val="000000"/>
                <w:sz w:val="24"/>
                <w:szCs w:val="24"/>
              </w:rPr>
              <w:lastRenderedPageBreak/>
              <w:t>产净值比例</w:t>
            </w:r>
            <w:r w:rsidR="003B3494" w:rsidRPr="00414345">
              <w:rPr>
                <w:color w:val="000000"/>
                <w:sz w:val="24"/>
              </w:rPr>
              <w:t>（％）</w:t>
            </w:r>
          </w:p>
        </w:tc>
      </w:tr>
      <w:tr w:rsidR="004E75E2">
        <w:trPr>
          <w:jc w:val="center"/>
        </w:trPr>
        <w:tc>
          <w:tcPr>
            <w:tcW w:w="850" w:type="dxa"/>
            <w:vAlign w:val="center"/>
          </w:tcPr>
          <w:p w:rsidR="004E75E2" w:rsidRDefault="00FE03C7">
            <w:pPr>
              <w:jc w:val="center"/>
            </w:pPr>
            <w:r>
              <w:rPr>
                <w:color w:val="000000"/>
                <w:sz w:val="24"/>
                <w:szCs w:val="24"/>
              </w:rPr>
              <w:lastRenderedPageBreak/>
              <w:t>1</w:t>
            </w:r>
          </w:p>
        </w:tc>
        <w:tc>
          <w:tcPr>
            <w:tcW w:w="1475" w:type="dxa"/>
            <w:vAlign w:val="center"/>
          </w:tcPr>
          <w:p w:rsidR="004E75E2" w:rsidRDefault="00FE03C7">
            <w:pPr>
              <w:jc w:val="center"/>
            </w:pPr>
            <w:r>
              <w:rPr>
                <w:color w:val="000000"/>
                <w:sz w:val="24"/>
                <w:szCs w:val="24"/>
              </w:rPr>
              <w:t>128046</w:t>
            </w:r>
          </w:p>
        </w:tc>
        <w:tc>
          <w:tcPr>
            <w:tcW w:w="1769" w:type="dxa"/>
            <w:vAlign w:val="center"/>
          </w:tcPr>
          <w:p w:rsidR="004E75E2" w:rsidRDefault="00FE03C7">
            <w:pPr>
              <w:jc w:val="center"/>
            </w:pPr>
            <w:r>
              <w:rPr>
                <w:color w:val="000000"/>
                <w:sz w:val="24"/>
                <w:szCs w:val="24"/>
              </w:rPr>
              <w:t>利尔转债</w:t>
            </w:r>
          </w:p>
        </w:tc>
        <w:tc>
          <w:tcPr>
            <w:tcW w:w="1387" w:type="dxa"/>
            <w:vAlign w:val="center"/>
          </w:tcPr>
          <w:p w:rsidR="004E75E2" w:rsidRDefault="00FE03C7">
            <w:pPr>
              <w:jc w:val="right"/>
            </w:pPr>
            <w:r>
              <w:rPr>
                <w:color w:val="000000"/>
                <w:sz w:val="24"/>
                <w:szCs w:val="24"/>
              </w:rPr>
              <w:t>3,155</w:t>
            </w:r>
          </w:p>
        </w:tc>
        <w:tc>
          <w:tcPr>
            <w:tcW w:w="2150" w:type="dxa"/>
            <w:vAlign w:val="center"/>
          </w:tcPr>
          <w:p w:rsidR="004E75E2" w:rsidRDefault="00FE03C7">
            <w:pPr>
              <w:jc w:val="right"/>
            </w:pPr>
            <w:r>
              <w:rPr>
                <w:color w:val="000000"/>
                <w:sz w:val="24"/>
                <w:szCs w:val="24"/>
              </w:rPr>
              <w:t>323,986.95</w:t>
            </w:r>
          </w:p>
        </w:tc>
        <w:tc>
          <w:tcPr>
            <w:tcW w:w="1237" w:type="dxa"/>
            <w:vAlign w:val="center"/>
          </w:tcPr>
          <w:p w:rsidR="004E75E2" w:rsidRDefault="00FE03C7">
            <w:pPr>
              <w:jc w:val="right"/>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118,351.97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1,897,972.66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12,419.62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2,044,149.73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4,072,893.98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4E75E2">
        <w:trPr>
          <w:jc w:val="center"/>
        </w:trPr>
        <w:tc>
          <w:tcPr>
            <w:tcW w:w="1883" w:type="dxa"/>
            <w:vAlign w:val="center"/>
          </w:tcPr>
          <w:p w:rsidR="004E75E2" w:rsidRDefault="00FE03C7">
            <w:pPr>
              <w:jc w:val="center"/>
            </w:pPr>
            <w:r>
              <w:rPr>
                <w:color w:val="000000"/>
                <w:sz w:val="24"/>
                <w:szCs w:val="24"/>
              </w:rPr>
              <w:t>1</w:t>
            </w:r>
          </w:p>
        </w:tc>
        <w:tc>
          <w:tcPr>
            <w:tcW w:w="1801" w:type="dxa"/>
            <w:vAlign w:val="center"/>
          </w:tcPr>
          <w:p w:rsidR="004E75E2" w:rsidRDefault="00FE03C7">
            <w:pPr>
              <w:jc w:val="center"/>
            </w:pPr>
            <w:r>
              <w:rPr>
                <w:color w:val="000000"/>
                <w:sz w:val="24"/>
                <w:szCs w:val="24"/>
              </w:rPr>
              <w:t>128046</w:t>
            </w:r>
          </w:p>
        </w:tc>
        <w:tc>
          <w:tcPr>
            <w:tcW w:w="1727" w:type="dxa"/>
            <w:vAlign w:val="center"/>
          </w:tcPr>
          <w:p w:rsidR="004E75E2" w:rsidRDefault="00FE03C7">
            <w:pPr>
              <w:jc w:val="center"/>
            </w:pPr>
            <w:r>
              <w:rPr>
                <w:color w:val="000000"/>
                <w:sz w:val="24"/>
                <w:szCs w:val="24"/>
              </w:rPr>
              <w:t>利尔转债</w:t>
            </w:r>
          </w:p>
        </w:tc>
        <w:tc>
          <w:tcPr>
            <w:tcW w:w="1768" w:type="dxa"/>
            <w:vAlign w:val="center"/>
          </w:tcPr>
          <w:p w:rsidR="004E75E2" w:rsidRDefault="00FE03C7">
            <w:pPr>
              <w:jc w:val="right"/>
            </w:pPr>
            <w:r>
              <w:rPr>
                <w:color w:val="000000"/>
                <w:sz w:val="24"/>
                <w:szCs w:val="24"/>
              </w:rPr>
              <w:t>323,986.95</w:t>
            </w:r>
          </w:p>
        </w:tc>
        <w:tc>
          <w:tcPr>
            <w:tcW w:w="1689" w:type="dxa"/>
            <w:vAlign w:val="center"/>
          </w:tcPr>
          <w:p w:rsidR="004E75E2" w:rsidRDefault="00FE03C7">
            <w:pPr>
              <w:jc w:val="right"/>
            </w:pPr>
            <w:r>
              <w:rPr>
                <w:color w:val="000000"/>
                <w:sz w:val="24"/>
                <w:szCs w:val="24"/>
              </w:rPr>
              <w:t>0.07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E75E2">
        <w:trPr>
          <w:jc w:val="center"/>
        </w:trPr>
        <w:tc>
          <w:tcPr>
            <w:tcW w:w="1129" w:type="dxa"/>
            <w:vAlign w:val="center"/>
          </w:tcPr>
          <w:p w:rsidR="004E75E2" w:rsidRDefault="00FE03C7">
            <w:pPr>
              <w:jc w:val="center"/>
            </w:pPr>
            <w:r>
              <w:rPr>
                <w:color w:val="000000"/>
                <w:sz w:val="24"/>
                <w:szCs w:val="24"/>
              </w:rPr>
              <w:t>1</w:t>
            </w:r>
          </w:p>
        </w:tc>
        <w:tc>
          <w:tcPr>
            <w:tcW w:w="1356" w:type="dxa"/>
            <w:vAlign w:val="center"/>
          </w:tcPr>
          <w:p w:rsidR="004E75E2" w:rsidRDefault="00FE03C7">
            <w:pPr>
              <w:jc w:val="center"/>
            </w:pPr>
            <w:r>
              <w:rPr>
                <w:color w:val="000000"/>
                <w:sz w:val="24"/>
                <w:szCs w:val="24"/>
              </w:rPr>
              <w:t>603882</w:t>
            </w:r>
          </w:p>
        </w:tc>
        <w:tc>
          <w:tcPr>
            <w:tcW w:w="1355" w:type="dxa"/>
            <w:vAlign w:val="center"/>
          </w:tcPr>
          <w:p w:rsidR="004E75E2" w:rsidRDefault="00FE03C7">
            <w:pPr>
              <w:jc w:val="center"/>
            </w:pPr>
            <w:r>
              <w:rPr>
                <w:color w:val="000000"/>
                <w:sz w:val="24"/>
                <w:szCs w:val="24"/>
              </w:rPr>
              <w:t>金域医学</w:t>
            </w:r>
          </w:p>
        </w:tc>
        <w:tc>
          <w:tcPr>
            <w:tcW w:w="1880" w:type="dxa"/>
            <w:vAlign w:val="center"/>
          </w:tcPr>
          <w:p w:rsidR="004E75E2" w:rsidRDefault="00FE03C7">
            <w:pPr>
              <w:jc w:val="right"/>
            </w:pPr>
            <w:r>
              <w:rPr>
                <w:color w:val="000000"/>
                <w:sz w:val="24"/>
                <w:szCs w:val="24"/>
              </w:rPr>
              <w:t>6,230,400.00</w:t>
            </w:r>
          </w:p>
        </w:tc>
        <w:tc>
          <w:tcPr>
            <w:tcW w:w="1724" w:type="dxa"/>
            <w:vAlign w:val="center"/>
          </w:tcPr>
          <w:p w:rsidR="004E75E2" w:rsidRDefault="00FE03C7">
            <w:pPr>
              <w:jc w:val="right"/>
            </w:pPr>
            <w:r>
              <w:rPr>
                <w:color w:val="000000"/>
                <w:sz w:val="24"/>
                <w:szCs w:val="24"/>
              </w:rPr>
              <w:t>1.44</w:t>
            </w:r>
          </w:p>
        </w:tc>
        <w:tc>
          <w:tcPr>
            <w:tcW w:w="1424" w:type="dxa"/>
            <w:vAlign w:val="center"/>
          </w:tcPr>
          <w:p w:rsidR="004E75E2" w:rsidRDefault="00FE03C7">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298,822,748.35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100,225,589.97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134,046,815.22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265,001,523.10</w:t>
            </w:r>
          </w:p>
        </w:tc>
      </w:tr>
    </w:tbl>
    <w:p w:rsidR="004E75E2" w:rsidRDefault="00FE03C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E75E2" w:rsidRDefault="00FE03C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E75E2" w:rsidRDefault="00FE03C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E75E2" w:rsidRDefault="00FE03C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3C7" w:rsidRDefault="00FE03C7" w:rsidP="00876D65">
      <w:r>
        <w:separator/>
      </w:r>
    </w:p>
  </w:endnote>
  <w:endnote w:type="continuationSeparator" w:id="0">
    <w:p w:rsidR="00FE03C7" w:rsidRDefault="00FE03C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02017">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02017">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3C7" w:rsidRDefault="00FE03C7" w:rsidP="00876D65">
      <w:r>
        <w:separator/>
      </w:r>
    </w:p>
  </w:footnote>
  <w:footnote w:type="continuationSeparator" w:id="0">
    <w:p w:rsidR="00FE03C7" w:rsidRDefault="00FE03C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2017"/>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5E2"/>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3C7"/>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8FBE-5EEB-4710-8912-CE07467B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11</Pages>
  <Words>989</Words>
  <Characters>5643</Characters>
  <Application>Microsoft Office Word</Application>
  <DocSecurity>0</DocSecurity>
  <Lines>47</Lines>
  <Paragraphs>13</Paragraphs>
  <ScaleCrop>false</ScaleCrop>
  <Company/>
  <LinksUpToDate>false</LinksUpToDate>
  <CharactersWithSpaces>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洪仲</cp:lastModifiedBy>
  <cp:revision>598</cp:revision>
  <dcterms:created xsi:type="dcterms:W3CDTF">2012-10-16T06:07:00Z</dcterms:created>
  <dcterms:modified xsi:type="dcterms:W3CDTF">2020-01-20T10:29:00Z</dcterms:modified>
</cp:coreProperties>
</file>