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交银施罗德医药创新股票型证券投资基金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D7586" w:rsidRDefault="00746E1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D7586" w:rsidRDefault="00746E1B">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D7586" w:rsidRDefault="00746E1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D7586" w:rsidRDefault="00746E1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D7586" w:rsidRDefault="00746E1B">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交银医药创新股票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004075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004075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462,794,273.18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本基金将深度挖掘医药创新过程中产业的各类投资机会，精选医药创新主题的优质上市公司，在控制风险并保持基金资产良好的流动性的前提下，谋求基金资产的长期、稳定增值。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中证医药卫生指数收益率</w:t>
            </w:r>
            <w:r w:rsidRPr="00414345">
              <w:rPr>
                <w:color w:val="000000"/>
                <w:kern w:val="0"/>
                <w:sz w:val="24"/>
                <w:szCs w:val="24"/>
              </w:rPr>
              <w:t>+15%×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F717F" w:rsidRPr="00414345" w:rsidTr="002F717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2F717F" w:rsidRPr="00414345" w:rsidTr="002F717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-39,689,641.29</w:t>
            </w:r>
          </w:p>
        </w:tc>
      </w:tr>
      <w:tr w:rsidR="002F717F" w:rsidRPr="00414345" w:rsidTr="002F717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-72,973,074.80</w:t>
            </w:r>
          </w:p>
        </w:tc>
      </w:tr>
      <w:tr w:rsidR="002F717F" w:rsidRPr="00414345" w:rsidTr="002F717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-0.1560</w:t>
            </w:r>
          </w:p>
        </w:tc>
      </w:tr>
      <w:tr w:rsidR="002F717F" w:rsidRPr="00414345" w:rsidTr="002F717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472,099,696.08</w:t>
            </w:r>
          </w:p>
        </w:tc>
      </w:tr>
      <w:tr w:rsidR="002F717F" w:rsidRPr="00414345" w:rsidTr="002F717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1.0201</w:t>
            </w:r>
          </w:p>
        </w:tc>
      </w:tr>
    </w:tbl>
    <w:p w:rsidR="00ED7586" w:rsidRDefault="00746E1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D7586">
        <w:trPr>
          <w:jc w:val="center"/>
        </w:trPr>
        <w:tc>
          <w:tcPr>
            <w:tcW w:w="1701" w:type="dxa"/>
            <w:vAlign w:val="center"/>
          </w:tcPr>
          <w:p w:rsidR="00ED7586" w:rsidRDefault="00746E1B">
            <w:pPr>
              <w:jc w:val="left"/>
            </w:pPr>
            <w:r>
              <w:rPr>
                <w:color w:val="000000"/>
                <w:sz w:val="24"/>
                <w:szCs w:val="24"/>
              </w:rPr>
              <w:t>过去三个月</w:t>
            </w:r>
          </w:p>
        </w:tc>
        <w:tc>
          <w:tcPr>
            <w:tcW w:w="1045" w:type="dxa"/>
            <w:vAlign w:val="center"/>
          </w:tcPr>
          <w:p w:rsidR="00ED7586" w:rsidRDefault="00746E1B">
            <w:pPr>
              <w:jc w:val="center"/>
            </w:pPr>
            <w:r>
              <w:rPr>
                <w:color w:val="000000"/>
                <w:sz w:val="24"/>
                <w:szCs w:val="24"/>
              </w:rPr>
              <w:t>-13.26%</w:t>
            </w:r>
          </w:p>
        </w:tc>
        <w:tc>
          <w:tcPr>
            <w:tcW w:w="1344" w:type="dxa"/>
            <w:vAlign w:val="center"/>
          </w:tcPr>
          <w:p w:rsidR="00ED7586" w:rsidRDefault="00746E1B">
            <w:pPr>
              <w:jc w:val="center"/>
            </w:pPr>
            <w:r>
              <w:rPr>
                <w:color w:val="000000"/>
                <w:sz w:val="24"/>
                <w:szCs w:val="24"/>
              </w:rPr>
              <w:t>1.84%</w:t>
            </w:r>
          </w:p>
        </w:tc>
        <w:tc>
          <w:tcPr>
            <w:tcW w:w="1194" w:type="dxa"/>
            <w:vAlign w:val="center"/>
          </w:tcPr>
          <w:p w:rsidR="00ED7586" w:rsidRDefault="00746E1B">
            <w:pPr>
              <w:jc w:val="center"/>
            </w:pPr>
            <w:r>
              <w:rPr>
                <w:color w:val="000000"/>
                <w:sz w:val="24"/>
                <w:szCs w:val="24"/>
              </w:rPr>
              <w:t>-17.39%</w:t>
            </w:r>
          </w:p>
        </w:tc>
        <w:tc>
          <w:tcPr>
            <w:tcW w:w="1492" w:type="dxa"/>
            <w:vAlign w:val="center"/>
          </w:tcPr>
          <w:p w:rsidR="00ED7586" w:rsidRDefault="00746E1B">
            <w:pPr>
              <w:jc w:val="center"/>
            </w:pPr>
            <w:r>
              <w:rPr>
                <w:color w:val="000000"/>
                <w:sz w:val="24"/>
                <w:szCs w:val="24"/>
              </w:rPr>
              <w:t>1.62%</w:t>
            </w:r>
          </w:p>
        </w:tc>
        <w:tc>
          <w:tcPr>
            <w:tcW w:w="1194" w:type="dxa"/>
            <w:vAlign w:val="center"/>
          </w:tcPr>
          <w:p w:rsidR="00ED7586" w:rsidRDefault="00746E1B">
            <w:pPr>
              <w:jc w:val="center"/>
            </w:pPr>
            <w:r>
              <w:rPr>
                <w:color w:val="000000"/>
                <w:sz w:val="24"/>
                <w:szCs w:val="24"/>
              </w:rPr>
              <w:t>4.13%</w:t>
            </w:r>
          </w:p>
        </w:tc>
        <w:tc>
          <w:tcPr>
            <w:tcW w:w="898" w:type="dxa"/>
            <w:vAlign w:val="center"/>
          </w:tcPr>
          <w:p w:rsidR="00ED7586" w:rsidRDefault="00746E1B">
            <w:pPr>
              <w:jc w:val="center"/>
            </w:pPr>
            <w:r>
              <w:rPr>
                <w:color w:val="000000"/>
                <w:sz w:val="24"/>
                <w:szCs w:val="24"/>
              </w:rPr>
              <w:t>0.22%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交银施罗德医药创新股票型证券投资基金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2F717F" w:rsidP="00C15CAC">
      <w:pPr>
        <w:pStyle w:val="a5"/>
        <w:snapToGrid w:val="0"/>
        <w:spacing w:before="29" w:line="288" w:lineRule="auto"/>
        <w:jc w:val="center"/>
        <w:rPr>
          <w:rFonts w:ascii="Times New Roman" w:hAnsi="Times New Roman" w:cs="Times New Roman"/>
          <w:color w:val="000000"/>
          <w:sz w:val="24"/>
          <w:szCs w:val="24"/>
        </w:rPr>
      </w:pPr>
      <w:r>
        <w:rPr>
          <w:rFonts w:asciiTheme="minorEastAsia" w:eastAsiaTheme="minorEastAsia" w:hAnsiTheme="minorEastAsia"/>
          <w:noProof/>
          <w:color w:val="000000"/>
        </w:rPr>
        <w:lastRenderedPageBreak/>
        <w:drawing>
          <wp:inline distT="0" distB="0" distL="0" distR="0" wp14:anchorId="7E91BEF4" wp14:editId="38579BDD">
            <wp:extent cx="5731510" cy="335612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356125"/>
                    </a:xfrm>
                    <a:prstGeom prst="rect">
                      <a:avLst/>
                    </a:prstGeom>
                    <a:noFill/>
                    <a:ln>
                      <a:noFill/>
                    </a:ln>
                  </pic:spPr>
                </pic:pic>
              </a:graphicData>
            </a:graphic>
          </wp:inline>
        </w:drawing>
      </w:r>
      <w:bookmarkStart w:id="0" w:name="_GoBack"/>
      <w:bookmarkEnd w:id="0"/>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D7586">
        <w:trPr>
          <w:jc w:val="center"/>
        </w:trPr>
        <w:tc>
          <w:tcPr>
            <w:tcW w:w="846" w:type="dxa"/>
            <w:vAlign w:val="center"/>
          </w:tcPr>
          <w:p w:rsidR="00ED7586" w:rsidRDefault="00746E1B">
            <w:pPr>
              <w:jc w:val="center"/>
            </w:pPr>
            <w:r>
              <w:rPr>
                <w:color w:val="000000"/>
                <w:sz w:val="24"/>
                <w:szCs w:val="24"/>
              </w:rPr>
              <w:t>楼慧源</w:t>
            </w:r>
          </w:p>
        </w:tc>
        <w:tc>
          <w:tcPr>
            <w:tcW w:w="845" w:type="dxa"/>
            <w:vAlign w:val="center"/>
          </w:tcPr>
          <w:p w:rsidR="00ED7586" w:rsidRDefault="00746E1B">
            <w:pPr>
              <w:jc w:val="center"/>
            </w:pPr>
            <w:r>
              <w:rPr>
                <w:color w:val="000000"/>
                <w:sz w:val="24"/>
                <w:szCs w:val="24"/>
              </w:rPr>
              <w:t>交银医药创新股票的基金经理</w:t>
            </w:r>
          </w:p>
        </w:tc>
        <w:tc>
          <w:tcPr>
            <w:tcW w:w="1549" w:type="dxa"/>
            <w:vAlign w:val="center"/>
          </w:tcPr>
          <w:p w:rsidR="00ED7586" w:rsidRDefault="00746E1B">
            <w:pPr>
              <w:jc w:val="center"/>
            </w:pPr>
            <w:r>
              <w:rPr>
                <w:color w:val="000000"/>
                <w:sz w:val="24"/>
                <w:szCs w:val="24"/>
              </w:rPr>
              <w:t>2018-09-12</w:t>
            </w:r>
          </w:p>
        </w:tc>
        <w:tc>
          <w:tcPr>
            <w:tcW w:w="1548" w:type="dxa"/>
            <w:vAlign w:val="center"/>
          </w:tcPr>
          <w:p w:rsidR="00ED7586" w:rsidRDefault="00746E1B">
            <w:pPr>
              <w:jc w:val="center"/>
            </w:pPr>
            <w:r>
              <w:rPr>
                <w:color w:val="000000"/>
                <w:sz w:val="24"/>
                <w:szCs w:val="24"/>
              </w:rPr>
              <w:t>-</w:t>
            </w:r>
          </w:p>
        </w:tc>
        <w:tc>
          <w:tcPr>
            <w:tcW w:w="1407" w:type="dxa"/>
            <w:vAlign w:val="center"/>
          </w:tcPr>
          <w:p w:rsidR="00ED7586" w:rsidRDefault="00746E1B">
            <w:pPr>
              <w:jc w:val="center"/>
            </w:pPr>
            <w:r>
              <w:rPr>
                <w:color w:val="000000"/>
                <w:sz w:val="24"/>
                <w:szCs w:val="24"/>
              </w:rPr>
              <w:t>4</w:t>
            </w:r>
            <w:r>
              <w:rPr>
                <w:color w:val="000000"/>
                <w:sz w:val="24"/>
                <w:szCs w:val="24"/>
              </w:rPr>
              <w:t>年</w:t>
            </w:r>
          </w:p>
        </w:tc>
        <w:tc>
          <w:tcPr>
            <w:tcW w:w="2673" w:type="dxa"/>
            <w:vAlign w:val="center"/>
          </w:tcPr>
          <w:p w:rsidR="00ED7586" w:rsidRDefault="00746E1B">
            <w:r>
              <w:rPr>
                <w:color w:val="000000"/>
                <w:sz w:val="24"/>
                <w:szCs w:val="24"/>
              </w:rPr>
              <w:t>楼慧源女士，复旦大学金融学硕士、浙江大学应用生物科学学士。</w:t>
            </w:r>
            <w:r>
              <w:rPr>
                <w:color w:val="000000"/>
                <w:sz w:val="24"/>
                <w:szCs w:val="24"/>
              </w:rPr>
              <w:t>2014</w:t>
            </w:r>
            <w:r>
              <w:rPr>
                <w:color w:val="000000"/>
                <w:sz w:val="24"/>
                <w:szCs w:val="24"/>
              </w:rPr>
              <w:t>年至</w:t>
            </w:r>
            <w:r>
              <w:rPr>
                <w:color w:val="000000"/>
                <w:sz w:val="24"/>
                <w:szCs w:val="24"/>
              </w:rPr>
              <w:t>2015</w:t>
            </w:r>
            <w:r>
              <w:rPr>
                <w:color w:val="000000"/>
                <w:sz w:val="24"/>
                <w:szCs w:val="24"/>
              </w:rPr>
              <w:t>年任中国国际金融有限公司研究员。</w:t>
            </w:r>
            <w:r>
              <w:rPr>
                <w:color w:val="000000"/>
                <w:sz w:val="24"/>
                <w:szCs w:val="24"/>
              </w:rPr>
              <w:t>2015</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w:t>
      </w:r>
      <w:r w:rsidRPr="00414345">
        <w:rPr>
          <w:color w:val="000000"/>
          <w:sz w:val="24"/>
          <w:szCs w:val="24"/>
        </w:rPr>
        <w:lastRenderedPageBreak/>
        <w:t>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D7586" w:rsidRDefault="00746E1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D7586" w:rsidRDefault="00746E1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D7586" w:rsidRDefault="00746E1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D7586" w:rsidRDefault="00746E1B">
      <w:pPr>
        <w:spacing w:before="29" w:line="288" w:lineRule="auto"/>
        <w:ind w:firstLineChars="200" w:firstLine="480"/>
        <w:rPr>
          <w:color w:val="000000"/>
          <w:sz w:val="24"/>
          <w:szCs w:val="24"/>
        </w:rPr>
      </w:pPr>
      <w:r>
        <w:rPr>
          <w:color w:val="000000"/>
          <w:sz w:val="24"/>
          <w:szCs w:val="24"/>
        </w:rPr>
        <w:t>报告期内，医药板块跑输大盘，仿制药带量采购落地，其估值体系受到潜在冲击。</w:t>
      </w:r>
    </w:p>
    <w:p w:rsidR="00ED7586" w:rsidRDefault="00746E1B">
      <w:pPr>
        <w:spacing w:before="29" w:line="288" w:lineRule="auto"/>
        <w:ind w:firstLineChars="200" w:firstLine="480"/>
        <w:rPr>
          <w:color w:val="000000"/>
          <w:sz w:val="24"/>
          <w:szCs w:val="24"/>
        </w:rPr>
      </w:pPr>
      <w:r>
        <w:rPr>
          <w:color w:val="000000"/>
          <w:sz w:val="24"/>
          <w:szCs w:val="24"/>
        </w:rPr>
        <w:t>四季度，本基金重点配置了医疗服务、创新药产业链、医疗设备等板块。同时适当配置了受医保政策影响较小的偏自费消费的品种，在子版块调整中有相对收益，跑赢业绩比较基准。在医药板块受到带量采购政策影响，股价无分化大幅下挫时，调整了组合持仓结构，以相对低的价格增持了中长线看好的核心品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一季度，医药行业的政策仍然存在不确定性。国家医保局的成立，意味着强势支付方的出现，对未来的行业走向有着较大的影响。关于仿制药板块，因医保政策的导向变化我们认为估值的压制将持续存在，当前市场预期已经比较悲观，如果政策修复可能会有小幅的估值修复，但仍不应过于乐观。关于医药的其他子板块，比如高</w:t>
      </w:r>
      <w:r w:rsidRPr="00414345">
        <w:rPr>
          <w:color w:val="000000"/>
          <w:sz w:val="24"/>
          <w:szCs w:val="24"/>
        </w:rPr>
        <w:lastRenderedPageBreak/>
        <w:t>景气度的医疗服务板块、创新药产业链等，我们认为不必过分悲观。</w:t>
      </w:r>
      <w:r w:rsidRPr="00414345">
        <w:rPr>
          <w:color w:val="000000"/>
          <w:sz w:val="24"/>
          <w:szCs w:val="24"/>
        </w:rPr>
        <w:t>2018</w:t>
      </w:r>
      <w:r w:rsidRPr="00414345">
        <w:rPr>
          <w:color w:val="000000"/>
          <w:sz w:val="24"/>
          <w:szCs w:val="24"/>
        </w:rPr>
        <w:t>年医药板块有相对收益，展望</w:t>
      </w:r>
      <w:r w:rsidRPr="00414345">
        <w:rPr>
          <w:color w:val="000000"/>
          <w:sz w:val="24"/>
          <w:szCs w:val="24"/>
        </w:rPr>
        <w:t>2019</w:t>
      </w:r>
      <w:r w:rsidRPr="00414345">
        <w:rPr>
          <w:color w:val="000000"/>
          <w:sz w:val="24"/>
          <w:szCs w:val="24"/>
        </w:rPr>
        <w:t>年，医药板块的相对收益可能收窄，因为其他行业的估值也下降，但从绝对收益的角度看，对好公司我们仍然保持乐观态度，因为当前的估值仍然具备性价比。</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390,554,356.63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82.19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390,554,356.63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82.19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53,278,882.88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11.21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31,380,198.70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6.60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475,213,438.21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275,343,093.87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2,921,022.00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22,186,851.90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2,642,495.00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4,996,021.11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82,464,872.75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390,554,356.63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82.73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w:t>
            </w:r>
            <w:r w:rsidRPr="00414345">
              <w:rPr>
                <w:color w:val="000000"/>
                <w:sz w:val="24"/>
                <w:szCs w:val="24"/>
              </w:rPr>
              <w:lastRenderedPageBreak/>
              <w:t>净值比例</w:t>
            </w:r>
            <w:r w:rsidR="00B47982" w:rsidRPr="00414345">
              <w:rPr>
                <w:color w:val="000000"/>
                <w:sz w:val="24"/>
              </w:rPr>
              <w:t>（％）</w:t>
            </w:r>
          </w:p>
        </w:tc>
      </w:tr>
      <w:tr w:rsidR="00ED7586">
        <w:trPr>
          <w:jc w:val="center"/>
        </w:trPr>
        <w:tc>
          <w:tcPr>
            <w:tcW w:w="855" w:type="dxa"/>
            <w:vAlign w:val="center"/>
          </w:tcPr>
          <w:p w:rsidR="00ED7586" w:rsidRDefault="00746E1B">
            <w:pPr>
              <w:jc w:val="center"/>
            </w:pPr>
            <w:r>
              <w:rPr>
                <w:color w:val="000000"/>
                <w:sz w:val="24"/>
                <w:szCs w:val="24"/>
              </w:rPr>
              <w:lastRenderedPageBreak/>
              <w:t>1</w:t>
            </w:r>
          </w:p>
        </w:tc>
        <w:tc>
          <w:tcPr>
            <w:tcW w:w="1334" w:type="dxa"/>
            <w:vAlign w:val="center"/>
          </w:tcPr>
          <w:p w:rsidR="00ED7586" w:rsidRDefault="00746E1B">
            <w:pPr>
              <w:jc w:val="center"/>
            </w:pPr>
            <w:r>
              <w:rPr>
                <w:color w:val="000000"/>
                <w:sz w:val="24"/>
                <w:szCs w:val="24"/>
              </w:rPr>
              <w:t>600763</w:t>
            </w:r>
          </w:p>
        </w:tc>
        <w:tc>
          <w:tcPr>
            <w:tcW w:w="1777" w:type="dxa"/>
            <w:vAlign w:val="center"/>
          </w:tcPr>
          <w:p w:rsidR="00ED7586" w:rsidRDefault="00746E1B">
            <w:pPr>
              <w:jc w:val="center"/>
            </w:pPr>
            <w:r>
              <w:rPr>
                <w:color w:val="000000"/>
                <w:sz w:val="24"/>
                <w:szCs w:val="24"/>
              </w:rPr>
              <w:t>通策医疗</w:t>
            </w:r>
          </w:p>
        </w:tc>
        <w:tc>
          <w:tcPr>
            <w:tcW w:w="1334" w:type="dxa"/>
            <w:vAlign w:val="center"/>
          </w:tcPr>
          <w:p w:rsidR="00ED7586" w:rsidRDefault="00746E1B">
            <w:pPr>
              <w:jc w:val="right"/>
            </w:pPr>
            <w:r>
              <w:rPr>
                <w:color w:val="000000"/>
                <w:sz w:val="24"/>
                <w:szCs w:val="24"/>
              </w:rPr>
              <w:t>722,700</w:t>
            </w:r>
          </w:p>
        </w:tc>
        <w:tc>
          <w:tcPr>
            <w:tcW w:w="1924" w:type="dxa"/>
            <w:vAlign w:val="center"/>
          </w:tcPr>
          <w:p w:rsidR="00ED7586" w:rsidRDefault="00746E1B">
            <w:pPr>
              <w:jc w:val="right"/>
            </w:pPr>
            <w:r>
              <w:rPr>
                <w:color w:val="000000"/>
                <w:sz w:val="24"/>
                <w:szCs w:val="24"/>
              </w:rPr>
              <w:t>34,306,569.00</w:t>
            </w:r>
          </w:p>
        </w:tc>
        <w:tc>
          <w:tcPr>
            <w:tcW w:w="1644" w:type="dxa"/>
            <w:vAlign w:val="center"/>
          </w:tcPr>
          <w:p w:rsidR="00ED7586" w:rsidRDefault="00746E1B">
            <w:pPr>
              <w:jc w:val="right"/>
            </w:pPr>
            <w:r>
              <w:rPr>
                <w:color w:val="000000"/>
                <w:sz w:val="24"/>
                <w:szCs w:val="24"/>
              </w:rPr>
              <w:t>7.27</w:t>
            </w:r>
          </w:p>
        </w:tc>
      </w:tr>
      <w:tr w:rsidR="00ED7586">
        <w:trPr>
          <w:jc w:val="center"/>
        </w:trPr>
        <w:tc>
          <w:tcPr>
            <w:tcW w:w="855" w:type="dxa"/>
            <w:vAlign w:val="center"/>
          </w:tcPr>
          <w:p w:rsidR="00ED7586" w:rsidRDefault="00746E1B">
            <w:pPr>
              <w:jc w:val="center"/>
            </w:pPr>
            <w:r>
              <w:rPr>
                <w:color w:val="000000"/>
                <w:sz w:val="24"/>
                <w:szCs w:val="24"/>
              </w:rPr>
              <w:t>2</w:t>
            </w:r>
          </w:p>
        </w:tc>
        <w:tc>
          <w:tcPr>
            <w:tcW w:w="1334" w:type="dxa"/>
            <w:vAlign w:val="center"/>
          </w:tcPr>
          <w:p w:rsidR="00ED7586" w:rsidRDefault="00746E1B">
            <w:pPr>
              <w:jc w:val="center"/>
            </w:pPr>
            <w:r>
              <w:rPr>
                <w:color w:val="000000"/>
                <w:sz w:val="24"/>
                <w:szCs w:val="24"/>
              </w:rPr>
              <w:t>600276</w:t>
            </w:r>
          </w:p>
        </w:tc>
        <w:tc>
          <w:tcPr>
            <w:tcW w:w="1777" w:type="dxa"/>
            <w:vAlign w:val="center"/>
          </w:tcPr>
          <w:p w:rsidR="00ED7586" w:rsidRDefault="00746E1B">
            <w:pPr>
              <w:jc w:val="center"/>
            </w:pPr>
            <w:r>
              <w:rPr>
                <w:color w:val="000000"/>
                <w:sz w:val="24"/>
                <w:szCs w:val="24"/>
              </w:rPr>
              <w:t>恒瑞医药</w:t>
            </w:r>
          </w:p>
        </w:tc>
        <w:tc>
          <w:tcPr>
            <w:tcW w:w="1334" w:type="dxa"/>
            <w:vAlign w:val="center"/>
          </w:tcPr>
          <w:p w:rsidR="00ED7586" w:rsidRDefault="00746E1B">
            <w:pPr>
              <w:jc w:val="right"/>
            </w:pPr>
            <w:r>
              <w:rPr>
                <w:color w:val="000000"/>
                <w:sz w:val="24"/>
                <w:szCs w:val="24"/>
              </w:rPr>
              <w:t>594,100</w:t>
            </w:r>
          </w:p>
        </w:tc>
        <w:tc>
          <w:tcPr>
            <w:tcW w:w="1924" w:type="dxa"/>
            <w:vAlign w:val="center"/>
          </w:tcPr>
          <w:p w:rsidR="00ED7586" w:rsidRDefault="00746E1B">
            <w:pPr>
              <w:jc w:val="right"/>
            </w:pPr>
            <w:r>
              <w:rPr>
                <w:color w:val="000000"/>
                <w:sz w:val="24"/>
                <w:szCs w:val="24"/>
              </w:rPr>
              <w:t>31,338,775.00</w:t>
            </w:r>
          </w:p>
        </w:tc>
        <w:tc>
          <w:tcPr>
            <w:tcW w:w="1644" w:type="dxa"/>
            <w:vAlign w:val="center"/>
          </w:tcPr>
          <w:p w:rsidR="00ED7586" w:rsidRDefault="00746E1B">
            <w:pPr>
              <w:jc w:val="right"/>
            </w:pPr>
            <w:r>
              <w:rPr>
                <w:color w:val="000000"/>
                <w:sz w:val="24"/>
                <w:szCs w:val="24"/>
              </w:rPr>
              <w:t>6.64</w:t>
            </w:r>
          </w:p>
        </w:tc>
      </w:tr>
      <w:tr w:rsidR="00ED7586">
        <w:trPr>
          <w:jc w:val="center"/>
        </w:trPr>
        <w:tc>
          <w:tcPr>
            <w:tcW w:w="855" w:type="dxa"/>
            <w:vAlign w:val="center"/>
          </w:tcPr>
          <w:p w:rsidR="00ED7586" w:rsidRDefault="00746E1B">
            <w:pPr>
              <w:jc w:val="center"/>
            </w:pPr>
            <w:r>
              <w:rPr>
                <w:color w:val="000000"/>
                <w:sz w:val="24"/>
                <w:szCs w:val="24"/>
              </w:rPr>
              <w:t>3</w:t>
            </w:r>
          </w:p>
        </w:tc>
        <w:tc>
          <w:tcPr>
            <w:tcW w:w="1334" w:type="dxa"/>
            <w:vAlign w:val="center"/>
          </w:tcPr>
          <w:p w:rsidR="00ED7586" w:rsidRDefault="00746E1B">
            <w:pPr>
              <w:jc w:val="center"/>
            </w:pPr>
            <w:r>
              <w:rPr>
                <w:color w:val="000000"/>
                <w:sz w:val="24"/>
                <w:szCs w:val="24"/>
              </w:rPr>
              <w:t>300760</w:t>
            </w:r>
          </w:p>
        </w:tc>
        <w:tc>
          <w:tcPr>
            <w:tcW w:w="1777" w:type="dxa"/>
            <w:vAlign w:val="center"/>
          </w:tcPr>
          <w:p w:rsidR="00ED7586" w:rsidRDefault="00746E1B">
            <w:pPr>
              <w:jc w:val="center"/>
            </w:pPr>
            <w:r>
              <w:rPr>
                <w:color w:val="000000"/>
                <w:sz w:val="24"/>
                <w:szCs w:val="24"/>
              </w:rPr>
              <w:t>迈瑞医疗</w:t>
            </w:r>
          </w:p>
        </w:tc>
        <w:tc>
          <w:tcPr>
            <w:tcW w:w="1334" w:type="dxa"/>
            <w:vAlign w:val="center"/>
          </w:tcPr>
          <w:p w:rsidR="00ED7586" w:rsidRDefault="00746E1B">
            <w:pPr>
              <w:jc w:val="right"/>
            </w:pPr>
            <w:r>
              <w:rPr>
                <w:color w:val="000000"/>
                <w:sz w:val="24"/>
                <w:szCs w:val="24"/>
              </w:rPr>
              <w:t>229,814</w:t>
            </w:r>
          </w:p>
        </w:tc>
        <w:tc>
          <w:tcPr>
            <w:tcW w:w="1924" w:type="dxa"/>
            <w:vAlign w:val="center"/>
          </w:tcPr>
          <w:p w:rsidR="00ED7586" w:rsidRDefault="00746E1B">
            <w:pPr>
              <w:jc w:val="right"/>
            </w:pPr>
            <w:r>
              <w:rPr>
                <w:color w:val="000000"/>
                <w:sz w:val="24"/>
                <w:szCs w:val="24"/>
              </w:rPr>
              <w:t>25,100,285.08</w:t>
            </w:r>
          </w:p>
        </w:tc>
        <w:tc>
          <w:tcPr>
            <w:tcW w:w="1644" w:type="dxa"/>
            <w:vAlign w:val="center"/>
          </w:tcPr>
          <w:p w:rsidR="00ED7586" w:rsidRDefault="00746E1B">
            <w:pPr>
              <w:jc w:val="right"/>
            </w:pPr>
            <w:r>
              <w:rPr>
                <w:color w:val="000000"/>
                <w:sz w:val="24"/>
                <w:szCs w:val="24"/>
              </w:rPr>
              <w:t>5.32</w:t>
            </w:r>
          </w:p>
        </w:tc>
      </w:tr>
      <w:tr w:rsidR="00ED7586">
        <w:trPr>
          <w:jc w:val="center"/>
        </w:trPr>
        <w:tc>
          <w:tcPr>
            <w:tcW w:w="855" w:type="dxa"/>
            <w:vAlign w:val="center"/>
          </w:tcPr>
          <w:p w:rsidR="00ED7586" w:rsidRDefault="00746E1B">
            <w:pPr>
              <w:jc w:val="center"/>
            </w:pPr>
            <w:r>
              <w:rPr>
                <w:color w:val="000000"/>
                <w:sz w:val="24"/>
                <w:szCs w:val="24"/>
              </w:rPr>
              <w:t>4</w:t>
            </w:r>
          </w:p>
        </w:tc>
        <w:tc>
          <w:tcPr>
            <w:tcW w:w="1334" w:type="dxa"/>
            <w:vAlign w:val="center"/>
          </w:tcPr>
          <w:p w:rsidR="00ED7586" w:rsidRDefault="00746E1B">
            <w:pPr>
              <w:jc w:val="center"/>
            </w:pPr>
            <w:r>
              <w:rPr>
                <w:color w:val="000000"/>
                <w:sz w:val="24"/>
                <w:szCs w:val="24"/>
              </w:rPr>
              <w:t>300015</w:t>
            </w:r>
          </w:p>
        </w:tc>
        <w:tc>
          <w:tcPr>
            <w:tcW w:w="1777" w:type="dxa"/>
            <w:vAlign w:val="center"/>
          </w:tcPr>
          <w:p w:rsidR="00ED7586" w:rsidRDefault="00746E1B">
            <w:pPr>
              <w:jc w:val="center"/>
            </w:pPr>
            <w:r>
              <w:rPr>
                <w:color w:val="000000"/>
                <w:sz w:val="24"/>
                <w:szCs w:val="24"/>
              </w:rPr>
              <w:t>爱尔眼科</w:t>
            </w:r>
          </w:p>
        </w:tc>
        <w:tc>
          <w:tcPr>
            <w:tcW w:w="1334" w:type="dxa"/>
            <w:vAlign w:val="center"/>
          </w:tcPr>
          <w:p w:rsidR="00ED7586" w:rsidRDefault="00746E1B">
            <w:pPr>
              <w:jc w:val="right"/>
            </w:pPr>
            <w:r>
              <w:rPr>
                <w:color w:val="000000"/>
                <w:sz w:val="24"/>
                <w:szCs w:val="24"/>
              </w:rPr>
              <w:t>946,750</w:t>
            </w:r>
          </w:p>
        </w:tc>
        <w:tc>
          <w:tcPr>
            <w:tcW w:w="1924" w:type="dxa"/>
            <w:vAlign w:val="center"/>
          </w:tcPr>
          <w:p w:rsidR="00ED7586" w:rsidRDefault="00746E1B">
            <w:pPr>
              <w:jc w:val="right"/>
            </w:pPr>
            <w:r>
              <w:rPr>
                <w:color w:val="000000"/>
                <w:sz w:val="24"/>
                <w:szCs w:val="24"/>
              </w:rPr>
              <w:t>24,899,525.00</w:t>
            </w:r>
          </w:p>
        </w:tc>
        <w:tc>
          <w:tcPr>
            <w:tcW w:w="1644" w:type="dxa"/>
            <w:vAlign w:val="center"/>
          </w:tcPr>
          <w:p w:rsidR="00ED7586" w:rsidRDefault="00746E1B">
            <w:pPr>
              <w:jc w:val="right"/>
            </w:pPr>
            <w:r>
              <w:rPr>
                <w:color w:val="000000"/>
                <w:sz w:val="24"/>
                <w:szCs w:val="24"/>
              </w:rPr>
              <w:t>5.27</w:t>
            </w:r>
          </w:p>
        </w:tc>
      </w:tr>
      <w:tr w:rsidR="00ED7586">
        <w:trPr>
          <w:jc w:val="center"/>
        </w:trPr>
        <w:tc>
          <w:tcPr>
            <w:tcW w:w="855" w:type="dxa"/>
            <w:vAlign w:val="center"/>
          </w:tcPr>
          <w:p w:rsidR="00ED7586" w:rsidRDefault="00746E1B">
            <w:pPr>
              <w:jc w:val="center"/>
            </w:pPr>
            <w:r>
              <w:rPr>
                <w:color w:val="000000"/>
                <w:sz w:val="24"/>
                <w:szCs w:val="24"/>
              </w:rPr>
              <w:t>5</w:t>
            </w:r>
          </w:p>
        </w:tc>
        <w:tc>
          <w:tcPr>
            <w:tcW w:w="1334" w:type="dxa"/>
            <w:vAlign w:val="center"/>
          </w:tcPr>
          <w:p w:rsidR="00ED7586" w:rsidRDefault="00746E1B">
            <w:pPr>
              <w:jc w:val="center"/>
            </w:pPr>
            <w:r>
              <w:rPr>
                <w:color w:val="000000"/>
                <w:sz w:val="24"/>
                <w:szCs w:val="24"/>
              </w:rPr>
              <w:t>300347</w:t>
            </w:r>
          </w:p>
        </w:tc>
        <w:tc>
          <w:tcPr>
            <w:tcW w:w="1777" w:type="dxa"/>
            <w:vAlign w:val="center"/>
          </w:tcPr>
          <w:p w:rsidR="00ED7586" w:rsidRDefault="00746E1B">
            <w:pPr>
              <w:jc w:val="center"/>
            </w:pPr>
            <w:r>
              <w:rPr>
                <w:color w:val="000000"/>
                <w:sz w:val="24"/>
                <w:szCs w:val="24"/>
              </w:rPr>
              <w:t>泰格医药</w:t>
            </w:r>
          </w:p>
        </w:tc>
        <w:tc>
          <w:tcPr>
            <w:tcW w:w="1334" w:type="dxa"/>
            <w:vAlign w:val="center"/>
          </w:tcPr>
          <w:p w:rsidR="00ED7586" w:rsidRDefault="00746E1B">
            <w:pPr>
              <w:jc w:val="right"/>
            </w:pPr>
            <w:r>
              <w:rPr>
                <w:color w:val="000000"/>
                <w:sz w:val="24"/>
                <w:szCs w:val="24"/>
              </w:rPr>
              <w:t>544,065</w:t>
            </w:r>
          </w:p>
        </w:tc>
        <w:tc>
          <w:tcPr>
            <w:tcW w:w="1924" w:type="dxa"/>
            <w:vAlign w:val="center"/>
          </w:tcPr>
          <w:p w:rsidR="00ED7586" w:rsidRDefault="00746E1B">
            <w:pPr>
              <w:jc w:val="right"/>
            </w:pPr>
            <w:r>
              <w:rPr>
                <w:color w:val="000000"/>
                <w:sz w:val="24"/>
                <w:szCs w:val="24"/>
              </w:rPr>
              <w:t>23,258,778.75</w:t>
            </w:r>
          </w:p>
        </w:tc>
        <w:tc>
          <w:tcPr>
            <w:tcW w:w="1644" w:type="dxa"/>
            <w:vAlign w:val="center"/>
          </w:tcPr>
          <w:p w:rsidR="00ED7586" w:rsidRDefault="00746E1B">
            <w:pPr>
              <w:jc w:val="right"/>
            </w:pPr>
            <w:r>
              <w:rPr>
                <w:color w:val="000000"/>
                <w:sz w:val="24"/>
                <w:szCs w:val="24"/>
              </w:rPr>
              <w:t>4.93</w:t>
            </w:r>
          </w:p>
        </w:tc>
      </w:tr>
      <w:tr w:rsidR="00ED7586">
        <w:trPr>
          <w:jc w:val="center"/>
        </w:trPr>
        <w:tc>
          <w:tcPr>
            <w:tcW w:w="855" w:type="dxa"/>
            <w:vAlign w:val="center"/>
          </w:tcPr>
          <w:p w:rsidR="00ED7586" w:rsidRDefault="00746E1B">
            <w:pPr>
              <w:jc w:val="center"/>
            </w:pPr>
            <w:r>
              <w:rPr>
                <w:color w:val="000000"/>
                <w:sz w:val="24"/>
                <w:szCs w:val="24"/>
              </w:rPr>
              <w:t>6</w:t>
            </w:r>
          </w:p>
        </w:tc>
        <w:tc>
          <w:tcPr>
            <w:tcW w:w="1334" w:type="dxa"/>
            <w:vAlign w:val="center"/>
          </w:tcPr>
          <w:p w:rsidR="00ED7586" w:rsidRDefault="00746E1B">
            <w:pPr>
              <w:jc w:val="center"/>
            </w:pPr>
            <w:r>
              <w:rPr>
                <w:color w:val="000000"/>
                <w:sz w:val="24"/>
                <w:szCs w:val="24"/>
              </w:rPr>
              <w:t>300529</w:t>
            </w:r>
          </w:p>
        </w:tc>
        <w:tc>
          <w:tcPr>
            <w:tcW w:w="1777" w:type="dxa"/>
            <w:vAlign w:val="center"/>
          </w:tcPr>
          <w:p w:rsidR="00ED7586" w:rsidRDefault="00746E1B">
            <w:pPr>
              <w:jc w:val="center"/>
            </w:pPr>
            <w:r>
              <w:rPr>
                <w:color w:val="000000"/>
                <w:sz w:val="24"/>
                <w:szCs w:val="24"/>
              </w:rPr>
              <w:t>健帆生物</w:t>
            </w:r>
          </w:p>
        </w:tc>
        <w:tc>
          <w:tcPr>
            <w:tcW w:w="1334" w:type="dxa"/>
            <w:vAlign w:val="center"/>
          </w:tcPr>
          <w:p w:rsidR="00ED7586" w:rsidRDefault="00746E1B">
            <w:pPr>
              <w:jc w:val="right"/>
            </w:pPr>
            <w:r>
              <w:rPr>
                <w:color w:val="000000"/>
                <w:sz w:val="24"/>
                <w:szCs w:val="24"/>
              </w:rPr>
              <w:t>509,393</w:t>
            </w:r>
          </w:p>
        </w:tc>
        <w:tc>
          <w:tcPr>
            <w:tcW w:w="1924" w:type="dxa"/>
            <w:vAlign w:val="center"/>
          </w:tcPr>
          <w:p w:rsidR="00ED7586" w:rsidRDefault="00746E1B">
            <w:pPr>
              <w:jc w:val="right"/>
            </w:pPr>
            <w:r>
              <w:rPr>
                <w:color w:val="000000"/>
                <w:sz w:val="24"/>
                <w:szCs w:val="24"/>
              </w:rPr>
              <w:t>21,139,809.50</w:t>
            </w:r>
          </w:p>
        </w:tc>
        <w:tc>
          <w:tcPr>
            <w:tcW w:w="1644" w:type="dxa"/>
            <w:vAlign w:val="center"/>
          </w:tcPr>
          <w:p w:rsidR="00ED7586" w:rsidRDefault="00746E1B">
            <w:pPr>
              <w:jc w:val="right"/>
            </w:pPr>
            <w:r>
              <w:rPr>
                <w:color w:val="000000"/>
                <w:sz w:val="24"/>
                <w:szCs w:val="24"/>
              </w:rPr>
              <w:t>4.48</w:t>
            </w:r>
          </w:p>
        </w:tc>
      </w:tr>
      <w:tr w:rsidR="00ED7586">
        <w:trPr>
          <w:jc w:val="center"/>
        </w:trPr>
        <w:tc>
          <w:tcPr>
            <w:tcW w:w="855" w:type="dxa"/>
            <w:vAlign w:val="center"/>
          </w:tcPr>
          <w:p w:rsidR="00ED7586" w:rsidRDefault="00746E1B">
            <w:pPr>
              <w:jc w:val="center"/>
            </w:pPr>
            <w:r>
              <w:rPr>
                <w:color w:val="000000"/>
                <w:sz w:val="24"/>
                <w:szCs w:val="24"/>
              </w:rPr>
              <w:t>7</w:t>
            </w:r>
          </w:p>
        </w:tc>
        <w:tc>
          <w:tcPr>
            <w:tcW w:w="1334" w:type="dxa"/>
            <w:vAlign w:val="center"/>
          </w:tcPr>
          <w:p w:rsidR="00ED7586" w:rsidRDefault="00746E1B">
            <w:pPr>
              <w:jc w:val="center"/>
            </w:pPr>
            <w:r>
              <w:rPr>
                <w:color w:val="000000"/>
                <w:sz w:val="24"/>
                <w:szCs w:val="24"/>
              </w:rPr>
              <w:t>600085</w:t>
            </w:r>
          </w:p>
        </w:tc>
        <w:tc>
          <w:tcPr>
            <w:tcW w:w="1777" w:type="dxa"/>
            <w:vAlign w:val="center"/>
          </w:tcPr>
          <w:p w:rsidR="00ED7586" w:rsidRDefault="00746E1B">
            <w:pPr>
              <w:jc w:val="center"/>
            </w:pPr>
            <w:r>
              <w:rPr>
                <w:color w:val="000000"/>
                <w:sz w:val="24"/>
                <w:szCs w:val="24"/>
              </w:rPr>
              <w:t>同仁堂</w:t>
            </w:r>
          </w:p>
        </w:tc>
        <w:tc>
          <w:tcPr>
            <w:tcW w:w="1334" w:type="dxa"/>
            <w:vAlign w:val="center"/>
          </w:tcPr>
          <w:p w:rsidR="00ED7586" w:rsidRDefault="00746E1B">
            <w:pPr>
              <w:jc w:val="right"/>
            </w:pPr>
            <w:r>
              <w:rPr>
                <w:color w:val="000000"/>
                <w:sz w:val="24"/>
                <w:szCs w:val="24"/>
              </w:rPr>
              <w:t>526,432</w:t>
            </w:r>
          </w:p>
        </w:tc>
        <w:tc>
          <w:tcPr>
            <w:tcW w:w="1924" w:type="dxa"/>
            <w:vAlign w:val="center"/>
          </w:tcPr>
          <w:p w:rsidR="00ED7586" w:rsidRDefault="00746E1B">
            <w:pPr>
              <w:jc w:val="right"/>
            </w:pPr>
            <w:r>
              <w:rPr>
                <w:color w:val="000000"/>
                <w:sz w:val="24"/>
                <w:szCs w:val="24"/>
              </w:rPr>
              <w:t>14,476,880.00</w:t>
            </w:r>
          </w:p>
        </w:tc>
        <w:tc>
          <w:tcPr>
            <w:tcW w:w="1644" w:type="dxa"/>
            <w:vAlign w:val="center"/>
          </w:tcPr>
          <w:p w:rsidR="00ED7586" w:rsidRDefault="00746E1B">
            <w:pPr>
              <w:jc w:val="right"/>
            </w:pPr>
            <w:r>
              <w:rPr>
                <w:color w:val="000000"/>
                <w:sz w:val="24"/>
                <w:szCs w:val="24"/>
              </w:rPr>
              <w:t>3.07</w:t>
            </w:r>
          </w:p>
        </w:tc>
      </w:tr>
      <w:tr w:rsidR="00ED7586">
        <w:trPr>
          <w:jc w:val="center"/>
        </w:trPr>
        <w:tc>
          <w:tcPr>
            <w:tcW w:w="855" w:type="dxa"/>
            <w:vAlign w:val="center"/>
          </w:tcPr>
          <w:p w:rsidR="00ED7586" w:rsidRDefault="00746E1B">
            <w:pPr>
              <w:jc w:val="center"/>
            </w:pPr>
            <w:r>
              <w:rPr>
                <w:color w:val="000000"/>
                <w:sz w:val="24"/>
                <w:szCs w:val="24"/>
              </w:rPr>
              <w:t>8</w:t>
            </w:r>
          </w:p>
        </w:tc>
        <w:tc>
          <w:tcPr>
            <w:tcW w:w="1334" w:type="dxa"/>
            <w:vAlign w:val="center"/>
          </w:tcPr>
          <w:p w:rsidR="00ED7586" w:rsidRDefault="00746E1B">
            <w:pPr>
              <w:jc w:val="center"/>
            </w:pPr>
            <w:r>
              <w:rPr>
                <w:color w:val="000000"/>
                <w:sz w:val="24"/>
                <w:szCs w:val="24"/>
              </w:rPr>
              <w:t>300294</w:t>
            </w:r>
          </w:p>
        </w:tc>
        <w:tc>
          <w:tcPr>
            <w:tcW w:w="1777" w:type="dxa"/>
            <w:vAlign w:val="center"/>
          </w:tcPr>
          <w:p w:rsidR="00ED7586" w:rsidRDefault="00746E1B">
            <w:pPr>
              <w:jc w:val="center"/>
            </w:pPr>
            <w:r>
              <w:rPr>
                <w:color w:val="000000"/>
                <w:sz w:val="24"/>
                <w:szCs w:val="24"/>
              </w:rPr>
              <w:t>博雅生物</w:t>
            </w:r>
          </w:p>
        </w:tc>
        <w:tc>
          <w:tcPr>
            <w:tcW w:w="1334" w:type="dxa"/>
            <w:vAlign w:val="center"/>
          </w:tcPr>
          <w:p w:rsidR="00ED7586" w:rsidRDefault="00746E1B">
            <w:pPr>
              <w:jc w:val="right"/>
            </w:pPr>
            <w:r>
              <w:rPr>
                <w:color w:val="000000"/>
                <w:sz w:val="24"/>
                <w:szCs w:val="24"/>
              </w:rPr>
              <w:t>528,750</w:t>
            </w:r>
          </w:p>
        </w:tc>
        <w:tc>
          <w:tcPr>
            <w:tcW w:w="1924" w:type="dxa"/>
            <w:vAlign w:val="center"/>
          </w:tcPr>
          <w:p w:rsidR="00ED7586" w:rsidRDefault="00746E1B">
            <w:pPr>
              <w:jc w:val="right"/>
            </w:pPr>
            <w:r>
              <w:rPr>
                <w:color w:val="000000"/>
                <w:sz w:val="24"/>
                <w:szCs w:val="24"/>
              </w:rPr>
              <w:t>14,270,962.50</w:t>
            </w:r>
          </w:p>
        </w:tc>
        <w:tc>
          <w:tcPr>
            <w:tcW w:w="1644" w:type="dxa"/>
            <w:vAlign w:val="center"/>
          </w:tcPr>
          <w:p w:rsidR="00ED7586" w:rsidRDefault="00746E1B">
            <w:pPr>
              <w:jc w:val="right"/>
            </w:pPr>
            <w:r>
              <w:rPr>
                <w:color w:val="000000"/>
                <w:sz w:val="24"/>
                <w:szCs w:val="24"/>
              </w:rPr>
              <w:t>3.02</w:t>
            </w:r>
          </w:p>
        </w:tc>
      </w:tr>
      <w:tr w:rsidR="00ED7586">
        <w:trPr>
          <w:jc w:val="center"/>
        </w:trPr>
        <w:tc>
          <w:tcPr>
            <w:tcW w:w="855" w:type="dxa"/>
            <w:vAlign w:val="center"/>
          </w:tcPr>
          <w:p w:rsidR="00ED7586" w:rsidRDefault="00746E1B">
            <w:pPr>
              <w:jc w:val="center"/>
            </w:pPr>
            <w:r>
              <w:rPr>
                <w:color w:val="000000"/>
                <w:sz w:val="24"/>
                <w:szCs w:val="24"/>
              </w:rPr>
              <w:t>9</w:t>
            </w:r>
          </w:p>
        </w:tc>
        <w:tc>
          <w:tcPr>
            <w:tcW w:w="1334" w:type="dxa"/>
            <w:vAlign w:val="center"/>
          </w:tcPr>
          <w:p w:rsidR="00ED7586" w:rsidRDefault="00746E1B">
            <w:pPr>
              <w:jc w:val="center"/>
            </w:pPr>
            <w:r>
              <w:rPr>
                <w:color w:val="000000"/>
                <w:sz w:val="24"/>
                <w:szCs w:val="24"/>
              </w:rPr>
              <w:t>600529</w:t>
            </w:r>
          </w:p>
        </w:tc>
        <w:tc>
          <w:tcPr>
            <w:tcW w:w="1777" w:type="dxa"/>
            <w:vAlign w:val="center"/>
          </w:tcPr>
          <w:p w:rsidR="00ED7586" w:rsidRDefault="00746E1B">
            <w:pPr>
              <w:jc w:val="center"/>
            </w:pPr>
            <w:r>
              <w:rPr>
                <w:color w:val="000000"/>
                <w:sz w:val="24"/>
                <w:szCs w:val="24"/>
              </w:rPr>
              <w:t>山东药玻</w:t>
            </w:r>
          </w:p>
        </w:tc>
        <w:tc>
          <w:tcPr>
            <w:tcW w:w="1334" w:type="dxa"/>
            <w:vAlign w:val="center"/>
          </w:tcPr>
          <w:p w:rsidR="00ED7586" w:rsidRDefault="00746E1B">
            <w:pPr>
              <w:jc w:val="right"/>
            </w:pPr>
            <w:r>
              <w:rPr>
                <w:color w:val="000000"/>
                <w:sz w:val="24"/>
                <w:szCs w:val="24"/>
              </w:rPr>
              <w:t>746,488</w:t>
            </w:r>
          </w:p>
        </w:tc>
        <w:tc>
          <w:tcPr>
            <w:tcW w:w="1924" w:type="dxa"/>
            <w:vAlign w:val="center"/>
          </w:tcPr>
          <w:p w:rsidR="00ED7586" w:rsidRDefault="00746E1B">
            <w:pPr>
              <w:jc w:val="right"/>
            </w:pPr>
            <w:r>
              <w:rPr>
                <w:color w:val="000000"/>
                <w:sz w:val="24"/>
                <w:szCs w:val="24"/>
              </w:rPr>
              <w:t>14,183,272.00</w:t>
            </w:r>
          </w:p>
        </w:tc>
        <w:tc>
          <w:tcPr>
            <w:tcW w:w="1644" w:type="dxa"/>
            <w:vAlign w:val="center"/>
          </w:tcPr>
          <w:p w:rsidR="00ED7586" w:rsidRDefault="00746E1B">
            <w:pPr>
              <w:jc w:val="right"/>
            </w:pPr>
            <w:r>
              <w:rPr>
                <w:color w:val="000000"/>
                <w:sz w:val="24"/>
                <w:szCs w:val="24"/>
              </w:rPr>
              <w:t>3.00</w:t>
            </w:r>
          </w:p>
        </w:tc>
      </w:tr>
      <w:tr w:rsidR="00ED7586">
        <w:trPr>
          <w:jc w:val="center"/>
        </w:trPr>
        <w:tc>
          <w:tcPr>
            <w:tcW w:w="855" w:type="dxa"/>
            <w:vAlign w:val="center"/>
          </w:tcPr>
          <w:p w:rsidR="00ED7586" w:rsidRDefault="00746E1B">
            <w:pPr>
              <w:jc w:val="center"/>
            </w:pPr>
            <w:r>
              <w:rPr>
                <w:color w:val="000000"/>
                <w:sz w:val="24"/>
                <w:szCs w:val="24"/>
              </w:rPr>
              <w:t>10</w:t>
            </w:r>
          </w:p>
        </w:tc>
        <w:tc>
          <w:tcPr>
            <w:tcW w:w="1334" w:type="dxa"/>
            <w:vAlign w:val="center"/>
          </w:tcPr>
          <w:p w:rsidR="00ED7586" w:rsidRDefault="00746E1B">
            <w:pPr>
              <w:jc w:val="center"/>
            </w:pPr>
            <w:r>
              <w:rPr>
                <w:color w:val="000000"/>
                <w:sz w:val="24"/>
                <w:szCs w:val="24"/>
              </w:rPr>
              <w:t>002690</w:t>
            </w:r>
          </w:p>
        </w:tc>
        <w:tc>
          <w:tcPr>
            <w:tcW w:w="1777" w:type="dxa"/>
            <w:vAlign w:val="center"/>
          </w:tcPr>
          <w:p w:rsidR="00ED7586" w:rsidRDefault="00746E1B">
            <w:pPr>
              <w:jc w:val="center"/>
            </w:pPr>
            <w:r>
              <w:rPr>
                <w:color w:val="000000"/>
                <w:sz w:val="24"/>
                <w:szCs w:val="24"/>
              </w:rPr>
              <w:t>美亚光电</w:t>
            </w:r>
          </w:p>
        </w:tc>
        <w:tc>
          <w:tcPr>
            <w:tcW w:w="1334" w:type="dxa"/>
            <w:vAlign w:val="center"/>
          </w:tcPr>
          <w:p w:rsidR="00ED7586" w:rsidRDefault="00746E1B">
            <w:pPr>
              <w:jc w:val="right"/>
            </w:pPr>
            <w:r>
              <w:rPr>
                <w:color w:val="000000"/>
                <w:sz w:val="24"/>
                <w:szCs w:val="24"/>
              </w:rPr>
              <w:t>624,562</w:t>
            </w:r>
          </w:p>
        </w:tc>
        <w:tc>
          <w:tcPr>
            <w:tcW w:w="1924" w:type="dxa"/>
            <w:vAlign w:val="center"/>
          </w:tcPr>
          <w:p w:rsidR="00ED7586" w:rsidRDefault="00746E1B">
            <w:pPr>
              <w:jc w:val="right"/>
            </w:pPr>
            <w:r>
              <w:rPr>
                <w:color w:val="000000"/>
                <w:sz w:val="24"/>
                <w:szCs w:val="24"/>
              </w:rPr>
              <w:t>13,290,679.36</w:t>
            </w:r>
          </w:p>
        </w:tc>
        <w:tc>
          <w:tcPr>
            <w:tcW w:w="1644" w:type="dxa"/>
            <w:vAlign w:val="center"/>
          </w:tcPr>
          <w:p w:rsidR="00ED7586" w:rsidRDefault="00746E1B">
            <w:pPr>
              <w:jc w:val="right"/>
            </w:pPr>
            <w:r>
              <w:rPr>
                <w:color w:val="000000"/>
                <w:sz w:val="24"/>
                <w:szCs w:val="24"/>
              </w:rPr>
              <w:t>2.82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125,825.94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31,044,501.05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9,220.59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200,651.12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31,380,198.70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lastRenderedPageBreak/>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470,794,373.30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37,422,817.42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45,422,917.54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462,794,273.18</w:t>
            </w:r>
          </w:p>
        </w:tc>
      </w:tr>
    </w:tbl>
    <w:p w:rsidR="00ED7586" w:rsidRDefault="00746E1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ED7586">
        <w:tc>
          <w:tcPr>
            <w:tcW w:w="993" w:type="dxa"/>
            <w:vMerge w:val="restart"/>
          </w:tcPr>
          <w:p w:rsidR="00ED7586" w:rsidRDefault="00ED7586"/>
          <w:p w:rsidR="00ED7586" w:rsidRDefault="00746E1B">
            <w:r>
              <w:rPr>
                <w:rFonts w:ascii="宋体" w:hAnsi="宋体" w:hint="eastAsia"/>
                <w:bCs/>
                <w:color w:val="000000"/>
                <w:kern w:val="0"/>
              </w:rPr>
              <w:t>机构</w:t>
            </w:r>
          </w:p>
        </w:tc>
        <w:tc>
          <w:tcPr>
            <w:tcW w:w="992" w:type="dxa"/>
            <w:vAlign w:val="center"/>
          </w:tcPr>
          <w:p w:rsidR="00ED7586" w:rsidRDefault="00746E1B">
            <w:pPr>
              <w:jc w:val="center"/>
            </w:pPr>
            <w:r>
              <w:rPr>
                <w:rFonts w:ascii="宋体" w:hAnsi="宋体"/>
                <w:color w:val="000000"/>
                <w:kern w:val="0"/>
              </w:rPr>
              <w:t>1</w:t>
            </w:r>
          </w:p>
        </w:tc>
        <w:tc>
          <w:tcPr>
            <w:tcW w:w="1843" w:type="dxa"/>
            <w:vAlign w:val="center"/>
          </w:tcPr>
          <w:p w:rsidR="00ED7586" w:rsidRDefault="00746E1B">
            <w:pPr>
              <w:jc w:val="center"/>
            </w:pPr>
            <w:r>
              <w:rPr>
                <w:rFonts w:ascii="宋体" w:hAnsi="宋体"/>
                <w:color w:val="000000"/>
                <w:kern w:val="0"/>
              </w:rPr>
              <w:t>2018/10/1-2018/12/31</w:t>
            </w:r>
          </w:p>
        </w:tc>
        <w:tc>
          <w:tcPr>
            <w:tcW w:w="851" w:type="dxa"/>
            <w:vAlign w:val="center"/>
          </w:tcPr>
          <w:p w:rsidR="00ED7586" w:rsidRDefault="00746E1B">
            <w:pPr>
              <w:jc w:val="center"/>
            </w:pPr>
            <w:r>
              <w:rPr>
                <w:rFonts w:ascii="宋体" w:hAnsi="宋体"/>
                <w:color w:val="000000"/>
                <w:kern w:val="0"/>
              </w:rPr>
              <w:t>96,027,484.48</w:t>
            </w:r>
          </w:p>
        </w:tc>
        <w:tc>
          <w:tcPr>
            <w:tcW w:w="850" w:type="dxa"/>
            <w:vAlign w:val="center"/>
          </w:tcPr>
          <w:p w:rsidR="00ED7586" w:rsidRDefault="00746E1B">
            <w:pPr>
              <w:jc w:val="center"/>
            </w:pPr>
            <w:r>
              <w:rPr>
                <w:rFonts w:ascii="宋体" w:hAnsi="宋体"/>
                <w:color w:val="000000"/>
                <w:kern w:val="0"/>
              </w:rPr>
              <w:t>-</w:t>
            </w:r>
          </w:p>
        </w:tc>
        <w:tc>
          <w:tcPr>
            <w:tcW w:w="1134" w:type="dxa"/>
            <w:vAlign w:val="center"/>
          </w:tcPr>
          <w:p w:rsidR="00ED7586" w:rsidRDefault="00746E1B">
            <w:pPr>
              <w:jc w:val="center"/>
            </w:pPr>
            <w:r>
              <w:rPr>
                <w:rFonts w:ascii="宋体" w:hAnsi="宋体"/>
                <w:color w:val="000000"/>
                <w:kern w:val="0"/>
              </w:rPr>
              <w:t>-</w:t>
            </w:r>
          </w:p>
        </w:tc>
        <w:tc>
          <w:tcPr>
            <w:tcW w:w="1419" w:type="dxa"/>
            <w:vAlign w:val="center"/>
          </w:tcPr>
          <w:p w:rsidR="00ED7586" w:rsidRDefault="00746E1B">
            <w:pPr>
              <w:jc w:val="center"/>
            </w:pPr>
            <w:r>
              <w:rPr>
                <w:rFonts w:ascii="宋体" w:hAnsi="宋体"/>
                <w:color w:val="000000"/>
                <w:kern w:val="0"/>
              </w:rPr>
              <w:t>96,027,484.48</w:t>
            </w:r>
          </w:p>
        </w:tc>
        <w:tc>
          <w:tcPr>
            <w:tcW w:w="1130" w:type="dxa"/>
            <w:vAlign w:val="center"/>
          </w:tcPr>
          <w:p w:rsidR="00ED7586" w:rsidRDefault="00746E1B">
            <w:pPr>
              <w:jc w:val="center"/>
            </w:pPr>
            <w:r>
              <w:rPr>
                <w:rFonts w:ascii="宋体" w:hAnsi="宋体"/>
                <w:color w:val="000000"/>
                <w:kern w:val="0"/>
              </w:rPr>
              <w:t>20.75%</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ED7586" w:rsidRDefault="00746E1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、中国证监会准予交银施罗德医药创新股票型证券投资基金募集注册的文件；</w:t>
      </w:r>
      <w:r>
        <w:rPr>
          <w:color w:val="000000"/>
          <w:sz w:val="24"/>
          <w:szCs w:val="24"/>
        </w:rPr>
        <w:t xml:space="preserve"> </w:t>
      </w:r>
    </w:p>
    <w:p w:rsidR="00ED7586" w:rsidRDefault="00746E1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、《交银施罗德医药创新股票型证券投资基金基金合同》；</w:t>
      </w:r>
      <w:r>
        <w:rPr>
          <w:color w:val="000000"/>
          <w:sz w:val="24"/>
          <w:szCs w:val="24"/>
        </w:rPr>
        <w:t xml:space="preserve"> </w:t>
      </w:r>
    </w:p>
    <w:p w:rsidR="00ED7586" w:rsidRDefault="00746E1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、《交银施罗德医药创新股票型证券投资基金招募说明书》；</w:t>
      </w:r>
      <w:r>
        <w:rPr>
          <w:color w:val="000000"/>
          <w:sz w:val="24"/>
          <w:szCs w:val="24"/>
        </w:rPr>
        <w:t xml:space="preserve"> </w:t>
      </w:r>
    </w:p>
    <w:p w:rsidR="00ED7586" w:rsidRDefault="00746E1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、《交银施罗德医药创新股票型证券投资基金托管协议》；</w:t>
      </w:r>
      <w:r>
        <w:rPr>
          <w:color w:val="000000"/>
          <w:sz w:val="24"/>
          <w:szCs w:val="24"/>
        </w:rPr>
        <w:t xml:space="preserve"> </w:t>
      </w:r>
    </w:p>
    <w:p w:rsidR="00ED7586" w:rsidRDefault="00746E1B">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、关于申请募集注册交银施罗德医药创新股票型证券投资基金的法律意见书；</w:t>
      </w:r>
      <w:r>
        <w:rPr>
          <w:color w:val="000000"/>
          <w:sz w:val="24"/>
          <w:szCs w:val="24"/>
        </w:rPr>
        <w:t xml:space="preserve"> </w:t>
      </w:r>
    </w:p>
    <w:p w:rsidR="00ED7586" w:rsidRDefault="00746E1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ED7586" w:rsidRDefault="00746E1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、报告期内交银施罗德医药创新股票型证券投资基金在指定报刊上各项公告的原稿。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ED7586" w:rsidRDefault="00746E1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E1B" w:rsidRDefault="00746E1B" w:rsidP="00876D65">
      <w:r>
        <w:separator/>
      </w:r>
    </w:p>
  </w:endnote>
  <w:endnote w:type="continuationSeparator" w:id="0">
    <w:p w:rsidR="00746E1B" w:rsidRDefault="00746E1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2F717F">
      <w:rPr>
        <w:noProof/>
        <w:kern w:val="0"/>
        <w:szCs w:val="21"/>
      </w:rPr>
      <w:t>4</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2F717F">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E1B" w:rsidRDefault="00746E1B" w:rsidP="00876D65">
      <w:r>
        <w:separator/>
      </w:r>
    </w:p>
  </w:footnote>
  <w:footnote w:type="continuationSeparator" w:id="0">
    <w:p w:rsidR="00746E1B" w:rsidRDefault="00746E1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交银施罗德医药创新股票型证券投资基金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2F717F"/>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46E1B"/>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586"/>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A52218-917C-4D94-A5F8-5C5395EE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94B23-E93A-4271-8800-93341BDD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11</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洪仲</cp:lastModifiedBy>
  <cp:revision>579</cp:revision>
  <dcterms:created xsi:type="dcterms:W3CDTF">2012-10-16T06:07:00Z</dcterms:created>
  <dcterms:modified xsi:type="dcterms:W3CDTF">2020-01-20T10:24:00Z</dcterms:modified>
</cp:coreProperties>
</file>