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2279D3" w:rsidRPr="0081286B" w:rsidRDefault="002279D3" w:rsidP="00C15CAC">
      <w:pPr>
        <w:spacing w:before="29" w:line="288" w:lineRule="auto"/>
        <w:jc w:val="center"/>
        <w:rPr>
          <w:b/>
          <w:sz w:val="36"/>
          <w:szCs w:val="36"/>
        </w:rPr>
      </w:pPr>
      <w:r w:rsidRPr="0081286B">
        <w:rPr>
          <w:b/>
          <w:sz w:val="36"/>
          <w:szCs w:val="36"/>
        </w:rPr>
        <w:t>交银施罗德医药创新股票型证券投资基金</w:t>
      </w:r>
    </w:p>
    <w:p w:rsidR="002279D3" w:rsidRPr="0081286B" w:rsidRDefault="002279D3" w:rsidP="00C15CAC">
      <w:pPr>
        <w:spacing w:before="29" w:line="288" w:lineRule="auto"/>
        <w:jc w:val="center"/>
        <w:rPr>
          <w:b/>
          <w:sz w:val="36"/>
          <w:szCs w:val="36"/>
        </w:rPr>
      </w:pPr>
      <w:r w:rsidRPr="0081286B">
        <w:rPr>
          <w:b/>
          <w:sz w:val="36"/>
          <w:szCs w:val="36"/>
        </w:rPr>
        <w:t>2019</w:t>
      </w:r>
      <w:r w:rsidRPr="0081286B">
        <w:rPr>
          <w:b/>
          <w:sz w:val="36"/>
          <w:szCs w:val="36"/>
        </w:rPr>
        <w:t>年第</w:t>
      </w:r>
      <w:r w:rsidRPr="0081286B">
        <w:rPr>
          <w:b/>
          <w:sz w:val="36"/>
          <w:szCs w:val="36"/>
        </w:rPr>
        <w:t>3</w:t>
      </w:r>
      <w:r w:rsidRPr="0081286B">
        <w:rPr>
          <w:b/>
          <w:sz w:val="36"/>
          <w:szCs w:val="36"/>
        </w:rPr>
        <w:t>季度报告</w:t>
      </w:r>
    </w:p>
    <w:p w:rsidR="004061AC" w:rsidRPr="0081286B" w:rsidRDefault="00655CD8" w:rsidP="00C15CAC">
      <w:pPr>
        <w:spacing w:before="29" w:line="288" w:lineRule="auto"/>
        <w:jc w:val="center"/>
        <w:rPr>
          <w:b/>
          <w:sz w:val="36"/>
          <w:szCs w:val="36"/>
        </w:rPr>
      </w:pPr>
      <w:r w:rsidRPr="0081286B">
        <w:rPr>
          <w:b/>
          <w:sz w:val="36"/>
          <w:szCs w:val="36"/>
        </w:rPr>
        <w:t>2019</w:t>
      </w:r>
      <w:r w:rsidRPr="0081286B">
        <w:rPr>
          <w:b/>
          <w:sz w:val="36"/>
          <w:szCs w:val="36"/>
        </w:rPr>
        <w:t>年</w:t>
      </w:r>
      <w:r w:rsidRPr="0081286B">
        <w:rPr>
          <w:b/>
          <w:sz w:val="36"/>
          <w:szCs w:val="36"/>
        </w:rPr>
        <w:t>9</w:t>
      </w:r>
      <w:r w:rsidRPr="0081286B">
        <w:rPr>
          <w:b/>
          <w:sz w:val="36"/>
          <w:szCs w:val="36"/>
        </w:rPr>
        <w:t>月</w:t>
      </w:r>
      <w:r w:rsidRPr="0081286B">
        <w:rPr>
          <w:b/>
          <w:sz w:val="36"/>
          <w:szCs w:val="36"/>
        </w:rPr>
        <w:t>30</w:t>
      </w:r>
      <w:r w:rsidRPr="0081286B">
        <w:rPr>
          <w:b/>
          <w:sz w:val="36"/>
          <w:szCs w:val="36"/>
        </w:rPr>
        <w:t>日</w:t>
      </w: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基金管理人：交银施罗德基金管理有限公司</w:t>
      </w: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基金托管人：中国工商银行股份有限公司</w:t>
      </w:r>
    </w:p>
    <w:p w:rsidR="004061AC" w:rsidRPr="0081286B" w:rsidRDefault="004061AC" w:rsidP="00C15CAC">
      <w:pPr>
        <w:spacing w:before="29" w:line="288" w:lineRule="auto"/>
        <w:ind w:firstLineChars="900" w:firstLine="2168"/>
        <w:rPr>
          <w:b/>
          <w:color w:val="000000"/>
          <w:sz w:val="24"/>
          <w:szCs w:val="24"/>
        </w:rPr>
        <w:sectPr w:rsidR="004061AC" w:rsidRPr="0081286B" w:rsidSect="00DC456F">
          <w:headerReference w:type="even" r:id="rId8"/>
          <w:headerReference w:type="default" r:id="rId9"/>
          <w:footerReference w:type="even" r:id="rId10"/>
          <w:footerReference w:type="default" r:id="rId11"/>
          <w:headerReference w:type="first" r:id="rId12"/>
          <w:footerReference w:type="first" r:id="rId13"/>
          <w:pgSz w:w="11926" w:h="15840"/>
          <w:pgMar w:top="1418" w:right="1440" w:bottom="851" w:left="1440" w:header="851" w:footer="992" w:gutter="0"/>
          <w:cols w:space="720"/>
          <w:noEndnote/>
          <w:titlePg/>
          <w:docGrid w:linePitch="286"/>
        </w:sectPr>
      </w:pPr>
      <w:r w:rsidRPr="0081286B">
        <w:rPr>
          <w:b/>
          <w:color w:val="000000"/>
          <w:sz w:val="24"/>
          <w:szCs w:val="24"/>
        </w:rPr>
        <w:t>报告送出日期：</w:t>
      </w:r>
      <w:r w:rsidR="00F16E3F" w:rsidRPr="0081286B">
        <w:rPr>
          <w:b/>
          <w:color w:val="000000"/>
          <w:sz w:val="24"/>
          <w:szCs w:val="24"/>
        </w:rPr>
        <w:t>二〇一九年十月二十二日</w:t>
      </w:r>
    </w:p>
    <w:p w:rsidR="004061AC" w:rsidRPr="00414345" w:rsidRDefault="004061AC" w:rsidP="0011537B">
      <w:pPr>
        <w:pStyle w:val="1"/>
        <w:spacing w:beforeLines="100" w:before="312" w:afterLines="100" w:after="312" w:line="288" w:lineRule="auto"/>
        <w:jc w:val="center"/>
        <w:rPr>
          <w:b w:val="0"/>
          <w:bCs w:val="0"/>
          <w:color w:val="000000"/>
          <w:kern w:val="0"/>
          <w:sz w:val="24"/>
          <w:szCs w:val="24"/>
        </w:rPr>
      </w:pPr>
      <w:r w:rsidRPr="00414345">
        <w:rPr>
          <w:color w:val="000000"/>
          <w:kern w:val="0"/>
          <w:sz w:val="24"/>
          <w:szCs w:val="24"/>
        </w:rPr>
        <w:lastRenderedPageBreak/>
        <w:t xml:space="preserve">§1  </w:t>
      </w:r>
      <w:r w:rsidRPr="00414345">
        <w:rPr>
          <w:color w:val="000000"/>
          <w:kern w:val="0"/>
          <w:sz w:val="24"/>
          <w:szCs w:val="24"/>
        </w:rPr>
        <w:t>重要提示</w:t>
      </w:r>
    </w:p>
    <w:p w:rsidR="004E75E2" w:rsidRDefault="00FE03C7">
      <w:pPr>
        <w:spacing w:before="29" w:line="288" w:lineRule="auto"/>
        <w:ind w:firstLineChars="200" w:firstLine="480"/>
        <w:rPr>
          <w:color w:val="000000"/>
          <w:sz w:val="24"/>
          <w:szCs w:val="24"/>
        </w:rPr>
      </w:pPr>
      <w:r>
        <w:rPr>
          <w:color w:val="000000"/>
          <w:sz w:val="24"/>
          <w:szCs w:val="24"/>
        </w:rPr>
        <w:t>基金管理人的董事会及董事保证本报告所载资料不存在虚假记载、误导性陈述或重大遗漏，并对其内容的真实性、准确性和完整性承担个别及连带责任。</w:t>
      </w:r>
      <w:r>
        <w:rPr>
          <w:color w:val="000000"/>
          <w:sz w:val="24"/>
          <w:szCs w:val="24"/>
        </w:rPr>
        <w:t xml:space="preserve"> </w:t>
      </w:r>
    </w:p>
    <w:p w:rsidR="004E75E2" w:rsidRDefault="00FE03C7">
      <w:pPr>
        <w:spacing w:before="29" w:line="288" w:lineRule="auto"/>
        <w:ind w:firstLineChars="200" w:firstLine="480"/>
        <w:rPr>
          <w:color w:val="000000"/>
          <w:sz w:val="24"/>
          <w:szCs w:val="24"/>
        </w:rPr>
      </w:pPr>
      <w:r>
        <w:rPr>
          <w:color w:val="000000"/>
          <w:sz w:val="24"/>
          <w:szCs w:val="24"/>
        </w:rPr>
        <w:t>基金托管人中国工商银行股份有限公司根据本基金合同规定，于</w:t>
      </w:r>
      <w:r>
        <w:rPr>
          <w:color w:val="000000"/>
          <w:sz w:val="24"/>
          <w:szCs w:val="24"/>
        </w:rPr>
        <w:t>2019</w:t>
      </w:r>
      <w:r>
        <w:rPr>
          <w:color w:val="000000"/>
          <w:sz w:val="24"/>
          <w:szCs w:val="24"/>
        </w:rPr>
        <w:t>年</w:t>
      </w:r>
      <w:r>
        <w:rPr>
          <w:color w:val="000000"/>
          <w:sz w:val="24"/>
          <w:szCs w:val="24"/>
        </w:rPr>
        <w:t>10</w:t>
      </w:r>
      <w:r>
        <w:rPr>
          <w:color w:val="000000"/>
          <w:sz w:val="24"/>
          <w:szCs w:val="24"/>
        </w:rPr>
        <w:t>月</w:t>
      </w:r>
      <w:r>
        <w:rPr>
          <w:color w:val="000000"/>
          <w:sz w:val="24"/>
          <w:szCs w:val="24"/>
        </w:rPr>
        <w:t>21</w:t>
      </w:r>
      <w:r>
        <w:rPr>
          <w:color w:val="000000"/>
          <w:sz w:val="24"/>
          <w:szCs w:val="24"/>
        </w:rPr>
        <w:t>日复核了本报告中的财务指标、净值表现和投资组合报告等内容，保证复核内容不存在虚假记载、误导性陈述或者重大遗漏。</w:t>
      </w:r>
      <w:r>
        <w:rPr>
          <w:color w:val="000000"/>
          <w:sz w:val="24"/>
          <w:szCs w:val="24"/>
        </w:rPr>
        <w:t xml:space="preserve"> </w:t>
      </w:r>
    </w:p>
    <w:p w:rsidR="004E75E2" w:rsidRDefault="00FE03C7">
      <w:pPr>
        <w:spacing w:before="29" w:line="288" w:lineRule="auto"/>
        <w:ind w:firstLineChars="200" w:firstLine="480"/>
        <w:rPr>
          <w:color w:val="000000"/>
          <w:sz w:val="24"/>
          <w:szCs w:val="24"/>
        </w:rPr>
      </w:pPr>
      <w:r>
        <w:rPr>
          <w:color w:val="000000"/>
          <w:sz w:val="24"/>
          <w:szCs w:val="24"/>
        </w:rPr>
        <w:t>基金管理人承诺以诚实信用、勤勉尽责的原则管理和运用基金资产，但不保证基金一定盈利。</w:t>
      </w:r>
      <w:r>
        <w:rPr>
          <w:color w:val="000000"/>
          <w:sz w:val="24"/>
          <w:szCs w:val="24"/>
        </w:rPr>
        <w:t xml:space="preserve"> </w:t>
      </w:r>
    </w:p>
    <w:p w:rsidR="004E75E2" w:rsidRDefault="00FE03C7">
      <w:pPr>
        <w:spacing w:before="29" w:line="288" w:lineRule="auto"/>
        <w:ind w:firstLineChars="200" w:firstLine="480"/>
        <w:rPr>
          <w:color w:val="000000"/>
          <w:sz w:val="24"/>
          <w:szCs w:val="24"/>
        </w:rPr>
      </w:pPr>
      <w:r>
        <w:rPr>
          <w:color w:val="000000"/>
          <w:sz w:val="24"/>
          <w:szCs w:val="24"/>
        </w:rPr>
        <w:t>基金的过往业绩并不代表其未来表现。投资有</w:t>
      </w:r>
      <w:r>
        <w:rPr>
          <w:color w:val="000000"/>
          <w:sz w:val="24"/>
          <w:szCs w:val="24"/>
        </w:rPr>
        <w:t>风险，投资者在作出投资决策前应仔细阅读本基金的招募说明书。</w:t>
      </w:r>
      <w:r>
        <w:rPr>
          <w:color w:val="000000"/>
          <w:sz w:val="24"/>
          <w:szCs w:val="24"/>
        </w:rPr>
        <w:t xml:space="preserve"> </w:t>
      </w:r>
    </w:p>
    <w:p w:rsidR="004E75E2" w:rsidRDefault="00FE03C7">
      <w:pPr>
        <w:spacing w:before="29" w:line="288" w:lineRule="auto"/>
        <w:ind w:firstLineChars="200" w:firstLine="480"/>
        <w:rPr>
          <w:color w:val="000000"/>
          <w:sz w:val="24"/>
          <w:szCs w:val="24"/>
        </w:rPr>
      </w:pPr>
      <w:r>
        <w:rPr>
          <w:color w:val="000000"/>
          <w:sz w:val="24"/>
          <w:szCs w:val="24"/>
        </w:rPr>
        <w:t>本报告中财务资料未经审计。</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本报告期自</w:t>
      </w:r>
      <w:r w:rsidRPr="00414345">
        <w:rPr>
          <w:color w:val="000000"/>
          <w:sz w:val="24"/>
          <w:szCs w:val="24"/>
        </w:rPr>
        <w:t>2019</w:t>
      </w:r>
      <w:r w:rsidRPr="00414345">
        <w:rPr>
          <w:color w:val="000000"/>
          <w:sz w:val="24"/>
          <w:szCs w:val="24"/>
        </w:rPr>
        <w:t>年</w:t>
      </w:r>
      <w:r w:rsidRPr="00414345">
        <w:rPr>
          <w:color w:val="000000"/>
          <w:sz w:val="24"/>
          <w:szCs w:val="24"/>
        </w:rPr>
        <w:t>7</w:t>
      </w:r>
      <w:r w:rsidRPr="00414345">
        <w:rPr>
          <w:color w:val="000000"/>
          <w:sz w:val="24"/>
          <w:szCs w:val="24"/>
        </w:rPr>
        <w:t>月</w:t>
      </w:r>
      <w:r w:rsidRPr="00414345">
        <w:rPr>
          <w:color w:val="000000"/>
          <w:sz w:val="24"/>
          <w:szCs w:val="24"/>
        </w:rPr>
        <w:t>1</w:t>
      </w:r>
      <w:r w:rsidRPr="00414345">
        <w:rPr>
          <w:color w:val="000000"/>
          <w:sz w:val="24"/>
          <w:szCs w:val="24"/>
        </w:rPr>
        <w:t>日起至</w:t>
      </w:r>
      <w:r w:rsidRPr="00414345">
        <w:rPr>
          <w:color w:val="000000"/>
          <w:sz w:val="24"/>
          <w:szCs w:val="24"/>
        </w:rPr>
        <w:t>9</w:t>
      </w:r>
      <w:r w:rsidRPr="00414345">
        <w:rPr>
          <w:color w:val="000000"/>
          <w:sz w:val="24"/>
          <w:szCs w:val="24"/>
        </w:rPr>
        <w:t>月</w:t>
      </w:r>
      <w:r w:rsidRPr="00414345">
        <w:rPr>
          <w:color w:val="000000"/>
          <w:sz w:val="24"/>
          <w:szCs w:val="24"/>
        </w:rPr>
        <w:t>30</w:t>
      </w:r>
      <w:r w:rsidRPr="00414345">
        <w:rPr>
          <w:color w:val="000000"/>
          <w:sz w:val="24"/>
          <w:szCs w:val="24"/>
        </w:rPr>
        <w:t>日止。</w:t>
      </w:r>
    </w:p>
    <w:p w:rsidR="00627E2D" w:rsidRPr="00414345" w:rsidRDefault="00627E2D" w:rsidP="00C15CAC">
      <w:pPr>
        <w:spacing w:before="29" w:line="288" w:lineRule="auto"/>
        <w:ind w:firstLineChars="200" w:firstLine="480"/>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§2  </w:t>
      </w:r>
      <w:r w:rsidRPr="00414345">
        <w:rPr>
          <w:color w:val="000000"/>
          <w:kern w:val="0"/>
          <w:sz w:val="24"/>
          <w:szCs w:val="24"/>
        </w:rPr>
        <w:t>基金产品概况</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5845"/>
      </w:tblGrid>
      <w:tr w:rsidR="004061AC" w:rsidRPr="00414345" w:rsidTr="006E6726">
        <w:trPr>
          <w:jc w:val="center"/>
        </w:trPr>
        <w:tc>
          <w:tcPr>
            <w:tcW w:w="3023" w:type="dxa"/>
            <w:vAlign w:val="center"/>
          </w:tcPr>
          <w:p w:rsidR="004061AC" w:rsidRPr="00414345" w:rsidRDefault="004061AC" w:rsidP="00C15CAC">
            <w:pPr>
              <w:adjustRightInd w:val="0"/>
              <w:spacing w:before="29" w:line="288" w:lineRule="auto"/>
              <w:ind w:left="17"/>
              <w:jc w:val="left"/>
              <w:rPr>
                <w:kern w:val="0"/>
                <w:sz w:val="24"/>
                <w:szCs w:val="24"/>
              </w:rPr>
            </w:pPr>
            <w:r w:rsidRPr="00414345">
              <w:rPr>
                <w:kern w:val="0"/>
                <w:sz w:val="24"/>
                <w:szCs w:val="24"/>
              </w:rPr>
              <w:t>基金简称</w:t>
            </w:r>
          </w:p>
        </w:tc>
        <w:tc>
          <w:tcPr>
            <w:tcW w:w="5845" w:type="dxa"/>
            <w:vAlign w:val="center"/>
          </w:tcPr>
          <w:p w:rsidR="004061AC" w:rsidRPr="00414345" w:rsidRDefault="004061AC" w:rsidP="00C15CAC">
            <w:pPr>
              <w:adjustRightInd w:val="0"/>
              <w:spacing w:before="29" w:line="288" w:lineRule="auto"/>
              <w:ind w:left="17"/>
              <w:jc w:val="left"/>
              <w:rPr>
                <w:color w:val="000000"/>
                <w:kern w:val="0"/>
                <w:sz w:val="24"/>
                <w:szCs w:val="24"/>
              </w:rPr>
            </w:pPr>
            <w:r w:rsidRPr="00414345">
              <w:rPr>
                <w:color w:val="000000"/>
                <w:kern w:val="0"/>
                <w:sz w:val="24"/>
                <w:szCs w:val="24"/>
              </w:rPr>
              <w:t>交银医药创新股票</w:t>
            </w:r>
          </w:p>
        </w:tc>
      </w:tr>
      <w:tr w:rsidR="00D94B8D"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kern w:val="0"/>
                <w:sz w:val="24"/>
                <w:szCs w:val="24"/>
              </w:rPr>
            </w:pPr>
            <w:r w:rsidRPr="00414345">
              <w:rPr>
                <w:kern w:val="0"/>
                <w:sz w:val="24"/>
                <w:szCs w:val="24"/>
              </w:rPr>
              <w:t>基金主代码</w:t>
            </w:r>
          </w:p>
        </w:tc>
        <w:tc>
          <w:tcPr>
            <w:tcW w:w="5845"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color w:val="000000"/>
                <w:kern w:val="0"/>
                <w:sz w:val="24"/>
                <w:szCs w:val="24"/>
              </w:rPr>
            </w:pPr>
            <w:r w:rsidRPr="00414345">
              <w:rPr>
                <w:color w:val="000000"/>
                <w:kern w:val="0"/>
                <w:sz w:val="24"/>
                <w:szCs w:val="24"/>
              </w:rPr>
              <w:t>004075</w:t>
            </w:r>
          </w:p>
        </w:tc>
      </w:tr>
      <w:tr w:rsidR="001B2F35"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tcPr>
          <w:p w:rsidR="001B2F35" w:rsidRPr="00414345" w:rsidRDefault="001B2F35" w:rsidP="00C15CAC">
            <w:pPr>
              <w:adjustRightInd w:val="0"/>
              <w:spacing w:before="29" w:line="288" w:lineRule="auto"/>
              <w:ind w:left="17"/>
              <w:jc w:val="left"/>
              <w:rPr>
                <w:kern w:val="0"/>
                <w:sz w:val="24"/>
                <w:szCs w:val="24"/>
              </w:rPr>
            </w:pPr>
            <w:r w:rsidRPr="00414345">
              <w:rPr>
                <w:kern w:val="0"/>
                <w:sz w:val="24"/>
                <w:szCs w:val="24"/>
              </w:rPr>
              <w:t>交易代码</w:t>
            </w:r>
          </w:p>
        </w:tc>
        <w:tc>
          <w:tcPr>
            <w:tcW w:w="5845" w:type="dxa"/>
            <w:tcBorders>
              <w:top w:val="single" w:sz="4" w:space="0" w:color="auto"/>
              <w:left w:val="single" w:sz="4" w:space="0" w:color="auto"/>
              <w:bottom w:val="single" w:sz="4" w:space="0" w:color="auto"/>
              <w:right w:val="single" w:sz="4" w:space="0" w:color="auto"/>
            </w:tcBorders>
            <w:vAlign w:val="center"/>
          </w:tcPr>
          <w:p w:rsidR="001B2F35" w:rsidRPr="00414345" w:rsidRDefault="00C5218C" w:rsidP="00C15CAC">
            <w:pPr>
              <w:adjustRightInd w:val="0"/>
              <w:spacing w:before="29" w:line="288" w:lineRule="auto"/>
              <w:ind w:left="17"/>
              <w:jc w:val="left"/>
              <w:rPr>
                <w:color w:val="000000"/>
                <w:kern w:val="0"/>
                <w:sz w:val="24"/>
                <w:szCs w:val="24"/>
              </w:rPr>
            </w:pPr>
            <w:r w:rsidRPr="00414345">
              <w:rPr>
                <w:kern w:val="0"/>
                <w:sz w:val="24"/>
              </w:rPr>
              <w:t>004075</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基金运作方式</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契约型开放式</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基金合同生效日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2017</w:t>
            </w:r>
            <w:r w:rsidRPr="00414345">
              <w:rPr>
                <w:color w:val="000000"/>
                <w:kern w:val="0"/>
                <w:sz w:val="24"/>
                <w:szCs w:val="24"/>
              </w:rPr>
              <w:t>年</w:t>
            </w:r>
            <w:r w:rsidRPr="00414345">
              <w:rPr>
                <w:color w:val="000000"/>
                <w:kern w:val="0"/>
                <w:sz w:val="24"/>
                <w:szCs w:val="24"/>
              </w:rPr>
              <w:t>3</w:t>
            </w:r>
            <w:r w:rsidRPr="00414345">
              <w:rPr>
                <w:color w:val="000000"/>
                <w:kern w:val="0"/>
                <w:sz w:val="24"/>
                <w:szCs w:val="24"/>
              </w:rPr>
              <w:t>月</w:t>
            </w:r>
            <w:r w:rsidRPr="00414345">
              <w:rPr>
                <w:color w:val="000000"/>
                <w:kern w:val="0"/>
                <w:sz w:val="24"/>
                <w:szCs w:val="24"/>
              </w:rPr>
              <w:t>23</w:t>
            </w:r>
            <w:r w:rsidRPr="00414345">
              <w:rPr>
                <w:color w:val="000000"/>
                <w:kern w:val="0"/>
                <w:sz w:val="24"/>
                <w:szCs w:val="24"/>
              </w:rPr>
              <w:t>日</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报告期末基金份额总额</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265,001,523.10</w:t>
            </w:r>
            <w:r w:rsidRPr="00414345">
              <w:rPr>
                <w:color w:val="000000"/>
                <w:kern w:val="0"/>
                <w:sz w:val="24"/>
                <w:szCs w:val="24"/>
              </w:rPr>
              <w:t>份</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投资目标</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本基金将深度挖掘医药创新过程中产业的各类投资机会，精选医药创新主题的优质上市公司，在控制风险并保持基金资产良好的流动性的前提下，谋求基金资产的长期、稳定增值。</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投资策略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充分发挥基金管理人研究优势，将严谨、规范化的选股方法与积极主动的投资风格相结合，在经济转型大背景下，深入研究医药创新行业的发展趋势，积极挖掘不同子行业和子行业景气度新变化下的个股投资机会，通过团队对个股深入的基本面研究和细致的实地调研，精选个股，以谋求超额收益。</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业绩比较基准</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85%×</w:t>
            </w:r>
            <w:r w:rsidRPr="00414345">
              <w:rPr>
                <w:color w:val="000000"/>
                <w:kern w:val="0"/>
                <w:sz w:val="24"/>
                <w:szCs w:val="24"/>
              </w:rPr>
              <w:t>中证医药卫生指数收益率</w:t>
            </w:r>
            <w:r w:rsidRPr="00414345">
              <w:rPr>
                <w:color w:val="000000"/>
                <w:kern w:val="0"/>
                <w:sz w:val="24"/>
                <w:szCs w:val="24"/>
              </w:rPr>
              <w:t>+15%×</w:t>
            </w:r>
            <w:r w:rsidRPr="00414345">
              <w:rPr>
                <w:color w:val="000000"/>
                <w:kern w:val="0"/>
                <w:sz w:val="24"/>
                <w:szCs w:val="24"/>
              </w:rPr>
              <w:t>中证综合债券指数收益率</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lastRenderedPageBreak/>
              <w:t>风险收益特征</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本基金是一只股票型基金，其预期风险与预期收益高于混合型基金、债券型基金和货币市场基金，属于承担较高预期风险、预期收益较高的证券投资基金品种。</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基金管理人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交银施罗德基金管理有限公司</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基金托管人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中国工商银行股份有限公司</w:t>
            </w:r>
          </w:p>
        </w:tc>
      </w:tr>
    </w:tbl>
    <w:p w:rsidR="005910BF" w:rsidRPr="00414345" w:rsidRDefault="005910BF" w:rsidP="00C15CAC">
      <w:pPr>
        <w:autoSpaceDE w:val="0"/>
        <w:autoSpaceDN w:val="0"/>
        <w:adjustRightInd w:val="0"/>
        <w:spacing w:before="29" w:line="288" w:lineRule="auto"/>
        <w:jc w:val="left"/>
        <w:rPr>
          <w:color w:val="000000"/>
          <w:kern w:val="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§3  </w:t>
      </w:r>
      <w:r w:rsidRPr="00414345">
        <w:rPr>
          <w:color w:val="000000"/>
          <w:kern w:val="0"/>
          <w:sz w:val="24"/>
          <w:szCs w:val="24"/>
        </w:rPr>
        <w:t>主要财务指标和基金净值表现</w:t>
      </w: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3.1 </w:t>
      </w:r>
      <w:r w:rsidRPr="00414345">
        <w:rPr>
          <w:b/>
          <w:bCs/>
          <w:color w:val="000000"/>
          <w:kern w:val="0"/>
          <w:sz w:val="24"/>
          <w:szCs w:val="24"/>
        </w:rPr>
        <w:t>主要财务指标</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单位：人民币元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7"/>
        <w:gridCol w:w="5261"/>
      </w:tblGrid>
      <w:tr w:rsidR="00202017" w:rsidRPr="00414345" w:rsidTr="00202017">
        <w:trPr>
          <w:jc w:val="center"/>
        </w:trPr>
        <w:tc>
          <w:tcPr>
            <w:tcW w:w="3402" w:type="dxa"/>
            <w:vAlign w:val="center"/>
          </w:tcPr>
          <w:p w:rsidR="00C21520" w:rsidRPr="00414345" w:rsidRDefault="00C21520" w:rsidP="00C15CAC">
            <w:pPr>
              <w:adjustRightInd w:val="0"/>
              <w:spacing w:before="29" w:line="288" w:lineRule="auto"/>
              <w:ind w:left="17"/>
              <w:jc w:val="center"/>
              <w:rPr>
                <w:kern w:val="0"/>
                <w:sz w:val="24"/>
                <w:szCs w:val="24"/>
              </w:rPr>
            </w:pPr>
            <w:r w:rsidRPr="00414345">
              <w:rPr>
                <w:kern w:val="0"/>
                <w:sz w:val="24"/>
                <w:szCs w:val="24"/>
              </w:rPr>
              <w:t>主要财务指标</w:t>
            </w:r>
          </w:p>
        </w:tc>
        <w:tc>
          <w:tcPr>
            <w:tcW w:w="4962" w:type="dxa"/>
            <w:vAlign w:val="center"/>
          </w:tcPr>
          <w:p w:rsidR="009C60F7"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报告期</w:t>
            </w:r>
          </w:p>
          <w:p w:rsidR="00C21520"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(2019</w:t>
            </w:r>
            <w:r w:rsidRPr="00414345">
              <w:rPr>
                <w:color w:val="000000"/>
                <w:sz w:val="24"/>
                <w:szCs w:val="24"/>
              </w:rPr>
              <w:t>年</w:t>
            </w:r>
            <w:r w:rsidRPr="00414345">
              <w:rPr>
                <w:color w:val="000000"/>
                <w:sz w:val="24"/>
                <w:szCs w:val="24"/>
              </w:rPr>
              <w:t>7</w:t>
            </w:r>
            <w:r w:rsidRPr="00414345">
              <w:rPr>
                <w:color w:val="000000"/>
                <w:sz w:val="24"/>
                <w:szCs w:val="24"/>
              </w:rPr>
              <w:t>月</w:t>
            </w:r>
            <w:r w:rsidRPr="00414345">
              <w:rPr>
                <w:color w:val="000000"/>
                <w:sz w:val="24"/>
                <w:szCs w:val="24"/>
              </w:rPr>
              <w:t>1</w:t>
            </w:r>
            <w:r w:rsidRPr="00414345">
              <w:rPr>
                <w:color w:val="000000"/>
                <w:sz w:val="24"/>
                <w:szCs w:val="24"/>
              </w:rPr>
              <w:t>日</w:t>
            </w:r>
            <w:r w:rsidRPr="00414345">
              <w:rPr>
                <w:color w:val="000000"/>
                <w:sz w:val="24"/>
                <w:szCs w:val="24"/>
              </w:rPr>
              <w:t>-2019</w:t>
            </w:r>
            <w:r w:rsidRPr="00414345">
              <w:rPr>
                <w:color w:val="000000"/>
                <w:sz w:val="24"/>
                <w:szCs w:val="24"/>
              </w:rPr>
              <w:t>年</w:t>
            </w:r>
            <w:r w:rsidRPr="00414345">
              <w:rPr>
                <w:color w:val="000000"/>
                <w:sz w:val="24"/>
                <w:szCs w:val="24"/>
              </w:rPr>
              <w:t>9</w:t>
            </w:r>
            <w:r w:rsidRPr="00414345">
              <w:rPr>
                <w:color w:val="000000"/>
                <w:sz w:val="24"/>
                <w:szCs w:val="24"/>
              </w:rPr>
              <w:t>月</w:t>
            </w:r>
            <w:r w:rsidRPr="00414345">
              <w:rPr>
                <w:color w:val="000000"/>
                <w:sz w:val="24"/>
                <w:szCs w:val="24"/>
              </w:rPr>
              <w:t>30</w:t>
            </w:r>
            <w:r w:rsidRPr="00414345">
              <w:rPr>
                <w:color w:val="000000"/>
                <w:sz w:val="24"/>
                <w:szCs w:val="24"/>
              </w:rPr>
              <w:t>日</w:t>
            </w:r>
            <w:r w:rsidRPr="00414345">
              <w:rPr>
                <w:color w:val="000000"/>
                <w:sz w:val="24"/>
                <w:szCs w:val="24"/>
              </w:rPr>
              <w:t>)</w:t>
            </w:r>
          </w:p>
        </w:tc>
      </w:tr>
      <w:tr w:rsidR="00202017" w:rsidRPr="00414345" w:rsidTr="0020201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1.</w:t>
            </w:r>
            <w:r w:rsidRPr="00414345">
              <w:rPr>
                <w:kern w:val="0"/>
                <w:sz w:val="24"/>
                <w:szCs w:val="24"/>
              </w:rPr>
              <w:t>本期已实现收益</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49,866,198.30</w:t>
            </w:r>
          </w:p>
        </w:tc>
      </w:tr>
      <w:tr w:rsidR="00202017" w:rsidRPr="00414345" w:rsidTr="0020201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2.</w:t>
            </w:r>
            <w:r w:rsidRPr="00414345">
              <w:rPr>
                <w:kern w:val="0"/>
                <w:sz w:val="24"/>
                <w:szCs w:val="24"/>
              </w:rPr>
              <w:t>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59,516,251.76</w:t>
            </w:r>
          </w:p>
        </w:tc>
      </w:tr>
      <w:tr w:rsidR="00202017" w:rsidRPr="00414345" w:rsidTr="0020201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3.</w:t>
            </w:r>
            <w:r w:rsidRPr="00414345">
              <w:rPr>
                <w:kern w:val="0"/>
                <w:sz w:val="24"/>
                <w:szCs w:val="24"/>
              </w:rPr>
              <w:t>加权平均基金份额本期利润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0.2378</w:t>
            </w:r>
          </w:p>
        </w:tc>
      </w:tr>
      <w:tr w:rsidR="00202017" w:rsidRPr="00414345" w:rsidTr="0020201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4.</w:t>
            </w:r>
            <w:r w:rsidRPr="00414345">
              <w:rPr>
                <w:kern w:val="0"/>
                <w:sz w:val="24"/>
                <w:szCs w:val="24"/>
              </w:rPr>
              <w:t>期末基金资产净值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433,867,659.45</w:t>
            </w:r>
          </w:p>
        </w:tc>
      </w:tr>
      <w:tr w:rsidR="00202017" w:rsidRPr="00414345" w:rsidTr="00202017">
        <w:trPr>
          <w:trHeight w:val="158"/>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5.</w:t>
            </w:r>
            <w:r w:rsidRPr="00414345">
              <w:rPr>
                <w:kern w:val="0"/>
                <w:sz w:val="24"/>
                <w:szCs w:val="24"/>
              </w:rPr>
              <w:t>期末基金份额净值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1.6372</w:t>
            </w:r>
          </w:p>
        </w:tc>
      </w:tr>
    </w:tbl>
    <w:p w:rsidR="004E75E2" w:rsidRDefault="00FE03C7">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、上述基金业绩指标不包括持有人认购或交易基金的各项费用，计入费用后的实际收益水平要低于所列数字；</w:t>
      </w:r>
      <w:r>
        <w:rPr>
          <w:color w:val="000000"/>
          <w:sz w:val="24"/>
          <w:szCs w:val="24"/>
        </w:rPr>
        <w:t xml:space="preserve"> </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2</w:t>
      </w:r>
      <w:r w:rsidRPr="00414345">
        <w:rPr>
          <w:color w:val="000000"/>
          <w:sz w:val="24"/>
          <w:szCs w:val="24"/>
        </w:rPr>
        <w:t>、本期已实现收益指基金本期利息收入、投资收益、其他收入（不含公允价值变动收益）扣除相关费用后的余额，本期利润为本期已实现收益加上本期公允价值变动收益。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 </w:t>
      </w:r>
      <w:r w:rsidRPr="00414345">
        <w:rPr>
          <w:b/>
          <w:bCs/>
          <w:color w:val="000000"/>
          <w:kern w:val="0"/>
          <w:sz w:val="24"/>
          <w:szCs w:val="24"/>
        </w:rPr>
        <w:t>基金净值表现</w:t>
      </w:r>
    </w:p>
    <w:p w:rsidR="00CF6572"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3.2.1 </w:t>
      </w:r>
      <w:r w:rsidRPr="00414345">
        <w:rPr>
          <w:b/>
          <w:bCs/>
          <w:color w:val="000000"/>
          <w:kern w:val="0"/>
          <w:sz w:val="24"/>
          <w:szCs w:val="24"/>
        </w:rPr>
        <w:t>本报告期基金份额净值增长率及其与同期业绩比较基准收益率的比较</w:t>
      </w:r>
    </w:p>
    <w:tbl>
      <w:tblPr>
        <w:tblStyle w:val="af7"/>
        <w:tblW w:w="8868" w:type="dxa"/>
        <w:jc w:val="center"/>
        <w:tblLayout w:type="fixed"/>
        <w:tblCellMar>
          <w:top w:w="57" w:type="dxa"/>
          <w:bottom w:w="57" w:type="dxa"/>
        </w:tblCellMar>
        <w:tblLook w:val="04A0" w:firstRow="1" w:lastRow="0" w:firstColumn="1" w:lastColumn="0" w:noHBand="0" w:noVBand="1"/>
      </w:tblPr>
      <w:tblGrid>
        <w:gridCol w:w="1701"/>
        <w:gridCol w:w="1045"/>
        <w:gridCol w:w="1344"/>
        <w:gridCol w:w="1194"/>
        <w:gridCol w:w="1492"/>
        <w:gridCol w:w="1194"/>
        <w:gridCol w:w="898"/>
      </w:tblGrid>
      <w:tr w:rsidR="00EF6FA5" w:rsidRPr="00414345" w:rsidTr="00A324F4">
        <w:trPr>
          <w:jc w:val="center"/>
        </w:trPr>
        <w:tc>
          <w:tcPr>
            <w:tcW w:w="161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阶段</w:t>
            </w:r>
          </w:p>
        </w:tc>
        <w:tc>
          <w:tcPr>
            <w:tcW w:w="992"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w:t>
            </w:r>
            <w:r w:rsidRPr="00414345">
              <w:rPr>
                <w:rFonts w:hAnsi="宋体"/>
                <w:color w:val="000000"/>
                <w:sz w:val="24"/>
                <w:szCs w:val="24"/>
              </w:rPr>
              <w:t>①</w:t>
            </w:r>
          </w:p>
        </w:tc>
        <w:tc>
          <w:tcPr>
            <w:tcW w:w="1276"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净值增长率标准差</w:t>
            </w:r>
            <w:r w:rsidRPr="00414345">
              <w:rPr>
                <w:rFonts w:hAnsi="宋体"/>
                <w:color w:val="000000"/>
                <w:sz w:val="24"/>
                <w:szCs w:val="24"/>
              </w:rPr>
              <w:t>②</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w:t>
            </w:r>
            <w:r w:rsidRPr="00414345">
              <w:rPr>
                <w:rFonts w:hAnsi="宋体"/>
                <w:color w:val="000000"/>
                <w:sz w:val="24"/>
                <w:szCs w:val="24"/>
              </w:rPr>
              <w:t>③</w:t>
            </w:r>
          </w:p>
        </w:tc>
        <w:tc>
          <w:tcPr>
            <w:tcW w:w="1417"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业绩比较基准收益率标准差</w:t>
            </w:r>
            <w:r w:rsidRPr="00414345">
              <w:rPr>
                <w:rFonts w:hAnsi="宋体"/>
                <w:color w:val="000000"/>
                <w:sz w:val="24"/>
                <w:szCs w:val="24"/>
              </w:rPr>
              <w:t>④</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①</w:t>
            </w:r>
            <w:r w:rsidRPr="00414345">
              <w:rPr>
                <w:color w:val="000000"/>
                <w:sz w:val="24"/>
                <w:szCs w:val="24"/>
              </w:rPr>
              <w:t>-</w:t>
            </w:r>
            <w:r w:rsidRPr="00414345">
              <w:rPr>
                <w:rFonts w:hAnsi="宋体"/>
                <w:color w:val="000000"/>
                <w:sz w:val="24"/>
                <w:szCs w:val="24"/>
              </w:rPr>
              <w:t>③</w:t>
            </w:r>
          </w:p>
        </w:tc>
        <w:tc>
          <w:tcPr>
            <w:tcW w:w="853"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②</w:t>
            </w:r>
            <w:r w:rsidRPr="00414345">
              <w:rPr>
                <w:color w:val="000000"/>
                <w:sz w:val="24"/>
                <w:szCs w:val="24"/>
              </w:rPr>
              <w:t>-</w:t>
            </w:r>
            <w:r w:rsidRPr="00414345">
              <w:rPr>
                <w:rFonts w:hAnsi="宋体"/>
                <w:color w:val="000000"/>
                <w:sz w:val="24"/>
                <w:szCs w:val="24"/>
              </w:rPr>
              <w:t>④</w:t>
            </w:r>
          </w:p>
        </w:tc>
      </w:tr>
      <w:tr w:rsidR="004E75E2">
        <w:trPr>
          <w:jc w:val="center"/>
        </w:trPr>
        <w:tc>
          <w:tcPr>
            <w:tcW w:w="1701" w:type="dxa"/>
            <w:vAlign w:val="center"/>
          </w:tcPr>
          <w:p w:rsidR="004E75E2" w:rsidRDefault="00FE03C7">
            <w:pPr>
              <w:jc w:val="left"/>
            </w:pPr>
            <w:r>
              <w:rPr>
                <w:color w:val="000000"/>
                <w:sz w:val="24"/>
                <w:szCs w:val="24"/>
              </w:rPr>
              <w:t>过去三个月</w:t>
            </w:r>
          </w:p>
        </w:tc>
        <w:tc>
          <w:tcPr>
            <w:tcW w:w="1045" w:type="dxa"/>
            <w:vAlign w:val="center"/>
          </w:tcPr>
          <w:p w:rsidR="004E75E2" w:rsidRDefault="00FE03C7">
            <w:pPr>
              <w:jc w:val="center"/>
            </w:pPr>
            <w:r>
              <w:rPr>
                <w:color w:val="000000"/>
                <w:sz w:val="24"/>
                <w:szCs w:val="24"/>
              </w:rPr>
              <w:t>16.91%</w:t>
            </w:r>
          </w:p>
        </w:tc>
        <w:tc>
          <w:tcPr>
            <w:tcW w:w="1344" w:type="dxa"/>
            <w:vAlign w:val="center"/>
          </w:tcPr>
          <w:p w:rsidR="004E75E2" w:rsidRDefault="00FE03C7">
            <w:pPr>
              <w:jc w:val="center"/>
            </w:pPr>
            <w:r>
              <w:rPr>
                <w:color w:val="000000"/>
                <w:sz w:val="24"/>
                <w:szCs w:val="24"/>
              </w:rPr>
              <w:t>1.10%</w:t>
            </w:r>
          </w:p>
        </w:tc>
        <w:tc>
          <w:tcPr>
            <w:tcW w:w="1194" w:type="dxa"/>
            <w:vAlign w:val="center"/>
          </w:tcPr>
          <w:p w:rsidR="004E75E2" w:rsidRDefault="00FE03C7">
            <w:pPr>
              <w:jc w:val="center"/>
            </w:pPr>
            <w:r>
              <w:rPr>
                <w:color w:val="000000"/>
                <w:sz w:val="24"/>
                <w:szCs w:val="24"/>
              </w:rPr>
              <w:t>4.73%</w:t>
            </w:r>
          </w:p>
        </w:tc>
        <w:tc>
          <w:tcPr>
            <w:tcW w:w="1492" w:type="dxa"/>
            <w:vAlign w:val="center"/>
          </w:tcPr>
          <w:p w:rsidR="004E75E2" w:rsidRDefault="00FE03C7">
            <w:pPr>
              <w:jc w:val="center"/>
            </w:pPr>
            <w:r>
              <w:rPr>
                <w:color w:val="000000"/>
                <w:sz w:val="24"/>
                <w:szCs w:val="24"/>
              </w:rPr>
              <w:t>0.91%</w:t>
            </w:r>
          </w:p>
        </w:tc>
        <w:tc>
          <w:tcPr>
            <w:tcW w:w="1194" w:type="dxa"/>
            <w:vAlign w:val="center"/>
          </w:tcPr>
          <w:p w:rsidR="004E75E2" w:rsidRDefault="00FE03C7">
            <w:pPr>
              <w:jc w:val="center"/>
            </w:pPr>
            <w:r>
              <w:rPr>
                <w:color w:val="000000"/>
                <w:sz w:val="24"/>
                <w:szCs w:val="24"/>
              </w:rPr>
              <w:t>12.18%</w:t>
            </w:r>
          </w:p>
        </w:tc>
        <w:tc>
          <w:tcPr>
            <w:tcW w:w="898" w:type="dxa"/>
            <w:vAlign w:val="center"/>
          </w:tcPr>
          <w:p w:rsidR="004E75E2" w:rsidRDefault="00FE03C7">
            <w:pPr>
              <w:jc w:val="center"/>
            </w:pPr>
            <w:r>
              <w:rPr>
                <w:color w:val="000000"/>
                <w:sz w:val="24"/>
                <w:szCs w:val="24"/>
              </w:rPr>
              <w:t>0.19%</w:t>
            </w:r>
          </w:p>
        </w:tc>
      </w:tr>
    </w:tbl>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3.2.2</w:t>
      </w:r>
      <w:r w:rsidR="000824E7" w:rsidRPr="00F81917">
        <w:rPr>
          <w:rFonts w:hint="eastAsia"/>
          <w:b/>
          <w:bCs/>
          <w:color w:val="000000"/>
          <w:kern w:val="0"/>
          <w:sz w:val="24"/>
          <w:szCs w:val="24"/>
        </w:rPr>
        <w:t>自基金合同生效以来</w:t>
      </w:r>
      <w:r w:rsidR="00C6002A" w:rsidRPr="00F81917">
        <w:rPr>
          <w:b/>
          <w:bCs/>
          <w:color w:val="000000"/>
          <w:kern w:val="0"/>
          <w:sz w:val="24"/>
          <w:szCs w:val="24"/>
        </w:rPr>
        <w:t>基</w:t>
      </w:r>
      <w:r w:rsidR="00C6002A" w:rsidRPr="00414345">
        <w:rPr>
          <w:b/>
          <w:bCs/>
          <w:color w:val="000000"/>
          <w:sz w:val="24"/>
        </w:rPr>
        <w:t>金份额累计净值增长率变动及其与同期业绩比较基准收益率变动的比较</w:t>
      </w:r>
    </w:p>
    <w:p w:rsidR="008606B6" w:rsidRPr="00414345" w:rsidRDefault="008606B6" w:rsidP="00C15CAC">
      <w:pPr>
        <w:spacing w:before="29" w:line="288" w:lineRule="auto"/>
        <w:jc w:val="center"/>
        <w:rPr>
          <w:color w:val="000000"/>
          <w:sz w:val="24"/>
          <w:szCs w:val="24"/>
        </w:rPr>
      </w:pPr>
      <w:r w:rsidRPr="00414345">
        <w:rPr>
          <w:color w:val="000000"/>
          <w:sz w:val="24"/>
          <w:szCs w:val="24"/>
        </w:rPr>
        <w:t>交银施罗德医药创新股票型证券投资基金</w:t>
      </w:r>
    </w:p>
    <w:p w:rsidR="004061AC" w:rsidRPr="00414345" w:rsidRDefault="00B56F53"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color w:val="000000"/>
          <w:sz w:val="24"/>
          <w:szCs w:val="24"/>
        </w:rPr>
        <w:t>份额累计净值增长率与业绩比较基准收益率历史走势对比图</w:t>
      </w:r>
    </w:p>
    <w:p w:rsidR="00AE7962" w:rsidRPr="00414345" w:rsidRDefault="00DE4B43" w:rsidP="00C15CAC">
      <w:pPr>
        <w:pStyle w:val="a5"/>
        <w:snapToGrid w:val="0"/>
        <w:spacing w:before="29" w:line="288" w:lineRule="auto"/>
        <w:ind w:firstLine="480"/>
        <w:jc w:val="center"/>
        <w:rPr>
          <w:rFonts w:ascii="Times New Roman" w:hAnsi="Times New Roman" w:cs="Times New Roman"/>
          <w:sz w:val="24"/>
          <w:szCs w:val="24"/>
        </w:rPr>
      </w:pPr>
      <w:r w:rsidRPr="00414345">
        <w:rPr>
          <w:rFonts w:ascii="Times New Roman" w:hAnsi="Times New Roman" w:cs="Times New Roman"/>
          <w:color w:val="000000"/>
          <w:sz w:val="24"/>
          <w:szCs w:val="24"/>
        </w:rPr>
        <w:t>（</w:t>
      </w:r>
      <w:r w:rsidR="0042009D" w:rsidRPr="00414345">
        <w:rPr>
          <w:rFonts w:ascii="Times New Roman" w:hAnsi="Times New Roman" w:cs="Times New Roman"/>
          <w:sz w:val="24"/>
          <w:szCs w:val="24"/>
        </w:rPr>
        <w:t>2017</w:t>
      </w:r>
      <w:r w:rsidR="0042009D" w:rsidRPr="00414345">
        <w:rPr>
          <w:rFonts w:ascii="Times New Roman" w:hAnsi="Times New Roman" w:cs="Times New Roman"/>
          <w:sz w:val="24"/>
          <w:szCs w:val="24"/>
        </w:rPr>
        <w:t>年</w:t>
      </w:r>
      <w:r w:rsidR="0042009D" w:rsidRPr="00414345">
        <w:rPr>
          <w:rFonts w:ascii="Times New Roman" w:hAnsi="Times New Roman" w:cs="Times New Roman"/>
          <w:sz w:val="24"/>
          <w:szCs w:val="24"/>
        </w:rPr>
        <w:t>3</w:t>
      </w:r>
      <w:r w:rsidR="0042009D" w:rsidRPr="00414345">
        <w:rPr>
          <w:rFonts w:ascii="Times New Roman" w:hAnsi="Times New Roman" w:cs="Times New Roman"/>
          <w:sz w:val="24"/>
          <w:szCs w:val="24"/>
        </w:rPr>
        <w:t>月</w:t>
      </w:r>
      <w:r w:rsidR="0042009D" w:rsidRPr="00414345">
        <w:rPr>
          <w:rFonts w:ascii="Times New Roman" w:hAnsi="Times New Roman" w:cs="Times New Roman"/>
          <w:sz w:val="24"/>
          <w:szCs w:val="24"/>
        </w:rPr>
        <w:t>23</w:t>
      </w:r>
      <w:r w:rsidR="0042009D" w:rsidRPr="00414345">
        <w:rPr>
          <w:rFonts w:ascii="Times New Roman" w:hAnsi="Times New Roman" w:cs="Times New Roman"/>
          <w:sz w:val="24"/>
          <w:szCs w:val="24"/>
        </w:rPr>
        <w:t>日</w:t>
      </w:r>
      <w:r w:rsidR="00AE7962" w:rsidRPr="00414345">
        <w:rPr>
          <w:rFonts w:ascii="Times New Roman" w:hAnsi="Times New Roman" w:cs="Times New Roman"/>
          <w:sz w:val="24"/>
          <w:szCs w:val="24"/>
        </w:rPr>
        <w:t>至</w:t>
      </w:r>
      <w:r w:rsidR="00AE7962" w:rsidRPr="00414345">
        <w:rPr>
          <w:rFonts w:ascii="Times New Roman" w:hAnsi="Times New Roman" w:cs="Times New Roman"/>
          <w:sz w:val="24"/>
          <w:szCs w:val="24"/>
        </w:rPr>
        <w:t>2019</w:t>
      </w:r>
      <w:r w:rsidR="00AE7962" w:rsidRPr="00414345">
        <w:rPr>
          <w:rFonts w:ascii="Times New Roman" w:hAnsi="Times New Roman" w:cs="Times New Roman"/>
          <w:sz w:val="24"/>
          <w:szCs w:val="24"/>
        </w:rPr>
        <w:t>年</w:t>
      </w:r>
      <w:r w:rsidR="00AE7962" w:rsidRPr="00414345">
        <w:rPr>
          <w:rFonts w:ascii="Times New Roman" w:hAnsi="Times New Roman" w:cs="Times New Roman"/>
          <w:sz w:val="24"/>
          <w:szCs w:val="24"/>
        </w:rPr>
        <w:t>9</w:t>
      </w:r>
      <w:r w:rsidR="00AE7962" w:rsidRPr="00414345">
        <w:rPr>
          <w:rFonts w:ascii="Times New Roman" w:hAnsi="Times New Roman" w:cs="Times New Roman"/>
          <w:sz w:val="24"/>
          <w:szCs w:val="24"/>
        </w:rPr>
        <w:t>月</w:t>
      </w:r>
      <w:r w:rsidR="00AE7962" w:rsidRPr="00414345">
        <w:rPr>
          <w:rFonts w:ascii="Times New Roman" w:hAnsi="Times New Roman" w:cs="Times New Roman"/>
          <w:sz w:val="24"/>
          <w:szCs w:val="24"/>
        </w:rPr>
        <w:t>30</w:t>
      </w:r>
      <w:r w:rsidR="00AE7962" w:rsidRPr="00414345">
        <w:rPr>
          <w:rFonts w:ascii="Times New Roman" w:hAnsi="Times New Roman" w:cs="Times New Roman"/>
          <w:sz w:val="24"/>
          <w:szCs w:val="24"/>
        </w:rPr>
        <w:t>日</w:t>
      </w:r>
      <w:r w:rsidRPr="00414345">
        <w:rPr>
          <w:rFonts w:ascii="Times New Roman" w:hAnsi="Times New Roman" w:cs="Times New Roman"/>
          <w:color w:val="000000"/>
          <w:sz w:val="24"/>
          <w:szCs w:val="24"/>
        </w:rPr>
        <w:t>）</w:t>
      </w:r>
    </w:p>
    <w:p w:rsidR="004061AC" w:rsidRPr="00414345" w:rsidRDefault="00202017"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noProof/>
          <w:color w:val="000000"/>
          <w:sz w:val="24"/>
          <w:szCs w:val="24"/>
        </w:rPr>
        <w:lastRenderedPageBreak/>
        <w:drawing>
          <wp:inline distT="0" distB="0" distL="0" distR="0" wp14:anchorId="5D492EEF" wp14:editId="5B9A781E">
            <wp:extent cx="5731510" cy="3356610"/>
            <wp:effectExtent l="0" t="0" r="0" b="0"/>
            <wp:docPr id="3" name="图片 2" descr="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4" cstate="print"/>
                    <a:stretch>
                      <a:fillRect/>
                    </a:stretch>
                  </pic:blipFill>
                  <pic:spPr>
                    <a:xfrm>
                      <a:off x="0" y="0"/>
                      <a:ext cx="5731510" cy="3356610"/>
                    </a:xfrm>
                    <a:prstGeom prst="rect">
                      <a:avLst/>
                    </a:prstGeom>
                  </pic:spPr>
                </pic:pic>
              </a:graphicData>
            </a:graphic>
          </wp:inline>
        </w:drawing>
      </w:r>
      <w:bookmarkStart w:id="0" w:name="_GoBack"/>
      <w:bookmarkEnd w:id="0"/>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注：本基金建仓期为自基金合同生效日起的</w:t>
      </w:r>
      <w:r w:rsidRPr="00414345">
        <w:rPr>
          <w:color w:val="000000"/>
          <w:sz w:val="24"/>
          <w:szCs w:val="24"/>
        </w:rPr>
        <w:t>6</w:t>
      </w:r>
      <w:r w:rsidRPr="00414345">
        <w:rPr>
          <w:color w:val="000000"/>
          <w:sz w:val="24"/>
          <w:szCs w:val="24"/>
        </w:rPr>
        <w:t>个月。截至建仓期结束，本基金各项资产配置比例符合基金合同及招募说明书有关投资比例的约定。</w:t>
      </w:r>
    </w:p>
    <w:p w:rsidR="00957594" w:rsidRPr="00414345" w:rsidRDefault="00957594" w:rsidP="00C15CAC">
      <w:pPr>
        <w:tabs>
          <w:tab w:val="left" w:pos="1800"/>
        </w:tabs>
        <w:spacing w:before="29" w:line="288" w:lineRule="auto"/>
        <w:rPr>
          <w:color w:val="000000"/>
          <w:sz w:val="24"/>
          <w:szCs w:val="24"/>
        </w:rPr>
      </w:pPr>
    </w:p>
    <w:p w:rsidR="00693843" w:rsidRPr="00414345" w:rsidRDefault="00693843" w:rsidP="00C15CAC">
      <w:pPr>
        <w:tabs>
          <w:tab w:val="left" w:pos="1800"/>
        </w:tabs>
        <w:spacing w:before="29" w:line="288" w:lineRule="auto"/>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§4  </w:t>
      </w:r>
      <w:r w:rsidRPr="00414345">
        <w:rPr>
          <w:color w:val="000000"/>
          <w:kern w:val="0"/>
          <w:sz w:val="24"/>
          <w:szCs w:val="24"/>
        </w:rPr>
        <w:t>管理人报告</w:t>
      </w:r>
    </w:p>
    <w:p w:rsidR="00B12B7D"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4.1 </w:t>
      </w:r>
      <w:r w:rsidRPr="00414345">
        <w:rPr>
          <w:b/>
          <w:bCs/>
          <w:color w:val="000000"/>
          <w:kern w:val="0"/>
          <w:sz w:val="24"/>
          <w:szCs w:val="24"/>
        </w:rPr>
        <w:t>基金经理</w:t>
      </w:r>
      <w:r w:rsidR="00333AD0" w:rsidRPr="00414345">
        <w:rPr>
          <w:b/>
          <w:color w:val="000000"/>
          <w:kern w:val="0"/>
          <w:sz w:val="24"/>
        </w:rPr>
        <w:t>（</w:t>
      </w:r>
      <w:r w:rsidRPr="00414345">
        <w:rPr>
          <w:b/>
          <w:bCs/>
          <w:color w:val="000000"/>
          <w:kern w:val="0"/>
          <w:sz w:val="24"/>
          <w:szCs w:val="24"/>
        </w:rPr>
        <w:t>或基金经理小组</w:t>
      </w:r>
      <w:r w:rsidR="00333AD0" w:rsidRPr="00414345">
        <w:rPr>
          <w:b/>
          <w:color w:val="000000"/>
          <w:kern w:val="0"/>
          <w:sz w:val="24"/>
        </w:rPr>
        <w:t>）</w:t>
      </w:r>
      <w:r w:rsidRPr="00414345">
        <w:rPr>
          <w:b/>
          <w:bCs/>
          <w:color w:val="000000"/>
          <w:kern w:val="0"/>
          <w:sz w:val="24"/>
          <w:szCs w:val="24"/>
        </w:rPr>
        <w:t>简介</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45"/>
        <w:gridCol w:w="1549"/>
        <w:gridCol w:w="1548"/>
        <w:gridCol w:w="1407"/>
        <w:gridCol w:w="2673"/>
      </w:tblGrid>
      <w:tr w:rsidR="00286BEF" w:rsidRPr="00414345" w:rsidTr="006A10AB">
        <w:trPr>
          <w:trHeight w:val="292"/>
          <w:jc w:val="center"/>
        </w:trPr>
        <w:tc>
          <w:tcPr>
            <w:tcW w:w="851"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姓名</w:t>
            </w:r>
          </w:p>
        </w:tc>
        <w:tc>
          <w:tcPr>
            <w:tcW w:w="850"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职务</w:t>
            </w:r>
          </w:p>
        </w:tc>
        <w:tc>
          <w:tcPr>
            <w:tcW w:w="3119" w:type="dxa"/>
            <w:gridSpan w:val="2"/>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任本基金的基金经理期限</w:t>
            </w:r>
          </w:p>
        </w:tc>
        <w:tc>
          <w:tcPr>
            <w:tcW w:w="1417" w:type="dxa"/>
            <w:vMerge w:val="restart"/>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证券从业年限</w:t>
            </w:r>
          </w:p>
        </w:tc>
        <w:tc>
          <w:tcPr>
            <w:tcW w:w="2694"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说明</w:t>
            </w:r>
          </w:p>
        </w:tc>
      </w:tr>
      <w:tr w:rsidR="00D13737" w:rsidRPr="00414345" w:rsidTr="006A10AB">
        <w:trPr>
          <w:jc w:val="center"/>
        </w:trPr>
        <w:tc>
          <w:tcPr>
            <w:tcW w:w="851"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850"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1560"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任职日期</w:t>
            </w:r>
          </w:p>
        </w:tc>
        <w:tc>
          <w:tcPr>
            <w:tcW w:w="1559"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离任日期</w:t>
            </w:r>
          </w:p>
        </w:tc>
        <w:tc>
          <w:tcPr>
            <w:tcW w:w="1417"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2694" w:type="dxa"/>
            <w:vMerge/>
            <w:vAlign w:val="center"/>
          </w:tcPr>
          <w:p w:rsidR="004061AC" w:rsidRPr="00414345" w:rsidRDefault="004061AC" w:rsidP="00C15CAC">
            <w:pPr>
              <w:widowControl/>
              <w:spacing w:before="29" w:line="288" w:lineRule="auto"/>
              <w:jc w:val="left"/>
              <w:rPr>
                <w:color w:val="000000"/>
                <w:kern w:val="0"/>
                <w:sz w:val="24"/>
                <w:szCs w:val="24"/>
              </w:rPr>
            </w:pPr>
          </w:p>
        </w:tc>
      </w:tr>
      <w:tr w:rsidR="004E75E2">
        <w:trPr>
          <w:jc w:val="center"/>
        </w:trPr>
        <w:tc>
          <w:tcPr>
            <w:tcW w:w="846" w:type="dxa"/>
            <w:vAlign w:val="center"/>
          </w:tcPr>
          <w:p w:rsidR="004E75E2" w:rsidRDefault="00FE03C7">
            <w:pPr>
              <w:jc w:val="center"/>
            </w:pPr>
            <w:r>
              <w:rPr>
                <w:color w:val="000000"/>
                <w:sz w:val="24"/>
                <w:szCs w:val="24"/>
              </w:rPr>
              <w:t>楼慧源</w:t>
            </w:r>
          </w:p>
        </w:tc>
        <w:tc>
          <w:tcPr>
            <w:tcW w:w="845" w:type="dxa"/>
            <w:vAlign w:val="center"/>
          </w:tcPr>
          <w:p w:rsidR="004E75E2" w:rsidRDefault="00FE03C7">
            <w:pPr>
              <w:jc w:val="center"/>
            </w:pPr>
            <w:r>
              <w:rPr>
                <w:color w:val="000000"/>
                <w:sz w:val="24"/>
                <w:szCs w:val="24"/>
              </w:rPr>
              <w:t>交银医药创新股票的基金经理</w:t>
            </w:r>
          </w:p>
        </w:tc>
        <w:tc>
          <w:tcPr>
            <w:tcW w:w="1549" w:type="dxa"/>
            <w:vAlign w:val="center"/>
          </w:tcPr>
          <w:p w:rsidR="004E75E2" w:rsidRDefault="00FE03C7">
            <w:pPr>
              <w:jc w:val="center"/>
            </w:pPr>
            <w:r>
              <w:rPr>
                <w:color w:val="000000"/>
                <w:sz w:val="24"/>
                <w:szCs w:val="24"/>
              </w:rPr>
              <w:t>2018-09-12</w:t>
            </w:r>
          </w:p>
        </w:tc>
        <w:tc>
          <w:tcPr>
            <w:tcW w:w="1548" w:type="dxa"/>
            <w:vAlign w:val="center"/>
          </w:tcPr>
          <w:p w:rsidR="004E75E2" w:rsidRDefault="00FE03C7">
            <w:pPr>
              <w:jc w:val="center"/>
            </w:pPr>
            <w:r>
              <w:rPr>
                <w:color w:val="000000"/>
                <w:sz w:val="24"/>
                <w:szCs w:val="24"/>
              </w:rPr>
              <w:t>-</w:t>
            </w:r>
          </w:p>
        </w:tc>
        <w:tc>
          <w:tcPr>
            <w:tcW w:w="1407" w:type="dxa"/>
            <w:vAlign w:val="center"/>
          </w:tcPr>
          <w:p w:rsidR="004E75E2" w:rsidRDefault="00FE03C7">
            <w:pPr>
              <w:jc w:val="center"/>
            </w:pPr>
            <w:r>
              <w:rPr>
                <w:color w:val="000000"/>
                <w:sz w:val="24"/>
                <w:szCs w:val="24"/>
              </w:rPr>
              <w:t>5</w:t>
            </w:r>
            <w:r>
              <w:rPr>
                <w:color w:val="000000"/>
                <w:sz w:val="24"/>
                <w:szCs w:val="24"/>
              </w:rPr>
              <w:t>年</w:t>
            </w:r>
          </w:p>
        </w:tc>
        <w:tc>
          <w:tcPr>
            <w:tcW w:w="2673" w:type="dxa"/>
            <w:vAlign w:val="center"/>
          </w:tcPr>
          <w:p w:rsidR="004E75E2" w:rsidRDefault="00FE03C7">
            <w:r>
              <w:rPr>
                <w:color w:val="000000"/>
                <w:sz w:val="24"/>
                <w:szCs w:val="24"/>
              </w:rPr>
              <w:t>楼慧源女士，复旦大学金融学硕士、浙江大学应用生物科学学士。</w:t>
            </w:r>
            <w:r>
              <w:rPr>
                <w:color w:val="000000"/>
                <w:sz w:val="24"/>
                <w:szCs w:val="24"/>
              </w:rPr>
              <w:t>2014</w:t>
            </w:r>
            <w:r>
              <w:rPr>
                <w:color w:val="000000"/>
                <w:sz w:val="24"/>
                <w:szCs w:val="24"/>
              </w:rPr>
              <w:t>年至</w:t>
            </w:r>
            <w:r>
              <w:rPr>
                <w:color w:val="000000"/>
                <w:sz w:val="24"/>
                <w:szCs w:val="24"/>
              </w:rPr>
              <w:t>2015</w:t>
            </w:r>
            <w:r>
              <w:rPr>
                <w:color w:val="000000"/>
                <w:sz w:val="24"/>
                <w:szCs w:val="24"/>
              </w:rPr>
              <w:t>年任中国国际金融有限公司研究员。</w:t>
            </w:r>
            <w:r>
              <w:rPr>
                <w:color w:val="000000"/>
                <w:sz w:val="24"/>
                <w:szCs w:val="24"/>
              </w:rPr>
              <w:t>2015</w:t>
            </w:r>
            <w:r>
              <w:rPr>
                <w:color w:val="000000"/>
                <w:sz w:val="24"/>
                <w:szCs w:val="24"/>
              </w:rPr>
              <w:t>年加入交银施罗德基金管理有限公司，历任行业分析师。</w:t>
            </w:r>
          </w:p>
        </w:tc>
      </w:tr>
    </w:tbl>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注：基金经理（或基金经理小组）期后变动（如有）敬请关注基金管理人发布的相关公告。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4.2 </w:t>
      </w:r>
      <w:r w:rsidRPr="00414345">
        <w:rPr>
          <w:b/>
          <w:bCs/>
          <w:color w:val="000000"/>
          <w:kern w:val="0"/>
          <w:sz w:val="24"/>
          <w:szCs w:val="24"/>
        </w:rPr>
        <w:t>管理人对报告期内本基金运作遵规守信情况的说明</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在报告期内，本基金管理人严格遵循了《中华人民共和国证券投资基金法》、基金</w:t>
      </w:r>
      <w:r w:rsidRPr="00414345">
        <w:rPr>
          <w:color w:val="000000"/>
          <w:sz w:val="24"/>
          <w:szCs w:val="24"/>
        </w:rPr>
        <w:lastRenderedPageBreak/>
        <w:t>合同和其他相关法律法规的规定，并本着诚实信用、勤勉尽责的原则管理和运用基金资产，基金整体运作符合有关法律法规和基金合同的规定，为基金持有人谋求最大利益。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4.3 </w:t>
      </w:r>
      <w:r w:rsidRPr="00414345">
        <w:rPr>
          <w:b/>
          <w:bCs/>
          <w:color w:val="000000"/>
          <w:kern w:val="0"/>
          <w:sz w:val="24"/>
          <w:szCs w:val="24"/>
        </w:rPr>
        <w:t>公平交易专项说明</w:t>
      </w:r>
    </w:p>
    <w:p w:rsidR="004061AC" w:rsidRPr="00414345" w:rsidRDefault="004061AC" w:rsidP="00C15CAC">
      <w:pPr>
        <w:spacing w:before="29" w:line="288" w:lineRule="auto"/>
        <w:rPr>
          <w:color w:val="000000"/>
          <w:sz w:val="24"/>
          <w:szCs w:val="24"/>
        </w:rPr>
      </w:pPr>
      <w:r w:rsidRPr="00414345">
        <w:rPr>
          <w:color w:val="000000"/>
          <w:sz w:val="24"/>
          <w:szCs w:val="24"/>
        </w:rPr>
        <w:t xml:space="preserve">4.3.1 </w:t>
      </w:r>
      <w:r w:rsidRPr="00414345">
        <w:rPr>
          <w:color w:val="000000"/>
          <w:sz w:val="24"/>
          <w:szCs w:val="24"/>
        </w:rPr>
        <w:t>公平交易制度的执行情况</w:t>
      </w:r>
    </w:p>
    <w:p w:rsidR="004E75E2" w:rsidRDefault="00FE03C7">
      <w:pPr>
        <w:spacing w:before="29" w:line="288" w:lineRule="auto"/>
        <w:ind w:firstLineChars="200" w:firstLine="480"/>
        <w:rPr>
          <w:color w:val="000000"/>
          <w:sz w:val="24"/>
          <w:szCs w:val="24"/>
        </w:rPr>
      </w:pPr>
      <w:r>
        <w:rPr>
          <w:color w:val="000000"/>
          <w:sz w:val="24"/>
          <w:szCs w:val="24"/>
        </w:rPr>
        <w:t>本公司制定了严格的投资控制制度和公平交易监控制度来保证旗下基金运作的公平，旗下所管理的所有资产组合，包括证券投资基金和特定客户资产管理专户均严格遵循制度进行公平交易。</w:t>
      </w:r>
    </w:p>
    <w:p w:rsidR="004E75E2" w:rsidRDefault="00FE03C7">
      <w:pPr>
        <w:spacing w:before="29" w:line="288" w:lineRule="auto"/>
        <w:ind w:firstLineChars="200" w:firstLine="480"/>
        <w:rPr>
          <w:color w:val="000000"/>
          <w:sz w:val="24"/>
          <w:szCs w:val="24"/>
        </w:rPr>
      </w:pPr>
      <w:r>
        <w:rPr>
          <w:color w:val="000000"/>
          <w:sz w:val="24"/>
          <w:szCs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szCs w:val="24"/>
        </w:rPr>
        <w:t>“</w:t>
      </w:r>
      <w:r>
        <w:rPr>
          <w:color w:val="000000"/>
          <w:sz w:val="24"/>
          <w:szCs w:val="24"/>
        </w:rPr>
        <w:t>时间优先、价格优先、比例分配</w:t>
      </w:r>
      <w:r>
        <w:rPr>
          <w:color w:val="000000"/>
          <w:sz w:val="24"/>
          <w:szCs w:val="24"/>
        </w:rPr>
        <w:t>”</w:t>
      </w:r>
      <w:r>
        <w:rPr>
          <w:color w:val="000000"/>
          <w:sz w:val="24"/>
          <w:szCs w:val="24"/>
        </w:rPr>
        <w:t>的原则，全部通过交易系统进行比例分配；对于非集中竞价交易、以公司名义进行的场外交易，遵循</w:t>
      </w:r>
      <w:r>
        <w:rPr>
          <w:color w:val="000000"/>
          <w:sz w:val="24"/>
          <w:szCs w:val="24"/>
        </w:rPr>
        <w:t>“</w:t>
      </w:r>
      <w:r>
        <w:rPr>
          <w:color w:val="000000"/>
          <w:sz w:val="24"/>
          <w:szCs w:val="24"/>
        </w:rPr>
        <w:t>价格优先、比例分配</w:t>
      </w:r>
      <w:r>
        <w:rPr>
          <w:color w:val="000000"/>
          <w:sz w:val="24"/>
          <w:szCs w:val="24"/>
        </w:rPr>
        <w:t>”</w:t>
      </w:r>
      <w:r>
        <w:rPr>
          <w:color w:val="000000"/>
          <w:sz w:val="24"/>
          <w:szCs w:val="24"/>
        </w:rPr>
        <w:t>的原则按事前独立确定的投资方案对交易结果进行分配。</w:t>
      </w:r>
    </w:p>
    <w:p w:rsidR="004E75E2" w:rsidRDefault="00FE03C7">
      <w:pPr>
        <w:spacing w:before="29" w:line="288" w:lineRule="auto"/>
        <w:ind w:firstLineChars="200" w:firstLine="480"/>
        <w:rPr>
          <w:color w:val="000000"/>
          <w:sz w:val="24"/>
          <w:szCs w:val="24"/>
        </w:rPr>
      </w:pPr>
      <w:r>
        <w:rPr>
          <w:color w:val="000000"/>
          <w:sz w:val="24"/>
          <w:szCs w:val="24"/>
        </w:rPr>
        <w:t>公司中央交易室和风险管理部进行日常投资交易行为监控，风险管理部负责对各账户公平交易进行事后分析，于每季度和每年度分别对公司</w:t>
      </w:r>
      <w:r>
        <w:rPr>
          <w:color w:val="000000"/>
          <w:sz w:val="24"/>
          <w:szCs w:val="24"/>
        </w:rPr>
        <w:t>管理的不同投资组合的整体收益率差异、分投资类别的收益率差异以及不同时间窗口同向交易的交易价差进行分析，通过分析评估和信息披露来加强对公平交易过程和结果的监督。</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报告期内本公司严格执行公平交易制度，公平对待旗下各投资组合，未发现任何违反公平交易的行为。</w:t>
      </w:r>
    </w:p>
    <w:p w:rsidR="004061AC" w:rsidRPr="00414345" w:rsidRDefault="004061AC" w:rsidP="00C15CAC">
      <w:pPr>
        <w:spacing w:before="29" w:line="288" w:lineRule="auto"/>
        <w:rPr>
          <w:color w:val="000000"/>
          <w:sz w:val="24"/>
          <w:szCs w:val="24"/>
        </w:rPr>
      </w:pPr>
      <w:r w:rsidRPr="00414345">
        <w:rPr>
          <w:color w:val="000000"/>
          <w:sz w:val="24"/>
          <w:szCs w:val="24"/>
        </w:rPr>
        <w:t xml:space="preserve">4.3.2 </w:t>
      </w:r>
      <w:r w:rsidRPr="00414345">
        <w:rPr>
          <w:color w:val="000000"/>
          <w:sz w:val="24"/>
          <w:szCs w:val="24"/>
        </w:rPr>
        <w:t>异常交易行为的专项说明</w:t>
      </w:r>
    </w:p>
    <w:p w:rsidR="004061AC" w:rsidRPr="00414345" w:rsidRDefault="00957594" w:rsidP="00C15CAC">
      <w:pPr>
        <w:spacing w:before="29" w:line="288" w:lineRule="auto"/>
        <w:ind w:firstLineChars="200" w:firstLine="480"/>
        <w:rPr>
          <w:color w:val="000000"/>
          <w:sz w:val="24"/>
          <w:szCs w:val="24"/>
        </w:rPr>
      </w:pPr>
      <w:r w:rsidRPr="00414345">
        <w:rPr>
          <w:color w:val="000000"/>
          <w:sz w:val="24"/>
          <w:szCs w:val="24"/>
        </w:rPr>
        <w:t>本基金于本报告期内不存在异常交易行为。本报告期内，本公司管理的所有投资组合参与的交易所公开竞价同日反向交易成交较少的单边交易量没有超过该证券当日总成交量</w:t>
      </w:r>
      <w:r w:rsidRPr="00414345">
        <w:rPr>
          <w:color w:val="000000"/>
          <w:sz w:val="24"/>
          <w:szCs w:val="24"/>
        </w:rPr>
        <w:t>5%</w:t>
      </w:r>
      <w:r w:rsidRPr="00414345">
        <w:rPr>
          <w:color w:val="000000"/>
          <w:sz w:val="24"/>
          <w:szCs w:val="24"/>
        </w:rPr>
        <w:t>的情形，本基金与本公司管理的其他投资组合在不同时间窗下（如日内、</w:t>
      </w:r>
      <w:r w:rsidRPr="00414345">
        <w:rPr>
          <w:color w:val="000000"/>
          <w:sz w:val="24"/>
          <w:szCs w:val="24"/>
        </w:rPr>
        <w:t>3</w:t>
      </w:r>
      <w:r w:rsidRPr="00414345">
        <w:rPr>
          <w:color w:val="000000"/>
          <w:sz w:val="24"/>
          <w:szCs w:val="24"/>
        </w:rPr>
        <w:t>日内、</w:t>
      </w:r>
      <w:r w:rsidRPr="00414345">
        <w:rPr>
          <w:color w:val="000000"/>
          <w:sz w:val="24"/>
          <w:szCs w:val="24"/>
        </w:rPr>
        <w:t>5</w:t>
      </w:r>
      <w:r w:rsidRPr="00414345">
        <w:rPr>
          <w:color w:val="000000"/>
          <w:sz w:val="24"/>
          <w:szCs w:val="24"/>
        </w:rPr>
        <w:t>日内）同向交易的交易价差未出现异常。</w:t>
      </w:r>
    </w:p>
    <w:p w:rsidR="004061AC" w:rsidRPr="00414345" w:rsidRDefault="004061AC"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 xml:space="preserve">4.4 </w:t>
      </w:r>
      <w:r w:rsidRPr="00414345">
        <w:rPr>
          <w:rFonts w:hAnsi="宋体"/>
          <w:b/>
          <w:bCs/>
          <w:color w:val="000000"/>
          <w:sz w:val="24"/>
        </w:rPr>
        <w:t>报告期内基金的投资策略和运作分析</w:t>
      </w:r>
    </w:p>
    <w:p w:rsidR="004E75E2" w:rsidRDefault="00FE03C7">
      <w:pPr>
        <w:spacing w:before="29" w:line="288" w:lineRule="auto"/>
        <w:ind w:firstLineChars="200" w:firstLine="480"/>
        <w:rPr>
          <w:color w:val="000000"/>
          <w:sz w:val="24"/>
          <w:szCs w:val="24"/>
        </w:rPr>
      </w:pPr>
      <w:r>
        <w:rPr>
          <w:color w:val="000000"/>
          <w:sz w:val="24"/>
          <w:szCs w:val="24"/>
        </w:rPr>
        <w:t>2019</w:t>
      </w:r>
      <w:r>
        <w:rPr>
          <w:color w:val="000000"/>
          <w:sz w:val="24"/>
          <w:szCs w:val="24"/>
        </w:rPr>
        <w:t>年三季度，上证综指、深证成指、创业板指分别上涨</w:t>
      </w:r>
      <w:r>
        <w:rPr>
          <w:color w:val="000000"/>
          <w:sz w:val="24"/>
          <w:szCs w:val="24"/>
        </w:rPr>
        <w:t>-2.47%</w:t>
      </w:r>
      <w:r>
        <w:rPr>
          <w:color w:val="000000"/>
          <w:sz w:val="24"/>
          <w:szCs w:val="24"/>
        </w:rPr>
        <w:t>、</w:t>
      </w:r>
      <w:r>
        <w:rPr>
          <w:color w:val="000000"/>
          <w:sz w:val="24"/>
          <w:szCs w:val="24"/>
        </w:rPr>
        <w:t>2.92%</w:t>
      </w:r>
      <w:r>
        <w:rPr>
          <w:color w:val="000000"/>
          <w:sz w:val="24"/>
          <w:szCs w:val="24"/>
        </w:rPr>
        <w:t>、</w:t>
      </w:r>
      <w:r>
        <w:rPr>
          <w:color w:val="000000"/>
          <w:sz w:val="24"/>
          <w:szCs w:val="24"/>
        </w:rPr>
        <w:t>7.68%</w:t>
      </w:r>
      <w:r>
        <w:rPr>
          <w:color w:val="000000"/>
          <w:sz w:val="24"/>
          <w:szCs w:val="24"/>
        </w:rPr>
        <w:t>，其中申万医药生物指数上涨</w:t>
      </w:r>
      <w:r>
        <w:rPr>
          <w:color w:val="000000"/>
          <w:sz w:val="24"/>
          <w:szCs w:val="24"/>
        </w:rPr>
        <w:t>6.36%</w:t>
      </w:r>
      <w:r>
        <w:rPr>
          <w:color w:val="000000"/>
          <w:sz w:val="24"/>
          <w:szCs w:val="24"/>
        </w:rPr>
        <w:t>，处于行业中游水平。</w:t>
      </w:r>
    </w:p>
    <w:p w:rsidR="004E75E2" w:rsidRDefault="00FE03C7">
      <w:pPr>
        <w:spacing w:before="29" w:line="288" w:lineRule="auto"/>
        <w:ind w:firstLineChars="200" w:firstLine="480"/>
        <w:rPr>
          <w:color w:val="000000"/>
          <w:sz w:val="24"/>
          <w:szCs w:val="24"/>
        </w:rPr>
      </w:pPr>
      <w:r>
        <w:rPr>
          <w:color w:val="000000"/>
          <w:sz w:val="24"/>
          <w:szCs w:val="24"/>
        </w:rPr>
        <w:t>全球经济继续降温，美国经济数据下行，全球有望开启流动性宽松趋势。中国权益资产或存在结构化机会，优质权益资产的配置还处于初级阶段，海外资金（包括指数配置型）有望将持续流入。</w:t>
      </w:r>
    </w:p>
    <w:p w:rsidR="004E75E2" w:rsidRDefault="00FE03C7">
      <w:pPr>
        <w:spacing w:before="29" w:line="288" w:lineRule="auto"/>
        <w:ind w:firstLineChars="200" w:firstLine="480"/>
        <w:rPr>
          <w:color w:val="000000"/>
          <w:sz w:val="24"/>
          <w:szCs w:val="24"/>
        </w:rPr>
      </w:pPr>
      <w:r>
        <w:rPr>
          <w:color w:val="000000"/>
          <w:sz w:val="24"/>
          <w:szCs w:val="24"/>
        </w:rPr>
        <w:t>报告期内，考虑到医药股估值水平（历史偏上），组合进行相对均衡的配置，增配了部分处于估值底部、负面预期已消化的品种以及因短期业绩低预期而错杀、长期逻辑顺畅的品种。</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展望</w:t>
      </w:r>
      <w:r w:rsidRPr="00414345">
        <w:rPr>
          <w:color w:val="000000"/>
          <w:sz w:val="24"/>
          <w:szCs w:val="24"/>
        </w:rPr>
        <w:t>2019</w:t>
      </w:r>
      <w:r w:rsidRPr="00414345">
        <w:rPr>
          <w:color w:val="000000"/>
          <w:sz w:val="24"/>
          <w:szCs w:val="24"/>
        </w:rPr>
        <w:t>年四季度，组合内部分个股有望享受估值切换的收益，同时我们将继续</w:t>
      </w:r>
      <w:r w:rsidRPr="00414345">
        <w:rPr>
          <w:color w:val="000000"/>
          <w:sz w:val="24"/>
          <w:szCs w:val="24"/>
        </w:rPr>
        <w:lastRenderedPageBreak/>
        <w:t>看好高景气度的细分板块（服务、器械、新药产业链等），看好提供真正优质服务或产品的公司，医药板块具备需求稳定、穿越周期的消费属性，具备技术迭代、供给拉动需求的科技属性，长期的良好回报可期。</w:t>
      </w:r>
    </w:p>
    <w:p w:rsidR="00627E2D" w:rsidRPr="00414345" w:rsidRDefault="00627E2D"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4.5</w:t>
      </w:r>
      <w:r w:rsidRPr="00414345">
        <w:rPr>
          <w:b/>
          <w:color w:val="000000"/>
          <w:kern w:val="0"/>
          <w:sz w:val="24"/>
        </w:rPr>
        <w:t>报告期内基金的业绩表现</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本基金（各类）份额净值及业绩表现请见</w:t>
      </w:r>
      <w:r w:rsidRPr="00414345">
        <w:rPr>
          <w:color w:val="000000"/>
          <w:sz w:val="24"/>
          <w:szCs w:val="24"/>
        </w:rPr>
        <w:t>“3.1</w:t>
      </w:r>
      <w:r w:rsidRPr="00414345">
        <w:rPr>
          <w:color w:val="000000"/>
          <w:sz w:val="24"/>
          <w:szCs w:val="24"/>
        </w:rPr>
        <w:t>主要财务指标</w:t>
      </w:r>
      <w:r w:rsidRPr="00414345">
        <w:rPr>
          <w:color w:val="000000"/>
          <w:sz w:val="24"/>
          <w:szCs w:val="24"/>
        </w:rPr>
        <w:t xml:space="preserve">” </w:t>
      </w:r>
      <w:r w:rsidRPr="00414345">
        <w:rPr>
          <w:color w:val="000000"/>
          <w:sz w:val="24"/>
          <w:szCs w:val="24"/>
        </w:rPr>
        <w:t>及</w:t>
      </w:r>
      <w:r w:rsidRPr="00414345">
        <w:rPr>
          <w:color w:val="000000"/>
          <w:sz w:val="24"/>
          <w:szCs w:val="24"/>
        </w:rPr>
        <w:t xml:space="preserve">“3.2.1 </w:t>
      </w:r>
      <w:r w:rsidRPr="00414345">
        <w:rPr>
          <w:color w:val="000000"/>
          <w:sz w:val="24"/>
          <w:szCs w:val="24"/>
        </w:rPr>
        <w:t>本报告期基金份额净值增长率及其与同期业绩比较基准收益率的比较</w:t>
      </w:r>
      <w:r w:rsidRPr="00414345">
        <w:rPr>
          <w:color w:val="000000"/>
          <w:sz w:val="24"/>
          <w:szCs w:val="24"/>
        </w:rPr>
        <w:t>”</w:t>
      </w:r>
      <w:r w:rsidRPr="00414345">
        <w:rPr>
          <w:color w:val="000000"/>
          <w:sz w:val="24"/>
          <w:szCs w:val="24"/>
        </w:rPr>
        <w:t>部分披露。</w:t>
      </w:r>
    </w:p>
    <w:p w:rsidR="009C5186" w:rsidRPr="00414345" w:rsidRDefault="009C5186" w:rsidP="00C15CAC">
      <w:pPr>
        <w:spacing w:before="29" w:line="288" w:lineRule="auto"/>
        <w:ind w:firstLineChars="200" w:firstLine="480"/>
        <w:rPr>
          <w:color w:val="000000"/>
          <w:sz w:val="24"/>
          <w:szCs w:val="24"/>
        </w:rPr>
      </w:pPr>
    </w:p>
    <w:p w:rsidR="00421CD2" w:rsidRPr="002070B4" w:rsidRDefault="00421CD2" w:rsidP="00421CD2">
      <w:pPr>
        <w:autoSpaceDE w:val="0"/>
        <w:autoSpaceDN w:val="0"/>
        <w:adjustRightInd w:val="0"/>
        <w:spacing w:before="29" w:line="288" w:lineRule="auto"/>
        <w:jc w:val="left"/>
        <w:rPr>
          <w:b/>
          <w:color w:val="000000"/>
          <w:kern w:val="0"/>
          <w:sz w:val="24"/>
        </w:rPr>
      </w:pPr>
      <w:r w:rsidRPr="002070B4">
        <w:rPr>
          <w:b/>
          <w:color w:val="000000"/>
          <w:kern w:val="0"/>
          <w:sz w:val="24"/>
        </w:rPr>
        <w:t>4</w:t>
      </w:r>
      <w:r w:rsidRPr="002070B4">
        <w:rPr>
          <w:rFonts w:hint="eastAsia"/>
          <w:b/>
          <w:color w:val="000000"/>
          <w:kern w:val="0"/>
          <w:sz w:val="24"/>
        </w:rPr>
        <w:t>.6</w:t>
      </w:r>
      <w:r w:rsidRPr="002070B4">
        <w:rPr>
          <w:rFonts w:hint="eastAsia"/>
          <w:b/>
          <w:color w:val="000000"/>
          <w:kern w:val="0"/>
          <w:sz w:val="24"/>
        </w:rPr>
        <w:t>报告期内基金持有人数或基金资产净值预警说明</w:t>
      </w:r>
    </w:p>
    <w:p w:rsidR="00421CD2" w:rsidRDefault="00421CD2" w:rsidP="00421CD2">
      <w:pPr>
        <w:spacing w:before="29" w:line="288" w:lineRule="auto"/>
        <w:ind w:firstLineChars="200" w:firstLine="480"/>
        <w:rPr>
          <w:color w:val="000000"/>
          <w:sz w:val="24"/>
        </w:rPr>
      </w:pPr>
      <w:r w:rsidRPr="002070B4">
        <w:rPr>
          <w:color w:val="000000"/>
          <w:sz w:val="24"/>
        </w:rPr>
        <w:t>本基金本报告期内无需预警说明。</w:t>
      </w: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1C0993" w:rsidRPr="00414345">
        <w:rPr>
          <w:color w:val="000000"/>
          <w:kern w:val="0"/>
          <w:sz w:val="24"/>
          <w:szCs w:val="24"/>
        </w:rPr>
        <w:t>5</w:t>
      </w:r>
      <w:r w:rsidR="00834E74">
        <w:rPr>
          <w:color w:val="000000"/>
          <w:kern w:val="0"/>
          <w:sz w:val="24"/>
          <w:szCs w:val="24"/>
        </w:rPr>
        <w:t xml:space="preserve">  </w:t>
      </w:r>
      <w:r w:rsidRPr="00414345">
        <w:rPr>
          <w:color w:val="000000"/>
          <w:kern w:val="0"/>
          <w:sz w:val="24"/>
          <w:szCs w:val="24"/>
        </w:rPr>
        <w:t>投资组合报告</w:t>
      </w:r>
    </w:p>
    <w:p w:rsidR="00BF0019" w:rsidRDefault="00BF0019" w:rsidP="00BF0019">
      <w:pPr>
        <w:autoSpaceDE w:val="0"/>
        <w:autoSpaceDN w:val="0"/>
        <w:adjustRightInd w:val="0"/>
        <w:spacing w:line="360" w:lineRule="auto"/>
        <w:jc w:val="left"/>
        <w:rPr>
          <w:rFonts w:eastAsiaTheme="minorEastAsia"/>
          <w:b/>
          <w:color w:val="000000" w:themeColor="text1"/>
          <w:kern w:val="0"/>
          <w:sz w:val="24"/>
          <w:szCs w:val="24"/>
        </w:rPr>
      </w:pPr>
      <w:r w:rsidRPr="007B5F21">
        <w:rPr>
          <w:rFonts w:eastAsiaTheme="minorEastAsia"/>
          <w:b/>
          <w:color w:val="000000" w:themeColor="text1"/>
          <w:kern w:val="0"/>
          <w:sz w:val="24"/>
          <w:szCs w:val="24"/>
        </w:rPr>
        <w:t xml:space="preserve">5.1 </w:t>
      </w:r>
      <w:r w:rsidRPr="007B5F21">
        <w:rPr>
          <w:rFonts w:eastAsiaTheme="minorEastAsia"/>
          <w:b/>
          <w:color w:val="000000" w:themeColor="text1"/>
          <w:kern w:val="0"/>
          <w:sz w:val="24"/>
          <w:szCs w:val="24"/>
        </w:rPr>
        <w:t>报告期末基金资产组合情况</w:t>
      </w:r>
    </w:p>
    <w:p w:rsidR="006B5F69" w:rsidRPr="007B5F21" w:rsidRDefault="009C1009" w:rsidP="009C1009">
      <w:pPr>
        <w:autoSpaceDE w:val="0"/>
        <w:autoSpaceDN w:val="0"/>
        <w:adjustRightInd w:val="0"/>
        <w:spacing w:line="360" w:lineRule="auto"/>
        <w:jc w:val="right"/>
        <w:rPr>
          <w:rFonts w:eastAsiaTheme="minorEastAsia"/>
          <w:b/>
          <w:color w:val="000000" w:themeColor="text1"/>
          <w:kern w:val="0"/>
          <w:sz w:val="24"/>
          <w:szCs w:val="24"/>
        </w:rPr>
      </w:pPr>
      <w:r w:rsidRPr="009C1009">
        <w:rPr>
          <w:rFonts w:hint="eastAsia"/>
          <w:color w:val="000000"/>
          <w:kern w:val="0"/>
        </w:rPr>
        <w:t>金额单位：人民币元</w:t>
      </w:r>
    </w:p>
    <w:tbl>
      <w:tblPr>
        <w:tblStyle w:val="af7"/>
        <w:tblW w:w="8897" w:type="dxa"/>
        <w:tblInd w:w="108" w:type="dxa"/>
        <w:tblLayout w:type="fixed"/>
        <w:tblLook w:val="04A0" w:firstRow="1" w:lastRow="0" w:firstColumn="1" w:lastColumn="0" w:noHBand="0" w:noVBand="1"/>
      </w:tblPr>
      <w:tblGrid>
        <w:gridCol w:w="720"/>
        <w:gridCol w:w="2682"/>
        <w:gridCol w:w="2552"/>
        <w:gridCol w:w="2943"/>
      </w:tblGrid>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序号</w:t>
            </w:r>
          </w:p>
        </w:tc>
        <w:tc>
          <w:tcPr>
            <w:tcW w:w="2682"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项目</w:t>
            </w:r>
          </w:p>
        </w:tc>
        <w:tc>
          <w:tcPr>
            <w:tcW w:w="2552"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金额</w:t>
            </w:r>
          </w:p>
        </w:tc>
        <w:tc>
          <w:tcPr>
            <w:tcW w:w="2943"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占基金总资产的比例</w:t>
            </w:r>
            <w:r w:rsidR="0018138B">
              <w:rPr>
                <w:rFonts w:eastAsiaTheme="minorEastAsia" w:hint="eastAsia"/>
                <w:color w:val="000000" w:themeColor="text1"/>
                <w:sz w:val="24"/>
                <w:szCs w:val="24"/>
              </w:rPr>
              <w:t>(</w:t>
            </w:r>
            <w:r w:rsidR="0018138B">
              <w:rPr>
                <w:rFonts w:eastAsiaTheme="minorEastAsia"/>
                <w:color w:val="000000" w:themeColor="text1"/>
                <w:sz w:val="24"/>
                <w:szCs w:val="24"/>
              </w:rPr>
              <w:t>%</w:t>
            </w:r>
            <w:r w:rsidR="0018138B">
              <w:rPr>
                <w:rFonts w:eastAsiaTheme="minorEastAsia" w:hint="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1</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权益投资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374,973,607.08</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85.38</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其中：股票</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374,973,607.08</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85.38</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2</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ascii="宋体" w:hAnsi="宋体" w:hint="eastAsia"/>
                <w:sz w:val="24"/>
                <w:szCs w:val="24"/>
              </w:rPr>
              <w:t>基金投资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3</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固定收益投资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323,986.95</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0.07</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其中：债券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323,986.95</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0.07</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7B5F21">
            <w:pPr>
              <w:autoSpaceDE w:val="0"/>
              <w:autoSpaceDN w:val="0"/>
              <w:adjustRightInd w:val="0"/>
              <w:spacing w:before="29" w:line="360" w:lineRule="auto"/>
              <w:ind w:left="17" w:firstLineChars="300" w:firstLine="720"/>
              <w:jc w:val="left"/>
              <w:rPr>
                <w:rFonts w:eastAsiaTheme="minorEastAsia"/>
                <w:color w:val="000000" w:themeColor="text1"/>
                <w:sz w:val="24"/>
                <w:szCs w:val="24"/>
              </w:rPr>
            </w:pPr>
            <w:r w:rsidRPr="007B5F21">
              <w:rPr>
                <w:rFonts w:eastAsiaTheme="minorEastAsia"/>
                <w:color w:val="000000" w:themeColor="text1"/>
                <w:sz w:val="24"/>
                <w:szCs w:val="24"/>
              </w:rPr>
              <w:t>资产支持证券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4</w:t>
            </w:r>
          </w:p>
        </w:tc>
        <w:tc>
          <w:tcPr>
            <w:tcW w:w="2682" w:type="dxa"/>
            <w:vAlign w:val="center"/>
          </w:tcPr>
          <w:p w:rsidR="00BF0019" w:rsidRPr="007B5F21" w:rsidRDefault="00BF0019" w:rsidP="002D2971">
            <w:pPr>
              <w:spacing w:before="29" w:line="360" w:lineRule="auto"/>
              <w:ind w:leftChars="50" w:left="105"/>
              <w:rPr>
                <w:rFonts w:eastAsiaTheme="minorEastAsia"/>
                <w:color w:val="000000" w:themeColor="text1"/>
                <w:sz w:val="24"/>
                <w:szCs w:val="24"/>
              </w:rPr>
            </w:pPr>
            <w:r w:rsidRPr="007B5F21">
              <w:rPr>
                <w:rFonts w:eastAsiaTheme="minorEastAsia"/>
                <w:color w:val="000000" w:themeColor="text1"/>
                <w:sz w:val="24"/>
                <w:szCs w:val="24"/>
              </w:rPr>
              <w:t>贵金属投资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5</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金融衍生品投资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6</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其中：买断式回购的买入返售金融资产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7</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银行存款和结算备付金合计</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59,786,503.52</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13.61</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8</w:t>
            </w:r>
          </w:p>
        </w:tc>
        <w:tc>
          <w:tcPr>
            <w:tcW w:w="2682"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其他各项资产</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4,072,893.98</w:t>
            </w:r>
          </w:p>
        </w:tc>
        <w:tc>
          <w:tcPr>
            <w:tcW w:w="2943"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0.93</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9</w:t>
            </w:r>
          </w:p>
        </w:tc>
        <w:tc>
          <w:tcPr>
            <w:tcW w:w="2682"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合计</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439,156,991.53</w:t>
            </w:r>
          </w:p>
        </w:tc>
        <w:tc>
          <w:tcPr>
            <w:tcW w:w="2943"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100.00</w:t>
            </w:r>
          </w:p>
        </w:tc>
      </w:tr>
    </w:tbl>
    <w:p w:rsidR="004061AC" w:rsidRPr="00414345" w:rsidRDefault="004061AC" w:rsidP="00C15CAC">
      <w:pPr>
        <w:autoSpaceDE w:val="0"/>
        <w:autoSpaceDN w:val="0"/>
        <w:adjustRightInd w:val="0"/>
        <w:spacing w:before="29" w:line="288" w:lineRule="auto"/>
        <w:jc w:val="left"/>
        <w:rPr>
          <w:color w:val="00000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5.2 </w:t>
      </w:r>
      <w:r w:rsidRPr="00414345">
        <w:rPr>
          <w:b/>
          <w:bCs/>
          <w:color w:val="000000"/>
          <w:kern w:val="0"/>
          <w:sz w:val="24"/>
          <w:szCs w:val="24"/>
        </w:rPr>
        <w:t>报告期末按行业分类的股票投资组合</w:t>
      </w:r>
    </w:p>
    <w:p w:rsidR="00F51C4E" w:rsidRDefault="00F51C4E" w:rsidP="00F51C4E">
      <w:pPr>
        <w:rPr>
          <w:rFonts w:eastAsiaTheme="minorEastAsia"/>
          <w:b/>
          <w:color w:val="000000" w:themeColor="text1"/>
          <w:kern w:val="0"/>
          <w:sz w:val="24"/>
        </w:rPr>
      </w:pPr>
      <w:r w:rsidRPr="004A3846">
        <w:rPr>
          <w:rFonts w:eastAsiaTheme="minorEastAsia" w:hint="eastAsia"/>
          <w:b/>
          <w:color w:val="000000" w:themeColor="text1"/>
          <w:kern w:val="0"/>
          <w:sz w:val="24"/>
        </w:rPr>
        <w:t>5.2.1</w:t>
      </w:r>
      <w:r w:rsidRPr="004A3846">
        <w:rPr>
          <w:rFonts w:eastAsiaTheme="minorEastAsia" w:hint="eastAsia"/>
          <w:b/>
          <w:color w:val="000000" w:themeColor="text1"/>
          <w:kern w:val="0"/>
          <w:sz w:val="24"/>
        </w:rPr>
        <w:t>报告期末按行业分类的境内股票投资组合</w:t>
      </w:r>
    </w:p>
    <w:p w:rsidR="007B2639" w:rsidRPr="007B2639" w:rsidRDefault="009C1009" w:rsidP="009C1009">
      <w:pPr>
        <w:jc w:val="right"/>
        <w:rPr>
          <w:sz w:val="24"/>
        </w:rPr>
      </w:pPr>
      <w:r w:rsidRPr="009C1009">
        <w:rPr>
          <w:rFonts w:eastAsiaTheme="minorEastAsia" w:hint="eastAsia"/>
          <w:color w:val="000000" w:themeColor="text1"/>
          <w:kern w:val="0"/>
          <w:sz w:val="24"/>
        </w:rPr>
        <w:t>金额单位：人民币元</w:t>
      </w:r>
    </w:p>
    <w:tbl>
      <w:tblPr>
        <w:tblW w:w="8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 w:type="dxa"/>
          <w:left w:w="0" w:type="dxa"/>
          <w:bottom w:w="-1" w:type="dxa"/>
          <w:right w:w="0" w:type="dxa"/>
        </w:tblCellMar>
        <w:tblLook w:val="0000" w:firstRow="0" w:lastRow="0" w:firstColumn="0" w:lastColumn="0" w:noHBand="0" w:noVBand="0"/>
      </w:tblPr>
      <w:tblGrid>
        <w:gridCol w:w="845"/>
        <w:gridCol w:w="3544"/>
        <w:gridCol w:w="2841"/>
        <w:gridCol w:w="1638"/>
      </w:tblGrid>
      <w:tr w:rsidR="00531F10" w:rsidRPr="00414345" w:rsidTr="006C2C1B">
        <w:trPr>
          <w:trHeight w:val="390"/>
          <w:jc w:val="center"/>
        </w:trPr>
        <w:tc>
          <w:tcPr>
            <w:tcW w:w="84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代码</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行业类别</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B11F31" w:rsidP="00C15CAC">
            <w:pPr>
              <w:adjustRightInd w:val="0"/>
              <w:snapToGrid w:val="0"/>
              <w:spacing w:before="29" w:line="288" w:lineRule="auto"/>
              <w:jc w:val="center"/>
              <w:rPr>
                <w:sz w:val="24"/>
                <w:szCs w:val="24"/>
              </w:rPr>
            </w:pPr>
            <w:r>
              <w:rPr>
                <w:sz w:val="24"/>
                <w:szCs w:val="24"/>
              </w:rPr>
              <w:t>公允价值</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占基金资产净值比例（％）</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A</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农、林、牧、渔业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B</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采矿业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C</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制造业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245,075,983.73</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56.49</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D</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电力、热力、燃气及水生产和供应业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E</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建筑业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F</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批发和零售业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12,754,752.56</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2.94</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G</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交通运输、仓储和邮政业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7,674,836.00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1.77</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H</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住宿和餐饮业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DC28F1">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I</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DC28F1">
            <w:pPr>
              <w:adjustRightInd w:val="0"/>
              <w:snapToGrid w:val="0"/>
              <w:spacing w:before="29" w:line="288" w:lineRule="auto"/>
              <w:rPr>
                <w:sz w:val="24"/>
                <w:szCs w:val="24"/>
              </w:rPr>
            </w:pPr>
            <w:r w:rsidRPr="00414345">
              <w:rPr>
                <w:sz w:val="24"/>
                <w:szCs w:val="24"/>
              </w:rPr>
              <w:t>信息传输、软件和信息技术服务业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3,640,816.40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0.84</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J</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金融业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45,278.20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0.01</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K</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房地产业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4,527,593.00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1.04</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L</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租赁和商务服务业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M</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科学研究和技术服务业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22,131,750.88</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5.10</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N</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水利、环境和公共设施管理业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O</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居民服务、修理和其他服务业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P</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教育</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Q</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卫生和社会工作</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79,104,539.95</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18.23</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R</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文化、体育和娱乐业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18,056.36</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0.00</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S</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综合</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合计</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374,973,607.08</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86.43</w:t>
            </w:r>
          </w:p>
        </w:tc>
      </w:tr>
    </w:tbl>
    <w:p w:rsidR="00F51C4E" w:rsidRPr="008A409E" w:rsidRDefault="00F51C4E" w:rsidP="00F51C4E">
      <w:pPr>
        <w:jc w:val="left"/>
        <w:rPr>
          <w:rFonts w:asciiTheme="minorEastAsia" w:eastAsiaTheme="minorEastAsia" w:hAnsiTheme="minorEastAsia"/>
          <w:b/>
          <w:bCs/>
          <w:color w:val="000000" w:themeColor="text1"/>
          <w:kern w:val="0"/>
          <w:sz w:val="24"/>
        </w:rPr>
      </w:pPr>
      <w:r w:rsidRPr="008A409E">
        <w:rPr>
          <w:rFonts w:asciiTheme="minorEastAsia" w:eastAsiaTheme="minorEastAsia" w:hAnsiTheme="minorEastAsia" w:hint="eastAsia"/>
          <w:b/>
          <w:bCs/>
          <w:color w:val="000000" w:themeColor="text1"/>
          <w:kern w:val="0"/>
          <w:sz w:val="24"/>
        </w:rPr>
        <w:t>5.2.2报告期末按行业分类的</w:t>
      </w:r>
      <w:r w:rsidR="00EE49FE">
        <w:rPr>
          <w:rFonts w:asciiTheme="minorEastAsia" w:eastAsiaTheme="minorEastAsia" w:hAnsiTheme="minorEastAsia" w:hint="eastAsia"/>
          <w:b/>
          <w:bCs/>
          <w:color w:val="000000" w:themeColor="text1"/>
          <w:kern w:val="0"/>
          <w:sz w:val="24"/>
        </w:rPr>
        <w:t>港股通</w:t>
      </w:r>
      <w:r w:rsidRPr="008A409E">
        <w:rPr>
          <w:rFonts w:asciiTheme="minorEastAsia" w:eastAsiaTheme="minorEastAsia" w:hAnsiTheme="minorEastAsia" w:hint="eastAsia"/>
          <w:b/>
          <w:bCs/>
          <w:color w:val="000000" w:themeColor="text1"/>
          <w:kern w:val="0"/>
          <w:sz w:val="24"/>
        </w:rPr>
        <w:t>投资股票投资组合</w:t>
      </w:r>
    </w:p>
    <w:p w:rsidR="00F51C4E" w:rsidRDefault="00F51C4E" w:rsidP="00F51C4E">
      <w:pPr>
        <w:spacing w:before="29" w:line="360" w:lineRule="auto"/>
        <w:ind w:left="17"/>
        <w:rPr>
          <w:color w:val="000000"/>
          <w:sz w:val="24"/>
        </w:rPr>
      </w:pPr>
      <w:r w:rsidRPr="00FF0BBF">
        <w:rPr>
          <w:color w:val="000000"/>
          <w:sz w:val="24"/>
        </w:rPr>
        <w:t>本基金本报告期末未持有通过港股通投资的股票。</w:t>
      </w:r>
    </w:p>
    <w:p w:rsidR="004061AC" w:rsidRPr="00F51C4E"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5.3 </w:t>
      </w:r>
      <w:r w:rsidRPr="00414345">
        <w:rPr>
          <w:b/>
          <w:bCs/>
          <w:color w:val="000000"/>
          <w:kern w:val="0"/>
          <w:sz w:val="24"/>
          <w:szCs w:val="24"/>
        </w:rPr>
        <w:t>报告期末按公允价值占基金资产净值比例大小排序的前十名股票投资明细</w:t>
      </w:r>
    </w:p>
    <w:tbl>
      <w:tblPr>
        <w:tblStyle w:val="af7"/>
        <w:tblW w:w="8868" w:type="dxa"/>
        <w:jc w:val="center"/>
        <w:tblLayout w:type="fixed"/>
        <w:tblCellMar>
          <w:top w:w="57" w:type="dxa"/>
          <w:bottom w:w="57" w:type="dxa"/>
        </w:tblCellMar>
        <w:tblLook w:val="04A0" w:firstRow="1" w:lastRow="0" w:firstColumn="1" w:lastColumn="0" w:noHBand="0" w:noVBand="1"/>
      </w:tblPr>
      <w:tblGrid>
        <w:gridCol w:w="855"/>
        <w:gridCol w:w="1334"/>
        <w:gridCol w:w="1777"/>
        <w:gridCol w:w="1334"/>
        <w:gridCol w:w="1924"/>
        <w:gridCol w:w="1644"/>
      </w:tblGrid>
      <w:tr w:rsidR="00AC592E" w:rsidRPr="00414345" w:rsidTr="00A324F4">
        <w:trPr>
          <w:jc w:val="center"/>
        </w:trPr>
        <w:tc>
          <w:tcPr>
            <w:tcW w:w="869"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lastRenderedPageBreak/>
              <w:t>序号</w:t>
            </w:r>
          </w:p>
        </w:tc>
        <w:tc>
          <w:tcPr>
            <w:tcW w:w="1357"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股票代码</w:t>
            </w:r>
          </w:p>
        </w:tc>
        <w:tc>
          <w:tcPr>
            <w:tcW w:w="1810"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股票名称</w:t>
            </w:r>
          </w:p>
        </w:tc>
        <w:tc>
          <w:tcPr>
            <w:tcW w:w="1357"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数量</w:t>
            </w:r>
            <w:r w:rsidR="00B47982" w:rsidRPr="00414345">
              <w:rPr>
                <w:color w:val="000000"/>
                <w:sz w:val="24"/>
              </w:rPr>
              <w:t>（股）</w:t>
            </w:r>
          </w:p>
        </w:tc>
        <w:tc>
          <w:tcPr>
            <w:tcW w:w="1960" w:type="dxa"/>
            <w:vAlign w:val="center"/>
          </w:tcPr>
          <w:p w:rsidR="00853140" w:rsidRPr="00414345" w:rsidRDefault="00853140"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公允价值</w:t>
            </w:r>
            <w:r w:rsidRPr="00414345">
              <w:rPr>
                <w:color w:val="000000"/>
                <w:sz w:val="24"/>
                <w:szCs w:val="24"/>
              </w:rPr>
              <w:t>(</w:t>
            </w:r>
            <w:r w:rsidRPr="00414345">
              <w:rPr>
                <w:color w:val="000000"/>
                <w:sz w:val="24"/>
                <w:szCs w:val="24"/>
              </w:rPr>
              <w:t>元</w:t>
            </w:r>
            <w:r w:rsidRPr="00414345">
              <w:rPr>
                <w:color w:val="000000"/>
                <w:sz w:val="24"/>
                <w:szCs w:val="24"/>
              </w:rPr>
              <w:t>)</w:t>
            </w:r>
          </w:p>
        </w:tc>
        <w:tc>
          <w:tcPr>
            <w:tcW w:w="1674"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占基金资产净值比例</w:t>
            </w:r>
            <w:r w:rsidR="00B47982" w:rsidRPr="00414345">
              <w:rPr>
                <w:color w:val="000000"/>
                <w:sz w:val="24"/>
              </w:rPr>
              <w:t>（％）</w:t>
            </w:r>
          </w:p>
        </w:tc>
      </w:tr>
      <w:tr w:rsidR="004E75E2">
        <w:trPr>
          <w:jc w:val="center"/>
        </w:trPr>
        <w:tc>
          <w:tcPr>
            <w:tcW w:w="855" w:type="dxa"/>
            <w:vAlign w:val="center"/>
          </w:tcPr>
          <w:p w:rsidR="004E75E2" w:rsidRDefault="00FE03C7">
            <w:pPr>
              <w:jc w:val="center"/>
            </w:pPr>
            <w:r>
              <w:rPr>
                <w:color w:val="000000"/>
                <w:sz w:val="24"/>
                <w:szCs w:val="24"/>
              </w:rPr>
              <w:t>1</w:t>
            </w:r>
          </w:p>
        </w:tc>
        <w:tc>
          <w:tcPr>
            <w:tcW w:w="1334" w:type="dxa"/>
            <w:vAlign w:val="center"/>
          </w:tcPr>
          <w:p w:rsidR="004E75E2" w:rsidRDefault="00FE03C7">
            <w:pPr>
              <w:jc w:val="center"/>
            </w:pPr>
            <w:r>
              <w:rPr>
                <w:color w:val="000000"/>
                <w:sz w:val="24"/>
                <w:szCs w:val="24"/>
              </w:rPr>
              <w:t>600276</w:t>
            </w:r>
          </w:p>
        </w:tc>
        <w:tc>
          <w:tcPr>
            <w:tcW w:w="1777" w:type="dxa"/>
            <w:vAlign w:val="center"/>
          </w:tcPr>
          <w:p w:rsidR="004E75E2" w:rsidRDefault="00FE03C7">
            <w:pPr>
              <w:jc w:val="center"/>
            </w:pPr>
            <w:r>
              <w:rPr>
                <w:color w:val="000000"/>
                <w:sz w:val="24"/>
                <w:szCs w:val="24"/>
              </w:rPr>
              <w:t>恒瑞医药</w:t>
            </w:r>
          </w:p>
        </w:tc>
        <w:tc>
          <w:tcPr>
            <w:tcW w:w="1334" w:type="dxa"/>
            <w:vAlign w:val="center"/>
          </w:tcPr>
          <w:p w:rsidR="004E75E2" w:rsidRDefault="00FE03C7">
            <w:pPr>
              <w:jc w:val="right"/>
            </w:pPr>
            <w:r>
              <w:rPr>
                <w:color w:val="000000"/>
                <w:sz w:val="24"/>
                <w:szCs w:val="24"/>
              </w:rPr>
              <w:t>383,842</w:t>
            </w:r>
          </w:p>
        </w:tc>
        <w:tc>
          <w:tcPr>
            <w:tcW w:w="1924" w:type="dxa"/>
            <w:vAlign w:val="center"/>
          </w:tcPr>
          <w:p w:rsidR="004E75E2" w:rsidRDefault="00FE03C7">
            <w:pPr>
              <w:jc w:val="right"/>
            </w:pPr>
            <w:r>
              <w:rPr>
                <w:color w:val="000000"/>
                <w:sz w:val="24"/>
                <w:szCs w:val="24"/>
              </w:rPr>
              <w:t>30,968,372.56</w:t>
            </w:r>
          </w:p>
        </w:tc>
        <w:tc>
          <w:tcPr>
            <w:tcW w:w="1644" w:type="dxa"/>
            <w:vAlign w:val="center"/>
          </w:tcPr>
          <w:p w:rsidR="004E75E2" w:rsidRDefault="00FE03C7">
            <w:pPr>
              <w:jc w:val="right"/>
            </w:pPr>
            <w:r>
              <w:rPr>
                <w:color w:val="000000"/>
                <w:sz w:val="24"/>
                <w:szCs w:val="24"/>
              </w:rPr>
              <w:t>7.14</w:t>
            </w:r>
          </w:p>
        </w:tc>
      </w:tr>
      <w:tr w:rsidR="004E75E2">
        <w:trPr>
          <w:jc w:val="center"/>
        </w:trPr>
        <w:tc>
          <w:tcPr>
            <w:tcW w:w="855" w:type="dxa"/>
            <w:vAlign w:val="center"/>
          </w:tcPr>
          <w:p w:rsidR="004E75E2" w:rsidRDefault="00FE03C7">
            <w:pPr>
              <w:jc w:val="center"/>
            </w:pPr>
            <w:r>
              <w:rPr>
                <w:color w:val="000000"/>
                <w:sz w:val="24"/>
                <w:szCs w:val="24"/>
              </w:rPr>
              <w:t>2</w:t>
            </w:r>
          </w:p>
        </w:tc>
        <w:tc>
          <w:tcPr>
            <w:tcW w:w="1334" w:type="dxa"/>
            <w:vAlign w:val="center"/>
          </w:tcPr>
          <w:p w:rsidR="004E75E2" w:rsidRDefault="00FE03C7">
            <w:pPr>
              <w:jc w:val="center"/>
            </w:pPr>
            <w:r>
              <w:rPr>
                <w:color w:val="000000"/>
                <w:sz w:val="24"/>
                <w:szCs w:val="24"/>
              </w:rPr>
              <w:t>600529</w:t>
            </w:r>
          </w:p>
        </w:tc>
        <w:tc>
          <w:tcPr>
            <w:tcW w:w="1777" w:type="dxa"/>
            <w:vAlign w:val="center"/>
          </w:tcPr>
          <w:p w:rsidR="004E75E2" w:rsidRDefault="00FE03C7">
            <w:pPr>
              <w:jc w:val="center"/>
            </w:pPr>
            <w:r>
              <w:rPr>
                <w:color w:val="000000"/>
                <w:sz w:val="24"/>
                <w:szCs w:val="24"/>
              </w:rPr>
              <w:t>山东药玻</w:t>
            </w:r>
          </w:p>
        </w:tc>
        <w:tc>
          <w:tcPr>
            <w:tcW w:w="1334" w:type="dxa"/>
            <w:vAlign w:val="center"/>
          </w:tcPr>
          <w:p w:rsidR="004E75E2" w:rsidRDefault="00FE03C7">
            <w:pPr>
              <w:jc w:val="right"/>
            </w:pPr>
            <w:r>
              <w:rPr>
                <w:color w:val="000000"/>
                <w:sz w:val="24"/>
                <w:szCs w:val="24"/>
              </w:rPr>
              <w:t>1,240,808</w:t>
            </w:r>
          </w:p>
        </w:tc>
        <w:tc>
          <w:tcPr>
            <w:tcW w:w="1924" w:type="dxa"/>
            <w:vAlign w:val="center"/>
          </w:tcPr>
          <w:p w:rsidR="004E75E2" w:rsidRDefault="00FE03C7">
            <w:pPr>
              <w:jc w:val="right"/>
            </w:pPr>
            <w:r>
              <w:rPr>
                <w:color w:val="000000"/>
                <w:sz w:val="24"/>
                <w:szCs w:val="24"/>
              </w:rPr>
              <w:t>28,935,642.56</w:t>
            </w:r>
          </w:p>
        </w:tc>
        <w:tc>
          <w:tcPr>
            <w:tcW w:w="1644" w:type="dxa"/>
            <w:vAlign w:val="center"/>
          </w:tcPr>
          <w:p w:rsidR="004E75E2" w:rsidRDefault="00FE03C7">
            <w:pPr>
              <w:jc w:val="right"/>
            </w:pPr>
            <w:r>
              <w:rPr>
                <w:color w:val="000000"/>
                <w:sz w:val="24"/>
                <w:szCs w:val="24"/>
              </w:rPr>
              <w:t>6.67</w:t>
            </w:r>
          </w:p>
        </w:tc>
      </w:tr>
      <w:tr w:rsidR="004E75E2">
        <w:trPr>
          <w:jc w:val="center"/>
        </w:trPr>
        <w:tc>
          <w:tcPr>
            <w:tcW w:w="855" w:type="dxa"/>
            <w:vAlign w:val="center"/>
          </w:tcPr>
          <w:p w:rsidR="004E75E2" w:rsidRDefault="00FE03C7">
            <w:pPr>
              <w:jc w:val="center"/>
            </w:pPr>
            <w:r>
              <w:rPr>
                <w:color w:val="000000"/>
                <w:sz w:val="24"/>
                <w:szCs w:val="24"/>
              </w:rPr>
              <w:t>3</w:t>
            </w:r>
          </w:p>
        </w:tc>
        <w:tc>
          <w:tcPr>
            <w:tcW w:w="1334" w:type="dxa"/>
            <w:vAlign w:val="center"/>
          </w:tcPr>
          <w:p w:rsidR="004E75E2" w:rsidRDefault="00FE03C7">
            <w:pPr>
              <w:jc w:val="center"/>
            </w:pPr>
            <w:r>
              <w:rPr>
                <w:color w:val="000000"/>
                <w:sz w:val="24"/>
                <w:szCs w:val="24"/>
              </w:rPr>
              <w:t>000661</w:t>
            </w:r>
          </w:p>
        </w:tc>
        <w:tc>
          <w:tcPr>
            <w:tcW w:w="1777" w:type="dxa"/>
            <w:vAlign w:val="center"/>
          </w:tcPr>
          <w:p w:rsidR="004E75E2" w:rsidRDefault="00FE03C7">
            <w:pPr>
              <w:jc w:val="center"/>
            </w:pPr>
            <w:r>
              <w:rPr>
                <w:color w:val="000000"/>
                <w:sz w:val="24"/>
                <w:szCs w:val="24"/>
              </w:rPr>
              <w:t>长春高新</w:t>
            </w:r>
          </w:p>
        </w:tc>
        <w:tc>
          <w:tcPr>
            <w:tcW w:w="1334" w:type="dxa"/>
            <w:vAlign w:val="center"/>
          </w:tcPr>
          <w:p w:rsidR="004E75E2" w:rsidRDefault="00FE03C7">
            <w:pPr>
              <w:jc w:val="right"/>
            </w:pPr>
            <w:r>
              <w:rPr>
                <w:color w:val="000000"/>
                <w:sz w:val="24"/>
                <w:szCs w:val="24"/>
              </w:rPr>
              <w:t>57,188</w:t>
            </w:r>
          </w:p>
        </w:tc>
        <w:tc>
          <w:tcPr>
            <w:tcW w:w="1924" w:type="dxa"/>
            <w:vAlign w:val="center"/>
          </w:tcPr>
          <w:p w:rsidR="004E75E2" w:rsidRDefault="00FE03C7">
            <w:pPr>
              <w:jc w:val="right"/>
            </w:pPr>
            <w:r>
              <w:rPr>
                <w:color w:val="000000"/>
                <w:sz w:val="24"/>
                <w:szCs w:val="24"/>
              </w:rPr>
              <w:t>22,552,659.68</w:t>
            </w:r>
          </w:p>
        </w:tc>
        <w:tc>
          <w:tcPr>
            <w:tcW w:w="1644" w:type="dxa"/>
            <w:vAlign w:val="center"/>
          </w:tcPr>
          <w:p w:rsidR="004E75E2" w:rsidRDefault="00FE03C7">
            <w:pPr>
              <w:jc w:val="right"/>
            </w:pPr>
            <w:r>
              <w:rPr>
                <w:color w:val="000000"/>
                <w:sz w:val="24"/>
                <w:szCs w:val="24"/>
              </w:rPr>
              <w:t>5.20</w:t>
            </w:r>
          </w:p>
        </w:tc>
      </w:tr>
      <w:tr w:rsidR="004E75E2">
        <w:trPr>
          <w:jc w:val="center"/>
        </w:trPr>
        <w:tc>
          <w:tcPr>
            <w:tcW w:w="855" w:type="dxa"/>
            <w:vAlign w:val="center"/>
          </w:tcPr>
          <w:p w:rsidR="004E75E2" w:rsidRDefault="00FE03C7">
            <w:pPr>
              <w:jc w:val="center"/>
            </w:pPr>
            <w:r>
              <w:rPr>
                <w:color w:val="000000"/>
                <w:sz w:val="24"/>
                <w:szCs w:val="24"/>
              </w:rPr>
              <w:t>4</w:t>
            </w:r>
          </w:p>
        </w:tc>
        <w:tc>
          <w:tcPr>
            <w:tcW w:w="1334" w:type="dxa"/>
            <w:vAlign w:val="center"/>
          </w:tcPr>
          <w:p w:rsidR="004E75E2" w:rsidRDefault="00FE03C7">
            <w:pPr>
              <w:jc w:val="center"/>
            </w:pPr>
            <w:r>
              <w:rPr>
                <w:color w:val="000000"/>
                <w:sz w:val="24"/>
                <w:szCs w:val="24"/>
              </w:rPr>
              <w:t>300015</w:t>
            </w:r>
          </w:p>
        </w:tc>
        <w:tc>
          <w:tcPr>
            <w:tcW w:w="1777" w:type="dxa"/>
            <w:vAlign w:val="center"/>
          </w:tcPr>
          <w:p w:rsidR="004E75E2" w:rsidRDefault="00FE03C7">
            <w:pPr>
              <w:jc w:val="center"/>
            </w:pPr>
            <w:r>
              <w:rPr>
                <w:color w:val="000000"/>
                <w:sz w:val="24"/>
                <w:szCs w:val="24"/>
              </w:rPr>
              <w:t>爱尔眼科</w:t>
            </w:r>
          </w:p>
        </w:tc>
        <w:tc>
          <w:tcPr>
            <w:tcW w:w="1334" w:type="dxa"/>
            <w:vAlign w:val="center"/>
          </w:tcPr>
          <w:p w:rsidR="004E75E2" w:rsidRDefault="00FE03C7">
            <w:pPr>
              <w:jc w:val="right"/>
            </w:pPr>
            <w:r>
              <w:rPr>
                <w:color w:val="000000"/>
                <w:sz w:val="24"/>
                <w:szCs w:val="24"/>
              </w:rPr>
              <w:t>575,504</w:t>
            </w:r>
          </w:p>
        </w:tc>
        <w:tc>
          <w:tcPr>
            <w:tcW w:w="1924" w:type="dxa"/>
            <w:vAlign w:val="center"/>
          </w:tcPr>
          <w:p w:rsidR="004E75E2" w:rsidRDefault="00FE03C7">
            <w:pPr>
              <w:jc w:val="right"/>
            </w:pPr>
            <w:r>
              <w:rPr>
                <w:color w:val="000000"/>
                <w:sz w:val="24"/>
                <w:szCs w:val="24"/>
              </w:rPr>
              <w:t>20,413,126.88</w:t>
            </w:r>
          </w:p>
        </w:tc>
        <w:tc>
          <w:tcPr>
            <w:tcW w:w="1644" w:type="dxa"/>
            <w:vAlign w:val="center"/>
          </w:tcPr>
          <w:p w:rsidR="004E75E2" w:rsidRDefault="00FE03C7">
            <w:pPr>
              <w:jc w:val="right"/>
            </w:pPr>
            <w:r>
              <w:rPr>
                <w:color w:val="000000"/>
                <w:sz w:val="24"/>
                <w:szCs w:val="24"/>
              </w:rPr>
              <w:t>4.70</w:t>
            </w:r>
          </w:p>
        </w:tc>
      </w:tr>
      <w:tr w:rsidR="004E75E2">
        <w:trPr>
          <w:jc w:val="center"/>
        </w:trPr>
        <w:tc>
          <w:tcPr>
            <w:tcW w:w="855" w:type="dxa"/>
            <w:vAlign w:val="center"/>
          </w:tcPr>
          <w:p w:rsidR="004E75E2" w:rsidRDefault="00FE03C7">
            <w:pPr>
              <w:jc w:val="center"/>
            </w:pPr>
            <w:r>
              <w:rPr>
                <w:color w:val="000000"/>
                <w:sz w:val="24"/>
                <w:szCs w:val="24"/>
              </w:rPr>
              <w:t>5</w:t>
            </w:r>
          </w:p>
        </w:tc>
        <w:tc>
          <w:tcPr>
            <w:tcW w:w="1334" w:type="dxa"/>
            <w:vAlign w:val="center"/>
          </w:tcPr>
          <w:p w:rsidR="004E75E2" w:rsidRDefault="00FE03C7">
            <w:pPr>
              <w:jc w:val="center"/>
            </w:pPr>
            <w:r>
              <w:rPr>
                <w:color w:val="000000"/>
                <w:sz w:val="24"/>
                <w:szCs w:val="24"/>
              </w:rPr>
              <w:t>300347</w:t>
            </w:r>
          </w:p>
        </w:tc>
        <w:tc>
          <w:tcPr>
            <w:tcW w:w="1777" w:type="dxa"/>
            <w:vAlign w:val="center"/>
          </w:tcPr>
          <w:p w:rsidR="004E75E2" w:rsidRDefault="00FE03C7">
            <w:pPr>
              <w:jc w:val="center"/>
            </w:pPr>
            <w:r>
              <w:rPr>
                <w:color w:val="000000"/>
                <w:sz w:val="24"/>
                <w:szCs w:val="24"/>
              </w:rPr>
              <w:t>泰格医药</w:t>
            </w:r>
          </w:p>
        </w:tc>
        <w:tc>
          <w:tcPr>
            <w:tcW w:w="1334" w:type="dxa"/>
            <w:vAlign w:val="center"/>
          </w:tcPr>
          <w:p w:rsidR="004E75E2" w:rsidRDefault="00FE03C7">
            <w:pPr>
              <w:jc w:val="right"/>
            </w:pPr>
            <w:r>
              <w:rPr>
                <w:color w:val="000000"/>
                <w:sz w:val="24"/>
                <w:szCs w:val="24"/>
              </w:rPr>
              <w:t>322,899</w:t>
            </w:r>
          </w:p>
        </w:tc>
        <w:tc>
          <w:tcPr>
            <w:tcW w:w="1924" w:type="dxa"/>
            <w:vAlign w:val="center"/>
          </w:tcPr>
          <w:p w:rsidR="004E75E2" w:rsidRDefault="00FE03C7">
            <w:pPr>
              <w:jc w:val="right"/>
            </w:pPr>
            <w:r>
              <w:rPr>
                <w:color w:val="000000"/>
                <w:sz w:val="24"/>
                <w:szCs w:val="24"/>
              </w:rPr>
              <w:t>20,035,882.95</w:t>
            </w:r>
          </w:p>
        </w:tc>
        <w:tc>
          <w:tcPr>
            <w:tcW w:w="1644" w:type="dxa"/>
            <w:vAlign w:val="center"/>
          </w:tcPr>
          <w:p w:rsidR="004E75E2" w:rsidRDefault="00FE03C7">
            <w:pPr>
              <w:jc w:val="right"/>
            </w:pPr>
            <w:r>
              <w:rPr>
                <w:color w:val="000000"/>
                <w:sz w:val="24"/>
                <w:szCs w:val="24"/>
              </w:rPr>
              <w:t>4.62</w:t>
            </w:r>
          </w:p>
        </w:tc>
      </w:tr>
      <w:tr w:rsidR="004E75E2">
        <w:trPr>
          <w:jc w:val="center"/>
        </w:trPr>
        <w:tc>
          <w:tcPr>
            <w:tcW w:w="855" w:type="dxa"/>
            <w:vAlign w:val="center"/>
          </w:tcPr>
          <w:p w:rsidR="004E75E2" w:rsidRDefault="00FE03C7">
            <w:pPr>
              <w:jc w:val="center"/>
            </w:pPr>
            <w:r>
              <w:rPr>
                <w:color w:val="000000"/>
                <w:sz w:val="24"/>
                <w:szCs w:val="24"/>
              </w:rPr>
              <w:t>6</w:t>
            </w:r>
          </w:p>
        </w:tc>
        <w:tc>
          <w:tcPr>
            <w:tcW w:w="1334" w:type="dxa"/>
            <w:vAlign w:val="center"/>
          </w:tcPr>
          <w:p w:rsidR="004E75E2" w:rsidRDefault="00FE03C7">
            <w:pPr>
              <w:jc w:val="center"/>
            </w:pPr>
            <w:r>
              <w:rPr>
                <w:color w:val="000000"/>
                <w:sz w:val="24"/>
                <w:szCs w:val="24"/>
              </w:rPr>
              <w:t>603882</w:t>
            </w:r>
          </w:p>
        </w:tc>
        <w:tc>
          <w:tcPr>
            <w:tcW w:w="1777" w:type="dxa"/>
            <w:vAlign w:val="center"/>
          </w:tcPr>
          <w:p w:rsidR="004E75E2" w:rsidRDefault="00FE03C7">
            <w:pPr>
              <w:jc w:val="center"/>
            </w:pPr>
            <w:r>
              <w:rPr>
                <w:color w:val="000000"/>
                <w:sz w:val="24"/>
                <w:szCs w:val="24"/>
              </w:rPr>
              <w:t>金域医学</w:t>
            </w:r>
          </w:p>
        </w:tc>
        <w:tc>
          <w:tcPr>
            <w:tcW w:w="1334" w:type="dxa"/>
            <w:vAlign w:val="center"/>
          </w:tcPr>
          <w:p w:rsidR="004E75E2" w:rsidRDefault="00FE03C7">
            <w:pPr>
              <w:jc w:val="right"/>
            </w:pPr>
            <w:r>
              <w:rPr>
                <w:color w:val="000000"/>
                <w:sz w:val="24"/>
                <w:szCs w:val="24"/>
              </w:rPr>
              <w:t>359,569</w:t>
            </w:r>
          </w:p>
        </w:tc>
        <w:tc>
          <w:tcPr>
            <w:tcW w:w="1924" w:type="dxa"/>
            <w:vAlign w:val="center"/>
          </w:tcPr>
          <w:p w:rsidR="004E75E2" w:rsidRDefault="00FE03C7">
            <w:pPr>
              <w:jc w:val="right"/>
            </w:pPr>
            <w:r>
              <w:rPr>
                <w:color w:val="000000"/>
                <w:sz w:val="24"/>
                <w:szCs w:val="24"/>
              </w:rPr>
              <w:t>19,641,472.62</w:t>
            </w:r>
          </w:p>
        </w:tc>
        <w:tc>
          <w:tcPr>
            <w:tcW w:w="1644" w:type="dxa"/>
            <w:vAlign w:val="center"/>
          </w:tcPr>
          <w:p w:rsidR="004E75E2" w:rsidRDefault="00FE03C7">
            <w:pPr>
              <w:jc w:val="right"/>
            </w:pPr>
            <w:r>
              <w:rPr>
                <w:color w:val="000000"/>
                <w:sz w:val="24"/>
                <w:szCs w:val="24"/>
              </w:rPr>
              <w:t>4.53</w:t>
            </w:r>
          </w:p>
        </w:tc>
      </w:tr>
      <w:tr w:rsidR="004E75E2">
        <w:trPr>
          <w:jc w:val="center"/>
        </w:trPr>
        <w:tc>
          <w:tcPr>
            <w:tcW w:w="855" w:type="dxa"/>
            <w:vAlign w:val="center"/>
          </w:tcPr>
          <w:p w:rsidR="004E75E2" w:rsidRDefault="00FE03C7">
            <w:pPr>
              <w:jc w:val="center"/>
            </w:pPr>
            <w:r>
              <w:rPr>
                <w:color w:val="000000"/>
                <w:sz w:val="24"/>
                <w:szCs w:val="24"/>
              </w:rPr>
              <w:t>7</w:t>
            </w:r>
          </w:p>
        </w:tc>
        <w:tc>
          <w:tcPr>
            <w:tcW w:w="1334" w:type="dxa"/>
            <w:vAlign w:val="center"/>
          </w:tcPr>
          <w:p w:rsidR="004E75E2" w:rsidRDefault="00FE03C7">
            <w:pPr>
              <w:jc w:val="center"/>
            </w:pPr>
            <w:r>
              <w:rPr>
                <w:color w:val="000000"/>
                <w:sz w:val="24"/>
                <w:szCs w:val="24"/>
              </w:rPr>
              <w:t>603259</w:t>
            </w:r>
          </w:p>
        </w:tc>
        <w:tc>
          <w:tcPr>
            <w:tcW w:w="1777" w:type="dxa"/>
            <w:vAlign w:val="center"/>
          </w:tcPr>
          <w:p w:rsidR="004E75E2" w:rsidRDefault="00FE03C7">
            <w:pPr>
              <w:jc w:val="center"/>
            </w:pPr>
            <w:r>
              <w:rPr>
                <w:color w:val="000000"/>
                <w:sz w:val="24"/>
                <w:szCs w:val="24"/>
              </w:rPr>
              <w:t>药明康德</w:t>
            </w:r>
          </w:p>
        </w:tc>
        <w:tc>
          <w:tcPr>
            <w:tcW w:w="1334" w:type="dxa"/>
            <w:vAlign w:val="center"/>
          </w:tcPr>
          <w:p w:rsidR="004E75E2" w:rsidRDefault="00FE03C7">
            <w:pPr>
              <w:jc w:val="right"/>
            </w:pPr>
            <w:r>
              <w:rPr>
                <w:color w:val="000000"/>
                <w:sz w:val="24"/>
                <w:szCs w:val="24"/>
              </w:rPr>
              <w:t>224,800</w:t>
            </w:r>
          </w:p>
        </w:tc>
        <w:tc>
          <w:tcPr>
            <w:tcW w:w="1924" w:type="dxa"/>
            <w:vAlign w:val="center"/>
          </w:tcPr>
          <w:p w:rsidR="004E75E2" w:rsidRDefault="00FE03C7">
            <w:pPr>
              <w:jc w:val="right"/>
            </w:pPr>
            <w:r>
              <w:rPr>
                <w:color w:val="000000"/>
                <w:sz w:val="24"/>
                <w:szCs w:val="24"/>
              </w:rPr>
              <w:t>19,490,160.00</w:t>
            </w:r>
          </w:p>
        </w:tc>
        <w:tc>
          <w:tcPr>
            <w:tcW w:w="1644" w:type="dxa"/>
            <w:vAlign w:val="center"/>
          </w:tcPr>
          <w:p w:rsidR="004E75E2" w:rsidRDefault="00FE03C7">
            <w:pPr>
              <w:jc w:val="right"/>
            </w:pPr>
            <w:r>
              <w:rPr>
                <w:color w:val="000000"/>
                <w:sz w:val="24"/>
                <w:szCs w:val="24"/>
              </w:rPr>
              <w:t>4.49</w:t>
            </w:r>
          </w:p>
        </w:tc>
      </w:tr>
      <w:tr w:rsidR="004E75E2">
        <w:trPr>
          <w:jc w:val="center"/>
        </w:trPr>
        <w:tc>
          <w:tcPr>
            <w:tcW w:w="855" w:type="dxa"/>
            <w:vAlign w:val="center"/>
          </w:tcPr>
          <w:p w:rsidR="004E75E2" w:rsidRDefault="00FE03C7">
            <w:pPr>
              <w:jc w:val="center"/>
            </w:pPr>
            <w:r>
              <w:rPr>
                <w:color w:val="000000"/>
                <w:sz w:val="24"/>
                <w:szCs w:val="24"/>
              </w:rPr>
              <w:t>8</w:t>
            </w:r>
          </w:p>
        </w:tc>
        <w:tc>
          <w:tcPr>
            <w:tcW w:w="1334" w:type="dxa"/>
            <w:vAlign w:val="center"/>
          </w:tcPr>
          <w:p w:rsidR="004E75E2" w:rsidRDefault="00FE03C7">
            <w:pPr>
              <w:jc w:val="center"/>
            </w:pPr>
            <w:r>
              <w:rPr>
                <w:color w:val="000000"/>
                <w:sz w:val="24"/>
                <w:szCs w:val="24"/>
              </w:rPr>
              <w:t>600763</w:t>
            </w:r>
          </w:p>
        </w:tc>
        <w:tc>
          <w:tcPr>
            <w:tcW w:w="1777" w:type="dxa"/>
            <w:vAlign w:val="center"/>
          </w:tcPr>
          <w:p w:rsidR="004E75E2" w:rsidRDefault="00FE03C7">
            <w:pPr>
              <w:jc w:val="center"/>
            </w:pPr>
            <w:r>
              <w:rPr>
                <w:color w:val="000000"/>
                <w:sz w:val="24"/>
                <w:szCs w:val="24"/>
              </w:rPr>
              <w:t>通策医疗</w:t>
            </w:r>
          </w:p>
        </w:tc>
        <w:tc>
          <w:tcPr>
            <w:tcW w:w="1334" w:type="dxa"/>
            <w:vAlign w:val="center"/>
          </w:tcPr>
          <w:p w:rsidR="004E75E2" w:rsidRDefault="00FE03C7">
            <w:pPr>
              <w:jc w:val="right"/>
            </w:pPr>
            <w:r>
              <w:rPr>
                <w:color w:val="000000"/>
                <w:sz w:val="24"/>
                <w:szCs w:val="24"/>
              </w:rPr>
              <w:t>185,503</w:t>
            </w:r>
          </w:p>
        </w:tc>
        <w:tc>
          <w:tcPr>
            <w:tcW w:w="1924" w:type="dxa"/>
            <w:vAlign w:val="center"/>
          </w:tcPr>
          <w:p w:rsidR="004E75E2" w:rsidRDefault="00FE03C7">
            <w:pPr>
              <w:jc w:val="right"/>
            </w:pPr>
            <w:r>
              <w:rPr>
                <w:color w:val="000000"/>
                <w:sz w:val="24"/>
                <w:szCs w:val="24"/>
              </w:rPr>
              <w:t>19,014,057.50</w:t>
            </w:r>
          </w:p>
        </w:tc>
        <w:tc>
          <w:tcPr>
            <w:tcW w:w="1644" w:type="dxa"/>
            <w:vAlign w:val="center"/>
          </w:tcPr>
          <w:p w:rsidR="004E75E2" w:rsidRDefault="00FE03C7">
            <w:pPr>
              <w:jc w:val="right"/>
            </w:pPr>
            <w:r>
              <w:rPr>
                <w:color w:val="000000"/>
                <w:sz w:val="24"/>
                <w:szCs w:val="24"/>
              </w:rPr>
              <w:t>4.38</w:t>
            </w:r>
          </w:p>
        </w:tc>
      </w:tr>
      <w:tr w:rsidR="004E75E2">
        <w:trPr>
          <w:jc w:val="center"/>
        </w:trPr>
        <w:tc>
          <w:tcPr>
            <w:tcW w:w="855" w:type="dxa"/>
            <w:vAlign w:val="center"/>
          </w:tcPr>
          <w:p w:rsidR="004E75E2" w:rsidRDefault="00FE03C7">
            <w:pPr>
              <w:jc w:val="center"/>
            </w:pPr>
            <w:r>
              <w:rPr>
                <w:color w:val="000000"/>
                <w:sz w:val="24"/>
                <w:szCs w:val="24"/>
              </w:rPr>
              <w:t>9</w:t>
            </w:r>
          </w:p>
        </w:tc>
        <w:tc>
          <w:tcPr>
            <w:tcW w:w="1334" w:type="dxa"/>
            <w:vAlign w:val="center"/>
          </w:tcPr>
          <w:p w:rsidR="004E75E2" w:rsidRDefault="00FE03C7">
            <w:pPr>
              <w:jc w:val="center"/>
            </w:pPr>
            <w:r>
              <w:rPr>
                <w:color w:val="000000"/>
                <w:sz w:val="24"/>
                <w:szCs w:val="24"/>
              </w:rPr>
              <w:t>300760</w:t>
            </w:r>
          </w:p>
        </w:tc>
        <w:tc>
          <w:tcPr>
            <w:tcW w:w="1777" w:type="dxa"/>
            <w:vAlign w:val="center"/>
          </w:tcPr>
          <w:p w:rsidR="004E75E2" w:rsidRDefault="00FE03C7">
            <w:pPr>
              <w:jc w:val="center"/>
            </w:pPr>
            <w:r>
              <w:rPr>
                <w:color w:val="000000"/>
                <w:sz w:val="24"/>
                <w:szCs w:val="24"/>
              </w:rPr>
              <w:t>迈瑞医疗</w:t>
            </w:r>
          </w:p>
        </w:tc>
        <w:tc>
          <w:tcPr>
            <w:tcW w:w="1334" w:type="dxa"/>
            <w:vAlign w:val="center"/>
          </w:tcPr>
          <w:p w:rsidR="004E75E2" w:rsidRDefault="00FE03C7">
            <w:pPr>
              <w:jc w:val="right"/>
            </w:pPr>
            <w:r>
              <w:rPr>
                <w:color w:val="000000"/>
                <w:sz w:val="24"/>
                <w:szCs w:val="24"/>
              </w:rPr>
              <w:t>95,270</w:t>
            </w:r>
          </w:p>
        </w:tc>
        <w:tc>
          <w:tcPr>
            <w:tcW w:w="1924" w:type="dxa"/>
            <w:vAlign w:val="center"/>
          </w:tcPr>
          <w:p w:rsidR="004E75E2" w:rsidRDefault="00FE03C7">
            <w:pPr>
              <w:jc w:val="right"/>
            </w:pPr>
            <w:r>
              <w:rPr>
                <w:color w:val="000000"/>
                <w:sz w:val="24"/>
                <w:szCs w:val="24"/>
              </w:rPr>
              <w:t>17,573,504.20</w:t>
            </w:r>
          </w:p>
        </w:tc>
        <w:tc>
          <w:tcPr>
            <w:tcW w:w="1644" w:type="dxa"/>
            <w:vAlign w:val="center"/>
          </w:tcPr>
          <w:p w:rsidR="004E75E2" w:rsidRDefault="00FE03C7">
            <w:pPr>
              <w:jc w:val="right"/>
            </w:pPr>
            <w:r>
              <w:rPr>
                <w:color w:val="000000"/>
                <w:sz w:val="24"/>
                <w:szCs w:val="24"/>
              </w:rPr>
              <w:t>4.05</w:t>
            </w:r>
          </w:p>
        </w:tc>
      </w:tr>
      <w:tr w:rsidR="004E75E2">
        <w:trPr>
          <w:jc w:val="center"/>
        </w:trPr>
        <w:tc>
          <w:tcPr>
            <w:tcW w:w="855" w:type="dxa"/>
            <w:vAlign w:val="center"/>
          </w:tcPr>
          <w:p w:rsidR="004E75E2" w:rsidRDefault="00FE03C7">
            <w:pPr>
              <w:jc w:val="center"/>
            </w:pPr>
            <w:r>
              <w:rPr>
                <w:color w:val="000000"/>
                <w:sz w:val="24"/>
                <w:szCs w:val="24"/>
              </w:rPr>
              <w:t>10</w:t>
            </w:r>
          </w:p>
        </w:tc>
        <w:tc>
          <w:tcPr>
            <w:tcW w:w="1334" w:type="dxa"/>
            <w:vAlign w:val="center"/>
          </w:tcPr>
          <w:p w:rsidR="004E75E2" w:rsidRDefault="00FE03C7">
            <w:pPr>
              <w:jc w:val="center"/>
            </w:pPr>
            <w:r>
              <w:rPr>
                <w:color w:val="000000"/>
                <w:sz w:val="24"/>
                <w:szCs w:val="24"/>
              </w:rPr>
              <w:t>600867</w:t>
            </w:r>
          </w:p>
        </w:tc>
        <w:tc>
          <w:tcPr>
            <w:tcW w:w="1777" w:type="dxa"/>
            <w:vAlign w:val="center"/>
          </w:tcPr>
          <w:p w:rsidR="004E75E2" w:rsidRDefault="00FE03C7">
            <w:pPr>
              <w:jc w:val="center"/>
            </w:pPr>
            <w:r>
              <w:rPr>
                <w:color w:val="000000"/>
                <w:sz w:val="24"/>
                <w:szCs w:val="24"/>
              </w:rPr>
              <w:t>通化东宝</w:t>
            </w:r>
          </w:p>
        </w:tc>
        <w:tc>
          <w:tcPr>
            <w:tcW w:w="1334" w:type="dxa"/>
            <w:vAlign w:val="center"/>
          </w:tcPr>
          <w:p w:rsidR="004E75E2" w:rsidRDefault="00FE03C7">
            <w:pPr>
              <w:jc w:val="right"/>
            </w:pPr>
            <w:r>
              <w:rPr>
                <w:color w:val="000000"/>
                <w:sz w:val="24"/>
                <w:szCs w:val="24"/>
              </w:rPr>
              <w:t>792,900</w:t>
            </w:r>
          </w:p>
        </w:tc>
        <w:tc>
          <w:tcPr>
            <w:tcW w:w="1924" w:type="dxa"/>
            <w:vAlign w:val="center"/>
          </w:tcPr>
          <w:p w:rsidR="004E75E2" w:rsidRDefault="00FE03C7">
            <w:pPr>
              <w:jc w:val="right"/>
            </w:pPr>
            <w:r>
              <w:rPr>
                <w:color w:val="000000"/>
                <w:sz w:val="24"/>
                <w:szCs w:val="24"/>
              </w:rPr>
              <w:t>13,875,750.00</w:t>
            </w:r>
          </w:p>
        </w:tc>
        <w:tc>
          <w:tcPr>
            <w:tcW w:w="1644" w:type="dxa"/>
            <w:vAlign w:val="center"/>
          </w:tcPr>
          <w:p w:rsidR="004E75E2" w:rsidRDefault="00FE03C7">
            <w:pPr>
              <w:jc w:val="right"/>
            </w:pPr>
            <w:r>
              <w:rPr>
                <w:color w:val="000000"/>
                <w:sz w:val="24"/>
                <w:szCs w:val="24"/>
              </w:rPr>
              <w:t>3.20</w:t>
            </w:r>
          </w:p>
        </w:tc>
      </w:tr>
    </w:tbl>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5.4 </w:t>
      </w:r>
      <w:r w:rsidRPr="00414345">
        <w:rPr>
          <w:b/>
          <w:bCs/>
          <w:color w:val="000000"/>
          <w:kern w:val="0"/>
          <w:sz w:val="24"/>
          <w:szCs w:val="24"/>
        </w:rPr>
        <w:t>报告期末按债券品种分类的债券投资组合</w:t>
      </w:r>
    </w:p>
    <w:p w:rsidR="00CE7169" w:rsidRPr="00CE7169" w:rsidRDefault="009C1009" w:rsidP="009C1009">
      <w:pPr>
        <w:autoSpaceDE w:val="0"/>
        <w:autoSpaceDN w:val="0"/>
        <w:adjustRightInd w:val="0"/>
        <w:spacing w:before="29" w:line="288" w:lineRule="auto"/>
        <w:jc w:val="right"/>
        <w:rPr>
          <w:bCs/>
          <w:color w:val="000000"/>
          <w:kern w:val="0"/>
          <w:sz w:val="24"/>
          <w:szCs w:val="24"/>
        </w:rPr>
      </w:pPr>
      <w:r w:rsidRPr="009C1009">
        <w:rPr>
          <w:rFonts w:hint="eastAsia"/>
          <w:bCs/>
          <w:color w:val="000000"/>
          <w:kern w:val="0"/>
          <w:sz w:val="24"/>
          <w:szCs w:val="24"/>
        </w:rPr>
        <w:t>金额单位：人民币元</w:t>
      </w:r>
    </w:p>
    <w:tbl>
      <w:tblPr>
        <w:tblStyle w:val="af7"/>
        <w:tblW w:w="8868" w:type="dxa"/>
        <w:jc w:val="center"/>
        <w:tblLayout w:type="fixed"/>
        <w:tblLook w:val="04A0" w:firstRow="1" w:lastRow="0" w:firstColumn="1" w:lastColumn="0" w:noHBand="0" w:noVBand="1"/>
      </w:tblPr>
      <w:tblGrid>
        <w:gridCol w:w="828"/>
        <w:gridCol w:w="3302"/>
        <w:gridCol w:w="2987"/>
        <w:gridCol w:w="1751"/>
      </w:tblGrid>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序号</w:t>
            </w:r>
          </w:p>
        </w:tc>
        <w:tc>
          <w:tcPr>
            <w:tcW w:w="3302"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债券品种</w:t>
            </w:r>
          </w:p>
        </w:tc>
        <w:tc>
          <w:tcPr>
            <w:tcW w:w="2987"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公允价值</w:t>
            </w:r>
          </w:p>
        </w:tc>
        <w:tc>
          <w:tcPr>
            <w:tcW w:w="1751"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占基金资产净值比例</w:t>
            </w:r>
            <w:r w:rsidR="00C47163" w:rsidRPr="00414345">
              <w:rPr>
                <w:color w:val="000000"/>
                <w:sz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1</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国家债券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2</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央行票据</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3</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金融债券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其中：政策性金融债</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4</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企业债券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5</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企业短期融资</w:t>
            </w:r>
            <w:r w:rsidR="00963F40" w:rsidRPr="00414345">
              <w:rPr>
                <w:color w:val="000000"/>
                <w:sz w:val="24"/>
                <w:szCs w:val="24"/>
              </w:rPr>
              <w:t>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FB41D3" w:rsidRPr="00414345" w:rsidTr="00F323FF">
        <w:trPr>
          <w:jc w:val="center"/>
        </w:trPr>
        <w:tc>
          <w:tcPr>
            <w:tcW w:w="828" w:type="dxa"/>
            <w:vAlign w:val="center"/>
          </w:tcPr>
          <w:p w:rsidR="00FB41D3" w:rsidRPr="00414345" w:rsidRDefault="00FB41D3" w:rsidP="00C15CAC">
            <w:pPr>
              <w:spacing w:before="29" w:line="288" w:lineRule="auto"/>
              <w:ind w:left="17"/>
              <w:jc w:val="center"/>
              <w:rPr>
                <w:color w:val="000000"/>
                <w:sz w:val="24"/>
                <w:szCs w:val="24"/>
              </w:rPr>
            </w:pPr>
            <w:r w:rsidRPr="00414345">
              <w:rPr>
                <w:color w:val="000000"/>
                <w:sz w:val="24"/>
                <w:szCs w:val="24"/>
              </w:rPr>
              <w:t>6</w:t>
            </w:r>
          </w:p>
        </w:tc>
        <w:tc>
          <w:tcPr>
            <w:tcW w:w="3302" w:type="dxa"/>
            <w:vAlign w:val="center"/>
          </w:tcPr>
          <w:p w:rsidR="00FB41D3" w:rsidRPr="00414345" w:rsidRDefault="00FB41D3" w:rsidP="00C15CAC">
            <w:pPr>
              <w:spacing w:before="29" w:line="288" w:lineRule="auto"/>
              <w:ind w:left="17"/>
              <w:jc w:val="left"/>
              <w:rPr>
                <w:color w:val="000000"/>
                <w:sz w:val="24"/>
                <w:szCs w:val="24"/>
              </w:rPr>
            </w:pPr>
            <w:r w:rsidRPr="00414345">
              <w:rPr>
                <w:color w:val="000000"/>
                <w:sz w:val="24"/>
                <w:szCs w:val="24"/>
              </w:rPr>
              <w:t>中期票据</w:t>
            </w:r>
          </w:p>
        </w:tc>
        <w:tc>
          <w:tcPr>
            <w:tcW w:w="2987" w:type="dxa"/>
            <w:vAlign w:val="center"/>
          </w:tcPr>
          <w:p w:rsidR="00FB41D3" w:rsidRPr="00414345" w:rsidRDefault="00FB41D3"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FB41D3" w:rsidRPr="00414345" w:rsidRDefault="00FB41D3"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FB41D3" w:rsidP="00C15CAC">
            <w:pPr>
              <w:spacing w:before="29" w:line="288" w:lineRule="auto"/>
              <w:ind w:left="17"/>
              <w:jc w:val="center"/>
              <w:rPr>
                <w:color w:val="000000"/>
                <w:sz w:val="24"/>
                <w:szCs w:val="24"/>
              </w:rPr>
            </w:pPr>
            <w:r w:rsidRPr="00414345">
              <w:rPr>
                <w:color w:val="000000"/>
                <w:sz w:val="24"/>
                <w:szCs w:val="24"/>
              </w:rPr>
              <w:t>7</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可转债</w:t>
            </w:r>
            <w:r w:rsidR="00AB6E79">
              <w:rPr>
                <w:rFonts w:hint="eastAsia"/>
                <w:sz w:val="24"/>
              </w:rPr>
              <w:t>（可交换债）</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323,986.95</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0.07</w:t>
            </w:r>
          </w:p>
        </w:tc>
      </w:tr>
      <w:tr w:rsidR="00F323FF" w:rsidRPr="00414345" w:rsidTr="0006711A">
        <w:trPr>
          <w:jc w:val="center"/>
        </w:trPr>
        <w:tc>
          <w:tcPr>
            <w:tcW w:w="828" w:type="dxa"/>
            <w:vAlign w:val="center"/>
          </w:tcPr>
          <w:p w:rsidR="00F323FF" w:rsidRPr="007A70C2" w:rsidRDefault="00F323FF" w:rsidP="0006711A">
            <w:pPr>
              <w:spacing w:before="29" w:line="288" w:lineRule="auto"/>
              <w:ind w:left="17"/>
              <w:jc w:val="center"/>
              <w:rPr>
                <w:color w:val="000000"/>
                <w:sz w:val="24"/>
                <w:szCs w:val="24"/>
              </w:rPr>
            </w:pPr>
            <w:r w:rsidRPr="007A70C2">
              <w:rPr>
                <w:rFonts w:hint="eastAsia"/>
                <w:color w:val="000000"/>
                <w:sz w:val="24"/>
                <w:szCs w:val="24"/>
              </w:rPr>
              <w:t>8</w:t>
            </w:r>
          </w:p>
        </w:tc>
        <w:tc>
          <w:tcPr>
            <w:tcW w:w="3302" w:type="dxa"/>
            <w:vAlign w:val="center"/>
          </w:tcPr>
          <w:p w:rsidR="00F323FF" w:rsidRPr="007A70C2" w:rsidRDefault="00F323FF" w:rsidP="0006711A">
            <w:pPr>
              <w:spacing w:before="29" w:line="288" w:lineRule="auto"/>
              <w:ind w:left="17"/>
              <w:jc w:val="left"/>
              <w:rPr>
                <w:color w:val="000000"/>
                <w:sz w:val="24"/>
                <w:szCs w:val="24"/>
              </w:rPr>
            </w:pPr>
            <w:r w:rsidRPr="007A70C2">
              <w:rPr>
                <w:rFonts w:hint="eastAsia"/>
                <w:color w:val="000000"/>
                <w:sz w:val="24"/>
                <w:szCs w:val="24"/>
              </w:rPr>
              <w:t>同业存单</w:t>
            </w:r>
          </w:p>
        </w:tc>
        <w:tc>
          <w:tcPr>
            <w:tcW w:w="2987" w:type="dxa"/>
            <w:vAlign w:val="center"/>
          </w:tcPr>
          <w:p w:rsidR="00F323FF" w:rsidRPr="007A70C2" w:rsidRDefault="00F323FF" w:rsidP="0006711A">
            <w:pPr>
              <w:spacing w:before="29" w:line="288" w:lineRule="auto"/>
              <w:ind w:left="17"/>
              <w:jc w:val="right"/>
              <w:rPr>
                <w:color w:val="000000"/>
                <w:sz w:val="24"/>
                <w:szCs w:val="24"/>
              </w:rPr>
            </w:pPr>
            <w:r w:rsidRPr="007A70C2">
              <w:rPr>
                <w:rFonts w:hint="eastAsia"/>
                <w:color w:val="000000"/>
                <w:sz w:val="24"/>
                <w:szCs w:val="24"/>
              </w:rPr>
              <w:t>-</w:t>
            </w:r>
          </w:p>
        </w:tc>
        <w:tc>
          <w:tcPr>
            <w:tcW w:w="1751" w:type="dxa"/>
            <w:vAlign w:val="center"/>
          </w:tcPr>
          <w:p w:rsidR="00F323FF" w:rsidRPr="007A70C2" w:rsidRDefault="00F323FF" w:rsidP="0006711A">
            <w:pPr>
              <w:spacing w:before="29" w:line="288" w:lineRule="auto"/>
              <w:ind w:left="17"/>
              <w:jc w:val="right"/>
              <w:rPr>
                <w:color w:val="000000"/>
                <w:sz w:val="24"/>
                <w:szCs w:val="24"/>
              </w:rPr>
            </w:pPr>
            <w:r w:rsidRPr="007A70C2">
              <w:rPr>
                <w:rFonts w:hint="eastAsia"/>
                <w:color w:val="000000"/>
                <w:sz w:val="24"/>
                <w:szCs w:val="24"/>
              </w:rPr>
              <w:t>-</w:t>
            </w:r>
          </w:p>
        </w:tc>
      </w:tr>
      <w:tr w:rsidR="00AC592E" w:rsidRPr="00414345" w:rsidTr="00F323FF">
        <w:trPr>
          <w:jc w:val="center"/>
        </w:trPr>
        <w:tc>
          <w:tcPr>
            <w:tcW w:w="828" w:type="dxa"/>
            <w:vAlign w:val="center"/>
          </w:tcPr>
          <w:p w:rsidR="00AC592E" w:rsidRPr="00414345" w:rsidRDefault="00AC592E" w:rsidP="00F323FF">
            <w:pPr>
              <w:spacing w:before="29" w:line="288" w:lineRule="auto"/>
              <w:ind w:left="17"/>
              <w:jc w:val="center"/>
              <w:rPr>
                <w:color w:val="000000"/>
                <w:sz w:val="24"/>
                <w:szCs w:val="24"/>
              </w:rPr>
            </w:pPr>
            <w:r w:rsidRPr="00414345">
              <w:rPr>
                <w:color w:val="000000"/>
                <w:sz w:val="24"/>
                <w:szCs w:val="24"/>
              </w:rPr>
              <w:t>9</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其他</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F323FF">
            <w:pPr>
              <w:spacing w:before="29" w:line="288" w:lineRule="auto"/>
              <w:ind w:left="17"/>
              <w:jc w:val="center"/>
              <w:rPr>
                <w:color w:val="000000"/>
                <w:sz w:val="24"/>
                <w:szCs w:val="24"/>
              </w:rPr>
            </w:pPr>
            <w:r w:rsidRPr="00414345">
              <w:rPr>
                <w:color w:val="000000"/>
                <w:sz w:val="24"/>
                <w:szCs w:val="24"/>
              </w:rPr>
              <w:t>10</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合计</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323,986.95</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0.07</w:t>
            </w:r>
          </w:p>
        </w:tc>
      </w:tr>
    </w:tbl>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5.5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的前五名债券投资明细</w:t>
      </w:r>
    </w:p>
    <w:p w:rsidR="005B4C8F" w:rsidRPr="005B4C8F" w:rsidRDefault="009C1009" w:rsidP="009C1009">
      <w:pPr>
        <w:autoSpaceDE w:val="0"/>
        <w:autoSpaceDN w:val="0"/>
        <w:adjustRightInd w:val="0"/>
        <w:spacing w:before="29" w:line="288" w:lineRule="auto"/>
        <w:jc w:val="right"/>
        <w:rPr>
          <w:bCs/>
          <w:color w:val="000000"/>
          <w:kern w:val="0"/>
          <w:sz w:val="24"/>
          <w:szCs w:val="24"/>
        </w:rPr>
      </w:pPr>
      <w:r w:rsidRPr="009C1009">
        <w:rPr>
          <w:rFonts w:hint="eastAsia"/>
          <w:bCs/>
          <w:color w:val="000000"/>
          <w:kern w:val="0"/>
          <w:sz w:val="24"/>
          <w:szCs w:val="24"/>
        </w:rPr>
        <w:t>金额单位：人民币元</w:t>
      </w:r>
    </w:p>
    <w:tbl>
      <w:tblPr>
        <w:tblStyle w:val="af7"/>
        <w:tblW w:w="8868" w:type="dxa"/>
        <w:jc w:val="center"/>
        <w:tblLayout w:type="fixed"/>
        <w:tblCellMar>
          <w:top w:w="57" w:type="dxa"/>
          <w:bottom w:w="57" w:type="dxa"/>
        </w:tblCellMar>
        <w:tblLook w:val="04A0" w:firstRow="1" w:lastRow="0" w:firstColumn="1" w:lastColumn="0" w:noHBand="0" w:noVBand="1"/>
      </w:tblPr>
      <w:tblGrid>
        <w:gridCol w:w="850"/>
        <w:gridCol w:w="1475"/>
        <w:gridCol w:w="1769"/>
        <w:gridCol w:w="1387"/>
        <w:gridCol w:w="2150"/>
        <w:gridCol w:w="1237"/>
      </w:tblGrid>
      <w:tr w:rsidR="00D57B7C" w:rsidRPr="00414345" w:rsidTr="00A324F4">
        <w:trPr>
          <w:jc w:val="center"/>
        </w:trPr>
        <w:tc>
          <w:tcPr>
            <w:tcW w:w="817"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序号</w:t>
            </w:r>
          </w:p>
        </w:tc>
        <w:tc>
          <w:tcPr>
            <w:tcW w:w="141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债券代码</w:t>
            </w:r>
          </w:p>
        </w:tc>
        <w:tc>
          <w:tcPr>
            <w:tcW w:w="1701"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债券名称</w:t>
            </w:r>
          </w:p>
        </w:tc>
        <w:tc>
          <w:tcPr>
            <w:tcW w:w="1334"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数量</w:t>
            </w:r>
            <w:r w:rsidR="009D1BD9">
              <w:rPr>
                <w:rFonts w:hint="eastAsia"/>
                <w:color w:val="000000"/>
                <w:sz w:val="24"/>
              </w:rPr>
              <w:t>(</w:t>
            </w:r>
            <w:r w:rsidR="009D1BD9">
              <w:rPr>
                <w:rFonts w:hint="eastAsia"/>
                <w:color w:val="000000"/>
                <w:sz w:val="24"/>
              </w:rPr>
              <w:t>张</w:t>
            </w:r>
            <w:r w:rsidR="009D1BD9">
              <w:rPr>
                <w:color w:val="000000"/>
                <w:sz w:val="24"/>
              </w:rPr>
              <w:t>)</w:t>
            </w:r>
          </w:p>
        </w:tc>
        <w:tc>
          <w:tcPr>
            <w:tcW w:w="206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公允价值</w:t>
            </w:r>
          </w:p>
        </w:tc>
        <w:tc>
          <w:tcPr>
            <w:tcW w:w="1190"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占基金资</w:t>
            </w:r>
            <w:r w:rsidRPr="00414345">
              <w:rPr>
                <w:color w:val="000000"/>
                <w:sz w:val="24"/>
                <w:szCs w:val="24"/>
              </w:rPr>
              <w:lastRenderedPageBreak/>
              <w:t>产净值比例</w:t>
            </w:r>
            <w:r w:rsidR="003B3494" w:rsidRPr="00414345">
              <w:rPr>
                <w:color w:val="000000"/>
                <w:sz w:val="24"/>
              </w:rPr>
              <w:t>（％）</w:t>
            </w:r>
          </w:p>
        </w:tc>
      </w:tr>
      <w:tr w:rsidR="004E75E2">
        <w:trPr>
          <w:jc w:val="center"/>
        </w:trPr>
        <w:tc>
          <w:tcPr>
            <w:tcW w:w="850" w:type="dxa"/>
            <w:vAlign w:val="center"/>
          </w:tcPr>
          <w:p w:rsidR="004E75E2" w:rsidRDefault="00FE03C7">
            <w:pPr>
              <w:jc w:val="center"/>
            </w:pPr>
            <w:r>
              <w:rPr>
                <w:color w:val="000000"/>
                <w:sz w:val="24"/>
                <w:szCs w:val="24"/>
              </w:rPr>
              <w:lastRenderedPageBreak/>
              <w:t>1</w:t>
            </w:r>
          </w:p>
        </w:tc>
        <w:tc>
          <w:tcPr>
            <w:tcW w:w="1475" w:type="dxa"/>
            <w:vAlign w:val="center"/>
          </w:tcPr>
          <w:p w:rsidR="004E75E2" w:rsidRDefault="00FE03C7">
            <w:pPr>
              <w:jc w:val="center"/>
            </w:pPr>
            <w:r>
              <w:rPr>
                <w:color w:val="000000"/>
                <w:sz w:val="24"/>
                <w:szCs w:val="24"/>
              </w:rPr>
              <w:t>128046</w:t>
            </w:r>
          </w:p>
        </w:tc>
        <w:tc>
          <w:tcPr>
            <w:tcW w:w="1769" w:type="dxa"/>
            <w:vAlign w:val="center"/>
          </w:tcPr>
          <w:p w:rsidR="004E75E2" w:rsidRDefault="00FE03C7">
            <w:pPr>
              <w:jc w:val="center"/>
            </w:pPr>
            <w:r>
              <w:rPr>
                <w:color w:val="000000"/>
                <w:sz w:val="24"/>
                <w:szCs w:val="24"/>
              </w:rPr>
              <w:t>利尔转债</w:t>
            </w:r>
          </w:p>
        </w:tc>
        <w:tc>
          <w:tcPr>
            <w:tcW w:w="1387" w:type="dxa"/>
            <w:vAlign w:val="center"/>
          </w:tcPr>
          <w:p w:rsidR="004E75E2" w:rsidRDefault="00FE03C7">
            <w:pPr>
              <w:jc w:val="right"/>
            </w:pPr>
            <w:r>
              <w:rPr>
                <w:color w:val="000000"/>
                <w:sz w:val="24"/>
                <w:szCs w:val="24"/>
              </w:rPr>
              <w:t>3,155</w:t>
            </w:r>
          </w:p>
        </w:tc>
        <w:tc>
          <w:tcPr>
            <w:tcW w:w="2150" w:type="dxa"/>
            <w:vAlign w:val="center"/>
          </w:tcPr>
          <w:p w:rsidR="004E75E2" w:rsidRDefault="00FE03C7">
            <w:pPr>
              <w:jc w:val="right"/>
            </w:pPr>
            <w:r>
              <w:rPr>
                <w:color w:val="000000"/>
                <w:sz w:val="24"/>
                <w:szCs w:val="24"/>
              </w:rPr>
              <w:t>323,986.95</w:t>
            </w:r>
          </w:p>
        </w:tc>
        <w:tc>
          <w:tcPr>
            <w:tcW w:w="1237" w:type="dxa"/>
            <w:vAlign w:val="center"/>
          </w:tcPr>
          <w:p w:rsidR="004E75E2" w:rsidRDefault="00FE03C7">
            <w:pPr>
              <w:jc w:val="right"/>
            </w:pPr>
            <w:r>
              <w:rPr>
                <w:color w:val="000000"/>
                <w:sz w:val="24"/>
                <w:szCs w:val="24"/>
              </w:rPr>
              <w:t>0.07</w:t>
            </w:r>
          </w:p>
        </w:tc>
      </w:tr>
    </w:tbl>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5.6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的前十名资产支持证券投资明细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本基金本报告期末未持有资产支持证券。</w:t>
      </w:r>
    </w:p>
    <w:p w:rsidR="00A54C7D" w:rsidRPr="00414345" w:rsidRDefault="00A54C7D" w:rsidP="00C15CAC">
      <w:pPr>
        <w:autoSpaceDE w:val="0"/>
        <w:autoSpaceDN w:val="0"/>
        <w:adjustRightInd w:val="0"/>
        <w:spacing w:before="29" w:line="288" w:lineRule="auto"/>
        <w:jc w:val="left"/>
        <w:rPr>
          <w:color w:val="000000"/>
          <w:kern w:val="0"/>
          <w:sz w:val="24"/>
          <w:szCs w:val="24"/>
        </w:rPr>
      </w:pPr>
      <w:r w:rsidRPr="00414345">
        <w:rPr>
          <w:b/>
          <w:bCs/>
          <w:color w:val="000000"/>
          <w:kern w:val="0"/>
          <w:sz w:val="24"/>
          <w:szCs w:val="24"/>
        </w:rPr>
        <w:t>5.7</w:t>
      </w:r>
      <w:r w:rsidRPr="00414345">
        <w:rPr>
          <w:rFonts w:hAnsi="宋体"/>
          <w:b/>
          <w:bCs/>
          <w:color w:val="000000"/>
          <w:kern w:val="0"/>
          <w:sz w:val="24"/>
          <w:szCs w:val="24"/>
        </w:rPr>
        <w:t>报告期末按公允价值占基金资产净值比例大小排序的前五名贵金属投资明细</w:t>
      </w:r>
    </w:p>
    <w:p w:rsidR="00632B0F" w:rsidRPr="00414345" w:rsidRDefault="00632B0F" w:rsidP="00C15CAC">
      <w:pPr>
        <w:widowControl/>
        <w:spacing w:line="288" w:lineRule="auto"/>
        <w:jc w:val="left"/>
        <w:rPr>
          <w:sz w:val="24"/>
          <w:szCs w:val="24"/>
        </w:rPr>
      </w:pPr>
      <w:r w:rsidRPr="00414345">
        <w:rPr>
          <w:sz w:val="24"/>
          <w:szCs w:val="24"/>
        </w:rPr>
        <w:t>本基金本报告期末未持有贵金属。</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A917B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5.8</w:t>
      </w:r>
      <w:r w:rsidR="004061AC"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004061AC" w:rsidRPr="00414345">
        <w:rPr>
          <w:b/>
          <w:bCs/>
          <w:color w:val="000000"/>
          <w:kern w:val="0"/>
          <w:sz w:val="24"/>
          <w:szCs w:val="24"/>
        </w:rPr>
        <w:t>的前五名权证投资明细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本基金本报告期末未持有权证。</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275745"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A917BF" w:rsidRPr="00414345">
        <w:rPr>
          <w:b/>
          <w:bCs/>
          <w:color w:val="000000"/>
          <w:kern w:val="0"/>
          <w:sz w:val="24"/>
          <w:szCs w:val="24"/>
        </w:rPr>
        <w:t>.</w:t>
      </w:r>
      <w:r w:rsidR="0059076B" w:rsidRPr="00414345">
        <w:rPr>
          <w:b/>
          <w:bCs/>
          <w:color w:val="000000"/>
          <w:kern w:val="0"/>
          <w:sz w:val="24"/>
          <w:szCs w:val="24"/>
        </w:rPr>
        <w:t>9</w:t>
      </w:r>
      <w:r w:rsidR="00275745" w:rsidRPr="00414345">
        <w:rPr>
          <w:b/>
          <w:bCs/>
          <w:color w:val="000000"/>
          <w:kern w:val="0"/>
          <w:sz w:val="24"/>
          <w:szCs w:val="24"/>
        </w:rPr>
        <w:t>报告期末本基金投资的股指期货交易情况说明</w:t>
      </w:r>
    </w:p>
    <w:p w:rsidR="00275745" w:rsidRPr="00414345" w:rsidRDefault="00AA3A38"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本基金本报告期末未持有股指期货。</w:t>
      </w:r>
    </w:p>
    <w:p w:rsidR="00AA3A38" w:rsidRPr="00414345" w:rsidRDefault="00AA3A38" w:rsidP="00C15CAC">
      <w:pPr>
        <w:adjustRightInd w:val="0"/>
        <w:snapToGrid w:val="0"/>
        <w:spacing w:before="29" w:line="288" w:lineRule="auto"/>
        <w:rPr>
          <w:sz w:val="24"/>
          <w:szCs w:val="24"/>
        </w:rPr>
      </w:pPr>
    </w:p>
    <w:p w:rsidR="00A669FC" w:rsidRPr="00414345" w:rsidRDefault="00312A9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5.10</w:t>
      </w:r>
      <w:r w:rsidRPr="00414345">
        <w:rPr>
          <w:b/>
          <w:bCs/>
          <w:color w:val="000000"/>
          <w:kern w:val="0"/>
          <w:sz w:val="24"/>
          <w:szCs w:val="24"/>
        </w:rPr>
        <w:t>报告期末本基金投资的国债期货交易情况说明</w:t>
      </w:r>
    </w:p>
    <w:p w:rsidR="00312A9F" w:rsidRPr="00414345" w:rsidRDefault="00312A9F"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本基金本报告期末未持有国债期货。</w:t>
      </w:r>
    </w:p>
    <w:p w:rsidR="00426096" w:rsidRPr="00414345" w:rsidRDefault="00426096" w:rsidP="00C15CAC">
      <w:pPr>
        <w:autoSpaceDE w:val="0"/>
        <w:autoSpaceDN w:val="0"/>
        <w:adjustRightInd w:val="0"/>
        <w:spacing w:before="29" w:line="288" w:lineRule="auto"/>
        <w:jc w:val="left"/>
        <w:rPr>
          <w:color w:val="000000"/>
          <w:sz w:val="24"/>
          <w:szCs w:val="24"/>
        </w:rPr>
      </w:pPr>
    </w:p>
    <w:p w:rsidR="004061AC"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275745" w:rsidRPr="00414345">
        <w:rPr>
          <w:b/>
          <w:bCs/>
          <w:color w:val="000000"/>
          <w:kern w:val="0"/>
          <w:sz w:val="24"/>
          <w:szCs w:val="24"/>
        </w:rPr>
        <w:t>.</w:t>
      </w:r>
      <w:r w:rsidR="0059076B" w:rsidRPr="00414345">
        <w:rPr>
          <w:b/>
          <w:bCs/>
          <w:color w:val="000000"/>
          <w:kern w:val="0"/>
          <w:sz w:val="24"/>
          <w:szCs w:val="24"/>
        </w:rPr>
        <w:t>11</w:t>
      </w:r>
      <w:r w:rsidR="004061AC" w:rsidRPr="00414345">
        <w:rPr>
          <w:b/>
          <w:bCs/>
          <w:color w:val="000000"/>
          <w:kern w:val="0"/>
          <w:sz w:val="24"/>
          <w:szCs w:val="24"/>
        </w:rPr>
        <w:t>投资组合报告附注</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5.11.1</w:t>
      </w:r>
      <w:r w:rsidRPr="00BE5388">
        <w:rPr>
          <w:bCs/>
          <w:color w:val="000000"/>
          <w:kern w:val="0"/>
          <w:sz w:val="24"/>
          <w:szCs w:val="24"/>
        </w:rPr>
        <w:t>报告期内本基金投资的前十名证券的发行主体未被监管部门立案调查，在本报告编制日前一年内本基金投资的前十名证券的发行主体未受到公开谴责和处罚。</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5.11.2</w:t>
      </w:r>
      <w:r w:rsidRPr="00BE5388">
        <w:rPr>
          <w:bCs/>
          <w:color w:val="000000"/>
          <w:kern w:val="0"/>
          <w:sz w:val="24"/>
          <w:szCs w:val="24"/>
        </w:rPr>
        <w:t>本基金投资的前十名股票中，没有超出基金合同规定的备选股票库之外的股票。</w:t>
      </w:r>
    </w:p>
    <w:p w:rsidR="004061AC" w:rsidRPr="006B0D08" w:rsidRDefault="003259C8" w:rsidP="00C15CAC">
      <w:pPr>
        <w:autoSpaceDE w:val="0"/>
        <w:autoSpaceDN w:val="0"/>
        <w:adjustRightInd w:val="0"/>
        <w:spacing w:before="29" w:line="288" w:lineRule="auto"/>
        <w:jc w:val="left"/>
        <w:rPr>
          <w:b/>
          <w:bCs/>
          <w:color w:val="000000"/>
          <w:kern w:val="0"/>
          <w:sz w:val="24"/>
          <w:szCs w:val="24"/>
        </w:rPr>
      </w:pPr>
      <w:r w:rsidRPr="006B0D08">
        <w:rPr>
          <w:b/>
          <w:bCs/>
          <w:color w:val="000000"/>
          <w:kern w:val="0"/>
          <w:sz w:val="24"/>
          <w:szCs w:val="24"/>
        </w:rPr>
        <w:t>5</w:t>
      </w:r>
      <w:r w:rsidR="00275745" w:rsidRPr="006B0D08">
        <w:rPr>
          <w:b/>
          <w:bCs/>
          <w:color w:val="000000"/>
          <w:kern w:val="0"/>
          <w:sz w:val="24"/>
          <w:szCs w:val="24"/>
        </w:rPr>
        <w:t>.</w:t>
      </w:r>
      <w:r w:rsidR="0059076B" w:rsidRPr="006B0D08">
        <w:rPr>
          <w:b/>
          <w:bCs/>
          <w:color w:val="000000"/>
          <w:kern w:val="0"/>
          <w:sz w:val="24"/>
          <w:szCs w:val="24"/>
        </w:rPr>
        <w:t>11.3</w:t>
      </w:r>
      <w:r w:rsidR="0035383E" w:rsidRPr="006B0D08">
        <w:rPr>
          <w:b/>
          <w:bCs/>
          <w:color w:val="000000"/>
          <w:kern w:val="0"/>
          <w:sz w:val="24"/>
          <w:szCs w:val="24"/>
        </w:rPr>
        <w:t>其他</w:t>
      </w:r>
      <w:r w:rsidR="004061AC" w:rsidRPr="006B0D08">
        <w:rPr>
          <w:b/>
          <w:bCs/>
          <w:color w:val="000000"/>
          <w:kern w:val="0"/>
          <w:sz w:val="24"/>
          <w:szCs w:val="24"/>
        </w:rPr>
        <w:t>资产构成</w:t>
      </w:r>
    </w:p>
    <w:p w:rsidR="00DD7A00" w:rsidRPr="00414345" w:rsidRDefault="004A0AA9" w:rsidP="00DD7A00">
      <w:pPr>
        <w:autoSpaceDE w:val="0"/>
        <w:autoSpaceDN w:val="0"/>
        <w:adjustRightInd w:val="0"/>
        <w:spacing w:before="29" w:line="288" w:lineRule="auto"/>
        <w:jc w:val="right"/>
        <w:rPr>
          <w:bCs/>
          <w:color w:val="000000"/>
          <w:kern w:val="0"/>
          <w:sz w:val="24"/>
          <w:szCs w:val="24"/>
        </w:rPr>
      </w:pPr>
      <w:r w:rsidRPr="004A0AA9">
        <w:rPr>
          <w:rFonts w:hint="eastAsia"/>
          <w:bCs/>
          <w:color w:val="000000"/>
          <w:kern w:val="0"/>
          <w:sz w:val="24"/>
          <w:szCs w:val="24"/>
        </w:rPr>
        <w:t>金额单位：人民币元</w:t>
      </w:r>
    </w:p>
    <w:tbl>
      <w:tblPr>
        <w:tblStyle w:val="af7"/>
        <w:tblpPr w:leftFromText="180" w:rightFromText="180" w:vertAnchor="text" w:horzAnchor="margin" w:tblpXSpec="center" w:tblpY="265"/>
        <w:tblW w:w="8868" w:type="dxa"/>
        <w:jc w:val="center"/>
        <w:tblLayout w:type="fixed"/>
        <w:tblCellMar>
          <w:top w:w="-1" w:type="dxa"/>
          <w:bottom w:w="-1" w:type="dxa"/>
        </w:tblCellMar>
        <w:tblLook w:val="04A0" w:firstRow="1" w:lastRow="0" w:firstColumn="1" w:lastColumn="0" w:noHBand="0" w:noVBand="1"/>
      </w:tblPr>
      <w:tblGrid>
        <w:gridCol w:w="1287"/>
        <w:gridCol w:w="2573"/>
        <w:gridCol w:w="5008"/>
      </w:tblGrid>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序号</w:t>
            </w:r>
          </w:p>
        </w:tc>
        <w:tc>
          <w:tcPr>
            <w:tcW w:w="2470"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名称</w:t>
            </w:r>
          </w:p>
        </w:tc>
        <w:tc>
          <w:tcPr>
            <w:tcW w:w="4808"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金额</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1</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存出保证金</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118,351.97</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2</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应收证券清算款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1,897,972.66</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3</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应收股利</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4</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应收利息</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12,419.62</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5</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应收申购款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2,044,149.73</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6</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其他应收款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7</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待摊费用</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lastRenderedPageBreak/>
              <w:t>8</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9</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合计</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4,072,893.98</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Pr="006B0D08" w:rsidRDefault="003259C8" w:rsidP="00C15CAC">
      <w:pPr>
        <w:autoSpaceDE w:val="0"/>
        <w:autoSpaceDN w:val="0"/>
        <w:adjustRightInd w:val="0"/>
        <w:spacing w:before="29" w:line="288" w:lineRule="auto"/>
        <w:jc w:val="left"/>
        <w:rPr>
          <w:b/>
          <w:bCs/>
          <w:color w:val="000000"/>
          <w:kern w:val="0"/>
          <w:sz w:val="24"/>
          <w:szCs w:val="24"/>
        </w:rPr>
      </w:pPr>
      <w:r w:rsidRPr="006B0D08">
        <w:rPr>
          <w:b/>
          <w:bCs/>
          <w:color w:val="000000"/>
          <w:kern w:val="0"/>
          <w:sz w:val="24"/>
          <w:szCs w:val="24"/>
        </w:rPr>
        <w:t>5</w:t>
      </w:r>
      <w:r w:rsidR="00275745" w:rsidRPr="006B0D08">
        <w:rPr>
          <w:b/>
          <w:bCs/>
          <w:color w:val="000000"/>
          <w:kern w:val="0"/>
          <w:sz w:val="24"/>
          <w:szCs w:val="24"/>
        </w:rPr>
        <w:t>.</w:t>
      </w:r>
      <w:r w:rsidR="0059076B" w:rsidRPr="006B0D08">
        <w:rPr>
          <w:b/>
          <w:bCs/>
          <w:color w:val="000000"/>
          <w:kern w:val="0"/>
          <w:sz w:val="24"/>
          <w:szCs w:val="24"/>
        </w:rPr>
        <w:t>11.4</w:t>
      </w:r>
      <w:r w:rsidR="004061AC" w:rsidRPr="006B0D08">
        <w:rPr>
          <w:b/>
          <w:bCs/>
          <w:color w:val="000000"/>
          <w:kern w:val="0"/>
          <w:sz w:val="24"/>
          <w:szCs w:val="24"/>
        </w:rPr>
        <w:t>报告期末持有的处于转股期的可转换债券明细</w:t>
      </w:r>
    </w:p>
    <w:p w:rsidR="00173B44" w:rsidRPr="00414345" w:rsidRDefault="00173B44" w:rsidP="00173B44">
      <w:pPr>
        <w:autoSpaceDE w:val="0"/>
        <w:autoSpaceDN w:val="0"/>
        <w:adjustRightInd w:val="0"/>
        <w:spacing w:before="29" w:line="288" w:lineRule="auto"/>
        <w:jc w:val="right"/>
        <w:rPr>
          <w:bCs/>
          <w:color w:val="000000"/>
          <w:kern w:val="0"/>
          <w:sz w:val="24"/>
          <w:szCs w:val="24"/>
        </w:rPr>
      </w:pPr>
      <w:r w:rsidRPr="00173B44">
        <w:rPr>
          <w:rFonts w:hint="eastAsia"/>
          <w:bCs/>
          <w:color w:val="000000"/>
          <w:kern w:val="0"/>
          <w:sz w:val="24"/>
          <w:szCs w:val="24"/>
        </w:rPr>
        <w:t>金额单位：人民币元</w:t>
      </w:r>
    </w:p>
    <w:tbl>
      <w:tblPr>
        <w:tblStyle w:val="af7"/>
        <w:tblW w:w="8868" w:type="dxa"/>
        <w:jc w:val="center"/>
        <w:tblLayout w:type="fixed"/>
        <w:tblCellMar>
          <w:top w:w="57" w:type="dxa"/>
          <w:bottom w:w="57" w:type="dxa"/>
        </w:tblCellMar>
        <w:tblLook w:val="04A0" w:firstRow="1" w:lastRow="0" w:firstColumn="1" w:lastColumn="0" w:noHBand="0" w:noVBand="1"/>
      </w:tblPr>
      <w:tblGrid>
        <w:gridCol w:w="1883"/>
        <w:gridCol w:w="1801"/>
        <w:gridCol w:w="1727"/>
        <w:gridCol w:w="1768"/>
        <w:gridCol w:w="1689"/>
      </w:tblGrid>
      <w:tr w:rsidR="003E62FB" w:rsidRPr="00414345" w:rsidTr="00A324F4">
        <w:trPr>
          <w:jc w:val="center"/>
        </w:trPr>
        <w:tc>
          <w:tcPr>
            <w:tcW w:w="180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序号</w:t>
            </w:r>
          </w:p>
        </w:tc>
        <w:tc>
          <w:tcPr>
            <w:tcW w:w="1729"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债券代码</w:t>
            </w:r>
          </w:p>
        </w:tc>
        <w:tc>
          <w:tcPr>
            <w:tcW w:w="165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债券名称</w:t>
            </w:r>
          </w:p>
        </w:tc>
        <w:tc>
          <w:tcPr>
            <w:tcW w:w="1697"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公允价值</w:t>
            </w:r>
          </w:p>
        </w:tc>
        <w:tc>
          <w:tcPr>
            <w:tcW w:w="1621"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占基金资产净值比例</w:t>
            </w:r>
            <w:r w:rsidR="009D1BD9">
              <w:rPr>
                <w:rFonts w:hint="eastAsia"/>
                <w:color w:val="000000"/>
                <w:sz w:val="24"/>
                <w:szCs w:val="24"/>
              </w:rPr>
              <w:t>(</w:t>
            </w:r>
            <w:r w:rsidR="009D1BD9">
              <w:rPr>
                <w:color w:val="000000"/>
                <w:sz w:val="24"/>
                <w:szCs w:val="24"/>
              </w:rPr>
              <w:t>%</w:t>
            </w:r>
            <w:r w:rsidR="009D1BD9">
              <w:rPr>
                <w:rFonts w:hint="eastAsia"/>
                <w:color w:val="000000"/>
                <w:sz w:val="24"/>
                <w:szCs w:val="24"/>
              </w:rPr>
              <w:t>)</w:t>
            </w:r>
          </w:p>
        </w:tc>
      </w:tr>
      <w:tr w:rsidR="004E75E2">
        <w:trPr>
          <w:jc w:val="center"/>
        </w:trPr>
        <w:tc>
          <w:tcPr>
            <w:tcW w:w="1883" w:type="dxa"/>
            <w:vAlign w:val="center"/>
          </w:tcPr>
          <w:p w:rsidR="004E75E2" w:rsidRDefault="00FE03C7">
            <w:pPr>
              <w:jc w:val="center"/>
            </w:pPr>
            <w:r>
              <w:rPr>
                <w:color w:val="000000"/>
                <w:sz w:val="24"/>
                <w:szCs w:val="24"/>
              </w:rPr>
              <w:t>1</w:t>
            </w:r>
          </w:p>
        </w:tc>
        <w:tc>
          <w:tcPr>
            <w:tcW w:w="1801" w:type="dxa"/>
            <w:vAlign w:val="center"/>
          </w:tcPr>
          <w:p w:rsidR="004E75E2" w:rsidRDefault="00FE03C7">
            <w:pPr>
              <w:jc w:val="center"/>
            </w:pPr>
            <w:r>
              <w:rPr>
                <w:color w:val="000000"/>
                <w:sz w:val="24"/>
                <w:szCs w:val="24"/>
              </w:rPr>
              <w:t>128046</w:t>
            </w:r>
          </w:p>
        </w:tc>
        <w:tc>
          <w:tcPr>
            <w:tcW w:w="1727" w:type="dxa"/>
            <w:vAlign w:val="center"/>
          </w:tcPr>
          <w:p w:rsidR="004E75E2" w:rsidRDefault="00FE03C7">
            <w:pPr>
              <w:jc w:val="center"/>
            </w:pPr>
            <w:r>
              <w:rPr>
                <w:color w:val="000000"/>
                <w:sz w:val="24"/>
                <w:szCs w:val="24"/>
              </w:rPr>
              <w:t>利尔转债</w:t>
            </w:r>
          </w:p>
        </w:tc>
        <w:tc>
          <w:tcPr>
            <w:tcW w:w="1768" w:type="dxa"/>
            <w:vAlign w:val="center"/>
          </w:tcPr>
          <w:p w:rsidR="004E75E2" w:rsidRDefault="00FE03C7">
            <w:pPr>
              <w:jc w:val="right"/>
            </w:pPr>
            <w:r>
              <w:rPr>
                <w:color w:val="000000"/>
                <w:sz w:val="24"/>
                <w:szCs w:val="24"/>
              </w:rPr>
              <w:t>323,986.95</w:t>
            </w:r>
          </w:p>
        </w:tc>
        <w:tc>
          <w:tcPr>
            <w:tcW w:w="1689" w:type="dxa"/>
            <w:vAlign w:val="center"/>
          </w:tcPr>
          <w:p w:rsidR="004E75E2" w:rsidRDefault="00FE03C7">
            <w:pPr>
              <w:jc w:val="right"/>
            </w:pPr>
            <w:r>
              <w:rPr>
                <w:color w:val="000000"/>
                <w:sz w:val="24"/>
                <w:szCs w:val="24"/>
              </w:rPr>
              <w:t>0.07</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Pr="006B0D08" w:rsidRDefault="003259C8" w:rsidP="00C15CAC">
      <w:pPr>
        <w:autoSpaceDE w:val="0"/>
        <w:autoSpaceDN w:val="0"/>
        <w:adjustRightInd w:val="0"/>
        <w:spacing w:before="29" w:line="288" w:lineRule="auto"/>
        <w:jc w:val="left"/>
        <w:rPr>
          <w:b/>
          <w:bCs/>
          <w:color w:val="000000"/>
          <w:kern w:val="0"/>
          <w:sz w:val="24"/>
          <w:szCs w:val="24"/>
        </w:rPr>
      </w:pPr>
      <w:r w:rsidRPr="006B0D08">
        <w:rPr>
          <w:b/>
          <w:bCs/>
          <w:color w:val="000000"/>
          <w:kern w:val="0"/>
          <w:sz w:val="24"/>
          <w:szCs w:val="24"/>
        </w:rPr>
        <w:t>5</w:t>
      </w:r>
      <w:r w:rsidR="004061AC" w:rsidRPr="006B0D08">
        <w:rPr>
          <w:b/>
          <w:bCs/>
          <w:color w:val="000000"/>
          <w:kern w:val="0"/>
          <w:sz w:val="24"/>
          <w:szCs w:val="24"/>
        </w:rPr>
        <w:t>.</w:t>
      </w:r>
      <w:r w:rsidR="0059076B" w:rsidRPr="006B0D08">
        <w:rPr>
          <w:b/>
          <w:bCs/>
          <w:color w:val="000000"/>
          <w:kern w:val="0"/>
          <w:sz w:val="24"/>
          <w:szCs w:val="24"/>
        </w:rPr>
        <w:t>11.5</w:t>
      </w:r>
      <w:r w:rsidR="004061AC" w:rsidRPr="006B0D08">
        <w:rPr>
          <w:b/>
          <w:bCs/>
          <w:color w:val="000000"/>
          <w:kern w:val="0"/>
          <w:sz w:val="24"/>
          <w:szCs w:val="24"/>
        </w:rPr>
        <w:t>报告期末前十名股票中存在流通受限情况的说明</w:t>
      </w:r>
    </w:p>
    <w:p w:rsidR="00066A97" w:rsidRPr="00414345" w:rsidRDefault="00066A97" w:rsidP="00066A97">
      <w:pPr>
        <w:autoSpaceDE w:val="0"/>
        <w:autoSpaceDN w:val="0"/>
        <w:adjustRightInd w:val="0"/>
        <w:spacing w:before="29" w:line="288" w:lineRule="auto"/>
        <w:jc w:val="right"/>
        <w:rPr>
          <w:bCs/>
          <w:color w:val="000000"/>
          <w:kern w:val="0"/>
          <w:sz w:val="24"/>
          <w:szCs w:val="24"/>
        </w:rPr>
      </w:pPr>
      <w:r w:rsidRPr="00173B44">
        <w:rPr>
          <w:rFonts w:hint="eastAsia"/>
          <w:bCs/>
          <w:color w:val="000000"/>
          <w:kern w:val="0"/>
          <w:sz w:val="24"/>
          <w:szCs w:val="24"/>
        </w:rPr>
        <w:t>金额单位：人民币元</w:t>
      </w:r>
    </w:p>
    <w:tbl>
      <w:tblPr>
        <w:tblStyle w:val="af7"/>
        <w:tblW w:w="8868" w:type="dxa"/>
        <w:jc w:val="center"/>
        <w:tblLayout w:type="fixed"/>
        <w:tblCellMar>
          <w:top w:w="57" w:type="dxa"/>
          <w:bottom w:w="57" w:type="dxa"/>
        </w:tblCellMar>
        <w:tblLook w:val="04A0" w:firstRow="1" w:lastRow="0" w:firstColumn="1" w:lastColumn="0" w:noHBand="0" w:noVBand="1"/>
      </w:tblPr>
      <w:tblGrid>
        <w:gridCol w:w="1129"/>
        <w:gridCol w:w="1356"/>
        <w:gridCol w:w="1355"/>
        <w:gridCol w:w="1880"/>
        <w:gridCol w:w="1724"/>
        <w:gridCol w:w="1424"/>
      </w:tblGrid>
      <w:tr w:rsidR="003E62FB" w:rsidRPr="00414345" w:rsidTr="00BC216C">
        <w:trPr>
          <w:jc w:val="center"/>
        </w:trPr>
        <w:tc>
          <w:tcPr>
            <w:tcW w:w="1083"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序号</w:t>
            </w:r>
          </w:p>
        </w:tc>
        <w:tc>
          <w:tcPr>
            <w:tcW w:w="1302"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股票代码</w:t>
            </w:r>
          </w:p>
        </w:tc>
        <w:tc>
          <w:tcPr>
            <w:tcW w:w="1301"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股票名称</w:t>
            </w:r>
          </w:p>
        </w:tc>
        <w:tc>
          <w:tcPr>
            <w:tcW w:w="1805" w:type="dxa"/>
            <w:vAlign w:val="center"/>
          </w:tcPr>
          <w:p w:rsidR="003E62FB" w:rsidRPr="005F1F22" w:rsidRDefault="003E62FB" w:rsidP="00C15CAC">
            <w:pPr>
              <w:spacing w:before="29" w:line="288" w:lineRule="auto"/>
              <w:ind w:left="17"/>
              <w:jc w:val="center"/>
              <w:rPr>
                <w:color w:val="000000"/>
                <w:sz w:val="24"/>
                <w:szCs w:val="24"/>
              </w:rPr>
            </w:pPr>
            <w:r w:rsidRPr="00414345">
              <w:rPr>
                <w:color w:val="000000"/>
                <w:sz w:val="24"/>
                <w:szCs w:val="24"/>
              </w:rPr>
              <w:t>流通受限部分的公允价值</w:t>
            </w:r>
          </w:p>
        </w:tc>
        <w:tc>
          <w:tcPr>
            <w:tcW w:w="1655"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占基金资产净值比例</w:t>
            </w:r>
            <w:r w:rsidR="005F1F22">
              <w:rPr>
                <w:color w:val="000000"/>
                <w:sz w:val="24"/>
                <w:szCs w:val="24"/>
              </w:rPr>
              <w:t>(%)</w:t>
            </w:r>
          </w:p>
        </w:tc>
        <w:tc>
          <w:tcPr>
            <w:tcW w:w="1367"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流通受限情况说明</w:t>
            </w:r>
          </w:p>
        </w:tc>
      </w:tr>
      <w:tr w:rsidR="004E75E2">
        <w:trPr>
          <w:jc w:val="center"/>
        </w:trPr>
        <w:tc>
          <w:tcPr>
            <w:tcW w:w="1129" w:type="dxa"/>
            <w:vAlign w:val="center"/>
          </w:tcPr>
          <w:p w:rsidR="004E75E2" w:rsidRDefault="00FE03C7">
            <w:pPr>
              <w:jc w:val="center"/>
            </w:pPr>
            <w:r>
              <w:rPr>
                <w:color w:val="000000"/>
                <w:sz w:val="24"/>
                <w:szCs w:val="24"/>
              </w:rPr>
              <w:t>1</w:t>
            </w:r>
          </w:p>
        </w:tc>
        <w:tc>
          <w:tcPr>
            <w:tcW w:w="1356" w:type="dxa"/>
            <w:vAlign w:val="center"/>
          </w:tcPr>
          <w:p w:rsidR="004E75E2" w:rsidRDefault="00FE03C7">
            <w:pPr>
              <w:jc w:val="center"/>
            </w:pPr>
            <w:r>
              <w:rPr>
                <w:color w:val="000000"/>
                <w:sz w:val="24"/>
                <w:szCs w:val="24"/>
              </w:rPr>
              <w:t>603882</w:t>
            </w:r>
          </w:p>
        </w:tc>
        <w:tc>
          <w:tcPr>
            <w:tcW w:w="1355" w:type="dxa"/>
            <w:vAlign w:val="center"/>
          </w:tcPr>
          <w:p w:rsidR="004E75E2" w:rsidRDefault="00FE03C7">
            <w:pPr>
              <w:jc w:val="center"/>
            </w:pPr>
            <w:r>
              <w:rPr>
                <w:color w:val="000000"/>
                <w:sz w:val="24"/>
                <w:szCs w:val="24"/>
              </w:rPr>
              <w:t>金域医学</w:t>
            </w:r>
          </w:p>
        </w:tc>
        <w:tc>
          <w:tcPr>
            <w:tcW w:w="1880" w:type="dxa"/>
            <w:vAlign w:val="center"/>
          </w:tcPr>
          <w:p w:rsidR="004E75E2" w:rsidRDefault="00FE03C7">
            <w:pPr>
              <w:jc w:val="right"/>
            </w:pPr>
            <w:r>
              <w:rPr>
                <w:color w:val="000000"/>
                <w:sz w:val="24"/>
                <w:szCs w:val="24"/>
              </w:rPr>
              <w:t>6,230,400.00</w:t>
            </w:r>
          </w:p>
        </w:tc>
        <w:tc>
          <w:tcPr>
            <w:tcW w:w="1724" w:type="dxa"/>
            <w:vAlign w:val="center"/>
          </w:tcPr>
          <w:p w:rsidR="004E75E2" w:rsidRDefault="00FE03C7">
            <w:pPr>
              <w:jc w:val="right"/>
            </w:pPr>
            <w:r>
              <w:rPr>
                <w:color w:val="000000"/>
                <w:sz w:val="24"/>
                <w:szCs w:val="24"/>
              </w:rPr>
              <w:t>1.44</w:t>
            </w:r>
          </w:p>
        </w:tc>
        <w:tc>
          <w:tcPr>
            <w:tcW w:w="1424" w:type="dxa"/>
            <w:vAlign w:val="center"/>
          </w:tcPr>
          <w:p w:rsidR="004E75E2" w:rsidRDefault="00FE03C7">
            <w:pPr>
              <w:jc w:val="right"/>
            </w:pPr>
            <w:r>
              <w:rPr>
                <w:color w:val="000000"/>
                <w:sz w:val="24"/>
                <w:szCs w:val="24"/>
              </w:rPr>
              <w:t>限售股</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Pr="006B0D08" w:rsidRDefault="003259C8" w:rsidP="00C15CAC">
      <w:pPr>
        <w:autoSpaceDE w:val="0"/>
        <w:autoSpaceDN w:val="0"/>
        <w:adjustRightInd w:val="0"/>
        <w:spacing w:before="29" w:line="288" w:lineRule="auto"/>
        <w:jc w:val="left"/>
        <w:rPr>
          <w:b/>
          <w:bCs/>
          <w:color w:val="000000"/>
          <w:kern w:val="0"/>
          <w:sz w:val="24"/>
          <w:szCs w:val="24"/>
        </w:rPr>
      </w:pPr>
      <w:r w:rsidRPr="006B0D08">
        <w:rPr>
          <w:b/>
          <w:bCs/>
          <w:color w:val="000000"/>
          <w:kern w:val="0"/>
          <w:sz w:val="24"/>
          <w:szCs w:val="24"/>
        </w:rPr>
        <w:t>5</w:t>
      </w:r>
      <w:r w:rsidR="004061AC" w:rsidRPr="006B0D08">
        <w:rPr>
          <w:b/>
          <w:bCs/>
          <w:color w:val="000000"/>
          <w:kern w:val="0"/>
          <w:sz w:val="24"/>
          <w:szCs w:val="24"/>
        </w:rPr>
        <w:t>.</w:t>
      </w:r>
      <w:r w:rsidR="0059076B" w:rsidRPr="006B0D08">
        <w:rPr>
          <w:b/>
          <w:bCs/>
          <w:color w:val="000000"/>
          <w:kern w:val="0"/>
          <w:sz w:val="24"/>
          <w:szCs w:val="24"/>
        </w:rPr>
        <w:t>11.6</w:t>
      </w:r>
      <w:r w:rsidR="001675CD" w:rsidRPr="006B0D08">
        <w:rPr>
          <w:b/>
          <w:bCs/>
          <w:color w:val="000000"/>
          <w:kern w:val="0"/>
          <w:sz w:val="24"/>
          <w:szCs w:val="24"/>
        </w:rPr>
        <w:t>投资组合报告附注的其他文字描述部分</w:t>
      </w:r>
    </w:p>
    <w:p w:rsidR="006B2FF6" w:rsidRPr="00414345" w:rsidRDefault="004061AC" w:rsidP="00E40D31">
      <w:pPr>
        <w:spacing w:before="29" w:line="288" w:lineRule="auto"/>
        <w:rPr>
          <w:color w:val="000000"/>
          <w:sz w:val="24"/>
          <w:szCs w:val="24"/>
        </w:rPr>
      </w:pPr>
      <w:r w:rsidRPr="00414345">
        <w:rPr>
          <w:color w:val="000000"/>
          <w:sz w:val="24"/>
          <w:szCs w:val="24"/>
        </w:rPr>
        <w:t>由于四舍五入的原因，分项之和与合计项之间可能存在尾差。</w:t>
      </w:r>
    </w:p>
    <w:p w:rsidR="006B2FF6" w:rsidRDefault="006B2FF6" w:rsidP="00C15CAC">
      <w:pPr>
        <w:spacing w:before="29" w:line="288" w:lineRule="auto"/>
        <w:ind w:firstLineChars="200" w:firstLine="480"/>
        <w:rPr>
          <w:color w:val="000000"/>
          <w:sz w:val="24"/>
          <w:szCs w:val="24"/>
        </w:rPr>
      </w:pPr>
    </w:p>
    <w:p w:rsidR="001F3E2A" w:rsidRDefault="001F3E2A" w:rsidP="00C15CAC">
      <w:pPr>
        <w:spacing w:before="29" w:line="288" w:lineRule="auto"/>
        <w:ind w:firstLineChars="200" w:firstLine="480"/>
        <w:rPr>
          <w:color w:val="000000"/>
          <w:sz w:val="24"/>
          <w:szCs w:val="24"/>
        </w:rPr>
      </w:pPr>
    </w:p>
    <w:p w:rsidR="001F3E2A" w:rsidRPr="00414345" w:rsidRDefault="001F3E2A" w:rsidP="00C15CAC">
      <w:pPr>
        <w:spacing w:before="29" w:line="288" w:lineRule="auto"/>
        <w:ind w:firstLineChars="200" w:firstLine="480"/>
        <w:rPr>
          <w:color w:val="000000"/>
          <w:sz w:val="24"/>
          <w:szCs w:val="24"/>
        </w:rPr>
      </w:pPr>
    </w:p>
    <w:p w:rsidR="004061AC" w:rsidRPr="005A3D62" w:rsidRDefault="004061AC" w:rsidP="0011537B">
      <w:pPr>
        <w:pStyle w:val="1"/>
        <w:spacing w:beforeLines="100" w:before="312" w:afterLines="100" w:after="312" w:line="360" w:lineRule="auto"/>
        <w:jc w:val="center"/>
        <w:rPr>
          <w:rFonts w:eastAsiaTheme="minorEastAsia"/>
          <w:color w:val="000000" w:themeColor="text1"/>
          <w:kern w:val="0"/>
          <w:sz w:val="24"/>
          <w:szCs w:val="24"/>
        </w:rPr>
      </w:pPr>
      <w:r w:rsidRPr="005A3D62">
        <w:rPr>
          <w:rFonts w:eastAsiaTheme="minorEastAsia"/>
          <w:color w:val="000000" w:themeColor="text1"/>
          <w:kern w:val="0"/>
          <w:sz w:val="24"/>
          <w:szCs w:val="24"/>
        </w:rPr>
        <w:t>§</w:t>
      </w:r>
      <w:r w:rsidR="0072794E" w:rsidRPr="005A3D62">
        <w:rPr>
          <w:rFonts w:eastAsiaTheme="minorEastAsia"/>
          <w:color w:val="000000" w:themeColor="text1"/>
          <w:kern w:val="0"/>
          <w:sz w:val="24"/>
          <w:szCs w:val="24"/>
        </w:rPr>
        <w:t>6</w:t>
      </w:r>
      <w:r w:rsidRPr="005A3D62">
        <w:rPr>
          <w:rFonts w:eastAsiaTheme="minorEastAsia"/>
          <w:color w:val="000000" w:themeColor="text1"/>
          <w:kern w:val="0"/>
          <w:sz w:val="24"/>
          <w:szCs w:val="24"/>
        </w:rPr>
        <w:t xml:space="preserve">  </w:t>
      </w:r>
      <w:r w:rsidRPr="005A3D62">
        <w:rPr>
          <w:rFonts w:eastAsiaTheme="minorEastAsia"/>
          <w:color w:val="000000" w:themeColor="text1"/>
          <w:kern w:val="0"/>
          <w:sz w:val="24"/>
          <w:szCs w:val="24"/>
        </w:rPr>
        <w:t>开放式基金份额变动</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单位：份</w:t>
      </w:r>
    </w:p>
    <w:tbl>
      <w:tblPr>
        <w:tblW w:w="8868" w:type="dxa"/>
        <w:jc w:val="center"/>
        <w:tblLayout w:type="fixed"/>
        <w:tblCellMar>
          <w:top w:w="-1" w:type="dxa"/>
          <w:bottom w:w="-1" w:type="dxa"/>
        </w:tblCellMar>
        <w:tblLook w:val="0000" w:firstRow="0" w:lastRow="0" w:firstColumn="0" w:lastColumn="0" w:noHBand="0" w:noVBand="0"/>
      </w:tblPr>
      <w:tblGrid>
        <w:gridCol w:w="4734"/>
        <w:gridCol w:w="4134"/>
      </w:tblGrid>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报告期期初基金份额总额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298,822,748.35</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基金总申购份额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100,225,589.97</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减：</w:t>
            </w:r>
            <w:r w:rsidR="00FE179F" w:rsidRPr="00414345">
              <w:rPr>
                <w:color w:val="000000"/>
                <w:kern w:val="0"/>
                <w:sz w:val="24"/>
                <w:szCs w:val="24"/>
              </w:rPr>
              <w:t>本报告期</w:t>
            </w:r>
            <w:r w:rsidR="00F31B0C">
              <w:rPr>
                <w:rFonts w:hint="eastAsia"/>
                <w:color w:val="000000"/>
                <w:kern w:val="0"/>
                <w:sz w:val="24"/>
                <w:szCs w:val="24"/>
              </w:rPr>
              <w:t>期间</w:t>
            </w:r>
            <w:r w:rsidRPr="00414345">
              <w:rPr>
                <w:color w:val="000000"/>
                <w:kern w:val="0"/>
                <w:sz w:val="24"/>
                <w:szCs w:val="24"/>
              </w:rPr>
              <w:t>基金总赎回份额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134,046,815.22</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35076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基金拆分变动份额</w:t>
            </w:r>
            <w:r w:rsidR="00F31B0C" w:rsidRPr="006664D2">
              <w:rPr>
                <w:rFonts w:hint="eastAsia"/>
                <w:color w:val="000000"/>
                <w:kern w:val="0"/>
                <w:sz w:val="24"/>
              </w:rPr>
              <w:t>（份额减少以</w:t>
            </w:r>
            <w:r w:rsidR="00F31B0C" w:rsidRPr="004D5D71">
              <w:rPr>
                <w:color w:val="000000"/>
              </w:rPr>
              <w:t>“-”</w:t>
            </w:r>
            <w:r w:rsidR="00F31B0C" w:rsidRPr="006664D2">
              <w:rPr>
                <w:rFonts w:hint="eastAsia"/>
                <w:color w:val="000000"/>
                <w:kern w:val="0"/>
                <w:sz w:val="24"/>
              </w:rPr>
              <w:t>填列）</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w:t>
            </w:r>
          </w:p>
        </w:tc>
      </w:tr>
      <w:tr w:rsidR="006D7FF8"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报告期期末基金份额总额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265,001,523.10</w:t>
            </w:r>
          </w:p>
        </w:tc>
      </w:tr>
    </w:tbl>
    <w:p w:rsidR="004E75E2" w:rsidRDefault="00FE03C7">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、如果本报告期间发生转换入、红利再投业务，则总申购份额中包含该业务；</w:t>
      </w:r>
      <w:r>
        <w:rPr>
          <w:color w:val="000000"/>
          <w:sz w:val="24"/>
          <w:szCs w:val="24"/>
        </w:rPr>
        <w:t xml:space="preserve">     </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2</w:t>
      </w:r>
      <w:r w:rsidRPr="00414345">
        <w:rPr>
          <w:color w:val="000000"/>
          <w:sz w:val="24"/>
          <w:szCs w:val="24"/>
        </w:rPr>
        <w:t>、如果本报告期间发生转换出业务，则总赎回份额中包含该业务。</w:t>
      </w:r>
    </w:p>
    <w:p w:rsidR="00320E90" w:rsidRDefault="00320E90" w:rsidP="00C15CAC">
      <w:pPr>
        <w:autoSpaceDE w:val="0"/>
        <w:autoSpaceDN w:val="0"/>
        <w:adjustRightInd w:val="0"/>
        <w:spacing w:before="29" w:line="288" w:lineRule="auto"/>
        <w:jc w:val="left"/>
        <w:rPr>
          <w:color w:val="000000"/>
          <w:sz w:val="24"/>
          <w:szCs w:val="24"/>
        </w:rPr>
      </w:pPr>
    </w:p>
    <w:p w:rsidR="00ED2620" w:rsidRPr="00ED2620" w:rsidRDefault="000A2FC0" w:rsidP="0011537B">
      <w:pPr>
        <w:pStyle w:val="1"/>
        <w:tabs>
          <w:tab w:val="center" w:pos="4156"/>
          <w:tab w:val="right" w:pos="8312"/>
        </w:tabs>
        <w:spacing w:beforeLines="100" w:before="312" w:afterLines="100" w:after="312" w:line="288" w:lineRule="auto"/>
        <w:jc w:val="center"/>
        <w:rPr>
          <w:sz w:val="24"/>
          <w:szCs w:val="24"/>
        </w:rPr>
      </w:pPr>
      <w:r w:rsidRPr="00414345">
        <w:rPr>
          <w:color w:val="000000"/>
          <w:kern w:val="0"/>
          <w:sz w:val="24"/>
          <w:szCs w:val="24"/>
        </w:rPr>
        <w:lastRenderedPageBreak/>
        <w:t>§</w:t>
      </w:r>
      <w:r w:rsidR="00ED2620" w:rsidRPr="00ED2620">
        <w:rPr>
          <w:rFonts w:eastAsiaTheme="minorEastAsia"/>
          <w:color w:val="000000"/>
          <w:kern w:val="0"/>
          <w:sz w:val="24"/>
          <w:szCs w:val="24"/>
        </w:rPr>
        <w:t xml:space="preserve">7  </w:t>
      </w:r>
      <w:r w:rsidR="00ED2620" w:rsidRPr="00ED2620">
        <w:rPr>
          <w:sz w:val="24"/>
          <w:szCs w:val="24"/>
        </w:rPr>
        <w:t>基金管理人运用固有资金投资本基金情况</w:t>
      </w:r>
    </w:p>
    <w:p w:rsidR="00ED2620" w:rsidRPr="00ED2620" w:rsidRDefault="00ED2620" w:rsidP="00C15CAC">
      <w:pPr>
        <w:spacing w:line="288" w:lineRule="auto"/>
        <w:jc w:val="left"/>
        <w:rPr>
          <w:sz w:val="24"/>
          <w:szCs w:val="24"/>
        </w:rPr>
      </w:pPr>
      <w:r w:rsidRPr="00ED2620">
        <w:rPr>
          <w:b/>
          <w:sz w:val="24"/>
        </w:rPr>
        <w:t xml:space="preserve">7.1 </w:t>
      </w:r>
      <w:r w:rsidRPr="00ED2620">
        <w:rPr>
          <w:b/>
          <w:sz w:val="24"/>
        </w:rPr>
        <w:t>基金管理人持有本基金份额变动情况</w:t>
      </w:r>
    </w:p>
    <w:p w:rsidR="00410630" w:rsidRDefault="00ED2620" w:rsidP="00C15CAC">
      <w:pPr>
        <w:autoSpaceDE w:val="0"/>
        <w:autoSpaceDN w:val="0"/>
        <w:adjustRightInd w:val="0"/>
        <w:spacing w:before="29" w:line="288" w:lineRule="auto"/>
        <w:jc w:val="left"/>
        <w:rPr>
          <w:rFonts w:eastAsiaTheme="minorEastAsia"/>
          <w:color w:val="000000"/>
          <w:sz w:val="24"/>
        </w:rPr>
      </w:pPr>
      <w:r w:rsidRPr="00ED2620">
        <w:rPr>
          <w:rFonts w:eastAsiaTheme="minorEastAsia"/>
          <w:color w:val="000000"/>
          <w:sz w:val="24"/>
        </w:rPr>
        <w:t>本报告期内未发生基金管理人运用固有资金投资本基金的情况。</w:t>
      </w:r>
    </w:p>
    <w:p w:rsidR="00410630" w:rsidRDefault="00410630" w:rsidP="00C15CAC">
      <w:pPr>
        <w:autoSpaceDE w:val="0"/>
        <w:autoSpaceDN w:val="0"/>
        <w:adjustRightInd w:val="0"/>
        <w:spacing w:before="29" w:line="288" w:lineRule="auto"/>
        <w:jc w:val="left"/>
        <w:rPr>
          <w:rFonts w:eastAsiaTheme="minorEastAsia"/>
          <w:color w:val="000000"/>
          <w:sz w:val="24"/>
        </w:rPr>
      </w:pPr>
    </w:p>
    <w:p w:rsidR="00410630" w:rsidRPr="00BB5E0E" w:rsidRDefault="00410630" w:rsidP="00BB5E0E">
      <w:pPr>
        <w:spacing w:line="288" w:lineRule="auto"/>
        <w:jc w:val="left"/>
        <w:rPr>
          <w:b/>
          <w:sz w:val="24"/>
        </w:rPr>
      </w:pPr>
      <w:r w:rsidRPr="00410630">
        <w:rPr>
          <w:b/>
          <w:sz w:val="24"/>
        </w:rPr>
        <w:t>7.2</w:t>
      </w:r>
      <w:r w:rsidRPr="00410630">
        <w:rPr>
          <w:rFonts w:hint="eastAsia"/>
          <w:b/>
          <w:sz w:val="24"/>
        </w:rPr>
        <w:t>基金管理人运用固有资金投资本基金交易明细</w:t>
      </w:r>
    </w:p>
    <w:p w:rsidR="00320300" w:rsidRPr="00414345" w:rsidRDefault="00320300" w:rsidP="00C15CAC">
      <w:pPr>
        <w:autoSpaceDE w:val="0"/>
        <w:autoSpaceDN w:val="0"/>
        <w:adjustRightInd w:val="0"/>
        <w:spacing w:before="29" w:line="288" w:lineRule="auto"/>
        <w:jc w:val="left"/>
        <w:rPr>
          <w:color w:val="000000"/>
          <w:sz w:val="24"/>
        </w:rPr>
      </w:pPr>
      <w:r w:rsidRPr="00414345">
        <w:rPr>
          <w:color w:val="000000"/>
          <w:sz w:val="24"/>
        </w:rPr>
        <w:t>本基金管理人本报告期内未进行本基金的申购、赎回、红利再投等。</w:t>
      </w:r>
    </w:p>
    <w:p w:rsidR="00480B35" w:rsidRPr="00414345" w:rsidRDefault="00480B35" w:rsidP="00C15CAC">
      <w:pPr>
        <w:autoSpaceDE w:val="0"/>
        <w:autoSpaceDN w:val="0"/>
        <w:adjustRightInd w:val="0"/>
        <w:spacing w:before="29" w:line="288" w:lineRule="auto"/>
        <w:jc w:val="left"/>
        <w:rPr>
          <w:color w:val="000000"/>
          <w:sz w:val="24"/>
        </w:rPr>
      </w:pPr>
    </w:p>
    <w:p w:rsidR="00B22DEE" w:rsidRPr="00E02660"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D02347" w:rsidRPr="00414345">
        <w:rPr>
          <w:color w:val="000000"/>
          <w:kern w:val="0"/>
          <w:sz w:val="24"/>
          <w:szCs w:val="24"/>
        </w:rPr>
        <w:t>8</w:t>
      </w:r>
      <w:r w:rsidR="00834E74">
        <w:rPr>
          <w:color w:val="000000"/>
          <w:kern w:val="0"/>
          <w:sz w:val="24"/>
          <w:szCs w:val="24"/>
        </w:rPr>
        <w:t xml:space="preserve">  </w:t>
      </w:r>
      <w:r w:rsidRPr="00414345">
        <w:rPr>
          <w:color w:val="000000"/>
          <w:kern w:val="0"/>
          <w:sz w:val="24"/>
          <w:szCs w:val="24"/>
        </w:rPr>
        <w:t>备查文件目录</w:t>
      </w: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8</w:t>
      </w:r>
      <w:r w:rsidR="004061AC" w:rsidRPr="00414345">
        <w:rPr>
          <w:b/>
          <w:bCs/>
          <w:color w:val="000000"/>
          <w:kern w:val="0"/>
          <w:sz w:val="24"/>
          <w:szCs w:val="24"/>
        </w:rPr>
        <w:t>.</w:t>
      </w:r>
      <w:r w:rsidR="00676095" w:rsidRPr="00414345">
        <w:rPr>
          <w:b/>
          <w:bCs/>
          <w:color w:val="000000"/>
          <w:kern w:val="0"/>
          <w:sz w:val="24"/>
          <w:szCs w:val="24"/>
        </w:rPr>
        <w:t>1</w:t>
      </w:r>
      <w:r w:rsidR="004061AC" w:rsidRPr="00414345">
        <w:rPr>
          <w:b/>
          <w:bCs/>
          <w:color w:val="000000"/>
          <w:kern w:val="0"/>
          <w:sz w:val="24"/>
          <w:szCs w:val="24"/>
        </w:rPr>
        <w:t>备查文件目录</w:t>
      </w:r>
    </w:p>
    <w:p w:rsidR="004E75E2" w:rsidRDefault="00FE03C7">
      <w:pPr>
        <w:spacing w:before="29" w:line="288" w:lineRule="auto"/>
        <w:ind w:firstLineChars="200" w:firstLine="480"/>
        <w:rPr>
          <w:color w:val="000000"/>
          <w:sz w:val="24"/>
          <w:szCs w:val="24"/>
        </w:rPr>
      </w:pPr>
      <w:r>
        <w:rPr>
          <w:color w:val="000000"/>
          <w:sz w:val="24"/>
          <w:szCs w:val="24"/>
        </w:rPr>
        <w:t>1</w:t>
      </w:r>
      <w:r>
        <w:rPr>
          <w:color w:val="000000"/>
          <w:sz w:val="24"/>
          <w:szCs w:val="24"/>
        </w:rPr>
        <w:t>、中国证监会准予交银施罗德医药创新股票型证券投资基金募集注册的文件；</w:t>
      </w:r>
      <w:r>
        <w:rPr>
          <w:color w:val="000000"/>
          <w:sz w:val="24"/>
          <w:szCs w:val="24"/>
        </w:rPr>
        <w:t xml:space="preserve"> </w:t>
      </w:r>
    </w:p>
    <w:p w:rsidR="004E75E2" w:rsidRDefault="00FE03C7">
      <w:pPr>
        <w:spacing w:before="29" w:line="288" w:lineRule="auto"/>
        <w:ind w:firstLineChars="200" w:firstLine="480"/>
        <w:rPr>
          <w:color w:val="000000"/>
          <w:sz w:val="24"/>
          <w:szCs w:val="24"/>
        </w:rPr>
      </w:pPr>
      <w:r>
        <w:rPr>
          <w:color w:val="000000"/>
          <w:sz w:val="24"/>
          <w:szCs w:val="24"/>
        </w:rPr>
        <w:t>2</w:t>
      </w:r>
      <w:r>
        <w:rPr>
          <w:color w:val="000000"/>
          <w:sz w:val="24"/>
          <w:szCs w:val="24"/>
        </w:rPr>
        <w:t>、《交银施罗德医药创新股票型证券投资基金基金合同》；</w:t>
      </w:r>
      <w:r>
        <w:rPr>
          <w:color w:val="000000"/>
          <w:sz w:val="24"/>
          <w:szCs w:val="24"/>
        </w:rPr>
        <w:t xml:space="preserve"> </w:t>
      </w:r>
    </w:p>
    <w:p w:rsidR="004E75E2" w:rsidRDefault="00FE03C7">
      <w:pPr>
        <w:spacing w:before="29" w:line="288" w:lineRule="auto"/>
        <w:ind w:firstLineChars="200" w:firstLine="480"/>
        <w:rPr>
          <w:color w:val="000000"/>
          <w:sz w:val="24"/>
          <w:szCs w:val="24"/>
        </w:rPr>
      </w:pPr>
      <w:r>
        <w:rPr>
          <w:color w:val="000000"/>
          <w:sz w:val="24"/>
          <w:szCs w:val="24"/>
        </w:rPr>
        <w:t>3</w:t>
      </w:r>
      <w:r>
        <w:rPr>
          <w:color w:val="000000"/>
          <w:sz w:val="24"/>
          <w:szCs w:val="24"/>
        </w:rPr>
        <w:t>、《交银施罗德医药创新股票型证券投资基金招募说明书》；</w:t>
      </w:r>
      <w:r>
        <w:rPr>
          <w:color w:val="000000"/>
          <w:sz w:val="24"/>
          <w:szCs w:val="24"/>
        </w:rPr>
        <w:t xml:space="preserve"> </w:t>
      </w:r>
    </w:p>
    <w:p w:rsidR="004E75E2" w:rsidRDefault="00FE03C7">
      <w:pPr>
        <w:spacing w:before="29" w:line="288" w:lineRule="auto"/>
        <w:ind w:firstLineChars="200" w:firstLine="480"/>
        <w:rPr>
          <w:color w:val="000000"/>
          <w:sz w:val="24"/>
          <w:szCs w:val="24"/>
        </w:rPr>
      </w:pPr>
      <w:r>
        <w:rPr>
          <w:color w:val="000000"/>
          <w:sz w:val="24"/>
          <w:szCs w:val="24"/>
        </w:rPr>
        <w:t>4</w:t>
      </w:r>
      <w:r>
        <w:rPr>
          <w:color w:val="000000"/>
          <w:sz w:val="24"/>
          <w:szCs w:val="24"/>
        </w:rPr>
        <w:t>、《交银施罗德医药创新股票型证券投资基金托管协议》；</w:t>
      </w:r>
      <w:r>
        <w:rPr>
          <w:color w:val="000000"/>
          <w:sz w:val="24"/>
          <w:szCs w:val="24"/>
        </w:rPr>
        <w:t xml:space="preserve"> </w:t>
      </w:r>
    </w:p>
    <w:p w:rsidR="004E75E2" w:rsidRDefault="00FE03C7">
      <w:pPr>
        <w:spacing w:before="29" w:line="288" w:lineRule="auto"/>
        <w:ind w:firstLineChars="200" w:firstLine="480"/>
        <w:rPr>
          <w:color w:val="000000"/>
          <w:sz w:val="24"/>
          <w:szCs w:val="24"/>
        </w:rPr>
      </w:pPr>
      <w:r>
        <w:rPr>
          <w:color w:val="000000"/>
          <w:sz w:val="24"/>
          <w:szCs w:val="24"/>
        </w:rPr>
        <w:t>5</w:t>
      </w:r>
      <w:r>
        <w:rPr>
          <w:color w:val="000000"/>
          <w:sz w:val="24"/>
          <w:szCs w:val="24"/>
        </w:rPr>
        <w:t>、关于申请募集注册交银施罗德医药创新股票型证券投资基金的法律意见书；</w:t>
      </w:r>
      <w:r>
        <w:rPr>
          <w:color w:val="000000"/>
          <w:sz w:val="24"/>
          <w:szCs w:val="24"/>
        </w:rPr>
        <w:t xml:space="preserve"> </w:t>
      </w:r>
    </w:p>
    <w:p w:rsidR="004E75E2" w:rsidRDefault="00FE03C7">
      <w:pPr>
        <w:spacing w:before="29" w:line="288" w:lineRule="auto"/>
        <w:ind w:firstLineChars="200" w:firstLine="480"/>
        <w:rPr>
          <w:color w:val="000000"/>
          <w:sz w:val="24"/>
          <w:szCs w:val="24"/>
        </w:rPr>
      </w:pPr>
      <w:r>
        <w:rPr>
          <w:color w:val="000000"/>
          <w:sz w:val="24"/>
          <w:szCs w:val="24"/>
        </w:rPr>
        <w:t>6</w:t>
      </w:r>
      <w:r>
        <w:rPr>
          <w:color w:val="000000"/>
          <w:sz w:val="24"/>
          <w:szCs w:val="24"/>
        </w:rPr>
        <w:t>、基金管理人业务资格批件、营业执照；</w:t>
      </w:r>
      <w:r>
        <w:rPr>
          <w:color w:val="000000"/>
          <w:sz w:val="24"/>
          <w:szCs w:val="24"/>
        </w:rPr>
        <w:t xml:space="preserve"> </w:t>
      </w:r>
    </w:p>
    <w:p w:rsidR="004E75E2" w:rsidRDefault="00FE03C7">
      <w:pPr>
        <w:spacing w:before="29" w:line="288" w:lineRule="auto"/>
        <w:ind w:firstLineChars="200" w:firstLine="480"/>
        <w:rPr>
          <w:color w:val="000000"/>
          <w:sz w:val="24"/>
          <w:szCs w:val="24"/>
        </w:rPr>
      </w:pPr>
      <w:r>
        <w:rPr>
          <w:color w:val="000000"/>
          <w:sz w:val="24"/>
          <w:szCs w:val="24"/>
        </w:rPr>
        <w:t>7</w:t>
      </w:r>
      <w:r>
        <w:rPr>
          <w:color w:val="000000"/>
          <w:sz w:val="24"/>
          <w:szCs w:val="24"/>
        </w:rPr>
        <w:t>、基金托管人业务资格批件、营业执照；</w:t>
      </w:r>
      <w:r>
        <w:rPr>
          <w:color w:val="000000"/>
          <w:sz w:val="24"/>
          <w:szCs w:val="24"/>
        </w:rPr>
        <w:t xml:space="preserve"> </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8</w:t>
      </w:r>
      <w:r w:rsidRPr="00414345">
        <w:rPr>
          <w:color w:val="000000"/>
          <w:sz w:val="24"/>
          <w:szCs w:val="24"/>
        </w:rPr>
        <w:t>、报告期内交银施罗德医药创新股票型证券投资基金在指定报刊上各项公告的原稿。</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8</w:t>
      </w:r>
      <w:r w:rsidR="004061AC" w:rsidRPr="00414345">
        <w:rPr>
          <w:b/>
          <w:bCs/>
          <w:color w:val="000000"/>
          <w:kern w:val="0"/>
          <w:sz w:val="24"/>
          <w:szCs w:val="24"/>
        </w:rPr>
        <w:t>.</w:t>
      </w:r>
      <w:r w:rsidR="00676095" w:rsidRPr="00414345">
        <w:rPr>
          <w:b/>
          <w:bCs/>
          <w:color w:val="000000"/>
          <w:kern w:val="0"/>
          <w:sz w:val="24"/>
          <w:szCs w:val="24"/>
        </w:rPr>
        <w:t>2</w:t>
      </w:r>
      <w:r w:rsidR="004061AC" w:rsidRPr="00414345">
        <w:rPr>
          <w:b/>
          <w:bCs/>
          <w:color w:val="000000"/>
          <w:kern w:val="0"/>
          <w:sz w:val="24"/>
          <w:szCs w:val="24"/>
        </w:rPr>
        <w:t>存放地点</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备查文件存放于基金管理人的办公场所。</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8</w:t>
      </w:r>
      <w:r w:rsidR="004061AC" w:rsidRPr="00414345">
        <w:rPr>
          <w:b/>
          <w:bCs/>
          <w:color w:val="000000"/>
          <w:kern w:val="0"/>
          <w:sz w:val="24"/>
          <w:szCs w:val="24"/>
        </w:rPr>
        <w:t>.</w:t>
      </w:r>
      <w:r w:rsidR="00676095" w:rsidRPr="00414345">
        <w:rPr>
          <w:b/>
          <w:bCs/>
          <w:color w:val="000000"/>
          <w:kern w:val="0"/>
          <w:sz w:val="24"/>
          <w:szCs w:val="24"/>
        </w:rPr>
        <w:t>3</w:t>
      </w:r>
      <w:r w:rsidR="004061AC" w:rsidRPr="00414345">
        <w:rPr>
          <w:b/>
          <w:bCs/>
          <w:color w:val="000000"/>
          <w:kern w:val="0"/>
          <w:sz w:val="24"/>
          <w:szCs w:val="24"/>
        </w:rPr>
        <w:t>查阅方式</w:t>
      </w:r>
    </w:p>
    <w:p w:rsidR="004E75E2" w:rsidRDefault="00FE03C7">
      <w:pPr>
        <w:spacing w:before="29" w:line="288" w:lineRule="auto"/>
        <w:ind w:firstLineChars="200" w:firstLine="480"/>
        <w:rPr>
          <w:color w:val="000000"/>
          <w:sz w:val="24"/>
          <w:szCs w:val="24"/>
        </w:rPr>
      </w:pPr>
      <w:r>
        <w:rPr>
          <w:color w:val="000000"/>
          <w:sz w:val="24"/>
          <w:szCs w:val="24"/>
        </w:rPr>
        <w:t>投资者可在办公时间内至基金管理人的办公场所免费查阅备查文件，或者登录基金管理人的网站</w:t>
      </w:r>
      <w:r>
        <w:rPr>
          <w:color w:val="000000"/>
          <w:sz w:val="24"/>
          <w:szCs w:val="24"/>
        </w:rPr>
        <w:t>(www.fund001.com)</w:t>
      </w:r>
      <w:r>
        <w:rPr>
          <w:color w:val="000000"/>
          <w:sz w:val="24"/>
          <w:szCs w:val="24"/>
        </w:rPr>
        <w:t>查阅。在支付工本费后，投资者可在合理时间内取得上述文件的复制件或复印件。</w:t>
      </w:r>
      <w:r>
        <w:rPr>
          <w:color w:val="000000"/>
          <w:sz w:val="24"/>
          <w:szCs w:val="24"/>
        </w:rPr>
        <w:t xml:space="preserve"> </w:t>
      </w:r>
    </w:p>
    <w:p w:rsidR="00A90049" w:rsidRPr="00414345" w:rsidRDefault="006D7FF8" w:rsidP="00C15CAC">
      <w:pPr>
        <w:spacing w:before="29" w:line="288" w:lineRule="auto"/>
        <w:ind w:firstLineChars="200" w:firstLine="480"/>
        <w:rPr>
          <w:color w:val="000000"/>
          <w:sz w:val="24"/>
          <w:szCs w:val="24"/>
        </w:rPr>
      </w:pPr>
      <w:r w:rsidRPr="00414345">
        <w:rPr>
          <w:color w:val="000000"/>
          <w:sz w:val="24"/>
          <w:szCs w:val="24"/>
        </w:rPr>
        <w:t>投资者对本报告书如有疑问，可咨询本基金管理人交银施罗德基金管理有限公司。本公司客户服务中心电话：</w:t>
      </w:r>
      <w:r w:rsidRPr="00414345">
        <w:rPr>
          <w:color w:val="000000"/>
          <w:sz w:val="24"/>
          <w:szCs w:val="24"/>
        </w:rPr>
        <w:t>400-700-5000</w:t>
      </w:r>
      <w:r w:rsidRPr="00414345">
        <w:rPr>
          <w:color w:val="000000"/>
          <w:sz w:val="24"/>
          <w:szCs w:val="24"/>
        </w:rPr>
        <w:t>（免长途话费），</w:t>
      </w:r>
      <w:r w:rsidRPr="00414345">
        <w:rPr>
          <w:color w:val="000000"/>
          <w:sz w:val="24"/>
          <w:szCs w:val="24"/>
        </w:rPr>
        <w:t>021-61055000</w:t>
      </w:r>
      <w:r w:rsidRPr="00414345">
        <w:rPr>
          <w:color w:val="000000"/>
          <w:sz w:val="24"/>
          <w:szCs w:val="24"/>
        </w:rPr>
        <w:t>，电子邮件：</w:t>
      </w:r>
      <w:r w:rsidRPr="00414345">
        <w:rPr>
          <w:color w:val="000000"/>
          <w:sz w:val="24"/>
          <w:szCs w:val="24"/>
        </w:rPr>
        <w:t>services@jysld.com</w:t>
      </w:r>
      <w:r w:rsidRPr="00414345">
        <w:rPr>
          <w:color w:val="000000"/>
          <w:sz w:val="24"/>
          <w:szCs w:val="24"/>
        </w:rPr>
        <w:t>。</w:t>
      </w:r>
    </w:p>
    <w:p w:rsidR="002C3C7A" w:rsidRPr="00414345" w:rsidRDefault="002C3C7A" w:rsidP="00C15CAC">
      <w:pPr>
        <w:spacing w:before="29" w:line="288" w:lineRule="auto"/>
        <w:ind w:firstLineChars="200" w:firstLine="480"/>
        <w:rPr>
          <w:color w:val="000000"/>
          <w:sz w:val="24"/>
          <w:szCs w:val="24"/>
        </w:rPr>
      </w:pPr>
    </w:p>
    <w:sectPr w:rsidR="002C3C7A" w:rsidRPr="00414345" w:rsidSect="00000678">
      <w:pgSz w:w="11906" w:h="16838" w:code="9"/>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3C7" w:rsidRDefault="00FE03C7" w:rsidP="00876D65">
      <w:r>
        <w:separator/>
      </w:r>
    </w:p>
  </w:endnote>
  <w:endnote w:type="continuationSeparator" w:id="0">
    <w:p w:rsidR="00FE03C7" w:rsidRDefault="00FE03C7" w:rsidP="0087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angSong">
    <w:altName w:val="Arial"/>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40C" w:rsidRPr="001D0DB0" w:rsidRDefault="004D340C" w:rsidP="004D340C">
    <w:pPr>
      <w:pStyle w:val="a6"/>
      <w:jc w:val="center"/>
    </w:pPr>
    <w:r>
      <w:rPr>
        <w:rFonts w:hint="eastAsia"/>
        <w:kern w:val="0"/>
        <w:szCs w:val="21"/>
      </w:rPr>
      <w:t>第</w:t>
    </w:r>
    <w:r w:rsidR="00381EE8">
      <w:rPr>
        <w:kern w:val="0"/>
        <w:szCs w:val="21"/>
      </w:rPr>
      <w:fldChar w:fldCharType="begin"/>
    </w:r>
    <w:r>
      <w:rPr>
        <w:kern w:val="0"/>
        <w:szCs w:val="21"/>
      </w:rPr>
      <w:instrText xml:space="preserve"> PAGE </w:instrText>
    </w:r>
    <w:r w:rsidR="00381EE8">
      <w:rPr>
        <w:kern w:val="0"/>
        <w:szCs w:val="21"/>
      </w:rPr>
      <w:fldChar w:fldCharType="separate"/>
    </w:r>
    <w:r w:rsidR="00202017">
      <w:rPr>
        <w:noProof/>
        <w:kern w:val="0"/>
        <w:szCs w:val="21"/>
      </w:rPr>
      <w:t>3</w:t>
    </w:r>
    <w:r w:rsidR="00381EE8">
      <w:rPr>
        <w:kern w:val="0"/>
        <w:szCs w:val="21"/>
      </w:rPr>
      <w:fldChar w:fldCharType="end"/>
    </w:r>
    <w:r>
      <w:rPr>
        <w:rFonts w:hint="eastAsia"/>
        <w:kern w:val="0"/>
        <w:szCs w:val="21"/>
      </w:rPr>
      <w:t>页共</w:t>
    </w:r>
    <w:r w:rsidR="00381EE8">
      <w:rPr>
        <w:kern w:val="0"/>
        <w:szCs w:val="21"/>
      </w:rPr>
      <w:fldChar w:fldCharType="begin"/>
    </w:r>
    <w:r>
      <w:rPr>
        <w:kern w:val="0"/>
        <w:szCs w:val="21"/>
      </w:rPr>
      <w:instrText xml:space="preserve"> NUMPAGES </w:instrText>
    </w:r>
    <w:r w:rsidR="00381EE8">
      <w:rPr>
        <w:kern w:val="0"/>
        <w:szCs w:val="21"/>
      </w:rPr>
      <w:fldChar w:fldCharType="separate"/>
    </w:r>
    <w:r w:rsidR="00202017">
      <w:rPr>
        <w:noProof/>
        <w:kern w:val="0"/>
        <w:szCs w:val="21"/>
      </w:rPr>
      <w:t>11</w:t>
    </w:r>
    <w:r w:rsidR="00381EE8">
      <w:rPr>
        <w:kern w:val="0"/>
        <w:szCs w:val="21"/>
      </w:rPr>
      <w:fldChar w:fldCharType="end"/>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3C7" w:rsidRDefault="00FE03C7" w:rsidP="00876D65">
      <w:r>
        <w:separator/>
      </w:r>
    </w:p>
  </w:footnote>
  <w:footnote w:type="continuationSeparator" w:id="0">
    <w:p w:rsidR="00FE03C7" w:rsidRDefault="00FE03C7" w:rsidP="00876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EF0" w:rsidRPr="00DC456F" w:rsidRDefault="00DC456F" w:rsidP="00090A26">
    <w:pPr>
      <w:pStyle w:val="a9"/>
      <w:pBdr>
        <w:bottom w:val="single" w:sz="6" w:space="0" w:color="auto"/>
      </w:pBdr>
      <w:jc w:val="right"/>
      <w:rPr>
        <w:sz w:val="24"/>
        <w:szCs w:val="24"/>
      </w:rPr>
    </w:pPr>
    <w:r w:rsidRPr="003E676C">
      <w:rPr>
        <w:sz w:val="24"/>
        <w:szCs w:val="24"/>
      </w:rPr>
      <w:t>交银施罗德医药创新股票型证券投资基金</w:t>
    </w:r>
    <w:r w:rsidRPr="003E676C">
      <w:rPr>
        <w:sz w:val="24"/>
        <w:szCs w:val="24"/>
      </w:rPr>
      <w:t>2019</w:t>
    </w:r>
    <w:r w:rsidRPr="003E676C">
      <w:rPr>
        <w:sz w:val="24"/>
        <w:szCs w:val="24"/>
      </w:rPr>
      <w:t>年第</w:t>
    </w:r>
    <w:r w:rsidRPr="003E676C">
      <w:rPr>
        <w:sz w:val="24"/>
        <w:szCs w:val="24"/>
      </w:rPr>
      <w:t>3</w:t>
    </w:r>
    <w:r w:rsidRPr="003E676C">
      <w:rPr>
        <w:sz w:val="24"/>
        <w:szCs w:val="24"/>
      </w:rPr>
      <w:t>季度报告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start w:val="1"/>
      <w:numFmt w:val="bullet"/>
      <w:lvlText w:val=""/>
      <w:lvlJc w:val="left"/>
      <w:pPr>
        <w:tabs>
          <w:tab w:val="num" w:pos="1260"/>
        </w:tabs>
        <w:ind w:left="1260" w:hanging="420"/>
      </w:pPr>
      <w:rPr>
        <w:rFonts w:ascii="Wingdings" w:hAnsi="Wingdings" w:cs="Wingdings" w:hint="default"/>
      </w:rPr>
    </w:lvl>
    <w:lvl w:ilvl="2" w:tplc="04090005">
      <w:start w:val="1"/>
      <w:numFmt w:val="bullet"/>
      <w:lvlText w:val=""/>
      <w:lvlJc w:val="left"/>
      <w:pPr>
        <w:tabs>
          <w:tab w:val="num" w:pos="1680"/>
        </w:tabs>
        <w:ind w:left="1680" w:hanging="420"/>
      </w:pPr>
      <w:rPr>
        <w:rFonts w:ascii="Wingdings" w:hAnsi="Wingdings" w:cs="Wingdings" w:hint="default"/>
      </w:rPr>
    </w:lvl>
    <w:lvl w:ilvl="3" w:tplc="04090001">
      <w:start w:val="1"/>
      <w:numFmt w:val="bullet"/>
      <w:lvlText w:val=""/>
      <w:lvlJc w:val="left"/>
      <w:pPr>
        <w:tabs>
          <w:tab w:val="num" w:pos="2100"/>
        </w:tabs>
        <w:ind w:left="2100" w:hanging="420"/>
      </w:pPr>
      <w:rPr>
        <w:rFonts w:ascii="Wingdings" w:hAnsi="Wingdings" w:cs="Wingdings" w:hint="default"/>
      </w:rPr>
    </w:lvl>
    <w:lvl w:ilvl="4" w:tplc="04090003">
      <w:start w:val="1"/>
      <w:numFmt w:val="bullet"/>
      <w:lvlText w:val=""/>
      <w:lvlJc w:val="left"/>
      <w:pPr>
        <w:tabs>
          <w:tab w:val="num" w:pos="2520"/>
        </w:tabs>
        <w:ind w:left="2520" w:hanging="420"/>
      </w:pPr>
      <w:rPr>
        <w:rFonts w:ascii="Wingdings" w:hAnsi="Wingdings" w:cs="Wingdings" w:hint="default"/>
      </w:rPr>
    </w:lvl>
    <w:lvl w:ilvl="5" w:tplc="04090005">
      <w:start w:val="1"/>
      <w:numFmt w:val="bullet"/>
      <w:lvlText w:val=""/>
      <w:lvlJc w:val="left"/>
      <w:pPr>
        <w:tabs>
          <w:tab w:val="num" w:pos="2940"/>
        </w:tabs>
        <w:ind w:left="2940" w:hanging="420"/>
      </w:pPr>
      <w:rPr>
        <w:rFonts w:ascii="Wingdings" w:hAnsi="Wingdings" w:cs="Wingdings" w:hint="default"/>
      </w:rPr>
    </w:lvl>
    <w:lvl w:ilvl="6" w:tplc="04090001">
      <w:start w:val="1"/>
      <w:numFmt w:val="bullet"/>
      <w:lvlText w:val=""/>
      <w:lvlJc w:val="left"/>
      <w:pPr>
        <w:tabs>
          <w:tab w:val="num" w:pos="3360"/>
        </w:tabs>
        <w:ind w:left="3360" w:hanging="420"/>
      </w:pPr>
      <w:rPr>
        <w:rFonts w:ascii="Wingdings" w:hAnsi="Wingdings" w:cs="Wingdings" w:hint="default"/>
      </w:rPr>
    </w:lvl>
    <w:lvl w:ilvl="7" w:tplc="04090003">
      <w:start w:val="1"/>
      <w:numFmt w:val="bullet"/>
      <w:lvlText w:val=""/>
      <w:lvlJc w:val="left"/>
      <w:pPr>
        <w:tabs>
          <w:tab w:val="num" w:pos="3780"/>
        </w:tabs>
        <w:ind w:left="3780" w:hanging="420"/>
      </w:pPr>
      <w:rPr>
        <w:rFonts w:ascii="Wingdings" w:hAnsi="Wingdings" w:cs="Wingdings" w:hint="default"/>
      </w:rPr>
    </w:lvl>
    <w:lvl w:ilvl="8" w:tplc="04090005">
      <w:start w:val="1"/>
      <w:numFmt w:val="bullet"/>
      <w:lvlText w:val=""/>
      <w:lvlJc w:val="left"/>
      <w:pPr>
        <w:tabs>
          <w:tab w:val="num" w:pos="4200"/>
        </w:tabs>
        <w:ind w:left="4200" w:hanging="420"/>
      </w:pPr>
      <w:rPr>
        <w:rFonts w:ascii="Wingdings" w:hAnsi="Wingdings" w:cs="Wingdings" w:hint="default"/>
      </w:rPr>
    </w:lvl>
  </w:abstractNum>
  <w:abstractNum w:abstractNumId="1"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szCs w:val="24"/>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2"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2"/>
  </w:num>
  <w:num w:numId="2">
    <w:abstractNumId w:val="1"/>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61AC"/>
    <w:rsid w:val="00000678"/>
    <w:rsid w:val="00006A28"/>
    <w:rsid w:val="00014099"/>
    <w:rsid w:val="000160C5"/>
    <w:rsid w:val="000210E7"/>
    <w:rsid w:val="000243BD"/>
    <w:rsid w:val="00024F7F"/>
    <w:rsid w:val="00031EBB"/>
    <w:rsid w:val="00033B8D"/>
    <w:rsid w:val="0004308C"/>
    <w:rsid w:val="00043852"/>
    <w:rsid w:val="000450DD"/>
    <w:rsid w:val="000463DE"/>
    <w:rsid w:val="0006147E"/>
    <w:rsid w:val="000625ED"/>
    <w:rsid w:val="00064D40"/>
    <w:rsid w:val="00066A97"/>
    <w:rsid w:val="000815C0"/>
    <w:rsid w:val="000824E7"/>
    <w:rsid w:val="0008313A"/>
    <w:rsid w:val="00085E78"/>
    <w:rsid w:val="0008689B"/>
    <w:rsid w:val="00086D4E"/>
    <w:rsid w:val="000907D2"/>
    <w:rsid w:val="00090A26"/>
    <w:rsid w:val="000A2B53"/>
    <w:rsid w:val="000A2FC0"/>
    <w:rsid w:val="000A4173"/>
    <w:rsid w:val="000B1D21"/>
    <w:rsid w:val="000B1EB7"/>
    <w:rsid w:val="000B5C78"/>
    <w:rsid w:val="000B624F"/>
    <w:rsid w:val="000B73C6"/>
    <w:rsid w:val="000C190B"/>
    <w:rsid w:val="000C1E17"/>
    <w:rsid w:val="000C5216"/>
    <w:rsid w:val="000D0E6C"/>
    <w:rsid w:val="000D11DE"/>
    <w:rsid w:val="000D3ED4"/>
    <w:rsid w:val="000E5DA5"/>
    <w:rsid w:val="000E7E5E"/>
    <w:rsid w:val="000F6CC8"/>
    <w:rsid w:val="00111261"/>
    <w:rsid w:val="0011537B"/>
    <w:rsid w:val="00133015"/>
    <w:rsid w:val="00137452"/>
    <w:rsid w:val="00137B31"/>
    <w:rsid w:val="00144F93"/>
    <w:rsid w:val="00147376"/>
    <w:rsid w:val="0015450B"/>
    <w:rsid w:val="00154BE1"/>
    <w:rsid w:val="0015710B"/>
    <w:rsid w:val="00160EDC"/>
    <w:rsid w:val="00162D61"/>
    <w:rsid w:val="001675CD"/>
    <w:rsid w:val="0017126E"/>
    <w:rsid w:val="001717D5"/>
    <w:rsid w:val="00171EF0"/>
    <w:rsid w:val="00173B44"/>
    <w:rsid w:val="001761D2"/>
    <w:rsid w:val="00176C21"/>
    <w:rsid w:val="0018138B"/>
    <w:rsid w:val="001830D7"/>
    <w:rsid w:val="00185A34"/>
    <w:rsid w:val="001934F6"/>
    <w:rsid w:val="00196E6C"/>
    <w:rsid w:val="001A280A"/>
    <w:rsid w:val="001A73E8"/>
    <w:rsid w:val="001B0A62"/>
    <w:rsid w:val="001B2F35"/>
    <w:rsid w:val="001B4DD6"/>
    <w:rsid w:val="001B5607"/>
    <w:rsid w:val="001C0993"/>
    <w:rsid w:val="001C79F2"/>
    <w:rsid w:val="001D6A4B"/>
    <w:rsid w:val="001E4630"/>
    <w:rsid w:val="001F0964"/>
    <w:rsid w:val="001F30DA"/>
    <w:rsid w:val="001F3E2A"/>
    <w:rsid w:val="001F5DC5"/>
    <w:rsid w:val="00200FAB"/>
    <w:rsid w:val="00202017"/>
    <w:rsid w:val="00213821"/>
    <w:rsid w:val="00213DFB"/>
    <w:rsid w:val="00217B92"/>
    <w:rsid w:val="0022309F"/>
    <w:rsid w:val="00224294"/>
    <w:rsid w:val="002279D3"/>
    <w:rsid w:val="00240248"/>
    <w:rsid w:val="0024363B"/>
    <w:rsid w:val="00246049"/>
    <w:rsid w:val="00247332"/>
    <w:rsid w:val="00253578"/>
    <w:rsid w:val="00261111"/>
    <w:rsid w:val="00264E55"/>
    <w:rsid w:val="00270744"/>
    <w:rsid w:val="002731EC"/>
    <w:rsid w:val="00275745"/>
    <w:rsid w:val="0027688F"/>
    <w:rsid w:val="00276E44"/>
    <w:rsid w:val="00285DB3"/>
    <w:rsid w:val="00285F38"/>
    <w:rsid w:val="00286BEF"/>
    <w:rsid w:val="00286FA2"/>
    <w:rsid w:val="002902E9"/>
    <w:rsid w:val="002918E3"/>
    <w:rsid w:val="00295CD0"/>
    <w:rsid w:val="002973A9"/>
    <w:rsid w:val="002B1D1A"/>
    <w:rsid w:val="002C2834"/>
    <w:rsid w:val="002C3C7A"/>
    <w:rsid w:val="002C5F95"/>
    <w:rsid w:val="002C657A"/>
    <w:rsid w:val="002D48DF"/>
    <w:rsid w:val="002D6872"/>
    <w:rsid w:val="002D6FB6"/>
    <w:rsid w:val="002E3B09"/>
    <w:rsid w:val="002E52B3"/>
    <w:rsid w:val="00301559"/>
    <w:rsid w:val="00302816"/>
    <w:rsid w:val="00304A12"/>
    <w:rsid w:val="00305636"/>
    <w:rsid w:val="00311662"/>
    <w:rsid w:val="00312A9F"/>
    <w:rsid w:val="00315D5D"/>
    <w:rsid w:val="00316484"/>
    <w:rsid w:val="00316E01"/>
    <w:rsid w:val="00320300"/>
    <w:rsid w:val="00320E90"/>
    <w:rsid w:val="00324508"/>
    <w:rsid w:val="003259C8"/>
    <w:rsid w:val="003307FE"/>
    <w:rsid w:val="00333AD0"/>
    <w:rsid w:val="00336EAF"/>
    <w:rsid w:val="00345A47"/>
    <w:rsid w:val="003470E2"/>
    <w:rsid w:val="0035076C"/>
    <w:rsid w:val="00352719"/>
    <w:rsid w:val="0035383E"/>
    <w:rsid w:val="00355364"/>
    <w:rsid w:val="00364CCB"/>
    <w:rsid w:val="00365798"/>
    <w:rsid w:val="00372F16"/>
    <w:rsid w:val="00381EE8"/>
    <w:rsid w:val="0039085F"/>
    <w:rsid w:val="00394069"/>
    <w:rsid w:val="00396809"/>
    <w:rsid w:val="003A58DC"/>
    <w:rsid w:val="003A6061"/>
    <w:rsid w:val="003B3494"/>
    <w:rsid w:val="003B5E08"/>
    <w:rsid w:val="003B6FBC"/>
    <w:rsid w:val="003C32C0"/>
    <w:rsid w:val="003C50AD"/>
    <w:rsid w:val="003D2269"/>
    <w:rsid w:val="003D742E"/>
    <w:rsid w:val="003E62FB"/>
    <w:rsid w:val="003E6867"/>
    <w:rsid w:val="003F09B5"/>
    <w:rsid w:val="003F1ECB"/>
    <w:rsid w:val="003F39DF"/>
    <w:rsid w:val="003F63BE"/>
    <w:rsid w:val="004003F8"/>
    <w:rsid w:val="004033ED"/>
    <w:rsid w:val="004061AC"/>
    <w:rsid w:val="00406DA6"/>
    <w:rsid w:val="00410630"/>
    <w:rsid w:val="00414345"/>
    <w:rsid w:val="004149AC"/>
    <w:rsid w:val="0042009D"/>
    <w:rsid w:val="004216D2"/>
    <w:rsid w:val="00421CD2"/>
    <w:rsid w:val="00426096"/>
    <w:rsid w:val="00426A8F"/>
    <w:rsid w:val="00427F58"/>
    <w:rsid w:val="00433805"/>
    <w:rsid w:val="00442F8D"/>
    <w:rsid w:val="00443869"/>
    <w:rsid w:val="00443ABF"/>
    <w:rsid w:val="00460575"/>
    <w:rsid w:val="00463EC0"/>
    <w:rsid w:val="00464787"/>
    <w:rsid w:val="00471408"/>
    <w:rsid w:val="00480B35"/>
    <w:rsid w:val="004858E0"/>
    <w:rsid w:val="00487A40"/>
    <w:rsid w:val="004917C3"/>
    <w:rsid w:val="00491C81"/>
    <w:rsid w:val="004934E9"/>
    <w:rsid w:val="004943C2"/>
    <w:rsid w:val="004949F3"/>
    <w:rsid w:val="004A0AA9"/>
    <w:rsid w:val="004A11A7"/>
    <w:rsid w:val="004A459C"/>
    <w:rsid w:val="004A7B1D"/>
    <w:rsid w:val="004B2AF4"/>
    <w:rsid w:val="004C0914"/>
    <w:rsid w:val="004C20CA"/>
    <w:rsid w:val="004C702F"/>
    <w:rsid w:val="004D340C"/>
    <w:rsid w:val="004D495A"/>
    <w:rsid w:val="004E5975"/>
    <w:rsid w:val="004E75E2"/>
    <w:rsid w:val="004E790A"/>
    <w:rsid w:val="004F1A4E"/>
    <w:rsid w:val="004F50FD"/>
    <w:rsid w:val="00500A03"/>
    <w:rsid w:val="00512200"/>
    <w:rsid w:val="005143CD"/>
    <w:rsid w:val="005144F2"/>
    <w:rsid w:val="00516618"/>
    <w:rsid w:val="00517989"/>
    <w:rsid w:val="005242A5"/>
    <w:rsid w:val="0052479B"/>
    <w:rsid w:val="005249DD"/>
    <w:rsid w:val="00524D96"/>
    <w:rsid w:val="00530ABE"/>
    <w:rsid w:val="00531BA5"/>
    <w:rsid w:val="00531F10"/>
    <w:rsid w:val="00532E86"/>
    <w:rsid w:val="00536432"/>
    <w:rsid w:val="005401DB"/>
    <w:rsid w:val="00540818"/>
    <w:rsid w:val="00542434"/>
    <w:rsid w:val="00542470"/>
    <w:rsid w:val="00542546"/>
    <w:rsid w:val="005454FB"/>
    <w:rsid w:val="005608EF"/>
    <w:rsid w:val="005659E4"/>
    <w:rsid w:val="00570842"/>
    <w:rsid w:val="00572784"/>
    <w:rsid w:val="00572D9F"/>
    <w:rsid w:val="00573097"/>
    <w:rsid w:val="00575270"/>
    <w:rsid w:val="005761EE"/>
    <w:rsid w:val="00582D99"/>
    <w:rsid w:val="00585263"/>
    <w:rsid w:val="005866D3"/>
    <w:rsid w:val="0059076B"/>
    <w:rsid w:val="005910BF"/>
    <w:rsid w:val="005A0A33"/>
    <w:rsid w:val="005A0F1F"/>
    <w:rsid w:val="005A3D62"/>
    <w:rsid w:val="005A6675"/>
    <w:rsid w:val="005B04A5"/>
    <w:rsid w:val="005B09FA"/>
    <w:rsid w:val="005B2E9C"/>
    <w:rsid w:val="005B3CC0"/>
    <w:rsid w:val="005B4C8F"/>
    <w:rsid w:val="005B4F93"/>
    <w:rsid w:val="005B73D2"/>
    <w:rsid w:val="005D2B36"/>
    <w:rsid w:val="005E475E"/>
    <w:rsid w:val="005F118D"/>
    <w:rsid w:val="005F1F22"/>
    <w:rsid w:val="005F3996"/>
    <w:rsid w:val="005F3B86"/>
    <w:rsid w:val="005F6AF6"/>
    <w:rsid w:val="00604E50"/>
    <w:rsid w:val="006054CF"/>
    <w:rsid w:val="006066D2"/>
    <w:rsid w:val="006075E6"/>
    <w:rsid w:val="0061286A"/>
    <w:rsid w:val="00613BB8"/>
    <w:rsid w:val="00614CC4"/>
    <w:rsid w:val="0062025E"/>
    <w:rsid w:val="00625BFC"/>
    <w:rsid w:val="00626998"/>
    <w:rsid w:val="006269FB"/>
    <w:rsid w:val="00627E2D"/>
    <w:rsid w:val="00627EDE"/>
    <w:rsid w:val="00631ED8"/>
    <w:rsid w:val="006326E3"/>
    <w:rsid w:val="00632B0F"/>
    <w:rsid w:val="00636DB7"/>
    <w:rsid w:val="0063783A"/>
    <w:rsid w:val="00641048"/>
    <w:rsid w:val="006423B9"/>
    <w:rsid w:val="00642FA0"/>
    <w:rsid w:val="00653458"/>
    <w:rsid w:val="00654B0D"/>
    <w:rsid w:val="0065599B"/>
    <w:rsid w:val="00655CD8"/>
    <w:rsid w:val="00655E1C"/>
    <w:rsid w:val="006571DC"/>
    <w:rsid w:val="00660D4B"/>
    <w:rsid w:val="00664ECC"/>
    <w:rsid w:val="00670547"/>
    <w:rsid w:val="00670989"/>
    <w:rsid w:val="00672A26"/>
    <w:rsid w:val="006742DC"/>
    <w:rsid w:val="006757DC"/>
    <w:rsid w:val="00676095"/>
    <w:rsid w:val="006823C3"/>
    <w:rsid w:val="006928F1"/>
    <w:rsid w:val="00693843"/>
    <w:rsid w:val="0069426C"/>
    <w:rsid w:val="00694DFB"/>
    <w:rsid w:val="006A0893"/>
    <w:rsid w:val="006A10AB"/>
    <w:rsid w:val="006A1C62"/>
    <w:rsid w:val="006A48FD"/>
    <w:rsid w:val="006A5EA9"/>
    <w:rsid w:val="006A61EE"/>
    <w:rsid w:val="006A67F8"/>
    <w:rsid w:val="006A7AF1"/>
    <w:rsid w:val="006B0D08"/>
    <w:rsid w:val="006B11BB"/>
    <w:rsid w:val="006B2FF6"/>
    <w:rsid w:val="006B5457"/>
    <w:rsid w:val="006B5F69"/>
    <w:rsid w:val="006C12B8"/>
    <w:rsid w:val="006C2C1B"/>
    <w:rsid w:val="006C37FC"/>
    <w:rsid w:val="006C7EA3"/>
    <w:rsid w:val="006D2F96"/>
    <w:rsid w:val="006D39E9"/>
    <w:rsid w:val="006D3BE3"/>
    <w:rsid w:val="006D7004"/>
    <w:rsid w:val="006D789D"/>
    <w:rsid w:val="006D7FF8"/>
    <w:rsid w:val="006E042A"/>
    <w:rsid w:val="006E6726"/>
    <w:rsid w:val="006F5E68"/>
    <w:rsid w:val="00706D60"/>
    <w:rsid w:val="007075E3"/>
    <w:rsid w:val="00707F66"/>
    <w:rsid w:val="00710AE0"/>
    <w:rsid w:val="00713A1A"/>
    <w:rsid w:val="00713B5F"/>
    <w:rsid w:val="00720D28"/>
    <w:rsid w:val="00722509"/>
    <w:rsid w:val="00723CB2"/>
    <w:rsid w:val="0072794E"/>
    <w:rsid w:val="00727DD8"/>
    <w:rsid w:val="00727FCD"/>
    <w:rsid w:val="007311DB"/>
    <w:rsid w:val="00733DDD"/>
    <w:rsid w:val="00750CDF"/>
    <w:rsid w:val="00752BA5"/>
    <w:rsid w:val="00755D86"/>
    <w:rsid w:val="007570FE"/>
    <w:rsid w:val="00767C98"/>
    <w:rsid w:val="00770971"/>
    <w:rsid w:val="00772547"/>
    <w:rsid w:val="00775B61"/>
    <w:rsid w:val="007815D8"/>
    <w:rsid w:val="00794090"/>
    <w:rsid w:val="00796CA8"/>
    <w:rsid w:val="007972F5"/>
    <w:rsid w:val="00797305"/>
    <w:rsid w:val="007A0693"/>
    <w:rsid w:val="007A093F"/>
    <w:rsid w:val="007B035B"/>
    <w:rsid w:val="007B2639"/>
    <w:rsid w:val="007B4C04"/>
    <w:rsid w:val="007B5AFB"/>
    <w:rsid w:val="007B5F21"/>
    <w:rsid w:val="007C395A"/>
    <w:rsid w:val="007C5862"/>
    <w:rsid w:val="007D0922"/>
    <w:rsid w:val="007D100C"/>
    <w:rsid w:val="007E2686"/>
    <w:rsid w:val="007E57C0"/>
    <w:rsid w:val="007F29B1"/>
    <w:rsid w:val="007F6DD1"/>
    <w:rsid w:val="007F7F0B"/>
    <w:rsid w:val="008014F9"/>
    <w:rsid w:val="0080358B"/>
    <w:rsid w:val="008059BD"/>
    <w:rsid w:val="0081286B"/>
    <w:rsid w:val="00812D46"/>
    <w:rsid w:val="008148E0"/>
    <w:rsid w:val="00815769"/>
    <w:rsid w:val="00815A38"/>
    <w:rsid w:val="0082103F"/>
    <w:rsid w:val="00821235"/>
    <w:rsid w:val="00824239"/>
    <w:rsid w:val="008279FE"/>
    <w:rsid w:val="00831259"/>
    <w:rsid w:val="0083208A"/>
    <w:rsid w:val="0083218A"/>
    <w:rsid w:val="00832A00"/>
    <w:rsid w:val="00834E74"/>
    <w:rsid w:val="00837845"/>
    <w:rsid w:val="00843513"/>
    <w:rsid w:val="008442C4"/>
    <w:rsid w:val="00844DB2"/>
    <w:rsid w:val="00846739"/>
    <w:rsid w:val="00853140"/>
    <w:rsid w:val="00854537"/>
    <w:rsid w:val="00855F31"/>
    <w:rsid w:val="008606B6"/>
    <w:rsid w:val="00861E6D"/>
    <w:rsid w:val="008700EC"/>
    <w:rsid w:val="008749A7"/>
    <w:rsid w:val="00875DAC"/>
    <w:rsid w:val="00876D65"/>
    <w:rsid w:val="008837D3"/>
    <w:rsid w:val="00883B3C"/>
    <w:rsid w:val="00883D7C"/>
    <w:rsid w:val="008868F3"/>
    <w:rsid w:val="00891261"/>
    <w:rsid w:val="008A21B2"/>
    <w:rsid w:val="008A3DAA"/>
    <w:rsid w:val="008A5B20"/>
    <w:rsid w:val="008B2FDD"/>
    <w:rsid w:val="008B3C7E"/>
    <w:rsid w:val="008B4A75"/>
    <w:rsid w:val="008C15BF"/>
    <w:rsid w:val="008C75E7"/>
    <w:rsid w:val="008C7CA8"/>
    <w:rsid w:val="008C7FFA"/>
    <w:rsid w:val="008D09EC"/>
    <w:rsid w:val="008D7CBF"/>
    <w:rsid w:val="008E07EB"/>
    <w:rsid w:val="008E1D74"/>
    <w:rsid w:val="008E2DCB"/>
    <w:rsid w:val="008E326D"/>
    <w:rsid w:val="008E35F0"/>
    <w:rsid w:val="008F3B64"/>
    <w:rsid w:val="008F5F67"/>
    <w:rsid w:val="008F60F2"/>
    <w:rsid w:val="0090217D"/>
    <w:rsid w:val="00905C5E"/>
    <w:rsid w:val="009078DC"/>
    <w:rsid w:val="009200F6"/>
    <w:rsid w:val="00921735"/>
    <w:rsid w:val="00921AC7"/>
    <w:rsid w:val="00924582"/>
    <w:rsid w:val="00931291"/>
    <w:rsid w:val="0093367D"/>
    <w:rsid w:val="009431FA"/>
    <w:rsid w:val="00945AF6"/>
    <w:rsid w:val="009550BE"/>
    <w:rsid w:val="00955531"/>
    <w:rsid w:val="00955BE8"/>
    <w:rsid w:val="00957594"/>
    <w:rsid w:val="00963F40"/>
    <w:rsid w:val="009730B8"/>
    <w:rsid w:val="009734BB"/>
    <w:rsid w:val="0097424F"/>
    <w:rsid w:val="0098122D"/>
    <w:rsid w:val="00986596"/>
    <w:rsid w:val="00990685"/>
    <w:rsid w:val="009A0ABE"/>
    <w:rsid w:val="009A4E5D"/>
    <w:rsid w:val="009B2D4B"/>
    <w:rsid w:val="009C1009"/>
    <w:rsid w:val="009C5186"/>
    <w:rsid w:val="009C60F7"/>
    <w:rsid w:val="009D0952"/>
    <w:rsid w:val="009D1BD9"/>
    <w:rsid w:val="009E19A9"/>
    <w:rsid w:val="009E31DA"/>
    <w:rsid w:val="009E402C"/>
    <w:rsid w:val="009E7C6A"/>
    <w:rsid w:val="009F27F9"/>
    <w:rsid w:val="009F3659"/>
    <w:rsid w:val="009F4861"/>
    <w:rsid w:val="009F61BE"/>
    <w:rsid w:val="009F7643"/>
    <w:rsid w:val="009F7ED4"/>
    <w:rsid w:val="00A03AAC"/>
    <w:rsid w:val="00A047D1"/>
    <w:rsid w:val="00A21300"/>
    <w:rsid w:val="00A22AD0"/>
    <w:rsid w:val="00A22DA8"/>
    <w:rsid w:val="00A3030E"/>
    <w:rsid w:val="00A31574"/>
    <w:rsid w:val="00A31671"/>
    <w:rsid w:val="00A324F4"/>
    <w:rsid w:val="00A36930"/>
    <w:rsid w:val="00A45320"/>
    <w:rsid w:val="00A504C9"/>
    <w:rsid w:val="00A54C7D"/>
    <w:rsid w:val="00A5612C"/>
    <w:rsid w:val="00A5689C"/>
    <w:rsid w:val="00A57AE4"/>
    <w:rsid w:val="00A63A97"/>
    <w:rsid w:val="00A63F19"/>
    <w:rsid w:val="00A669FC"/>
    <w:rsid w:val="00A66F42"/>
    <w:rsid w:val="00A76625"/>
    <w:rsid w:val="00A81F53"/>
    <w:rsid w:val="00A83500"/>
    <w:rsid w:val="00A8721A"/>
    <w:rsid w:val="00A90049"/>
    <w:rsid w:val="00A917BF"/>
    <w:rsid w:val="00A96A94"/>
    <w:rsid w:val="00AA3A38"/>
    <w:rsid w:val="00AA4F94"/>
    <w:rsid w:val="00AA6513"/>
    <w:rsid w:val="00AB047E"/>
    <w:rsid w:val="00AB4DB6"/>
    <w:rsid w:val="00AB6E79"/>
    <w:rsid w:val="00AC063D"/>
    <w:rsid w:val="00AC592E"/>
    <w:rsid w:val="00AC6C10"/>
    <w:rsid w:val="00AC7BC6"/>
    <w:rsid w:val="00AD24AA"/>
    <w:rsid w:val="00AE7962"/>
    <w:rsid w:val="00AF0A7F"/>
    <w:rsid w:val="00AF1BA1"/>
    <w:rsid w:val="00AF3AB2"/>
    <w:rsid w:val="00AF6FFB"/>
    <w:rsid w:val="00B11A78"/>
    <w:rsid w:val="00B11BE5"/>
    <w:rsid w:val="00B11F31"/>
    <w:rsid w:val="00B12B7D"/>
    <w:rsid w:val="00B16985"/>
    <w:rsid w:val="00B22DEE"/>
    <w:rsid w:val="00B27479"/>
    <w:rsid w:val="00B32AA7"/>
    <w:rsid w:val="00B34678"/>
    <w:rsid w:val="00B35024"/>
    <w:rsid w:val="00B371B4"/>
    <w:rsid w:val="00B40CF0"/>
    <w:rsid w:val="00B40F64"/>
    <w:rsid w:val="00B42A76"/>
    <w:rsid w:val="00B47982"/>
    <w:rsid w:val="00B56F53"/>
    <w:rsid w:val="00B61C8A"/>
    <w:rsid w:val="00B62AC1"/>
    <w:rsid w:val="00B64723"/>
    <w:rsid w:val="00B7378D"/>
    <w:rsid w:val="00B7444D"/>
    <w:rsid w:val="00B816A7"/>
    <w:rsid w:val="00B82413"/>
    <w:rsid w:val="00B83A00"/>
    <w:rsid w:val="00B85352"/>
    <w:rsid w:val="00B86CD8"/>
    <w:rsid w:val="00B87214"/>
    <w:rsid w:val="00B92FF5"/>
    <w:rsid w:val="00B959E6"/>
    <w:rsid w:val="00BA604D"/>
    <w:rsid w:val="00BB5DA7"/>
    <w:rsid w:val="00BB5E0E"/>
    <w:rsid w:val="00BC14B3"/>
    <w:rsid w:val="00BC216C"/>
    <w:rsid w:val="00BC4585"/>
    <w:rsid w:val="00BC50F1"/>
    <w:rsid w:val="00BC73E5"/>
    <w:rsid w:val="00BD0031"/>
    <w:rsid w:val="00BD05E0"/>
    <w:rsid w:val="00BD70E0"/>
    <w:rsid w:val="00BD7473"/>
    <w:rsid w:val="00BD7703"/>
    <w:rsid w:val="00BE14ED"/>
    <w:rsid w:val="00BE420D"/>
    <w:rsid w:val="00BE5388"/>
    <w:rsid w:val="00BF0019"/>
    <w:rsid w:val="00C012F9"/>
    <w:rsid w:val="00C102E6"/>
    <w:rsid w:val="00C15CAC"/>
    <w:rsid w:val="00C21520"/>
    <w:rsid w:val="00C222B2"/>
    <w:rsid w:val="00C225FB"/>
    <w:rsid w:val="00C23547"/>
    <w:rsid w:val="00C2499B"/>
    <w:rsid w:val="00C451A3"/>
    <w:rsid w:val="00C46B88"/>
    <w:rsid w:val="00C47163"/>
    <w:rsid w:val="00C5218C"/>
    <w:rsid w:val="00C52191"/>
    <w:rsid w:val="00C53472"/>
    <w:rsid w:val="00C53D1B"/>
    <w:rsid w:val="00C5642F"/>
    <w:rsid w:val="00C6002A"/>
    <w:rsid w:val="00C6209F"/>
    <w:rsid w:val="00C629B1"/>
    <w:rsid w:val="00C63554"/>
    <w:rsid w:val="00C678B0"/>
    <w:rsid w:val="00C7047C"/>
    <w:rsid w:val="00C71497"/>
    <w:rsid w:val="00C72F5B"/>
    <w:rsid w:val="00C73BCD"/>
    <w:rsid w:val="00C74E5E"/>
    <w:rsid w:val="00C77AEF"/>
    <w:rsid w:val="00C85A6E"/>
    <w:rsid w:val="00C87129"/>
    <w:rsid w:val="00C91E1B"/>
    <w:rsid w:val="00C9613D"/>
    <w:rsid w:val="00C9690F"/>
    <w:rsid w:val="00CA574C"/>
    <w:rsid w:val="00CA5FD5"/>
    <w:rsid w:val="00CA7703"/>
    <w:rsid w:val="00CB0F92"/>
    <w:rsid w:val="00CD4E6D"/>
    <w:rsid w:val="00CD4F19"/>
    <w:rsid w:val="00CD5707"/>
    <w:rsid w:val="00CD7702"/>
    <w:rsid w:val="00CE29EA"/>
    <w:rsid w:val="00CE39AB"/>
    <w:rsid w:val="00CE473F"/>
    <w:rsid w:val="00CE7169"/>
    <w:rsid w:val="00CF04CF"/>
    <w:rsid w:val="00CF2D3E"/>
    <w:rsid w:val="00CF6572"/>
    <w:rsid w:val="00D01FE6"/>
    <w:rsid w:val="00D02347"/>
    <w:rsid w:val="00D03EB3"/>
    <w:rsid w:val="00D046DB"/>
    <w:rsid w:val="00D04755"/>
    <w:rsid w:val="00D1076E"/>
    <w:rsid w:val="00D1116B"/>
    <w:rsid w:val="00D13737"/>
    <w:rsid w:val="00D1638E"/>
    <w:rsid w:val="00D2061C"/>
    <w:rsid w:val="00D21FFF"/>
    <w:rsid w:val="00D2206B"/>
    <w:rsid w:val="00D272A5"/>
    <w:rsid w:val="00D346D9"/>
    <w:rsid w:val="00D43AFB"/>
    <w:rsid w:val="00D44EE8"/>
    <w:rsid w:val="00D57B7C"/>
    <w:rsid w:val="00D65B44"/>
    <w:rsid w:val="00D75E69"/>
    <w:rsid w:val="00D8099B"/>
    <w:rsid w:val="00D866A8"/>
    <w:rsid w:val="00D91E06"/>
    <w:rsid w:val="00D9393A"/>
    <w:rsid w:val="00D94B8D"/>
    <w:rsid w:val="00D96C8D"/>
    <w:rsid w:val="00D974EF"/>
    <w:rsid w:val="00DA0C61"/>
    <w:rsid w:val="00DA14B0"/>
    <w:rsid w:val="00DA2876"/>
    <w:rsid w:val="00DA66D0"/>
    <w:rsid w:val="00DC0B51"/>
    <w:rsid w:val="00DC141F"/>
    <w:rsid w:val="00DC28F1"/>
    <w:rsid w:val="00DC456F"/>
    <w:rsid w:val="00DC6B55"/>
    <w:rsid w:val="00DD7A00"/>
    <w:rsid w:val="00DE27F7"/>
    <w:rsid w:val="00DE4B43"/>
    <w:rsid w:val="00E02660"/>
    <w:rsid w:val="00E04BE1"/>
    <w:rsid w:val="00E12DBF"/>
    <w:rsid w:val="00E20C3C"/>
    <w:rsid w:val="00E215BA"/>
    <w:rsid w:val="00E36549"/>
    <w:rsid w:val="00E40D31"/>
    <w:rsid w:val="00E41260"/>
    <w:rsid w:val="00E44E18"/>
    <w:rsid w:val="00E45584"/>
    <w:rsid w:val="00E52DBC"/>
    <w:rsid w:val="00E54301"/>
    <w:rsid w:val="00E54BF5"/>
    <w:rsid w:val="00E554A1"/>
    <w:rsid w:val="00E55ABD"/>
    <w:rsid w:val="00E60817"/>
    <w:rsid w:val="00E609C6"/>
    <w:rsid w:val="00E62DE5"/>
    <w:rsid w:val="00E705CC"/>
    <w:rsid w:val="00E84C7E"/>
    <w:rsid w:val="00E85E4B"/>
    <w:rsid w:val="00E8670B"/>
    <w:rsid w:val="00EA1826"/>
    <w:rsid w:val="00EA70F1"/>
    <w:rsid w:val="00EB2516"/>
    <w:rsid w:val="00EB2C07"/>
    <w:rsid w:val="00EB572B"/>
    <w:rsid w:val="00EC14ED"/>
    <w:rsid w:val="00EC1E04"/>
    <w:rsid w:val="00ED0328"/>
    <w:rsid w:val="00ED14D5"/>
    <w:rsid w:val="00ED2620"/>
    <w:rsid w:val="00ED4D47"/>
    <w:rsid w:val="00ED62BE"/>
    <w:rsid w:val="00ED6E80"/>
    <w:rsid w:val="00ED7B83"/>
    <w:rsid w:val="00EE3BC8"/>
    <w:rsid w:val="00EE49FE"/>
    <w:rsid w:val="00EF17AB"/>
    <w:rsid w:val="00EF6FA5"/>
    <w:rsid w:val="00F11104"/>
    <w:rsid w:val="00F11BB5"/>
    <w:rsid w:val="00F16E3F"/>
    <w:rsid w:val="00F2070B"/>
    <w:rsid w:val="00F22499"/>
    <w:rsid w:val="00F22B0F"/>
    <w:rsid w:val="00F24B42"/>
    <w:rsid w:val="00F24F73"/>
    <w:rsid w:val="00F27299"/>
    <w:rsid w:val="00F31B0C"/>
    <w:rsid w:val="00F31F6E"/>
    <w:rsid w:val="00F323FF"/>
    <w:rsid w:val="00F3389C"/>
    <w:rsid w:val="00F375F2"/>
    <w:rsid w:val="00F45C47"/>
    <w:rsid w:val="00F51C4E"/>
    <w:rsid w:val="00F534A2"/>
    <w:rsid w:val="00F53B0E"/>
    <w:rsid w:val="00F54EAE"/>
    <w:rsid w:val="00F66A51"/>
    <w:rsid w:val="00F71057"/>
    <w:rsid w:val="00F71A4B"/>
    <w:rsid w:val="00F728CF"/>
    <w:rsid w:val="00F743D4"/>
    <w:rsid w:val="00F80AC3"/>
    <w:rsid w:val="00F81917"/>
    <w:rsid w:val="00F83B17"/>
    <w:rsid w:val="00F87EDA"/>
    <w:rsid w:val="00F970EE"/>
    <w:rsid w:val="00FA775C"/>
    <w:rsid w:val="00FB0BC9"/>
    <w:rsid w:val="00FB41D3"/>
    <w:rsid w:val="00FB4F70"/>
    <w:rsid w:val="00FB5EFC"/>
    <w:rsid w:val="00FB77BB"/>
    <w:rsid w:val="00FC15AA"/>
    <w:rsid w:val="00FC2922"/>
    <w:rsid w:val="00FC7FBA"/>
    <w:rsid w:val="00FD1375"/>
    <w:rsid w:val="00FD359E"/>
    <w:rsid w:val="00FD5F37"/>
    <w:rsid w:val="00FD6B92"/>
    <w:rsid w:val="00FE03C7"/>
    <w:rsid w:val="00FE0A17"/>
    <w:rsid w:val="00FE179F"/>
    <w:rsid w:val="00FE1A3B"/>
    <w:rsid w:val="00FF213A"/>
    <w:rsid w:val="00FF3F27"/>
    <w:rsid w:val="00FF469F"/>
    <w:rsid w:val="00FF5196"/>
    <w:rsid w:val="00FF6E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5B536B-9DA6-4920-8EA4-43C10A5F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1AC"/>
    <w:pPr>
      <w:widowControl w:val="0"/>
      <w:jc w:val="both"/>
    </w:pPr>
    <w:rPr>
      <w:rFonts w:ascii="Times New Roman" w:eastAsia="宋体" w:hAnsi="Times New Roman" w:cs="Times New Roman"/>
      <w:szCs w:val="21"/>
    </w:rPr>
  </w:style>
  <w:style w:type="paragraph" w:styleId="1">
    <w:name w:val="heading 1"/>
    <w:basedOn w:val="a"/>
    <w:next w:val="a"/>
    <w:link w:val="1Char"/>
    <w:uiPriority w:val="99"/>
    <w:qFormat/>
    <w:rsid w:val="004061AC"/>
    <w:pPr>
      <w:keepNext/>
      <w:keepLines/>
      <w:spacing w:before="340" w:after="330" w:line="578" w:lineRule="auto"/>
      <w:outlineLvl w:val="0"/>
    </w:pPr>
    <w:rPr>
      <w:b/>
      <w:bCs/>
      <w:kern w:val="44"/>
      <w:sz w:val="44"/>
      <w:szCs w:val="44"/>
    </w:rPr>
  </w:style>
  <w:style w:type="paragraph" w:styleId="2">
    <w:name w:val="heading 2"/>
    <w:basedOn w:val="a"/>
    <w:next w:val="a0"/>
    <w:link w:val="2Char"/>
    <w:uiPriority w:val="99"/>
    <w:qFormat/>
    <w:rsid w:val="004061AC"/>
    <w:pPr>
      <w:keepNext/>
      <w:keepLines/>
      <w:spacing w:before="260" w:after="260" w:line="360" w:lineRule="auto"/>
      <w:outlineLvl w:val="1"/>
    </w:pPr>
    <w:rPr>
      <w:rFonts w:ascii="Arial" w:hAnsi="Arial" w:cs="Arial"/>
      <w:b/>
      <w:bCs/>
      <w:sz w:val="24"/>
      <w:szCs w:val="24"/>
    </w:rPr>
  </w:style>
  <w:style w:type="paragraph" w:styleId="3">
    <w:name w:val="heading 3"/>
    <w:basedOn w:val="a"/>
    <w:next w:val="a"/>
    <w:link w:val="3Char"/>
    <w:uiPriority w:val="99"/>
    <w:qFormat/>
    <w:rsid w:val="004061A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rsid w:val="004061AC"/>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4061AC"/>
    <w:rPr>
      <w:rFonts w:ascii="Arial" w:eastAsia="宋体" w:hAnsi="Arial" w:cs="Arial"/>
      <w:b/>
      <w:bCs/>
      <w:sz w:val="24"/>
      <w:szCs w:val="24"/>
    </w:rPr>
  </w:style>
  <w:style w:type="character" w:customStyle="1" w:styleId="3Char">
    <w:name w:val="标题 3 Char"/>
    <w:basedOn w:val="a1"/>
    <w:link w:val="3"/>
    <w:uiPriority w:val="99"/>
    <w:rsid w:val="004061AC"/>
    <w:rPr>
      <w:rFonts w:ascii="Times New Roman" w:eastAsia="宋体" w:hAnsi="Times New Roman" w:cs="Times New Roman"/>
      <w:b/>
      <w:bCs/>
      <w:sz w:val="32"/>
      <w:szCs w:val="32"/>
    </w:rPr>
  </w:style>
  <w:style w:type="paragraph" w:styleId="a0">
    <w:name w:val="Normal Indent"/>
    <w:basedOn w:val="a"/>
    <w:uiPriority w:val="99"/>
    <w:rsid w:val="004061AC"/>
    <w:pPr>
      <w:ind w:firstLineChars="200" w:firstLine="420"/>
    </w:pPr>
  </w:style>
  <w:style w:type="paragraph" w:styleId="a4">
    <w:name w:val="Body Text Indent"/>
    <w:basedOn w:val="a"/>
    <w:link w:val="Char"/>
    <w:uiPriority w:val="99"/>
    <w:rsid w:val="004061AC"/>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customStyle="1" w:styleId="Char">
    <w:name w:val="正文文本缩进 Char"/>
    <w:basedOn w:val="a1"/>
    <w:link w:val="a4"/>
    <w:uiPriority w:val="99"/>
    <w:rsid w:val="004061AC"/>
    <w:rPr>
      <w:rFonts w:ascii="Arial Unicode MS" w:eastAsia="Arial Unicode MS" w:hAnsi="Arial Unicode MS" w:cs="Arial Unicode MS"/>
      <w:kern w:val="0"/>
      <w:sz w:val="24"/>
      <w:szCs w:val="24"/>
    </w:rPr>
  </w:style>
  <w:style w:type="paragraph" w:styleId="a5">
    <w:name w:val="Plain Text"/>
    <w:basedOn w:val="a"/>
    <w:link w:val="Char0"/>
    <w:uiPriority w:val="99"/>
    <w:rsid w:val="004061AC"/>
    <w:rPr>
      <w:rFonts w:ascii="宋体" w:hAnsi="Courier New" w:cs="宋体"/>
    </w:rPr>
  </w:style>
  <w:style w:type="character" w:customStyle="1" w:styleId="Char0">
    <w:name w:val="纯文本 Char"/>
    <w:basedOn w:val="a1"/>
    <w:link w:val="a5"/>
    <w:uiPriority w:val="99"/>
    <w:rsid w:val="004061AC"/>
    <w:rPr>
      <w:rFonts w:ascii="宋体" w:eastAsia="宋体" w:hAnsi="Courier New" w:cs="宋体"/>
      <w:szCs w:val="21"/>
    </w:rPr>
  </w:style>
  <w:style w:type="paragraph" w:styleId="20">
    <w:name w:val="Body Text Indent 2"/>
    <w:basedOn w:val="a"/>
    <w:link w:val="2Char0"/>
    <w:uiPriority w:val="99"/>
    <w:rsid w:val="004061AC"/>
    <w:pPr>
      <w:spacing w:line="560" w:lineRule="exact"/>
      <w:ind w:firstLineChars="200" w:firstLine="480"/>
    </w:pPr>
    <w:rPr>
      <w:rFonts w:ascii="宋体" w:hAnsi="宋体" w:cs="宋体"/>
      <w:color w:val="FF0000"/>
      <w:sz w:val="24"/>
      <w:szCs w:val="24"/>
    </w:rPr>
  </w:style>
  <w:style w:type="character" w:customStyle="1" w:styleId="2Char0">
    <w:name w:val="正文文本缩进 2 Char"/>
    <w:basedOn w:val="a1"/>
    <w:link w:val="20"/>
    <w:uiPriority w:val="99"/>
    <w:rsid w:val="004061AC"/>
    <w:rPr>
      <w:rFonts w:ascii="宋体" w:eastAsia="宋体" w:hAnsi="宋体" w:cs="宋体"/>
      <w:color w:val="FF0000"/>
      <w:sz w:val="24"/>
      <w:szCs w:val="24"/>
    </w:rPr>
  </w:style>
  <w:style w:type="paragraph" w:styleId="a6">
    <w:name w:val="footer"/>
    <w:basedOn w:val="a"/>
    <w:link w:val="Char1"/>
    <w:rsid w:val="004061AC"/>
    <w:pPr>
      <w:tabs>
        <w:tab w:val="center" w:pos="4153"/>
        <w:tab w:val="right" w:pos="8306"/>
      </w:tabs>
      <w:snapToGrid w:val="0"/>
      <w:jc w:val="left"/>
    </w:pPr>
    <w:rPr>
      <w:sz w:val="18"/>
      <w:szCs w:val="18"/>
    </w:rPr>
  </w:style>
  <w:style w:type="character" w:customStyle="1" w:styleId="Char1">
    <w:name w:val="页脚 Char"/>
    <w:basedOn w:val="a1"/>
    <w:link w:val="a6"/>
    <w:uiPriority w:val="99"/>
    <w:rsid w:val="004061AC"/>
    <w:rPr>
      <w:rFonts w:ascii="Times New Roman" w:eastAsia="宋体" w:hAnsi="Times New Roman" w:cs="Times New Roman"/>
      <w:sz w:val="18"/>
      <w:szCs w:val="18"/>
    </w:rPr>
  </w:style>
  <w:style w:type="character" w:styleId="a7">
    <w:name w:val="page number"/>
    <w:basedOn w:val="a1"/>
    <w:uiPriority w:val="99"/>
    <w:rsid w:val="004061AC"/>
  </w:style>
  <w:style w:type="character" w:styleId="a8">
    <w:name w:val="Hyperlink"/>
    <w:basedOn w:val="a1"/>
    <w:uiPriority w:val="99"/>
    <w:rsid w:val="004061AC"/>
    <w:rPr>
      <w:color w:val="0000FF"/>
      <w:u w:val="single"/>
    </w:rPr>
  </w:style>
  <w:style w:type="paragraph" w:styleId="30">
    <w:name w:val="Body Text Indent 3"/>
    <w:basedOn w:val="a"/>
    <w:link w:val="3Char0"/>
    <w:uiPriority w:val="99"/>
    <w:rsid w:val="004061AC"/>
    <w:pPr>
      <w:spacing w:line="560" w:lineRule="exact"/>
      <w:ind w:firstLineChars="200" w:firstLine="420"/>
    </w:pPr>
    <w:rPr>
      <w:rFonts w:ascii="Arial" w:hAnsi="Arial" w:cs="Arial"/>
      <w:color w:val="FF0000"/>
    </w:rPr>
  </w:style>
  <w:style w:type="character" w:customStyle="1" w:styleId="3Char0">
    <w:name w:val="正文文本缩进 3 Char"/>
    <w:basedOn w:val="a1"/>
    <w:link w:val="30"/>
    <w:uiPriority w:val="99"/>
    <w:rsid w:val="004061AC"/>
    <w:rPr>
      <w:rFonts w:ascii="Arial" w:eastAsia="宋体" w:hAnsi="Arial" w:cs="Arial"/>
      <w:color w:val="FF0000"/>
      <w:szCs w:val="21"/>
    </w:rPr>
  </w:style>
  <w:style w:type="paragraph" w:styleId="a9">
    <w:name w:val="header"/>
    <w:basedOn w:val="a"/>
    <w:link w:val="Char2"/>
    <w:uiPriority w:val="99"/>
    <w:rsid w:val="004061A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9"/>
    <w:uiPriority w:val="99"/>
    <w:rsid w:val="004061AC"/>
    <w:rPr>
      <w:rFonts w:ascii="Times New Roman" w:eastAsia="宋体" w:hAnsi="Times New Roman" w:cs="Times New Roman"/>
      <w:sz w:val="18"/>
      <w:szCs w:val="18"/>
    </w:rPr>
  </w:style>
  <w:style w:type="character" w:styleId="aa">
    <w:name w:val="FollowedHyperlink"/>
    <w:basedOn w:val="a1"/>
    <w:uiPriority w:val="99"/>
    <w:rsid w:val="004061AC"/>
    <w:rPr>
      <w:color w:val="800080"/>
      <w:u w:val="single"/>
    </w:rPr>
  </w:style>
  <w:style w:type="paragraph" w:styleId="ab">
    <w:name w:val="List"/>
    <w:basedOn w:val="ac"/>
    <w:uiPriority w:val="99"/>
    <w:rsid w:val="004061AC"/>
    <w:pPr>
      <w:spacing w:after="220" w:line="220" w:lineRule="atLeast"/>
      <w:ind w:left="1440" w:hanging="360"/>
    </w:pPr>
  </w:style>
  <w:style w:type="paragraph" w:styleId="ac">
    <w:name w:val="Body Text"/>
    <w:basedOn w:val="a"/>
    <w:link w:val="Char3"/>
    <w:uiPriority w:val="99"/>
    <w:rsid w:val="004061AC"/>
    <w:pPr>
      <w:spacing w:after="120"/>
    </w:pPr>
  </w:style>
  <w:style w:type="character" w:customStyle="1" w:styleId="Char3">
    <w:name w:val="正文文本 Char"/>
    <w:basedOn w:val="a1"/>
    <w:link w:val="ac"/>
    <w:uiPriority w:val="99"/>
    <w:rsid w:val="004061AC"/>
    <w:rPr>
      <w:rFonts w:ascii="Times New Roman" w:eastAsia="宋体" w:hAnsi="Times New Roman" w:cs="Times New Roman"/>
      <w:szCs w:val="21"/>
    </w:rPr>
  </w:style>
  <w:style w:type="paragraph" w:styleId="ad">
    <w:name w:val="Date"/>
    <w:basedOn w:val="a"/>
    <w:next w:val="a"/>
    <w:link w:val="Char4"/>
    <w:rsid w:val="004061AC"/>
    <w:rPr>
      <w:sz w:val="24"/>
      <w:szCs w:val="24"/>
    </w:rPr>
  </w:style>
  <w:style w:type="character" w:customStyle="1" w:styleId="Char4">
    <w:name w:val="日期 Char"/>
    <w:basedOn w:val="a1"/>
    <w:link w:val="ad"/>
    <w:rsid w:val="004061AC"/>
    <w:rPr>
      <w:rFonts w:ascii="Times New Roman" w:eastAsia="宋体" w:hAnsi="Times New Roman" w:cs="Times New Roman"/>
      <w:sz w:val="24"/>
      <w:szCs w:val="24"/>
    </w:rPr>
  </w:style>
  <w:style w:type="character" w:customStyle="1" w:styleId="c1">
    <w:name w:val="c1"/>
    <w:basedOn w:val="a1"/>
    <w:uiPriority w:val="99"/>
    <w:rsid w:val="004061AC"/>
    <w:rPr>
      <w:color w:val="000000"/>
      <w:sz w:val="18"/>
      <w:szCs w:val="18"/>
    </w:rPr>
  </w:style>
  <w:style w:type="paragraph" w:styleId="10">
    <w:name w:val="index 1"/>
    <w:basedOn w:val="a"/>
    <w:next w:val="a"/>
    <w:autoRedefine/>
    <w:uiPriority w:val="99"/>
    <w:semiHidden/>
    <w:rsid w:val="004061AC"/>
    <w:pPr>
      <w:jc w:val="right"/>
    </w:pPr>
    <w:rPr>
      <w:color w:val="008000"/>
    </w:rPr>
  </w:style>
  <w:style w:type="paragraph" w:customStyle="1" w:styleId="font5">
    <w:name w:val="font5"/>
    <w:basedOn w:val="a"/>
    <w:uiPriority w:val="99"/>
    <w:rsid w:val="004061AC"/>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uiPriority w:val="99"/>
    <w:rsid w:val="004061AC"/>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szCs w:val="24"/>
    </w:rPr>
  </w:style>
  <w:style w:type="paragraph" w:customStyle="1" w:styleId="xl26">
    <w:name w:val="xl2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7">
    <w:name w:val="xl2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9">
    <w:name w:val="xl29"/>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0">
    <w:name w:val="xl30"/>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1">
    <w:name w:val="xl31"/>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uiPriority w:val="99"/>
    <w:semiHidden/>
    <w:rsid w:val="004061AC"/>
    <w:rPr>
      <w:sz w:val="18"/>
      <w:szCs w:val="18"/>
    </w:rPr>
  </w:style>
  <w:style w:type="character" w:customStyle="1" w:styleId="Char5">
    <w:name w:val="批注框文本 Char"/>
    <w:basedOn w:val="a1"/>
    <w:link w:val="ae"/>
    <w:uiPriority w:val="99"/>
    <w:semiHidden/>
    <w:rsid w:val="004061AC"/>
    <w:rPr>
      <w:rFonts w:ascii="Times New Roman" w:eastAsia="宋体" w:hAnsi="Times New Roman" w:cs="Times New Roman"/>
      <w:sz w:val="18"/>
      <w:szCs w:val="18"/>
    </w:rPr>
  </w:style>
  <w:style w:type="character" w:styleId="af">
    <w:name w:val="annotation reference"/>
    <w:basedOn w:val="a1"/>
    <w:uiPriority w:val="99"/>
    <w:semiHidden/>
    <w:rsid w:val="004061AC"/>
    <w:rPr>
      <w:sz w:val="21"/>
      <w:szCs w:val="21"/>
    </w:rPr>
  </w:style>
  <w:style w:type="paragraph" w:styleId="af0">
    <w:name w:val="annotation text"/>
    <w:basedOn w:val="a"/>
    <w:link w:val="Char6"/>
    <w:uiPriority w:val="99"/>
    <w:semiHidden/>
    <w:rsid w:val="004061AC"/>
    <w:pPr>
      <w:jc w:val="left"/>
    </w:pPr>
  </w:style>
  <w:style w:type="character" w:customStyle="1" w:styleId="Char6">
    <w:name w:val="批注文字 Char"/>
    <w:basedOn w:val="a1"/>
    <w:link w:val="af0"/>
    <w:uiPriority w:val="99"/>
    <w:semiHidden/>
    <w:rsid w:val="004061AC"/>
    <w:rPr>
      <w:rFonts w:ascii="Times New Roman" w:eastAsia="宋体" w:hAnsi="Times New Roman" w:cs="Times New Roman"/>
      <w:szCs w:val="21"/>
    </w:rPr>
  </w:style>
  <w:style w:type="paragraph" w:styleId="af1">
    <w:name w:val="annotation subject"/>
    <w:basedOn w:val="af0"/>
    <w:next w:val="af0"/>
    <w:link w:val="Char7"/>
    <w:uiPriority w:val="99"/>
    <w:semiHidden/>
    <w:rsid w:val="004061AC"/>
    <w:rPr>
      <w:b/>
      <w:bCs/>
    </w:rPr>
  </w:style>
  <w:style w:type="character" w:customStyle="1" w:styleId="Char7">
    <w:name w:val="批注主题 Char"/>
    <w:basedOn w:val="Char6"/>
    <w:link w:val="af1"/>
    <w:uiPriority w:val="99"/>
    <w:semiHidden/>
    <w:rsid w:val="004061AC"/>
    <w:rPr>
      <w:rFonts w:ascii="Times New Roman" w:eastAsia="宋体" w:hAnsi="Times New Roman" w:cs="Times New Roman"/>
      <w:b/>
      <w:bCs/>
      <w:szCs w:val="21"/>
    </w:rPr>
  </w:style>
  <w:style w:type="paragraph" w:customStyle="1" w:styleId="Char8">
    <w:name w:val="Char"/>
    <w:basedOn w:val="a"/>
    <w:uiPriority w:val="99"/>
    <w:rsid w:val="004061AC"/>
  </w:style>
  <w:style w:type="paragraph" w:styleId="af2">
    <w:name w:val="Document Map"/>
    <w:basedOn w:val="a"/>
    <w:link w:val="Char9"/>
    <w:uiPriority w:val="99"/>
    <w:semiHidden/>
    <w:rsid w:val="004061AC"/>
    <w:pPr>
      <w:shd w:val="clear" w:color="auto" w:fill="000080"/>
    </w:pPr>
  </w:style>
  <w:style w:type="character" w:customStyle="1" w:styleId="Char9">
    <w:name w:val="文档结构图 Char"/>
    <w:basedOn w:val="a1"/>
    <w:link w:val="af2"/>
    <w:uiPriority w:val="99"/>
    <w:semiHidden/>
    <w:rsid w:val="004061AC"/>
    <w:rPr>
      <w:rFonts w:ascii="Times New Roman" w:eastAsia="宋体" w:hAnsi="Times New Roman" w:cs="Times New Roman"/>
      <w:szCs w:val="21"/>
      <w:shd w:val="clear" w:color="auto" w:fill="000080"/>
    </w:rPr>
  </w:style>
  <w:style w:type="paragraph" w:customStyle="1" w:styleId="af3">
    <w:name w:val="正文 + (符号) 宋体"/>
    <w:aliases w:val="小四,紧缩量  0.2 磅"/>
    <w:basedOn w:val="a"/>
    <w:uiPriority w:val="99"/>
    <w:rsid w:val="004061AC"/>
    <w:pPr>
      <w:autoSpaceDE w:val="0"/>
      <w:autoSpaceDN w:val="0"/>
      <w:adjustRightInd w:val="0"/>
      <w:ind w:rightChars="671" w:right="1409" w:firstLineChars="512" w:firstLine="1229"/>
      <w:jc w:val="distribute"/>
    </w:pPr>
    <w:rPr>
      <w:sz w:val="24"/>
      <w:szCs w:val="24"/>
    </w:rPr>
  </w:style>
  <w:style w:type="paragraph" w:styleId="af4">
    <w:name w:val="footnote text"/>
    <w:basedOn w:val="a"/>
    <w:link w:val="Chara"/>
    <w:rsid w:val="004061AC"/>
    <w:pPr>
      <w:snapToGrid w:val="0"/>
      <w:jc w:val="left"/>
    </w:pPr>
    <w:rPr>
      <w:sz w:val="18"/>
      <w:szCs w:val="18"/>
    </w:rPr>
  </w:style>
  <w:style w:type="character" w:customStyle="1" w:styleId="Chara">
    <w:name w:val="脚注文本 Char"/>
    <w:basedOn w:val="a1"/>
    <w:link w:val="af4"/>
    <w:rsid w:val="004061AC"/>
    <w:rPr>
      <w:rFonts w:ascii="Times New Roman" w:eastAsia="宋体" w:hAnsi="Times New Roman" w:cs="Times New Roman"/>
      <w:sz w:val="18"/>
      <w:szCs w:val="18"/>
    </w:rPr>
  </w:style>
  <w:style w:type="character" w:styleId="af5">
    <w:name w:val="footnote reference"/>
    <w:basedOn w:val="a1"/>
    <w:rsid w:val="004061AC"/>
    <w:rPr>
      <w:vertAlign w:val="superscript"/>
    </w:rPr>
  </w:style>
  <w:style w:type="paragraph" w:styleId="af6">
    <w:name w:val="Normal (Web)"/>
    <w:basedOn w:val="a"/>
    <w:uiPriority w:val="99"/>
    <w:rsid w:val="004061AC"/>
    <w:pPr>
      <w:widowControl/>
      <w:spacing w:before="100" w:beforeAutospacing="1" w:after="100" w:afterAutospacing="1"/>
      <w:jc w:val="left"/>
    </w:pPr>
    <w:rPr>
      <w:rFonts w:ascii="宋体" w:hAnsi="宋体" w:cs="宋体"/>
      <w:kern w:val="0"/>
      <w:sz w:val="24"/>
      <w:szCs w:val="24"/>
    </w:rPr>
  </w:style>
  <w:style w:type="table" w:styleId="af7">
    <w:name w:val="Table Grid"/>
    <w:basedOn w:val="a2"/>
    <w:qFormat/>
    <w:rsid w:val="004061A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4061AC"/>
  </w:style>
  <w:style w:type="paragraph" w:customStyle="1" w:styleId="CharCharCharCharCharChar1CharCharChar">
    <w:name w:val="Char Char Char Char Char Char1 Char Char Char"/>
    <w:basedOn w:val="a"/>
    <w:uiPriority w:val="99"/>
    <w:rsid w:val="004061AC"/>
    <w:pPr>
      <w:autoSpaceDE w:val="0"/>
      <w:autoSpaceDN w:val="0"/>
      <w:adjustRightInd w:val="0"/>
      <w:jc w:val="left"/>
      <w:textAlignment w:val="baseline"/>
    </w:pPr>
    <w:rPr>
      <w:rFonts w:ascii="宋体" w:cs="宋体"/>
      <w:kern w:val="0"/>
      <w:sz w:val="34"/>
      <w:szCs w:val="34"/>
    </w:rPr>
  </w:style>
  <w:style w:type="paragraph" w:customStyle="1" w:styleId="CharCharCharCharCharChar1CharCharChar2">
    <w:name w:val="Char Char Char Char Char Char1 Char Char Char2"/>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8">
    <w:name w:val="Title"/>
    <w:basedOn w:val="a"/>
    <w:next w:val="a"/>
    <w:link w:val="Charb"/>
    <w:uiPriority w:val="99"/>
    <w:qFormat/>
    <w:rsid w:val="004061AC"/>
    <w:pPr>
      <w:spacing w:before="240" w:after="60"/>
      <w:jc w:val="center"/>
      <w:outlineLvl w:val="0"/>
    </w:pPr>
    <w:rPr>
      <w:rFonts w:ascii="Cambria" w:hAnsi="Cambria" w:cs="Cambria"/>
      <w:b/>
      <w:bCs/>
      <w:sz w:val="32"/>
      <w:szCs w:val="32"/>
    </w:rPr>
  </w:style>
  <w:style w:type="character" w:customStyle="1" w:styleId="Charb">
    <w:name w:val="标题 Char"/>
    <w:basedOn w:val="a1"/>
    <w:link w:val="af8"/>
    <w:uiPriority w:val="99"/>
    <w:rsid w:val="004061AC"/>
    <w:rPr>
      <w:rFonts w:ascii="Cambria" w:eastAsia="宋体" w:hAnsi="Cambria" w:cs="Cambria"/>
      <w:b/>
      <w:bCs/>
      <w:sz w:val="32"/>
      <w:szCs w:val="32"/>
    </w:rPr>
  </w:style>
  <w:style w:type="paragraph" w:customStyle="1" w:styleId="CharCharCharCharCharChar1CharCharChar1">
    <w:name w:val="Char Char Char Char Char Char1 Char Char Char1"/>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9">
    <w:name w:val="No Spacing"/>
    <w:link w:val="Charc"/>
    <w:uiPriority w:val="1"/>
    <w:qFormat/>
    <w:rsid w:val="004061AC"/>
    <w:rPr>
      <w:rFonts w:ascii="Calibri" w:eastAsia="宋体" w:hAnsi="Calibri" w:cs="Calibri"/>
      <w:kern w:val="0"/>
      <w:sz w:val="22"/>
    </w:rPr>
  </w:style>
  <w:style w:type="character" w:customStyle="1" w:styleId="Charc">
    <w:name w:val="无间隔 Char"/>
    <w:basedOn w:val="a1"/>
    <w:link w:val="af9"/>
    <w:uiPriority w:val="1"/>
    <w:locked/>
    <w:rsid w:val="004061AC"/>
    <w:rPr>
      <w:rFonts w:ascii="Calibri" w:eastAsia="宋体" w:hAnsi="Calibri" w:cs="Calibri"/>
      <w:kern w:val="0"/>
      <w:sz w:val="22"/>
    </w:rPr>
  </w:style>
  <w:style w:type="character" w:customStyle="1" w:styleId="t1">
    <w:name w:val="t1"/>
    <w:basedOn w:val="a1"/>
    <w:uiPriority w:val="99"/>
    <w:rsid w:val="004061AC"/>
    <w:rPr>
      <w:color w:val="auto"/>
    </w:rPr>
  </w:style>
  <w:style w:type="paragraph" w:styleId="afa">
    <w:name w:val="List Paragraph"/>
    <w:basedOn w:val="a"/>
    <w:uiPriority w:val="34"/>
    <w:qFormat/>
    <w:rsid w:val="00154BE1"/>
    <w:pPr>
      <w:ind w:firstLineChars="200" w:firstLine="420"/>
    </w:pPr>
  </w:style>
  <w:style w:type="paragraph" w:customStyle="1" w:styleId="Default">
    <w:name w:val="Default"/>
    <w:rsid w:val="00275745"/>
    <w:pPr>
      <w:widowControl w:val="0"/>
      <w:autoSpaceDE w:val="0"/>
      <w:autoSpaceDN w:val="0"/>
      <w:adjustRightInd w:val="0"/>
    </w:pPr>
    <w:rPr>
      <w:rFonts w:ascii="FangSong" w:eastAsia="宋体" w:hAnsi="FangSong" w:cs="FangSong"/>
      <w:color w:val="000000"/>
      <w:kern w:val="0"/>
      <w:sz w:val="24"/>
      <w:szCs w:val="24"/>
    </w:rPr>
  </w:style>
  <w:style w:type="character" w:styleId="afb">
    <w:name w:val="Strong"/>
    <w:basedOn w:val="a1"/>
    <w:uiPriority w:val="22"/>
    <w:qFormat/>
    <w:rsid w:val="00E52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458076">
      <w:bodyDiv w:val="1"/>
      <w:marLeft w:val="0"/>
      <w:marRight w:val="0"/>
      <w:marTop w:val="0"/>
      <w:marBottom w:val="0"/>
      <w:divBdr>
        <w:top w:val="none" w:sz="0" w:space="0" w:color="auto"/>
        <w:left w:val="none" w:sz="0" w:space="0" w:color="auto"/>
        <w:bottom w:val="none" w:sz="0" w:space="0" w:color="auto"/>
        <w:right w:val="none" w:sz="0" w:space="0" w:color="auto"/>
      </w:divBdr>
    </w:div>
    <w:div w:id="1499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D8FBE-5EEB-4710-8912-CE07467B4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1825</TotalTime>
  <Pages>11</Pages>
  <Words>989</Words>
  <Characters>5643</Characters>
  <Application>Microsoft Office Word</Application>
  <DocSecurity>0</DocSecurity>
  <Lines>47</Lines>
  <Paragraphs>13</Paragraphs>
  <ScaleCrop>false</ScaleCrop>
  <Company/>
  <LinksUpToDate>false</LinksUpToDate>
  <CharactersWithSpaces>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洪仲</cp:lastModifiedBy>
  <cp:revision>598</cp:revision>
  <dcterms:created xsi:type="dcterms:W3CDTF">2012-10-16T06:07:00Z</dcterms:created>
  <dcterms:modified xsi:type="dcterms:W3CDTF">2020-01-20T10:29:00Z</dcterms:modified>
</cp:coreProperties>
</file>