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0C1E17" w:rsidRPr="00414345" w:rsidRDefault="000C1E17" w:rsidP="00C15CAC">
      <w:pPr>
        <w:autoSpaceDE w:val="0"/>
        <w:autoSpaceDN w:val="0"/>
        <w:adjustRightInd w:val="0"/>
        <w:spacing w:before="29" w:line="288" w:lineRule="auto"/>
        <w:jc w:val="left"/>
        <w:rPr>
          <w:color w:val="000000"/>
          <w:kern w:val="0"/>
          <w:sz w:val="24"/>
          <w:szCs w:val="24"/>
        </w:rPr>
      </w:pPr>
    </w:p>
    <w:p w:rsidR="000C1E17" w:rsidRPr="00414345" w:rsidRDefault="000C1E17" w:rsidP="00C15CAC">
      <w:pPr>
        <w:autoSpaceDE w:val="0"/>
        <w:autoSpaceDN w:val="0"/>
        <w:adjustRightInd w:val="0"/>
        <w:spacing w:before="29" w:line="288" w:lineRule="auto"/>
        <w:jc w:val="left"/>
        <w:rPr>
          <w:color w:val="000000"/>
          <w:kern w:val="0"/>
          <w:sz w:val="24"/>
          <w:szCs w:val="24"/>
        </w:rPr>
      </w:pPr>
    </w:p>
    <w:p w:rsidR="002279D3" w:rsidRPr="0081286B" w:rsidRDefault="002279D3" w:rsidP="00C15CAC">
      <w:pPr>
        <w:spacing w:before="29" w:line="288" w:lineRule="auto"/>
        <w:jc w:val="center"/>
        <w:rPr>
          <w:b/>
          <w:sz w:val="36"/>
          <w:szCs w:val="36"/>
        </w:rPr>
      </w:pPr>
      <w:r w:rsidRPr="0081286B">
        <w:rPr>
          <w:b/>
          <w:sz w:val="36"/>
          <w:szCs w:val="36"/>
        </w:rPr>
        <w:t>交银施罗德医药创新股票型证券投资基金</w:t>
      </w:r>
    </w:p>
    <w:p w:rsidR="002279D3" w:rsidRPr="0081286B" w:rsidRDefault="002279D3" w:rsidP="00C15CAC">
      <w:pPr>
        <w:spacing w:before="29" w:line="288" w:lineRule="auto"/>
        <w:jc w:val="center"/>
        <w:rPr>
          <w:b/>
          <w:sz w:val="36"/>
          <w:szCs w:val="36"/>
        </w:rPr>
      </w:pPr>
      <w:r w:rsidRPr="0081286B">
        <w:rPr>
          <w:b/>
          <w:sz w:val="36"/>
          <w:szCs w:val="36"/>
        </w:rPr>
        <w:t>2019</w:t>
      </w:r>
      <w:r w:rsidRPr="0081286B">
        <w:rPr>
          <w:b/>
          <w:sz w:val="36"/>
          <w:szCs w:val="36"/>
        </w:rPr>
        <w:t>年第</w:t>
      </w:r>
      <w:r w:rsidRPr="0081286B">
        <w:rPr>
          <w:b/>
          <w:sz w:val="36"/>
          <w:szCs w:val="36"/>
        </w:rPr>
        <w:t>2</w:t>
      </w:r>
      <w:r w:rsidRPr="0081286B">
        <w:rPr>
          <w:b/>
          <w:sz w:val="36"/>
          <w:szCs w:val="36"/>
        </w:rPr>
        <w:t>季度报告</w:t>
      </w:r>
    </w:p>
    <w:p w:rsidR="004061AC" w:rsidRPr="0081286B" w:rsidRDefault="00655CD8" w:rsidP="00C15CAC">
      <w:pPr>
        <w:spacing w:before="29" w:line="288" w:lineRule="auto"/>
        <w:jc w:val="center"/>
        <w:rPr>
          <w:b/>
          <w:sz w:val="36"/>
          <w:szCs w:val="36"/>
        </w:rPr>
      </w:pPr>
      <w:r w:rsidRPr="0081286B">
        <w:rPr>
          <w:b/>
          <w:sz w:val="36"/>
          <w:szCs w:val="36"/>
        </w:rPr>
        <w:t>2019</w:t>
      </w:r>
      <w:r w:rsidRPr="0081286B">
        <w:rPr>
          <w:b/>
          <w:sz w:val="36"/>
          <w:szCs w:val="36"/>
        </w:rPr>
        <w:t>年</w:t>
      </w:r>
      <w:r w:rsidRPr="0081286B">
        <w:rPr>
          <w:b/>
          <w:sz w:val="36"/>
          <w:szCs w:val="36"/>
        </w:rPr>
        <w:t>6</w:t>
      </w:r>
      <w:r w:rsidRPr="0081286B">
        <w:rPr>
          <w:b/>
          <w:sz w:val="36"/>
          <w:szCs w:val="36"/>
        </w:rPr>
        <w:t>月</w:t>
      </w:r>
      <w:r w:rsidRPr="0081286B">
        <w:rPr>
          <w:b/>
          <w:sz w:val="36"/>
          <w:szCs w:val="36"/>
        </w:rPr>
        <w:t>30</w:t>
      </w:r>
      <w:r w:rsidRPr="0081286B">
        <w:rPr>
          <w:b/>
          <w:sz w:val="36"/>
          <w:szCs w:val="36"/>
        </w:rPr>
        <w:t>日</w:t>
      </w: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625BFC" w:rsidRPr="0081286B" w:rsidRDefault="004061AC" w:rsidP="00C15CAC">
      <w:pPr>
        <w:spacing w:before="29" w:line="288" w:lineRule="auto"/>
        <w:ind w:firstLineChars="900" w:firstLine="2168"/>
        <w:rPr>
          <w:b/>
          <w:color w:val="000000"/>
          <w:sz w:val="24"/>
          <w:szCs w:val="24"/>
        </w:rPr>
      </w:pPr>
      <w:r w:rsidRPr="0081286B">
        <w:rPr>
          <w:b/>
          <w:color w:val="000000"/>
          <w:sz w:val="24"/>
          <w:szCs w:val="24"/>
        </w:rPr>
        <w:t>基金管理人：交银施罗德基金管理有限公司</w:t>
      </w:r>
    </w:p>
    <w:p w:rsidR="00625BFC" w:rsidRPr="0081286B" w:rsidRDefault="004061AC" w:rsidP="00C15CAC">
      <w:pPr>
        <w:spacing w:before="29" w:line="288" w:lineRule="auto"/>
        <w:ind w:firstLineChars="900" w:firstLine="2168"/>
        <w:rPr>
          <w:b/>
          <w:color w:val="000000"/>
          <w:sz w:val="24"/>
          <w:szCs w:val="24"/>
        </w:rPr>
      </w:pPr>
      <w:r w:rsidRPr="0081286B">
        <w:rPr>
          <w:b/>
          <w:color w:val="000000"/>
          <w:sz w:val="24"/>
          <w:szCs w:val="24"/>
        </w:rPr>
        <w:t>基金托管人：中国工商银行股份有限公司</w:t>
      </w:r>
    </w:p>
    <w:p w:rsidR="004061AC" w:rsidRPr="0081286B" w:rsidRDefault="004061AC" w:rsidP="00C15CAC">
      <w:pPr>
        <w:spacing w:before="29" w:line="288" w:lineRule="auto"/>
        <w:ind w:firstLineChars="900" w:firstLine="2168"/>
        <w:rPr>
          <w:b/>
          <w:color w:val="000000"/>
          <w:sz w:val="24"/>
          <w:szCs w:val="24"/>
        </w:rPr>
        <w:sectPr w:rsidR="004061AC" w:rsidRPr="0081286B" w:rsidSect="00DC456F">
          <w:headerReference w:type="even" r:id="rId8"/>
          <w:headerReference w:type="default" r:id="rId9"/>
          <w:footerReference w:type="even" r:id="rId10"/>
          <w:footerReference w:type="default" r:id="rId11"/>
          <w:headerReference w:type="first" r:id="rId12"/>
          <w:footerReference w:type="first" r:id="rId13"/>
          <w:pgSz w:w="11926" w:h="15840"/>
          <w:pgMar w:top="1418" w:right="1440" w:bottom="851" w:left="1440" w:header="851" w:footer="992" w:gutter="0"/>
          <w:cols w:space="720"/>
          <w:noEndnote/>
          <w:titlePg/>
          <w:docGrid w:linePitch="286"/>
        </w:sectPr>
      </w:pPr>
      <w:r w:rsidRPr="0081286B">
        <w:rPr>
          <w:b/>
          <w:color w:val="000000"/>
          <w:sz w:val="24"/>
          <w:szCs w:val="24"/>
        </w:rPr>
        <w:t>报告送出日期：</w:t>
      </w:r>
      <w:r w:rsidR="00F16E3F" w:rsidRPr="0081286B">
        <w:rPr>
          <w:b/>
          <w:color w:val="000000"/>
          <w:sz w:val="24"/>
          <w:szCs w:val="24"/>
        </w:rPr>
        <w:t>二〇一九年七月十七日</w:t>
      </w:r>
    </w:p>
    <w:p w:rsidR="004061AC" w:rsidRPr="00414345" w:rsidRDefault="004061AC" w:rsidP="0011537B">
      <w:pPr>
        <w:pStyle w:val="1"/>
        <w:spacing w:beforeLines="100" w:before="312" w:afterLines="100" w:after="312" w:line="288" w:lineRule="auto"/>
        <w:jc w:val="center"/>
        <w:rPr>
          <w:b w:val="0"/>
          <w:bCs w:val="0"/>
          <w:color w:val="000000"/>
          <w:kern w:val="0"/>
          <w:sz w:val="24"/>
          <w:szCs w:val="24"/>
        </w:rPr>
      </w:pPr>
      <w:r w:rsidRPr="00414345">
        <w:rPr>
          <w:color w:val="000000"/>
          <w:kern w:val="0"/>
          <w:sz w:val="24"/>
          <w:szCs w:val="24"/>
        </w:rPr>
        <w:lastRenderedPageBreak/>
        <w:t xml:space="preserve">§1  </w:t>
      </w:r>
      <w:r w:rsidRPr="00414345">
        <w:rPr>
          <w:color w:val="000000"/>
          <w:kern w:val="0"/>
          <w:sz w:val="24"/>
          <w:szCs w:val="24"/>
        </w:rPr>
        <w:t>重要提示</w:t>
      </w:r>
    </w:p>
    <w:p w:rsidR="00E54D7F" w:rsidRDefault="003E38A7">
      <w:pPr>
        <w:spacing w:before="29" w:line="288" w:lineRule="auto"/>
        <w:ind w:firstLineChars="200" w:firstLine="480"/>
        <w:rPr>
          <w:color w:val="000000"/>
          <w:sz w:val="24"/>
          <w:szCs w:val="24"/>
        </w:rPr>
      </w:pPr>
      <w:r>
        <w:rPr>
          <w:color w:val="000000"/>
          <w:sz w:val="24"/>
          <w:szCs w:val="24"/>
        </w:rPr>
        <w:t>基金管理人的董事会及董事保证本报告所载资料不存在虚假记载、误导性陈述或重大遗漏，并对其内容的真实性、准确性和完整性承担个别及连带责任。</w:t>
      </w:r>
      <w:r>
        <w:rPr>
          <w:color w:val="000000"/>
          <w:sz w:val="24"/>
          <w:szCs w:val="24"/>
        </w:rPr>
        <w:t xml:space="preserve"> </w:t>
      </w:r>
    </w:p>
    <w:p w:rsidR="00E54D7F" w:rsidRDefault="003E38A7">
      <w:pPr>
        <w:spacing w:before="29" w:line="288" w:lineRule="auto"/>
        <w:ind w:firstLineChars="200" w:firstLine="480"/>
        <w:rPr>
          <w:color w:val="000000"/>
          <w:sz w:val="24"/>
          <w:szCs w:val="24"/>
        </w:rPr>
      </w:pPr>
      <w:r>
        <w:rPr>
          <w:color w:val="000000"/>
          <w:sz w:val="24"/>
          <w:szCs w:val="24"/>
        </w:rPr>
        <w:t>基金托管人中国工商银行股份有限公司根据本基金合同规定，于</w:t>
      </w:r>
      <w:r>
        <w:rPr>
          <w:color w:val="000000"/>
          <w:sz w:val="24"/>
          <w:szCs w:val="24"/>
        </w:rPr>
        <w:t>2019</w:t>
      </w:r>
      <w:r>
        <w:rPr>
          <w:color w:val="000000"/>
          <w:sz w:val="24"/>
          <w:szCs w:val="24"/>
        </w:rPr>
        <w:t>年</w:t>
      </w:r>
      <w:r>
        <w:rPr>
          <w:color w:val="000000"/>
          <w:sz w:val="24"/>
          <w:szCs w:val="24"/>
        </w:rPr>
        <w:t>7</w:t>
      </w:r>
      <w:r>
        <w:rPr>
          <w:color w:val="000000"/>
          <w:sz w:val="24"/>
          <w:szCs w:val="24"/>
        </w:rPr>
        <w:t>月</w:t>
      </w:r>
      <w:r>
        <w:rPr>
          <w:color w:val="000000"/>
          <w:sz w:val="24"/>
          <w:szCs w:val="24"/>
        </w:rPr>
        <w:t>16</w:t>
      </w:r>
      <w:r>
        <w:rPr>
          <w:color w:val="000000"/>
          <w:sz w:val="24"/>
          <w:szCs w:val="24"/>
        </w:rPr>
        <w:t>日复核了本报告中的财务指标、净值表现和投资组合报告等内容，保证复核内容不存在虚假记载、误导性陈述或者重大遗漏。</w:t>
      </w:r>
      <w:r>
        <w:rPr>
          <w:color w:val="000000"/>
          <w:sz w:val="24"/>
          <w:szCs w:val="24"/>
        </w:rPr>
        <w:t xml:space="preserve"> </w:t>
      </w:r>
    </w:p>
    <w:p w:rsidR="00E54D7F" w:rsidRDefault="003E38A7">
      <w:pPr>
        <w:spacing w:before="29" w:line="288" w:lineRule="auto"/>
        <w:ind w:firstLineChars="200" w:firstLine="480"/>
        <w:rPr>
          <w:color w:val="000000"/>
          <w:sz w:val="24"/>
          <w:szCs w:val="24"/>
        </w:rPr>
      </w:pPr>
      <w:r>
        <w:rPr>
          <w:color w:val="000000"/>
          <w:sz w:val="24"/>
          <w:szCs w:val="24"/>
        </w:rPr>
        <w:t>基金管理人承诺以诚实信用、勤勉尽责的原则管理和运用基金资产，但不保证基金一定盈利。</w:t>
      </w:r>
      <w:r>
        <w:rPr>
          <w:color w:val="000000"/>
          <w:sz w:val="24"/>
          <w:szCs w:val="24"/>
        </w:rPr>
        <w:t xml:space="preserve"> </w:t>
      </w:r>
    </w:p>
    <w:p w:rsidR="00E54D7F" w:rsidRDefault="003E38A7">
      <w:pPr>
        <w:spacing w:before="29" w:line="288" w:lineRule="auto"/>
        <w:ind w:firstLineChars="200" w:firstLine="480"/>
        <w:rPr>
          <w:color w:val="000000"/>
          <w:sz w:val="24"/>
          <w:szCs w:val="24"/>
        </w:rPr>
      </w:pPr>
      <w:r>
        <w:rPr>
          <w:color w:val="000000"/>
          <w:sz w:val="24"/>
          <w:szCs w:val="24"/>
        </w:rPr>
        <w:t>基金的过往业绩并不代表其未来表现。投资有风险，投资者在作出投资决策前应仔细阅读本基金的招募说明书。</w:t>
      </w:r>
      <w:r>
        <w:rPr>
          <w:color w:val="000000"/>
          <w:sz w:val="24"/>
          <w:szCs w:val="24"/>
        </w:rPr>
        <w:t xml:space="preserve"> </w:t>
      </w:r>
    </w:p>
    <w:p w:rsidR="00E54D7F" w:rsidRDefault="003E38A7">
      <w:pPr>
        <w:spacing w:before="29" w:line="288" w:lineRule="auto"/>
        <w:ind w:firstLineChars="200" w:firstLine="480"/>
        <w:rPr>
          <w:color w:val="000000"/>
          <w:sz w:val="24"/>
          <w:szCs w:val="24"/>
        </w:rPr>
      </w:pPr>
      <w:r>
        <w:rPr>
          <w:color w:val="000000"/>
          <w:sz w:val="24"/>
          <w:szCs w:val="24"/>
        </w:rPr>
        <w:t>本报告中财务资料未经审计。</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本报告期自</w:t>
      </w:r>
      <w:r w:rsidRPr="00414345">
        <w:rPr>
          <w:color w:val="000000"/>
          <w:sz w:val="24"/>
          <w:szCs w:val="24"/>
        </w:rPr>
        <w:t>2019</w:t>
      </w:r>
      <w:r w:rsidRPr="00414345">
        <w:rPr>
          <w:color w:val="000000"/>
          <w:sz w:val="24"/>
          <w:szCs w:val="24"/>
        </w:rPr>
        <w:t>年</w:t>
      </w:r>
      <w:r w:rsidRPr="00414345">
        <w:rPr>
          <w:color w:val="000000"/>
          <w:sz w:val="24"/>
          <w:szCs w:val="24"/>
        </w:rPr>
        <w:t>4</w:t>
      </w:r>
      <w:r w:rsidRPr="00414345">
        <w:rPr>
          <w:color w:val="000000"/>
          <w:sz w:val="24"/>
          <w:szCs w:val="24"/>
        </w:rPr>
        <w:t>月</w:t>
      </w:r>
      <w:r w:rsidRPr="00414345">
        <w:rPr>
          <w:color w:val="000000"/>
          <w:sz w:val="24"/>
          <w:szCs w:val="24"/>
        </w:rPr>
        <w:t>1</w:t>
      </w:r>
      <w:r w:rsidRPr="00414345">
        <w:rPr>
          <w:color w:val="000000"/>
          <w:sz w:val="24"/>
          <w:szCs w:val="24"/>
        </w:rPr>
        <w:t>日起至</w:t>
      </w:r>
      <w:r w:rsidRPr="00414345">
        <w:rPr>
          <w:color w:val="000000"/>
          <w:sz w:val="24"/>
          <w:szCs w:val="24"/>
        </w:rPr>
        <w:t>6</w:t>
      </w:r>
      <w:r w:rsidRPr="00414345">
        <w:rPr>
          <w:color w:val="000000"/>
          <w:sz w:val="24"/>
          <w:szCs w:val="24"/>
        </w:rPr>
        <w:t>月</w:t>
      </w:r>
      <w:r w:rsidRPr="00414345">
        <w:rPr>
          <w:color w:val="000000"/>
          <w:sz w:val="24"/>
          <w:szCs w:val="24"/>
        </w:rPr>
        <w:t>30</w:t>
      </w:r>
      <w:r w:rsidRPr="00414345">
        <w:rPr>
          <w:color w:val="000000"/>
          <w:sz w:val="24"/>
          <w:szCs w:val="24"/>
        </w:rPr>
        <w:t>日止。</w:t>
      </w:r>
    </w:p>
    <w:p w:rsidR="00627E2D" w:rsidRPr="00414345" w:rsidRDefault="00627E2D" w:rsidP="00C15CAC">
      <w:pPr>
        <w:spacing w:before="29" w:line="288" w:lineRule="auto"/>
        <w:ind w:firstLineChars="200" w:firstLine="480"/>
        <w:rPr>
          <w:color w:val="00000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§2  </w:t>
      </w:r>
      <w:r w:rsidRPr="00414345">
        <w:rPr>
          <w:color w:val="000000"/>
          <w:kern w:val="0"/>
          <w:sz w:val="24"/>
          <w:szCs w:val="24"/>
        </w:rPr>
        <w:t>基金产品概况</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3"/>
        <w:gridCol w:w="5845"/>
      </w:tblGrid>
      <w:tr w:rsidR="004061AC" w:rsidRPr="00414345" w:rsidTr="006E6726">
        <w:trPr>
          <w:jc w:val="center"/>
        </w:trPr>
        <w:tc>
          <w:tcPr>
            <w:tcW w:w="3023" w:type="dxa"/>
            <w:vAlign w:val="center"/>
          </w:tcPr>
          <w:p w:rsidR="004061AC" w:rsidRPr="00414345" w:rsidRDefault="004061AC" w:rsidP="00C15CAC">
            <w:pPr>
              <w:adjustRightInd w:val="0"/>
              <w:spacing w:before="29" w:line="288" w:lineRule="auto"/>
              <w:ind w:left="17"/>
              <w:jc w:val="left"/>
              <w:rPr>
                <w:kern w:val="0"/>
                <w:sz w:val="24"/>
                <w:szCs w:val="24"/>
              </w:rPr>
            </w:pPr>
            <w:r w:rsidRPr="00414345">
              <w:rPr>
                <w:kern w:val="0"/>
                <w:sz w:val="24"/>
                <w:szCs w:val="24"/>
              </w:rPr>
              <w:t>基金简称</w:t>
            </w:r>
          </w:p>
        </w:tc>
        <w:tc>
          <w:tcPr>
            <w:tcW w:w="5845" w:type="dxa"/>
            <w:vAlign w:val="center"/>
          </w:tcPr>
          <w:p w:rsidR="004061AC" w:rsidRPr="00414345" w:rsidRDefault="004061AC" w:rsidP="00C15CAC">
            <w:pPr>
              <w:adjustRightInd w:val="0"/>
              <w:spacing w:before="29" w:line="288" w:lineRule="auto"/>
              <w:ind w:left="17"/>
              <w:jc w:val="left"/>
              <w:rPr>
                <w:color w:val="000000"/>
                <w:kern w:val="0"/>
                <w:sz w:val="24"/>
                <w:szCs w:val="24"/>
              </w:rPr>
            </w:pPr>
            <w:r w:rsidRPr="00414345">
              <w:rPr>
                <w:color w:val="000000"/>
                <w:kern w:val="0"/>
                <w:sz w:val="24"/>
                <w:szCs w:val="24"/>
              </w:rPr>
              <w:t>交银医药创新股票</w:t>
            </w:r>
          </w:p>
        </w:tc>
      </w:tr>
      <w:tr w:rsidR="00D94B8D" w:rsidRPr="00414345" w:rsidTr="006E6726">
        <w:trPr>
          <w:jc w:val="center"/>
        </w:trPr>
        <w:tc>
          <w:tcPr>
            <w:tcW w:w="3023" w:type="dxa"/>
            <w:tcBorders>
              <w:top w:val="single" w:sz="4" w:space="0" w:color="auto"/>
              <w:left w:val="single" w:sz="4" w:space="0" w:color="auto"/>
              <w:bottom w:val="single" w:sz="4" w:space="0" w:color="auto"/>
              <w:right w:val="single" w:sz="4" w:space="0" w:color="auto"/>
            </w:tcBorders>
            <w:vAlign w:val="center"/>
            <w:hideMark/>
          </w:tcPr>
          <w:p w:rsidR="00D94B8D" w:rsidRPr="00414345" w:rsidRDefault="00D94B8D" w:rsidP="00C15CAC">
            <w:pPr>
              <w:adjustRightInd w:val="0"/>
              <w:spacing w:before="29" w:line="288" w:lineRule="auto"/>
              <w:ind w:left="17"/>
              <w:jc w:val="left"/>
              <w:rPr>
                <w:kern w:val="0"/>
                <w:sz w:val="24"/>
                <w:szCs w:val="24"/>
              </w:rPr>
            </w:pPr>
            <w:r w:rsidRPr="00414345">
              <w:rPr>
                <w:kern w:val="0"/>
                <w:sz w:val="24"/>
                <w:szCs w:val="24"/>
              </w:rPr>
              <w:t>基金主代码</w:t>
            </w:r>
          </w:p>
        </w:tc>
        <w:tc>
          <w:tcPr>
            <w:tcW w:w="5845" w:type="dxa"/>
            <w:tcBorders>
              <w:top w:val="single" w:sz="4" w:space="0" w:color="auto"/>
              <w:left w:val="single" w:sz="4" w:space="0" w:color="auto"/>
              <w:bottom w:val="single" w:sz="4" w:space="0" w:color="auto"/>
              <w:right w:val="single" w:sz="4" w:space="0" w:color="auto"/>
            </w:tcBorders>
            <w:vAlign w:val="center"/>
            <w:hideMark/>
          </w:tcPr>
          <w:p w:rsidR="00D94B8D" w:rsidRPr="00414345" w:rsidRDefault="00D94B8D" w:rsidP="00C15CAC">
            <w:pPr>
              <w:adjustRightInd w:val="0"/>
              <w:spacing w:before="29" w:line="288" w:lineRule="auto"/>
              <w:ind w:left="17"/>
              <w:jc w:val="left"/>
              <w:rPr>
                <w:color w:val="000000"/>
                <w:kern w:val="0"/>
                <w:sz w:val="24"/>
                <w:szCs w:val="24"/>
              </w:rPr>
            </w:pPr>
            <w:r w:rsidRPr="00414345">
              <w:rPr>
                <w:color w:val="000000"/>
                <w:kern w:val="0"/>
                <w:sz w:val="24"/>
                <w:szCs w:val="24"/>
              </w:rPr>
              <w:t>004075</w:t>
            </w:r>
          </w:p>
        </w:tc>
      </w:tr>
      <w:tr w:rsidR="001B2F35" w:rsidRPr="00414345" w:rsidTr="006E6726">
        <w:trPr>
          <w:jc w:val="center"/>
        </w:trPr>
        <w:tc>
          <w:tcPr>
            <w:tcW w:w="3023" w:type="dxa"/>
            <w:tcBorders>
              <w:top w:val="single" w:sz="4" w:space="0" w:color="auto"/>
              <w:left w:val="single" w:sz="4" w:space="0" w:color="auto"/>
              <w:bottom w:val="single" w:sz="4" w:space="0" w:color="auto"/>
              <w:right w:val="single" w:sz="4" w:space="0" w:color="auto"/>
            </w:tcBorders>
            <w:vAlign w:val="center"/>
          </w:tcPr>
          <w:p w:rsidR="001B2F35" w:rsidRPr="00414345" w:rsidRDefault="001B2F35" w:rsidP="00C15CAC">
            <w:pPr>
              <w:adjustRightInd w:val="0"/>
              <w:spacing w:before="29" w:line="288" w:lineRule="auto"/>
              <w:ind w:left="17"/>
              <w:jc w:val="left"/>
              <w:rPr>
                <w:kern w:val="0"/>
                <w:sz w:val="24"/>
                <w:szCs w:val="24"/>
              </w:rPr>
            </w:pPr>
            <w:r w:rsidRPr="00414345">
              <w:rPr>
                <w:kern w:val="0"/>
                <w:sz w:val="24"/>
                <w:szCs w:val="24"/>
              </w:rPr>
              <w:t>交易代码</w:t>
            </w:r>
          </w:p>
        </w:tc>
        <w:tc>
          <w:tcPr>
            <w:tcW w:w="5845" w:type="dxa"/>
            <w:tcBorders>
              <w:top w:val="single" w:sz="4" w:space="0" w:color="auto"/>
              <w:left w:val="single" w:sz="4" w:space="0" w:color="auto"/>
              <w:bottom w:val="single" w:sz="4" w:space="0" w:color="auto"/>
              <w:right w:val="single" w:sz="4" w:space="0" w:color="auto"/>
            </w:tcBorders>
            <w:vAlign w:val="center"/>
          </w:tcPr>
          <w:p w:rsidR="001B2F35" w:rsidRPr="00414345" w:rsidRDefault="00C5218C" w:rsidP="00C15CAC">
            <w:pPr>
              <w:adjustRightInd w:val="0"/>
              <w:spacing w:before="29" w:line="288" w:lineRule="auto"/>
              <w:ind w:left="17"/>
              <w:jc w:val="left"/>
              <w:rPr>
                <w:color w:val="000000"/>
                <w:kern w:val="0"/>
                <w:sz w:val="24"/>
                <w:szCs w:val="24"/>
              </w:rPr>
            </w:pPr>
            <w:r w:rsidRPr="00414345">
              <w:rPr>
                <w:kern w:val="0"/>
                <w:sz w:val="24"/>
              </w:rPr>
              <w:t>004075</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基金运作方式</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契约型开放式</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基金合同生效日</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2017</w:t>
            </w:r>
            <w:r w:rsidRPr="00414345">
              <w:rPr>
                <w:color w:val="000000"/>
                <w:kern w:val="0"/>
                <w:sz w:val="24"/>
                <w:szCs w:val="24"/>
              </w:rPr>
              <w:t>年</w:t>
            </w:r>
            <w:r w:rsidRPr="00414345">
              <w:rPr>
                <w:color w:val="000000"/>
                <w:kern w:val="0"/>
                <w:sz w:val="24"/>
                <w:szCs w:val="24"/>
              </w:rPr>
              <w:t>3</w:t>
            </w:r>
            <w:r w:rsidRPr="00414345">
              <w:rPr>
                <w:color w:val="000000"/>
                <w:kern w:val="0"/>
                <w:sz w:val="24"/>
                <w:szCs w:val="24"/>
              </w:rPr>
              <w:t>月</w:t>
            </w:r>
            <w:r w:rsidRPr="00414345">
              <w:rPr>
                <w:color w:val="000000"/>
                <w:kern w:val="0"/>
                <w:sz w:val="24"/>
                <w:szCs w:val="24"/>
              </w:rPr>
              <w:t>23</w:t>
            </w:r>
            <w:r w:rsidRPr="00414345">
              <w:rPr>
                <w:color w:val="000000"/>
                <w:kern w:val="0"/>
                <w:sz w:val="24"/>
                <w:szCs w:val="24"/>
              </w:rPr>
              <w:t>日</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报告期末基金份额总额</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298,822,748.35</w:t>
            </w:r>
            <w:r w:rsidRPr="00414345">
              <w:rPr>
                <w:color w:val="000000"/>
                <w:kern w:val="0"/>
                <w:sz w:val="24"/>
                <w:szCs w:val="24"/>
              </w:rPr>
              <w:t>份</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投资目标</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本基金将深度挖掘医药创新过程中产业的各类投资机会，精选医药创新主题的优质上市公司，在控制风险并保持基金资产良好的流动性的前提下，谋求基金资产的长期、稳定增值。</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投资策略</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本基金充分发挥基金管理人研究优势，将严谨、规范化的选股方法与积极主动的投资风格相结合，在经济转型大背景下，深入研究医药创新行业的发展趋势，积极挖掘不同子行业和子行业景气度新变化下的个股投资机会，通过团队对个股深入的基本面研究和细致的实地调研，精选个股，以谋求超额收益。</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业绩比较基准</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85%×</w:t>
            </w:r>
            <w:r w:rsidRPr="00414345">
              <w:rPr>
                <w:color w:val="000000"/>
                <w:kern w:val="0"/>
                <w:sz w:val="24"/>
                <w:szCs w:val="24"/>
              </w:rPr>
              <w:t>中证医药卫生指数收益率</w:t>
            </w:r>
            <w:r w:rsidRPr="00414345">
              <w:rPr>
                <w:color w:val="000000"/>
                <w:kern w:val="0"/>
                <w:sz w:val="24"/>
                <w:szCs w:val="24"/>
              </w:rPr>
              <w:t>+15%×</w:t>
            </w:r>
            <w:r w:rsidRPr="00414345">
              <w:rPr>
                <w:color w:val="000000"/>
                <w:kern w:val="0"/>
                <w:sz w:val="24"/>
                <w:szCs w:val="24"/>
              </w:rPr>
              <w:t>中证综合债券指数收益率</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lastRenderedPageBreak/>
              <w:t>风险收益特征</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本基金是一只股票型基金，其预期风险与预期收益高于混合型基金、债券型基金和货币市场基金，属于承担较高预期风险、预期收益较高的证券投资基金品种。</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基金管理人</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交银施罗德基金管理有限公司</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基金托管人</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中国工商银行股份有限公司</w:t>
            </w:r>
          </w:p>
        </w:tc>
      </w:tr>
    </w:tbl>
    <w:p w:rsidR="005910BF" w:rsidRPr="00414345" w:rsidRDefault="005910BF" w:rsidP="00C15CAC">
      <w:pPr>
        <w:autoSpaceDE w:val="0"/>
        <w:autoSpaceDN w:val="0"/>
        <w:adjustRightInd w:val="0"/>
        <w:spacing w:before="29" w:line="288" w:lineRule="auto"/>
        <w:jc w:val="left"/>
        <w:rPr>
          <w:color w:val="000000"/>
          <w:kern w:val="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§3  </w:t>
      </w:r>
      <w:r w:rsidRPr="00414345">
        <w:rPr>
          <w:color w:val="000000"/>
          <w:kern w:val="0"/>
          <w:sz w:val="24"/>
          <w:szCs w:val="24"/>
        </w:rPr>
        <w:t>主要财务指标和基金净值表现</w:t>
      </w: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3.1 </w:t>
      </w:r>
      <w:r w:rsidRPr="00414345">
        <w:rPr>
          <w:b/>
          <w:bCs/>
          <w:color w:val="000000"/>
          <w:kern w:val="0"/>
          <w:sz w:val="24"/>
          <w:szCs w:val="24"/>
        </w:rPr>
        <w:t>主要财务指标</w:t>
      </w:r>
    </w:p>
    <w:p w:rsidR="004061AC" w:rsidRPr="00414345" w:rsidRDefault="004061AC" w:rsidP="00C15CAC">
      <w:pPr>
        <w:autoSpaceDE w:val="0"/>
        <w:autoSpaceDN w:val="0"/>
        <w:adjustRightInd w:val="0"/>
        <w:spacing w:before="29" w:line="288" w:lineRule="auto"/>
        <w:ind w:left="15"/>
        <w:jc w:val="right"/>
        <w:rPr>
          <w:color w:val="000000"/>
          <w:kern w:val="0"/>
          <w:sz w:val="24"/>
          <w:szCs w:val="24"/>
        </w:rPr>
      </w:pPr>
      <w:r w:rsidRPr="00414345">
        <w:rPr>
          <w:color w:val="000000"/>
          <w:kern w:val="0"/>
          <w:sz w:val="24"/>
          <w:szCs w:val="24"/>
        </w:rPr>
        <w:t>单位：人民币元</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7"/>
        <w:gridCol w:w="5261"/>
      </w:tblGrid>
      <w:tr w:rsidR="00B606DE" w:rsidRPr="00414345" w:rsidTr="00B606DE">
        <w:trPr>
          <w:jc w:val="center"/>
        </w:trPr>
        <w:tc>
          <w:tcPr>
            <w:tcW w:w="3402" w:type="dxa"/>
            <w:vAlign w:val="center"/>
          </w:tcPr>
          <w:p w:rsidR="00C21520" w:rsidRPr="00414345" w:rsidRDefault="00C21520" w:rsidP="00C15CAC">
            <w:pPr>
              <w:adjustRightInd w:val="0"/>
              <w:spacing w:before="29" w:line="288" w:lineRule="auto"/>
              <w:ind w:left="17"/>
              <w:jc w:val="center"/>
              <w:rPr>
                <w:kern w:val="0"/>
                <w:sz w:val="24"/>
                <w:szCs w:val="24"/>
              </w:rPr>
            </w:pPr>
            <w:r w:rsidRPr="00414345">
              <w:rPr>
                <w:kern w:val="0"/>
                <w:sz w:val="24"/>
                <w:szCs w:val="24"/>
              </w:rPr>
              <w:t>主要财务指标</w:t>
            </w:r>
          </w:p>
        </w:tc>
        <w:tc>
          <w:tcPr>
            <w:tcW w:w="4962" w:type="dxa"/>
            <w:vAlign w:val="center"/>
          </w:tcPr>
          <w:p w:rsidR="009C60F7" w:rsidRPr="00414345" w:rsidRDefault="009C60F7" w:rsidP="00C15CAC">
            <w:pPr>
              <w:adjustRightInd w:val="0"/>
              <w:spacing w:before="29" w:line="288" w:lineRule="auto"/>
              <w:ind w:left="17"/>
              <w:jc w:val="center"/>
              <w:rPr>
                <w:color w:val="000000"/>
                <w:sz w:val="24"/>
                <w:szCs w:val="24"/>
              </w:rPr>
            </w:pPr>
            <w:r w:rsidRPr="00414345">
              <w:rPr>
                <w:color w:val="000000"/>
                <w:sz w:val="24"/>
                <w:szCs w:val="24"/>
              </w:rPr>
              <w:t>报告期</w:t>
            </w:r>
          </w:p>
          <w:p w:rsidR="00C21520" w:rsidRPr="00414345" w:rsidRDefault="009C60F7" w:rsidP="00C15CAC">
            <w:pPr>
              <w:adjustRightInd w:val="0"/>
              <w:spacing w:before="29" w:line="288" w:lineRule="auto"/>
              <w:ind w:left="17"/>
              <w:jc w:val="center"/>
              <w:rPr>
                <w:color w:val="000000"/>
                <w:sz w:val="24"/>
                <w:szCs w:val="24"/>
              </w:rPr>
            </w:pPr>
            <w:r w:rsidRPr="00414345">
              <w:rPr>
                <w:color w:val="000000"/>
                <w:sz w:val="24"/>
                <w:szCs w:val="24"/>
              </w:rPr>
              <w:t>(2019</w:t>
            </w:r>
            <w:r w:rsidRPr="00414345">
              <w:rPr>
                <w:color w:val="000000"/>
                <w:sz w:val="24"/>
                <w:szCs w:val="24"/>
              </w:rPr>
              <w:t>年</w:t>
            </w:r>
            <w:r w:rsidRPr="00414345">
              <w:rPr>
                <w:color w:val="000000"/>
                <w:sz w:val="24"/>
                <w:szCs w:val="24"/>
              </w:rPr>
              <w:t>4</w:t>
            </w:r>
            <w:r w:rsidRPr="00414345">
              <w:rPr>
                <w:color w:val="000000"/>
                <w:sz w:val="24"/>
                <w:szCs w:val="24"/>
              </w:rPr>
              <w:t>月</w:t>
            </w:r>
            <w:r w:rsidRPr="00414345">
              <w:rPr>
                <w:color w:val="000000"/>
                <w:sz w:val="24"/>
                <w:szCs w:val="24"/>
              </w:rPr>
              <w:t>1</w:t>
            </w:r>
            <w:r w:rsidRPr="00414345">
              <w:rPr>
                <w:color w:val="000000"/>
                <w:sz w:val="24"/>
                <w:szCs w:val="24"/>
              </w:rPr>
              <w:t>日</w:t>
            </w:r>
            <w:r w:rsidRPr="00414345">
              <w:rPr>
                <w:color w:val="000000"/>
                <w:sz w:val="24"/>
                <w:szCs w:val="24"/>
              </w:rPr>
              <w:t>-2019</w:t>
            </w:r>
            <w:r w:rsidRPr="00414345">
              <w:rPr>
                <w:color w:val="000000"/>
                <w:sz w:val="24"/>
                <w:szCs w:val="24"/>
              </w:rPr>
              <w:t>年</w:t>
            </w:r>
            <w:r w:rsidRPr="00414345">
              <w:rPr>
                <w:color w:val="000000"/>
                <w:sz w:val="24"/>
                <w:szCs w:val="24"/>
              </w:rPr>
              <w:t>6</w:t>
            </w:r>
            <w:r w:rsidRPr="00414345">
              <w:rPr>
                <w:color w:val="000000"/>
                <w:sz w:val="24"/>
                <w:szCs w:val="24"/>
              </w:rPr>
              <w:t>月</w:t>
            </w:r>
            <w:r w:rsidRPr="00414345">
              <w:rPr>
                <w:color w:val="000000"/>
                <w:sz w:val="24"/>
                <w:szCs w:val="24"/>
              </w:rPr>
              <w:t>30</w:t>
            </w:r>
            <w:r w:rsidRPr="00414345">
              <w:rPr>
                <w:color w:val="000000"/>
                <w:sz w:val="24"/>
                <w:szCs w:val="24"/>
              </w:rPr>
              <w:t>日</w:t>
            </w:r>
            <w:r w:rsidRPr="00414345">
              <w:rPr>
                <w:color w:val="000000"/>
                <w:sz w:val="24"/>
                <w:szCs w:val="24"/>
              </w:rPr>
              <w:t>)</w:t>
            </w:r>
          </w:p>
        </w:tc>
      </w:tr>
      <w:tr w:rsidR="00B606DE" w:rsidRPr="00414345" w:rsidTr="00B606DE">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1.</w:t>
            </w:r>
            <w:r w:rsidRPr="00414345">
              <w:rPr>
                <w:kern w:val="0"/>
                <w:sz w:val="24"/>
                <w:szCs w:val="24"/>
              </w:rPr>
              <w:t>本期已实现收益</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27,365,729.92</w:t>
            </w:r>
          </w:p>
        </w:tc>
      </w:tr>
      <w:tr w:rsidR="00B606DE" w:rsidRPr="00414345" w:rsidTr="00B606DE">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2.</w:t>
            </w:r>
            <w:r w:rsidRPr="00414345">
              <w:rPr>
                <w:kern w:val="0"/>
                <w:sz w:val="24"/>
                <w:szCs w:val="24"/>
              </w:rPr>
              <w:t>本期利润</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25,515,101.70</w:t>
            </w:r>
          </w:p>
        </w:tc>
      </w:tr>
      <w:tr w:rsidR="00B606DE" w:rsidRPr="00414345" w:rsidTr="00B606DE">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3.</w:t>
            </w:r>
            <w:r w:rsidRPr="00414345">
              <w:rPr>
                <w:kern w:val="0"/>
                <w:sz w:val="24"/>
                <w:szCs w:val="24"/>
              </w:rPr>
              <w:t>加权平均基金份额本期利润</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0.0806</w:t>
            </w:r>
          </w:p>
        </w:tc>
      </w:tr>
      <w:tr w:rsidR="00B606DE" w:rsidRPr="00414345" w:rsidTr="00B606DE">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4.</w:t>
            </w:r>
            <w:r w:rsidRPr="00414345">
              <w:rPr>
                <w:kern w:val="0"/>
                <w:sz w:val="24"/>
                <w:szCs w:val="24"/>
              </w:rPr>
              <w:t>期末基金资产净值</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418,480,113.84</w:t>
            </w:r>
          </w:p>
        </w:tc>
      </w:tr>
      <w:tr w:rsidR="00B606DE" w:rsidRPr="00414345" w:rsidTr="00B606DE">
        <w:trPr>
          <w:trHeight w:val="158"/>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5.</w:t>
            </w:r>
            <w:r w:rsidRPr="00414345">
              <w:rPr>
                <w:kern w:val="0"/>
                <w:sz w:val="24"/>
                <w:szCs w:val="24"/>
              </w:rPr>
              <w:t>期末基金份额净值</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1.4004</w:t>
            </w:r>
          </w:p>
        </w:tc>
      </w:tr>
    </w:tbl>
    <w:p w:rsidR="00E54D7F" w:rsidRDefault="003E38A7">
      <w:pPr>
        <w:autoSpaceDE w:val="0"/>
        <w:autoSpaceDN w:val="0"/>
        <w:adjustRightInd w:val="0"/>
        <w:spacing w:before="29" w:line="288" w:lineRule="auto"/>
        <w:jc w:val="left"/>
        <w:rPr>
          <w:color w:val="000000"/>
          <w:sz w:val="24"/>
          <w:szCs w:val="24"/>
        </w:rPr>
      </w:pPr>
      <w:r>
        <w:rPr>
          <w:color w:val="000000"/>
          <w:sz w:val="24"/>
          <w:szCs w:val="24"/>
        </w:rPr>
        <w:t>注：</w:t>
      </w:r>
      <w:r>
        <w:rPr>
          <w:color w:val="000000"/>
          <w:sz w:val="24"/>
          <w:szCs w:val="24"/>
        </w:rPr>
        <w:t>1</w:t>
      </w:r>
      <w:r>
        <w:rPr>
          <w:color w:val="000000"/>
          <w:sz w:val="24"/>
          <w:szCs w:val="24"/>
        </w:rPr>
        <w:t>、上述基金业绩指标不包括持有人认购或交易基金的各项费用，计入费用后的实际收益水平要低于所列数字；</w:t>
      </w:r>
      <w:r>
        <w:rPr>
          <w:color w:val="000000"/>
          <w:sz w:val="24"/>
          <w:szCs w:val="24"/>
        </w:rPr>
        <w:t xml:space="preserve"> </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2</w:t>
      </w:r>
      <w:r w:rsidRPr="00414345">
        <w:rPr>
          <w:color w:val="000000"/>
          <w:sz w:val="24"/>
          <w:szCs w:val="24"/>
        </w:rPr>
        <w:t>、本期已实现收益指基金本期利息收入、投资收益、其他收入（不含公允价值变动收益）扣除相关费用后的余额，本期利润为本期已实现收益加上本期公允价值变动收益。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3.2 </w:t>
      </w:r>
      <w:r w:rsidRPr="00414345">
        <w:rPr>
          <w:b/>
          <w:bCs/>
          <w:color w:val="000000"/>
          <w:kern w:val="0"/>
          <w:sz w:val="24"/>
          <w:szCs w:val="24"/>
        </w:rPr>
        <w:t>基金净值表现</w:t>
      </w:r>
    </w:p>
    <w:p w:rsidR="00CF6572"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3.2.1 </w:t>
      </w:r>
      <w:r w:rsidRPr="00414345">
        <w:rPr>
          <w:b/>
          <w:bCs/>
          <w:color w:val="000000"/>
          <w:kern w:val="0"/>
          <w:sz w:val="24"/>
          <w:szCs w:val="24"/>
        </w:rPr>
        <w:t>本报告期基金份额净值增长率及其与同期业绩比较基准收益率的比较</w:t>
      </w:r>
    </w:p>
    <w:tbl>
      <w:tblPr>
        <w:tblStyle w:val="af7"/>
        <w:tblW w:w="8868" w:type="dxa"/>
        <w:jc w:val="center"/>
        <w:tblLayout w:type="fixed"/>
        <w:tblCellMar>
          <w:top w:w="57" w:type="dxa"/>
          <w:bottom w:w="57" w:type="dxa"/>
        </w:tblCellMar>
        <w:tblLook w:val="04A0" w:firstRow="1" w:lastRow="0" w:firstColumn="1" w:lastColumn="0" w:noHBand="0" w:noVBand="1"/>
      </w:tblPr>
      <w:tblGrid>
        <w:gridCol w:w="1701"/>
        <w:gridCol w:w="1045"/>
        <w:gridCol w:w="1344"/>
        <w:gridCol w:w="1194"/>
        <w:gridCol w:w="1492"/>
        <w:gridCol w:w="1194"/>
        <w:gridCol w:w="898"/>
      </w:tblGrid>
      <w:tr w:rsidR="00EF6FA5" w:rsidRPr="00414345" w:rsidTr="00A324F4">
        <w:trPr>
          <w:jc w:val="center"/>
        </w:trPr>
        <w:tc>
          <w:tcPr>
            <w:tcW w:w="161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阶段</w:t>
            </w:r>
          </w:p>
        </w:tc>
        <w:tc>
          <w:tcPr>
            <w:tcW w:w="992"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净值增长率</w:t>
            </w:r>
            <w:r w:rsidRPr="00414345">
              <w:rPr>
                <w:rFonts w:hAnsi="宋体"/>
                <w:color w:val="000000"/>
                <w:sz w:val="24"/>
                <w:szCs w:val="24"/>
              </w:rPr>
              <w:t>①</w:t>
            </w:r>
          </w:p>
        </w:tc>
        <w:tc>
          <w:tcPr>
            <w:tcW w:w="1276"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净值增长率标准差</w:t>
            </w:r>
            <w:r w:rsidRPr="00414345">
              <w:rPr>
                <w:rFonts w:hAnsi="宋体"/>
                <w:color w:val="000000"/>
                <w:sz w:val="24"/>
                <w:szCs w:val="24"/>
              </w:rPr>
              <w:t>②</w:t>
            </w:r>
          </w:p>
        </w:tc>
        <w:tc>
          <w:tcPr>
            <w:tcW w:w="113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业绩比较基准收益率</w:t>
            </w:r>
            <w:r w:rsidRPr="00414345">
              <w:rPr>
                <w:rFonts w:hAnsi="宋体"/>
                <w:color w:val="000000"/>
                <w:sz w:val="24"/>
                <w:szCs w:val="24"/>
              </w:rPr>
              <w:t>③</w:t>
            </w:r>
          </w:p>
        </w:tc>
        <w:tc>
          <w:tcPr>
            <w:tcW w:w="1417"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业绩比较基准收益率标准差</w:t>
            </w:r>
            <w:r w:rsidRPr="00414345">
              <w:rPr>
                <w:rFonts w:hAnsi="宋体"/>
                <w:color w:val="000000"/>
                <w:sz w:val="24"/>
                <w:szCs w:val="24"/>
              </w:rPr>
              <w:t>④</w:t>
            </w:r>
          </w:p>
        </w:tc>
        <w:tc>
          <w:tcPr>
            <w:tcW w:w="113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rFonts w:hAnsi="宋体"/>
                <w:color w:val="000000"/>
                <w:sz w:val="24"/>
                <w:szCs w:val="24"/>
              </w:rPr>
              <w:t>①</w:t>
            </w:r>
            <w:r w:rsidRPr="00414345">
              <w:rPr>
                <w:color w:val="000000"/>
                <w:sz w:val="24"/>
                <w:szCs w:val="24"/>
              </w:rPr>
              <w:t>-</w:t>
            </w:r>
            <w:r w:rsidRPr="00414345">
              <w:rPr>
                <w:rFonts w:hAnsi="宋体"/>
                <w:color w:val="000000"/>
                <w:sz w:val="24"/>
                <w:szCs w:val="24"/>
              </w:rPr>
              <w:t>③</w:t>
            </w:r>
          </w:p>
        </w:tc>
        <w:tc>
          <w:tcPr>
            <w:tcW w:w="853"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rFonts w:hAnsi="宋体"/>
                <w:color w:val="000000"/>
                <w:sz w:val="24"/>
                <w:szCs w:val="24"/>
              </w:rPr>
              <w:t>②</w:t>
            </w:r>
            <w:r w:rsidRPr="00414345">
              <w:rPr>
                <w:color w:val="000000"/>
                <w:sz w:val="24"/>
                <w:szCs w:val="24"/>
              </w:rPr>
              <w:t>-</w:t>
            </w:r>
            <w:r w:rsidRPr="00414345">
              <w:rPr>
                <w:rFonts w:hAnsi="宋体"/>
                <w:color w:val="000000"/>
                <w:sz w:val="24"/>
                <w:szCs w:val="24"/>
              </w:rPr>
              <w:t>④</w:t>
            </w:r>
          </w:p>
        </w:tc>
      </w:tr>
      <w:tr w:rsidR="00E54D7F">
        <w:trPr>
          <w:jc w:val="center"/>
        </w:trPr>
        <w:tc>
          <w:tcPr>
            <w:tcW w:w="1701" w:type="dxa"/>
            <w:vAlign w:val="center"/>
          </w:tcPr>
          <w:p w:rsidR="00E54D7F" w:rsidRDefault="003E38A7">
            <w:pPr>
              <w:jc w:val="left"/>
            </w:pPr>
            <w:r>
              <w:rPr>
                <w:color w:val="000000"/>
                <w:sz w:val="24"/>
                <w:szCs w:val="24"/>
              </w:rPr>
              <w:t>过去三个月</w:t>
            </w:r>
          </w:p>
        </w:tc>
        <w:tc>
          <w:tcPr>
            <w:tcW w:w="1045" w:type="dxa"/>
            <w:vAlign w:val="center"/>
          </w:tcPr>
          <w:p w:rsidR="00E54D7F" w:rsidRDefault="003E38A7">
            <w:pPr>
              <w:jc w:val="center"/>
            </w:pPr>
            <w:r>
              <w:rPr>
                <w:color w:val="000000"/>
                <w:sz w:val="24"/>
                <w:szCs w:val="24"/>
              </w:rPr>
              <w:t>6.46%</w:t>
            </w:r>
          </w:p>
        </w:tc>
        <w:tc>
          <w:tcPr>
            <w:tcW w:w="1344" w:type="dxa"/>
            <w:vAlign w:val="center"/>
          </w:tcPr>
          <w:p w:rsidR="00E54D7F" w:rsidRDefault="003E38A7">
            <w:pPr>
              <w:jc w:val="center"/>
            </w:pPr>
            <w:r>
              <w:rPr>
                <w:color w:val="000000"/>
                <w:sz w:val="24"/>
                <w:szCs w:val="24"/>
              </w:rPr>
              <w:t>1.41%</w:t>
            </w:r>
          </w:p>
        </w:tc>
        <w:tc>
          <w:tcPr>
            <w:tcW w:w="1194" w:type="dxa"/>
            <w:vAlign w:val="center"/>
          </w:tcPr>
          <w:p w:rsidR="00E54D7F" w:rsidRDefault="003E38A7">
            <w:pPr>
              <w:jc w:val="center"/>
            </w:pPr>
            <w:r>
              <w:rPr>
                <w:color w:val="000000"/>
                <w:sz w:val="24"/>
                <w:szCs w:val="24"/>
              </w:rPr>
              <w:t>-7.46%</w:t>
            </w:r>
          </w:p>
        </w:tc>
        <w:tc>
          <w:tcPr>
            <w:tcW w:w="1492" w:type="dxa"/>
            <w:vAlign w:val="center"/>
          </w:tcPr>
          <w:p w:rsidR="00E54D7F" w:rsidRDefault="003E38A7">
            <w:pPr>
              <w:jc w:val="center"/>
            </w:pPr>
            <w:r>
              <w:rPr>
                <w:color w:val="000000"/>
                <w:sz w:val="24"/>
                <w:szCs w:val="24"/>
              </w:rPr>
              <w:t>1.38%</w:t>
            </w:r>
          </w:p>
        </w:tc>
        <w:tc>
          <w:tcPr>
            <w:tcW w:w="1194" w:type="dxa"/>
            <w:vAlign w:val="center"/>
          </w:tcPr>
          <w:p w:rsidR="00E54D7F" w:rsidRDefault="003E38A7">
            <w:pPr>
              <w:jc w:val="center"/>
            </w:pPr>
            <w:r>
              <w:rPr>
                <w:color w:val="000000"/>
                <w:sz w:val="24"/>
                <w:szCs w:val="24"/>
              </w:rPr>
              <w:t>13.92%</w:t>
            </w:r>
          </w:p>
        </w:tc>
        <w:tc>
          <w:tcPr>
            <w:tcW w:w="898" w:type="dxa"/>
            <w:vAlign w:val="center"/>
          </w:tcPr>
          <w:p w:rsidR="00E54D7F" w:rsidRDefault="003E38A7">
            <w:pPr>
              <w:jc w:val="center"/>
            </w:pPr>
            <w:r>
              <w:rPr>
                <w:color w:val="000000"/>
                <w:sz w:val="24"/>
                <w:szCs w:val="24"/>
              </w:rPr>
              <w:t>0.03%</w:t>
            </w:r>
          </w:p>
        </w:tc>
      </w:tr>
    </w:tbl>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3.2.2</w:t>
      </w:r>
      <w:r w:rsidR="000824E7" w:rsidRPr="00F81917">
        <w:rPr>
          <w:rFonts w:hint="eastAsia"/>
          <w:b/>
          <w:bCs/>
          <w:color w:val="000000"/>
          <w:kern w:val="0"/>
          <w:sz w:val="24"/>
          <w:szCs w:val="24"/>
        </w:rPr>
        <w:t>自基金合同生效以来</w:t>
      </w:r>
      <w:r w:rsidR="00C6002A" w:rsidRPr="00F81917">
        <w:rPr>
          <w:b/>
          <w:bCs/>
          <w:color w:val="000000"/>
          <w:kern w:val="0"/>
          <w:sz w:val="24"/>
          <w:szCs w:val="24"/>
        </w:rPr>
        <w:t>基</w:t>
      </w:r>
      <w:r w:rsidR="00C6002A" w:rsidRPr="00414345">
        <w:rPr>
          <w:b/>
          <w:bCs/>
          <w:color w:val="000000"/>
          <w:sz w:val="24"/>
        </w:rPr>
        <w:t>金份额累计净值增长率变动及其与同期业绩比较基准收益率变动的比较</w:t>
      </w:r>
    </w:p>
    <w:p w:rsidR="008606B6" w:rsidRPr="00414345" w:rsidRDefault="008606B6" w:rsidP="00C15CAC">
      <w:pPr>
        <w:spacing w:before="29" w:line="288" w:lineRule="auto"/>
        <w:jc w:val="center"/>
        <w:rPr>
          <w:color w:val="000000"/>
          <w:sz w:val="24"/>
          <w:szCs w:val="24"/>
        </w:rPr>
      </w:pPr>
      <w:r w:rsidRPr="00414345">
        <w:rPr>
          <w:color w:val="000000"/>
          <w:sz w:val="24"/>
          <w:szCs w:val="24"/>
        </w:rPr>
        <w:t>交银施罗德医药创新股票型证券投资基金</w:t>
      </w:r>
    </w:p>
    <w:p w:rsidR="004061AC" w:rsidRPr="00414345" w:rsidRDefault="00B56F53" w:rsidP="00C15CAC">
      <w:pPr>
        <w:pStyle w:val="a5"/>
        <w:snapToGrid w:val="0"/>
        <w:spacing w:before="29" w:line="288" w:lineRule="auto"/>
        <w:jc w:val="center"/>
        <w:rPr>
          <w:rFonts w:ascii="Times New Roman" w:hAnsi="Times New Roman" w:cs="Times New Roman"/>
          <w:color w:val="000000"/>
          <w:sz w:val="24"/>
          <w:szCs w:val="24"/>
        </w:rPr>
      </w:pPr>
      <w:r w:rsidRPr="00414345">
        <w:rPr>
          <w:rFonts w:ascii="Times New Roman" w:hAnsi="Times New Roman" w:cs="Times New Roman"/>
          <w:color w:val="000000"/>
          <w:sz w:val="24"/>
          <w:szCs w:val="24"/>
        </w:rPr>
        <w:t>份额累计净值增长率与业绩比较基准收益率历史走势对比图</w:t>
      </w:r>
    </w:p>
    <w:p w:rsidR="00AE7962" w:rsidRPr="00414345" w:rsidRDefault="00DE4B43" w:rsidP="00C15CAC">
      <w:pPr>
        <w:pStyle w:val="a5"/>
        <w:snapToGrid w:val="0"/>
        <w:spacing w:before="29" w:line="288" w:lineRule="auto"/>
        <w:ind w:firstLine="480"/>
        <w:jc w:val="center"/>
        <w:rPr>
          <w:rFonts w:ascii="Times New Roman" w:hAnsi="Times New Roman" w:cs="Times New Roman"/>
          <w:sz w:val="24"/>
          <w:szCs w:val="24"/>
        </w:rPr>
      </w:pPr>
      <w:r w:rsidRPr="00414345">
        <w:rPr>
          <w:rFonts w:ascii="Times New Roman" w:hAnsi="Times New Roman" w:cs="Times New Roman"/>
          <w:color w:val="000000"/>
          <w:sz w:val="24"/>
          <w:szCs w:val="24"/>
        </w:rPr>
        <w:t>（</w:t>
      </w:r>
      <w:r w:rsidR="0042009D" w:rsidRPr="00414345">
        <w:rPr>
          <w:rFonts w:ascii="Times New Roman" w:hAnsi="Times New Roman" w:cs="Times New Roman"/>
          <w:sz w:val="24"/>
          <w:szCs w:val="24"/>
        </w:rPr>
        <w:t>2017</w:t>
      </w:r>
      <w:r w:rsidR="0042009D" w:rsidRPr="00414345">
        <w:rPr>
          <w:rFonts w:ascii="Times New Roman" w:hAnsi="Times New Roman" w:cs="Times New Roman"/>
          <w:sz w:val="24"/>
          <w:szCs w:val="24"/>
        </w:rPr>
        <w:t>年</w:t>
      </w:r>
      <w:r w:rsidR="0042009D" w:rsidRPr="00414345">
        <w:rPr>
          <w:rFonts w:ascii="Times New Roman" w:hAnsi="Times New Roman" w:cs="Times New Roman"/>
          <w:sz w:val="24"/>
          <w:szCs w:val="24"/>
        </w:rPr>
        <w:t>3</w:t>
      </w:r>
      <w:r w:rsidR="0042009D" w:rsidRPr="00414345">
        <w:rPr>
          <w:rFonts w:ascii="Times New Roman" w:hAnsi="Times New Roman" w:cs="Times New Roman"/>
          <w:sz w:val="24"/>
          <w:szCs w:val="24"/>
        </w:rPr>
        <w:t>月</w:t>
      </w:r>
      <w:r w:rsidR="0042009D" w:rsidRPr="00414345">
        <w:rPr>
          <w:rFonts w:ascii="Times New Roman" w:hAnsi="Times New Roman" w:cs="Times New Roman"/>
          <w:sz w:val="24"/>
          <w:szCs w:val="24"/>
        </w:rPr>
        <w:t>23</w:t>
      </w:r>
      <w:r w:rsidR="0042009D" w:rsidRPr="00414345">
        <w:rPr>
          <w:rFonts w:ascii="Times New Roman" w:hAnsi="Times New Roman" w:cs="Times New Roman"/>
          <w:sz w:val="24"/>
          <w:szCs w:val="24"/>
        </w:rPr>
        <w:t>日</w:t>
      </w:r>
      <w:r w:rsidR="00AE7962" w:rsidRPr="00414345">
        <w:rPr>
          <w:rFonts w:ascii="Times New Roman" w:hAnsi="Times New Roman" w:cs="Times New Roman"/>
          <w:sz w:val="24"/>
          <w:szCs w:val="24"/>
        </w:rPr>
        <w:t>至</w:t>
      </w:r>
      <w:r w:rsidR="00AE7962" w:rsidRPr="00414345">
        <w:rPr>
          <w:rFonts w:ascii="Times New Roman" w:hAnsi="Times New Roman" w:cs="Times New Roman"/>
          <w:sz w:val="24"/>
          <w:szCs w:val="24"/>
        </w:rPr>
        <w:t>2019</w:t>
      </w:r>
      <w:r w:rsidR="00AE7962" w:rsidRPr="00414345">
        <w:rPr>
          <w:rFonts w:ascii="Times New Roman" w:hAnsi="Times New Roman" w:cs="Times New Roman"/>
          <w:sz w:val="24"/>
          <w:szCs w:val="24"/>
        </w:rPr>
        <w:t>年</w:t>
      </w:r>
      <w:r w:rsidR="00AE7962" w:rsidRPr="00414345">
        <w:rPr>
          <w:rFonts w:ascii="Times New Roman" w:hAnsi="Times New Roman" w:cs="Times New Roman"/>
          <w:sz w:val="24"/>
          <w:szCs w:val="24"/>
        </w:rPr>
        <w:t>6</w:t>
      </w:r>
      <w:r w:rsidR="00AE7962" w:rsidRPr="00414345">
        <w:rPr>
          <w:rFonts w:ascii="Times New Roman" w:hAnsi="Times New Roman" w:cs="Times New Roman"/>
          <w:sz w:val="24"/>
          <w:szCs w:val="24"/>
        </w:rPr>
        <w:t>月</w:t>
      </w:r>
      <w:r w:rsidR="00AE7962" w:rsidRPr="00414345">
        <w:rPr>
          <w:rFonts w:ascii="Times New Roman" w:hAnsi="Times New Roman" w:cs="Times New Roman"/>
          <w:sz w:val="24"/>
          <w:szCs w:val="24"/>
        </w:rPr>
        <w:t>30</w:t>
      </w:r>
      <w:r w:rsidR="00AE7962" w:rsidRPr="00414345">
        <w:rPr>
          <w:rFonts w:ascii="Times New Roman" w:hAnsi="Times New Roman" w:cs="Times New Roman"/>
          <w:sz w:val="24"/>
          <w:szCs w:val="24"/>
        </w:rPr>
        <w:t>日</w:t>
      </w:r>
      <w:r w:rsidRPr="00414345">
        <w:rPr>
          <w:rFonts w:ascii="Times New Roman" w:hAnsi="Times New Roman" w:cs="Times New Roman"/>
          <w:color w:val="000000"/>
          <w:sz w:val="24"/>
          <w:szCs w:val="24"/>
        </w:rPr>
        <w:t>）</w:t>
      </w:r>
    </w:p>
    <w:p w:rsidR="004061AC" w:rsidRPr="00414345" w:rsidRDefault="00074C60" w:rsidP="00C15CAC">
      <w:pPr>
        <w:pStyle w:val="a5"/>
        <w:snapToGrid w:val="0"/>
        <w:spacing w:before="29" w:line="288" w:lineRule="auto"/>
        <w:jc w:val="center"/>
        <w:rPr>
          <w:rFonts w:ascii="Times New Roman" w:hAnsi="Times New Roman" w:cs="Times New Roman"/>
          <w:color w:val="000000"/>
          <w:sz w:val="24"/>
          <w:szCs w:val="24"/>
        </w:rPr>
      </w:pPr>
      <w:r w:rsidRPr="005312D8">
        <w:rPr>
          <w:noProof/>
          <w:color w:val="000000"/>
          <w:sz w:val="24"/>
        </w:rPr>
        <w:lastRenderedPageBreak/>
        <w:drawing>
          <wp:inline distT="0" distB="0" distL="0" distR="0" wp14:anchorId="1A8B32DA" wp14:editId="692A860C">
            <wp:extent cx="5731510" cy="3356125"/>
            <wp:effectExtent l="0" t="0" r="0" b="0"/>
            <wp:docPr id="1" name="图片 1"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356125"/>
                    </a:xfrm>
                    <a:prstGeom prst="rect">
                      <a:avLst/>
                    </a:prstGeom>
                    <a:noFill/>
                    <a:ln>
                      <a:noFill/>
                    </a:ln>
                  </pic:spPr>
                </pic:pic>
              </a:graphicData>
            </a:graphic>
          </wp:inline>
        </w:drawing>
      </w:r>
      <w:bookmarkStart w:id="0" w:name="_GoBack"/>
      <w:bookmarkEnd w:id="0"/>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注：本基金建仓期为自基金合同生效日起的</w:t>
      </w:r>
      <w:r w:rsidRPr="00414345">
        <w:rPr>
          <w:color w:val="000000"/>
          <w:sz w:val="24"/>
          <w:szCs w:val="24"/>
        </w:rPr>
        <w:t>6</w:t>
      </w:r>
      <w:r w:rsidRPr="00414345">
        <w:rPr>
          <w:color w:val="000000"/>
          <w:sz w:val="24"/>
          <w:szCs w:val="24"/>
        </w:rPr>
        <w:t>个月。截至建仓期结束，本基金各项资产配置比例符合基金合同及招募说明书有关投资比例的约定。</w:t>
      </w:r>
    </w:p>
    <w:p w:rsidR="00957594" w:rsidRPr="00414345" w:rsidRDefault="00957594" w:rsidP="00C15CAC">
      <w:pPr>
        <w:tabs>
          <w:tab w:val="left" w:pos="1800"/>
        </w:tabs>
        <w:spacing w:before="29" w:line="288" w:lineRule="auto"/>
        <w:rPr>
          <w:color w:val="000000"/>
          <w:sz w:val="24"/>
          <w:szCs w:val="24"/>
        </w:rPr>
      </w:pPr>
    </w:p>
    <w:p w:rsidR="00693843" w:rsidRPr="00414345" w:rsidRDefault="00693843" w:rsidP="00C15CAC">
      <w:pPr>
        <w:tabs>
          <w:tab w:val="left" w:pos="1800"/>
        </w:tabs>
        <w:spacing w:before="29" w:line="288" w:lineRule="auto"/>
        <w:rPr>
          <w:color w:val="00000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§4  </w:t>
      </w:r>
      <w:r w:rsidRPr="00414345">
        <w:rPr>
          <w:color w:val="000000"/>
          <w:kern w:val="0"/>
          <w:sz w:val="24"/>
          <w:szCs w:val="24"/>
        </w:rPr>
        <w:t>管理人报告</w:t>
      </w:r>
    </w:p>
    <w:p w:rsidR="00B12B7D"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4.1 </w:t>
      </w:r>
      <w:r w:rsidRPr="00414345">
        <w:rPr>
          <w:b/>
          <w:bCs/>
          <w:color w:val="000000"/>
          <w:kern w:val="0"/>
          <w:sz w:val="24"/>
          <w:szCs w:val="24"/>
        </w:rPr>
        <w:t>基金经理</w:t>
      </w:r>
      <w:r w:rsidR="00333AD0" w:rsidRPr="00414345">
        <w:rPr>
          <w:b/>
          <w:color w:val="000000"/>
          <w:kern w:val="0"/>
          <w:sz w:val="24"/>
        </w:rPr>
        <w:t>（</w:t>
      </w:r>
      <w:r w:rsidRPr="00414345">
        <w:rPr>
          <w:b/>
          <w:bCs/>
          <w:color w:val="000000"/>
          <w:kern w:val="0"/>
          <w:sz w:val="24"/>
          <w:szCs w:val="24"/>
        </w:rPr>
        <w:t>或基金经理小组</w:t>
      </w:r>
      <w:r w:rsidR="00333AD0" w:rsidRPr="00414345">
        <w:rPr>
          <w:b/>
          <w:color w:val="000000"/>
          <w:kern w:val="0"/>
          <w:sz w:val="24"/>
        </w:rPr>
        <w:t>）</w:t>
      </w:r>
      <w:r w:rsidRPr="00414345">
        <w:rPr>
          <w:b/>
          <w:bCs/>
          <w:color w:val="000000"/>
          <w:kern w:val="0"/>
          <w:sz w:val="24"/>
          <w:szCs w:val="24"/>
        </w:rPr>
        <w:t>简介</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845"/>
        <w:gridCol w:w="1549"/>
        <w:gridCol w:w="1548"/>
        <w:gridCol w:w="1407"/>
        <w:gridCol w:w="2673"/>
      </w:tblGrid>
      <w:tr w:rsidR="00286BEF" w:rsidRPr="00414345" w:rsidTr="006A10AB">
        <w:trPr>
          <w:trHeight w:val="292"/>
          <w:jc w:val="center"/>
        </w:trPr>
        <w:tc>
          <w:tcPr>
            <w:tcW w:w="851"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姓名</w:t>
            </w:r>
          </w:p>
        </w:tc>
        <w:tc>
          <w:tcPr>
            <w:tcW w:w="850"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职务</w:t>
            </w:r>
          </w:p>
        </w:tc>
        <w:tc>
          <w:tcPr>
            <w:tcW w:w="3119" w:type="dxa"/>
            <w:gridSpan w:val="2"/>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任本基金的基金经理期限</w:t>
            </w:r>
          </w:p>
        </w:tc>
        <w:tc>
          <w:tcPr>
            <w:tcW w:w="1417" w:type="dxa"/>
            <w:vMerge w:val="restart"/>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证券从业年限</w:t>
            </w:r>
          </w:p>
        </w:tc>
        <w:tc>
          <w:tcPr>
            <w:tcW w:w="2694"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说明</w:t>
            </w:r>
          </w:p>
        </w:tc>
      </w:tr>
      <w:tr w:rsidR="00D13737" w:rsidRPr="00414345" w:rsidTr="006A10AB">
        <w:trPr>
          <w:jc w:val="center"/>
        </w:trPr>
        <w:tc>
          <w:tcPr>
            <w:tcW w:w="851"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850"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1560" w:type="dxa"/>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任职日期</w:t>
            </w:r>
          </w:p>
        </w:tc>
        <w:tc>
          <w:tcPr>
            <w:tcW w:w="1559" w:type="dxa"/>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离任日期</w:t>
            </w:r>
          </w:p>
        </w:tc>
        <w:tc>
          <w:tcPr>
            <w:tcW w:w="1417"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2694" w:type="dxa"/>
            <w:vMerge/>
            <w:vAlign w:val="center"/>
          </w:tcPr>
          <w:p w:rsidR="004061AC" w:rsidRPr="00414345" w:rsidRDefault="004061AC" w:rsidP="00C15CAC">
            <w:pPr>
              <w:widowControl/>
              <w:spacing w:before="29" w:line="288" w:lineRule="auto"/>
              <w:jc w:val="left"/>
              <w:rPr>
                <w:color w:val="000000"/>
                <w:kern w:val="0"/>
                <w:sz w:val="24"/>
                <w:szCs w:val="24"/>
              </w:rPr>
            </w:pPr>
          </w:p>
        </w:tc>
      </w:tr>
      <w:tr w:rsidR="00E54D7F">
        <w:trPr>
          <w:jc w:val="center"/>
        </w:trPr>
        <w:tc>
          <w:tcPr>
            <w:tcW w:w="846" w:type="dxa"/>
            <w:vAlign w:val="center"/>
          </w:tcPr>
          <w:p w:rsidR="00E54D7F" w:rsidRDefault="003E38A7">
            <w:pPr>
              <w:jc w:val="center"/>
            </w:pPr>
            <w:r>
              <w:rPr>
                <w:color w:val="000000"/>
                <w:sz w:val="24"/>
                <w:szCs w:val="24"/>
              </w:rPr>
              <w:t>楼慧源</w:t>
            </w:r>
          </w:p>
        </w:tc>
        <w:tc>
          <w:tcPr>
            <w:tcW w:w="845" w:type="dxa"/>
            <w:vAlign w:val="center"/>
          </w:tcPr>
          <w:p w:rsidR="00E54D7F" w:rsidRDefault="003E38A7">
            <w:pPr>
              <w:jc w:val="center"/>
            </w:pPr>
            <w:r>
              <w:rPr>
                <w:color w:val="000000"/>
                <w:sz w:val="24"/>
                <w:szCs w:val="24"/>
              </w:rPr>
              <w:t>交银医药创新股票的基金经理</w:t>
            </w:r>
          </w:p>
        </w:tc>
        <w:tc>
          <w:tcPr>
            <w:tcW w:w="1549" w:type="dxa"/>
            <w:vAlign w:val="center"/>
          </w:tcPr>
          <w:p w:rsidR="00E54D7F" w:rsidRDefault="003E38A7">
            <w:pPr>
              <w:jc w:val="center"/>
            </w:pPr>
            <w:r>
              <w:rPr>
                <w:color w:val="000000"/>
                <w:sz w:val="24"/>
                <w:szCs w:val="24"/>
              </w:rPr>
              <w:t>2018-09-12</w:t>
            </w:r>
          </w:p>
        </w:tc>
        <w:tc>
          <w:tcPr>
            <w:tcW w:w="1548" w:type="dxa"/>
            <w:vAlign w:val="center"/>
          </w:tcPr>
          <w:p w:rsidR="00E54D7F" w:rsidRDefault="003E38A7">
            <w:pPr>
              <w:jc w:val="center"/>
            </w:pPr>
            <w:r>
              <w:rPr>
                <w:color w:val="000000"/>
                <w:sz w:val="24"/>
                <w:szCs w:val="24"/>
              </w:rPr>
              <w:t>-</w:t>
            </w:r>
          </w:p>
        </w:tc>
        <w:tc>
          <w:tcPr>
            <w:tcW w:w="1407" w:type="dxa"/>
            <w:vAlign w:val="center"/>
          </w:tcPr>
          <w:p w:rsidR="00E54D7F" w:rsidRDefault="003E38A7">
            <w:pPr>
              <w:jc w:val="center"/>
            </w:pPr>
            <w:r>
              <w:rPr>
                <w:color w:val="000000"/>
                <w:sz w:val="24"/>
                <w:szCs w:val="24"/>
              </w:rPr>
              <w:t>5</w:t>
            </w:r>
            <w:r>
              <w:rPr>
                <w:color w:val="000000"/>
                <w:sz w:val="24"/>
                <w:szCs w:val="24"/>
              </w:rPr>
              <w:t>年</w:t>
            </w:r>
          </w:p>
        </w:tc>
        <w:tc>
          <w:tcPr>
            <w:tcW w:w="2673" w:type="dxa"/>
            <w:vAlign w:val="center"/>
          </w:tcPr>
          <w:p w:rsidR="00E54D7F" w:rsidRDefault="003E38A7">
            <w:r>
              <w:rPr>
                <w:color w:val="000000"/>
                <w:sz w:val="24"/>
                <w:szCs w:val="24"/>
              </w:rPr>
              <w:t>楼慧源女士，复旦大学金融学硕士、浙江大学应用生物科学学士。</w:t>
            </w:r>
            <w:r>
              <w:rPr>
                <w:color w:val="000000"/>
                <w:sz w:val="24"/>
                <w:szCs w:val="24"/>
              </w:rPr>
              <w:t>2014</w:t>
            </w:r>
            <w:r>
              <w:rPr>
                <w:color w:val="000000"/>
                <w:sz w:val="24"/>
                <w:szCs w:val="24"/>
              </w:rPr>
              <w:t>年至</w:t>
            </w:r>
            <w:r>
              <w:rPr>
                <w:color w:val="000000"/>
                <w:sz w:val="24"/>
                <w:szCs w:val="24"/>
              </w:rPr>
              <w:t>2015</w:t>
            </w:r>
            <w:r>
              <w:rPr>
                <w:color w:val="000000"/>
                <w:sz w:val="24"/>
                <w:szCs w:val="24"/>
              </w:rPr>
              <w:t>年任中国国际金融有限公司研究员。</w:t>
            </w:r>
            <w:r>
              <w:rPr>
                <w:color w:val="000000"/>
                <w:sz w:val="24"/>
                <w:szCs w:val="24"/>
              </w:rPr>
              <w:t>2015</w:t>
            </w:r>
            <w:r>
              <w:rPr>
                <w:color w:val="000000"/>
                <w:sz w:val="24"/>
                <w:szCs w:val="24"/>
              </w:rPr>
              <w:t>年加入交银施罗德基金管理有限公司，历任行业分析师。</w:t>
            </w:r>
          </w:p>
        </w:tc>
      </w:tr>
    </w:tbl>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注：基金经理（或基金经理小组）期后变动（如有）敬请关注基金管理人发布的相关公告。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4.2 </w:t>
      </w:r>
      <w:r w:rsidRPr="00414345">
        <w:rPr>
          <w:b/>
          <w:bCs/>
          <w:color w:val="000000"/>
          <w:kern w:val="0"/>
          <w:sz w:val="24"/>
          <w:szCs w:val="24"/>
        </w:rPr>
        <w:t>管理人对报告期内本基金运作遵规守信情况的说明</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在报告期内，本基金管理人严格遵循了《中华人民共和国证券投资基金法》、基金</w:t>
      </w:r>
      <w:r w:rsidRPr="00414345">
        <w:rPr>
          <w:color w:val="000000"/>
          <w:sz w:val="24"/>
          <w:szCs w:val="24"/>
        </w:rPr>
        <w:lastRenderedPageBreak/>
        <w:t>合同和其他相关法律法规的规定，并本着诚实信用、勤勉尽责的原则管理和运用基金资产，基金整体运作符合有关法律法规和基金合同的规定，为基金持有人谋求最大利益。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4.3 </w:t>
      </w:r>
      <w:r w:rsidRPr="00414345">
        <w:rPr>
          <w:b/>
          <w:bCs/>
          <w:color w:val="000000"/>
          <w:kern w:val="0"/>
          <w:sz w:val="24"/>
          <w:szCs w:val="24"/>
        </w:rPr>
        <w:t>公平交易专项说明</w:t>
      </w:r>
    </w:p>
    <w:p w:rsidR="004061AC" w:rsidRPr="00414345" w:rsidRDefault="004061AC" w:rsidP="00C15CAC">
      <w:pPr>
        <w:spacing w:before="29" w:line="288" w:lineRule="auto"/>
        <w:rPr>
          <w:color w:val="000000"/>
          <w:sz w:val="24"/>
          <w:szCs w:val="24"/>
        </w:rPr>
      </w:pPr>
      <w:r w:rsidRPr="00414345">
        <w:rPr>
          <w:color w:val="000000"/>
          <w:sz w:val="24"/>
          <w:szCs w:val="24"/>
        </w:rPr>
        <w:t xml:space="preserve">4.3.1 </w:t>
      </w:r>
      <w:r w:rsidRPr="00414345">
        <w:rPr>
          <w:color w:val="000000"/>
          <w:sz w:val="24"/>
          <w:szCs w:val="24"/>
        </w:rPr>
        <w:t>公平交易制度的执行情况</w:t>
      </w:r>
    </w:p>
    <w:p w:rsidR="00E54D7F" w:rsidRDefault="003E38A7">
      <w:pPr>
        <w:spacing w:before="29" w:line="288" w:lineRule="auto"/>
        <w:ind w:firstLineChars="200" w:firstLine="480"/>
        <w:rPr>
          <w:color w:val="000000"/>
          <w:sz w:val="24"/>
          <w:szCs w:val="24"/>
        </w:rPr>
      </w:pPr>
      <w:r>
        <w:rPr>
          <w:color w:val="000000"/>
          <w:sz w:val="24"/>
          <w:szCs w:val="24"/>
        </w:rPr>
        <w:t>本公司制定了严格的投资控制制度和公平交易监控制度来保证旗下基金运作的公平，旗下所管理的所有资产组合，包括证券投资基金和特定客户资产管理专户均严格遵循制度进行公平交易。</w:t>
      </w:r>
    </w:p>
    <w:p w:rsidR="00E54D7F" w:rsidRDefault="003E38A7">
      <w:pPr>
        <w:spacing w:before="29" w:line="288" w:lineRule="auto"/>
        <w:ind w:firstLineChars="200" w:firstLine="480"/>
        <w:rPr>
          <w:color w:val="000000"/>
          <w:sz w:val="24"/>
          <w:szCs w:val="24"/>
        </w:rPr>
      </w:pPr>
      <w:r>
        <w:rPr>
          <w:color w:val="000000"/>
          <w:sz w:val="24"/>
          <w:szCs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szCs w:val="24"/>
        </w:rPr>
        <w:t>“</w:t>
      </w:r>
      <w:r>
        <w:rPr>
          <w:color w:val="000000"/>
          <w:sz w:val="24"/>
          <w:szCs w:val="24"/>
        </w:rPr>
        <w:t>时间优先、价格优先、比例分配</w:t>
      </w:r>
      <w:r>
        <w:rPr>
          <w:color w:val="000000"/>
          <w:sz w:val="24"/>
          <w:szCs w:val="24"/>
        </w:rPr>
        <w:t>”</w:t>
      </w:r>
      <w:r>
        <w:rPr>
          <w:color w:val="000000"/>
          <w:sz w:val="24"/>
          <w:szCs w:val="24"/>
        </w:rPr>
        <w:t>的原则，全部通过交易系统进行比例分配；对于非集中竞价交易、以公司名义进行的场外交易，遵循</w:t>
      </w:r>
      <w:r>
        <w:rPr>
          <w:color w:val="000000"/>
          <w:sz w:val="24"/>
          <w:szCs w:val="24"/>
        </w:rPr>
        <w:t>“</w:t>
      </w:r>
      <w:r>
        <w:rPr>
          <w:color w:val="000000"/>
          <w:sz w:val="24"/>
          <w:szCs w:val="24"/>
        </w:rPr>
        <w:t>价格优先、比例分配</w:t>
      </w:r>
      <w:r>
        <w:rPr>
          <w:color w:val="000000"/>
          <w:sz w:val="24"/>
          <w:szCs w:val="24"/>
        </w:rPr>
        <w:t>”</w:t>
      </w:r>
      <w:r>
        <w:rPr>
          <w:color w:val="000000"/>
          <w:sz w:val="24"/>
          <w:szCs w:val="24"/>
        </w:rPr>
        <w:t>的原则按事前独立确定的投资方案对交易结果进行分配。</w:t>
      </w:r>
    </w:p>
    <w:p w:rsidR="00E54D7F" w:rsidRDefault="003E38A7">
      <w:pPr>
        <w:spacing w:before="29" w:line="288" w:lineRule="auto"/>
        <w:ind w:firstLineChars="200" w:firstLine="480"/>
        <w:rPr>
          <w:color w:val="000000"/>
          <w:sz w:val="24"/>
          <w:szCs w:val="24"/>
        </w:rPr>
      </w:pPr>
      <w:r>
        <w:rPr>
          <w:color w:val="000000"/>
          <w:sz w:val="24"/>
          <w:szCs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报告期内本公司严格执行公平交易制度，公平对待旗下各投资组合，未发现任何违反公平交易的行为。</w:t>
      </w:r>
    </w:p>
    <w:p w:rsidR="004061AC" w:rsidRPr="00414345" w:rsidRDefault="004061AC" w:rsidP="00C15CAC">
      <w:pPr>
        <w:spacing w:before="29" w:line="288" w:lineRule="auto"/>
        <w:rPr>
          <w:color w:val="000000"/>
          <w:sz w:val="24"/>
          <w:szCs w:val="24"/>
        </w:rPr>
      </w:pPr>
      <w:r w:rsidRPr="00414345">
        <w:rPr>
          <w:color w:val="000000"/>
          <w:sz w:val="24"/>
          <w:szCs w:val="24"/>
        </w:rPr>
        <w:t xml:space="preserve">4.3.2 </w:t>
      </w:r>
      <w:r w:rsidRPr="00414345">
        <w:rPr>
          <w:color w:val="000000"/>
          <w:sz w:val="24"/>
          <w:szCs w:val="24"/>
        </w:rPr>
        <w:t>异常交易行为的专项说明</w:t>
      </w:r>
    </w:p>
    <w:p w:rsidR="004061AC" w:rsidRPr="00414345" w:rsidRDefault="00957594" w:rsidP="00C15CAC">
      <w:pPr>
        <w:spacing w:before="29" w:line="288" w:lineRule="auto"/>
        <w:ind w:firstLineChars="200" w:firstLine="480"/>
        <w:rPr>
          <w:color w:val="000000"/>
          <w:sz w:val="24"/>
          <w:szCs w:val="24"/>
        </w:rPr>
      </w:pPr>
      <w:r w:rsidRPr="00414345">
        <w:rPr>
          <w:color w:val="000000"/>
          <w:sz w:val="24"/>
          <w:szCs w:val="24"/>
        </w:rPr>
        <w:t>本基金于本报告期内未发现异常交易行为。本报告期内，本公司管理的所有投资组合参与的交易所公开竞价同日反向交易成交较少的单边交易量超过该证券当日总成交量</w:t>
      </w:r>
      <w:r w:rsidRPr="00414345">
        <w:rPr>
          <w:color w:val="000000"/>
          <w:sz w:val="24"/>
          <w:szCs w:val="24"/>
        </w:rPr>
        <w:t>5%</w:t>
      </w:r>
      <w:r w:rsidRPr="00414345">
        <w:rPr>
          <w:color w:val="000000"/>
          <w:sz w:val="24"/>
          <w:szCs w:val="24"/>
        </w:rPr>
        <w:t>的情况有</w:t>
      </w:r>
      <w:r w:rsidRPr="00414345">
        <w:rPr>
          <w:color w:val="000000"/>
          <w:sz w:val="24"/>
          <w:szCs w:val="24"/>
        </w:rPr>
        <w:t>1</w:t>
      </w:r>
      <w:r w:rsidRPr="00414345">
        <w:rPr>
          <w:color w:val="000000"/>
          <w:sz w:val="24"/>
          <w:szCs w:val="24"/>
        </w:rPr>
        <w:t>次，是投资组合因投资策略需要而发生同日反向交易，未发现不公平交易和利益输送的情况。本基金与本公司管理的其他投资组合在不同时间窗下（如日内、</w:t>
      </w:r>
      <w:r w:rsidRPr="00414345">
        <w:rPr>
          <w:color w:val="000000"/>
          <w:sz w:val="24"/>
          <w:szCs w:val="24"/>
        </w:rPr>
        <w:t>3</w:t>
      </w:r>
      <w:r w:rsidRPr="00414345">
        <w:rPr>
          <w:color w:val="000000"/>
          <w:sz w:val="24"/>
          <w:szCs w:val="24"/>
        </w:rPr>
        <w:t>日内、</w:t>
      </w:r>
      <w:r w:rsidRPr="00414345">
        <w:rPr>
          <w:color w:val="000000"/>
          <w:sz w:val="24"/>
          <w:szCs w:val="24"/>
        </w:rPr>
        <w:t>5</w:t>
      </w:r>
      <w:r w:rsidRPr="00414345">
        <w:rPr>
          <w:color w:val="000000"/>
          <w:sz w:val="24"/>
          <w:szCs w:val="24"/>
        </w:rPr>
        <w:t>日内）同向交易的交易价差未发现异常。</w:t>
      </w:r>
    </w:p>
    <w:p w:rsidR="004061AC" w:rsidRPr="00414345" w:rsidRDefault="004061AC" w:rsidP="00C15CAC">
      <w:pPr>
        <w:spacing w:before="29" w:line="288" w:lineRule="auto"/>
        <w:ind w:firstLineChars="200" w:firstLine="480"/>
        <w:rPr>
          <w:color w:val="000000"/>
          <w:sz w:val="24"/>
          <w:szCs w:val="24"/>
        </w:rPr>
      </w:pPr>
    </w:p>
    <w:p w:rsidR="004061AC" w:rsidRPr="00414345" w:rsidRDefault="00D44EE8" w:rsidP="00C15CAC">
      <w:pPr>
        <w:spacing w:before="29" w:line="288" w:lineRule="auto"/>
        <w:rPr>
          <w:sz w:val="24"/>
          <w:szCs w:val="24"/>
        </w:rPr>
      </w:pPr>
      <w:r w:rsidRPr="00414345">
        <w:rPr>
          <w:b/>
          <w:color w:val="000000"/>
          <w:kern w:val="0"/>
          <w:sz w:val="24"/>
        </w:rPr>
        <w:t xml:space="preserve">4.4 </w:t>
      </w:r>
      <w:r w:rsidRPr="00414345">
        <w:rPr>
          <w:rFonts w:hAnsi="宋体"/>
          <w:b/>
          <w:bCs/>
          <w:color w:val="000000"/>
          <w:sz w:val="24"/>
        </w:rPr>
        <w:t>报告期内基金的投资策略和运作分析</w:t>
      </w:r>
    </w:p>
    <w:p w:rsidR="00B606DE" w:rsidRPr="00B606DE" w:rsidRDefault="00B606DE" w:rsidP="00B606DE">
      <w:pPr>
        <w:spacing w:before="29" w:line="288" w:lineRule="auto"/>
        <w:ind w:firstLineChars="200" w:firstLine="480"/>
        <w:rPr>
          <w:color w:val="000000"/>
          <w:sz w:val="24"/>
          <w:szCs w:val="24"/>
        </w:rPr>
      </w:pPr>
      <w:r w:rsidRPr="00B606DE">
        <w:rPr>
          <w:rFonts w:hint="eastAsia"/>
          <w:color w:val="000000"/>
          <w:sz w:val="24"/>
          <w:szCs w:val="24"/>
        </w:rPr>
        <w:t>2019</w:t>
      </w:r>
      <w:r w:rsidRPr="00B606DE">
        <w:rPr>
          <w:rFonts w:hint="eastAsia"/>
          <w:color w:val="000000"/>
          <w:sz w:val="24"/>
          <w:szCs w:val="24"/>
        </w:rPr>
        <w:t>年二季度，上证综指、深圳成指、创业板指分别上涨</w:t>
      </w:r>
      <w:r w:rsidRPr="00B606DE">
        <w:rPr>
          <w:rFonts w:hint="eastAsia"/>
          <w:color w:val="000000"/>
          <w:sz w:val="24"/>
          <w:szCs w:val="24"/>
        </w:rPr>
        <w:t>-3.62%</w:t>
      </w:r>
      <w:r w:rsidRPr="00B606DE">
        <w:rPr>
          <w:rFonts w:hint="eastAsia"/>
          <w:color w:val="000000"/>
          <w:sz w:val="24"/>
          <w:szCs w:val="24"/>
        </w:rPr>
        <w:t>、</w:t>
      </w:r>
      <w:r w:rsidRPr="00B606DE">
        <w:rPr>
          <w:rFonts w:hint="eastAsia"/>
          <w:color w:val="000000"/>
          <w:sz w:val="24"/>
          <w:szCs w:val="24"/>
        </w:rPr>
        <w:t>-7.35%</w:t>
      </w:r>
      <w:r w:rsidRPr="00B606DE">
        <w:rPr>
          <w:rFonts w:hint="eastAsia"/>
          <w:color w:val="000000"/>
          <w:sz w:val="24"/>
          <w:szCs w:val="24"/>
        </w:rPr>
        <w:t>、</w:t>
      </w:r>
      <w:r w:rsidRPr="00B606DE">
        <w:rPr>
          <w:rFonts w:hint="eastAsia"/>
          <w:color w:val="000000"/>
          <w:sz w:val="24"/>
          <w:szCs w:val="24"/>
        </w:rPr>
        <w:t>-10.75%</w:t>
      </w:r>
      <w:r w:rsidRPr="00B606DE">
        <w:rPr>
          <w:rFonts w:hint="eastAsia"/>
          <w:color w:val="000000"/>
          <w:sz w:val="24"/>
          <w:szCs w:val="24"/>
        </w:rPr>
        <w:t>，其中申万医药生物指数上涨</w:t>
      </w:r>
      <w:r w:rsidRPr="00B606DE">
        <w:rPr>
          <w:rFonts w:hint="eastAsia"/>
          <w:color w:val="000000"/>
          <w:sz w:val="24"/>
          <w:szCs w:val="24"/>
        </w:rPr>
        <w:t>-7.68%</w:t>
      </w:r>
      <w:r w:rsidRPr="00B606DE">
        <w:rPr>
          <w:rFonts w:hint="eastAsia"/>
          <w:color w:val="000000"/>
          <w:sz w:val="24"/>
          <w:szCs w:val="24"/>
        </w:rPr>
        <w:t>，处于行业中游水平。</w:t>
      </w:r>
    </w:p>
    <w:p w:rsidR="00B606DE" w:rsidRPr="00B606DE" w:rsidRDefault="00B606DE" w:rsidP="00B606DE">
      <w:pPr>
        <w:spacing w:before="29" w:line="288" w:lineRule="auto"/>
        <w:ind w:firstLineChars="200" w:firstLine="480"/>
        <w:rPr>
          <w:color w:val="000000"/>
          <w:sz w:val="24"/>
          <w:szCs w:val="24"/>
        </w:rPr>
      </w:pPr>
      <w:r w:rsidRPr="00B606DE">
        <w:rPr>
          <w:rFonts w:hint="eastAsia"/>
          <w:color w:val="000000"/>
          <w:sz w:val="24"/>
          <w:szCs w:val="24"/>
        </w:rPr>
        <w:t>报告期内，本基金跑赢了业绩比较基准，前期重点配置的医疗服务、创新药、创新药产业链及医疗设备等成长性品种。随着估值的抬升，本基金逐步适当减持了涨幅较大的部分高弹性成长品种，增持了估值合理的稳健增长品种。</w:t>
      </w:r>
    </w:p>
    <w:p w:rsidR="00627E2D" w:rsidRPr="00B606DE" w:rsidRDefault="00B606DE" w:rsidP="00B606DE">
      <w:pPr>
        <w:spacing w:before="29" w:line="288" w:lineRule="auto"/>
        <w:ind w:firstLineChars="200" w:firstLine="480"/>
        <w:rPr>
          <w:color w:val="000000"/>
          <w:sz w:val="24"/>
          <w:szCs w:val="24"/>
        </w:rPr>
      </w:pPr>
      <w:r w:rsidRPr="00B606DE">
        <w:rPr>
          <w:rFonts w:hint="eastAsia"/>
          <w:color w:val="000000"/>
          <w:sz w:val="24"/>
          <w:szCs w:val="24"/>
        </w:rPr>
        <w:t>展望</w:t>
      </w:r>
      <w:r w:rsidRPr="00B606DE">
        <w:rPr>
          <w:rFonts w:hint="eastAsia"/>
          <w:color w:val="000000"/>
          <w:sz w:val="24"/>
          <w:szCs w:val="24"/>
        </w:rPr>
        <w:t>2019</w:t>
      </w:r>
      <w:r w:rsidRPr="00B606DE">
        <w:rPr>
          <w:rFonts w:hint="eastAsia"/>
          <w:color w:val="000000"/>
          <w:sz w:val="24"/>
          <w:szCs w:val="24"/>
        </w:rPr>
        <w:t>年三季度，我们认为当前估值处于历史中上水平，因此本基金持股集中度略有降低，持仓所反映的风险偏好略有降低。但仍然看好医药行业的长期回报，本基金会把握合适配置窗口，力争为投资人实现持续稳定的超额回报。</w:t>
      </w:r>
    </w:p>
    <w:p w:rsidR="004061AC" w:rsidRPr="00414345" w:rsidRDefault="00D44EE8" w:rsidP="00C15CAC">
      <w:pPr>
        <w:spacing w:before="29" w:line="288" w:lineRule="auto"/>
        <w:rPr>
          <w:sz w:val="24"/>
          <w:szCs w:val="24"/>
        </w:rPr>
      </w:pPr>
      <w:r w:rsidRPr="00414345">
        <w:rPr>
          <w:b/>
          <w:color w:val="000000"/>
          <w:kern w:val="0"/>
          <w:sz w:val="24"/>
        </w:rPr>
        <w:lastRenderedPageBreak/>
        <w:t>4.5</w:t>
      </w:r>
      <w:r w:rsidRPr="00414345">
        <w:rPr>
          <w:b/>
          <w:color w:val="000000"/>
          <w:kern w:val="0"/>
          <w:sz w:val="24"/>
        </w:rPr>
        <w:t>报告期内基金的业绩表现</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本基金（各类）份额净值及业绩表现请见</w:t>
      </w:r>
      <w:r w:rsidRPr="00414345">
        <w:rPr>
          <w:color w:val="000000"/>
          <w:sz w:val="24"/>
          <w:szCs w:val="24"/>
        </w:rPr>
        <w:t xml:space="preserve">“3.1 </w:t>
      </w:r>
      <w:r w:rsidRPr="00414345">
        <w:rPr>
          <w:color w:val="000000"/>
          <w:sz w:val="24"/>
          <w:szCs w:val="24"/>
        </w:rPr>
        <w:t>主要财务指标</w:t>
      </w:r>
      <w:r w:rsidRPr="00414345">
        <w:rPr>
          <w:color w:val="000000"/>
          <w:sz w:val="24"/>
          <w:szCs w:val="24"/>
        </w:rPr>
        <w:t xml:space="preserve">” </w:t>
      </w:r>
      <w:r w:rsidRPr="00414345">
        <w:rPr>
          <w:color w:val="000000"/>
          <w:sz w:val="24"/>
          <w:szCs w:val="24"/>
        </w:rPr>
        <w:t>及</w:t>
      </w:r>
      <w:r w:rsidRPr="00414345">
        <w:rPr>
          <w:color w:val="000000"/>
          <w:sz w:val="24"/>
          <w:szCs w:val="24"/>
        </w:rPr>
        <w:t>“3.2.1</w:t>
      </w:r>
      <w:r w:rsidRPr="00414345">
        <w:rPr>
          <w:color w:val="000000"/>
          <w:sz w:val="24"/>
          <w:szCs w:val="24"/>
        </w:rPr>
        <w:t>本报告期基金份额净值增长率及其与同期业绩比较基准收益率的比较</w:t>
      </w:r>
      <w:r w:rsidRPr="00414345">
        <w:rPr>
          <w:color w:val="000000"/>
          <w:sz w:val="24"/>
          <w:szCs w:val="24"/>
        </w:rPr>
        <w:t>”</w:t>
      </w:r>
      <w:r w:rsidRPr="00414345">
        <w:rPr>
          <w:color w:val="000000"/>
          <w:sz w:val="24"/>
          <w:szCs w:val="24"/>
        </w:rPr>
        <w:t>部分披露。</w:t>
      </w:r>
    </w:p>
    <w:p w:rsidR="009C5186" w:rsidRPr="00414345" w:rsidRDefault="009C5186" w:rsidP="00C15CAC">
      <w:pPr>
        <w:spacing w:before="29" w:line="288" w:lineRule="auto"/>
        <w:ind w:firstLineChars="200" w:firstLine="480"/>
        <w:rPr>
          <w:color w:val="000000"/>
          <w:sz w:val="24"/>
          <w:szCs w:val="24"/>
        </w:rPr>
      </w:pPr>
    </w:p>
    <w:p w:rsidR="00421CD2" w:rsidRPr="002070B4" w:rsidRDefault="00421CD2" w:rsidP="00421CD2">
      <w:pPr>
        <w:autoSpaceDE w:val="0"/>
        <w:autoSpaceDN w:val="0"/>
        <w:adjustRightInd w:val="0"/>
        <w:spacing w:before="29" w:line="288" w:lineRule="auto"/>
        <w:jc w:val="left"/>
        <w:rPr>
          <w:b/>
          <w:color w:val="000000"/>
          <w:kern w:val="0"/>
          <w:sz w:val="24"/>
        </w:rPr>
      </w:pPr>
      <w:r w:rsidRPr="002070B4">
        <w:rPr>
          <w:b/>
          <w:color w:val="000000"/>
          <w:kern w:val="0"/>
          <w:sz w:val="24"/>
        </w:rPr>
        <w:t>4</w:t>
      </w:r>
      <w:r w:rsidRPr="002070B4">
        <w:rPr>
          <w:rFonts w:hint="eastAsia"/>
          <w:b/>
          <w:color w:val="000000"/>
          <w:kern w:val="0"/>
          <w:sz w:val="24"/>
        </w:rPr>
        <w:t>.6</w:t>
      </w:r>
      <w:r w:rsidRPr="002070B4">
        <w:rPr>
          <w:rFonts w:hint="eastAsia"/>
          <w:b/>
          <w:color w:val="000000"/>
          <w:kern w:val="0"/>
          <w:sz w:val="24"/>
        </w:rPr>
        <w:t>报告期内基金持有人数或基金资产净值预警说明</w:t>
      </w:r>
    </w:p>
    <w:p w:rsidR="00421CD2" w:rsidRDefault="00421CD2" w:rsidP="00421CD2">
      <w:pPr>
        <w:spacing w:before="29" w:line="288" w:lineRule="auto"/>
        <w:ind w:firstLineChars="200" w:firstLine="480"/>
        <w:rPr>
          <w:color w:val="000000"/>
          <w:sz w:val="24"/>
        </w:rPr>
      </w:pPr>
      <w:r w:rsidRPr="002070B4">
        <w:rPr>
          <w:color w:val="000000"/>
          <w:sz w:val="24"/>
        </w:rPr>
        <w:t>本基金本报告期内无需预警说明。</w:t>
      </w: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w:t>
      </w:r>
      <w:r w:rsidR="001C0993" w:rsidRPr="00414345">
        <w:rPr>
          <w:color w:val="000000"/>
          <w:kern w:val="0"/>
          <w:sz w:val="24"/>
          <w:szCs w:val="24"/>
        </w:rPr>
        <w:t>5</w:t>
      </w:r>
      <w:r w:rsidR="00834E74">
        <w:rPr>
          <w:color w:val="000000"/>
          <w:kern w:val="0"/>
          <w:sz w:val="24"/>
          <w:szCs w:val="24"/>
        </w:rPr>
        <w:t xml:space="preserve">  </w:t>
      </w:r>
      <w:r w:rsidRPr="00414345">
        <w:rPr>
          <w:color w:val="000000"/>
          <w:kern w:val="0"/>
          <w:sz w:val="24"/>
          <w:szCs w:val="24"/>
        </w:rPr>
        <w:t>投资组合报告</w:t>
      </w:r>
    </w:p>
    <w:p w:rsidR="00BF0019" w:rsidRDefault="00BF0019" w:rsidP="00BF0019">
      <w:pPr>
        <w:autoSpaceDE w:val="0"/>
        <w:autoSpaceDN w:val="0"/>
        <w:adjustRightInd w:val="0"/>
        <w:spacing w:line="360" w:lineRule="auto"/>
        <w:jc w:val="left"/>
        <w:rPr>
          <w:rFonts w:eastAsiaTheme="minorEastAsia"/>
          <w:b/>
          <w:color w:val="000000" w:themeColor="text1"/>
          <w:kern w:val="0"/>
          <w:sz w:val="24"/>
          <w:szCs w:val="24"/>
        </w:rPr>
      </w:pPr>
      <w:r w:rsidRPr="007B5F21">
        <w:rPr>
          <w:rFonts w:eastAsiaTheme="minorEastAsia"/>
          <w:b/>
          <w:color w:val="000000" w:themeColor="text1"/>
          <w:kern w:val="0"/>
          <w:sz w:val="24"/>
          <w:szCs w:val="24"/>
        </w:rPr>
        <w:t xml:space="preserve">5.1 </w:t>
      </w:r>
      <w:r w:rsidRPr="007B5F21">
        <w:rPr>
          <w:rFonts w:eastAsiaTheme="minorEastAsia"/>
          <w:b/>
          <w:color w:val="000000" w:themeColor="text1"/>
          <w:kern w:val="0"/>
          <w:sz w:val="24"/>
          <w:szCs w:val="24"/>
        </w:rPr>
        <w:t>报告期末基金资产组合情况</w:t>
      </w:r>
    </w:p>
    <w:p w:rsidR="006B5F69" w:rsidRPr="007B5F21" w:rsidRDefault="009C1009" w:rsidP="009C1009">
      <w:pPr>
        <w:autoSpaceDE w:val="0"/>
        <w:autoSpaceDN w:val="0"/>
        <w:adjustRightInd w:val="0"/>
        <w:spacing w:line="360" w:lineRule="auto"/>
        <w:jc w:val="right"/>
        <w:rPr>
          <w:rFonts w:eastAsiaTheme="minorEastAsia"/>
          <w:b/>
          <w:color w:val="000000" w:themeColor="text1"/>
          <w:kern w:val="0"/>
          <w:sz w:val="24"/>
          <w:szCs w:val="24"/>
        </w:rPr>
      </w:pPr>
      <w:r w:rsidRPr="009C1009">
        <w:rPr>
          <w:rFonts w:hint="eastAsia"/>
          <w:color w:val="000000"/>
          <w:kern w:val="0"/>
        </w:rPr>
        <w:t>金额单位：人民币元</w:t>
      </w:r>
    </w:p>
    <w:tbl>
      <w:tblPr>
        <w:tblStyle w:val="af7"/>
        <w:tblW w:w="8897" w:type="dxa"/>
        <w:tblInd w:w="108" w:type="dxa"/>
        <w:tblLayout w:type="fixed"/>
        <w:tblLook w:val="04A0" w:firstRow="1" w:lastRow="0" w:firstColumn="1" w:lastColumn="0" w:noHBand="0" w:noVBand="1"/>
      </w:tblPr>
      <w:tblGrid>
        <w:gridCol w:w="720"/>
        <w:gridCol w:w="2682"/>
        <w:gridCol w:w="2552"/>
        <w:gridCol w:w="2943"/>
      </w:tblGrid>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序号</w:t>
            </w:r>
          </w:p>
        </w:tc>
        <w:tc>
          <w:tcPr>
            <w:tcW w:w="2682"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项目</w:t>
            </w:r>
          </w:p>
        </w:tc>
        <w:tc>
          <w:tcPr>
            <w:tcW w:w="2552"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金额</w:t>
            </w:r>
          </w:p>
        </w:tc>
        <w:tc>
          <w:tcPr>
            <w:tcW w:w="2943"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占基金总资产的比例</w:t>
            </w:r>
            <w:r w:rsidR="00CE39AB">
              <w:rPr>
                <w:rFonts w:eastAsiaTheme="minorEastAsia" w:hint="eastAsia"/>
                <w:color w:val="000000" w:themeColor="text1"/>
                <w:sz w:val="24"/>
                <w:szCs w:val="24"/>
              </w:rPr>
              <w:t>（</w:t>
            </w:r>
            <w:r w:rsidR="00CE39AB">
              <w:rPr>
                <w:rFonts w:eastAsiaTheme="minorEastAsia" w:hint="eastAsia"/>
                <w:color w:val="000000" w:themeColor="text1"/>
                <w:sz w:val="24"/>
                <w:szCs w:val="24"/>
              </w:rPr>
              <w:t>%</w:t>
            </w:r>
            <w:r w:rsidR="00CE39AB">
              <w:rPr>
                <w:rFonts w:eastAsiaTheme="minorEastAsia" w:hint="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1</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权益投资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361,484,429.50</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84.54</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其中：股票</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361,484,429.50</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84.54</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2</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ascii="宋体" w:hAnsi="宋体" w:hint="eastAsia"/>
                <w:sz w:val="24"/>
                <w:szCs w:val="24"/>
              </w:rPr>
              <w:t>基金投资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hint="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hint="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3</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固定收益投资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321,115.90</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0.08</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其中：债券</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321,115.90</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0.08</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682" w:type="dxa"/>
            <w:vAlign w:val="center"/>
          </w:tcPr>
          <w:p w:rsidR="00BF0019" w:rsidRPr="007B5F21" w:rsidRDefault="00BF0019" w:rsidP="007B5F21">
            <w:pPr>
              <w:autoSpaceDE w:val="0"/>
              <w:autoSpaceDN w:val="0"/>
              <w:adjustRightInd w:val="0"/>
              <w:spacing w:before="29" w:line="360" w:lineRule="auto"/>
              <w:ind w:left="17" w:firstLineChars="300" w:firstLine="720"/>
              <w:jc w:val="left"/>
              <w:rPr>
                <w:rFonts w:eastAsiaTheme="minorEastAsia"/>
                <w:color w:val="000000" w:themeColor="text1"/>
                <w:sz w:val="24"/>
                <w:szCs w:val="24"/>
              </w:rPr>
            </w:pPr>
            <w:r w:rsidRPr="007B5F21">
              <w:rPr>
                <w:rFonts w:eastAsiaTheme="minorEastAsia"/>
                <w:color w:val="000000" w:themeColor="text1"/>
                <w:sz w:val="24"/>
                <w:szCs w:val="24"/>
              </w:rPr>
              <w:t>资产支持证券</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4</w:t>
            </w:r>
          </w:p>
        </w:tc>
        <w:tc>
          <w:tcPr>
            <w:tcW w:w="2682" w:type="dxa"/>
            <w:vAlign w:val="center"/>
          </w:tcPr>
          <w:p w:rsidR="00BF0019" w:rsidRPr="007B5F21" w:rsidRDefault="00BF0019" w:rsidP="002D2971">
            <w:pPr>
              <w:spacing w:before="29" w:line="360" w:lineRule="auto"/>
              <w:ind w:leftChars="50" w:left="105"/>
              <w:rPr>
                <w:rFonts w:eastAsiaTheme="minorEastAsia"/>
                <w:color w:val="000000" w:themeColor="text1"/>
                <w:sz w:val="24"/>
                <w:szCs w:val="24"/>
              </w:rPr>
            </w:pPr>
            <w:r w:rsidRPr="007B5F21">
              <w:rPr>
                <w:rFonts w:eastAsiaTheme="minorEastAsia"/>
                <w:color w:val="000000" w:themeColor="text1"/>
                <w:sz w:val="24"/>
                <w:szCs w:val="24"/>
              </w:rPr>
              <w:t>贵金属投资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5</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金融衍生品投资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6</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买入返售金融资产</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其中：买断式回购的买入返售金融资产</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7</w:t>
            </w:r>
          </w:p>
        </w:tc>
        <w:tc>
          <w:tcPr>
            <w:tcW w:w="2682"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银行存款和结算备付金合计</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58,804,097.34</w:t>
            </w:r>
          </w:p>
        </w:tc>
        <w:tc>
          <w:tcPr>
            <w:tcW w:w="2943"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13.75</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8</w:t>
            </w:r>
          </w:p>
        </w:tc>
        <w:tc>
          <w:tcPr>
            <w:tcW w:w="2682" w:type="dxa"/>
            <w:vAlign w:val="center"/>
          </w:tcPr>
          <w:p w:rsidR="00BF0019" w:rsidRPr="007B5F21" w:rsidRDefault="00BF0019" w:rsidP="002D2971">
            <w:pPr>
              <w:spacing w:line="360" w:lineRule="auto"/>
              <w:rPr>
                <w:rFonts w:eastAsiaTheme="minorEastAsia"/>
                <w:color w:val="000000" w:themeColor="text1"/>
                <w:sz w:val="24"/>
                <w:szCs w:val="24"/>
              </w:rPr>
            </w:pPr>
            <w:r w:rsidRPr="007B5F21">
              <w:rPr>
                <w:rFonts w:eastAsiaTheme="minorEastAsia"/>
                <w:color w:val="000000" w:themeColor="text1"/>
                <w:sz w:val="24"/>
                <w:szCs w:val="24"/>
              </w:rPr>
              <w:t>其他各项资产</w:t>
            </w:r>
          </w:p>
        </w:tc>
        <w:tc>
          <w:tcPr>
            <w:tcW w:w="2552"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6,980,337.06</w:t>
            </w:r>
          </w:p>
        </w:tc>
        <w:tc>
          <w:tcPr>
            <w:tcW w:w="2943"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1.63</w:t>
            </w:r>
          </w:p>
        </w:tc>
      </w:tr>
      <w:tr w:rsidR="00BF0019" w:rsidRPr="007B5F21" w:rsidTr="00487A40">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9</w:t>
            </w:r>
          </w:p>
        </w:tc>
        <w:tc>
          <w:tcPr>
            <w:tcW w:w="2682" w:type="dxa"/>
            <w:vAlign w:val="center"/>
          </w:tcPr>
          <w:p w:rsidR="00BF0019" w:rsidRPr="007B5F21" w:rsidRDefault="00BF0019" w:rsidP="002D2971">
            <w:pPr>
              <w:spacing w:line="360" w:lineRule="auto"/>
              <w:rPr>
                <w:rFonts w:eastAsiaTheme="minorEastAsia"/>
                <w:color w:val="000000" w:themeColor="text1"/>
                <w:sz w:val="24"/>
                <w:szCs w:val="24"/>
              </w:rPr>
            </w:pPr>
            <w:r w:rsidRPr="007B5F21">
              <w:rPr>
                <w:rFonts w:eastAsiaTheme="minorEastAsia"/>
                <w:color w:val="000000" w:themeColor="text1"/>
                <w:sz w:val="24"/>
                <w:szCs w:val="24"/>
              </w:rPr>
              <w:t>合计</w:t>
            </w:r>
          </w:p>
        </w:tc>
        <w:tc>
          <w:tcPr>
            <w:tcW w:w="2552"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427,589,979.80</w:t>
            </w:r>
          </w:p>
        </w:tc>
        <w:tc>
          <w:tcPr>
            <w:tcW w:w="2943"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100.00</w:t>
            </w:r>
          </w:p>
        </w:tc>
      </w:tr>
    </w:tbl>
    <w:p w:rsidR="004061AC" w:rsidRPr="00414345" w:rsidRDefault="004061AC" w:rsidP="00C15CAC">
      <w:pPr>
        <w:autoSpaceDE w:val="0"/>
        <w:autoSpaceDN w:val="0"/>
        <w:adjustRightInd w:val="0"/>
        <w:spacing w:before="29" w:line="288" w:lineRule="auto"/>
        <w:jc w:val="left"/>
        <w:rPr>
          <w:color w:val="000000"/>
          <w:sz w:val="24"/>
          <w:szCs w:val="24"/>
        </w:rPr>
      </w:pP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5.2 </w:t>
      </w:r>
      <w:r w:rsidRPr="00414345">
        <w:rPr>
          <w:b/>
          <w:bCs/>
          <w:color w:val="000000"/>
          <w:kern w:val="0"/>
          <w:sz w:val="24"/>
          <w:szCs w:val="24"/>
        </w:rPr>
        <w:t>报告期末按行业分类的股票投资组合</w:t>
      </w:r>
    </w:p>
    <w:p w:rsidR="00F51C4E" w:rsidRDefault="00F51C4E" w:rsidP="00F51C4E">
      <w:pPr>
        <w:rPr>
          <w:rFonts w:eastAsiaTheme="minorEastAsia"/>
          <w:b/>
          <w:color w:val="000000" w:themeColor="text1"/>
          <w:kern w:val="0"/>
          <w:sz w:val="24"/>
        </w:rPr>
      </w:pPr>
      <w:r w:rsidRPr="004A3846">
        <w:rPr>
          <w:rFonts w:eastAsiaTheme="minorEastAsia" w:hint="eastAsia"/>
          <w:b/>
          <w:color w:val="000000" w:themeColor="text1"/>
          <w:kern w:val="0"/>
          <w:sz w:val="24"/>
        </w:rPr>
        <w:t>5.2.1</w:t>
      </w:r>
      <w:r w:rsidRPr="004A3846">
        <w:rPr>
          <w:rFonts w:eastAsiaTheme="minorEastAsia" w:hint="eastAsia"/>
          <w:b/>
          <w:color w:val="000000" w:themeColor="text1"/>
          <w:kern w:val="0"/>
          <w:sz w:val="24"/>
        </w:rPr>
        <w:t>报告期末按行业分类的境内股票投资组合</w:t>
      </w:r>
    </w:p>
    <w:p w:rsidR="007B2639" w:rsidRPr="007B2639" w:rsidRDefault="009C1009" w:rsidP="009C1009">
      <w:pPr>
        <w:jc w:val="right"/>
        <w:rPr>
          <w:sz w:val="24"/>
        </w:rPr>
      </w:pPr>
      <w:r w:rsidRPr="009C1009">
        <w:rPr>
          <w:rFonts w:eastAsiaTheme="minorEastAsia" w:hint="eastAsia"/>
          <w:color w:val="000000" w:themeColor="text1"/>
          <w:kern w:val="0"/>
          <w:sz w:val="24"/>
        </w:rPr>
        <w:t>金额单位：人民币元</w:t>
      </w:r>
    </w:p>
    <w:tbl>
      <w:tblPr>
        <w:tblW w:w="88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 w:type="dxa"/>
          <w:left w:w="0" w:type="dxa"/>
          <w:bottom w:w="-1" w:type="dxa"/>
          <w:right w:w="0" w:type="dxa"/>
        </w:tblCellMar>
        <w:tblLook w:val="0000" w:firstRow="0" w:lastRow="0" w:firstColumn="0" w:lastColumn="0" w:noHBand="0" w:noVBand="0"/>
      </w:tblPr>
      <w:tblGrid>
        <w:gridCol w:w="845"/>
        <w:gridCol w:w="3544"/>
        <w:gridCol w:w="2841"/>
        <w:gridCol w:w="1638"/>
      </w:tblGrid>
      <w:tr w:rsidR="00531F10" w:rsidRPr="00414345" w:rsidTr="006C2C1B">
        <w:trPr>
          <w:trHeight w:val="390"/>
          <w:jc w:val="center"/>
        </w:trPr>
        <w:tc>
          <w:tcPr>
            <w:tcW w:w="84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代码</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行业类别</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B11F31" w:rsidP="00C15CAC">
            <w:pPr>
              <w:adjustRightInd w:val="0"/>
              <w:snapToGrid w:val="0"/>
              <w:spacing w:before="29" w:line="288" w:lineRule="auto"/>
              <w:jc w:val="center"/>
              <w:rPr>
                <w:sz w:val="24"/>
                <w:szCs w:val="24"/>
              </w:rPr>
            </w:pPr>
            <w:r>
              <w:rPr>
                <w:sz w:val="24"/>
                <w:szCs w:val="24"/>
              </w:rPr>
              <w:t>公允价值</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占基金资产净值比例（％）</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A</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农、林、牧、渔业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autoSpaceDE w:val="0"/>
              <w:autoSpaceDN w:val="0"/>
              <w:adjustRightInd w:val="0"/>
              <w:spacing w:before="29" w:line="288" w:lineRule="auto"/>
              <w:ind w:left="15"/>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utoSpaceDE w:val="0"/>
              <w:autoSpaceDN w:val="0"/>
              <w:adjustRightInd w:val="0"/>
              <w:spacing w:before="29" w:line="288" w:lineRule="auto"/>
              <w:ind w:left="15"/>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B</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采矿业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1B4DD6">
            <w:pPr>
              <w:spacing w:before="29" w:line="288" w:lineRule="auto"/>
              <w:jc w:val="right"/>
              <w:rPr>
                <w:sz w:val="24"/>
                <w:szCs w:val="24"/>
              </w:rPr>
            </w:pPr>
            <w:r w:rsidRPr="00414345">
              <w:rPr>
                <w:sz w:val="24"/>
                <w:szCs w:val="24"/>
              </w:rPr>
              <w:t>243,778.50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1B4DD6">
            <w:pPr>
              <w:spacing w:before="29" w:line="288" w:lineRule="auto"/>
              <w:jc w:val="right"/>
              <w:rPr>
                <w:sz w:val="24"/>
                <w:szCs w:val="24"/>
              </w:rPr>
            </w:pPr>
            <w:r w:rsidRPr="00414345">
              <w:rPr>
                <w:sz w:val="24"/>
                <w:szCs w:val="24"/>
              </w:rPr>
              <w:t>0.06</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C</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制造业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210,036,204.77</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50.19</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D</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电力、热力、燃气及水生产和供应业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E</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建筑业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F</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批发和零售业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19,481,799.15</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4.66</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G</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交通运输、仓储和邮政业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7,104,544.00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1.70</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H</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住宿和餐饮业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DC28F1">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I</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DC28F1">
            <w:pPr>
              <w:adjustRightInd w:val="0"/>
              <w:snapToGrid w:val="0"/>
              <w:spacing w:before="29" w:line="288" w:lineRule="auto"/>
              <w:rPr>
                <w:sz w:val="24"/>
                <w:szCs w:val="24"/>
              </w:rPr>
            </w:pPr>
            <w:r w:rsidRPr="00414345">
              <w:rPr>
                <w:sz w:val="24"/>
                <w:szCs w:val="24"/>
              </w:rPr>
              <w:t>信息传输、软件和信息技术服务业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6,460,959.55</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1.54</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J</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金融业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33,869.94</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0.01</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K</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房地产业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12,383,828.04</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2.96</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L</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租赁和商务服务业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M</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科学研究和技术服务业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6,439,219.20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1.54</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N</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水利、环境和公共设施管理业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O</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居民服务、修理和其他服务业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P</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教育</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Q</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卫生和社会工作</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99,277,119.75</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23.72</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R</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文化、体育和娱乐业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23,106.60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0.01</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S</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综合</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合计</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361,484,429.50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86.38</w:t>
            </w:r>
          </w:p>
        </w:tc>
      </w:tr>
    </w:tbl>
    <w:p w:rsidR="00F51C4E" w:rsidRPr="008A409E" w:rsidRDefault="00F51C4E" w:rsidP="00F51C4E">
      <w:pPr>
        <w:jc w:val="left"/>
        <w:rPr>
          <w:rFonts w:asciiTheme="minorEastAsia" w:eastAsiaTheme="minorEastAsia" w:hAnsiTheme="minorEastAsia"/>
          <w:b/>
          <w:bCs/>
          <w:color w:val="000000" w:themeColor="text1"/>
          <w:kern w:val="0"/>
          <w:sz w:val="24"/>
        </w:rPr>
      </w:pPr>
      <w:r w:rsidRPr="008A409E">
        <w:rPr>
          <w:rFonts w:asciiTheme="minorEastAsia" w:eastAsiaTheme="minorEastAsia" w:hAnsiTheme="minorEastAsia" w:hint="eastAsia"/>
          <w:b/>
          <w:bCs/>
          <w:color w:val="000000" w:themeColor="text1"/>
          <w:kern w:val="0"/>
          <w:sz w:val="24"/>
        </w:rPr>
        <w:t>5.2.2报告期末按行业分类的</w:t>
      </w:r>
      <w:r w:rsidR="00EE49FE">
        <w:rPr>
          <w:rFonts w:asciiTheme="minorEastAsia" w:eastAsiaTheme="minorEastAsia" w:hAnsiTheme="minorEastAsia" w:hint="eastAsia"/>
          <w:b/>
          <w:bCs/>
          <w:color w:val="000000" w:themeColor="text1"/>
          <w:kern w:val="0"/>
          <w:sz w:val="24"/>
        </w:rPr>
        <w:t>港股通</w:t>
      </w:r>
      <w:r w:rsidRPr="008A409E">
        <w:rPr>
          <w:rFonts w:asciiTheme="minorEastAsia" w:eastAsiaTheme="minorEastAsia" w:hAnsiTheme="minorEastAsia" w:hint="eastAsia"/>
          <w:b/>
          <w:bCs/>
          <w:color w:val="000000" w:themeColor="text1"/>
          <w:kern w:val="0"/>
          <w:sz w:val="24"/>
        </w:rPr>
        <w:t>投资股票投资组合</w:t>
      </w:r>
    </w:p>
    <w:p w:rsidR="00F51C4E" w:rsidRDefault="00F51C4E" w:rsidP="00F51C4E">
      <w:pPr>
        <w:spacing w:before="29" w:line="360" w:lineRule="auto"/>
        <w:ind w:left="17"/>
        <w:rPr>
          <w:color w:val="000000"/>
          <w:sz w:val="24"/>
        </w:rPr>
      </w:pPr>
      <w:r w:rsidRPr="00FF0BBF">
        <w:rPr>
          <w:color w:val="000000"/>
          <w:sz w:val="24"/>
        </w:rPr>
        <w:t>本基金本报告期末未持有通过港股通投资的股票。</w:t>
      </w:r>
    </w:p>
    <w:p w:rsidR="004061AC" w:rsidRPr="00F51C4E"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5.3 </w:t>
      </w:r>
      <w:r w:rsidRPr="00414345">
        <w:rPr>
          <w:b/>
          <w:bCs/>
          <w:color w:val="000000"/>
          <w:kern w:val="0"/>
          <w:sz w:val="24"/>
          <w:szCs w:val="24"/>
        </w:rPr>
        <w:t>报告期末按公允价值占基金资产净值比例大小排序的前十名股票投资明细</w:t>
      </w:r>
    </w:p>
    <w:tbl>
      <w:tblPr>
        <w:tblStyle w:val="af7"/>
        <w:tblW w:w="8868" w:type="dxa"/>
        <w:jc w:val="center"/>
        <w:tblLayout w:type="fixed"/>
        <w:tblCellMar>
          <w:top w:w="57" w:type="dxa"/>
          <w:bottom w:w="57" w:type="dxa"/>
        </w:tblCellMar>
        <w:tblLook w:val="04A0" w:firstRow="1" w:lastRow="0" w:firstColumn="1" w:lastColumn="0" w:noHBand="0" w:noVBand="1"/>
      </w:tblPr>
      <w:tblGrid>
        <w:gridCol w:w="855"/>
        <w:gridCol w:w="1334"/>
        <w:gridCol w:w="1777"/>
        <w:gridCol w:w="1334"/>
        <w:gridCol w:w="1924"/>
        <w:gridCol w:w="1644"/>
      </w:tblGrid>
      <w:tr w:rsidR="00AC592E" w:rsidRPr="00414345" w:rsidTr="00A324F4">
        <w:trPr>
          <w:jc w:val="center"/>
        </w:trPr>
        <w:tc>
          <w:tcPr>
            <w:tcW w:w="869"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序号</w:t>
            </w:r>
          </w:p>
        </w:tc>
        <w:tc>
          <w:tcPr>
            <w:tcW w:w="1357"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股票代码</w:t>
            </w:r>
          </w:p>
        </w:tc>
        <w:tc>
          <w:tcPr>
            <w:tcW w:w="1810"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股票名称</w:t>
            </w:r>
          </w:p>
        </w:tc>
        <w:tc>
          <w:tcPr>
            <w:tcW w:w="1357"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数量</w:t>
            </w:r>
            <w:r w:rsidR="00B47982" w:rsidRPr="00414345">
              <w:rPr>
                <w:color w:val="000000"/>
                <w:sz w:val="24"/>
              </w:rPr>
              <w:t>（股）</w:t>
            </w:r>
          </w:p>
        </w:tc>
        <w:tc>
          <w:tcPr>
            <w:tcW w:w="1960" w:type="dxa"/>
            <w:vAlign w:val="center"/>
          </w:tcPr>
          <w:p w:rsidR="00853140" w:rsidRPr="00414345" w:rsidRDefault="00853140"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公允价值</w:t>
            </w:r>
            <w:r w:rsidRPr="00414345">
              <w:rPr>
                <w:color w:val="000000"/>
                <w:sz w:val="24"/>
                <w:szCs w:val="24"/>
              </w:rPr>
              <w:t>(</w:t>
            </w:r>
            <w:r w:rsidRPr="00414345">
              <w:rPr>
                <w:color w:val="000000"/>
                <w:sz w:val="24"/>
                <w:szCs w:val="24"/>
              </w:rPr>
              <w:t>元</w:t>
            </w:r>
            <w:r w:rsidRPr="00414345">
              <w:rPr>
                <w:color w:val="000000"/>
                <w:sz w:val="24"/>
                <w:szCs w:val="24"/>
              </w:rPr>
              <w:t>)</w:t>
            </w:r>
          </w:p>
        </w:tc>
        <w:tc>
          <w:tcPr>
            <w:tcW w:w="1674" w:type="dxa"/>
            <w:vAlign w:val="center"/>
          </w:tcPr>
          <w:p w:rsidR="00853140" w:rsidRPr="00414345" w:rsidRDefault="00853140" w:rsidP="00C15CAC">
            <w:pPr>
              <w:spacing w:before="29" w:line="288" w:lineRule="auto"/>
              <w:ind w:left="17"/>
              <w:jc w:val="center"/>
              <w:rPr>
                <w:color w:val="000000"/>
                <w:sz w:val="24"/>
                <w:szCs w:val="24"/>
              </w:rPr>
            </w:pPr>
            <w:r w:rsidRPr="00414345">
              <w:rPr>
                <w:color w:val="000000"/>
                <w:sz w:val="24"/>
                <w:szCs w:val="24"/>
              </w:rPr>
              <w:t>占基金资产净值比例</w:t>
            </w:r>
            <w:r w:rsidR="00B47982" w:rsidRPr="00414345">
              <w:rPr>
                <w:color w:val="000000"/>
                <w:sz w:val="24"/>
              </w:rPr>
              <w:t>（％）</w:t>
            </w:r>
          </w:p>
        </w:tc>
      </w:tr>
      <w:tr w:rsidR="00E54D7F">
        <w:trPr>
          <w:jc w:val="center"/>
        </w:trPr>
        <w:tc>
          <w:tcPr>
            <w:tcW w:w="855" w:type="dxa"/>
            <w:vAlign w:val="center"/>
          </w:tcPr>
          <w:p w:rsidR="00E54D7F" w:rsidRDefault="003E38A7">
            <w:pPr>
              <w:jc w:val="center"/>
            </w:pPr>
            <w:r>
              <w:rPr>
                <w:color w:val="000000"/>
                <w:sz w:val="24"/>
                <w:szCs w:val="24"/>
              </w:rPr>
              <w:t>1</w:t>
            </w:r>
          </w:p>
        </w:tc>
        <w:tc>
          <w:tcPr>
            <w:tcW w:w="1334" w:type="dxa"/>
            <w:vAlign w:val="center"/>
          </w:tcPr>
          <w:p w:rsidR="00E54D7F" w:rsidRDefault="003E38A7">
            <w:pPr>
              <w:jc w:val="center"/>
            </w:pPr>
            <w:r>
              <w:rPr>
                <w:color w:val="000000"/>
                <w:sz w:val="24"/>
                <w:szCs w:val="24"/>
              </w:rPr>
              <w:t>600276</w:t>
            </w:r>
          </w:p>
        </w:tc>
        <w:tc>
          <w:tcPr>
            <w:tcW w:w="1777" w:type="dxa"/>
            <w:vAlign w:val="center"/>
          </w:tcPr>
          <w:p w:rsidR="00E54D7F" w:rsidRDefault="003E38A7">
            <w:pPr>
              <w:jc w:val="center"/>
            </w:pPr>
            <w:r>
              <w:rPr>
                <w:color w:val="000000"/>
                <w:sz w:val="24"/>
                <w:szCs w:val="24"/>
              </w:rPr>
              <w:t>恒瑞医药</w:t>
            </w:r>
          </w:p>
        </w:tc>
        <w:tc>
          <w:tcPr>
            <w:tcW w:w="1334" w:type="dxa"/>
            <w:vAlign w:val="center"/>
          </w:tcPr>
          <w:p w:rsidR="00E54D7F" w:rsidRDefault="003E38A7">
            <w:pPr>
              <w:jc w:val="right"/>
            </w:pPr>
            <w:r>
              <w:rPr>
                <w:color w:val="000000"/>
                <w:sz w:val="24"/>
                <w:szCs w:val="24"/>
              </w:rPr>
              <w:t>492,642</w:t>
            </w:r>
          </w:p>
        </w:tc>
        <w:tc>
          <w:tcPr>
            <w:tcW w:w="1924" w:type="dxa"/>
            <w:vAlign w:val="center"/>
          </w:tcPr>
          <w:p w:rsidR="00E54D7F" w:rsidRDefault="003E38A7">
            <w:pPr>
              <w:jc w:val="right"/>
            </w:pPr>
            <w:r>
              <w:rPr>
                <w:color w:val="000000"/>
                <w:sz w:val="24"/>
                <w:szCs w:val="24"/>
              </w:rPr>
              <w:t>32,514,372.00</w:t>
            </w:r>
          </w:p>
        </w:tc>
        <w:tc>
          <w:tcPr>
            <w:tcW w:w="1644" w:type="dxa"/>
            <w:vAlign w:val="center"/>
          </w:tcPr>
          <w:p w:rsidR="00E54D7F" w:rsidRDefault="003E38A7">
            <w:pPr>
              <w:jc w:val="right"/>
            </w:pPr>
            <w:r>
              <w:rPr>
                <w:color w:val="000000"/>
                <w:sz w:val="24"/>
                <w:szCs w:val="24"/>
              </w:rPr>
              <w:t>7.77</w:t>
            </w:r>
          </w:p>
        </w:tc>
      </w:tr>
      <w:tr w:rsidR="00E54D7F">
        <w:trPr>
          <w:jc w:val="center"/>
        </w:trPr>
        <w:tc>
          <w:tcPr>
            <w:tcW w:w="855" w:type="dxa"/>
            <w:vAlign w:val="center"/>
          </w:tcPr>
          <w:p w:rsidR="00E54D7F" w:rsidRDefault="003E38A7">
            <w:pPr>
              <w:jc w:val="center"/>
            </w:pPr>
            <w:r>
              <w:rPr>
                <w:color w:val="000000"/>
                <w:sz w:val="24"/>
                <w:szCs w:val="24"/>
              </w:rPr>
              <w:t>2</w:t>
            </w:r>
          </w:p>
        </w:tc>
        <w:tc>
          <w:tcPr>
            <w:tcW w:w="1334" w:type="dxa"/>
            <w:vAlign w:val="center"/>
          </w:tcPr>
          <w:p w:rsidR="00E54D7F" w:rsidRDefault="003E38A7">
            <w:pPr>
              <w:jc w:val="center"/>
            </w:pPr>
            <w:r>
              <w:rPr>
                <w:color w:val="000000"/>
                <w:sz w:val="24"/>
                <w:szCs w:val="24"/>
              </w:rPr>
              <w:t>300347</w:t>
            </w:r>
          </w:p>
        </w:tc>
        <w:tc>
          <w:tcPr>
            <w:tcW w:w="1777" w:type="dxa"/>
            <w:vAlign w:val="center"/>
          </w:tcPr>
          <w:p w:rsidR="00E54D7F" w:rsidRDefault="003E38A7">
            <w:pPr>
              <w:jc w:val="center"/>
            </w:pPr>
            <w:r>
              <w:rPr>
                <w:color w:val="000000"/>
                <w:sz w:val="24"/>
                <w:szCs w:val="24"/>
              </w:rPr>
              <w:t>泰格医药</w:t>
            </w:r>
          </w:p>
        </w:tc>
        <w:tc>
          <w:tcPr>
            <w:tcW w:w="1334" w:type="dxa"/>
            <w:vAlign w:val="center"/>
          </w:tcPr>
          <w:p w:rsidR="00E54D7F" w:rsidRDefault="003E38A7">
            <w:pPr>
              <w:jc w:val="right"/>
            </w:pPr>
            <w:r>
              <w:rPr>
                <w:color w:val="000000"/>
                <w:sz w:val="24"/>
                <w:szCs w:val="24"/>
              </w:rPr>
              <w:t>420,701</w:t>
            </w:r>
          </w:p>
        </w:tc>
        <w:tc>
          <w:tcPr>
            <w:tcW w:w="1924" w:type="dxa"/>
            <w:vAlign w:val="center"/>
          </w:tcPr>
          <w:p w:rsidR="00E54D7F" w:rsidRDefault="003E38A7">
            <w:pPr>
              <w:jc w:val="right"/>
            </w:pPr>
            <w:r>
              <w:rPr>
                <w:color w:val="000000"/>
                <w:sz w:val="24"/>
                <w:szCs w:val="24"/>
              </w:rPr>
              <w:t>32,436,047.10</w:t>
            </w:r>
          </w:p>
        </w:tc>
        <w:tc>
          <w:tcPr>
            <w:tcW w:w="1644" w:type="dxa"/>
            <w:vAlign w:val="center"/>
          </w:tcPr>
          <w:p w:rsidR="00E54D7F" w:rsidRDefault="003E38A7">
            <w:pPr>
              <w:jc w:val="right"/>
            </w:pPr>
            <w:r>
              <w:rPr>
                <w:color w:val="000000"/>
                <w:sz w:val="24"/>
                <w:szCs w:val="24"/>
              </w:rPr>
              <w:t>7.75</w:t>
            </w:r>
          </w:p>
        </w:tc>
      </w:tr>
      <w:tr w:rsidR="00E54D7F">
        <w:trPr>
          <w:jc w:val="center"/>
        </w:trPr>
        <w:tc>
          <w:tcPr>
            <w:tcW w:w="855" w:type="dxa"/>
            <w:vAlign w:val="center"/>
          </w:tcPr>
          <w:p w:rsidR="00E54D7F" w:rsidRDefault="003E38A7">
            <w:pPr>
              <w:jc w:val="center"/>
            </w:pPr>
            <w:r>
              <w:rPr>
                <w:color w:val="000000"/>
                <w:sz w:val="24"/>
                <w:szCs w:val="24"/>
              </w:rPr>
              <w:t>3</w:t>
            </w:r>
          </w:p>
        </w:tc>
        <w:tc>
          <w:tcPr>
            <w:tcW w:w="1334" w:type="dxa"/>
            <w:vAlign w:val="center"/>
          </w:tcPr>
          <w:p w:rsidR="00E54D7F" w:rsidRDefault="003E38A7">
            <w:pPr>
              <w:jc w:val="center"/>
            </w:pPr>
            <w:r>
              <w:rPr>
                <w:color w:val="000000"/>
                <w:sz w:val="24"/>
                <w:szCs w:val="24"/>
              </w:rPr>
              <w:t>600763</w:t>
            </w:r>
          </w:p>
        </w:tc>
        <w:tc>
          <w:tcPr>
            <w:tcW w:w="1777" w:type="dxa"/>
            <w:vAlign w:val="center"/>
          </w:tcPr>
          <w:p w:rsidR="00E54D7F" w:rsidRDefault="003E38A7">
            <w:pPr>
              <w:jc w:val="center"/>
            </w:pPr>
            <w:r>
              <w:rPr>
                <w:color w:val="000000"/>
                <w:sz w:val="24"/>
                <w:szCs w:val="24"/>
              </w:rPr>
              <w:t>通策医疗</w:t>
            </w:r>
          </w:p>
        </w:tc>
        <w:tc>
          <w:tcPr>
            <w:tcW w:w="1334" w:type="dxa"/>
            <w:vAlign w:val="center"/>
          </w:tcPr>
          <w:p w:rsidR="00E54D7F" w:rsidRDefault="003E38A7">
            <w:pPr>
              <w:jc w:val="right"/>
            </w:pPr>
            <w:r>
              <w:rPr>
                <w:color w:val="000000"/>
                <w:sz w:val="24"/>
                <w:szCs w:val="24"/>
              </w:rPr>
              <w:t>332,503</w:t>
            </w:r>
          </w:p>
        </w:tc>
        <w:tc>
          <w:tcPr>
            <w:tcW w:w="1924" w:type="dxa"/>
            <w:vAlign w:val="center"/>
          </w:tcPr>
          <w:p w:rsidR="00E54D7F" w:rsidRDefault="003E38A7">
            <w:pPr>
              <w:jc w:val="right"/>
            </w:pPr>
            <w:r>
              <w:rPr>
                <w:color w:val="000000"/>
                <w:sz w:val="24"/>
                <w:szCs w:val="24"/>
              </w:rPr>
              <w:t>29,456,440.77</w:t>
            </w:r>
          </w:p>
        </w:tc>
        <w:tc>
          <w:tcPr>
            <w:tcW w:w="1644" w:type="dxa"/>
            <w:vAlign w:val="center"/>
          </w:tcPr>
          <w:p w:rsidR="00E54D7F" w:rsidRDefault="003E38A7">
            <w:pPr>
              <w:jc w:val="right"/>
            </w:pPr>
            <w:r>
              <w:rPr>
                <w:color w:val="000000"/>
                <w:sz w:val="24"/>
                <w:szCs w:val="24"/>
              </w:rPr>
              <w:t>7.04</w:t>
            </w:r>
          </w:p>
        </w:tc>
      </w:tr>
      <w:tr w:rsidR="00E54D7F">
        <w:trPr>
          <w:jc w:val="center"/>
        </w:trPr>
        <w:tc>
          <w:tcPr>
            <w:tcW w:w="855" w:type="dxa"/>
            <w:vAlign w:val="center"/>
          </w:tcPr>
          <w:p w:rsidR="00E54D7F" w:rsidRDefault="003E38A7">
            <w:pPr>
              <w:jc w:val="center"/>
            </w:pPr>
            <w:r>
              <w:rPr>
                <w:color w:val="000000"/>
                <w:sz w:val="24"/>
                <w:szCs w:val="24"/>
              </w:rPr>
              <w:t>4</w:t>
            </w:r>
          </w:p>
        </w:tc>
        <w:tc>
          <w:tcPr>
            <w:tcW w:w="1334" w:type="dxa"/>
            <w:vAlign w:val="center"/>
          </w:tcPr>
          <w:p w:rsidR="00E54D7F" w:rsidRDefault="003E38A7">
            <w:pPr>
              <w:jc w:val="center"/>
            </w:pPr>
            <w:r>
              <w:rPr>
                <w:color w:val="000000"/>
                <w:sz w:val="24"/>
                <w:szCs w:val="24"/>
              </w:rPr>
              <w:t>300015</w:t>
            </w:r>
          </w:p>
        </w:tc>
        <w:tc>
          <w:tcPr>
            <w:tcW w:w="1777" w:type="dxa"/>
            <w:vAlign w:val="center"/>
          </w:tcPr>
          <w:p w:rsidR="00E54D7F" w:rsidRDefault="003E38A7">
            <w:pPr>
              <w:jc w:val="center"/>
            </w:pPr>
            <w:r>
              <w:rPr>
                <w:color w:val="000000"/>
                <w:sz w:val="24"/>
                <w:szCs w:val="24"/>
              </w:rPr>
              <w:t>爱尔眼科</w:t>
            </w:r>
          </w:p>
        </w:tc>
        <w:tc>
          <w:tcPr>
            <w:tcW w:w="1334" w:type="dxa"/>
            <w:vAlign w:val="center"/>
          </w:tcPr>
          <w:p w:rsidR="00E54D7F" w:rsidRDefault="003E38A7">
            <w:pPr>
              <w:jc w:val="right"/>
            </w:pPr>
            <w:r>
              <w:rPr>
                <w:color w:val="000000"/>
                <w:sz w:val="24"/>
                <w:szCs w:val="24"/>
              </w:rPr>
              <w:t>947,404</w:t>
            </w:r>
          </w:p>
        </w:tc>
        <w:tc>
          <w:tcPr>
            <w:tcW w:w="1924" w:type="dxa"/>
            <w:vAlign w:val="center"/>
          </w:tcPr>
          <w:p w:rsidR="00E54D7F" w:rsidRDefault="003E38A7">
            <w:pPr>
              <w:jc w:val="right"/>
            </w:pPr>
            <w:r>
              <w:rPr>
                <w:color w:val="000000"/>
                <w:sz w:val="24"/>
                <w:szCs w:val="24"/>
              </w:rPr>
              <w:t>29,341,101.88</w:t>
            </w:r>
          </w:p>
        </w:tc>
        <w:tc>
          <w:tcPr>
            <w:tcW w:w="1644" w:type="dxa"/>
            <w:vAlign w:val="center"/>
          </w:tcPr>
          <w:p w:rsidR="00E54D7F" w:rsidRDefault="003E38A7">
            <w:pPr>
              <w:jc w:val="right"/>
            </w:pPr>
            <w:r>
              <w:rPr>
                <w:color w:val="000000"/>
                <w:sz w:val="24"/>
                <w:szCs w:val="24"/>
              </w:rPr>
              <w:t>7.01</w:t>
            </w:r>
          </w:p>
        </w:tc>
      </w:tr>
      <w:tr w:rsidR="00E54D7F">
        <w:trPr>
          <w:jc w:val="center"/>
        </w:trPr>
        <w:tc>
          <w:tcPr>
            <w:tcW w:w="855" w:type="dxa"/>
            <w:vAlign w:val="center"/>
          </w:tcPr>
          <w:p w:rsidR="00E54D7F" w:rsidRDefault="003E38A7">
            <w:pPr>
              <w:jc w:val="center"/>
            </w:pPr>
            <w:r>
              <w:rPr>
                <w:color w:val="000000"/>
                <w:sz w:val="24"/>
                <w:szCs w:val="24"/>
              </w:rPr>
              <w:t>5</w:t>
            </w:r>
          </w:p>
        </w:tc>
        <w:tc>
          <w:tcPr>
            <w:tcW w:w="1334" w:type="dxa"/>
            <w:vAlign w:val="center"/>
          </w:tcPr>
          <w:p w:rsidR="00E54D7F" w:rsidRDefault="003E38A7">
            <w:pPr>
              <w:jc w:val="center"/>
            </w:pPr>
            <w:r>
              <w:rPr>
                <w:color w:val="000000"/>
                <w:sz w:val="24"/>
                <w:szCs w:val="24"/>
              </w:rPr>
              <w:t>600529</w:t>
            </w:r>
          </w:p>
        </w:tc>
        <w:tc>
          <w:tcPr>
            <w:tcW w:w="1777" w:type="dxa"/>
            <w:vAlign w:val="center"/>
          </w:tcPr>
          <w:p w:rsidR="00E54D7F" w:rsidRDefault="003E38A7">
            <w:pPr>
              <w:jc w:val="center"/>
            </w:pPr>
            <w:r>
              <w:rPr>
                <w:color w:val="000000"/>
                <w:sz w:val="24"/>
                <w:szCs w:val="24"/>
              </w:rPr>
              <w:t>山东药玻</w:t>
            </w:r>
          </w:p>
        </w:tc>
        <w:tc>
          <w:tcPr>
            <w:tcW w:w="1334" w:type="dxa"/>
            <w:vAlign w:val="center"/>
          </w:tcPr>
          <w:p w:rsidR="00E54D7F" w:rsidRDefault="003E38A7">
            <w:pPr>
              <w:jc w:val="right"/>
            </w:pPr>
            <w:r>
              <w:rPr>
                <w:color w:val="000000"/>
                <w:sz w:val="24"/>
                <w:szCs w:val="24"/>
              </w:rPr>
              <w:t>1,136,592</w:t>
            </w:r>
          </w:p>
        </w:tc>
        <w:tc>
          <w:tcPr>
            <w:tcW w:w="1924" w:type="dxa"/>
            <w:vAlign w:val="center"/>
          </w:tcPr>
          <w:p w:rsidR="00E54D7F" w:rsidRDefault="003E38A7">
            <w:pPr>
              <w:jc w:val="right"/>
            </w:pPr>
            <w:r>
              <w:rPr>
                <w:color w:val="000000"/>
                <w:sz w:val="24"/>
                <w:szCs w:val="24"/>
              </w:rPr>
              <w:t>25,891,565.76</w:t>
            </w:r>
          </w:p>
        </w:tc>
        <w:tc>
          <w:tcPr>
            <w:tcW w:w="1644" w:type="dxa"/>
            <w:vAlign w:val="center"/>
          </w:tcPr>
          <w:p w:rsidR="00E54D7F" w:rsidRDefault="003E38A7">
            <w:pPr>
              <w:jc w:val="right"/>
            </w:pPr>
            <w:r>
              <w:rPr>
                <w:color w:val="000000"/>
                <w:sz w:val="24"/>
                <w:szCs w:val="24"/>
              </w:rPr>
              <w:t>6.19</w:t>
            </w:r>
          </w:p>
        </w:tc>
      </w:tr>
      <w:tr w:rsidR="00E54D7F">
        <w:trPr>
          <w:jc w:val="center"/>
        </w:trPr>
        <w:tc>
          <w:tcPr>
            <w:tcW w:w="855" w:type="dxa"/>
            <w:vAlign w:val="center"/>
          </w:tcPr>
          <w:p w:rsidR="00E54D7F" w:rsidRDefault="003E38A7">
            <w:pPr>
              <w:jc w:val="center"/>
            </w:pPr>
            <w:r>
              <w:rPr>
                <w:color w:val="000000"/>
                <w:sz w:val="24"/>
                <w:szCs w:val="24"/>
              </w:rPr>
              <w:t>6</w:t>
            </w:r>
          </w:p>
        </w:tc>
        <w:tc>
          <w:tcPr>
            <w:tcW w:w="1334" w:type="dxa"/>
            <w:vAlign w:val="center"/>
          </w:tcPr>
          <w:p w:rsidR="00E54D7F" w:rsidRDefault="003E38A7">
            <w:pPr>
              <w:jc w:val="center"/>
            </w:pPr>
            <w:r>
              <w:rPr>
                <w:color w:val="000000"/>
                <w:sz w:val="24"/>
                <w:szCs w:val="24"/>
              </w:rPr>
              <w:t>000661</w:t>
            </w:r>
          </w:p>
        </w:tc>
        <w:tc>
          <w:tcPr>
            <w:tcW w:w="1777" w:type="dxa"/>
            <w:vAlign w:val="center"/>
          </w:tcPr>
          <w:p w:rsidR="00E54D7F" w:rsidRDefault="003E38A7">
            <w:pPr>
              <w:jc w:val="center"/>
            </w:pPr>
            <w:r>
              <w:rPr>
                <w:color w:val="000000"/>
                <w:sz w:val="24"/>
                <w:szCs w:val="24"/>
              </w:rPr>
              <w:t>长春高新</w:t>
            </w:r>
          </w:p>
        </w:tc>
        <w:tc>
          <w:tcPr>
            <w:tcW w:w="1334" w:type="dxa"/>
            <w:vAlign w:val="center"/>
          </w:tcPr>
          <w:p w:rsidR="00E54D7F" w:rsidRDefault="003E38A7">
            <w:pPr>
              <w:jc w:val="right"/>
            </w:pPr>
            <w:r>
              <w:rPr>
                <w:color w:val="000000"/>
                <w:sz w:val="24"/>
                <w:szCs w:val="24"/>
              </w:rPr>
              <w:t>72,788</w:t>
            </w:r>
          </w:p>
        </w:tc>
        <w:tc>
          <w:tcPr>
            <w:tcW w:w="1924" w:type="dxa"/>
            <w:vAlign w:val="center"/>
          </w:tcPr>
          <w:p w:rsidR="00E54D7F" w:rsidRDefault="003E38A7">
            <w:pPr>
              <w:jc w:val="right"/>
            </w:pPr>
            <w:r>
              <w:rPr>
                <w:color w:val="000000"/>
                <w:sz w:val="24"/>
                <w:szCs w:val="24"/>
              </w:rPr>
              <w:t>24,602,344.00</w:t>
            </w:r>
          </w:p>
        </w:tc>
        <w:tc>
          <w:tcPr>
            <w:tcW w:w="1644" w:type="dxa"/>
            <w:vAlign w:val="center"/>
          </w:tcPr>
          <w:p w:rsidR="00E54D7F" w:rsidRDefault="003E38A7">
            <w:pPr>
              <w:jc w:val="right"/>
            </w:pPr>
            <w:r>
              <w:rPr>
                <w:color w:val="000000"/>
                <w:sz w:val="24"/>
                <w:szCs w:val="24"/>
              </w:rPr>
              <w:t>5.88</w:t>
            </w:r>
          </w:p>
        </w:tc>
      </w:tr>
      <w:tr w:rsidR="00E54D7F">
        <w:trPr>
          <w:jc w:val="center"/>
        </w:trPr>
        <w:tc>
          <w:tcPr>
            <w:tcW w:w="855" w:type="dxa"/>
            <w:vAlign w:val="center"/>
          </w:tcPr>
          <w:p w:rsidR="00E54D7F" w:rsidRDefault="003E38A7">
            <w:pPr>
              <w:jc w:val="center"/>
            </w:pPr>
            <w:r>
              <w:rPr>
                <w:color w:val="000000"/>
                <w:sz w:val="24"/>
                <w:szCs w:val="24"/>
              </w:rPr>
              <w:t>7</w:t>
            </w:r>
          </w:p>
        </w:tc>
        <w:tc>
          <w:tcPr>
            <w:tcW w:w="1334" w:type="dxa"/>
            <w:vAlign w:val="center"/>
          </w:tcPr>
          <w:p w:rsidR="00E54D7F" w:rsidRDefault="003E38A7">
            <w:pPr>
              <w:jc w:val="center"/>
            </w:pPr>
            <w:r>
              <w:rPr>
                <w:color w:val="000000"/>
                <w:sz w:val="24"/>
                <w:szCs w:val="24"/>
              </w:rPr>
              <w:t>300760</w:t>
            </w:r>
          </w:p>
        </w:tc>
        <w:tc>
          <w:tcPr>
            <w:tcW w:w="1777" w:type="dxa"/>
            <w:vAlign w:val="center"/>
          </w:tcPr>
          <w:p w:rsidR="00E54D7F" w:rsidRDefault="003E38A7">
            <w:pPr>
              <w:jc w:val="center"/>
            </w:pPr>
            <w:r>
              <w:rPr>
                <w:color w:val="000000"/>
                <w:sz w:val="24"/>
                <w:szCs w:val="24"/>
              </w:rPr>
              <w:t>迈瑞医疗</w:t>
            </w:r>
          </w:p>
        </w:tc>
        <w:tc>
          <w:tcPr>
            <w:tcW w:w="1334" w:type="dxa"/>
            <w:vAlign w:val="center"/>
          </w:tcPr>
          <w:p w:rsidR="00E54D7F" w:rsidRDefault="003E38A7">
            <w:pPr>
              <w:jc w:val="right"/>
            </w:pPr>
            <w:r>
              <w:rPr>
                <w:color w:val="000000"/>
                <w:sz w:val="24"/>
                <w:szCs w:val="24"/>
              </w:rPr>
              <w:t>110,470</w:t>
            </w:r>
          </w:p>
        </w:tc>
        <w:tc>
          <w:tcPr>
            <w:tcW w:w="1924" w:type="dxa"/>
            <w:vAlign w:val="center"/>
          </w:tcPr>
          <w:p w:rsidR="00E54D7F" w:rsidRDefault="003E38A7">
            <w:pPr>
              <w:jc w:val="right"/>
            </w:pPr>
            <w:r>
              <w:rPr>
                <w:color w:val="000000"/>
                <w:sz w:val="24"/>
                <w:szCs w:val="24"/>
              </w:rPr>
              <w:t>18,028,704.00</w:t>
            </w:r>
          </w:p>
        </w:tc>
        <w:tc>
          <w:tcPr>
            <w:tcW w:w="1644" w:type="dxa"/>
            <w:vAlign w:val="center"/>
          </w:tcPr>
          <w:p w:rsidR="00E54D7F" w:rsidRDefault="003E38A7">
            <w:pPr>
              <w:jc w:val="right"/>
            </w:pPr>
            <w:r>
              <w:rPr>
                <w:color w:val="000000"/>
                <w:sz w:val="24"/>
                <w:szCs w:val="24"/>
              </w:rPr>
              <w:t>4.31</w:t>
            </w:r>
          </w:p>
        </w:tc>
      </w:tr>
      <w:tr w:rsidR="00E54D7F">
        <w:trPr>
          <w:jc w:val="center"/>
        </w:trPr>
        <w:tc>
          <w:tcPr>
            <w:tcW w:w="855" w:type="dxa"/>
            <w:vAlign w:val="center"/>
          </w:tcPr>
          <w:p w:rsidR="00E54D7F" w:rsidRDefault="003E38A7">
            <w:pPr>
              <w:jc w:val="center"/>
            </w:pPr>
            <w:r>
              <w:rPr>
                <w:color w:val="000000"/>
                <w:sz w:val="24"/>
                <w:szCs w:val="24"/>
              </w:rPr>
              <w:t>8</w:t>
            </w:r>
          </w:p>
        </w:tc>
        <w:tc>
          <w:tcPr>
            <w:tcW w:w="1334" w:type="dxa"/>
            <w:vAlign w:val="center"/>
          </w:tcPr>
          <w:p w:rsidR="00E54D7F" w:rsidRDefault="003E38A7">
            <w:pPr>
              <w:jc w:val="center"/>
            </w:pPr>
            <w:r>
              <w:rPr>
                <w:color w:val="000000"/>
                <w:sz w:val="24"/>
                <w:szCs w:val="24"/>
              </w:rPr>
              <w:t>600161</w:t>
            </w:r>
          </w:p>
        </w:tc>
        <w:tc>
          <w:tcPr>
            <w:tcW w:w="1777" w:type="dxa"/>
            <w:vAlign w:val="center"/>
          </w:tcPr>
          <w:p w:rsidR="00E54D7F" w:rsidRDefault="003E38A7">
            <w:pPr>
              <w:jc w:val="center"/>
            </w:pPr>
            <w:r>
              <w:rPr>
                <w:color w:val="000000"/>
                <w:sz w:val="24"/>
                <w:szCs w:val="24"/>
              </w:rPr>
              <w:t>天坛生物</w:t>
            </w:r>
          </w:p>
        </w:tc>
        <w:tc>
          <w:tcPr>
            <w:tcW w:w="1334" w:type="dxa"/>
            <w:vAlign w:val="center"/>
          </w:tcPr>
          <w:p w:rsidR="00E54D7F" w:rsidRDefault="003E38A7">
            <w:pPr>
              <w:jc w:val="right"/>
            </w:pPr>
            <w:r>
              <w:rPr>
                <w:color w:val="000000"/>
                <w:sz w:val="24"/>
                <w:szCs w:val="24"/>
              </w:rPr>
              <w:t>509,801</w:t>
            </w:r>
          </w:p>
        </w:tc>
        <w:tc>
          <w:tcPr>
            <w:tcW w:w="1924" w:type="dxa"/>
            <w:vAlign w:val="center"/>
          </w:tcPr>
          <w:p w:rsidR="00E54D7F" w:rsidRDefault="003E38A7">
            <w:pPr>
              <w:jc w:val="right"/>
            </w:pPr>
            <w:r>
              <w:rPr>
                <w:color w:val="000000"/>
                <w:sz w:val="24"/>
                <w:szCs w:val="24"/>
              </w:rPr>
              <w:t>12,872,475.25</w:t>
            </w:r>
          </w:p>
        </w:tc>
        <w:tc>
          <w:tcPr>
            <w:tcW w:w="1644" w:type="dxa"/>
            <w:vAlign w:val="center"/>
          </w:tcPr>
          <w:p w:rsidR="00E54D7F" w:rsidRDefault="003E38A7">
            <w:pPr>
              <w:jc w:val="right"/>
            </w:pPr>
            <w:r>
              <w:rPr>
                <w:color w:val="000000"/>
                <w:sz w:val="24"/>
                <w:szCs w:val="24"/>
              </w:rPr>
              <w:t>3.08</w:t>
            </w:r>
          </w:p>
        </w:tc>
      </w:tr>
      <w:tr w:rsidR="00E54D7F">
        <w:trPr>
          <w:jc w:val="center"/>
        </w:trPr>
        <w:tc>
          <w:tcPr>
            <w:tcW w:w="855" w:type="dxa"/>
            <w:vAlign w:val="center"/>
          </w:tcPr>
          <w:p w:rsidR="00E54D7F" w:rsidRDefault="003E38A7">
            <w:pPr>
              <w:jc w:val="center"/>
            </w:pPr>
            <w:r>
              <w:rPr>
                <w:color w:val="000000"/>
                <w:sz w:val="24"/>
                <w:szCs w:val="24"/>
              </w:rPr>
              <w:t>9</w:t>
            </w:r>
          </w:p>
        </w:tc>
        <w:tc>
          <w:tcPr>
            <w:tcW w:w="1334" w:type="dxa"/>
            <w:vAlign w:val="center"/>
          </w:tcPr>
          <w:p w:rsidR="00E54D7F" w:rsidRDefault="003E38A7">
            <w:pPr>
              <w:jc w:val="center"/>
            </w:pPr>
            <w:r>
              <w:rPr>
                <w:color w:val="000000"/>
                <w:sz w:val="24"/>
                <w:szCs w:val="24"/>
              </w:rPr>
              <w:t>300529</w:t>
            </w:r>
          </w:p>
        </w:tc>
        <w:tc>
          <w:tcPr>
            <w:tcW w:w="1777" w:type="dxa"/>
            <w:vAlign w:val="center"/>
          </w:tcPr>
          <w:p w:rsidR="00E54D7F" w:rsidRDefault="003E38A7">
            <w:pPr>
              <w:jc w:val="center"/>
            </w:pPr>
            <w:r>
              <w:rPr>
                <w:color w:val="000000"/>
                <w:sz w:val="24"/>
                <w:szCs w:val="24"/>
              </w:rPr>
              <w:t>健帆生物</w:t>
            </w:r>
          </w:p>
        </w:tc>
        <w:tc>
          <w:tcPr>
            <w:tcW w:w="1334" w:type="dxa"/>
            <w:vAlign w:val="center"/>
          </w:tcPr>
          <w:p w:rsidR="00E54D7F" w:rsidRDefault="003E38A7">
            <w:pPr>
              <w:jc w:val="right"/>
            </w:pPr>
            <w:r>
              <w:rPr>
                <w:color w:val="000000"/>
                <w:sz w:val="24"/>
                <w:szCs w:val="24"/>
              </w:rPr>
              <w:t>200,593</w:t>
            </w:r>
          </w:p>
        </w:tc>
        <w:tc>
          <w:tcPr>
            <w:tcW w:w="1924" w:type="dxa"/>
            <w:vAlign w:val="center"/>
          </w:tcPr>
          <w:p w:rsidR="00E54D7F" w:rsidRDefault="003E38A7">
            <w:pPr>
              <w:jc w:val="right"/>
            </w:pPr>
            <w:r>
              <w:rPr>
                <w:color w:val="000000"/>
                <w:sz w:val="24"/>
                <w:szCs w:val="24"/>
              </w:rPr>
              <w:t>12,506,973.55</w:t>
            </w:r>
          </w:p>
        </w:tc>
        <w:tc>
          <w:tcPr>
            <w:tcW w:w="1644" w:type="dxa"/>
            <w:vAlign w:val="center"/>
          </w:tcPr>
          <w:p w:rsidR="00E54D7F" w:rsidRDefault="003E38A7">
            <w:pPr>
              <w:jc w:val="right"/>
            </w:pPr>
            <w:r>
              <w:rPr>
                <w:color w:val="000000"/>
                <w:sz w:val="24"/>
                <w:szCs w:val="24"/>
              </w:rPr>
              <w:t>2.99</w:t>
            </w:r>
          </w:p>
        </w:tc>
      </w:tr>
      <w:tr w:rsidR="00E54D7F">
        <w:trPr>
          <w:jc w:val="center"/>
        </w:trPr>
        <w:tc>
          <w:tcPr>
            <w:tcW w:w="855" w:type="dxa"/>
            <w:vAlign w:val="center"/>
          </w:tcPr>
          <w:p w:rsidR="00E54D7F" w:rsidRDefault="003E38A7">
            <w:pPr>
              <w:jc w:val="center"/>
            </w:pPr>
            <w:r>
              <w:rPr>
                <w:color w:val="000000"/>
                <w:sz w:val="24"/>
                <w:szCs w:val="24"/>
              </w:rPr>
              <w:t>10</w:t>
            </w:r>
          </w:p>
        </w:tc>
        <w:tc>
          <w:tcPr>
            <w:tcW w:w="1334" w:type="dxa"/>
            <w:vAlign w:val="center"/>
          </w:tcPr>
          <w:p w:rsidR="00E54D7F" w:rsidRDefault="003E38A7">
            <w:pPr>
              <w:jc w:val="center"/>
            </w:pPr>
            <w:r>
              <w:rPr>
                <w:color w:val="000000"/>
                <w:sz w:val="24"/>
                <w:szCs w:val="24"/>
              </w:rPr>
              <w:t>600436</w:t>
            </w:r>
          </w:p>
        </w:tc>
        <w:tc>
          <w:tcPr>
            <w:tcW w:w="1777" w:type="dxa"/>
            <w:vAlign w:val="center"/>
          </w:tcPr>
          <w:p w:rsidR="00E54D7F" w:rsidRDefault="003E38A7">
            <w:pPr>
              <w:jc w:val="center"/>
            </w:pPr>
            <w:r>
              <w:rPr>
                <w:color w:val="000000"/>
                <w:sz w:val="24"/>
                <w:szCs w:val="24"/>
              </w:rPr>
              <w:t>片仔癀</w:t>
            </w:r>
          </w:p>
        </w:tc>
        <w:tc>
          <w:tcPr>
            <w:tcW w:w="1334" w:type="dxa"/>
            <w:vAlign w:val="center"/>
          </w:tcPr>
          <w:p w:rsidR="00E54D7F" w:rsidRDefault="003E38A7">
            <w:pPr>
              <w:jc w:val="right"/>
            </w:pPr>
            <w:r>
              <w:rPr>
                <w:color w:val="000000"/>
                <w:sz w:val="24"/>
                <w:szCs w:val="24"/>
              </w:rPr>
              <w:t>93,200</w:t>
            </w:r>
          </w:p>
        </w:tc>
        <w:tc>
          <w:tcPr>
            <w:tcW w:w="1924" w:type="dxa"/>
            <w:vAlign w:val="center"/>
          </w:tcPr>
          <w:p w:rsidR="00E54D7F" w:rsidRDefault="003E38A7">
            <w:pPr>
              <w:jc w:val="right"/>
            </w:pPr>
            <w:r>
              <w:rPr>
                <w:color w:val="000000"/>
                <w:sz w:val="24"/>
                <w:szCs w:val="24"/>
              </w:rPr>
              <w:t>10,736,640.00</w:t>
            </w:r>
          </w:p>
        </w:tc>
        <w:tc>
          <w:tcPr>
            <w:tcW w:w="1644" w:type="dxa"/>
            <w:vAlign w:val="center"/>
          </w:tcPr>
          <w:p w:rsidR="00E54D7F" w:rsidRDefault="003E38A7">
            <w:pPr>
              <w:jc w:val="right"/>
            </w:pPr>
            <w:r>
              <w:rPr>
                <w:color w:val="000000"/>
                <w:sz w:val="24"/>
                <w:szCs w:val="24"/>
              </w:rPr>
              <w:t>2.57</w:t>
            </w:r>
          </w:p>
        </w:tc>
      </w:tr>
    </w:tbl>
    <w:p w:rsidR="004061AC" w:rsidRPr="00414345" w:rsidRDefault="004061AC" w:rsidP="00C15CAC">
      <w:pPr>
        <w:autoSpaceDE w:val="0"/>
        <w:autoSpaceDN w:val="0"/>
        <w:adjustRightInd w:val="0"/>
        <w:spacing w:before="29" w:line="288" w:lineRule="auto"/>
        <w:jc w:val="left"/>
        <w:rPr>
          <w:b/>
          <w:bCs/>
          <w:color w:val="000000"/>
          <w:kern w:val="0"/>
          <w:sz w:val="24"/>
          <w:szCs w:val="24"/>
        </w:rPr>
      </w:pP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5.4 </w:t>
      </w:r>
      <w:r w:rsidRPr="00414345">
        <w:rPr>
          <w:b/>
          <w:bCs/>
          <w:color w:val="000000"/>
          <w:kern w:val="0"/>
          <w:sz w:val="24"/>
          <w:szCs w:val="24"/>
        </w:rPr>
        <w:t>报告期末按债券品种分类的债券投资组合</w:t>
      </w:r>
    </w:p>
    <w:p w:rsidR="00CE7169" w:rsidRPr="00CE7169" w:rsidRDefault="009C1009" w:rsidP="009C1009">
      <w:pPr>
        <w:autoSpaceDE w:val="0"/>
        <w:autoSpaceDN w:val="0"/>
        <w:adjustRightInd w:val="0"/>
        <w:spacing w:before="29" w:line="288" w:lineRule="auto"/>
        <w:jc w:val="right"/>
        <w:rPr>
          <w:bCs/>
          <w:color w:val="000000"/>
          <w:kern w:val="0"/>
          <w:sz w:val="24"/>
          <w:szCs w:val="24"/>
        </w:rPr>
      </w:pPr>
      <w:r w:rsidRPr="009C1009">
        <w:rPr>
          <w:rFonts w:hint="eastAsia"/>
          <w:bCs/>
          <w:color w:val="000000"/>
          <w:kern w:val="0"/>
          <w:sz w:val="24"/>
          <w:szCs w:val="24"/>
        </w:rPr>
        <w:t>金额单位：人民币元</w:t>
      </w:r>
    </w:p>
    <w:tbl>
      <w:tblPr>
        <w:tblStyle w:val="af7"/>
        <w:tblW w:w="8868" w:type="dxa"/>
        <w:jc w:val="center"/>
        <w:tblLayout w:type="fixed"/>
        <w:tblLook w:val="04A0" w:firstRow="1" w:lastRow="0" w:firstColumn="1" w:lastColumn="0" w:noHBand="0" w:noVBand="1"/>
      </w:tblPr>
      <w:tblGrid>
        <w:gridCol w:w="828"/>
        <w:gridCol w:w="3302"/>
        <w:gridCol w:w="2987"/>
        <w:gridCol w:w="1751"/>
      </w:tblGrid>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序号</w:t>
            </w:r>
          </w:p>
        </w:tc>
        <w:tc>
          <w:tcPr>
            <w:tcW w:w="3302"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债券品种</w:t>
            </w:r>
          </w:p>
        </w:tc>
        <w:tc>
          <w:tcPr>
            <w:tcW w:w="2987"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公允价值</w:t>
            </w:r>
          </w:p>
        </w:tc>
        <w:tc>
          <w:tcPr>
            <w:tcW w:w="1751"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占基金资产净值比例</w:t>
            </w:r>
            <w:r w:rsidR="00C47163" w:rsidRPr="00414345">
              <w:rPr>
                <w:color w:val="000000"/>
                <w:sz w:val="24"/>
              </w:rPr>
              <w:t>（％）</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1</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国家债券</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2</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央行票据</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3</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金融债券</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其中：政策性金融债</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4</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企业债券</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5</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企业短期融资</w:t>
            </w:r>
            <w:r w:rsidR="00963F40" w:rsidRPr="00414345">
              <w:rPr>
                <w:color w:val="000000"/>
                <w:sz w:val="24"/>
                <w:szCs w:val="24"/>
              </w:rPr>
              <w:t>券</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FB41D3" w:rsidRPr="00414345" w:rsidTr="00F323FF">
        <w:trPr>
          <w:jc w:val="center"/>
        </w:trPr>
        <w:tc>
          <w:tcPr>
            <w:tcW w:w="828" w:type="dxa"/>
            <w:vAlign w:val="center"/>
          </w:tcPr>
          <w:p w:rsidR="00FB41D3" w:rsidRPr="00414345" w:rsidRDefault="00FB41D3" w:rsidP="00C15CAC">
            <w:pPr>
              <w:spacing w:before="29" w:line="288" w:lineRule="auto"/>
              <w:ind w:left="17"/>
              <w:jc w:val="center"/>
              <w:rPr>
                <w:color w:val="000000"/>
                <w:sz w:val="24"/>
                <w:szCs w:val="24"/>
              </w:rPr>
            </w:pPr>
            <w:r w:rsidRPr="00414345">
              <w:rPr>
                <w:color w:val="000000"/>
                <w:sz w:val="24"/>
                <w:szCs w:val="24"/>
              </w:rPr>
              <w:t>6</w:t>
            </w:r>
          </w:p>
        </w:tc>
        <w:tc>
          <w:tcPr>
            <w:tcW w:w="3302" w:type="dxa"/>
            <w:vAlign w:val="center"/>
          </w:tcPr>
          <w:p w:rsidR="00FB41D3" w:rsidRPr="00414345" w:rsidRDefault="00FB41D3" w:rsidP="00C15CAC">
            <w:pPr>
              <w:spacing w:before="29" w:line="288" w:lineRule="auto"/>
              <w:ind w:left="17"/>
              <w:jc w:val="left"/>
              <w:rPr>
                <w:color w:val="000000"/>
                <w:sz w:val="24"/>
                <w:szCs w:val="24"/>
              </w:rPr>
            </w:pPr>
            <w:r w:rsidRPr="00414345">
              <w:rPr>
                <w:color w:val="000000"/>
                <w:sz w:val="24"/>
                <w:szCs w:val="24"/>
              </w:rPr>
              <w:t>中期票据</w:t>
            </w:r>
          </w:p>
        </w:tc>
        <w:tc>
          <w:tcPr>
            <w:tcW w:w="2987" w:type="dxa"/>
            <w:vAlign w:val="center"/>
          </w:tcPr>
          <w:p w:rsidR="00FB41D3" w:rsidRPr="00414345" w:rsidRDefault="00FB41D3"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FB41D3" w:rsidRPr="00414345" w:rsidRDefault="00FB41D3"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FB41D3" w:rsidP="00C15CAC">
            <w:pPr>
              <w:spacing w:before="29" w:line="288" w:lineRule="auto"/>
              <w:ind w:left="17"/>
              <w:jc w:val="center"/>
              <w:rPr>
                <w:color w:val="000000"/>
                <w:sz w:val="24"/>
                <w:szCs w:val="24"/>
              </w:rPr>
            </w:pPr>
            <w:r w:rsidRPr="00414345">
              <w:rPr>
                <w:color w:val="000000"/>
                <w:sz w:val="24"/>
                <w:szCs w:val="24"/>
              </w:rPr>
              <w:t>7</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可转债</w:t>
            </w:r>
            <w:r w:rsidR="00AB6E79">
              <w:rPr>
                <w:rFonts w:hint="eastAsia"/>
                <w:sz w:val="24"/>
              </w:rPr>
              <w:t>（可交换债）</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321,115.90</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0.08</w:t>
            </w:r>
          </w:p>
        </w:tc>
      </w:tr>
      <w:tr w:rsidR="00F323FF" w:rsidRPr="00414345" w:rsidTr="0006711A">
        <w:trPr>
          <w:jc w:val="center"/>
        </w:trPr>
        <w:tc>
          <w:tcPr>
            <w:tcW w:w="828" w:type="dxa"/>
            <w:vAlign w:val="center"/>
          </w:tcPr>
          <w:p w:rsidR="00F323FF" w:rsidRPr="007A70C2" w:rsidRDefault="00F323FF" w:rsidP="0006711A">
            <w:pPr>
              <w:spacing w:before="29" w:line="288" w:lineRule="auto"/>
              <w:ind w:left="17"/>
              <w:jc w:val="center"/>
              <w:rPr>
                <w:color w:val="000000"/>
                <w:sz w:val="24"/>
                <w:szCs w:val="24"/>
              </w:rPr>
            </w:pPr>
            <w:r w:rsidRPr="007A70C2">
              <w:rPr>
                <w:rFonts w:hint="eastAsia"/>
                <w:color w:val="000000"/>
                <w:sz w:val="24"/>
                <w:szCs w:val="24"/>
              </w:rPr>
              <w:t>8</w:t>
            </w:r>
          </w:p>
        </w:tc>
        <w:tc>
          <w:tcPr>
            <w:tcW w:w="3302" w:type="dxa"/>
            <w:vAlign w:val="center"/>
          </w:tcPr>
          <w:p w:rsidR="00F323FF" w:rsidRPr="007A70C2" w:rsidRDefault="00F323FF" w:rsidP="0006711A">
            <w:pPr>
              <w:spacing w:before="29" w:line="288" w:lineRule="auto"/>
              <w:ind w:left="17"/>
              <w:jc w:val="left"/>
              <w:rPr>
                <w:color w:val="000000"/>
                <w:sz w:val="24"/>
                <w:szCs w:val="24"/>
              </w:rPr>
            </w:pPr>
            <w:r w:rsidRPr="007A70C2">
              <w:rPr>
                <w:rFonts w:hint="eastAsia"/>
                <w:color w:val="000000"/>
                <w:sz w:val="24"/>
                <w:szCs w:val="24"/>
              </w:rPr>
              <w:t>同业存单</w:t>
            </w:r>
          </w:p>
        </w:tc>
        <w:tc>
          <w:tcPr>
            <w:tcW w:w="2987" w:type="dxa"/>
            <w:vAlign w:val="center"/>
          </w:tcPr>
          <w:p w:rsidR="00F323FF" w:rsidRPr="007A70C2" w:rsidRDefault="00F323FF" w:rsidP="0006711A">
            <w:pPr>
              <w:spacing w:before="29" w:line="288" w:lineRule="auto"/>
              <w:ind w:left="17"/>
              <w:jc w:val="right"/>
              <w:rPr>
                <w:color w:val="000000"/>
                <w:sz w:val="24"/>
                <w:szCs w:val="24"/>
              </w:rPr>
            </w:pPr>
            <w:r w:rsidRPr="007A70C2">
              <w:rPr>
                <w:rFonts w:hint="eastAsia"/>
                <w:color w:val="000000"/>
                <w:sz w:val="24"/>
                <w:szCs w:val="24"/>
              </w:rPr>
              <w:t>-</w:t>
            </w:r>
          </w:p>
        </w:tc>
        <w:tc>
          <w:tcPr>
            <w:tcW w:w="1751" w:type="dxa"/>
            <w:vAlign w:val="center"/>
          </w:tcPr>
          <w:p w:rsidR="00F323FF" w:rsidRPr="007A70C2" w:rsidRDefault="00F323FF" w:rsidP="0006711A">
            <w:pPr>
              <w:spacing w:before="29" w:line="288" w:lineRule="auto"/>
              <w:ind w:left="17"/>
              <w:jc w:val="right"/>
              <w:rPr>
                <w:color w:val="000000"/>
                <w:sz w:val="24"/>
                <w:szCs w:val="24"/>
              </w:rPr>
            </w:pPr>
            <w:r w:rsidRPr="007A70C2">
              <w:rPr>
                <w:rFonts w:hint="eastAsia"/>
                <w:color w:val="000000"/>
                <w:sz w:val="24"/>
                <w:szCs w:val="24"/>
              </w:rPr>
              <w:t>-</w:t>
            </w:r>
          </w:p>
        </w:tc>
      </w:tr>
      <w:tr w:rsidR="00AC592E" w:rsidRPr="00414345" w:rsidTr="00F323FF">
        <w:trPr>
          <w:jc w:val="center"/>
        </w:trPr>
        <w:tc>
          <w:tcPr>
            <w:tcW w:w="828" w:type="dxa"/>
            <w:vAlign w:val="center"/>
          </w:tcPr>
          <w:p w:rsidR="00AC592E" w:rsidRPr="00414345" w:rsidRDefault="00AC592E" w:rsidP="00F323FF">
            <w:pPr>
              <w:spacing w:before="29" w:line="288" w:lineRule="auto"/>
              <w:ind w:left="17"/>
              <w:jc w:val="center"/>
              <w:rPr>
                <w:color w:val="000000"/>
                <w:sz w:val="24"/>
                <w:szCs w:val="24"/>
              </w:rPr>
            </w:pPr>
            <w:r w:rsidRPr="00414345">
              <w:rPr>
                <w:color w:val="000000"/>
                <w:sz w:val="24"/>
                <w:szCs w:val="24"/>
              </w:rPr>
              <w:t>9</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其他</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AC592E" w:rsidP="00F323FF">
            <w:pPr>
              <w:spacing w:before="29" w:line="288" w:lineRule="auto"/>
              <w:ind w:left="17"/>
              <w:jc w:val="center"/>
              <w:rPr>
                <w:color w:val="000000"/>
                <w:sz w:val="24"/>
                <w:szCs w:val="24"/>
              </w:rPr>
            </w:pPr>
            <w:r w:rsidRPr="00414345">
              <w:rPr>
                <w:color w:val="000000"/>
                <w:sz w:val="24"/>
                <w:szCs w:val="24"/>
              </w:rPr>
              <w:t>10</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合计</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321,115.90</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0.08</w:t>
            </w:r>
          </w:p>
        </w:tc>
      </w:tr>
    </w:tbl>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5.5 </w:t>
      </w:r>
      <w:r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Pr="00414345">
        <w:rPr>
          <w:b/>
          <w:bCs/>
          <w:color w:val="000000"/>
          <w:kern w:val="0"/>
          <w:sz w:val="24"/>
          <w:szCs w:val="24"/>
        </w:rPr>
        <w:t>的前五名债券投资明细</w:t>
      </w:r>
    </w:p>
    <w:p w:rsidR="005B4C8F" w:rsidRPr="005B4C8F" w:rsidRDefault="009C1009" w:rsidP="009C1009">
      <w:pPr>
        <w:autoSpaceDE w:val="0"/>
        <w:autoSpaceDN w:val="0"/>
        <w:adjustRightInd w:val="0"/>
        <w:spacing w:before="29" w:line="288" w:lineRule="auto"/>
        <w:jc w:val="right"/>
        <w:rPr>
          <w:bCs/>
          <w:color w:val="000000"/>
          <w:kern w:val="0"/>
          <w:sz w:val="24"/>
          <w:szCs w:val="24"/>
        </w:rPr>
      </w:pPr>
      <w:r w:rsidRPr="009C1009">
        <w:rPr>
          <w:rFonts w:hint="eastAsia"/>
          <w:bCs/>
          <w:color w:val="000000"/>
          <w:kern w:val="0"/>
          <w:sz w:val="24"/>
          <w:szCs w:val="24"/>
        </w:rPr>
        <w:t>金额单位：人民币元</w:t>
      </w:r>
    </w:p>
    <w:tbl>
      <w:tblPr>
        <w:tblStyle w:val="af7"/>
        <w:tblW w:w="8868" w:type="dxa"/>
        <w:jc w:val="center"/>
        <w:tblLayout w:type="fixed"/>
        <w:tblCellMar>
          <w:top w:w="57" w:type="dxa"/>
          <w:bottom w:w="57" w:type="dxa"/>
        </w:tblCellMar>
        <w:tblLook w:val="04A0" w:firstRow="1" w:lastRow="0" w:firstColumn="1" w:lastColumn="0" w:noHBand="0" w:noVBand="1"/>
      </w:tblPr>
      <w:tblGrid>
        <w:gridCol w:w="850"/>
        <w:gridCol w:w="1475"/>
        <w:gridCol w:w="1769"/>
        <w:gridCol w:w="1387"/>
        <w:gridCol w:w="2150"/>
        <w:gridCol w:w="1237"/>
      </w:tblGrid>
      <w:tr w:rsidR="00D57B7C" w:rsidRPr="00414345" w:rsidTr="00A324F4">
        <w:trPr>
          <w:jc w:val="center"/>
        </w:trPr>
        <w:tc>
          <w:tcPr>
            <w:tcW w:w="817"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序号</w:t>
            </w:r>
          </w:p>
        </w:tc>
        <w:tc>
          <w:tcPr>
            <w:tcW w:w="1418"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债券代码</w:t>
            </w:r>
          </w:p>
        </w:tc>
        <w:tc>
          <w:tcPr>
            <w:tcW w:w="1701"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债券名称</w:t>
            </w:r>
          </w:p>
        </w:tc>
        <w:tc>
          <w:tcPr>
            <w:tcW w:w="1334"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数量</w:t>
            </w:r>
            <w:r w:rsidR="00D2061C" w:rsidRPr="00414345">
              <w:rPr>
                <w:color w:val="000000"/>
                <w:sz w:val="24"/>
              </w:rPr>
              <w:t>（张）</w:t>
            </w:r>
          </w:p>
        </w:tc>
        <w:tc>
          <w:tcPr>
            <w:tcW w:w="2068"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公允价值</w:t>
            </w:r>
          </w:p>
        </w:tc>
        <w:tc>
          <w:tcPr>
            <w:tcW w:w="1190"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占基金资产净值比例</w:t>
            </w:r>
            <w:r w:rsidR="003B3494" w:rsidRPr="00414345">
              <w:rPr>
                <w:color w:val="000000"/>
                <w:sz w:val="24"/>
              </w:rPr>
              <w:t>（％）</w:t>
            </w:r>
          </w:p>
        </w:tc>
      </w:tr>
      <w:tr w:rsidR="00E54D7F">
        <w:trPr>
          <w:jc w:val="center"/>
        </w:trPr>
        <w:tc>
          <w:tcPr>
            <w:tcW w:w="850" w:type="dxa"/>
            <w:vAlign w:val="center"/>
          </w:tcPr>
          <w:p w:rsidR="00E54D7F" w:rsidRDefault="003E38A7">
            <w:pPr>
              <w:jc w:val="center"/>
            </w:pPr>
            <w:r>
              <w:rPr>
                <w:color w:val="000000"/>
                <w:sz w:val="24"/>
                <w:szCs w:val="24"/>
              </w:rPr>
              <w:t>1</w:t>
            </w:r>
          </w:p>
        </w:tc>
        <w:tc>
          <w:tcPr>
            <w:tcW w:w="1475" w:type="dxa"/>
            <w:vAlign w:val="center"/>
          </w:tcPr>
          <w:p w:rsidR="00E54D7F" w:rsidRDefault="003E38A7">
            <w:pPr>
              <w:jc w:val="center"/>
            </w:pPr>
            <w:r>
              <w:rPr>
                <w:color w:val="000000"/>
                <w:sz w:val="24"/>
                <w:szCs w:val="24"/>
              </w:rPr>
              <w:t>128046</w:t>
            </w:r>
          </w:p>
        </w:tc>
        <w:tc>
          <w:tcPr>
            <w:tcW w:w="1769" w:type="dxa"/>
            <w:vAlign w:val="center"/>
          </w:tcPr>
          <w:p w:rsidR="00E54D7F" w:rsidRDefault="003E38A7">
            <w:pPr>
              <w:jc w:val="center"/>
            </w:pPr>
            <w:r>
              <w:rPr>
                <w:color w:val="000000"/>
                <w:sz w:val="24"/>
                <w:szCs w:val="24"/>
              </w:rPr>
              <w:t>利尔转债</w:t>
            </w:r>
          </w:p>
        </w:tc>
        <w:tc>
          <w:tcPr>
            <w:tcW w:w="1387" w:type="dxa"/>
            <w:vAlign w:val="center"/>
          </w:tcPr>
          <w:p w:rsidR="00E54D7F" w:rsidRDefault="003E38A7">
            <w:pPr>
              <w:jc w:val="right"/>
            </w:pPr>
            <w:r>
              <w:rPr>
                <w:color w:val="000000"/>
                <w:sz w:val="24"/>
                <w:szCs w:val="24"/>
              </w:rPr>
              <w:t>3,155</w:t>
            </w:r>
          </w:p>
        </w:tc>
        <w:tc>
          <w:tcPr>
            <w:tcW w:w="2150" w:type="dxa"/>
            <w:vAlign w:val="center"/>
          </w:tcPr>
          <w:p w:rsidR="00E54D7F" w:rsidRDefault="003E38A7">
            <w:pPr>
              <w:jc w:val="right"/>
            </w:pPr>
            <w:r>
              <w:rPr>
                <w:color w:val="000000"/>
                <w:sz w:val="24"/>
                <w:szCs w:val="24"/>
              </w:rPr>
              <w:t>321,115.90</w:t>
            </w:r>
          </w:p>
        </w:tc>
        <w:tc>
          <w:tcPr>
            <w:tcW w:w="1237" w:type="dxa"/>
            <w:vAlign w:val="center"/>
          </w:tcPr>
          <w:p w:rsidR="00E54D7F" w:rsidRDefault="003E38A7">
            <w:pPr>
              <w:jc w:val="right"/>
            </w:pPr>
            <w:r>
              <w:rPr>
                <w:color w:val="000000"/>
                <w:sz w:val="24"/>
                <w:szCs w:val="24"/>
              </w:rPr>
              <w:t>0.08</w:t>
            </w:r>
          </w:p>
        </w:tc>
      </w:tr>
    </w:tbl>
    <w:p w:rsidR="004061AC" w:rsidRPr="00414345" w:rsidRDefault="004061AC" w:rsidP="00C15CAC">
      <w:pPr>
        <w:autoSpaceDE w:val="0"/>
        <w:autoSpaceDN w:val="0"/>
        <w:adjustRightInd w:val="0"/>
        <w:spacing w:before="29" w:line="288" w:lineRule="auto"/>
        <w:jc w:val="left"/>
        <w:rPr>
          <w:b/>
          <w:bCs/>
          <w:color w:val="000000"/>
          <w:kern w:val="0"/>
          <w:sz w:val="24"/>
          <w:szCs w:val="24"/>
        </w:rPr>
      </w:pP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5.6 </w:t>
      </w:r>
      <w:r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Pr="00414345">
        <w:rPr>
          <w:b/>
          <w:bCs/>
          <w:color w:val="000000"/>
          <w:kern w:val="0"/>
          <w:sz w:val="24"/>
          <w:szCs w:val="24"/>
        </w:rPr>
        <w:t>的前十名资产支持证券投资明细</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本基金本报告期末未持有资产支持证券。</w:t>
      </w:r>
    </w:p>
    <w:p w:rsidR="00A54C7D" w:rsidRPr="00414345" w:rsidRDefault="00A54C7D" w:rsidP="00C15CAC">
      <w:pPr>
        <w:autoSpaceDE w:val="0"/>
        <w:autoSpaceDN w:val="0"/>
        <w:adjustRightInd w:val="0"/>
        <w:spacing w:before="29" w:line="288" w:lineRule="auto"/>
        <w:jc w:val="left"/>
        <w:rPr>
          <w:color w:val="000000"/>
          <w:kern w:val="0"/>
          <w:sz w:val="24"/>
          <w:szCs w:val="24"/>
        </w:rPr>
      </w:pPr>
      <w:r w:rsidRPr="00414345">
        <w:rPr>
          <w:b/>
          <w:bCs/>
          <w:color w:val="000000"/>
          <w:kern w:val="0"/>
          <w:sz w:val="24"/>
          <w:szCs w:val="24"/>
        </w:rPr>
        <w:t>5.7</w:t>
      </w:r>
      <w:r w:rsidRPr="00414345">
        <w:rPr>
          <w:rFonts w:hAnsi="宋体"/>
          <w:b/>
          <w:bCs/>
          <w:color w:val="000000"/>
          <w:kern w:val="0"/>
          <w:sz w:val="24"/>
          <w:szCs w:val="24"/>
        </w:rPr>
        <w:t>报告期末按公允价值占基金资产净值比例大小排序的前五名贵金属投资明细</w:t>
      </w:r>
    </w:p>
    <w:p w:rsidR="00632B0F" w:rsidRPr="00414345" w:rsidRDefault="00632B0F" w:rsidP="00C15CAC">
      <w:pPr>
        <w:widowControl/>
        <w:spacing w:line="288" w:lineRule="auto"/>
        <w:jc w:val="left"/>
        <w:rPr>
          <w:sz w:val="24"/>
          <w:szCs w:val="24"/>
        </w:rPr>
      </w:pPr>
      <w:r w:rsidRPr="00414345">
        <w:rPr>
          <w:sz w:val="24"/>
          <w:szCs w:val="24"/>
        </w:rPr>
        <w:t>本基金本报告期末未持有贵金属。</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A917BF"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5.8</w:t>
      </w:r>
      <w:r w:rsidR="004061AC"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004061AC" w:rsidRPr="00414345">
        <w:rPr>
          <w:b/>
          <w:bCs/>
          <w:color w:val="000000"/>
          <w:kern w:val="0"/>
          <w:sz w:val="24"/>
          <w:szCs w:val="24"/>
        </w:rPr>
        <w:t>的前五名权证投资明细</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本基金本报告期末未持有权证。</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275745" w:rsidRPr="00414345" w:rsidRDefault="003259C8"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w:t>
      </w:r>
      <w:r w:rsidR="00A917BF" w:rsidRPr="00414345">
        <w:rPr>
          <w:b/>
          <w:bCs/>
          <w:color w:val="000000"/>
          <w:kern w:val="0"/>
          <w:sz w:val="24"/>
          <w:szCs w:val="24"/>
        </w:rPr>
        <w:t>.</w:t>
      </w:r>
      <w:r w:rsidR="0059076B" w:rsidRPr="00414345">
        <w:rPr>
          <w:b/>
          <w:bCs/>
          <w:color w:val="000000"/>
          <w:kern w:val="0"/>
          <w:sz w:val="24"/>
          <w:szCs w:val="24"/>
        </w:rPr>
        <w:t>9</w:t>
      </w:r>
      <w:r w:rsidR="00275745" w:rsidRPr="00414345">
        <w:rPr>
          <w:b/>
          <w:bCs/>
          <w:color w:val="000000"/>
          <w:kern w:val="0"/>
          <w:sz w:val="24"/>
          <w:szCs w:val="24"/>
        </w:rPr>
        <w:t>报告期末本基金投资的股指期货交易情况说明</w:t>
      </w:r>
    </w:p>
    <w:p w:rsidR="00275745" w:rsidRPr="00414345" w:rsidRDefault="00AA3A38"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本基金本报告期末未持有股指期货。</w:t>
      </w:r>
    </w:p>
    <w:p w:rsidR="00AA3A38" w:rsidRPr="00414345" w:rsidRDefault="00AA3A38" w:rsidP="00C15CAC">
      <w:pPr>
        <w:adjustRightInd w:val="0"/>
        <w:snapToGrid w:val="0"/>
        <w:spacing w:before="29" w:line="288" w:lineRule="auto"/>
        <w:rPr>
          <w:sz w:val="24"/>
          <w:szCs w:val="24"/>
        </w:rPr>
      </w:pPr>
    </w:p>
    <w:p w:rsidR="00A669FC" w:rsidRPr="00414345" w:rsidRDefault="00312A9F"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5.10</w:t>
      </w:r>
      <w:r w:rsidRPr="00414345">
        <w:rPr>
          <w:b/>
          <w:bCs/>
          <w:color w:val="000000"/>
          <w:kern w:val="0"/>
          <w:sz w:val="24"/>
          <w:szCs w:val="24"/>
        </w:rPr>
        <w:t>报告期末本基金投资的国债期货交易情况说明</w:t>
      </w:r>
    </w:p>
    <w:p w:rsidR="00312A9F" w:rsidRPr="00414345" w:rsidRDefault="00312A9F"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本基金本报告期末未持有国债期货。</w:t>
      </w:r>
    </w:p>
    <w:p w:rsidR="00426096" w:rsidRPr="00414345" w:rsidRDefault="00426096" w:rsidP="00C15CAC">
      <w:pPr>
        <w:autoSpaceDE w:val="0"/>
        <w:autoSpaceDN w:val="0"/>
        <w:adjustRightInd w:val="0"/>
        <w:spacing w:before="29" w:line="288" w:lineRule="auto"/>
        <w:jc w:val="left"/>
        <w:rPr>
          <w:color w:val="000000"/>
          <w:sz w:val="24"/>
          <w:szCs w:val="24"/>
        </w:rPr>
      </w:pPr>
    </w:p>
    <w:p w:rsidR="004061AC" w:rsidRPr="00414345" w:rsidRDefault="003259C8"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w:t>
      </w:r>
      <w:r w:rsidR="00275745" w:rsidRPr="00414345">
        <w:rPr>
          <w:b/>
          <w:bCs/>
          <w:color w:val="000000"/>
          <w:kern w:val="0"/>
          <w:sz w:val="24"/>
          <w:szCs w:val="24"/>
        </w:rPr>
        <w:t>.</w:t>
      </w:r>
      <w:r w:rsidR="0059076B" w:rsidRPr="00414345">
        <w:rPr>
          <w:b/>
          <w:bCs/>
          <w:color w:val="000000"/>
          <w:kern w:val="0"/>
          <w:sz w:val="24"/>
          <w:szCs w:val="24"/>
        </w:rPr>
        <w:t>11</w:t>
      </w:r>
      <w:r w:rsidR="004061AC" w:rsidRPr="00414345">
        <w:rPr>
          <w:b/>
          <w:bCs/>
          <w:color w:val="000000"/>
          <w:kern w:val="0"/>
          <w:sz w:val="24"/>
          <w:szCs w:val="24"/>
        </w:rPr>
        <w:t>投资组合报告附注</w:t>
      </w:r>
    </w:p>
    <w:p w:rsidR="00BE5388" w:rsidRPr="00BE5388" w:rsidRDefault="00BE5388" w:rsidP="00E40D31">
      <w:pPr>
        <w:autoSpaceDE w:val="0"/>
        <w:autoSpaceDN w:val="0"/>
        <w:adjustRightInd w:val="0"/>
        <w:spacing w:before="29" w:line="288" w:lineRule="auto"/>
        <w:jc w:val="left"/>
        <w:rPr>
          <w:bCs/>
          <w:color w:val="000000"/>
          <w:kern w:val="0"/>
          <w:sz w:val="24"/>
          <w:szCs w:val="24"/>
        </w:rPr>
      </w:pPr>
      <w:r w:rsidRPr="00BE5388">
        <w:rPr>
          <w:bCs/>
          <w:color w:val="000000"/>
          <w:kern w:val="0"/>
          <w:sz w:val="24"/>
          <w:szCs w:val="24"/>
        </w:rPr>
        <w:t>5.11.1</w:t>
      </w:r>
      <w:r w:rsidRPr="00BE5388">
        <w:rPr>
          <w:bCs/>
          <w:color w:val="000000"/>
          <w:kern w:val="0"/>
          <w:sz w:val="24"/>
          <w:szCs w:val="24"/>
        </w:rPr>
        <w:t>报告期内本基金投资的前十名证券的发行主体未被监管部门立案调查，在本报告编制日前一年内本基金投资的前十名证券的发行主体未受到公开谴责和处罚。</w:t>
      </w:r>
    </w:p>
    <w:p w:rsidR="00BE5388" w:rsidRPr="00BE5388" w:rsidRDefault="00BE5388" w:rsidP="00E40D31">
      <w:pPr>
        <w:autoSpaceDE w:val="0"/>
        <w:autoSpaceDN w:val="0"/>
        <w:adjustRightInd w:val="0"/>
        <w:spacing w:before="29" w:line="288" w:lineRule="auto"/>
        <w:jc w:val="left"/>
        <w:rPr>
          <w:bCs/>
          <w:color w:val="000000"/>
          <w:kern w:val="0"/>
          <w:sz w:val="24"/>
          <w:szCs w:val="24"/>
        </w:rPr>
      </w:pPr>
      <w:r w:rsidRPr="00BE5388">
        <w:rPr>
          <w:bCs/>
          <w:color w:val="000000"/>
          <w:kern w:val="0"/>
          <w:sz w:val="24"/>
          <w:szCs w:val="24"/>
        </w:rPr>
        <w:t>5.11.2</w:t>
      </w:r>
      <w:r w:rsidRPr="00BE5388">
        <w:rPr>
          <w:bCs/>
          <w:color w:val="000000"/>
          <w:kern w:val="0"/>
          <w:sz w:val="24"/>
          <w:szCs w:val="24"/>
        </w:rPr>
        <w:t>本基金投资的前十名股票中，没有超出基金合同规定的备选股票库之外的股票。</w:t>
      </w:r>
    </w:p>
    <w:p w:rsidR="004061AC" w:rsidRPr="00414345" w:rsidRDefault="003259C8" w:rsidP="00C15CAC">
      <w:pPr>
        <w:autoSpaceDE w:val="0"/>
        <w:autoSpaceDN w:val="0"/>
        <w:adjustRightInd w:val="0"/>
        <w:spacing w:before="29" w:line="288" w:lineRule="auto"/>
        <w:jc w:val="left"/>
        <w:rPr>
          <w:bCs/>
          <w:color w:val="000000"/>
          <w:kern w:val="0"/>
          <w:sz w:val="24"/>
          <w:szCs w:val="24"/>
        </w:rPr>
      </w:pPr>
      <w:r w:rsidRPr="00414345">
        <w:rPr>
          <w:bCs/>
          <w:color w:val="000000"/>
          <w:kern w:val="0"/>
          <w:sz w:val="24"/>
          <w:szCs w:val="24"/>
        </w:rPr>
        <w:t>5</w:t>
      </w:r>
      <w:r w:rsidR="00275745" w:rsidRPr="00414345">
        <w:rPr>
          <w:bCs/>
          <w:color w:val="000000"/>
          <w:kern w:val="0"/>
          <w:sz w:val="24"/>
          <w:szCs w:val="24"/>
        </w:rPr>
        <w:t>.</w:t>
      </w:r>
      <w:r w:rsidR="0059076B" w:rsidRPr="00414345">
        <w:rPr>
          <w:bCs/>
          <w:color w:val="000000"/>
          <w:kern w:val="0"/>
          <w:sz w:val="24"/>
          <w:szCs w:val="24"/>
        </w:rPr>
        <w:t>11.3</w:t>
      </w:r>
      <w:r w:rsidR="0035383E" w:rsidRPr="00414345">
        <w:rPr>
          <w:bCs/>
          <w:color w:val="000000"/>
          <w:kern w:val="0"/>
          <w:sz w:val="24"/>
          <w:szCs w:val="24"/>
        </w:rPr>
        <w:t>其他</w:t>
      </w:r>
      <w:r w:rsidR="004061AC" w:rsidRPr="00414345">
        <w:rPr>
          <w:bCs/>
          <w:color w:val="000000"/>
          <w:kern w:val="0"/>
          <w:sz w:val="24"/>
          <w:szCs w:val="24"/>
        </w:rPr>
        <w:t>资产构成</w:t>
      </w:r>
    </w:p>
    <w:tbl>
      <w:tblPr>
        <w:tblStyle w:val="af7"/>
        <w:tblpPr w:leftFromText="180" w:rightFromText="180" w:vertAnchor="text" w:horzAnchor="margin" w:tblpXSpec="center" w:tblpY="265"/>
        <w:tblW w:w="8868" w:type="dxa"/>
        <w:jc w:val="center"/>
        <w:tblLayout w:type="fixed"/>
        <w:tblCellMar>
          <w:top w:w="-1" w:type="dxa"/>
          <w:bottom w:w="-1" w:type="dxa"/>
        </w:tblCellMar>
        <w:tblLook w:val="04A0" w:firstRow="1" w:lastRow="0" w:firstColumn="1" w:lastColumn="0" w:noHBand="0" w:noVBand="1"/>
      </w:tblPr>
      <w:tblGrid>
        <w:gridCol w:w="1287"/>
        <w:gridCol w:w="2573"/>
        <w:gridCol w:w="5008"/>
      </w:tblGrid>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序号</w:t>
            </w:r>
          </w:p>
        </w:tc>
        <w:tc>
          <w:tcPr>
            <w:tcW w:w="2470"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名称</w:t>
            </w:r>
          </w:p>
        </w:tc>
        <w:tc>
          <w:tcPr>
            <w:tcW w:w="4808"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金额</w:t>
            </w:r>
            <w:r w:rsidRPr="00414345">
              <w:rPr>
                <w:color w:val="000000"/>
                <w:sz w:val="24"/>
              </w:rPr>
              <w:t>（元）</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1</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存出保证金</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154,749.99</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2</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应收证券清算款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6,266,504.21</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3</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应收股利</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4</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应收利息</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12,659.41</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5</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应收申购款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546,423.45</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6</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其他应收款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7</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待摊费用</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8</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其他</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9</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合计</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6,980,337.06</w:t>
            </w:r>
          </w:p>
        </w:tc>
      </w:tr>
    </w:tbl>
    <w:p w:rsidR="002918E3" w:rsidRPr="00414345" w:rsidRDefault="002918E3" w:rsidP="00C15CAC">
      <w:pPr>
        <w:autoSpaceDE w:val="0"/>
        <w:autoSpaceDN w:val="0"/>
        <w:adjustRightInd w:val="0"/>
        <w:spacing w:before="29" w:line="288" w:lineRule="auto"/>
        <w:rPr>
          <w:color w:val="000000"/>
          <w:sz w:val="24"/>
          <w:szCs w:val="24"/>
        </w:rPr>
      </w:pPr>
    </w:p>
    <w:p w:rsidR="004061AC" w:rsidRDefault="003259C8" w:rsidP="00C15CAC">
      <w:pPr>
        <w:autoSpaceDE w:val="0"/>
        <w:autoSpaceDN w:val="0"/>
        <w:adjustRightInd w:val="0"/>
        <w:spacing w:before="29" w:line="288" w:lineRule="auto"/>
        <w:jc w:val="left"/>
        <w:rPr>
          <w:bCs/>
          <w:color w:val="000000"/>
          <w:kern w:val="0"/>
          <w:sz w:val="24"/>
          <w:szCs w:val="24"/>
        </w:rPr>
      </w:pPr>
      <w:r w:rsidRPr="00414345">
        <w:rPr>
          <w:bCs/>
          <w:color w:val="000000"/>
          <w:kern w:val="0"/>
          <w:sz w:val="24"/>
          <w:szCs w:val="24"/>
        </w:rPr>
        <w:t>5</w:t>
      </w:r>
      <w:r w:rsidR="00275745" w:rsidRPr="00414345">
        <w:rPr>
          <w:bCs/>
          <w:color w:val="000000"/>
          <w:kern w:val="0"/>
          <w:sz w:val="24"/>
          <w:szCs w:val="24"/>
        </w:rPr>
        <w:t>.</w:t>
      </w:r>
      <w:r w:rsidR="0059076B" w:rsidRPr="00414345">
        <w:rPr>
          <w:bCs/>
          <w:color w:val="000000"/>
          <w:kern w:val="0"/>
          <w:sz w:val="24"/>
          <w:szCs w:val="24"/>
        </w:rPr>
        <w:t>11.4</w:t>
      </w:r>
      <w:r w:rsidR="004061AC" w:rsidRPr="00414345">
        <w:rPr>
          <w:bCs/>
          <w:color w:val="000000"/>
          <w:kern w:val="0"/>
          <w:sz w:val="24"/>
          <w:szCs w:val="24"/>
        </w:rPr>
        <w:t>报告期末持有的处于转股期的可转换债券明细</w:t>
      </w:r>
    </w:p>
    <w:p w:rsidR="00173B44" w:rsidRPr="00414345" w:rsidRDefault="00173B44" w:rsidP="00173B44">
      <w:pPr>
        <w:autoSpaceDE w:val="0"/>
        <w:autoSpaceDN w:val="0"/>
        <w:adjustRightInd w:val="0"/>
        <w:spacing w:before="29" w:line="288" w:lineRule="auto"/>
        <w:jc w:val="right"/>
        <w:rPr>
          <w:bCs/>
          <w:color w:val="000000"/>
          <w:kern w:val="0"/>
          <w:sz w:val="24"/>
          <w:szCs w:val="24"/>
        </w:rPr>
      </w:pPr>
      <w:r w:rsidRPr="00173B44">
        <w:rPr>
          <w:rFonts w:hint="eastAsia"/>
          <w:bCs/>
          <w:color w:val="000000"/>
          <w:kern w:val="0"/>
          <w:sz w:val="24"/>
          <w:szCs w:val="24"/>
        </w:rPr>
        <w:t>金额单位：人民币元</w:t>
      </w:r>
    </w:p>
    <w:tbl>
      <w:tblPr>
        <w:tblStyle w:val="af7"/>
        <w:tblW w:w="8868" w:type="dxa"/>
        <w:jc w:val="center"/>
        <w:tblLayout w:type="fixed"/>
        <w:tblCellMar>
          <w:top w:w="57" w:type="dxa"/>
          <w:bottom w:w="57" w:type="dxa"/>
        </w:tblCellMar>
        <w:tblLook w:val="04A0" w:firstRow="1" w:lastRow="0" w:firstColumn="1" w:lastColumn="0" w:noHBand="0" w:noVBand="1"/>
      </w:tblPr>
      <w:tblGrid>
        <w:gridCol w:w="1883"/>
        <w:gridCol w:w="1801"/>
        <w:gridCol w:w="1727"/>
        <w:gridCol w:w="1768"/>
        <w:gridCol w:w="1689"/>
      </w:tblGrid>
      <w:tr w:rsidR="003E62FB" w:rsidRPr="00414345" w:rsidTr="00A324F4">
        <w:trPr>
          <w:jc w:val="center"/>
        </w:trPr>
        <w:tc>
          <w:tcPr>
            <w:tcW w:w="1808"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序号</w:t>
            </w:r>
          </w:p>
        </w:tc>
        <w:tc>
          <w:tcPr>
            <w:tcW w:w="1729"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债券代码</w:t>
            </w:r>
          </w:p>
        </w:tc>
        <w:tc>
          <w:tcPr>
            <w:tcW w:w="1658"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债券名称</w:t>
            </w:r>
          </w:p>
        </w:tc>
        <w:tc>
          <w:tcPr>
            <w:tcW w:w="1697"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公允价值</w:t>
            </w:r>
          </w:p>
        </w:tc>
        <w:tc>
          <w:tcPr>
            <w:tcW w:w="1621"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占基金资产净值比例</w:t>
            </w:r>
            <w:r w:rsidR="00D046DB" w:rsidRPr="00414345">
              <w:rPr>
                <w:color w:val="000000"/>
                <w:sz w:val="24"/>
                <w:szCs w:val="24"/>
              </w:rPr>
              <w:t>(</w:t>
            </w:r>
            <w:r w:rsidR="00D046DB" w:rsidRPr="00414345">
              <w:rPr>
                <w:color w:val="000000"/>
                <w:sz w:val="24"/>
                <w:szCs w:val="24"/>
              </w:rPr>
              <w:t>％</w:t>
            </w:r>
            <w:r w:rsidR="00D046DB" w:rsidRPr="00414345">
              <w:rPr>
                <w:color w:val="000000"/>
                <w:sz w:val="24"/>
                <w:szCs w:val="24"/>
              </w:rPr>
              <w:t>)</w:t>
            </w:r>
          </w:p>
        </w:tc>
      </w:tr>
      <w:tr w:rsidR="00E54D7F">
        <w:trPr>
          <w:jc w:val="center"/>
        </w:trPr>
        <w:tc>
          <w:tcPr>
            <w:tcW w:w="1883" w:type="dxa"/>
            <w:vAlign w:val="center"/>
          </w:tcPr>
          <w:p w:rsidR="00E54D7F" w:rsidRDefault="003E38A7">
            <w:pPr>
              <w:jc w:val="center"/>
            </w:pPr>
            <w:r>
              <w:rPr>
                <w:color w:val="000000"/>
                <w:sz w:val="24"/>
                <w:szCs w:val="24"/>
              </w:rPr>
              <w:t>1</w:t>
            </w:r>
          </w:p>
        </w:tc>
        <w:tc>
          <w:tcPr>
            <w:tcW w:w="1801" w:type="dxa"/>
            <w:vAlign w:val="center"/>
          </w:tcPr>
          <w:p w:rsidR="00E54D7F" w:rsidRDefault="003E38A7">
            <w:pPr>
              <w:jc w:val="center"/>
            </w:pPr>
            <w:r>
              <w:rPr>
                <w:color w:val="000000"/>
                <w:sz w:val="24"/>
                <w:szCs w:val="24"/>
              </w:rPr>
              <w:t>128046</w:t>
            </w:r>
          </w:p>
        </w:tc>
        <w:tc>
          <w:tcPr>
            <w:tcW w:w="1727" w:type="dxa"/>
            <w:vAlign w:val="center"/>
          </w:tcPr>
          <w:p w:rsidR="00E54D7F" w:rsidRDefault="003E38A7">
            <w:pPr>
              <w:jc w:val="center"/>
            </w:pPr>
            <w:r>
              <w:rPr>
                <w:color w:val="000000"/>
                <w:sz w:val="24"/>
                <w:szCs w:val="24"/>
              </w:rPr>
              <w:t>利尔转债</w:t>
            </w:r>
          </w:p>
        </w:tc>
        <w:tc>
          <w:tcPr>
            <w:tcW w:w="1768" w:type="dxa"/>
            <w:vAlign w:val="center"/>
          </w:tcPr>
          <w:p w:rsidR="00E54D7F" w:rsidRDefault="003E38A7">
            <w:pPr>
              <w:jc w:val="right"/>
            </w:pPr>
            <w:r>
              <w:rPr>
                <w:color w:val="000000"/>
                <w:sz w:val="24"/>
                <w:szCs w:val="24"/>
              </w:rPr>
              <w:t>321,115.90</w:t>
            </w:r>
          </w:p>
        </w:tc>
        <w:tc>
          <w:tcPr>
            <w:tcW w:w="1689" w:type="dxa"/>
            <w:vAlign w:val="center"/>
          </w:tcPr>
          <w:p w:rsidR="00E54D7F" w:rsidRDefault="003E38A7">
            <w:pPr>
              <w:jc w:val="right"/>
            </w:pPr>
            <w:r>
              <w:rPr>
                <w:color w:val="000000"/>
                <w:sz w:val="24"/>
                <w:szCs w:val="24"/>
              </w:rPr>
              <w:t>0.08</w:t>
            </w:r>
          </w:p>
        </w:tc>
      </w:tr>
    </w:tbl>
    <w:p w:rsidR="002918E3" w:rsidRPr="00414345" w:rsidRDefault="002918E3" w:rsidP="00C15CAC">
      <w:pPr>
        <w:autoSpaceDE w:val="0"/>
        <w:autoSpaceDN w:val="0"/>
        <w:adjustRightInd w:val="0"/>
        <w:spacing w:before="29" w:line="288" w:lineRule="auto"/>
        <w:rPr>
          <w:color w:val="000000"/>
          <w:sz w:val="24"/>
          <w:szCs w:val="24"/>
        </w:rPr>
      </w:pPr>
    </w:p>
    <w:p w:rsidR="004061AC" w:rsidRPr="00414345" w:rsidRDefault="003259C8" w:rsidP="00C15CAC">
      <w:pPr>
        <w:autoSpaceDE w:val="0"/>
        <w:autoSpaceDN w:val="0"/>
        <w:adjustRightInd w:val="0"/>
        <w:spacing w:before="29" w:line="288" w:lineRule="auto"/>
        <w:jc w:val="left"/>
        <w:rPr>
          <w:bCs/>
          <w:color w:val="000000"/>
          <w:kern w:val="0"/>
          <w:sz w:val="24"/>
          <w:szCs w:val="24"/>
        </w:rPr>
      </w:pPr>
      <w:r w:rsidRPr="00414345">
        <w:rPr>
          <w:bCs/>
          <w:color w:val="000000"/>
          <w:kern w:val="0"/>
          <w:sz w:val="24"/>
          <w:szCs w:val="24"/>
        </w:rPr>
        <w:t>5</w:t>
      </w:r>
      <w:r w:rsidR="004061AC" w:rsidRPr="00414345">
        <w:rPr>
          <w:bCs/>
          <w:color w:val="000000"/>
          <w:kern w:val="0"/>
          <w:sz w:val="24"/>
          <w:szCs w:val="24"/>
        </w:rPr>
        <w:t>.</w:t>
      </w:r>
      <w:r w:rsidR="0059076B" w:rsidRPr="00414345">
        <w:rPr>
          <w:bCs/>
          <w:color w:val="000000"/>
          <w:kern w:val="0"/>
          <w:sz w:val="24"/>
          <w:szCs w:val="24"/>
        </w:rPr>
        <w:t>11.5</w:t>
      </w:r>
      <w:r w:rsidR="004061AC" w:rsidRPr="00414345">
        <w:rPr>
          <w:bCs/>
          <w:color w:val="000000"/>
          <w:kern w:val="0"/>
          <w:sz w:val="24"/>
          <w:szCs w:val="24"/>
        </w:rPr>
        <w:t>报告期末前十名股票中存在流通受限情况的说明</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本基金本报告期末前十名股票中不存在流通受限情况。</w:t>
      </w:r>
    </w:p>
    <w:p w:rsidR="002918E3" w:rsidRPr="00414345" w:rsidRDefault="002918E3" w:rsidP="00C15CAC">
      <w:pPr>
        <w:autoSpaceDE w:val="0"/>
        <w:autoSpaceDN w:val="0"/>
        <w:adjustRightInd w:val="0"/>
        <w:spacing w:before="29" w:line="288" w:lineRule="auto"/>
        <w:rPr>
          <w:color w:val="000000"/>
          <w:sz w:val="24"/>
          <w:szCs w:val="24"/>
        </w:rPr>
      </w:pPr>
    </w:p>
    <w:p w:rsidR="004061AC" w:rsidRPr="00414345" w:rsidRDefault="003259C8" w:rsidP="00C15CAC">
      <w:pPr>
        <w:autoSpaceDE w:val="0"/>
        <w:autoSpaceDN w:val="0"/>
        <w:adjustRightInd w:val="0"/>
        <w:spacing w:before="29" w:line="288" w:lineRule="auto"/>
        <w:jc w:val="left"/>
        <w:rPr>
          <w:bCs/>
          <w:color w:val="000000"/>
          <w:kern w:val="0"/>
          <w:sz w:val="24"/>
          <w:szCs w:val="24"/>
        </w:rPr>
      </w:pPr>
      <w:r w:rsidRPr="00414345">
        <w:rPr>
          <w:bCs/>
          <w:color w:val="000000"/>
          <w:kern w:val="0"/>
          <w:sz w:val="24"/>
          <w:szCs w:val="24"/>
        </w:rPr>
        <w:t>5</w:t>
      </w:r>
      <w:r w:rsidR="004061AC" w:rsidRPr="00414345">
        <w:rPr>
          <w:bCs/>
          <w:color w:val="000000"/>
          <w:kern w:val="0"/>
          <w:sz w:val="24"/>
          <w:szCs w:val="24"/>
        </w:rPr>
        <w:t>.</w:t>
      </w:r>
      <w:r w:rsidR="0059076B" w:rsidRPr="00414345">
        <w:rPr>
          <w:bCs/>
          <w:color w:val="000000"/>
          <w:kern w:val="0"/>
          <w:sz w:val="24"/>
          <w:szCs w:val="24"/>
        </w:rPr>
        <w:t>11.6</w:t>
      </w:r>
      <w:r w:rsidR="001675CD" w:rsidRPr="00414345">
        <w:rPr>
          <w:bCs/>
          <w:color w:val="000000"/>
          <w:kern w:val="0"/>
          <w:sz w:val="24"/>
          <w:szCs w:val="24"/>
        </w:rPr>
        <w:t>投资组合报告附注的其他文字描述部分</w:t>
      </w:r>
    </w:p>
    <w:p w:rsidR="006B2FF6" w:rsidRPr="00414345" w:rsidRDefault="004061AC" w:rsidP="00E40D31">
      <w:pPr>
        <w:spacing w:before="29" w:line="288" w:lineRule="auto"/>
        <w:rPr>
          <w:color w:val="000000"/>
          <w:sz w:val="24"/>
          <w:szCs w:val="24"/>
        </w:rPr>
      </w:pPr>
      <w:r w:rsidRPr="00414345">
        <w:rPr>
          <w:color w:val="000000"/>
          <w:sz w:val="24"/>
          <w:szCs w:val="24"/>
        </w:rPr>
        <w:t>由于四舍五入的原因，分项之和与合计项之间可能存在尾差。</w:t>
      </w:r>
    </w:p>
    <w:p w:rsidR="006B2FF6" w:rsidRDefault="006B2FF6" w:rsidP="00C15CAC">
      <w:pPr>
        <w:spacing w:before="29" w:line="288" w:lineRule="auto"/>
        <w:ind w:firstLineChars="200" w:firstLine="480"/>
        <w:rPr>
          <w:color w:val="000000"/>
          <w:sz w:val="24"/>
          <w:szCs w:val="24"/>
        </w:rPr>
      </w:pPr>
    </w:p>
    <w:p w:rsidR="001F3E2A" w:rsidRDefault="001F3E2A" w:rsidP="00C15CAC">
      <w:pPr>
        <w:spacing w:before="29" w:line="288" w:lineRule="auto"/>
        <w:ind w:firstLineChars="200" w:firstLine="480"/>
        <w:rPr>
          <w:color w:val="000000"/>
          <w:sz w:val="24"/>
          <w:szCs w:val="24"/>
        </w:rPr>
      </w:pPr>
    </w:p>
    <w:p w:rsidR="001F3E2A" w:rsidRPr="00414345" w:rsidRDefault="001F3E2A" w:rsidP="00C15CAC">
      <w:pPr>
        <w:spacing w:before="29" w:line="288" w:lineRule="auto"/>
        <w:ind w:firstLineChars="200" w:firstLine="480"/>
        <w:rPr>
          <w:color w:val="000000"/>
          <w:sz w:val="24"/>
          <w:szCs w:val="24"/>
        </w:rPr>
      </w:pPr>
    </w:p>
    <w:p w:rsidR="004061AC" w:rsidRPr="005A3D62" w:rsidRDefault="004061AC" w:rsidP="0011537B">
      <w:pPr>
        <w:pStyle w:val="1"/>
        <w:spacing w:beforeLines="100" w:before="312" w:afterLines="100" w:after="312" w:line="360" w:lineRule="auto"/>
        <w:jc w:val="center"/>
        <w:rPr>
          <w:rFonts w:eastAsiaTheme="minorEastAsia"/>
          <w:color w:val="000000" w:themeColor="text1"/>
          <w:kern w:val="0"/>
          <w:sz w:val="24"/>
          <w:szCs w:val="24"/>
        </w:rPr>
      </w:pPr>
      <w:r w:rsidRPr="005A3D62">
        <w:rPr>
          <w:rFonts w:eastAsiaTheme="minorEastAsia"/>
          <w:color w:val="000000" w:themeColor="text1"/>
          <w:kern w:val="0"/>
          <w:sz w:val="24"/>
          <w:szCs w:val="24"/>
        </w:rPr>
        <w:t>§</w:t>
      </w:r>
      <w:r w:rsidR="0072794E" w:rsidRPr="005A3D62">
        <w:rPr>
          <w:rFonts w:eastAsiaTheme="minorEastAsia"/>
          <w:color w:val="000000" w:themeColor="text1"/>
          <w:kern w:val="0"/>
          <w:sz w:val="24"/>
          <w:szCs w:val="24"/>
        </w:rPr>
        <w:t>6</w:t>
      </w:r>
      <w:r w:rsidRPr="005A3D62">
        <w:rPr>
          <w:rFonts w:eastAsiaTheme="minorEastAsia"/>
          <w:color w:val="000000" w:themeColor="text1"/>
          <w:kern w:val="0"/>
          <w:sz w:val="24"/>
          <w:szCs w:val="24"/>
        </w:rPr>
        <w:t xml:space="preserve">  </w:t>
      </w:r>
      <w:r w:rsidRPr="005A3D62">
        <w:rPr>
          <w:rFonts w:eastAsiaTheme="minorEastAsia"/>
          <w:color w:val="000000" w:themeColor="text1"/>
          <w:kern w:val="0"/>
          <w:sz w:val="24"/>
          <w:szCs w:val="24"/>
        </w:rPr>
        <w:t>开放式基金份额变动</w:t>
      </w:r>
    </w:p>
    <w:p w:rsidR="004061AC" w:rsidRPr="00414345" w:rsidRDefault="004061AC" w:rsidP="00C15CAC">
      <w:pPr>
        <w:autoSpaceDE w:val="0"/>
        <w:autoSpaceDN w:val="0"/>
        <w:adjustRightInd w:val="0"/>
        <w:spacing w:before="29" w:line="288" w:lineRule="auto"/>
        <w:ind w:left="15"/>
        <w:jc w:val="right"/>
        <w:rPr>
          <w:color w:val="000000"/>
          <w:kern w:val="0"/>
          <w:sz w:val="24"/>
          <w:szCs w:val="24"/>
        </w:rPr>
      </w:pPr>
      <w:r w:rsidRPr="00414345">
        <w:rPr>
          <w:color w:val="000000"/>
          <w:kern w:val="0"/>
          <w:sz w:val="24"/>
          <w:szCs w:val="24"/>
        </w:rPr>
        <w:t>单位：份</w:t>
      </w:r>
    </w:p>
    <w:tbl>
      <w:tblPr>
        <w:tblW w:w="8868" w:type="dxa"/>
        <w:jc w:val="center"/>
        <w:tblLayout w:type="fixed"/>
        <w:tblCellMar>
          <w:top w:w="-1" w:type="dxa"/>
          <w:bottom w:w="-1" w:type="dxa"/>
        </w:tblCellMar>
        <w:tblLook w:val="0000" w:firstRow="0" w:lastRow="0" w:firstColumn="0" w:lastColumn="0" w:noHBand="0" w:noVBand="0"/>
      </w:tblPr>
      <w:tblGrid>
        <w:gridCol w:w="4734"/>
        <w:gridCol w:w="4134"/>
      </w:tblGrid>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报告期期初基金份额总额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6D7FF8"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351,696,911.06</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FE179F"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本报告期</w:t>
            </w:r>
            <w:r w:rsidR="00F31B0C">
              <w:rPr>
                <w:rFonts w:hint="eastAsia"/>
                <w:color w:val="000000"/>
                <w:kern w:val="0"/>
                <w:sz w:val="24"/>
                <w:szCs w:val="24"/>
              </w:rPr>
              <w:t>期间</w:t>
            </w:r>
            <w:r w:rsidR="004061AC" w:rsidRPr="00414345">
              <w:rPr>
                <w:color w:val="000000"/>
                <w:kern w:val="0"/>
                <w:sz w:val="24"/>
                <w:szCs w:val="24"/>
              </w:rPr>
              <w:t>基金总申购份额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35,897,339.24</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减：</w:t>
            </w:r>
            <w:r w:rsidR="00FE179F" w:rsidRPr="00414345">
              <w:rPr>
                <w:color w:val="000000"/>
                <w:kern w:val="0"/>
                <w:sz w:val="24"/>
                <w:szCs w:val="24"/>
              </w:rPr>
              <w:t>本报告期</w:t>
            </w:r>
            <w:r w:rsidR="00F31B0C">
              <w:rPr>
                <w:rFonts w:hint="eastAsia"/>
                <w:color w:val="000000"/>
                <w:kern w:val="0"/>
                <w:sz w:val="24"/>
                <w:szCs w:val="24"/>
              </w:rPr>
              <w:t>期间</w:t>
            </w:r>
            <w:r w:rsidRPr="00414345">
              <w:rPr>
                <w:color w:val="000000"/>
                <w:kern w:val="0"/>
                <w:sz w:val="24"/>
                <w:szCs w:val="24"/>
              </w:rPr>
              <w:t>基金总赎回份额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88,771,501.95</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FE179F" w:rsidP="0035076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本报告期</w:t>
            </w:r>
            <w:r w:rsidR="00F31B0C">
              <w:rPr>
                <w:rFonts w:hint="eastAsia"/>
                <w:color w:val="000000"/>
                <w:kern w:val="0"/>
                <w:sz w:val="24"/>
                <w:szCs w:val="24"/>
              </w:rPr>
              <w:t>期间</w:t>
            </w:r>
            <w:r w:rsidR="004061AC" w:rsidRPr="00414345">
              <w:rPr>
                <w:color w:val="000000"/>
                <w:kern w:val="0"/>
                <w:sz w:val="24"/>
                <w:szCs w:val="24"/>
              </w:rPr>
              <w:t>基金拆分变动份额</w:t>
            </w:r>
            <w:r w:rsidR="00F31B0C" w:rsidRPr="006664D2">
              <w:rPr>
                <w:rFonts w:hint="eastAsia"/>
                <w:color w:val="000000"/>
                <w:kern w:val="0"/>
                <w:sz w:val="24"/>
              </w:rPr>
              <w:t>（份额减少以</w:t>
            </w:r>
            <w:r w:rsidR="00F31B0C" w:rsidRPr="004D5D71">
              <w:rPr>
                <w:color w:val="000000"/>
              </w:rPr>
              <w:t>“-”</w:t>
            </w:r>
            <w:r w:rsidR="00F31B0C" w:rsidRPr="006664D2">
              <w:rPr>
                <w:rFonts w:hint="eastAsia"/>
                <w:color w:val="000000"/>
                <w:kern w:val="0"/>
                <w:sz w:val="24"/>
              </w:rPr>
              <w:t>填列）</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w:t>
            </w:r>
          </w:p>
        </w:tc>
      </w:tr>
      <w:tr w:rsidR="006D7FF8"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6D7FF8" w:rsidRPr="00414345" w:rsidRDefault="006D7FF8"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报告期期末基金份额总额</w:t>
            </w:r>
          </w:p>
        </w:tc>
        <w:tc>
          <w:tcPr>
            <w:tcW w:w="4025" w:type="dxa"/>
            <w:tcBorders>
              <w:top w:val="single" w:sz="8" w:space="0" w:color="000000"/>
              <w:left w:val="single" w:sz="8" w:space="0" w:color="000000"/>
              <w:bottom w:val="single" w:sz="8" w:space="0" w:color="000000"/>
              <w:right w:val="single" w:sz="8" w:space="0" w:color="000000"/>
            </w:tcBorders>
            <w:vAlign w:val="center"/>
          </w:tcPr>
          <w:p w:rsidR="006D7FF8" w:rsidRPr="00414345" w:rsidRDefault="006D7FF8"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298,822,748.35</w:t>
            </w:r>
          </w:p>
        </w:tc>
      </w:tr>
    </w:tbl>
    <w:p w:rsidR="00E54D7F" w:rsidRDefault="003E38A7">
      <w:pPr>
        <w:autoSpaceDE w:val="0"/>
        <w:autoSpaceDN w:val="0"/>
        <w:adjustRightInd w:val="0"/>
        <w:spacing w:before="29" w:line="288" w:lineRule="auto"/>
        <w:jc w:val="left"/>
        <w:rPr>
          <w:color w:val="000000"/>
          <w:sz w:val="24"/>
          <w:szCs w:val="24"/>
        </w:rPr>
      </w:pPr>
      <w:r>
        <w:rPr>
          <w:color w:val="000000"/>
          <w:sz w:val="24"/>
          <w:szCs w:val="24"/>
        </w:rPr>
        <w:t>注：</w:t>
      </w:r>
      <w:r>
        <w:rPr>
          <w:color w:val="000000"/>
          <w:sz w:val="24"/>
          <w:szCs w:val="24"/>
        </w:rPr>
        <w:t>1</w:t>
      </w:r>
      <w:r>
        <w:rPr>
          <w:color w:val="000000"/>
          <w:sz w:val="24"/>
          <w:szCs w:val="24"/>
        </w:rPr>
        <w:t>、如果本报告期间发生转换入、红利再投业务，则总申购份额中包含该业务；</w:t>
      </w:r>
      <w:r>
        <w:rPr>
          <w:color w:val="000000"/>
          <w:sz w:val="24"/>
          <w:szCs w:val="24"/>
        </w:rPr>
        <w:t xml:space="preserve">     </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2</w:t>
      </w:r>
      <w:r w:rsidRPr="00414345">
        <w:rPr>
          <w:color w:val="000000"/>
          <w:sz w:val="24"/>
          <w:szCs w:val="24"/>
        </w:rPr>
        <w:t>、如果本报告期间发生转换出业务，则总赎回份额中包含该业务。</w:t>
      </w:r>
    </w:p>
    <w:p w:rsidR="00320E90" w:rsidRDefault="00320E90" w:rsidP="00C15CAC">
      <w:pPr>
        <w:autoSpaceDE w:val="0"/>
        <w:autoSpaceDN w:val="0"/>
        <w:adjustRightInd w:val="0"/>
        <w:spacing w:before="29" w:line="288" w:lineRule="auto"/>
        <w:jc w:val="left"/>
        <w:rPr>
          <w:color w:val="000000"/>
          <w:sz w:val="24"/>
          <w:szCs w:val="24"/>
        </w:rPr>
      </w:pPr>
    </w:p>
    <w:p w:rsidR="00ED2620" w:rsidRPr="00ED2620" w:rsidRDefault="000A2FC0" w:rsidP="0011537B">
      <w:pPr>
        <w:pStyle w:val="1"/>
        <w:tabs>
          <w:tab w:val="center" w:pos="4156"/>
          <w:tab w:val="right" w:pos="8312"/>
        </w:tabs>
        <w:spacing w:beforeLines="100" w:before="312" w:afterLines="100" w:after="312" w:line="288" w:lineRule="auto"/>
        <w:jc w:val="center"/>
        <w:rPr>
          <w:sz w:val="24"/>
          <w:szCs w:val="24"/>
        </w:rPr>
      </w:pPr>
      <w:r w:rsidRPr="00414345">
        <w:rPr>
          <w:color w:val="000000"/>
          <w:kern w:val="0"/>
          <w:sz w:val="24"/>
          <w:szCs w:val="24"/>
        </w:rPr>
        <w:t>§</w:t>
      </w:r>
      <w:r w:rsidR="00ED2620" w:rsidRPr="00ED2620">
        <w:rPr>
          <w:rFonts w:eastAsiaTheme="minorEastAsia"/>
          <w:color w:val="000000"/>
          <w:kern w:val="0"/>
          <w:sz w:val="24"/>
          <w:szCs w:val="24"/>
        </w:rPr>
        <w:t xml:space="preserve">7  </w:t>
      </w:r>
      <w:r w:rsidR="00ED2620" w:rsidRPr="00ED2620">
        <w:rPr>
          <w:sz w:val="24"/>
          <w:szCs w:val="24"/>
        </w:rPr>
        <w:t>基金管理人运用固有资金投资本基金情况</w:t>
      </w:r>
    </w:p>
    <w:p w:rsidR="00ED2620" w:rsidRPr="00ED2620" w:rsidRDefault="00ED2620" w:rsidP="00C15CAC">
      <w:pPr>
        <w:spacing w:line="288" w:lineRule="auto"/>
        <w:jc w:val="left"/>
        <w:rPr>
          <w:sz w:val="24"/>
          <w:szCs w:val="24"/>
        </w:rPr>
      </w:pPr>
      <w:r w:rsidRPr="00ED2620">
        <w:rPr>
          <w:b/>
          <w:sz w:val="24"/>
        </w:rPr>
        <w:t xml:space="preserve">7.1 </w:t>
      </w:r>
      <w:r w:rsidRPr="00ED2620">
        <w:rPr>
          <w:b/>
          <w:sz w:val="24"/>
        </w:rPr>
        <w:t>基金管理人持有本基金份额变动情况</w:t>
      </w:r>
    </w:p>
    <w:p w:rsidR="00410630" w:rsidRDefault="00ED2620" w:rsidP="00C15CAC">
      <w:pPr>
        <w:autoSpaceDE w:val="0"/>
        <w:autoSpaceDN w:val="0"/>
        <w:adjustRightInd w:val="0"/>
        <w:spacing w:before="29" w:line="288" w:lineRule="auto"/>
        <w:jc w:val="left"/>
        <w:rPr>
          <w:rFonts w:eastAsiaTheme="minorEastAsia"/>
          <w:color w:val="000000"/>
          <w:sz w:val="24"/>
        </w:rPr>
      </w:pPr>
      <w:r w:rsidRPr="00ED2620">
        <w:rPr>
          <w:rFonts w:eastAsiaTheme="minorEastAsia"/>
          <w:color w:val="000000"/>
          <w:sz w:val="24"/>
        </w:rPr>
        <w:t>本报告期内未发生基金管理人运用固有资金投资本基金的情况。</w:t>
      </w:r>
    </w:p>
    <w:p w:rsidR="00410630" w:rsidRDefault="00410630" w:rsidP="00C15CAC">
      <w:pPr>
        <w:autoSpaceDE w:val="0"/>
        <w:autoSpaceDN w:val="0"/>
        <w:adjustRightInd w:val="0"/>
        <w:spacing w:before="29" w:line="288" w:lineRule="auto"/>
        <w:jc w:val="left"/>
        <w:rPr>
          <w:rFonts w:eastAsiaTheme="minorEastAsia"/>
          <w:color w:val="000000"/>
          <w:sz w:val="24"/>
        </w:rPr>
      </w:pPr>
    </w:p>
    <w:p w:rsidR="00410630" w:rsidRPr="00BB5E0E" w:rsidRDefault="00410630" w:rsidP="00BB5E0E">
      <w:pPr>
        <w:spacing w:line="288" w:lineRule="auto"/>
        <w:jc w:val="left"/>
        <w:rPr>
          <w:b/>
          <w:sz w:val="24"/>
        </w:rPr>
      </w:pPr>
      <w:r w:rsidRPr="00410630">
        <w:rPr>
          <w:b/>
          <w:sz w:val="24"/>
        </w:rPr>
        <w:t>7.2</w:t>
      </w:r>
      <w:r w:rsidRPr="00410630">
        <w:rPr>
          <w:rFonts w:hint="eastAsia"/>
          <w:b/>
          <w:sz w:val="24"/>
        </w:rPr>
        <w:t>基金管理人运用固有资金投资本基金交易明细</w:t>
      </w:r>
    </w:p>
    <w:p w:rsidR="00320300" w:rsidRPr="00414345" w:rsidRDefault="00320300" w:rsidP="00C15CAC">
      <w:pPr>
        <w:autoSpaceDE w:val="0"/>
        <w:autoSpaceDN w:val="0"/>
        <w:adjustRightInd w:val="0"/>
        <w:spacing w:before="29" w:line="288" w:lineRule="auto"/>
        <w:jc w:val="left"/>
        <w:rPr>
          <w:color w:val="000000"/>
          <w:sz w:val="24"/>
        </w:rPr>
      </w:pPr>
      <w:r w:rsidRPr="00414345">
        <w:rPr>
          <w:color w:val="000000"/>
          <w:sz w:val="24"/>
        </w:rPr>
        <w:t>本基金管理人本报告期内未进行本基金的申购、赎回、红利再投等。</w:t>
      </w:r>
    </w:p>
    <w:p w:rsidR="00480B35" w:rsidRPr="00414345" w:rsidRDefault="00480B35" w:rsidP="00C15CAC">
      <w:pPr>
        <w:autoSpaceDE w:val="0"/>
        <w:autoSpaceDN w:val="0"/>
        <w:adjustRightInd w:val="0"/>
        <w:spacing w:before="29" w:line="288" w:lineRule="auto"/>
        <w:jc w:val="left"/>
        <w:rPr>
          <w:color w:val="000000"/>
          <w:sz w:val="24"/>
        </w:rPr>
      </w:pPr>
    </w:p>
    <w:p w:rsidR="003C50AD" w:rsidRPr="00220C32" w:rsidRDefault="003C50AD" w:rsidP="0011537B">
      <w:pPr>
        <w:pStyle w:val="1"/>
        <w:spacing w:beforeLines="100" w:before="312" w:afterLines="100" w:after="312" w:line="360" w:lineRule="auto"/>
        <w:jc w:val="center"/>
        <w:rPr>
          <w:rFonts w:asciiTheme="minorEastAsia" w:eastAsiaTheme="minorEastAsia" w:hAnsiTheme="minorEastAsia"/>
          <w:color w:val="000000" w:themeColor="text1"/>
          <w:kern w:val="0"/>
          <w:sz w:val="24"/>
          <w:szCs w:val="24"/>
        </w:rPr>
      </w:pPr>
      <w:r w:rsidRPr="00220C32">
        <w:rPr>
          <w:rFonts w:asciiTheme="minorEastAsia" w:eastAsiaTheme="minorEastAsia" w:hAnsiTheme="minorEastAsia" w:hint="eastAsia"/>
          <w:color w:val="000000" w:themeColor="text1"/>
          <w:kern w:val="0"/>
          <w:sz w:val="24"/>
          <w:szCs w:val="24"/>
        </w:rPr>
        <w:t>§8</w:t>
      </w:r>
      <w:r w:rsidRPr="00220C32">
        <w:rPr>
          <w:rFonts w:asciiTheme="minorEastAsia" w:eastAsiaTheme="minorEastAsia" w:hAnsiTheme="minorEastAsia"/>
          <w:color w:val="000000" w:themeColor="text1"/>
          <w:kern w:val="0"/>
          <w:sz w:val="24"/>
          <w:szCs w:val="24"/>
        </w:rPr>
        <w:t xml:space="preserve">  </w:t>
      </w:r>
      <w:r w:rsidRPr="00220C32">
        <w:rPr>
          <w:rFonts w:asciiTheme="minorEastAsia" w:eastAsiaTheme="minorEastAsia" w:hAnsiTheme="minorEastAsia" w:hint="eastAsia"/>
          <w:color w:val="000000" w:themeColor="text1"/>
          <w:kern w:val="0"/>
          <w:sz w:val="24"/>
          <w:szCs w:val="24"/>
        </w:rPr>
        <w:t>影响投资者决策的其他重要信息</w:t>
      </w:r>
    </w:p>
    <w:p w:rsidR="003C50AD" w:rsidRPr="009A5C99" w:rsidRDefault="003C50AD" w:rsidP="003C50AD">
      <w:pPr>
        <w:autoSpaceDE w:val="0"/>
        <w:autoSpaceDN w:val="0"/>
        <w:adjustRightInd w:val="0"/>
        <w:spacing w:line="360" w:lineRule="auto"/>
        <w:jc w:val="left"/>
        <w:rPr>
          <w:rFonts w:ascii="宋体" w:hAnsi="宋体"/>
          <w:b/>
          <w:bCs/>
          <w:color w:val="000000"/>
          <w:kern w:val="0"/>
          <w:sz w:val="24"/>
          <w:szCs w:val="24"/>
        </w:rPr>
      </w:pPr>
      <w:r w:rsidRPr="009A5C99">
        <w:rPr>
          <w:rFonts w:ascii="宋体" w:hAnsi="宋体" w:hint="eastAsia"/>
          <w:b/>
          <w:bCs/>
          <w:color w:val="000000"/>
          <w:kern w:val="0"/>
          <w:sz w:val="24"/>
          <w:szCs w:val="24"/>
        </w:rPr>
        <w:t>8.1 影响投资者决策的其他重要信息</w:t>
      </w:r>
    </w:p>
    <w:p w:rsidR="003C50AD" w:rsidRPr="004F4D27" w:rsidRDefault="003C50AD" w:rsidP="003C50AD">
      <w:pPr>
        <w:spacing w:line="360" w:lineRule="auto"/>
        <w:ind w:firstLineChars="200" w:firstLine="420"/>
        <w:rPr>
          <w:rFonts w:ascii="宋体" w:hAnsi="宋体"/>
          <w:color w:val="000000"/>
        </w:rPr>
      </w:pPr>
      <w:r w:rsidRPr="004F4D27">
        <w:rPr>
          <w:rFonts w:ascii="宋体" w:hAnsi="宋体"/>
          <w:color w:val="000000"/>
        </w:rPr>
        <w:t>根据有关法律法规规定和基金合同的约定，本基金可投资科创板股票。基金资产投资于科创板股票，会面临科创板机制下因投资标的、市场制度以及交易规则等差异带来的特有风险，包括但不限于市场风险、流动性风险、退市风险、集中度风险、系统性风险、政策风险等。有关详情请查阅本基金管理人于2019年6月22日发布的《交银施罗德基金管理有限公司关于旗下部分基金可投资科创板股票的公告》。</w:t>
      </w:r>
    </w:p>
    <w:p w:rsidR="00ED6E80" w:rsidRPr="00414345" w:rsidRDefault="00ED6E80" w:rsidP="00C15CAC">
      <w:pPr>
        <w:spacing w:before="29" w:line="288" w:lineRule="auto"/>
        <w:ind w:firstLineChars="200" w:firstLine="480"/>
        <w:rPr>
          <w:color w:val="000000"/>
          <w:sz w:val="24"/>
          <w:szCs w:val="24"/>
        </w:rPr>
      </w:pPr>
    </w:p>
    <w:p w:rsidR="00B22DEE" w:rsidRPr="00E02660"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w:t>
      </w:r>
      <w:r w:rsidR="00D02347" w:rsidRPr="00414345">
        <w:rPr>
          <w:color w:val="000000"/>
          <w:kern w:val="0"/>
          <w:sz w:val="24"/>
          <w:szCs w:val="24"/>
        </w:rPr>
        <w:t>9</w:t>
      </w:r>
      <w:r w:rsidR="00834E74">
        <w:rPr>
          <w:color w:val="000000"/>
          <w:kern w:val="0"/>
          <w:sz w:val="24"/>
          <w:szCs w:val="24"/>
        </w:rPr>
        <w:t xml:space="preserve">  </w:t>
      </w:r>
      <w:r w:rsidRPr="00414345">
        <w:rPr>
          <w:color w:val="000000"/>
          <w:kern w:val="0"/>
          <w:sz w:val="24"/>
          <w:szCs w:val="24"/>
        </w:rPr>
        <w:t>备查文件目录</w:t>
      </w: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9</w:t>
      </w:r>
      <w:r w:rsidR="004061AC" w:rsidRPr="00414345">
        <w:rPr>
          <w:b/>
          <w:bCs/>
          <w:color w:val="000000"/>
          <w:kern w:val="0"/>
          <w:sz w:val="24"/>
          <w:szCs w:val="24"/>
        </w:rPr>
        <w:t>.</w:t>
      </w:r>
      <w:r w:rsidR="00676095" w:rsidRPr="00414345">
        <w:rPr>
          <w:b/>
          <w:bCs/>
          <w:color w:val="000000"/>
          <w:kern w:val="0"/>
          <w:sz w:val="24"/>
          <w:szCs w:val="24"/>
        </w:rPr>
        <w:t>1</w:t>
      </w:r>
      <w:r w:rsidR="004061AC" w:rsidRPr="00414345">
        <w:rPr>
          <w:b/>
          <w:bCs/>
          <w:color w:val="000000"/>
          <w:kern w:val="0"/>
          <w:sz w:val="24"/>
          <w:szCs w:val="24"/>
        </w:rPr>
        <w:t>备查文件目录</w:t>
      </w:r>
    </w:p>
    <w:p w:rsidR="00E54D7F" w:rsidRDefault="003E38A7">
      <w:pPr>
        <w:spacing w:before="29" w:line="288" w:lineRule="auto"/>
        <w:ind w:firstLineChars="200" w:firstLine="480"/>
        <w:rPr>
          <w:color w:val="000000"/>
          <w:sz w:val="24"/>
          <w:szCs w:val="24"/>
        </w:rPr>
      </w:pPr>
      <w:r>
        <w:rPr>
          <w:color w:val="000000"/>
          <w:sz w:val="24"/>
          <w:szCs w:val="24"/>
        </w:rPr>
        <w:t>1</w:t>
      </w:r>
      <w:r>
        <w:rPr>
          <w:color w:val="000000"/>
          <w:sz w:val="24"/>
          <w:szCs w:val="24"/>
        </w:rPr>
        <w:t>、中国证监会准予交银施罗德医药创新股票型证券投资基金募集注册的文件；</w:t>
      </w:r>
      <w:r>
        <w:rPr>
          <w:color w:val="000000"/>
          <w:sz w:val="24"/>
          <w:szCs w:val="24"/>
        </w:rPr>
        <w:t xml:space="preserve"> </w:t>
      </w:r>
    </w:p>
    <w:p w:rsidR="00E54D7F" w:rsidRDefault="003E38A7">
      <w:pPr>
        <w:spacing w:before="29" w:line="288" w:lineRule="auto"/>
        <w:ind w:firstLineChars="200" w:firstLine="480"/>
        <w:rPr>
          <w:color w:val="000000"/>
          <w:sz w:val="24"/>
          <w:szCs w:val="24"/>
        </w:rPr>
      </w:pPr>
      <w:r>
        <w:rPr>
          <w:color w:val="000000"/>
          <w:sz w:val="24"/>
          <w:szCs w:val="24"/>
        </w:rPr>
        <w:t>2</w:t>
      </w:r>
      <w:r>
        <w:rPr>
          <w:color w:val="000000"/>
          <w:sz w:val="24"/>
          <w:szCs w:val="24"/>
        </w:rPr>
        <w:t>、《交银施罗德医药创新股票型证券投资基金基金合同》；</w:t>
      </w:r>
      <w:r>
        <w:rPr>
          <w:color w:val="000000"/>
          <w:sz w:val="24"/>
          <w:szCs w:val="24"/>
        </w:rPr>
        <w:t xml:space="preserve"> </w:t>
      </w:r>
    </w:p>
    <w:p w:rsidR="00E54D7F" w:rsidRDefault="003E38A7">
      <w:pPr>
        <w:spacing w:before="29" w:line="288" w:lineRule="auto"/>
        <w:ind w:firstLineChars="200" w:firstLine="480"/>
        <w:rPr>
          <w:color w:val="000000"/>
          <w:sz w:val="24"/>
          <w:szCs w:val="24"/>
        </w:rPr>
      </w:pPr>
      <w:r>
        <w:rPr>
          <w:color w:val="000000"/>
          <w:sz w:val="24"/>
          <w:szCs w:val="24"/>
        </w:rPr>
        <w:t>3</w:t>
      </w:r>
      <w:r>
        <w:rPr>
          <w:color w:val="000000"/>
          <w:sz w:val="24"/>
          <w:szCs w:val="24"/>
        </w:rPr>
        <w:t>、《交银施罗德医药创新股票型证券投资基金招募说明书》；</w:t>
      </w:r>
      <w:r>
        <w:rPr>
          <w:color w:val="000000"/>
          <w:sz w:val="24"/>
          <w:szCs w:val="24"/>
        </w:rPr>
        <w:t xml:space="preserve"> </w:t>
      </w:r>
    </w:p>
    <w:p w:rsidR="00E54D7F" w:rsidRDefault="003E38A7">
      <w:pPr>
        <w:spacing w:before="29" w:line="288" w:lineRule="auto"/>
        <w:ind w:firstLineChars="200" w:firstLine="480"/>
        <w:rPr>
          <w:color w:val="000000"/>
          <w:sz w:val="24"/>
          <w:szCs w:val="24"/>
        </w:rPr>
      </w:pPr>
      <w:r>
        <w:rPr>
          <w:color w:val="000000"/>
          <w:sz w:val="24"/>
          <w:szCs w:val="24"/>
        </w:rPr>
        <w:t>4</w:t>
      </w:r>
      <w:r>
        <w:rPr>
          <w:color w:val="000000"/>
          <w:sz w:val="24"/>
          <w:szCs w:val="24"/>
        </w:rPr>
        <w:t>、《交银施罗德医药创新股票型证券投资基金托管协议》；</w:t>
      </w:r>
      <w:r>
        <w:rPr>
          <w:color w:val="000000"/>
          <w:sz w:val="24"/>
          <w:szCs w:val="24"/>
        </w:rPr>
        <w:t xml:space="preserve"> </w:t>
      </w:r>
    </w:p>
    <w:p w:rsidR="00E54D7F" w:rsidRDefault="003E38A7">
      <w:pPr>
        <w:spacing w:before="29" w:line="288" w:lineRule="auto"/>
        <w:ind w:firstLineChars="200" w:firstLine="480"/>
        <w:rPr>
          <w:color w:val="000000"/>
          <w:sz w:val="24"/>
          <w:szCs w:val="24"/>
        </w:rPr>
      </w:pPr>
      <w:r>
        <w:rPr>
          <w:color w:val="000000"/>
          <w:sz w:val="24"/>
          <w:szCs w:val="24"/>
        </w:rPr>
        <w:t>5</w:t>
      </w:r>
      <w:r>
        <w:rPr>
          <w:color w:val="000000"/>
          <w:sz w:val="24"/>
          <w:szCs w:val="24"/>
        </w:rPr>
        <w:t>、关于申请募集注册交银施罗德医药创新股票型证券投资基金的法律意见书；</w:t>
      </w:r>
      <w:r>
        <w:rPr>
          <w:color w:val="000000"/>
          <w:sz w:val="24"/>
          <w:szCs w:val="24"/>
        </w:rPr>
        <w:t xml:space="preserve"> </w:t>
      </w:r>
    </w:p>
    <w:p w:rsidR="00E54D7F" w:rsidRDefault="003E38A7">
      <w:pPr>
        <w:spacing w:before="29" w:line="288" w:lineRule="auto"/>
        <w:ind w:firstLineChars="200" w:firstLine="480"/>
        <w:rPr>
          <w:color w:val="000000"/>
          <w:sz w:val="24"/>
          <w:szCs w:val="24"/>
        </w:rPr>
      </w:pPr>
      <w:r>
        <w:rPr>
          <w:color w:val="000000"/>
          <w:sz w:val="24"/>
          <w:szCs w:val="24"/>
        </w:rPr>
        <w:t>6</w:t>
      </w:r>
      <w:r>
        <w:rPr>
          <w:color w:val="000000"/>
          <w:sz w:val="24"/>
          <w:szCs w:val="24"/>
        </w:rPr>
        <w:t>、基金管理人业务资格批件、营业执照；</w:t>
      </w:r>
      <w:r>
        <w:rPr>
          <w:color w:val="000000"/>
          <w:sz w:val="24"/>
          <w:szCs w:val="24"/>
        </w:rPr>
        <w:t xml:space="preserve"> </w:t>
      </w:r>
    </w:p>
    <w:p w:rsidR="00E54D7F" w:rsidRDefault="003E38A7">
      <w:pPr>
        <w:spacing w:before="29" w:line="288" w:lineRule="auto"/>
        <w:ind w:firstLineChars="200" w:firstLine="480"/>
        <w:rPr>
          <w:color w:val="000000"/>
          <w:sz w:val="24"/>
          <w:szCs w:val="24"/>
        </w:rPr>
      </w:pPr>
      <w:r>
        <w:rPr>
          <w:color w:val="000000"/>
          <w:sz w:val="24"/>
          <w:szCs w:val="24"/>
        </w:rPr>
        <w:t>7</w:t>
      </w:r>
      <w:r>
        <w:rPr>
          <w:color w:val="000000"/>
          <w:sz w:val="24"/>
          <w:szCs w:val="24"/>
        </w:rPr>
        <w:t>、基金托管人业务资格批件、营业执照；</w:t>
      </w:r>
      <w:r>
        <w:rPr>
          <w:color w:val="000000"/>
          <w:sz w:val="24"/>
          <w:szCs w:val="24"/>
        </w:rPr>
        <w:t xml:space="preserve"> </w:t>
      </w:r>
    </w:p>
    <w:p w:rsidR="004061AC" w:rsidRPr="00414345" w:rsidRDefault="006D7FF8" w:rsidP="00C15CAC">
      <w:pPr>
        <w:spacing w:before="29" w:line="288" w:lineRule="auto"/>
        <w:ind w:firstLineChars="200" w:firstLine="480"/>
        <w:rPr>
          <w:color w:val="000000"/>
          <w:sz w:val="24"/>
          <w:szCs w:val="24"/>
        </w:rPr>
      </w:pPr>
      <w:r w:rsidRPr="00414345">
        <w:rPr>
          <w:color w:val="000000"/>
          <w:sz w:val="24"/>
          <w:szCs w:val="24"/>
        </w:rPr>
        <w:t>8</w:t>
      </w:r>
      <w:r w:rsidRPr="00414345">
        <w:rPr>
          <w:color w:val="000000"/>
          <w:sz w:val="24"/>
          <w:szCs w:val="24"/>
        </w:rPr>
        <w:t>、报告期内交银施罗德医药创新股票型证券投资基金在指定报刊上各项公告的原稿。</w:t>
      </w:r>
    </w:p>
    <w:p w:rsidR="006A48FD" w:rsidRPr="00414345" w:rsidRDefault="006A48FD" w:rsidP="00C15CAC">
      <w:pPr>
        <w:spacing w:before="29" w:line="288" w:lineRule="auto"/>
        <w:ind w:firstLineChars="200" w:firstLine="480"/>
        <w:rPr>
          <w:color w:val="000000"/>
          <w:sz w:val="24"/>
          <w:szCs w:val="24"/>
        </w:rPr>
      </w:pP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9</w:t>
      </w:r>
      <w:r w:rsidR="004061AC" w:rsidRPr="00414345">
        <w:rPr>
          <w:b/>
          <w:bCs/>
          <w:color w:val="000000"/>
          <w:kern w:val="0"/>
          <w:sz w:val="24"/>
          <w:szCs w:val="24"/>
        </w:rPr>
        <w:t>.</w:t>
      </w:r>
      <w:r w:rsidR="00676095" w:rsidRPr="00414345">
        <w:rPr>
          <w:b/>
          <w:bCs/>
          <w:color w:val="000000"/>
          <w:kern w:val="0"/>
          <w:sz w:val="24"/>
          <w:szCs w:val="24"/>
        </w:rPr>
        <w:t>2</w:t>
      </w:r>
      <w:r w:rsidR="004061AC" w:rsidRPr="00414345">
        <w:rPr>
          <w:b/>
          <w:bCs/>
          <w:color w:val="000000"/>
          <w:kern w:val="0"/>
          <w:sz w:val="24"/>
          <w:szCs w:val="24"/>
        </w:rPr>
        <w:t>存放地点</w:t>
      </w:r>
    </w:p>
    <w:p w:rsidR="004061AC" w:rsidRPr="00414345" w:rsidRDefault="006D7FF8" w:rsidP="00C15CAC">
      <w:pPr>
        <w:spacing w:before="29" w:line="288" w:lineRule="auto"/>
        <w:ind w:firstLineChars="200" w:firstLine="480"/>
        <w:rPr>
          <w:color w:val="000000"/>
          <w:sz w:val="24"/>
          <w:szCs w:val="24"/>
        </w:rPr>
      </w:pPr>
      <w:r w:rsidRPr="00414345">
        <w:rPr>
          <w:color w:val="000000"/>
          <w:sz w:val="24"/>
          <w:szCs w:val="24"/>
        </w:rPr>
        <w:t>备查文件存放于基金管理人的办公场所。</w:t>
      </w:r>
    </w:p>
    <w:p w:rsidR="006A48FD" w:rsidRPr="00414345" w:rsidRDefault="006A48FD" w:rsidP="00C15CAC">
      <w:pPr>
        <w:spacing w:before="29" w:line="288" w:lineRule="auto"/>
        <w:ind w:firstLineChars="200" w:firstLine="480"/>
        <w:rPr>
          <w:color w:val="000000"/>
          <w:sz w:val="24"/>
          <w:szCs w:val="24"/>
        </w:rPr>
      </w:pP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9</w:t>
      </w:r>
      <w:r w:rsidR="004061AC" w:rsidRPr="00414345">
        <w:rPr>
          <w:b/>
          <w:bCs/>
          <w:color w:val="000000"/>
          <w:kern w:val="0"/>
          <w:sz w:val="24"/>
          <w:szCs w:val="24"/>
        </w:rPr>
        <w:t>.</w:t>
      </w:r>
      <w:r w:rsidR="00676095" w:rsidRPr="00414345">
        <w:rPr>
          <w:b/>
          <w:bCs/>
          <w:color w:val="000000"/>
          <w:kern w:val="0"/>
          <w:sz w:val="24"/>
          <w:szCs w:val="24"/>
        </w:rPr>
        <w:t>3</w:t>
      </w:r>
      <w:r w:rsidR="004061AC" w:rsidRPr="00414345">
        <w:rPr>
          <w:b/>
          <w:bCs/>
          <w:color w:val="000000"/>
          <w:kern w:val="0"/>
          <w:sz w:val="24"/>
          <w:szCs w:val="24"/>
        </w:rPr>
        <w:t>查阅方式</w:t>
      </w:r>
    </w:p>
    <w:p w:rsidR="00E54D7F" w:rsidRDefault="003E38A7">
      <w:pPr>
        <w:spacing w:before="29" w:line="288" w:lineRule="auto"/>
        <w:ind w:firstLineChars="200" w:firstLine="480"/>
        <w:rPr>
          <w:color w:val="000000"/>
          <w:sz w:val="24"/>
          <w:szCs w:val="24"/>
        </w:rPr>
      </w:pPr>
      <w:r>
        <w:rPr>
          <w:color w:val="000000"/>
          <w:sz w:val="24"/>
          <w:szCs w:val="24"/>
        </w:rPr>
        <w:t>投资者可在办公时间内至基金管理人的办公场所免费查阅备查文件，或者登录基金管理人的网站</w:t>
      </w:r>
      <w:r>
        <w:rPr>
          <w:color w:val="000000"/>
          <w:sz w:val="24"/>
          <w:szCs w:val="24"/>
        </w:rPr>
        <w:t>(www.fund001.com)</w:t>
      </w:r>
      <w:r>
        <w:rPr>
          <w:color w:val="000000"/>
          <w:sz w:val="24"/>
          <w:szCs w:val="24"/>
        </w:rPr>
        <w:t>查阅。在支付工本费后，投资者可在合理时间内取得上述文件的复制件或复印件。</w:t>
      </w:r>
      <w:r>
        <w:rPr>
          <w:color w:val="000000"/>
          <w:sz w:val="24"/>
          <w:szCs w:val="24"/>
        </w:rPr>
        <w:t xml:space="preserve"> </w:t>
      </w:r>
    </w:p>
    <w:p w:rsidR="00A90049" w:rsidRPr="00414345" w:rsidRDefault="006D7FF8" w:rsidP="00C15CAC">
      <w:pPr>
        <w:spacing w:before="29" w:line="288" w:lineRule="auto"/>
        <w:ind w:firstLineChars="200" w:firstLine="480"/>
        <w:rPr>
          <w:color w:val="000000"/>
          <w:sz w:val="24"/>
          <w:szCs w:val="24"/>
        </w:rPr>
      </w:pPr>
      <w:r w:rsidRPr="00414345">
        <w:rPr>
          <w:color w:val="000000"/>
          <w:sz w:val="24"/>
          <w:szCs w:val="24"/>
        </w:rPr>
        <w:t>投资者对本报告书如有疑问，可咨询本基金管理人交银施罗德基金管理有限公司。本公司客户服务中心电话：</w:t>
      </w:r>
      <w:r w:rsidRPr="00414345">
        <w:rPr>
          <w:color w:val="000000"/>
          <w:sz w:val="24"/>
          <w:szCs w:val="24"/>
        </w:rPr>
        <w:t>400-700-5000</w:t>
      </w:r>
      <w:r w:rsidRPr="00414345">
        <w:rPr>
          <w:color w:val="000000"/>
          <w:sz w:val="24"/>
          <w:szCs w:val="24"/>
        </w:rPr>
        <w:t>（免长途话费），</w:t>
      </w:r>
      <w:r w:rsidRPr="00414345">
        <w:rPr>
          <w:color w:val="000000"/>
          <w:sz w:val="24"/>
          <w:szCs w:val="24"/>
        </w:rPr>
        <w:t>021-61055000</w:t>
      </w:r>
      <w:r w:rsidRPr="00414345">
        <w:rPr>
          <w:color w:val="000000"/>
          <w:sz w:val="24"/>
          <w:szCs w:val="24"/>
        </w:rPr>
        <w:t>，电子邮件：</w:t>
      </w:r>
      <w:r w:rsidRPr="00414345">
        <w:rPr>
          <w:color w:val="000000"/>
          <w:sz w:val="24"/>
          <w:szCs w:val="24"/>
        </w:rPr>
        <w:t>services@jysld.com</w:t>
      </w:r>
      <w:r w:rsidRPr="00414345">
        <w:rPr>
          <w:color w:val="000000"/>
          <w:sz w:val="24"/>
          <w:szCs w:val="24"/>
        </w:rPr>
        <w:t>。</w:t>
      </w:r>
    </w:p>
    <w:p w:rsidR="002C3C7A" w:rsidRPr="00414345" w:rsidRDefault="002C3C7A" w:rsidP="00C15CAC">
      <w:pPr>
        <w:spacing w:before="29" w:line="288" w:lineRule="auto"/>
        <w:ind w:firstLineChars="200" w:firstLine="480"/>
        <w:rPr>
          <w:color w:val="000000"/>
          <w:sz w:val="24"/>
          <w:szCs w:val="24"/>
        </w:rPr>
      </w:pPr>
    </w:p>
    <w:sectPr w:rsidR="002C3C7A" w:rsidRPr="00414345" w:rsidSect="00000678">
      <w:pgSz w:w="11906" w:h="16838" w:code="9"/>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8D7" w:rsidRDefault="008148D7" w:rsidP="00876D65">
      <w:r>
        <w:separator/>
      </w:r>
    </w:p>
  </w:endnote>
  <w:endnote w:type="continuationSeparator" w:id="0">
    <w:p w:rsidR="008148D7" w:rsidRDefault="008148D7" w:rsidP="00876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angSong">
    <w:altName w:val="Arial"/>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93A" w:rsidRDefault="00D9393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40C" w:rsidRPr="001D0DB0" w:rsidRDefault="004D340C" w:rsidP="004D340C">
    <w:pPr>
      <w:pStyle w:val="a6"/>
      <w:jc w:val="center"/>
    </w:pPr>
    <w:r>
      <w:rPr>
        <w:rFonts w:hint="eastAsia"/>
        <w:kern w:val="0"/>
        <w:szCs w:val="21"/>
      </w:rPr>
      <w:t>第</w:t>
    </w:r>
    <w:r w:rsidR="00381EE8">
      <w:rPr>
        <w:kern w:val="0"/>
        <w:szCs w:val="21"/>
      </w:rPr>
      <w:fldChar w:fldCharType="begin"/>
    </w:r>
    <w:r>
      <w:rPr>
        <w:kern w:val="0"/>
        <w:szCs w:val="21"/>
      </w:rPr>
      <w:instrText xml:space="preserve"> PAGE </w:instrText>
    </w:r>
    <w:r w:rsidR="00381EE8">
      <w:rPr>
        <w:kern w:val="0"/>
        <w:szCs w:val="21"/>
      </w:rPr>
      <w:fldChar w:fldCharType="separate"/>
    </w:r>
    <w:r w:rsidR="00074C60">
      <w:rPr>
        <w:noProof/>
        <w:kern w:val="0"/>
        <w:szCs w:val="21"/>
      </w:rPr>
      <w:t>3</w:t>
    </w:r>
    <w:r w:rsidR="00381EE8">
      <w:rPr>
        <w:kern w:val="0"/>
        <w:szCs w:val="21"/>
      </w:rPr>
      <w:fldChar w:fldCharType="end"/>
    </w:r>
    <w:r>
      <w:rPr>
        <w:rFonts w:hint="eastAsia"/>
        <w:kern w:val="0"/>
        <w:szCs w:val="21"/>
      </w:rPr>
      <w:t>页共</w:t>
    </w:r>
    <w:r w:rsidR="00381EE8">
      <w:rPr>
        <w:kern w:val="0"/>
        <w:szCs w:val="21"/>
      </w:rPr>
      <w:fldChar w:fldCharType="begin"/>
    </w:r>
    <w:r>
      <w:rPr>
        <w:kern w:val="0"/>
        <w:szCs w:val="21"/>
      </w:rPr>
      <w:instrText xml:space="preserve"> NUMPAGES </w:instrText>
    </w:r>
    <w:r w:rsidR="00381EE8">
      <w:rPr>
        <w:kern w:val="0"/>
        <w:szCs w:val="21"/>
      </w:rPr>
      <w:fldChar w:fldCharType="separate"/>
    </w:r>
    <w:r w:rsidR="00074C60">
      <w:rPr>
        <w:noProof/>
        <w:kern w:val="0"/>
        <w:szCs w:val="21"/>
      </w:rPr>
      <w:t>6</w:t>
    </w:r>
    <w:r w:rsidR="00381EE8">
      <w:rPr>
        <w:kern w:val="0"/>
        <w:szCs w:val="21"/>
      </w:rPr>
      <w:fldChar w:fldCharType="end"/>
    </w:r>
    <w:r>
      <w:rPr>
        <w:rFonts w:hint="eastAsia"/>
        <w:kern w:val="0"/>
        <w:szCs w:val="21"/>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93A" w:rsidRDefault="00D9393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8D7" w:rsidRDefault="008148D7" w:rsidP="00876D65">
      <w:r>
        <w:separator/>
      </w:r>
    </w:p>
  </w:footnote>
  <w:footnote w:type="continuationSeparator" w:id="0">
    <w:p w:rsidR="008148D7" w:rsidRDefault="008148D7" w:rsidP="00876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93A" w:rsidRDefault="00D9393A">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EF0" w:rsidRPr="00DC456F" w:rsidRDefault="00DC456F" w:rsidP="00090A26">
    <w:pPr>
      <w:pStyle w:val="a9"/>
      <w:pBdr>
        <w:bottom w:val="single" w:sz="6" w:space="0" w:color="auto"/>
      </w:pBdr>
      <w:jc w:val="right"/>
      <w:rPr>
        <w:sz w:val="24"/>
        <w:szCs w:val="24"/>
      </w:rPr>
    </w:pPr>
    <w:r w:rsidRPr="003E676C">
      <w:rPr>
        <w:sz w:val="24"/>
        <w:szCs w:val="24"/>
      </w:rPr>
      <w:t>交银施罗德医药创新股票型证券投资基金</w:t>
    </w:r>
    <w:r w:rsidRPr="003E676C">
      <w:rPr>
        <w:sz w:val="24"/>
        <w:szCs w:val="24"/>
      </w:rPr>
      <w:t>2019</w:t>
    </w:r>
    <w:r w:rsidRPr="003E676C">
      <w:rPr>
        <w:sz w:val="24"/>
        <w:szCs w:val="24"/>
      </w:rPr>
      <w:t>年第</w:t>
    </w:r>
    <w:r w:rsidRPr="003E676C">
      <w:rPr>
        <w:sz w:val="24"/>
        <w:szCs w:val="24"/>
      </w:rPr>
      <w:t>2</w:t>
    </w:r>
    <w:r w:rsidRPr="003E676C">
      <w:rPr>
        <w:sz w:val="24"/>
        <w:szCs w:val="24"/>
      </w:rPr>
      <w:t>季度报告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93A" w:rsidRDefault="00D9393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start w:val="1"/>
      <w:numFmt w:val="bullet"/>
      <w:lvlText w:val=""/>
      <w:lvlJc w:val="left"/>
      <w:pPr>
        <w:tabs>
          <w:tab w:val="num" w:pos="1260"/>
        </w:tabs>
        <w:ind w:left="1260" w:hanging="420"/>
      </w:pPr>
      <w:rPr>
        <w:rFonts w:ascii="Wingdings" w:hAnsi="Wingdings" w:cs="Wingdings" w:hint="default"/>
      </w:rPr>
    </w:lvl>
    <w:lvl w:ilvl="2" w:tplc="04090005">
      <w:start w:val="1"/>
      <w:numFmt w:val="bullet"/>
      <w:lvlText w:val=""/>
      <w:lvlJc w:val="left"/>
      <w:pPr>
        <w:tabs>
          <w:tab w:val="num" w:pos="1680"/>
        </w:tabs>
        <w:ind w:left="1680" w:hanging="420"/>
      </w:pPr>
      <w:rPr>
        <w:rFonts w:ascii="Wingdings" w:hAnsi="Wingdings" w:cs="Wingdings" w:hint="default"/>
      </w:rPr>
    </w:lvl>
    <w:lvl w:ilvl="3" w:tplc="04090001">
      <w:start w:val="1"/>
      <w:numFmt w:val="bullet"/>
      <w:lvlText w:val=""/>
      <w:lvlJc w:val="left"/>
      <w:pPr>
        <w:tabs>
          <w:tab w:val="num" w:pos="2100"/>
        </w:tabs>
        <w:ind w:left="2100" w:hanging="420"/>
      </w:pPr>
      <w:rPr>
        <w:rFonts w:ascii="Wingdings" w:hAnsi="Wingdings" w:cs="Wingdings" w:hint="default"/>
      </w:rPr>
    </w:lvl>
    <w:lvl w:ilvl="4" w:tplc="04090003">
      <w:start w:val="1"/>
      <w:numFmt w:val="bullet"/>
      <w:lvlText w:val=""/>
      <w:lvlJc w:val="left"/>
      <w:pPr>
        <w:tabs>
          <w:tab w:val="num" w:pos="2520"/>
        </w:tabs>
        <w:ind w:left="2520" w:hanging="420"/>
      </w:pPr>
      <w:rPr>
        <w:rFonts w:ascii="Wingdings" w:hAnsi="Wingdings" w:cs="Wingdings" w:hint="default"/>
      </w:rPr>
    </w:lvl>
    <w:lvl w:ilvl="5" w:tplc="04090005">
      <w:start w:val="1"/>
      <w:numFmt w:val="bullet"/>
      <w:lvlText w:val=""/>
      <w:lvlJc w:val="left"/>
      <w:pPr>
        <w:tabs>
          <w:tab w:val="num" w:pos="2940"/>
        </w:tabs>
        <w:ind w:left="2940" w:hanging="420"/>
      </w:pPr>
      <w:rPr>
        <w:rFonts w:ascii="Wingdings" w:hAnsi="Wingdings" w:cs="Wingdings" w:hint="default"/>
      </w:rPr>
    </w:lvl>
    <w:lvl w:ilvl="6" w:tplc="04090001">
      <w:start w:val="1"/>
      <w:numFmt w:val="bullet"/>
      <w:lvlText w:val=""/>
      <w:lvlJc w:val="left"/>
      <w:pPr>
        <w:tabs>
          <w:tab w:val="num" w:pos="3360"/>
        </w:tabs>
        <w:ind w:left="3360" w:hanging="420"/>
      </w:pPr>
      <w:rPr>
        <w:rFonts w:ascii="Wingdings" w:hAnsi="Wingdings" w:cs="Wingdings" w:hint="default"/>
      </w:rPr>
    </w:lvl>
    <w:lvl w:ilvl="7" w:tplc="04090003">
      <w:start w:val="1"/>
      <w:numFmt w:val="bullet"/>
      <w:lvlText w:val=""/>
      <w:lvlJc w:val="left"/>
      <w:pPr>
        <w:tabs>
          <w:tab w:val="num" w:pos="3780"/>
        </w:tabs>
        <w:ind w:left="3780" w:hanging="420"/>
      </w:pPr>
      <w:rPr>
        <w:rFonts w:ascii="Wingdings" w:hAnsi="Wingdings" w:cs="Wingdings" w:hint="default"/>
      </w:rPr>
    </w:lvl>
    <w:lvl w:ilvl="8" w:tplc="04090005">
      <w:start w:val="1"/>
      <w:numFmt w:val="bullet"/>
      <w:lvlText w:val=""/>
      <w:lvlJc w:val="left"/>
      <w:pPr>
        <w:tabs>
          <w:tab w:val="num" w:pos="4200"/>
        </w:tabs>
        <w:ind w:left="4200" w:hanging="420"/>
      </w:pPr>
      <w:rPr>
        <w:rFonts w:ascii="Wingdings" w:hAnsi="Wingdings" w:cs="Wingdings" w:hint="default"/>
      </w:rPr>
    </w:lvl>
  </w:abstractNum>
  <w:abstractNum w:abstractNumId="1"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hint="eastAsia"/>
        <w:sz w:val="24"/>
        <w:szCs w:val="24"/>
      </w:rPr>
    </w:lvl>
    <w:lvl w:ilvl="1" w:tplc="04090019">
      <w:start w:val="1"/>
      <w:numFmt w:val="lowerLetter"/>
      <w:lvlText w:val="%2)"/>
      <w:lvlJc w:val="left"/>
      <w:pPr>
        <w:tabs>
          <w:tab w:val="num" w:pos="1320"/>
        </w:tabs>
        <w:ind w:left="1320" w:hanging="420"/>
      </w:pPr>
    </w:lvl>
    <w:lvl w:ilvl="2" w:tplc="0409001B">
      <w:start w:val="1"/>
      <w:numFmt w:val="lowerRoman"/>
      <w:lvlText w:val="%3."/>
      <w:lvlJc w:val="right"/>
      <w:pPr>
        <w:tabs>
          <w:tab w:val="num" w:pos="1740"/>
        </w:tabs>
        <w:ind w:left="1740" w:hanging="420"/>
      </w:pPr>
    </w:lvl>
    <w:lvl w:ilvl="3" w:tplc="0409000F">
      <w:start w:val="1"/>
      <w:numFmt w:val="decimal"/>
      <w:lvlText w:val="%4."/>
      <w:lvlJc w:val="left"/>
      <w:pPr>
        <w:tabs>
          <w:tab w:val="num" w:pos="2160"/>
        </w:tabs>
        <w:ind w:left="2160" w:hanging="420"/>
      </w:pPr>
    </w:lvl>
    <w:lvl w:ilvl="4" w:tplc="04090019">
      <w:start w:val="1"/>
      <w:numFmt w:val="lowerLetter"/>
      <w:lvlText w:val="%5)"/>
      <w:lvlJc w:val="left"/>
      <w:pPr>
        <w:tabs>
          <w:tab w:val="num" w:pos="2580"/>
        </w:tabs>
        <w:ind w:left="2580" w:hanging="420"/>
      </w:pPr>
    </w:lvl>
    <w:lvl w:ilvl="5" w:tplc="0409001B">
      <w:start w:val="1"/>
      <w:numFmt w:val="lowerRoman"/>
      <w:lvlText w:val="%6."/>
      <w:lvlJc w:val="right"/>
      <w:pPr>
        <w:tabs>
          <w:tab w:val="num" w:pos="3000"/>
        </w:tabs>
        <w:ind w:left="3000" w:hanging="420"/>
      </w:pPr>
    </w:lvl>
    <w:lvl w:ilvl="6" w:tplc="0409000F">
      <w:start w:val="1"/>
      <w:numFmt w:val="decimal"/>
      <w:lvlText w:val="%7."/>
      <w:lvlJc w:val="left"/>
      <w:pPr>
        <w:tabs>
          <w:tab w:val="num" w:pos="3420"/>
        </w:tabs>
        <w:ind w:left="3420" w:hanging="420"/>
      </w:pPr>
    </w:lvl>
    <w:lvl w:ilvl="7" w:tplc="04090019">
      <w:start w:val="1"/>
      <w:numFmt w:val="lowerLetter"/>
      <w:lvlText w:val="%8)"/>
      <w:lvlJc w:val="left"/>
      <w:pPr>
        <w:tabs>
          <w:tab w:val="num" w:pos="3840"/>
        </w:tabs>
        <w:ind w:left="3840" w:hanging="420"/>
      </w:pPr>
    </w:lvl>
    <w:lvl w:ilvl="8" w:tplc="0409001B">
      <w:start w:val="1"/>
      <w:numFmt w:val="lowerRoman"/>
      <w:lvlText w:val="%9."/>
      <w:lvlJc w:val="right"/>
      <w:pPr>
        <w:tabs>
          <w:tab w:val="num" w:pos="4260"/>
        </w:tabs>
        <w:ind w:left="4260" w:hanging="420"/>
      </w:pPr>
    </w:lvl>
  </w:abstractNum>
  <w:abstractNum w:abstractNumId="2"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hint="eastAsia"/>
        <w:color w:val="auto"/>
      </w:rPr>
    </w:lvl>
    <w:lvl w:ilvl="1" w:tplc="D5ACC954">
      <w:start w:val="1"/>
      <w:numFmt w:val="japaneseCounting"/>
      <w:lvlText w:val="(%2)"/>
      <w:lvlJc w:val="left"/>
      <w:pPr>
        <w:tabs>
          <w:tab w:val="num" w:pos="810"/>
        </w:tabs>
        <w:ind w:left="810" w:hanging="390"/>
      </w:pPr>
      <w:rPr>
        <w:rFonts w:hint="eastAsia"/>
      </w:rPr>
    </w:lvl>
    <w:lvl w:ilvl="2" w:tplc="E2F6B948">
      <w:start w:val="1"/>
      <w:numFmt w:val="decimal"/>
      <w:lvlText w:val="%3、"/>
      <w:lvlJc w:val="left"/>
      <w:pPr>
        <w:tabs>
          <w:tab w:val="num" w:pos="1200"/>
        </w:tabs>
        <w:ind w:left="1200" w:hanging="360"/>
      </w:pPr>
      <w:rPr>
        <w:rFonts w:hint="eastAsia"/>
      </w:r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2"/>
  </w:num>
  <w:num w:numId="2">
    <w:abstractNumId w:val="1"/>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061AC"/>
    <w:rsid w:val="00000678"/>
    <w:rsid w:val="00006A28"/>
    <w:rsid w:val="00014099"/>
    <w:rsid w:val="000160C5"/>
    <w:rsid w:val="000210E7"/>
    <w:rsid w:val="000243BD"/>
    <w:rsid w:val="00024F7F"/>
    <w:rsid w:val="00031EBB"/>
    <w:rsid w:val="00033B8D"/>
    <w:rsid w:val="0004308C"/>
    <w:rsid w:val="00043852"/>
    <w:rsid w:val="000450DD"/>
    <w:rsid w:val="000463DE"/>
    <w:rsid w:val="0006147E"/>
    <w:rsid w:val="000625ED"/>
    <w:rsid w:val="00064D40"/>
    <w:rsid w:val="00074C60"/>
    <w:rsid w:val="000815C0"/>
    <w:rsid w:val="000824E7"/>
    <w:rsid w:val="0008313A"/>
    <w:rsid w:val="00085E78"/>
    <w:rsid w:val="0008689B"/>
    <w:rsid w:val="00086D4E"/>
    <w:rsid w:val="000907D2"/>
    <w:rsid w:val="00090A26"/>
    <w:rsid w:val="000A2B53"/>
    <w:rsid w:val="000A2FC0"/>
    <w:rsid w:val="000A4173"/>
    <w:rsid w:val="000B1D21"/>
    <w:rsid w:val="000B1EB7"/>
    <w:rsid w:val="000B5C78"/>
    <w:rsid w:val="000B624F"/>
    <w:rsid w:val="000B73C6"/>
    <w:rsid w:val="000C190B"/>
    <w:rsid w:val="000C1E17"/>
    <w:rsid w:val="000C5216"/>
    <w:rsid w:val="000D0E6C"/>
    <w:rsid w:val="000D11DE"/>
    <w:rsid w:val="000D3ED4"/>
    <w:rsid w:val="000E5DA5"/>
    <w:rsid w:val="000E7E5E"/>
    <w:rsid w:val="000F6CC8"/>
    <w:rsid w:val="00111261"/>
    <w:rsid w:val="0011537B"/>
    <w:rsid w:val="00133015"/>
    <w:rsid w:val="00137452"/>
    <w:rsid w:val="00137B31"/>
    <w:rsid w:val="00144F93"/>
    <w:rsid w:val="00147376"/>
    <w:rsid w:val="0015450B"/>
    <w:rsid w:val="00154BE1"/>
    <w:rsid w:val="0015710B"/>
    <w:rsid w:val="00160EDC"/>
    <w:rsid w:val="00162D61"/>
    <w:rsid w:val="001675CD"/>
    <w:rsid w:val="0017126E"/>
    <w:rsid w:val="001717D5"/>
    <w:rsid w:val="00171EF0"/>
    <w:rsid w:val="00173B44"/>
    <w:rsid w:val="001761D2"/>
    <w:rsid w:val="00176C21"/>
    <w:rsid w:val="001830D7"/>
    <w:rsid w:val="00185A34"/>
    <w:rsid w:val="001934F6"/>
    <w:rsid w:val="00196E6C"/>
    <w:rsid w:val="001A73E8"/>
    <w:rsid w:val="001B0A62"/>
    <w:rsid w:val="001B2F35"/>
    <w:rsid w:val="001B4DD6"/>
    <w:rsid w:val="001B5607"/>
    <w:rsid w:val="001C0993"/>
    <w:rsid w:val="001C79F2"/>
    <w:rsid w:val="001D6A4B"/>
    <w:rsid w:val="001E4630"/>
    <w:rsid w:val="001F0964"/>
    <w:rsid w:val="001F30DA"/>
    <w:rsid w:val="001F3E2A"/>
    <w:rsid w:val="001F5DC5"/>
    <w:rsid w:val="00200FAB"/>
    <w:rsid w:val="00213821"/>
    <w:rsid w:val="00213DFB"/>
    <w:rsid w:val="00217B92"/>
    <w:rsid w:val="0022309F"/>
    <w:rsid w:val="00224294"/>
    <w:rsid w:val="002279D3"/>
    <w:rsid w:val="00240248"/>
    <w:rsid w:val="0024363B"/>
    <w:rsid w:val="00246049"/>
    <w:rsid w:val="00247332"/>
    <w:rsid w:val="00253578"/>
    <w:rsid w:val="00261111"/>
    <w:rsid w:val="00264E55"/>
    <w:rsid w:val="00270744"/>
    <w:rsid w:val="002731EC"/>
    <w:rsid w:val="00275745"/>
    <w:rsid w:val="0027688F"/>
    <w:rsid w:val="00276E44"/>
    <w:rsid w:val="00285DB3"/>
    <w:rsid w:val="00285F38"/>
    <w:rsid w:val="00286BEF"/>
    <w:rsid w:val="00286FA2"/>
    <w:rsid w:val="002902E9"/>
    <w:rsid w:val="002918E3"/>
    <w:rsid w:val="00295CD0"/>
    <w:rsid w:val="002973A9"/>
    <w:rsid w:val="002B1D1A"/>
    <w:rsid w:val="002C2834"/>
    <w:rsid w:val="002C3C7A"/>
    <w:rsid w:val="002C5F95"/>
    <w:rsid w:val="002C657A"/>
    <w:rsid w:val="002D48DF"/>
    <w:rsid w:val="002D6872"/>
    <w:rsid w:val="002D6FB6"/>
    <w:rsid w:val="002E3B09"/>
    <w:rsid w:val="002E52B3"/>
    <w:rsid w:val="00301559"/>
    <w:rsid w:val="00302816"/>
    <w:rsid w:val="00304A12"/>
    <w:rsid w:val="00305636"/>
    <w:rsid w:val="00311662"/>
    <w:rsid w:val="00312A9F"/>
    <w:rsid w:val="00315D5D"/>
    <w:rsid w:val="00316484"/>
    <w:rsid w:val="00316E01"/>
    <w:rsid w:val="00320300"/>
    <w:rsid w:val="00320E90"/>
    <w:rsid w:val="00324508"/>
    <w:rsid w:val="003259C8"/>
    <w:rsid w:val="003307FE"/>
    <w:rsid w:val="00333AD0"/>
    <w:rsid w:val="00336EAF"/>
    <w:rsid w:val="003470E2"/>
    <w:rsid w:val="0035076C"/>
    <w:rsid w:val="00352719"/>
    <w:rsid w:val="0035383E"/>
    <w:rsid w:val="00355364"/>
    <w:rsid w:val="00364CCB"/>
    <w:rsid w:val="00365798"/>
    <w:rsid w:val="00372F16"/>
    <w:rsid w:val="00381EE8"/>
    <w:rsid w:val="0039085F"/>
    <w:rsid w:val="00394069"/>
    <w:rsid w:val="00396809"/>
    <w:rsid w:val="003A58DC"/>
    <w:rsid w:val="003A6061"/>
    <w:rsid w:val="003B3494"/>
    <w:rsid w:val="003B5E08"/>
    <w:rsid w:val="003B6FBC"/>
    <w:rsid w:val="003C32C0"/>
    <w:rsid w:val="003C50AD"/>
    <w:rsid w:val="003D2269"/>
    <w:rsid w:val="003D742E"/>
    <w:rsid w:val="003E38A7"/>
    <w:rsid w:val="003E62FB"/>
    <w:rsid w:val="003E6867"/>
    <w:rsid w:val="003F09B5"/>
    <w:rsid w:val="003F1ECB"/>
    <w:rsid w:val="003F39DF"/>
    <w:rsid w:val="003F63BE"/>
    <w:rsid w:val="004003F8"/>
    <w:rsid w:val="004033ED"/>
    <w:rsid w:val="004061AC"/>
    <w:rsid w:val="00406DA6"/>
    <w:rsid w:val="00410630"/>
    <w:rsid w:val="00414345"/>
    <w:rsid w:val="004149AC"/>
    <w:rsid w:val="0042009D"/>
    <w:rsid w:val="004216D2"/>
    <w:rsid w:val="00421CD2"/>
    <w:rsid w:val="00426096"/>
    <w:rsid w:val="00427F58"/>
    <w:rsid w:val="00433805"/>
    <w:rsid w:val="00442F8D"/>
    <w:rsid w:val="00443869"/>
    <w:rsid w:val="00443ABF"/>
    <w:rsid w:val="00460575"/>
    <w:rsid w:val="00463EC0"/>
    <w:rsid w:val="00464787"/>
    <w:rsid w:val="00471408"/>
    <w:rsid w:val="00480B35"/>
    <w:rsid w:val="004858E0"/>
    <w:rsid w:val="00487A40"/>
    <w:rsid w:val="004917C3"/>
    <w:rsid w:val="00491C81"/>
    <w:rsid w:val="004934E9"/>
    <w:rsid w:val="004943C2"/>
    <w:rsid w:val="004949F3"/>
    <w:rsid w:val="004A11A7"/>
    <w:rsid w:val="004A459C"/>
    <w:rsid w:val="004A7B1D"/>
    <w:rsid w:val="004B2AF4"/>
    <w:rsid w:val="004C0914"/>
    <w:rsid w:val="004C20CA"/>
    <w:rsid w:val="004C702F"/>
    <w:rsid w:val="004D340C"/>
    <w:rsid w:val="004D495A"/>
    <w:rsid w:val="004E5975"/>
    <w:rsid w:val="004E790A"/>
    <w:rsid w:val="004F1A4E"/>
    <w:rsid w:val="004F50FD"/>
    <w:rsid w:val="00500A03"/>
    <w:rsid w:val="00512200"/>
    <w:rsid w:val="005143CD"/>
    <w:rsid w:val="005144F2"/>
    <w:rsid w:val="00516618"/>
    <w:rsid w:val="00517989"/>
    <w:rsid w:val="005242A5"/>
    <w:rsid w:val="0052479B"/>
    <w:rsid w:val="005249DD"/>
    <w:rsid w:val="00524D96"/>
    <w:rsid w:val="00530ABE"/>
    <w:rsid w:val="00531BA5"/>
    <w:rsid w:val="00531F10"/>
    <w:rsid w:val="00532E86"/>
    <w:rsid w:val="00536432"/>
    <w:rsid w:val="005401DB"/>
    <w:rsid w:val="00540818"/>
    <w:rsid w:val="00542434"/>
    <w:rsid w:val="00542470"/>
    <w:rsid w:val="00542546"/>
    <w:rsid w:val="005454FB"/>
    <w:rsid w:val="005608EF"/>
    <w:rsid w:val="005659E4"/>
    <w:rsid w:val="00570842"/>
    <w:rsid w:val="00572784"/>
    <w:rsid w:val="00572D9F"/>
    <w:rsid w:val="00573097"/>
    <w:rsid w:val="00575270"/>
    <w:rsid w:val="005761EE"/>
    <w:rsid w:val="00582D99"/>
    <w:rsid w:val="00585263"/>
    <w:rsid w:val="005866D3"/>
    <w:rsid w:val="0059076B"/>
    <w:rsid w:val="005910BF"/>
    <w:rsid w:val="005A0A33"/>
    <w:rsid w:val="005A0F1F"/>
    <w:rsid w:val="005A3D62"/>
    <w:rsid w:val="005A6675"/>
    <w:rsid w:val="005B09FA"/>
    <w:rsid w:val="005B2E9C"/>
    <w:rsid w:val="005B3CC0"/>
    <w:rsid w:val="005B4C8F"/>
    <w:rsid w:val="005B4F93"/>
    <w:rsid w:val="005B73D2"/>
    <w:rsid w:val="005D2B36"/>
    <w:rsid w:val="005E475E"/>
    <w:rsid w:val="005F118D"/>
    <w:rsid w:val="005F3996"/>
    <w:rsid w:val="005F3B86"/>
    <w:rsid w:val="005F6AF6"/>
    <w:rsid w:val="00604E50"/>
    <w:rsid w:val="006054CF"/>
    <w:rsid w:val="006066D2"/>
    <w:rsid w:val="006075E6"/>
    <w:rsid w:val="0061286A"/>
    <w:rsid w:val="00613BB8"/>
    <w:rsid w:val="00614CC4"/>
    <w:rsid w:val="0062025E"/>
    <w:rsid w:val="00625BFC"/>
    <w:rsid w:val="00626998"/>
    <w:rsid w:val="006269FB"/>
    <w:rsid w:val="00627E2D"/>
    <w:rsid w:val="00627EDE"/>
    <w:rsid w:val="00631ED8"/>
    <w:rsid w:val="006326E3"/>
    <w:rsid w:val="00632B0F"/>
    <w:rsid w:val="00636DB7"/>
    <w:rsid w:val="0063783A"/>
    <w:rsid w:val="00641048"/>
    <w:rsid w:val="006423B9"/>
    <w:rsid w:val="00642FA0"/>
    <w:rsid w:val="00653458"/>
    <w:rsid w:val="00654B0D"/>
    <w:rsid w:val="0065599B"/>
    <w:rsid w:val="00655CD8"/>
    <w:rsid w:val="00655E1C"/>
    <w:rsid w:val="006571DC"/>
    <w:rsid w:val="00660D4B"/>
    <w:rsid w:val="00664ECC"/>
    <w:rsid w:val="00670547"/>
    <w:rsid w:val="00670989"/>
    <w:rsid w:val="00672A26"/>
    <w:rsid w:val="006742DC"/>
    <w:rsid w:val="006757DC"/>
    <w:rsid w:val="00676095"/>
    <w:rsid w:val="006823C3"/>
    <w:rsid w:val="006928F1"/>
    <w:rsid w:val="00693843"/>
    <w:rsid w:val="0069426C"/>
    <w:rsid w:val="00694DFB"/>
    <w:rsid w:val="006A0893"/>
    <w:rsid w:val="006A10AB"/>
    <w:rsid w:val="006A1C62"/>
    <w:rsid w:val="006A48FD"/>
    <w:rsid w:val="006A5EA9"/>
    <w:rsid w:val="006A61EE"/>
    <w:rsid w:val="006A67F8"/>
    <w:rsid w:val="006A7AF1"/>
    <w:rsid w:val="006B11BB"/>
    <w:rsid w:val="006B2FF6"/>
    <w:rsid w:val="006B5457"/>
    <w:rsid w:val="006B5F69"/>
    <w:rsid w:val="006C12B8"/>
    <w:rsid w:val="006C2C1B"/>
    <w:rsid w:val="006C37FC"/>
    <w:rsid w:val="006C7EA3"/>
    <w:rsid w:val="006D2F96"/>
    <w:rsid w:val="006D39E9"/>
    <w:rsid w:val="006D3BE3"/>
    <w:rsid w:val="006D7004"/>
    <w:rsid w:val="006D789D"/>
    <w:rsid w:val="006D7FF8"/>
    <w:rsid w:val="006E042A"/>
    <w:rsid w:val="006E6726"/>
    <w:rsid w:val="006F5E68"/>
    <w:rsid w:val="00706D60"/>
    <w:rsid w:val="007075E3"/>
    <w:rsid w:val="00707F66"/>
    <w:rsid w:val="00710AE0"/>
    <w:rsid w:val="00713A1A"/>
    <w:rsid w:val="00713B5F"/>
    <w:rsid w:val="00720D28"/>
    <w:rsid w:val="00722509"/>
    <w:rsid w:val="00723CB2"/>
    <w:rsid w:val="0072794E"/>
    <w:rsid w:val="00727DD8"/>
    <w:rsid w:val="00727FCD"/>
    <w:rsid w:val="007311DB"/>
    <w:rsid w:val="00733DDD"/>
    <w:rsid w:val="00750CDF"/>
    <w:rsid w:val="00752BA5"/>
    <w:rsid w:val="00755D86"/>
    <w:rsid w:val="007570FE"/>
    <w:rsid w:val="00767C98"/>
    <w:rsid w:val="00770971"/>
    <w:rsid w:val="00772547"/>
    <w:rsid w:val="00775B61"/>
    <w:rsid w:val="007815D8"/>
    <w:rsid w:val="00794090"/>
    <w:rsid w:val="00796CA8"/>
    <w:rsid w:val="007972F5"/>
    <w:rsid w:val="00797305"/>
    <w:rsid w:val="007A0693"/>
    <w:rsid w:val="007A093F"/>
    <w:rsid w:val="007B035B"/>
    <w:rsid w:val="007B2639"/>
    <w:rsid w:val="007B4C04"/>
    <w:rsid w:val="007B5AFB"/>
    <w:rsid w:val="007B5F21"/>
    <w:rsid w:val="007C395A"/>
    <w:rsid w:val="007C5862"/>
    <w:rsid w:val="007D0922"/>
    <w:rsid w:val="007D100C"/>
    <w:rsid w:val="007E2686"/>
    <w:rsid w:val="007E57C0"/>
    <w:rsid w:val="007F29B1"/>
    <w:rsid w:val="007F7F0B"/>
    <w:rsid w:val="008014F9"/>
    <w:rsid w:val="0080358B"/>
    <w:rsid w:val="008059BD"/>
    <w:rsid w:val="0081286B"/>
    <w:rsid w:val="00812D46"/>
    <w:rsid w:val="008148D7"/>
    <w:rsid w:val="008148E0"/>
    <w:rsid w:val="00815769"/>
    <w:rsid w:val="00815A38"/>
    <w:rsid w:val="0082103F"/>
    <w:rsid w:val="00821235"/>
    <w:rsid w:val="00824239"/>
    <w:rsid w:val="008279FE"/>
    <w:rsid w:val="00831259"/>
    <w:rsid w:val="0083208A"/>
    <w:rsid w:val="0083218A"/>
    <w:rsid w:val="00832A00"/>
    <w:rsid w:val="00834E74"/>
    <w:rsid w:val="00837845"/>
    <w:rsid w:val="00843513"/>
    <w:rsid w:val="008442C4"/>
    <w:rsid w:val="00844DB2"/>
    <w:rsid w:val="00846739"/>
    <w:rsid w:val="00853140"/>
    <w:rsid w:val="00854537"/>
    <w:rsid w:val="00855F31"/>
    <w:rsid w:val="008606B6"/>
    <w:rsid w:val="00861E6D"/>
    <w:rsid w:val="008700EC"/>
    <w:rsid w:val="008749A7"/>
    <w:rsid w:val="00875DAC"/>
    <w:rsid w:val="00876D65"/>
    <w:rsid w:val="008837D3"/>
    <w:rsid w:val="00883B3C"/>
    <w:rsid w:val="00883D7C"/>
    <w:rsid w:val="008868F3"/>
    <w:rsid w:val="00891261"/>
    <w:rsid w:val="008A21B2"/>
    <w:rsid w:val="008A3DAA"/>
    <w:rsid w:val="008A5B20"/>
    <w:rsid w:val="008B2FDD"/>
    <w:rsid w:val="008B3C7E"/>
    <w:rsid w:val="008B4A75"/>
    <w:rsid w:val="008C15BF"/>
    <w:rsid w:val="008C75E7"/>
    <w:rsid w:val="008C7CA8"/>
    <w:rsid w:val="008C7FFA"/>
    <w:rsid w:val="008D09EC"/>
    <w:rsid w:val="008D7CBF"/>
    <w:rsid w:val="008E07EB"/>
    <w:rsid w:val="008E1D74"/>
    <w:rsid w:val="008E2DCB"/>
    <w:rsid w:val="008E326D"/>
    <w:rsid w:val="008E35F0"/>
    <w:rsid w:val="008F3B64"/>
    <w:rsid w:val="008F5F67"/>
    <w:rsid w:val="008F60F2"/>
    <w:rsid w:val="0090217D"/>
    <w:rsid w:val="00905C5E"/>
    <w:rsid w:val="009078DC"/>
    <w:rsid w:val="009200F6"/>
    <w:rsid w:val="00921735"/>
    <w:rsid w:val="00921AC7"/>
    <w:rsid w:val="00924582"/>
    <w:rsid w:val="00931291"/>
    <w:rsid w:val="0093367D"/>
    <w:rsid w:val="009431FA"/>
    <w:rsid w:val="00945AF6"/>
    <w:rsid w:val="009550BE"/>
    <w:rsid w:val="00955531"/>
    <w:rsid w:val="00955BE8"/>
    <w:rsid w:val="00957594"/>
    <w:rsid w:val="00963F40"/>
    <w:rsid w:val="009730B8"/>
    <w:rsid w:val="009734BB"/>
    <w:rsid w:val="0097424F"/>
    <w:rsid w:val="0098122D"/>
    <w:rsid w:val="00986596"/>
    <w:rsid w:val="00990685"/>
    <w:rsid w:val="009A0ABE"/>
    <w:rsid w:val="009A4E5D"/>
    <w:rsid w:val="009B2D4B"/>
    <w:rsid w:val="009C1009"/>
    <w:rsid w:val="009C5186"/>
    <w:rsid w:val="009C60F7"/>
    <w:rsid w:val="009D0952"/>
    <w:rsid w:val="009E19A9"/>
    <w:rsid w:val="009E31DA"/>
    <w:rsid w:val="009E402C"/>
    <w:rsid w:val="009E7C6A"/>
    <w:rsid w:val="009F27F9"/>
    <w:rsid w:val="009F3659"/>
    <w:rsid w:val="009F4861"/>
    <w:rsid w:val="009F61BE"/>
    <w:rsid w:val="009F7ED4"/>
    <w:rsid w:val="00A03AAC"/>
    <w:rsid w:val="00A047D1"/>
    <w:rsid w:val="00A21300"/>
    <w:rsid w:val="00A22AD0"/>
    <w:rsid w:val="00A22DA8"/>
    <w:rsid w:val="00A3030E"/>
    <w:rsid w:val="00A31574"/>
    <w:rsid w:val="00A31671"/>
    <w:rsid w:val="00A324F4"/>
    <w:rsid w:val="00A36930"/>
    <w:rsid w:val="00A45320"/>
    <w:rsid w:val="00A504C9"/>
    <w:rsid w:val="00A54C7D"/>
    <w:rsid w:val="00A5612C"/>
    <w:rsid w:val="00A5689C"/>
    <w:rsid w:val="00A57AE4"/>
    <w:rsid w:val="00A63A97"/>
    <w:rsid w:val="00A63F19"/>
    <w:rsid w:val="00A669FC"/>
    <w:rsid w:val="00A66F42"/>
    <w:rsid w:val="00A76625"/>
    <w:rsid w:val="00A81F53"/>
    <w:rsid w:val="00A83500"/>
    <w:rsid w:val="00A8721A"/>
    <w:rsid w:val="00A90049"/>
    <w:rsid w:val="00A917BF"/>
    <w:rsid w:val="00A96A94"/>
    <w:rsid w:val="00AA3A38"/>
    <w:rsid w:val="00AA4F94"/>
    <w:rsid w:val="00AA6513"/>
    <w:rsid w:val="00AB047E"/>
    <w:rsid w:val="00AB4DB6"/>
    <w:rsid w:val="00AB6E79"/>
    <w:rsid w:val="00AC063D"/>
    <w:rsid w:val="00AC592E"/>
    <w:rsid w:val="00AC6C10"/>
    <w:rsid w:val="00AC7BC6"/>
    <w:rsid w:val="00AD24AA"/>
    <w:rsid w:val="00AE7962"/>
    <w:rsid w:val="00AF0A7F"/>
    <w:rsid w:val="00AF1BA1"/>
    <w:rsid w:val="00AF3AB2"/>
    <w:rsid w:val="00AF6FFB"/>
    <w:rsid w:val="00B11A78"/>
    <w:rsid w:val="00B11BE5"/>
    <w:rsid w:val="00B11F31"/>
    <w:rsid w:val="00B12B7D"/>
    <w:rsid w:val="00B16985"/>
    <w:rsid w:val="00B22DEE"/>
    <w:rsid w:val="00B27479"/>
    <w:rsid w:val="00B32AA7"/>
    <w:rsid w:val="00B34678"/>
    <w:rsid w:val="00B35024"/>
    <w:rsid w:val="00B371B4"/>
    <w:rsid w:val="00B40CF0"/>
    <w:rsid w:val="00B40F64"/>
    <w:rsid w:val="00B42A76"/>
    <w:rsid w:val="00B47982"/>
    <w:rsid w:val="00B56F53"/>
    <w:rsid w:val="00B606DE"/>
    <w:rsid w:val="00B61C8A"/>
    <w:rsid w:val="00B62AC1"/>
    <w:rsid w:val="00B64723"/>
    <w:rsid w:val="00B7378D"/>
    <w:rsid w:val="00B7444D"/>
    <w:rsid w:val="00B816A7"/>
    <w:rsid w:val="00B82413"/>
    <w:rsid w:val="00B85352"/>
    <w:rsid w:val="00B86CD8"/>
    <w:rsid w:val="00B87214"/>
    <w:rsid w:val="00B92FF5"/>
    <w:rsid w:val="00B959E6"/>
    <w:rsid w:val="00BA604D"/>
    <w:rsid w:val="00BB5DA7"/>
    <w:rsid w:val="00BB5E0E"/>
    <w:rsid w:val="00BC14B3"/>
    <w:rsid w:val="00BC216C"/>
    <w:rsid w:val="00BC4585"/>
    <w:rsid w:val="00BC50F1"/>
    <w:rsid w:val="00BC73E5"/>
    <w:rsid w:val="00BD0031"/>
    <w:rsid w:val="00BD05E0"/>
    <w:rsid w:val="00BD70E0"/>
    <w:rsid w:val="00BD7473"/>
    <w:rsid w:val="00BD7703"/>
    <w:rsid w:val="00BE14ED"/>
    <w:rsid w:val="00BE420D"/>
    <w:rsid w:val="00BE5388"/>
    <w:rsid w:val="00BF0019"/>
    <w:rsid w:val="00C012F9"/>
    <w:rsid w:val="00C102E6"/>
    <w:rsid w:val="00C15CAC"/>
    <w:rsid w:val="00C21520"/>
    <w:rsid w:val="00C222B2"/>
    <w:rsid w:val="00C225FB"/>
    <w:rsid w:val="00C23547"/>
    <w:rsid w:val="00C2499B"/>
    <w:rsid w:val="00C451A3"/>
    <w:rsid w:val="00C46B88"/>
    <w:rsid w:val="00C47163"/>
    <w:rsid w:val="00C5218C"/>
    <w:rsid w:val="00C52191"/>
    <w:rsid w:val="00C53472"/>
    <w:rsid w:val="00C53D1B"/>
    <w:rsid w:val="00C5642F"/>
    <w:rsid w:val="00C6002A"/>
    <w:rsid w:val="00C6209F"/>
    <w:rsid w:val="00C629B1"/>
    <w:rsid w:val="00C63554"/>
    <w:rsid w:val="00C678B0"/>
    <w:rsid w:val="00C7047C"/>
    <w:rsid w:val="00C71497"/>
    <w:rsid w:val="00C72F5B"/>
    <w:rsid w:val="00C73BCD"/>
    <w:rsid w:val="00C74E5E"/>
    <w:rsid w:val="00C77AEF"/>
    <w:rsid w:val="00C85A6E"/>
    <w:rsid w:val="00C87129"/>
    <w:rsid w:val="00C91E1B"/>
    <w:rsid w:val="00C9613D"/>
    <w:rsid w:val="00C9690F"/>
    <w:rsid w:val="00CA574C"/>
    <w:rsid w:val="00CA5FD5"/>
    <w:rsid w:val="00CA7703"/>
    <w:rsid w:val="00CB0F92"/>
    <w:rsid w:val="00CD4E6D"/>
    <w:rsid w:val="00CD4F19"/>
    <w:rsid w:val="00CD5707"/>
    <w:rsid w:val="00CD7702"/>
    <w:rsid w:val="00CE29EA"/>
    <w:rsid w:val="00CE39AB"/>
    <w:rsid w:val="00CE473F"/>
    <w:rsid w:val="00CE7169"/>
    <w:rsid w:val="00CF04CF"/>
    <w:rsid w:val="00CF2D3E"/>
    <w:rsid w:val="00CF6572"/>
    <w:rsid w:val="00D01FE6"/>
    <w:rsid w:val="00D02347"/>
    <w:rsid w:val="00D03EB3"/>
    <w:rsid w:val="00D046DB"/>
    <w:rsid w:val="00D04755"/>
    <w:rsid w:val="00D1076E"/>
    <w:rsid w:val="00D1116B"/>
    <w:rsid w:val="00D13737"/>
    <w:rsid w:val="00D1638E"/>
    <w:rsid w:val="00D2061C"/>
    <w:rsid w:val="00D21FFF"/>
    <w:rsid w:val="00D2206B"/>
    <w:rsid w:val="00D272A5"/>
    <w:rsid w:val="00D346D9"/>
    <w:rsid w:val="00D43AFB"/>
    <w:rsid w:val="00D44EE8"/>
    <w:rsid w:val="00D57B7C"/>
    <w:rsid w:val="00D65B44"/>
    <w:rsid w:val="00D75E69"/>
    <w:rsid w:val="00D8099B"/>
    <w:rsid w:val="00D866A8"/>
    <w:rsid w:val="00D91E06"/>
    <w:rsid w:val="00D9393A"/>
    <w:rsid w:val="00D94B8D"/>
    <w:rsid w:val="00D96C8D"/>
    <w:rsid w:val="00D974EF"/>
    <w:rsid w:val="00DA0C61"/>
    <w:rsid w:val="00DA14B0"/>
    <w:rsid w:val="00DA2876"/>
    <w:rsid w:val="00DA66D0"/>
    <w:rsid w:val="00DC0B51"/>
    <w:rsid w:val="00DC141F"/>
    <w:rsid w:val="00DC28F1"/>
    <w:rsid w:val="00DC456F"/>
    <w:rsid w:val="00DC6B55"/>
    <w:rsid w:val="00DE27F7"/>
    <w:rsid w:val="00DE4B43"/>
    <w:rsid w:val="00E02660"/>
    <w:rsid w:val="00E04BE1"/>
    <w:rsid w:val="00E12DBF"/>
    <w:rsid w:val="00E20C3C"/>
    <w:rsid w:val="00E215BA"/>
    <w:rsid w:val="00E36549"/>
    <w:rsid w:val="00E40D31"/>
    <w:rsid w:val="00E41260"/>
    <w:rsid w:val="00E44E18"/>
    <w:rsid w:val="00E45584"/>
    <w:rsid w:val="00E52DBC"/>
    <w:rsid w:val="00E54301"/>
    <w:rsid w:val="00E54BF5"/>
    <w:rsid w:val="00E54D7F"/>
    <w:rsid w:val="00E554A1"/>
    <w:rsid w:val="00E55ABD"/>
    <w:rsid w:val="00E60817"/>
    <w:rsid w:val="00E609C6"/>
    <w:rsid w:val="00E62DE5"/>
    <w:rsid w:val="00E705CC"/>
    <w:rsid w:val="00E84C7E"/>
    <w:rsid w:val="00E85E4B"/>
    <w:rsid w:val="00E8670B"/>
    <w:rsid w:val="00EA1826"/>
    <w:rsid w:val="00EA70F1"/>
    <w:rsid w:val="00EB2516"/>
    <w:rsid w:val="00EB2C07"/>
    <w:rsid w:val="00EB572B"/>
    <w:rsid w:val="00EC14ED"/>
    <w:rsid w:val="00EC1E04"/>
    <w:rsid w:val="00ED0328"/>
    <w:rsid w:val="00ED14D5"/>
    <w:rsid w:val="00ED2620"/>
    <w:rsid w:val="00ED4D47"/>
    <w:rsid w:val="00ED62BE"/>
    <w:rsid w:val="00ED6E80"/>
    <w:rsid w:val="00ED7B83"/>
    <w:rsid w:val="00EE3BC8"/>
    <w:rsid w:val="00EE49FE"/>
    <w:rsid w:val="00EF17AB"/>
    <w:rsid w:val="00EF6FA5"/>
    <w:rsid w:val="00F11104"/>
    <w:rsid w:val="00F11BB5"/>
    <w:rsid w:val="00F16E3F"/>
    <w:rsid w:val="00F2070B"/>
    <w:rsid w:val="00F22499"/>
    <w:rsid w:val="00F22B0F"/>
    <w:rsid w:val="00F24B42"/>
    <w:rsid w:val="00F24F73"/>
    <w:rsid w:val="00F27299"/>
    <w:rsid w:val="00F31B0C"/>
    <w:rsid w:val="00F31F6E"/>
    <w:rsid w:val="00F323FF"/>
    <w:rsid w:val="00F3389C"/>
    <w:rsid w:val="00F375F2"/>
    <w:rsid w:val="00F45C47"/>
    <w:rsid w:val="00F51C4E"/>
    <w:rsid w:val="00F534A2"/>
    <w:rsid w:val="00F53B0E"/>
    <w:rsid w:val="00F54EAE"/>
    <w:rsid w:val="00F66A51"/>
    <w:rsid w:val="00F71057"/>
    <w:rsid w:val="00F71A4B"/>
    <w:rsid w:val="00F728CF"/>
    <w:rsid w:val="00F743D4"/>
    <w:rsid w:val="00F80AC3"/>
    <w:rsid w:val="00F81917"/>
    <w:rsid w:val="00F83B17"/>
    <w:rsid w:val="00F87EDA"/>
    <w:rsid w:val="00F970EE"/>
    <w:rsid w:val="00FA775C"/>
    <w:rsid w:val="00FB0BC9"/>
    <w:rsid w:val="00FB41D3"/>
    <w:rsid w:val="00FB4F70"/>
    <w:rsid w:val="00FB5EFC"/>
    <w:rsid w:val="00FB77BB"/>
    <w:rsid w:val="00FC15AA"/>
    <w:rsid w:val="00FC2922"/>
    <w:rsid w:val="00FC7FBA"/>
    <w:rsid w:val="00FD1375"/>
    <w:rsid w:val="00FD359E"/>
    <w:rsid w:val="00FD5F37"/>
    <w:rsid w:val="00FD6B92"/>
    <w:rsid w:val="00FE0A17"/>
    <w:rsid w:val="00FE179F"/>
    <w:rsid w:val="00FE1A3B"/>
    <w:rsid w:val="00FF213A"/>
    <w:rsid w:val="00FF3F27"/>
    <w:rsid w:val="00FF469F"/>
    <w:rsid w:val="00FF5196"/>
    <w:rsid w:val="00FF6E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5B536B-9DA6-4920-8EA4-43C10A5F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1AC"/>
    <w:pPr>
      <w:widowControl w:val="0"/>
      <w:jc w:val="both"/>
    </w:pPr>
    <w:rPr>
      <w:rFonts w:ascii="Times New Roman" w:eastAsia="宋体" w:hAnsi="Times New Roman" w:cs="Times New Roman"/>
      <w:szCs w:val="21"/>
    </w:rPr>
  </w:style>
  <w:style w:type="paragraph" w:styleId="1">
    <w:name w:val="heading 1"/>
    <w:basedOn w:val="a"/>
    <w:next w:val="a"/>
    <w:link w:val="1Char"/>
    <w:uiPriority w:val="99"/>
    <w:qFormat/>
    <w:rsid w:val="004061AC"/>
    <w:pPr>
      <w:keepNext/>
      <w:keepLines/>
      <w:spacing w:before="340" w:after="330" w:line="578" w:lineRule="auto"/>
      <w:outlineLvl w:val="0"/>
    </w:pPr>
    <w:rPr>
      <w:b/>
      <w:bCs/>
      <w:kern w:val="44"/>
      <w:sz w:val="44"/>
      <w:szCs w:val="44"/>
    </w:rPr>
  </w:style>
  <w:style w:type="paragraph" w:styleId="2">
    <w:name w:val="heading 2"/>
    <w:basedOn w:val="a"/>
    <w:next w:val="a0"/>
    <w:link w:val="2Char"/>
    <w:uiPriority w:val="99"/>
    <w:qFormat/>
    <w:rsid w:val="004061AC"/>
    <w:pPr>
      <w:keepNext/>
      <w:keepLines/>
      <w:spacing w:before="260" w:after="260" w:line="360" w:lineRule="auto"/>
      <w:outlineLvl w:val="1"/>
    </w:pPr>
    <w:rPr>
      <w:rFonts w:ascii="Arial" w:hAnsi="Arial" w:cs="Arial"/>
      <w:b/>
      <w:bCs/>
      <w:sz w:val="24"/>
      <w:szCs w:val="24"/>
    </w:rPr>
  </w:style>
  <w:style w:type="paragraph" w:styleId="3">
    <w:name w:val="heading 3"/>
    <w:basedOn w:val="a"/>
    <w:next w:val="a"/>
    <w:link w:val="3Char"/>
    <w:uiPriority w:val="99"/>
    <w:qFormat/>
    <w:rsid w:val="004061A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9"/>
    <w:rsid w:val="004061AC"/>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4061AC"/>
    <w:rPr>
      <w:rFonts w:ascii="Arial" w:eastAsia="宋体" w:hAnsi="Arial" w:cs="Arial"/>
      <w:b/>
      <w:bCs/>
      <w:sz w:val="24"/>
      <w:szCs w:val="24"/>
    </w:rPr>
  </w:style>
  <w:style w:type="character" w:customStyle="1" w:styleId="3Char">
    <w:name w:val="标题 3 Char"/>
    <w:basedOn w:val="a1"/>
    <w:link w:val="3"/>
    <w:uiPriority w:val="99"/>
    <w:rsid w:val="004061AC"/>
    <w:rPr>
      <w:rFonts w:ascii="Times New Roman" w:eastAsia="宋体" w:hAnsi="Times New Roman" w:cs="Times New Roman"/>
      <w:b/>
      <w:bCs/>
      <w:sz w:val="32"/>
      <w:szCs w:val="32"/>
    </w:rPr>
  </w:style>
  <w:style w:type="paragraph" w:styleId="a0">
    <w:name w:val="Normal Indent"/>
    <w:basedOn w:val="a"/>
    <w:uiPriority w:val="99"/>
    <w:rsid w:val="004061AC"/>
    <w:pPr>
      <w:ind w:firstLineChars="200" w:firstLine="420"/>
    </w:pPr>
  </w:style>
  <w:style w:type="paragraph" w:styleId="a4">
    <w:name w:val="Body Text Indent"/>
    <w:basedOn w:val="a"/>
    <w:link w:val="Char"/>
    <w:uiPriority w:val="99"/>
    <w:rsid w:val="004061AC"/>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customStyle="1" w:styleId="Char">
    <w:name w:val="正文文本缩进 Char"/>
    <w:basedOn w:val="a1"/>
    <w:link w:val="a4"/>
    <w:uiPriority w:val="99"/>
    <w:rsid w:val="004061AC"/>
    <w:rPr>
      <w:rFonts w:ascii="Arial Unicode MS" w:eastAsia="Arial Unicode MS" w:hAnsi="Arial Unicode MS" w:cs="Arial Unicode MS"/>
      <w:kern w:val="0"/>
      <w:sz w:val="24"/>
      <w:szCs w:val="24"/>
    </w:rPr>
  </w:style>
  <w:style w:type="paragraph" w:styleId="a5">
    <w:name w:val="Plain Text"/>
    <w:basedOn w:val="a"/>
    <w:link w:val="Char0"/>
    <w:uiPriority w:val="99"/>
    <w:rsid w:val="004061AC"/>
    <w:rPr>
      <w:rFonts w:ascii="宋体" w:hAnsi="Courier New" w:cs="宋体"/>
    </w:rPr>
  </w:style>
  <w:style w:type="character" w:customStyle="1" w:styleId="Char0">
    <w:name w:val="纯文本 Char"/>
    <w:basedOn w:val="a1"/>
    <w:link w:val="a5"/>
    <w:uiPriority w:val="99"/>
    <w:rsid w:val="004061AC"/>
    <w:rPr>
      <w:rFonts w:ascii="宋体" w:eastAsia="宋体" w:hAnsi="Courier New" w:cs="宋体"/>
      <w:szCs w:val="21"/>
    </w:rPr>
  </w:style>
  <w:style w:type="paragraph" w:styleId="20">
    <w:name w:val="Body Text Indent 2"/>
    <w:basedOn w:val="a"/>
    <w:link w:val="2Char0"/>
    <w:uiPriority w:val="99"/>
    <w:rsid w:val="004061AC"/>
    <w:pPr>
      <w:spacing w:line="560" w:lineRule="exact"/>
      <w:ind w:firstLineChars="200" w:firstLine="480"/>
    </w:pPr>
    <w:rPr>
      <w:rFonts w:ascii="宋体" w:hAnsi="宋体" w:cs="宋体"/>
      <w:color w:val="FF0000"/>
      <w:sz w:val="24"/>
      <w:szCs w:val="24"/>
    </w:rPr>
  </w:style>
  <w:style w:type="character" w:customStyle="1" w:styleId="2Char0">
    <w:name w:val="正文文本缩进 2 Char"/>
    <w:basedOn w:val="a1"/>
    <w:link w:val="20"/>
    <w:uiPriority w:val="99"/>
    <w:rsid w:val="004061AC"/>
    <w:rPr>
      <w:rFonts w:ascii="宋体" w:eastAsia="宋体" w:hAnsi="宋体" w:cs="宋体"/>
      <w:color w:val="FF0000"/>
      <w:sz w:val="24"/>
      <w:szCs w:val="24"/>
    </w:rPr>
  </w:style>
  <w:style w:type="paragraph" w:styleId="a6">
    <w:name w:val="footer"/>
    <w:basedOn w:val="a"/>
    <w:link w:val="Char1"/>
    <w:rsid w:val="004061AC"/>
    <w:pPr>
      <w:tabs>
        <w:tab w:val="center" w:pos="4153"/>
        <w:tab w:val="right" w:pos="8306"/>
      </w:tabs>
      <w:snapToGrid w:val="0"/>
      <w:jc w:val="left"/>
    </w:pPr>
    <w:rPr>
      <w:sz w:val="18"/>
      <w:szCs w:val="18"/>
    </w:rPr>
  </w:style>
  <w:style w:type="character" w:customStyle="1" w:styleId="Char1">
    <w:name w:val="页脚 Char"/>
    <w:basedOn w:val="a1"/>
    <w:link w:val="a6"/>
    <w:uiPriority w:val="99"/>
    <w:rsid w:val="004061AC"/>
    <w:rPr>
      <w:rFonts w:ascii="Times New Roman" w:eastAsia="宋体" w:hAnsi="Times New Roman" w:cs="Times New Roman"/>
      <w:sz w:val="18"/>
      <w:szCs w:val="18"/>
    </w:rPr>
  </w:style>
  <w:style w:type="character" w:styleId="a7">
    <w:name w:val="page number"/>
    <w:basedOn w:val="a1"/>
    <w:uiPriority w:val="99"/>
    <w:rsid w:val="004061AC"/>
  </w:style>
  <w:style w:type="character" w:styleId="a8">
    <w:name w:val="Hyperlink"/>
    <w:basedOn w:val="a1"/>
    <w:uiPriority w:val="99"/>
    <w:rsid w:val="004061AC"/>
    <w:rPr>
      <w:color w:val="0000FF"/>
      <w:u w:val="single"/>
    </w:rPr>
  </w:style>
  <w:style w:type="paragraph" w:styleId="30">
    <w:name w:val="Body Text Indent 3"/>
    <w:basedOn w:val="a"/>
    <w:link w:val="3Char0"/>
    <w:uiPriority w:val="99"/>
    <w:rsid w:val="004061AC"/>
    <w:pPr>
      <w:spacing w:line="560" w:lineRule="exact"/>
      <w:ind w:firstLineChars="200" w:firstLine="420"/>
    </w:pPr>
    <w:rPr>
      <w:rFonts w:ascii="Arial" w:hAnsi="Arial" w:cs="Arial"/>
      <w:color w:val="FF0000"/>
    </w:rPr>
  </w:style>
  <w:style w:type="character" w:customStyle="1" w:styleId="3Char0">
    <w:name w:val="正文文本缩进 3 Char"/>
    <w:basedOn w:val="a1"/>
    <w:link w:val="30"/>
    <w:uiPriority w:val="99"/>
    <w:rsid w:val="004061AC"/>
    <w:rPr>
      <w:rFonts w:ascii="Arial" w:eastAsia="宋体" w:hAnsi="Arial" w:cs="Arial"/>
      <w:color w:val="FF0000"/>
      <w:szCs w:val="21"/>
    </w:rPr>
  </w:style>
  <w:style w:type="paragraph" w:styleId="a9">
    <w:name w:val="header"/>
    <w:basedOn w:val="a"/>
    <w:link w:val="Char2"/>
    <w:uiPriority w:val="99"/>
    <w:rsid w:val="004061AC"/>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1"/>
    <w:link w:val="a9"/>
    <w:uiPriority w:val="99"/>
    <w:rsid w:val="004061AC"/>
    <w:rPr>
      <w:rFonts w:ascii="Times New Roman" w:eastAsia="宋体" w:hAnsi="Times New Roman" w:cs="Times New Roman"/>
      <w:sz w:val="18"/>
      <w:szCs w:val="18"/>
    </w:rPr>
  </w:style>
  <w:style w:type="character" w:styleId="aa">
    <w:name w:val="FollowedHyperlink"/>
    <w:basedOn w:val="a1"/>
    <w:uiPriority w:val="99"/>
    <w:rsid w:val="004061AC"/>
    <w:rPr>
      <w:color w:val="800080"/>
      <w:u w:val="single"/>
    </w:rPr>
  </w:style>
  <w:style w:type="paragraph" w:styleId="ab">
    <w:name w:val="List"/>
    <w:basedOn w:val="ac"/>
    <w:uiPriority w:val="99"/>
    <w:rsid w:val="004061AC"/>
    <w:pPr>
      <w:spacing w:after="220" w:line="220" w:lineRule="atLeast"/>
      <w:ind w:left="1440" w:hanging="360"/>
    </w:pPr>
  </w:style>
  <w:style w:type="paragraph" w:styleId="ac">
    <w:name w:val="Body Text"/>
    <w:basedOn w:val="a"/>
    <w:link w:val="Char3"/>
    <w:uiPriority w:val="99"/>
    <w:rsid w:val="004061AC"/>
    <w:pPr>
      <w:spacing w:after="120"/>
    </w:pPr>
  </w:style>
  <w:style w:type="character" w:customStyle="1" w:styleId="Char3">
    <w:name w:val="正文文本 Char"/>
    <w:basedOn w:val="a1"/>
    <w:link w:val="ac"/>
    <w:uiPriority w:val="99"/>
    <w:rsid w:val="004061AC"/>
    <w:rPr>
      <w:rFonts w:ascii="Times New Roman" w:eastAsia="宋体" w:hAnsi="Times New Roman" w:cs="Times New Roman"/>
      <w:szCs w:val="21"/>
    </w:rPr>
  </w:style>
  <w:style w:type="paragraph" w:styleId="ad">
    <w:name w:val="Date"/>
    <w:basedOn w:val="a"/>
    <w:next w:val="a"/>
    <w:link w:val="Char4"/>
    <w:rsid w:val="004061AC"/>
    <w:rPr>
      <w:sz w:val="24"/>
      <w:szCs w:val="24"/>
    </w:rPr>
  </w:style>
  <w:style w:type="character" w:customStyle="1" w:styleId="Char4">
    <w:name w:val="日期 Char"/>
    <w:basedOn w:val="a1"/>
    <w:link w:val="ad"/>
    <w:rsid w:val="004061AC"/>
    <w:rPr>
      <w:rFonts w:ascii="Times New Roman" w:eastAsia="宋体" w:hAnsi="Times New Roman" w:cs="Times New Roman"/>
      <w:sz w:val="24"/>
      <w:szCs w:val="24"/>
    </w:rPr>
  </w:style>
  <w:style w:type="character" w:customStyle="1" w:styleId="c1">
    <w:name w:val="c1"/>
    <w:basedOn w:val="a1"/>
    <w:uiPriority w:val="99"/>
    <w:rsid w:val="004061AC"/>
    <w:rPr>
      <w:color w:val="000000"/>
      <w:sz w:val="18"/>
      <w:szCs w:val="18"/>
    </w:rPr>
  </w:style>
  <w:style w:type="paragraph" w:styleId="10">
    <w:name w:val="index 1"/>
    <w:basedOn w:val="a"/>
    <w:next w:val="a"/>
    <w:autoRedefine/>
    <w:uiPriority w:val="99"/>
    <w:semiHidden/>
    <w:rsid w:val="004061AC"/>
    <w:pPr>
      <w:jc w:val="right"/>
    </w:pPr>
    <w:rPr>
      <w:color w:val="008000"/>
    </w:rPr>
  </w:style>
  <w:style w:type="paragraph" w:customStyle="1" w:styleId="font5">
    <w:name w:val="font5"/>
    <w:basedOn w:val="a"/>
    <w:uiPriority w:val="99"/>
    <w:rsid w:val="004061AC"/>
    <w:pPr>
      <w:widowControl/>
      <w:spacing w:before="100" w:beforeAutospacing="1" w:after="100" w:afterAutospacing="1"/>
      <w:jc w:val="left"/>
    </w:pPr>
    <w:rPr>
      <w:rFonts w:ascii="宋体" w:hAnsi="宋体" w:cs="宋体"/>
      <w:kern w:val="0"/>
      <w:sz w:val="18"/>
      <w:szCs w:val="18"/>
    </w:rPr>
  </w:style>
  <w:style w:type="paragraph" w:customStyle="1" w:styleId="xl24">
    <w:name w:val="xl24"/>
    <w:basedOn w:val="a"/>
    <w:uiPriority w:val="99"/>
    <w:rsid w:val="004061AC"/>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szCs w:val="24"/>
    </w:rPr>
  </w:style>
  <w:style w:type="paragraph" w:customStyle="1" w:styleId="xl26">
    <w:name w:val="xl26"/>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27">
    <w:name w:val="xl27"/>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29">
    <w:name w:val="xl29"/>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30">
    <w:name w:val="xl30"/>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31">
    <w:name w:val="xl31"/>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e">
    <w:name w:val="Balloon Text"/>
    <w:basedOn w:val="a"/>
    <w:link w:val="Char5"/>
    <w:uiPriority w:val="99"/>
    <w:semiHidden/>
    <w:rsid w:val="004061AC"/>
    <w:rPr>
      <w:sz w:val="18"/>
      <w:szCs w:val="18"/>
    </w:rPr>
  </w:style>
  <w:style w:type="character" w:customStyle="1" w:styleId="Char5">
    <w:name w:val="批注框文本 Char"/>
    <w:basedOn w:val="a1"/>
    <w:link w:val="ae"/>
    <w:uiPriority w:val="99"/>
    <w:semiHidden/>
    <w:rsid w:val="004061AC"/>
    <w:rPr>
      <w:rFonts w:ascii="Times New Roman" w:eastAsia="宋体" w:hAnsi="Times New Roman" w:cs="Times New Roman"/>
      <w:sz w:val="18"/>
      <w:szCs w:val="18"/>
    </w:rPr>
  </w:style>
  <w:style w:type="character" w:styleId="af">
    <w:name w:val="annotation reference"/>
    <w:basedOn w:val="a1"/>
    <w:uiPriority w:val="99"/>
    <w:semiHidden/>
    <w:rsid w:val="004061AC"/>
    <w:rPr>
      <w:sz w:val="21"/>
      <w:szCs w:val="21"/>
    </w:rPr>
  </w:style>
  <w:style w:type="paragraph" w:styleId="af0">
    <w:name w:val="annotation text"/>
    <w:basedOn w:val="a"/>
    <w:link w:val="Char6"/>
    <w:uiPriority w:val="99"/>
    <w:semiHidden/>
    <w:rsid w:val="004061AC"/>
    <w:pPr>
      <w:jc w:val="left"/>
    </w:pPr>
  </w:style>
  <w:style w:type="character" w:customStyle="1" w:styleId="Char6">
    <w:name w:val="批注文字 Char"/>
    <w:basedOn w:val="a1"/>
    <w:link w:val="af0"/>
    <w:uiPriority w:val="99"/>
    <w:semiHidden/>
    <w:rsid w:val="004061AC"/>
    <w:rPr>
      <w:rFonts w:ascii="Times New Roman" w:eastAsia="宋体" w:hAnsi="Times New Roman" w:cs="Times New Roman"/>
      <w:szCs w:val="21"/>
    </w:rPr>
  </w:style>
  <w:style w:type="paragraph" w:styleId="af1">
    <w:name w:val="annotation subject"/>
    <w:basedOn w:val="af0"/>
    <w:next w:val="af0"/>
    <w:link w:val="Char7"/>
    <w:uiPriority w:val="99"/>
    <w:semiHidden/>
    <w:rsid w:val="004061AC"/>
    <w:rPr>
      <w:b/>
      <w:bCs/>
    </w:rPr>
  </w:style>
  <w:style w:type="character" w:customStyle="1" w:styleId="Char7">
    <w:name w:val="批注主题 Char"/>
    <w:basedOn w:val="Char6"/>
    <w:link w:val="af1"/>
    <w:uiPriority w:val="99"/>
    <w:semiHidden/>
    <w:rsid w:val="004061AC"/>
    <w:rPr>
      <w:rFonts w:ascii="Times New Roman" w:eastAsia="宋体" w:hAnsi="Times New Roman" w:cs="Times New Roman"/>
      <w:b/>
      <w:bCs/>
      <w:szCs w:val="21"/>
    </w:rPr>
  </w:style>
  <w:style w:type="paragraph" w:customStyle="1" w:styleId="Char8">
    <w:name w:val="Char"/>
    <w:basedOn w:val="a"/>
    <w:uiPriority w:val="99"/>
    <w:rsid w:val="004061AC"/>
  </w:style>
  <w:style w:type="paragraph" w:styleId="af2">
    <w:name w:val="Document Map"/>
    <w:basedOn w:val="a"/>
    <w:link w:val="Char9"/>
    <w:uiPriority w:val="99"/>
    <w:semiHidden/>
    <w:rsid w:val="004061AC"/>
    <w:pPr>
      <w:shd w:val="clear" w:color="auto" w:fill="000080"/>
    </w:pPr>
  </w:style>
  <w:style w:type="character" w:customStyle="1" w:styleId="Char9">
    <w:name w:val="文档结构图 Char"/>
    <w:basedOn w:val="a1"/>
    <w:link w:val="af2"/>
    <w:uiPriority w:val="99"/>
    <w:semiHidden/>
    <w:rsid w:val="004061AC"/>
    <w:rPr>
      <w:rFonts w:ascii="Times New Roman" w:eastAsia="宋体" w:hAnsi="Times New Roman" w:cs="Times New Roman"/>
      <w:szCs w:val="21"/>
      <w:shd w:val="clear" w:color="auto" w:fill="000080"/>
    </w:rPr>
  </w:style>
  <w:style w:type="paragraph" w:customStyle="1" w:styleId="af3">
    <w:name w:val="正文 + (符号) 宋体"/>
    <w:aliases w:val="小四,紧缩量  0.2 磅"/>
    <w:basedOn w:val="a"/>
    <w:uiPriority w:val="99"/>
    <w:rsid w:val="004061AC"/>
    <w:pPr>
      <w:autoSpaceDE w:val="0"/>
      <w:autoSpaceDN w:val="0"/>
      <w:adjustRightInd w:val="0"/>
      <w:ind w:rightChars="671" w:right="1409" w:firstLineChars="512" w:firstLine="1229"/>
      <w:jc w:val="distribute"/>
    </w:pPr>
    <w:rPr>
      <w:sz w:val="24"/>
      <w:szCs w:val="24"/>
    </w:rPr>
  </w:style>
  <w:style w:type="paragraph" w:styleId="af4">
    <w:name w:val="footnote text"/>
    <w:basedOn w:val="a"/>
    <w:link w:val="Chara"/>
    <w:rsid w:val="004061AC"/>
    <w:pPr>
      <w:snapToGrid w:val="0"/>
      <w:jc w:val="left"/>
    </w:pPr>
    <w:rPr>
      <w:sz w:val="18"/>
      <w:szCs w:val="18"/>
    </w:rPr>
  </w:style>
  <w:style w:type="character" w:customStyle="1" w:styleId="Chara">
    <w:name w:val="脚注文本 Char"/>
    <w:basedOn w:val="a1"/>
    <w:link w:val="af4"/>
    <w:rsid w:val="004061AC"/>
    <w:rPr>
      <w:rFonts w:ascii="Times New Roman" w:eastAsia="宋体" w:hAnsi="Times New Roman" w:cs="Times New Roman"/>
      <w:sz w:val="18"/>
      <w:szCs w:val="18"/>
    </w:rPr>
  </w:style>
  <w:style w:type="character" w:styleId="af5">
    <w:name w:val="footnote reference"/>
    <w:basedOn w:val="a1"/>
    <w:rsid w:val="004061AC"/>
    <w:rPr>
      <w:vertAlign w:val="superscript"/>
    </w:rPr>
  </w:style>
  <w:style w:type="paragraph" w:styleId="af6">
    <w:name w:val="Normal (Web)"/>
    <w:basedOn w:val="a"/>
    <w:uiPriority w:val="99"/>
    <w:rsid w:val="004061AC"/>
    <w:pPr>
      <w:widowControl/>
      <w:spacing w:before="100" w:beforeAutospacing="1" w:after="100" w:afterAutospacing="1"/>
      <w:jc w:val="left"/>
    </w:pPr>
    <w:rPr>
      <w:rFonts w:ascii="宋体" w:hAnsi="宋体" w:cs="宋体"/>
      <w:kern w:val="0"/>
      <w:sz w:val="24"/>
      <w:szCs w:val="24"/>
    </w:rPr>
  </w:style>
  <w:style w:type="table" w:styleId="af7">
    <w:name w:val="Table Grid"/>
    <w:basedOn w:val="a2"/>
    <w:qFormat/>
    <w:rsid w:val="004061A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4061AC"/>
  </w:style>
  <w:style w:type="paragraph" w:customStyle="1" w:styleId="CharCharCharCharCharChar1CharCharChar">
    <w:name w:val="Char Char Char Char Char Char1 Char Char Char"/>
    <w:basedOn w:val="a"/>
    <w:uiPriority w:val="99"/>
    <w:rsid w:val="004061AC"/>
    <w:pPr>
      <w:autoSpaceDE w:val="0"/>
      <w:autoSpaceDN w:val="0"/>
      <w:adjustRightInd w:val="0"/>
      <w:jc w:val="left"/>
      <w:textAlignment w:val="baseline"/>
    </w:pPr>
    <w:rPr>
      <w:rFonts w:ascii="宋体" w:cs="宋体"/>
      <w:kern w:val="0"/>
      <w:sz w:val="34"/>
      <w:szCs w:val="34"/>
    </w:rPr>
  </w:style>
  <w:style w:type="paragraph" w:customStyle="1" w:styleId="CharCharCharCharCharChar1CharCharChar2">
    <w:name w:val="Char Char Char Char Char Char1 Char Char Char2"/>
    <w:basedOn w:val="a"/>
    <w:uiPriority w:val="99"/>
    <w:rsid w:val="004061AC"/>
    <w:pPr>
      <w:autoSpaceDE w:val="0"/>
      <w:autoSpaceDN w:val="0"/>
      <w:adjustRightInd w:val="0"/>
      <w:jc w:val="left"/>
      <w:textAlignment w:val="baseline"/>
    </w:pPr>
    <w:rPr>
      <w:rFonts w:ascii="宋体" w:cs="宋体"/>
      <w:kern w:val="0"/>
      <w:sz w:val="34"/>
      <w:szCs w:val="34"/>
    </w:rPr>
  </w:style>
  <w:style w:type="paragraph" w:styleId="af8">
    <w:name w:val="Title"/>
    <w:basedOn w:val="a"/>
    <w:next w:val="a"/>
    <w:link w:val="Charb"/>
    <w:uiPriority w:val="99"/>
    <w:qFormat/>
    <w:rsid w:val="004061AC"/>
    <w:pPr>
      <w:spacing w:before="240" w:after="60"/>
      <w:jc w:val="center"/>
      <w:outlineLvl w:val="0"/>
    </w:pPr>
    <w:rPr>
      <w:rFonts w:ascii="Cambria" w:hAnsi="Cambria" w:cs="Cambria"/>
      <w:b/>
      <w:bCs/>
      <w:sz w:val="32"/>
      <w:szCs w:val="32"/>
    </w:rPr>
  </w:style>
  <w:style w:type="character" w:customStyle="1" w:styleId="Charb">
    <w:name w:val="标题 Char"/>
    <w:basedOn w:val="a1"/>
    <w:link w:val="af8"/>
    <w:uiPriority w:val="99"/>
    <w:rsid w:val="004061AC"/>
    <w:rPr>
      <w:rFonts w:ascii="Cambria" w:eastAsia="宋体" w:hAnsi="Cambria" w:cs="Cambria"/>
      <w:b/>
      <w:bCs/>
      <w:sz w:val="32"/>
      <w:szCs w:val="32"/>
    </w:rPr>
  </w:style>
  <w:style w:type="paragraph" w:customStyle="1" w:styleId="CharCharCharCharCharChar1CharCharChar1">
    <w:name w:val="Char Char Char Char Char Char1 Char Char Char1"/>
    <w:basedOn w:val="a"/>
    <w:uiPriority w:val="99"/>
    <w:rsid w:val="004061AC"/>
    <w:pPr>
      <w:autoSpaceDE w:val="0"/>
      <w:autoSpaceDN w:val="0"/>
      <w:adjustRightInd w:val="0"/>
      <w:jc w:val="left"/>
      <w:textAlignment w:val="baseline"/>
    </w:pPr>
    <w:rPr>
      <w:rFonts w:ascii="宋体" w:cs="宋体"/>
      <w:kern w:val="0"/>
      <w:sz w:val="34"/>
      <w:szCs w:val="34"/>
    </w:rPr>
  </w:style>
  <w:style w:type="paragraph" w:styleId="af9">
    <w:name w:val="No Spacing"/>
    <w:link w:val="Charc"/>
    <w:uiPriority w:val="1"/>
    <w:qFormat/>
    <w:rsid w:val="004061AC"/>
    <w:rPr>
      <w:rFonts w:ascii="Calibri" w:eastAsia="宋体" w:hAnsi="Calibri" w:cs="Calibri"/>
      <w:kern w:val="0"/>
      <w:sz w:val="22"/>
    </w:rPr>
  </w:style>
  <w:style w:type="character" w:customStyle="1" w:styleId="Charc">
    <w:name w:val="无间隔 Char"/>
    <w:basedOn w:val="a1"/>
    <w:link w:val="af9"/>
    <w:uiPriority w:val="1"/>
    <w:locked/>
    <w:rsid w:val="004061AC"/>
    <w:rPr>
      <w:rFonts w:ascii="Calibri" w:eastAsia="宋体" w:hAnsi="Calibri" w:cs="Calibri"/>
      <w:kern w:val="0"/>
      <w:sz w:val="22"/>
    </w:rPr>
  </w:style>
  <w:style w:type="character" w:customStyle="1" w:styleId="t1">
    <w:name w:val="t1"/>
    <w:basedOn w:val="a1"/>
    <w:uiPriority w:val="99"/>
    <w:rsid w:val="004061AC"/>
    <w:rPr>
      <w:color w:val="auto"/>
    </w:rPr>
  </w:style>
  <w:style w:type="paragraph" w:styleId="afa">
    <w:name w:val="List Paragraph"/>
    <w:basedOn w:val="a"/>
    <w:uiPriority w:val="34"/>
    <w:qFormat/>
    <w:rsid w:val="00154BE1"/>
    <w:pPr>
      <w:ind w:firstLineChars="200" w:firstLine="420"/>
    </w:pPr>
  </w:style>
  <w:style w:type="paragraph" w:customStyle="1" w:styleId="Default">
    <w:name w:val="Default"/>
    <w:rsid w:val="00275745"/>
    <w:pPr>
      <w:widowControl w:val="0"/>
      <w:autoSpaceDE w:val="0"/>
      <w:autoSpaceDN w:val="0"/>
      <w:adjustRightInd w:val="0"/>
    </w:pPr>
    <w:rPr>
      <w:rFonts w:ascii="FangSong" w:eastAsia="宋体" w:hAnsi="FangSong" w:cs="FangSong"/>
      <w:color w:val="000000"/>
      <w:kern w:val="0"/>
      <w:sz w:val="24"/>
      <w:szCs w:val="24"/>
    </w:rPr>
  </w:style>
  <w:style w:type="character" w:styleId="afb">
    <w:name w:val="Strong"/>
    <w:basedOn w:val="a1"/>
    <w:uiPriority w:val="22"/>
    <w:qFormat/>
    <w:rsid w:val="00E52D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458076">
      <w:bodyDiv w:val="1"/>
      <w:marLeft w:val="0"/>
      <w:marRight w:val="0"/>
      <w:marTop w:val="0"/>
      <w:marBottom w:val="0"/>
      <w:divBdr>
        <w:top w:val="none" w:sz="0" w:space="0" w:color="auto"/>
        <w:left w:val="none" w:sz="0" w:space="0" w:color="auto"/>
        <w:bottom w:val="none" w:sz="0" w:space="0" w:color="auto"/>
        <w:right w:val="none" w:sz="0" w:space="0" w:color="auto"/>
      </w:divBdr>
    </w:div>
    <w:div w:id="14992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AA7DD-CC9D-4BD6-9567-520BEBBA2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1814</TotalTime>
  <Pages>1</Pages>
  <Words>1004</Words>
  <Characters>5729</Characters>
  <Application>Microsoft Office Word</Application>
  <DocSecurity>0</DocSecurity>
  <Lines>47</Lines>
  <Paragraphs>13</Paragraphs>
  <ScaleCrop>false</ScaleCrop>
  <Company/>
  <LinksUpToDate>false</LinksUpToDate>
  <CharactersWithSpaces>6720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洪仲</cp:lastModifiedBy>
  <cp:revision>593</cp:revision>
  <dcterms:created xsi:type="dcterms:W3CDTF">2012-10-16T06:07:00Z</dcterms:created>
  <dcterms:modified xsi:type="dcterms:W3CDTF">2020-01-20T10:28:00Z</dcterms:modified>
</cp:coreProperties>
</file>