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28D7" w:rsidRDefault="006E6641"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6E6641">
        <w:rPr>
          <w:rFonts w:asciiTheme="minorEastAsia" w:eastAsiaTheme="minorEastAsia" w:hAnsiTheme="minorEastAsia" w:hint="eastAsia"/>
          <w:color w:val="auto"/>
          <w:sz w:val="30"/>
        </w:rPr>
        <w:t>交银施罗德</w:t>
      </w:r>
      <w:r w:rsidR="00D028D7" w:rsidRPr="00D028D7">
        <w:rPr>
          <w:rFonts w:asciiTheme="minorEastAsia" w:eastAsiaTheme="minorEastAsia" w:hAnsiTheme="minorEastAsia" w:hint="eastAsia"/>
          <w:color w:val="auto"/>
          <w:sz w:val="30"/>
        </w:rPr>
        <w:t>瑞思三年封闭运作</w:t>
      </w:r>
      <w:r w:rsidRPr="006E6641">
        <w:rPr>
          <w:rFonts w:asciiTheme="minorEastAsia" w:eastAsiaTheme="minorEastAsia" w:hAnsiTheme="minorEastAsia" w:hint="eastAsia"/>
          <w:color w:val="auto"/>
          <w:sz w:val="30"/>
        </w:rPr>
        <w:t>混合型证券投资基金</w:t>
      </w:r>
    </w:p>
    <w:p w:rsidR="00A77F13" w:rsidRPr="007E1F7D" w:rsidRDefault="00774C22" w:rsidP="00774C22">
      <w:pPr>
        <w:pStyle w:val="1"/>
        <w:spacing w:before="0" w:after="0"/>
        <w:jc w:val="center"/>
        <w:rPr>
          <w:rFonts w:asciiTheme="minorEastAsia" w:eastAsiaTheme="minorEastAsia" w:hAnsiTheme="minorEastAsia"/>
          <w:color w:val="auto"/>
          <w:sz w:val="30"/>
        </w:rPr>
      </w:pPr>
      <w:r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D028D7" w:rsidRDefault="00D028D7" w:rsidP="00D028D7">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D028D7" w:rsidRDefault="00D028D7" w:rsidP="00D028D7">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w:t>
      </w:r>
      <w:r>
        <w:rPr>
          <w:rFonts w:hint="eastAsia"/>
          <w:bCs/>
          <w:sz w:val="24"/>
        </w:rPr>
        <w:lastRenderedPageBreak/>
        <w:t>供服务的外部机构；</w:t>
      </w:r>
      <w:r>
        <w:rPr>
          <w:rFonts w:hint="eastAsia"/>
          <w:bCs/>
          <w:sz w:val="24"/>
        </w:rPr>
        <w:tab/>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D028D7" w:rsidRDefault="00D028D7" w:rsidP="00D028D7">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D028D7" w:rsidRDefault="00D028D7" w:rsidP="00D028D7">
      <w:pPr>
        <w:spacing w:line="360" w:lineRule="auto"/>
        <w:ind w:firstLineChars="200" w:firstLine="480"/>
        <w:rPr>
          <w:rFonts w:ascii="宋体" w:hAnsi="宋体"/>
          <w:bCs/>
          <w:sz w:val="24"/>
        </w:rPr>
      </w:pPr>
      <w:r>
        <w:rPr>
          <w:rFonts w:ascii="宋体" w:hAnsi="宋体"/>
          <w:bCs/>
          <w:sz w:val="24"/>
        </w:rPr>
        <w:t>（二）基金管理人的义务</w:t>
      </w:r>
    </w:p>
    <w:p w:rsidR="00D028D7" w:rsidRDefault="00D028D7" w:rsidP="00D028D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D028D7" w:rsidRDefault="00D028D7" w:rsidP="00D028D7">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）按《基金合同》的约定确定基金收益分配方案，及时向基金份额持有人分配基金收益；</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D028D7" w:rsidRDefault="00D028D7" w:rsidP="00D028D7">
      <w:pPr>
        <w:spacing w:line="360" w:lineRule="auto"/>
        <w:ind w:firstLineChars="200" w:firstLine="480"/>
        <w:rPr>
          <w:rFonts w:ascii="宋体" w:hAnsi="宋体"/>
          <w:bCs/>
          <w:sz w:val="24"/>
        </w:rPr>
      </w:pPr>
      <w:r>
        <w:rPr>
          <w:rFonts w:ascii="宋体" w:hAnsi="宋体" w:hint="eastAsia"/>
          <w:sz w:val="24"/>
        </w:rPr>
        <w:lastRenderedPageBreak/>
        <w:t>（三）基金托管人的权利</w:t>
      </w:r>
    </w:p>
    <w:p w:rsidR="00D028D7" w:rsidRDefault="00D028D7" w:rsidP="00D028D7">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D028D7" w:rsidRDefault="00D028D7" w:rsidP="00D028D7">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D028D7" w:rsidRDefault="00D028D7" w:rsidP="00D028D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D028D7" w:rsidRDefault="00D028D7" w:rsidP="00D028D7">
      <w:pPr>
        <w:pStyle w:val="aa"/>
        <w:spacing w:after="78"/>
        <w:ind w:left="480" w:firstLineChars="0" w:firstLine="0"/>
        <w:rPr>
          <w:rFonts w:ascii="宋体" w:hAnsi="宋体"/>
        </w:rPr>
      </w:pPr>
      <w:r>
        <w:rPr>
          <w:rFonts w:ascii="宋体" w:hAnsi="宋体"/>
          <w:bCs/>
        </w:rPr>
        <w:t>（五）</w:t>
      </w:r>
      <w:r>
        <w:rPr>
          <w:rFonts w:ascii="宋体" w:hAnsi="宋体"/>
        </w:rPr>
        <w:t>基金份额持有人的权利</w:t>
      </w:r>
    </w:p>
    <w:p w:rsidR="00D028D7" w:rsidRDefault="00D028D7" w:rsidP="00D028D7">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D028D7" w:rsidRDefault="00D028D7" w:rsidP="00D028D7">
      <w:pPr>
        <w:spacing w:line="360" w:lineRule="auto"/>
        <w:ind w:firstLineChars="200" w:firstLine="480"/>
        <w:rPr>
          <w:bCs/>
          <w:sz w:val="24"/>
        </w:rPr>
      </w:pPr>
      <w:r>
        <w:rPr>
          <w:rFonts w:hint="eastAsia"/>
          <w:bCs/>
          <w:sz w:val="24"/>
        </w:rPr>
        <w:t>每份</w:t>
      </w:r>
      <w:r>
        <w:rPr>
          <w:bCs/>
          <w:sz w:val="24"/>
        </w:rPr>
        <w:t>基金份额具有同等的合法权益。</w:t>
      </w:r>
    </w:p>
    <w:p w:rsidR="00D028D7" w:rsidRDefault="00D028D7" w:rsidP="00D028D7">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（1）分享基金财产收益；</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（2）参与分配清算后的剩余基金财产；</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（7）监督基金管理人的投资运作；</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9F7B9C" w:rsidRPr="00FD60AB" w:rsidRDefault="009F7B9C" w:rsidP="009F7B9C">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rsidR="00D028D7" w:rsidRDefault="00D028D7" w:rsidP="00D028D7">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D028D7" w:rsidRDefault="00D028D7" w:rsidP="00D028D7">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D028D7" w:rsidRDefault="00D028D7" w:rsidP="00D028D7">
      <w:pPr>
        <w:spacing w:line="360" w:lineRule="auto"/>
        <w:ind w:firstLineChars="200" w:firstLine="480"/>
        <w:rPr>
          <w:rFonts w:ascii="宋体" w:hAnsi="宋体"/>
          <w:bCs/>
          <w:sz w:val="24"/>
        </w:rPr>
      </w:pPr>
      <w:r>
        <w:rPr>
          <w:rFonts w:ascii="宋体" w:hAnsi="宋体"/>
          <w:bCs/>
          <w:sz w:val="24"/>
        </w:rPr>
        <w:t>（一）召开事由</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、当出现或需要决定下列事由之一的，应当召开基金份额持有人大会，法律法规和中国证监会另有规定的除外：</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Pr="003B4051">
        <w:rPr>
          <w:rFonts w:hint="eastAsia"/>
          <w:sz w:val="24"/>
        </w:rPr>
        <w:t>，基金合同另有约定的除外</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sidRPr="003B4051">
        <w:rPr>
          <w:rFonts w:hint="eastAsia"/>
          <w:sz w:val="24"/>
        </w:rPr>
        <w:t>，基金合同另有约定的除外</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r w:rsidRPr="003B4051">
        <w:rPr>
          <w:rFonts w:hint="eastAsia"/>
          <w:sz w:val="24"/>
        </w:rPr>
        <w:t>，基金合同另有约定的除外</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）终止基金份额上市，但因基金不再具备上市条件而被上海证券交易所终止上市的除外</w:t>
      </w:r>
      <w:r w:rsidRPr="003B4051">
        <w:rPr>
          <w:rFonts w:hint="eastAsia"/>
          <w:sz w:val="24"/>
        </w:rPr>
        <w:t>，基金合同另有约定的除外</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D028D7" w:rsidRDefault="00D028D7" w:rsidP="00D028D7">
      <w:pPr>
        <w:spacing w:line="360" w:lineRule="auto"/>
        <w:ind w:firstLineChars="200" w:firstLine="480"/>
        <w:rPr>
          <w:bCs/>
          <w:sz w:val="24"/>
        </w:rPr>
      </w:pPr>
      <w:r>
        <w:rPr>
          <w:rFonts w:hint="eastAsia"/>
          <w:bCs/>
          <w:sz w:val="24"/>
        </w:rPr>
        <w:t>（</w:t>
      </w:r>
      <w:r>
        <w:rPr>
          <w:bCs/>
          <w:sz w:val="24"/>
        </w:rPr>
        <w:t>13</w:t>
      </w:r>
      <w:r>
        <w:rPr>
          <w:rFonts w:hint="eastAsia"/>
          <w:bCs/>
          <w:sz w:val="24"/>
        </w:rPr>
        <w:t>）对基金合同当事人权利和义务产生重大影响的其他事项；</w:t>
      </w:r>
    </w:p>
    <w:p w:rsidR="00D028D7" w:rsidRDefault="00D028D7" w:rsidP="00D028D7">
      <w:pPr>
        <w:spacing w:line="360" w:lineRule="auto"/>
        <w:ind w:firstLineChars="200" w:firstLine="480"/>
        <w:rPr>
          <w:bCs/>
          <w:sz w:val="24"/>
        </w:rPr>
      </w:pPr>
      <w:r>
        <w:rPr>
          <w:rFonts w:hint="eastAsia"/>
          <w:bCs/>
          <w:sz w:val="24"/>
        </w:rPr>
        <w:t>（</w:t>
      </w:r>
      <w:r>
        <w:rPr>
          <w:bCs/>
          <w:sz w:val="24"/>
        </w:rPr>
        <w:t>14</w:t>
      </w:r>
      <w:r>
        <w:rPr>
          <w:rFonts w:hint="eastAsia"/>
          <w:bCs/>
          <w:sz w:val="24"/>
        </w:rPr>
        <w:t>）法律法规、《基金合同》或中国证监会规定的其他应当召开基金份额持有人大会的事项。</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D028D7" w:rsidRDefault="00D028D7" w:rsidP="00D028D7">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D028D7" w:rsidRDefault="00D028D7" w:rsidP="00D028D7">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）因相应的法律法规、上海证券交易所或登记机构的相关业务规则发生变动而应当对《基金合同》进行修改；</w:t>
      </w:r>
    </w:p>
    <w:p w:rsidR="00D028D7" w:rsidRDefault="00D028D7" w:rsidP="00D028D7">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rsidR="00D028D7" w:rsidRDefault="00D028D7" w:rsidP="00D028D7">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rsidR="00D028D7" w:rsidRDefault="00D028D7" w:rsidP="00D028D7">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rsidR="00D028D7" w:rsidRDefault="00D028D7" w:rsidP="00D028D7">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）在不违反法律法规及对基金份额持有人利益无实质性不利影响的前提下，基金管理人、登记机构、销售机构调整有关基金认购、申购、赎回、转换、收益分配、非交易过户、转托管、上市交易等业务的规则；</w:t>
      </w:r>
    </w:p>
    <w:p w:rsidR="00D028D7" w:rsidRDefault="00D028D7" w:rsidP="00D028D7">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rsidR="00D028D7" w:rsidRDefault="00D028D7" w:rsidP="00D028D7">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D028D7" w:rsidRDefault="00D028D7" w:rsidP="00D028D7">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D028D7" w:rsidRDefault="00D028D7" w:rsidP="00D028D7">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D028D7" w:rsidRDefault="00D028D7" w:rsidP="00D028D7">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D028D7" w:rsidRDefault="00D028D7" w:rsidP="00D028D7">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D028D7" w:rsidRDefault="00D028D7" w:rsidP="00D028D7">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028D7" w:rsidRDefault="00D028D7" w:rsidP="00D028D7">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028D7" w:rsidRDefault="00D028D7" w:rsidP="00D028D7">
      <w:pPr>
        <w:spacing w:line="360" w:lineRule="auto"/>
        <w:ind w:firstLineChars="200" w:firstLine="480"/>
        <w:rPr>
          <w:rFonts w:ascii="宋体" w:hAnsi="宋体"/>
          <w:bCs/>
          <w:sz w:val="24"/>
        </w:rPr>
      </w:pPr>
      <w:r>
        <w:rPr>
          <w:rFonts w:ascii="宋体" w:hAnsi="宋体"/>
          <w:bCs/>
          <w:sz w:val="24"/>
        </w:rPr>
        <w:t>（四）基金份额持有人出席会议的方式</w:t>
      </w:r>
    </w:p>
    <w:p w:rsidR="00D028D7" w:rsidRDefault="00D028D7" w:rsidP="00D028D7">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D028D7" w:rsidRDefault="00D028D7" w:rsidP="00D028D7">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028D7" w:rsidRDefault="00D028D7" w:rsidP="00D028D7">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028D7" w:rsidRDefault="00D028D7" w:rsidP="00D028D7">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D028D7" w:rsidRDefault="00D028D7" w:rsidP="00D028D7">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D028D7" w:rsidRDefault="00D028D7" w:rsidP="00D028D7">
      <w:pPr>
        <w:spacing w:line="360" w:lineRule="auto"/>
        <w:ind w:firstLine="480"/>
        <w:rPr>
          <w:bCs/>
          <w:sz w:val="24"/>
        </w:rPr>
      </w:pPr>
      <w:r>
        <w:rPr>
          <w:rFonts w:hint="eastAsia"/>
          <w:bCs/>
          <w:sz w:val="24"/>
        </w:rPr>
        <w:t>在同时符合以下条件时，通讯开会的方式视为有效：</w:t>
      </w:r>
    </w:p>
    <w:p w:rsidR="00D028D7" w:rsidRDefault="00D028D7" w:rsidP="00D028D7">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D028D7" w:rsidRDefault="00D028D7" w:rsidP="00D028D7">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028D7" w:rsidRDefault="00D028D7" w:rsidP="00D028D7">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D028D7" w:rsidRDefault="00D028D7" w:rsidP="00D028D7">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028D7" w:rsidRDefault="00D028D7" w:rsidP="00D028D7">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、议事内容及提案权</w:t>
      </w:r>
    </w:p>
    <w:p w:rsidR="00D028D7" w:rsidRDefault="00D028D7" w:rsidP="00D028D7">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D028D7" w:rsidRDefault="00D028D7" w:rsidP="00D028D7">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D028D7" w:rsidRDefault="00D028D7" w:rsidP="00D028D7">
      <w:pPr>
        <w:spacing w:line="360" w:lineRule="auto"/>
        <w:ind w:firstLineChars="200" w:firstLine="480"/>
        <w:rPr>
          <w:bCs/>
          <w:sz w:val="24"/>
        </w:rPr>
      </w:pPr>
      <w:r>
        <w:rPr>
          <w:rFonts w:hint="eastAsia"/>
          <w:bCs/>
          <w:sz w:val="24"/>
        </w:rPr>
        <w:t>基金份额持有人大会不得对未事先公告的议事内容进行表决。</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、议事程序</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D028D7" w:rsidRDefault="00D028D7" w:rsidP="00D028D7">
      <w:pPr>
        <w:spacing w:line="360" w:lineRule="auto"/>
        <w:ind w:firstLineChars="200" w:firstLine="480"/>
        <w:rPr>
          <w:bCs/>
          <w:sz w:val="24"/>
        </w:rPr>
      </w:pPr>
      <w:r>
        <w:rPr>
          <w:rFonts w:hint="eastAsia"/>
          <w:bCs/>
          <w:sz w:val="24"/>
        </w:rPr>
        <w:t>在现场开会的方式下，首先由大会主持人按照下列第</w:t>
      </w:r>
      <w:r w:rsidR="002C1FEA">
        <w:rPr>
          <w:rFonts w:hint="eastAsia"/>
          <w:bCs/>
          <w:sz w:val="24"/>
        </w:rPr>
        <w:t>（</w:t>
      </w:r>
      <w:r>
        <w:rPr>
          <w:rFonts w:hint="eastAsia"/>
          <w:bCs/>
          <w:sz w:val="24"/>
        </w:rPr>
        <w:t>七</w:t>
      </w:r>
      <w:r w:rsidR="002C1FEA">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D028D7" w:rsidRDefault="00D028D7" w:rsidP="00D028D7">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D028D7" w:rsidRDefault="00D028D7" w:rsidP="00D028D7">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D028D7" w:rsidRDefault="00D028D7" w:rsidP="00D028D7">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D028D7" w:rsidRDefault="00D028D7" w:rsidP="00D028D7">
      <w:pPr>
        <w:spacing w:line="360" w:lineRule="auto"/>
        <w:ind w:firstLineChars="200" w:firstLine="480"/>
        <w:rPr>
          <w:bCs/>
          <w:sz w:val="24"/>
        </w:rPr>
      </w:pPr>
      <w:r>
        <w:rPr>
          <w:rFonts w:hint="eastAsia"/>
          <w:bCs/>
          <w:sz w:val="24"/>
        </w:rPr>
        <w:t>基金份额持有人所持每份基金份额有一票表决权。</w:t>
      </w:r>
    </w:p>
    <w:p w:rsidR="00D028D7" w:rsidRDefault="00D028D7" w:rsidP="00D028D7">
      <w:pPr>
        <w:spacing w:line="360" w:lineRule="auto"/>
        <w:ind w:firstLineChars="200" w:firstLine="480"/>
        <w:rPr>
          <w:bCs/>
          <w:sz w:val="24"/>
        </w:rPr>
      </w:pPr>
      <w:r>
        <w:rPr>
          <w:rFonts w:hint="eastAsia"/>
          <w:bCs/>
          <w:sz w:val="24"/>
        </w:rPr>
        <w:t>基金份额持有人大会决议分为一般决议和特别决议：</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D028D7" w:rsidRDefault="00D028D7" w:rsidP="00D028D7">
      <w:pPr>
        <w:spacing w:line="360" w:lineRule="auto"/>
        <w:ind w:firstLineChars="200" w:firstLine="480"/>
        <w:rPr>
          <w:bCs/>
          <w:sz w:val="24"/>
        </w:rPr>
      </w:pPr>
      <w:r>
        <w:rPr>
          <w:rFonts w:hint="eastAsia"/>
          <w:bCs/>
          <w:sz w:val="24"/>
        </w:rPr>
        <w:t>基金份额持有人大会采取记名方式进行投票表决。</w:t>
      </w:r>
    </w:p>
    <w:p w:rsidR="00D028D7" w:rsidRDefault="00D028D7" w:rsidP="00D028D7">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028D7" w:rsidRDefault="00D028D7" w:rsidP="00D028D7">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、现场开会</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、通讯开会</w:t>
      </w:r>
    </w:p>
    <w:p w:rsidR="00D028D7" w:rsidRDefault="00D028D7" w:rsidP="00D028D7">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D028D7" w:rsidRDefault="00D028D7" w:rsidP="00D028D7">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D028D7" w:rsidRDefault="00D028D7" w:rsidP="00D028D7">
      <w:pPr>
        <w:spacing w:line="360" w:lineRule="auto"/>
        <w:ind w:firstLineChars="200" w:firstLine="480"/>
        <w:rPr>
          <w:bCs/>
          <w:sz w:val="24"/>
        </w:rPr>
      </w:pPr>
      <w:r>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rsidR="00D028D7" w:rsidRDefault="00D028D7" w:rsidP="00D028D7">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D028D7" w:rsidRDefault="00D028D7" w:rsidP="00D028D7">
      <w:pPr>
        <w:pStyle w:val="aa"/>
        <w:spacing w:afterLines="0"/>
        <w:ind w:firstLine="482"/>
        <w:rPr>
          <w:rFonts w:ascii="宋体" w:hAnsi="宋体"/>
          <w:b/>
        </w:rPr>
      </w:pPr>
      <w:r>
        <w:rPr>
          <w:rFonts w:ascii="宋体" w:hAnsi="宋体"/>
          <w:b/>
        </w:rPr>
        <w:t>三、基金收益分配原则、执行方式</w:t>
      </w:r>
    </w:p>
    <w:p w:rsidR="00D028D7" w:rsidRDefault="00D028D7" w:rsidP="00D028D7">
      <w:pPr>
        <w:spacing w:line="360" w:lineRule="auto"/>
        <w:ind w:firstLineChars="200" w:firstLine="480"/>
        <w:rPr>
          <w:rFonts w:ascii="宋体" w:hAnsi="宋体"/>
          <w:sz w:val="24"/>
        </w:rPr>
      </w:pPr>
      <w:r>
        <w:rPr>
          <w:rFonts w:ascii="宋体" w:hAnsi="宋体"/>
          <w:sz w:val="24"/>
        </w:rPr>
        <w:t>（一）基金收益分配原则</w:t>
      </w:r>
    </w:p>
    <w:p w:rsidR="00D028D7" w:rsidRDefault="00D028D7" w:rsidP="00D028D7">
      <w:pPr>
        <w:pStyle w:val="aa"/>
        <w:spacing w:after="78"/>
        <w:ind w:firstLine="480"/>
        <w:rPr>
          <w:rFonts w:ascii="宋体" w:hAnsi="宋体"/>
        </w:rPr>
      </w:pPr>
      <w:r>
        <w:rPr>
          <w:rFonts w:ascii="宋体" w:hAnsi="宋体" w:hint="eastAsia"/>
        </w:rPr>
        <w:t>1、在符合有关基金分红条件的前提下，本基金管理人可以根据实际情况进行收益分配，具体分配方案以公告为准，若《基金合同》生效不满3个月可不进行收益分配；</w:t>
      </w:r>
    </w:p>
    <w:p w:rsidR="00D028D7" w:rsidRDefault="00D028D7" w:rsidP="00D028D7">
      <w:pPr>
        <w:pStyle w:val="aa"/>
        <w:spacing w:after="78"/>
        <w:ind w:firstLine="480"/>
        <w:rPr>
          <w:rFonts w:ascii="宋体" w:hAnsi="宋体"/>
        </w:rPr>
      </w:pPr>
      <w:r>
        <w:rPr>
          <w:rFonts w:ascii="宋体" w:hAnsi="宋体"/>
        </w:rPr>
        <w:t>2</w:t>
      </w:r>
      <w:r>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D028D7" w:rsidRDefault="00D028D7" w:rsidP="00D028D7">
      <w:pPr>
        <w:pStyle w:val="aa"/>
        <w:spacing w:after="78"/>
        <w:ind w:firstLine="480"/>
        <w:rPr>
          <w:rFonts w:ascii="宋体" w:hAnsi="宋体"/>
        </w:rPr>
      </w:pPr>
      <w:r>
        <w:rPr>
          <w:rFonts w:ascii="宋体" w:hAnsi="宋体" w:hint="eastAsia"/>
        </w:rPr>
        <w:t>3、基金收益分配后基金份额净值不能低于面值；即基金收益分配基准日的基金份额净值减去每单位基金份额收益分配金额后不能低于面值；</w:t>
      </w:r>
    </w:p>
    <w:p w:rsidR="00D028D7" w:rsidRDefault="00D028D7" w:rsidP="00D028D7">
      <w:pPr>
        <w:pStyle w:val="aa"/>
        <w:spacing w:after="78"/>
        <w:ind w:firstLine="480"/>
        <w:rPr>
          <w:rFonts w:ascii="宋体" w:hAnsi="宋体"/>
        </w:rPr>
      </w:pPr>
      <w:r>
        <w:rPr>
          <w:rFonts w:ascii="宋体" w:hAnsi="宋体" w:hint="eastAsia"/>
        </w:rPr>
        <w:t>4、每一基金份额享有同等分配权；</w:t>
      </w:r>
    </w:p>
    <w:p w:rsidR="00D028D7" w:rsidRDefault="00D028D7" w:rsidP="00D028D7">
      <w:pPr>
        <w:pStyle w:val="aa"/>
        <w:spacing w:afterLines="0"/>
        <w:ind w:firstLine="480"/>
        <w:rPr>
          <w:rFonts w:ascii="宋体" w:hAnsi="宋体"/>
        </w:rPr>
      </w:pPr>
      <w:r>
        <w:rPr>
          <w:rFonts w:ascii="宋体" w:hAnsi="宋体" w:hint="eastAsia"/>
        </w:rPr>
        <w:t>5、法律法规或监管机关另有规定的，从其规定。</w:t>
      </w:r>
    </w:p>
    <w:p w:rsidR="00D028D7" w:rsidRDefault="00D028D7" w:rsidP="00D028D7">
      <w:pPr>
        <w:pStyle w:val="aa"/>
        <w:spacing w:afterLines="0"/>
        <w:ind w:firstLine="480"/>
        <w:rPr>
          <w:rFonts w:ascii="宋体" w:hAnsi="宋体"/>
        </w:rPr>
      </w:pPr>
      <w:r>
        <w:rPr>
          <w:rFonts w:ascii="宋体" w:hAnsi="宋体"/>
        </w:rPr>
        <w:t>（二）收益分配方案</w:t>
      </w:r>
    </w:p>
    <w:p w:rsidR="00D028D7" w:rsidRDefault="00D028D7" w:rsidP="00D028D7">
      <w:pPr>
        <w:pStyle w:val="aa"/>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D028D7" w:rsidRDefault="00D028D7" w:rsidP="00D028D7">
      <w:pPr>
        <w:pStyle w:val="aa"/>
        <w:spacing w:afterLines="0"/>
        <w:ind w:firstLine="480"/>
        <w:rPr>
          <w:rFonts w:ascii="宋体" w:hAnsi="宋体"/>
        </w:rPr>
      </w:pPr>
      <w:r>
        <w:rPr>
          <w:rFonts w:ascii="宋体" w:hAnsi="宋体"/>
        </w:rPr>
        <w:t>（三）收益分配方案的确定、公告与实施</w:t>
      </w:r>
    </w:p>
    <w:p w:rsidR="00D028D7" w:rsidRDefault="00D028D7" w:rsidP="00D028D7">
      <w:pPr>
        <w:pStyle w:val="aa"/>
        <w:spacing w:after="78"/>
        <w:ind w:firstLine="480"/>
        <w:rPr>
          <w:rFonts w:ascii="宋体" w:hAnsi="宋体"/>
        </w:rPr>
      </w:pPr>
      <w:r>
        <w:rPr>
          <w:rFonts w:ascii="宋体" w:hAnsi="宋体" w:hint="eastAsia"/>
        </w:rPr>
        <w:t>本基金收益分配方案由基金管理人拟定，并由基金托管人复核，依照《信息披露办法》的</w:t>
      </w:r>
      <w:r w:rsidR="002C1FEA">
        <w:rPr>
          <w:rFonts w:ascii="宋体" w:hAnsi="宋体" w:hint="eastAsia"/>
        </w:rPr>
        <w:t>有关</w:t>
      </w:r>
      <w:r>
        <w:rPr>
          <w:rFonts w:ascii="宋体" w:hAnsi="宋体" w:hint="eastAsia"/>
        </w:rPr>
        <w:t>规定在指定媒介公告。</w:t>
      </w:r>
    </w:p>
    <w:p w:rsidR="00D028D7" w:rsidRDefault="00D028D7" w:rsidP="00D028D7">
      <w:pPr>
        <w:pStyle w:val="aa"/>
        <w:spacing w:afterLines="0"/>
        <w:ind w:firstLine="480"/>
        <w:rPr>
          <w:rFonts w:ascii="宋体" w:hAnsi="宋体"/>
          <w:b/>
        </w:rPr>
      </w:pPr>
      <w:r>
        <w:rPr>
          <w:rFonts w:ascii="宋体" w:hAnsi="宋体" w:hint="eastAsia"/>
        </w:rPr>
        <w:t>法律法规或监管机关另有规定的，从其规定。</w:t>
      </w:r>
    </w:p>
    <w:p w:rsidR="00D028D7" w:rsidRDefault="00D028D7" w:rsidP="00D028D7">
      <w:pPr>
        <w:pStyle w:val="aa"/>
        <w:spacing w:afterLines="0"/>
        <w:ind w:firstLine="482"/>
        <w:rPr>
          <w:rFonts w:ascii="宋体" w:hAnsi="宋体"/>
          <w:b/>
        </w:rPr>
      </w:pPr>
      <w:r>
        <w:rPr>
          <w:rFonts w:ascii="宋体" w:hAnsi="宋体"/>
          <w:b/>
        </w:rPr>
        <w:t>四、与基金财产管理、运用有关费用的提取、支付方式与比例</w:t>
      </w:r>
    </w:p>
    <w:p w:rsidR="00D028D7" w:rsidRDefault="00D028D7" w:rsidP="00D028D7">
      <w:pPr>
        <w:pStyle w:val="aa"/>
        <w:spacing w:after="78"/>
        <w:ind w:firstLine="480"/>
        <w:rPr>
          <w:rFonts w:ascii="宋体" w:hAnsi="宋体"/>
          <w:bCs/>
        </w:rPr>
      </w:pPr>
      <w:r>
        <w:rPr>
          <w:rFonts w:ascii="宋体" w:hAnsi="宋体" w:hint="eastAsia"/>
          <w:bCs/>
        </w:rPr>
        <w:t>（一）基金费用的种类</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、基金管理人的管理费；</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、基金托管人的托管费；</w:t>
      </w:r>
    </w:p>
    <w:p w:rsidR="00D028D7" w:rsidRDefault="00D028D7" w:rsidP="00D028D7">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D028D7" w:rsidRDefault="00D028D7" w:rsidP="00D028D7">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D028D7" w:rsidRDefault="00D028D7" w:rsidP="00D028D7">
      <w:pPr>
        <w:spacing w:line="360" w:lineRule="auto"/>
        <w:ind w:firstLineChars="200" w:firstLine="480"/>
        <w:rPr>
          <w:bCs/>
          <w:sz w:val="24"/>
        </w:rPr>
      </w:pPr>
      <w:r>
        <w:rPr>
          <w:rFonts w:hint="eastAsia"/>
          <w:bCs/>
          <w:sz w:val="24"/>
        </w:rPr>
        <w:t>5</w:t>
      </w:r>
      <w:r>
        <w:rPr>
          <w:rFonts w:hint="eastAsia"/>
          <w:bCs/>
          <w:sz w:val="24"/>
        </w:rPr>
        <w:t>、基金份额持有人大会费用；</w:t>
      </w:r>
    </w:p>
    <w:p w:rsidR="00D028D7" w:rsidRDefault="00D028D7" w:rsidP="00D028D7">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D028D7" w:rsidRDefault="00D028D7" w:rsidP="00D028D7">
      <w:pPr>
        <w:spacing w:line="360" w:lineRule="auto"/>
        <w:ind w:firstLineChars="200" w:firstLine="480"/>
        <w:rPr>
          <w:bCs/>
          <w:sz w:val="24"/>
        </w:rPr>
      </w:pPr>
      <w:r>
        <w:rPr>
          <w:rFonts w:hint="eastAsia"/>
          <w:bCs/>
          <w:sz w:val="24"/>
        </w:rPr>
        <w:t>7</w:t>
      </w:r>
      <w:r>
        <w:rPr>
          <w:rFonts w:hint="eastAsia"/>
          <w:bCs/>
          <w:sz w:val="24"/>
        </w:rPr>
        <w:t>、基金的银行汇划费用；</w:t>
      </w:r>
    </w:p>
    <w:p w:rsidR="00D028D7" w:rsidRDefault="00D028D7" w:rsidP="00D028D7">
      <w:pPr>
        <w:spacing w:line="360" w:lineRule="auto"/>
        <w:ind w:firstLineChars="200" w:firstLine="480"/>
        <w:rPr>
          <w:bCs/>
          <w:sz w:val="24"/>
        </w:rPr>
      </w:pPr>
      <w:r>
        <w:rPr>
          <w:rFonts w:hint="eastAsia"/>
          <w:bCs/>
          <w:sz w:val="24"/>
        </w:rPr>
        <w:t>8</w:t>
      </w:r>
      <w:r>
        <w:rPr>
          <w:rFonts w:hint="eastAsia"/>
          <w:bCs/>
          <w:sz w:val="24"/>
        </w:rPr>
        <w:t>、基金的开户费用、账户维护费用；</w:t>
      </w:r>
    </w:p>
    <w:p w:rsidR="00D028D7" w:rsidRDefault="00D028D7" w:rsidP="00D028D7">
      <w:pPr>
        <w:spacing w:line="360" w:lineRule="auto"/>
        <w:ind w:firstLineChars="200" w:firstLine="480"/>
        <w:rPr>
          <w:bCs/>
          <w:sz w:val="24"/>
        </w:rPr>
      </w:pPr>
      <w:r>
        <w:rPr>
          <w:rFonts w:hint="eastAsia"/>
          <w:bCs/>
          <w:sz w:val="24"/>
        </w:rPr>
        <w:t>9</w:t>
      </w:r>
      <w:r>
        <w:rPr>
          <w:rFonts w:hint="eastAsia"/>
          <w:bCs/>
          <w:sz w:val="24"/>
        </w:rPr>
        <w:t>、基金上市费用；</w:t>
      </w:r>
    </w:p>
    <w:p w:rsidR="00D028D7" w:rsidRDefault="00D028D7" w:rsidP="00D028D7">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rsidR="00D028D7" w:rsidRDefault="00D028D7" w:rsidP="00D028D7">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rsidR="00D028D7" w:rsidRDefault="00D028D7" w:rsidP="00D028D7">
      <w:pPr>
        <w:pStyle w:val="aa"/>
        <w:spacing w:after="78"/>
        <w:ind w:firstLine="480"/>
        <w:rPr>
          <w:rFonts w:ascii="宋体" w:hAnsi="宋体"/>
          <w:bCs/>
        </w:rPr>
      </w:pPr>
      <w:r>
        <w:rPr>
          <w:rFonts w:ascii="宋体" w:hAnsi="宋体" w:hint="eastAsia"/>
          <w:bCs/>
        </w:rPr>
        <w:t>（二）基金费用计提方法、计提标准和支付方式</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D028D7" w:rsidRDefault="00D028D7" w:rsidP="00D028D7">
      <w:pPr>
        <w:spacing w:line="360" w:lineRule="auto"/>
        <w:ind w:firstLineChars="200" w:firstLine="480"/>
        <w:rPr>
          <w:bCs/>
          <w:sz w:val="24"/>
        </w:rPr>
      </w:pPr>
      <w:r>
        <w:rPr>
          <w:rFonts w:hint="eastAsia"/>
          <w:bCs/>
          <w:sz w:val="24"/>
        </w:rPr>
        <w:t>本基金的管理费按前一日基金资产净值的</w:t>
      </w:r>
      <w:r>
        <w:rPr>
          <w:bCs/>
          <w:sz w:val="24"/>
        </w:rPr>
        <w:t>1</w:t>
      </w:r>
      <w:r>
        <w:rPr>
          <w:rFonts w:hint="eastAsia"/>
          <w:bCs/>
          <w:sz w:val="24"/>
        </w:rPr>
        <w:t>.</w:t>
      </w:r>
      <w:r>
        <w:rPr>
          <w:bCs/>
          <w:sz w:val="24"/>
        </w:rPr>
        <w:t>5</w:t>
      </w:r>
      <w:r>
        <w:rPr>
          <w:rFonts w:hint="eastAsia"/>
          <w:bCs/>
          <w:sz w:val="24"/>
        </w:rPr>
        <w:t>%</w:t>
      </w:r>
      <w:r>
        <w:rPr>
          <w:rFonts w:hint="eastAsia"/>
          <w:bCs/>
          <w:sz w:val="24"/>
        </w:rPr>
        <w:t>年费率计提。管理费的计算方法如下：</w:t>
      </w:r>
    </w:p>
    <w:p w:rsidR="00D028D7" w:rsidRDefault="00D028D7" w:rsidP="00D028D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1</w:t>
      </w:r>
      <w:r>
        <w:rPr>
          <w:rFonts w:hint="eastAsia"/>
          <w:bCs/>
          <w:sz w:val="24"/>
        </w:rPr>
        <w:t>.</w:t>
      </w:r>
      <w:r>
        <w:rPr>
          <w:bCs/>
          <w:sz w:val="24"/>
        </w:rPr>
        <w:t>5</w:t>
      </w:r>
      <w:r>
        <w:rPr>
          <w:rFonts w:hint="eastAsia"/>
          <w:bCs/>
          <w:sz w:val="24"/>
        </w:rPr>
        <w:t>%</w:t>
      </w:r>
      <w:r>
        <w:rPr>
          <w:rFonts w:hint="eastAsia"/>
          <w:bCs/>
          <w:sz w:val="24"/>
        </w:rPr>
        <w:t>÷当年天数</w:t>
      </w:r>
    </w:p>
    <w:p w:rsidR="00D028D7" w:rsidRDefault="00D028D7" w:rsidP="00D028D7">
      <w:pPr>
        <w:spacing w:line="360" w:lineRule="auto"/>
        <w:ind w:firstLineChars="200" w:firstLine="480"/>
        <w:rPr>
          <w:bCs/>
          <w:sz w:val="24"/>
        </w:rPr>
      </w:pPr>
      <w:r>
        <w:rPr>
          <w:rFonts w:hint="eastAsia"/>
          <w:bCs/>
          <w:sz w:val="24"/>
        </w:rPr>
        <w:t>H</w:t>
      </w:r>
      <w:r>
        <w:rPr>
          <w:rFonts w:hint="eastAsia"/>
          <w:bCs/>
          <w:sz w:val="24"/>
        </w:rPr>
        <w:t>为每日应计提的基金管理费</w:t>
      </w:r>
    </w:p>
    <w:p w:rsidR="00D028D7" w:rsidRDefault="00D028D7" w:rsidP="00D028D7">
      <w:pPr>
        <w:spacing w:line="360" w:lineRule="auto"/>
        <w:ind w:firstLineChars="200" w:firstLine="480"/>
        <w:rPr>
          <w:bCs/>
          <w:sz w:val="24"/>
        </w:rPr>
      </w:pPr>
      <w:r>
        <w:rPr>
          <w:rFonts w:hint="eastAsia"/>
          <w:bCs/>
          <w:sz w:val="24"/>
        </w:rPr>
        <w:t>E</w:t>
      </w:r>
      <w:r>
        <w:rPr>
          <w:rFonts w:hint="eastAsia"/>
          <w:bCs/>
          <w:sz w:val="24"/>
        </w:rPr>
        <w:t>为前一日的基金资产净值</w:t>
      </w:r>
    </w:p>
    <w:p w:rsidR="00D028D7" w:rsidRPr="008774F2" w:rsidRDefault="00D028D7" w:rsidP="00D028D7">
      <w:pPr>
        <w:spacing w:line="360" w:lineRule="auto"/>
        <w:ind w:firstLineChars="200" w:firstLine="480"/>
        <w:rPr>
          <w:bCs/>
          <w:sz w:val="24"/>
        </w:rPr>
      </w:pPr>
      <w:r w:rsidRPr="008774F2">
        <w:rPr>
          <w:rFonts w:hint="eastAsia"/>
          <w:bCs/>
          <w:sz w:val="24"/>
        </w:rPr>
        <w:t>基金管理费每日计提，按月支付。由基金管理人向基金托管人发送基金管理费划付指令，经基金托管人复核后于次月首日起</w:t>
      </w:r>
      <w:r w:rsidRPr="008774F2">
        <w:rPr>
          <w:rFonts w:hint="eastAsia"/>
          <w:bCs/>
          <w:sz w:val="24"/>
        </w:rPr>
        <w:t>3</w:t>
      </w:r>
      <w:r w:rsidRPr="008774F2">
        <w:rPr>
          <w:rFonts w:hint="eastAsia"/>
          <w:bCs/>
          <w:sz w:val="24"/>
        </w:rPr>
        <w:t>个工作日内从基金财产中一次性支付给基金管理人。</w:t>
      </w:r>
    </w:p>
    <w:p w:rsidR="00D028D7" w:rsidRDefault="00D028D7" w:rsidP="00D028D7">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、基金托管人的托管费</w:t>
      </w:r>
    </w:p>
    <w:p w:rsidR="00D028D7" w:rsidRDefault="00D028D7" w:rsidP="00D028D7">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25</w:t>
      </w:r>
      <w:r>
        <w:rPr>
          <w:rFonts w:hint="eastAsia"/>
          <w:bCs/>
          <w:sz w:val="24"/>
        </w:rPr>
        <w:t>%</w:t>
      </w:r>
      <w:r>
        <w:rPr>
          <w:rFonts w:hint="eastAsia"/>
          <w:bCs/>
          <w:sz w:val="24"/>
        </w:rPr>
        <w:t>的年费率计提。托管费的计算方法如下：</w:t>
      </w:r>
    </w:p>
    <w:p w:rsidR="00D028D7" w:rsidRDefault="00D028D7" w:rsidP="00D028D7">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rsidR="00D028D7" w:rsidRDefault="00D028D7" w:rsidP="00D028D7">
      <w:pPr>
        <w:spacing w:line="360" w:lineRule="auto"/>
        <w:ind w:firstLineChars="200" w:firstLine="480"/>
        <w:rPr>
          <w:bCs/>
          <w:sz w:val="24"/>
        </w:rPr>
      </w:pPr>
      <w:r>
        <w:rPr>
          <w:rFonts w:hint="eastAsia"/>
          <w:bCs/>
          <w:sz w:val="24"/>
        </w:rPr>
        <w:t>H</w:t>
      </w:r>
      <w:r>
        <w:rPr>
          <w:rFonts w:hint="eastAsia"/>
          <w:bCs/>
          <w:sz w:val="24"/>
        </w:rPr>
        <w:t>为每日应计提的基金托管费</w:t>
      </w:r>
    </w:p>
    <w:p w:rsidR="00D028D7" w:rsidRDefault="00D028D7" w:rsidP="00D028D7">
      <w:pPr>
        <w:spacing w:line="360" w:lineRule="auto"/>
        <w:ind w:firstLineChars="200" w:firstLine="480"/>
        <w:rPr>
          <w:bCs/>
          <w:sz w:val="24"/>
        </w:rPr>
      </w:pPr>
      <w:r>
        <w:rPr>
          <w:rFonts w:hint="eastAsia"/>
          <w:bCs/>
          <w:sz w:val="24"/>
        </w:rPr>
        <w:t>E</w:t>
      </w:r>
      <w:r>
        <w:rPr>
          <w:rFonts w:hint="eastAsia"/>
          <w:bCs/>
          <w:sz w:val="24"/>
        </w:rPr>
        <w:t>为前一日的基金资产净值</w:t>
      </w:r>
    </w:p>
    <w:p w:rsidR="00D028D7" w:rsidRPr="008774F2" w:rsidRDefault="00D028D7" w:rsidP="00D028D7">
      <w:pPr>
        <w:spacing w:line="360" w:lineRule="auto"/>
        <w:ind w:firstLineChars="200" w:firstLine="480"/>
        <w:rPr>
          <w:bCs/>
          <w:sz w:val="24"/>
        </w:rPr>
      </w:pPr>
      <w:r w:rsidRPr="008774F2">
        <w:rPr>
          <w:rFonts w:hint="eastAsia"/>
          <w:bCs/>
          <w:sz w:val="24"/>
        </w:rPr>
        <w:t>基金托管费每日计提，按月支付。由基金管理人向基金托管人发送基金托管费划付指令，经基金托管人复核后于次月首日起</w:t>
      </w:r>
      <w:r w:rsidRPr="008774F2">
        <w:rPr>
          <w:rFonts w:hint="eastAsia"/>
          <w:bCs/>
          <w:sz w:val="24"/>
        </w:rPr>
        <w:t>3</w:t>
      </w:r>
      <w:r w:rsidRPr="008774F2">
        <w:rPr>
          <w:rFonts w:hint="eastAsia"/>
          <w:bCs/>
          <w:sz w:val="24"/>
        </w:rPr>
        <w:t>个工作日内从基金财产中一次性支付给基金托管人。</w:t>
      </w:r>
    </w:p>
    <w:p w:rsidR="00D028D7" w:rsidRDefault="00D028D7" w:rsidP="00D028D7">
      <w:pPr>
        <w:spacing w:line="360" w:lineRule="auto"/>
        <w:ind w:firstLineChars="200" w:firstLine="480"/>
        <w:rPr>
          <w:bCs/>
          <w:sz w:val="24"/>
        </w:rPr>
      </w:pPr>
      <w:r w:rsidRPr="008774F2">
        <w:rPr>
          <w:rFonts w:hint="eastAsia"/>
          <w:bCs/>
          <w:sz w:val="24"/>
        </w:rPr>
        <w:t>若遇法定节假日、休息</w:t>
      </w:r>
      <w:bookmarkStart w:id="17" w:name="_GoBack"/>
      <w:bookmarkEnd w:id="17"/>
      <w:r w:rsidRPr="008774F2">
        <w:rPr>
          <w:rFonts w:hint="eastAsia"/>
          <w:bCs/>
          <w:sz w:val="24"/>
        </w:rPr>
        <w:t>日或不可抗力致使无法按时支付的，顺延至最近可支付日支付。</w:t>
      </w:r>
    </w:p>
    <w:p w:rsidR="00D028D7" w:rsidRDefault="00D028D7" w:rsidP="00D028D7">
      <w:pPr>
        <w:spacing w:line="360" w:lineRule="auto"/>
        <w:ind w:firstLineChars="200" w:firstLine="480"/>
        <w:rPr>
          <w:bCs/>
          <w:sz w:val="24"/>
        </w:rPr>
      </w:pPr>
      <w:r>
        <w:rPr>
          <w:rFonts w:hint="eastAsia"/>
          <w:bCs/>
          <w:sz w:val="24"/>
        </w:rPr>
        <w:t>3</w:t>
      </w:r>
      <w:r>
        <w:rPr>
          <w:rFonts w:hint="eastAsia"/>
          <w:bCs/>
          <w:sz w:val="24"/>
        </w:rPr>
        <w:t>、上述“</w:t>
      </w:r>
      <w:r w:rsidR="003343B4">
        <w:rPr>
          <w:rFonts w:hint="eastAsia"/>
          <w:bCs/>
          <w:sz w:val="24"/>
        </w:rPr>
        <w:t>（</w:t>
      </w:r>
      <w:r>
        <w:rPr>
          <w:rFonts w:hint="eastAsia"/>
          <w:bCs/>
          <w:sz w:val="24"/>
        </w:rPr>
        <w:t>一</w:t>
      </w:r>
      <w:r w:rsidR="003343B4">
        <w:rPr>
          <w:rFonts w:hint="eastAsia"/>
          <w:bCs/>
          <w:sz w:val="24"/>
        </w:rPr>
        <w:t>）</w:t>
      </w:r>
      <w:r>
        <w:rPr>
          <w:rFonts w:hint="eastAsia"/>
          <w:bCs/>
          <w:sz w:val="24"/>
        </w:rPr>
        <w:t>基金费用的种类”中第</w:t>
      </w:r>
      <w:r>
        <w:rPr>
          <w:rFonts w:hint="eastAsia"/>
          <w:bCs/>
          <w:sz w:val="24"/>
        </w:rPr>
        <w:t>3</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rsidR="00D028D7" w:rsidRDefault="00D028D7" w:rsidP="00D028D7">
      <w:pPr>
        <w:pStyle w:val="aa"/>
        <w:spacing w:after="78"/>
        <w:ind w:firstLine="480"/>
        <w:rPr>
          <w:rFonts w:ascii="宋体" w:hAnsi="宋体"/>
          <w:bCs/>
        </w:rPr>
      </w:pPr>
      <w:r>
        <w:rPr>
          <w:rFonts w:ascii="宋体" w:hAnsi="宋体" w:hint="eastAsia"/>
          <w:bCs/>
        </w:rPr>
        <w:t>（三）不列入基金费用的项目</w:t>
      </w:r>
    </w:p>
    <w:p w:rsidR="00D028D7" w:rsidRDefault="00D028D7" w:rsidP="00D028D7">
      <w:pPr>
        <w:spacing w:line="360" w:lineRule="auto"/>
        <w:ind w:firstLineChars="200" w:firstLine="480"/>
        <w:rPr>
          <w:bCs/>
          <w:sz w:val="24"/>
        </w:rPr>
      </w:pPr>
      <w:r>
        <w:rPr>
          <w:rFonts w:hint="eastAsia"/>
          <w:bCs/>
          <w:sz w:val="24"/>
        </w:rPr>
        <w:t>下列费用不列入基金费用：</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D028D7" w:rsidRDefault="00D028D7" w:rsidP="00D028D7">
      <w:pPr>
        <w:spacing w:line="360" w:lineRule="auto"/>
        <w:ind w:firstLineChars="200" w:firstLine="480"/>
        <w:rPr>
          <w:bCs/>
          <w:sz w:val="24"/>
        </w:rPr>
      </w:pPr>
      <w:r>
        <w:rPr>
          <w:rFonts w:hint="eastAsia"/>
          <w:bCs/>
          <w:sz w:val="24"/>
        </w:rPr>
        <w:t>3</w:t>
      </w:r>
      <w:r>
        <w:rPr>
          <w:rFonts w:hint="eastAsia"/>
          <w:bCs/>
          <w:sz w:val="24"/>
        </w:rPr>
        <w:t>、《基金合同》生效前的相关费用；</w:t>
      </w:r>
    </w:p>
    <w:p w:rsidR="00D028D7" w:rsidRDefault="00D028D7" w:rsidP="00D028D7">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D028D7" w:rsidRDefault="00D028D7" w:rsidP="00D028D7">
      <w:pPr>
        <w:spacing w:line="360" w:lineRule="auto"/>
        <w:ind w:firstLineChars="200" w:firstLine="480"/>
        <w:rPr>
          <w:bCs/>
          <w:sz w:val="24"/>
        </w:rPr>
      </w:pPr>
      <w:r>
        <w:rPr>
          <w:rFonts w:hint="eastAsia"/>
          <w:bCs/>
          <w:sz w:val="24"/>
        </w:rPr>
        <w:t>（四）基金税收</w:t>
      </w:r>
    </w:p>
    <w:p w:rsidR="00D028D7" w:rsidRDefault="00D028D7" w:rsidP="00D028D7">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rsidR="00D028D7" w:rsidRDefault="00D028D7" w:rsidP="00D028D7">
      <w:pPr>
        <w:pStyle w:val="aa"/>
        <w:spacing w:afterLines="0"/>
        <w:ind w:firstLine="482"/>
        <w:rPr>
          <w:rFonts w:ascii="宋体" w:hAnsi="宋体"/>
          <w:b/>
        </w:rPr>
      </w:pPr>
      <w:r>
        <w:rPr>
          <w:rFonts w:ascii="宋体" w:hAnsi="宋体"/>
          <w:b/>
        </w:rPr>
        <w:t>五、基金财产的投资方向和投资限制</w:t>
      </w:r>
    </w:p>
    <w:p w:rsidR="00D028D7" w:rsidRDefault="00D028D7" w:rsidP="00D028D7">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本基金在严格控制风险的前提下，坚持价值投资的基本理念，充分发挥专业研究与管理能力，力争为投资者提供长期稳健的投资回报。</w:t>
      </w:r>
    </w:p>
    <w:p w:rsidR="00D028D7" w:rsidRDefault="00D028D7" w:rsidP="00D028D7">
      <w:pPr>
        <w:spacing w:line="360" w:lineRule="auto"/>
        <w:ind w:firstLineChars="200" w:firstLine="480"/>
        <w:rPr>
          <w:rFonts w:ascii="宋体" w:hAnsi="宋体"/>
          <w:sz w:val="24"/>
        </w:rPr>
      </w:pPr>
      <w:r>
        <w:rPr>
          <w:rFonts w:ascii="宋体" w:hAnsi="宋体" w:hint="eastAsia"/>
          <w:sz w:val="24"/>
        </w:rPr>
        <w:t>（二）投资范围</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本基金的投资范围为具有良好流动性的金融工具，包括国内依法发行上市的股票（含中小板、创业板及其他经中国证监会核准上市的股票）、</w:t>
      </w:r>
      <w:r>
        <w:rPr>
          <w:rFonts w:hint="eastAsia"/>
          <w:bCs/>
          <w:sz w:val="24"/>
        </w:rPr>
        <w:t>港股通标的股票、</w:t>
      </w:r>
      <w:r>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基金的投资组合比例为：本基金</w:t>
      </w:r>
      <w:r>
        <w:rPr>
          <w:rFonts w:hint="eastAsia"/>
          <w:bCs/>
          <w:sz w:val="24"/>
        </w:rPr>
        <w:t>封闭期结束，转为开放式运作后</w:t>
      </w:r>
      <w:r>
        <w:rPr>
          <w:rFonts w:ascii="宋体" w:hAnsi="宋体" w:hint="eastAsia"/>
          <w:bCs/>
          <w:sz w:val="24"/>
        </w:rPr>
        <w:t>，股票投资占基金资产的比例为50%-95%（其中投资于港股通标的股票的比例占股票资产的0%-50%）；封闭期内，股票投资占基金资产的比例为50%-100%（其中投资于港股通标的股票的比例占股票资产的0%-50%）；但本基金</w:t>
      </w:r>
      <w:r>
        <w:rPr>
          <w:rFonts w:hint="eastAsia"/>
          <w:bCs/>
          <w:sz w:val="24"/>
        </w:rPr>
        <w:t>封闭期结束前三个月至转开放式运作后三个月内</w:t>
      </w:r>
      <w:r>
        <w:rPr>
          <w:rFonts w:ascii="宋体" w:hAnsi="宋体" w:hint="eastAsia"/>
          <w:bCs/>
          <w:sz w:val="24"/>
        </w:rPr>
        <w:t>，基金投资不受前述下限比例限制。</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本基金</w:t>
      </w:r>
      <w:r>
        <w:rPr>
          <w:rFonts w:hint="eastAsia"/>
          <w:bCs/>
          <w:sz w:val="24"/>
        </w:rPr>
        <w:t>封闭期结束，转为开放式运作后</w:t>
      </w:r>
      <w:r>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rsidR="00D028D7" w:rsidRDefault="00D028D7" w:rsidP="00D028D7">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D028D7" w:rsidRDefault="00D028D7" w:rsidP="00D028D7">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D028D7" w:rsidRDefault="00D028D7" w:rsidP="00D028D7">
      <w:pPr>
        <w:spacing w:line="360" w:lineRule="auto"/>
        <w:ind w:firstLine="480"/>
        <w:rPr>
          <w:bCs/>
          <w:sz w:val="24"/>
        </w:rPr>
      </w:pPr>
      <w:r>
        <w:rPr>
          <w:rFonts w:hint="eastAsia"/>
          <w:bCs/>
          <w:sz w:val="24"/>
        </w:rPr>
        <w:t>1</w:t>
      </w:r>
      <w:r>
        <w:rPr>
          <w:rFonts w:hint="eastAsia"/>
          <w:bCs/>
          <w:sz w:val="24"/>
        </w:rPr>
        <w:t>、大类资产配置</w:t>
      </w:r>
    </w:p>
    <w:p w:rsidR="00D028D7" w:rsidRDefault="00D028D7" w:rsidP="00D028D7">
      <w:pPr>
        <w:spacing w:line="360" w:lineRule="auto"/>
        <w:ind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D028D7" w:rsidRDefault="00D028D7" w:rsidP="00D028D7">
      <w:pPr>
        <w:spacing w:line="360" w:lineRule="auto"/>
        <w:ind w:firstLine="480"/>
        <w:rPr>
          <w:bCs/>
          <w:sz w:val="24"/>
        </w:rPr>
      </w:pPr>
      <w:r>
        <w:rPr>
          <w:rFonts w:hint="eastAsia"/>
          <w:bCs/>
          <w:sz w:val="24"/>
        </w:rPr>
        <w:t>2</w:t>
      </w:r>
      <w:r>
        <w:rPr>
          <w:rFonts w:hint="eastAsia"/>
          <w:bCs/>
          <w:sz w:val="24"/>
        </w:rPr>
        <w:t>、股票投资策略</w:t>
      </w:r>
    </w:p>
    <w:p w:rsidR="00D028D7" w:rsidRDefault="00D028D7" w:rsidP="00D028D7">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D028D7" w:rsidRDefault="00D028D7" w:rsidP="00D028D7">
      <w:pPr>
        <w:spacing w:line="360" w:lineRule="auto"/>
        <w:ind w:firstLine="480"/>
        <w:rPr>
          <w:bCs/>
          <w:sz w:val="24"/>
        </w:rPr>
      </w:pPr>
      <w:r>
        <w:rPr>
          <w:rFonts w:hint="eastAsia"/>
          <w:bCs/>
          <w:sz w:val="24"/>
        </w:rPr>
        <w:t>（</w:t>
      </w:r>
      <w:r>
        <w:rPr>
          <w:rFonts w:hint="eastAsia"/>
          <w:bCs/>
          <w:sz w:val="24"/>
        </w:rPr>
        <w:t>1</w:t>
      </w:r>
      <w:r>
        <w:rPr>
          <w:rFonts w:hint="eastAsia"/>
          <w:bCs/>
          <w:sz w:val="24"/>
        </w:rPr>
        <w:t>）品质筛选</w:t>
      </w:r>
    </w:p>
    <w:p w:rsidR="00D028D7" w:rsidRDefault="00D028D7" w:rsidP="00D028D7">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D028D7" w:rsidRDefault="00D028D7" w:rsidP="00D028D7">
      <w:pPr>
        <w:pStyle w:val="11"/>
        <w:numPr>
          <w:ilvl w:val="0"/>
          <w:numId w:val="19"/>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rsidR="00D028D7" w:rsidRDefault="00D028D7" w:rsidP="00D028D7">
      <w:pPr>
        <w:pStyle w:val="11"/>
        <w:numPr>
          <w:ilvl w:val="0"/>
          <w:numId w:val="19"/>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rsidR="00D028D7" w:rsidRDefault="00D028D7" w:rsidP="00D028D7">
      <w:pPr>
        <w:pStyle w:val="11"/>
        <w:numPr>
          <w:ilvl w:val="0"/>
          <w:numId w:val="19"/>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rsidR="00D028D7" w:rsidRDefault="00D028D7" w:rsidP="00D028D7">
      <w:pPr>
        <w:spacing w:line="360" w:lineRule="auto"/>
        <w:ind w:firstLine="480"/>
        <w:rPr>
          <w:bCs/>
          <w:sz w:val="24"/>
        </w:rPr>
      </w:pPr>
      <w:r>
        <w:rPr>
          <w:rFonts w:hint="eastAsia"/>
          <w:bCs/>
          <w:sz w:val="24"/>
        </w:rPr>
        <w:t>（</w:t>
      </w:r>
      <w:r>
        <w:rPr>
          <w:rFonts w:hint="eastAsia"/>
          <w:bCs/>
          <w:sz w:val="24"/>
        </w:rPr>
        <w:t>2</w:t>
      </w:r>
      <w:r>
        <w:rPr>
          <w:rFonts w:hint="eastAsia"/>
          <w:bCs/>
          <w:sz w:val="24"/>
        </w:rPr>
        <w:t>）价值评估</w:t>
      </w:r>
    </w:p>
    <w:p w:rsidR="00D028D7" w:rsidRDefault="00D028D7" w:rsidP="00D028D7">
      <w:pPr>
        <w:spacing w:line="360" w:lineRule="auto"/>
        <w:ind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D028D7" w:rsidRDefault="00D028D7" w:rsidP="00D028D7">
      <w:pPr>
        <w:spacing w:line="360" w:lineRule="auto"/>
        <w:ind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rsidR="00D028D7" w:rsidRDefault="00D028D7" w:rsidP="00D028D7">
      <w:pPr>
        <w:spacing w:line="360" w:lineRule="auto"/>
        <w:ind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D028D7" w:rsidRDefault="00D028D7" w:rsidP="00D028D7">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D028D7" w:rsidRDefault="00D028D7" w:rsidP="00D028D7">
      <w:pPr>
        <w:spacing w:line="360" w:lineRule="auto"/>
        <w:ind w:firstLine="480"/>
        <w:rPr>
          <w:bCs/>
          <w:sz w:val="24"/>
        </w:rPr>
      </w:pPr>
      <w:r>
        <w:rPr>
          <w:rFonts w:hint="eastAsia"/>
          <w:bCs/>
          <w:sz w:val="24"/>
        </w:rPr>
        <w:t>3</w:t>
      </w:r>
      <w:r>
        <w:rPr>
          <w:rFonts w:hint="eastAsia"/>
          <w:bCs/>
          <w:sz w:val="24"/>
        </w:rPr>
        <w:t>、债券投资策略</w:t>
      </w:r>
    </w:p>
    <w:p w:rsidR="00D028D7" w:rsidRDefault="00D028D7" w:rsidP="00D028D7">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D028D7" w:rsidRDefault="00D028D7" w:rsidP="00D028D7">
      <w:pPr>
        <w:spacing w:line="360" w:lineRule="auto"/>
        <w:ind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rsidR="00D028D7" w:rsidRDefault="00D028D7" w:rsidP="00D028D7">
      <w:pPr>
        <w:spacing w:line="360" w:lineRule="auto"/>
        <w:ind w:firstLine="480"/>
        <w:rPr>
          <w:bCs/>
          <w:sz w:val="24"/>
        </w:rPr>
      </w:pPr>
      <w:r>
        <w:rPr>
          <w:rFonts w:hint="eastAsia"/>
          <w:bCs/>
          <w:sz w:val="24"/>
        </w:rPr>
        <w:t>4</w:t>
      </w:r>
      <w:r>
        <w:rPr>
          <w:rFonts w:hint="eastAsia"/>
          <w:bCs/>
          <w:sz w:val="24"/>
        </w:rPr>
        <w:t>、股指期货投资策略</w:t>
      </w:r>
    </w:p>
    <w:p w:rsidR="00D028D7" w:rsidRDefault="00D028D7" w:rsidP="00D028D7">
      <w:pPr>
        <w:spacing w:line="360" w:lineRule="auto"/>
        <w:ind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028D7" w:rsidRDefault="00D028D7" w:rsidP="00D028D7">
      <w:pPr>
        <w:spacing w:line="360" w:lineRule="auto"/>
        <w:ind w:firstLine="480"/>
        <w:rPr>
          <w:bCs/>
          <w:sz w:val="24"/>
        </w:rPr>
      </w:pPr>
      <w:r>
        <w:rPr>
          <w:bCs/>
          <w:sz w:val="24"/>
        </w:rPr>
        <w:t>5</w:t>
      </w:r>
      <w:r>
        <w:rPr>
          <w:rFonts w:hint="eastAsia"/>
          <w:bCs/>
          <w:sz w:val="24"/>
        </w:rPr>
        <w:t>、资产支持证券投资策略</w:t>
      </w:r>
    </w:p>
    <w:p w:rsidR="00D028D7" w:rsidRDefault="00D028D7" w:rsidP="00D028D7">
      <w:pPr>
        <w:spacing w:line="360" w:lineRule="auto"/>
        <w:ind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028D7" w:rsidRDefault="00D028D7" w:rsidP="00D028D7">
      <w:pPr>
        <w:spacing w:line="360" w:lineRule="auto"/>
        <w:ind w:firstLine="48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基于本基金的运作方式，基金管理人在临近封闭期届满时将重点关注基金资产的流动性和变现能力，分散投资，做好流动性管理以应对本基金封闭期结束转为开放式运作后的投资者的赎回需求。</w:t>
      </w:r>
    </w:p>
    <w:p w:rsidR="00D028D7" w:rsidRDefault="00D028D7" w:rsidP="00D028D7">
      <w:pPr>
        <w:spacing w:line="360" w:lineRule="auto"/>
        <w:ind w:firstLineChars="200" w:firstLine="480"/>
        <w:rPr>
          <w:bCs/>
          <w:sz w:val="24"/>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rsidR="00D028D7" w:rsidRDefault="00D028D7" w:rsidP="00D028D7">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、组合限制</w:t>
      </w:r>
    </w:p>
    <w:p w:rsidR="00D028D7" w:rsidRDefault="00D028D7" w:rsidP="00D028D7">
      <w:pPr>
        <w:spacing w:line="360" w:lineRule="auto"/>
        <w:ind w:firstLineChars="200" w:firstLine="480"/>
        <w:rPr>
          <w:bCs/>
          <w:sz w:val="24"/>
        </w:rPr>
      </w:pPr>
      <w:r>
        <w:rPr>
          <w:rFonts w:hint="eastAsia"/>
          <w:bCs/>
          <w:sz w:val="24"/>
        </w:rPr>
        <w:t>基金的投资组合应遵循以下限制：</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）本基金封闭期结束，转为开放式运作后，股票投资占基金资产的比例为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）；但本基金封闭期结束前三个月至转开放式运作后三个月内，基金投资不受前述下限比例限制；</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Pr>
          <w:rFonts w:hint="eastAsia"/>
          <w:bCs/>
          <w:sz w:val="24"/>
        </w:rPr>
        <w:t>5%</w:t>
      </w:r>
      <w:r>
        <w:rPr>
          <w:rFonts w:hint="eastAsia"/>
          <w:bCs/>
          <w:sz w:val="24"/>
        </w:rPr>
        <w:t>；在封闭期内，本基金不受前述</w:t>
      </w:r>
      <w:r>
        <w:rPr>
          <w:rFonts w:hint="eastAsia"/>
          <w:bCs/>
          <w:sz w:val="24"/>
        </w:rPr>
        <w:t>5%</w:t>
      </w:r>
      <w:r>
        <w:rPr>
          <w:rFonts w:hint="eastAsia"/>
          <w:bCs/>
          <w:sz w:val="24"/>
        </w:rPr>
        <w:t>的限制，但每个交易日日终在扣除股指期货合约需缴纳的交易保证金后，应当保持不低于交易保证金一倍的现金；其中现金不包括结算备付金、存出保证金、应收申购款等；</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 xml:space="preserve"> </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D028D7" w:rsidRDefault="00D028D7" w:rsidP="00D028D7">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D028D7" w:rsidRDefault="00D028D7" w:rsidP="00D028D7">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D028D7" w:rsidRDefault="00D028D7" w:rsidP="00D028D7">
      <w:pPr>
        <w:spacing w:line="360" w:lineRule="auto"/>
        <w:ind w:firstLineChars="200" w:firstLine="480"/>
        <w:rPr>
          <w:bCs/>
          <w:sz w:val="24"/>
        </w:rPr>
      </w:pPr>
      <w:r>
        <w:rPr>
          <w:rFonts w:hint="eastAsia"/>
          <w:bCs/>
          <w:sz w:val="24"/>
        </w:rPr>
        <w:t>（</w:t>
      </w:r>
      <w:r>
        <w:rPr>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D028D7" w:rsidRDefault="00D028D7" w:rsidP="00D028D7">
      <w:pPr>
        <w:spacing w:line="360" w:lineRule="auto"/>
        <w:ind w:firstLineChars="200" w:firstLine="480"/>
        <w:rPr>
          <w:bCs/>
          <w:sz w:val="24"/>
        </w:rPr>
      </w:pPr>
      <w:r>
        <w:rPr>
          <w:rFonts w:hint="eastAsia"/>
          <w:bCs/>
          <w:sz w:val="24"/>
        </w:rPr>
        <w:t>（</w:t>
      </w:r>
      <w:r>
        <w:rPr>
          <w:bCs/>
          <w:sz w:val="24"/>
        </w:rPr>
        <w:t>13</w:t>
      </w:r>
      <w:r>
        <w:rPr>
          <w:rFonts w:hint="eastAsia"/>
          <w:bCs/>
          <w:sz w:val="24"/>
        </w:rPr>
        <w:t>）本基金</w:t>
      </w:r>
      <w:r>
        <w:rPr>
          <w:rFonts w:hint="eastAsia"/>
          <w:sz w:val="24"/>
        </w:rPr>
        <w:t>封闭期结束，转为开放式运作后</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D028D7" w:rsidRDefault="00D028D7" w:rsidP="00D028D7">
      <w:pPr>
        <w:spacing w:line="360" w:lineRule="auto"/>
        <w:ind w:firstLineChars="200" w:firstLine="480"/>
        <w:rPr>
          <w:bCs/>
          <w:sz w:val="24"/>
        </w:rPr>
      </w:pPr>
      <w:r>
        <w:rPr>
          <w:rFonts w:hint="eastAsia"/>
          <w:bCs/>
          <w:sz w:val="24"/>
        </w:rPr>
        <w:t>（</w:t>
      </w:r>
      <w:r>
        <w:rPr>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D028D7" w:rsidRDefault="00D028D7" w:rsidP="00D028D7">
      <w:pPr>
        <w:spacing w:line="360" w:lineRule="auto"/>
        <w:ind w:firstLineChars="200" w:firstLine="480"/>
        <w:rPr>
          <w:bCs/>
          <w:sz w:val="24"/>
        </w:rPr>
      </w:pPr>
      <w:r>
        <w:rPr>
          <w:rFonts w:hint="eastAsia"/>
          <w:bCs/>
          <w:sz w:val="24"/>
        </w:rPr>
        <w:t>（</w:t>
      </w:r>
      <w:r>
        <w:rPr>
          <w:bCs/>
          <w:sz w:val="24"/>
        </w:rPr>
        <w:t>15</w:t>
      </w:r>
      <w:r>
        <w:rPr>
          <w:rFonts w:hint="eastAsia"/>
          <w:bCs/>
          <w:sz w:val="24"/>
        </w:rPr>
        <w:t>）在封闭期内，本基金的基金资产总值不得超过基金资产净值的</w:t>
      </w:r>
      <w:r>
        <w:rPr>
          <w:rFonts w:hint="eastAsia"/>
          <w:bCs/>
          <w:sz w:val="24"/>
        </w:rPr>
        <w:t>200%</w:t>
      </w:r>
      <w:r>
        <w:rPr>
          <w:rFonts w:hint="eastAsia"/>
          <w:bCs/>
          <w:sz w:val="24"/>
        </w:rPr>
        <w:t>；在封闭期结束，转为开放式运作后，本基金的基金资产总值不得超过基金资产净值的</w:t>
      </w:r>
      <w:r>
        <w:rPr>
          <w:rFonts w:hint="eastAsia"/>
          <w:bCs/>
          <w:sz w:val="24"/>
        </w:rPr>
        <w:t>140%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bCs/>
          <w:sz w:val="24"/>
        </w:rPr>
        <w:t>16</w:t>
      </w:r>
      <w:r>
        <w:rPr>
          <w:rFonts w:hint="eastAsia"/>
          <w:bCs/>
          <w:sz w:val="24"/>
        </w:rPr>
        <w:t>）本基金参与股指期货交易，则：</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）本基金在封闭期内的任何交易日日终，持有的买入股指期货合约价值与有价证券市值之和，不得超过基金资产净值的</w:t>
      </w:r>
      <w:r>
        <w:rPr>
          <w:rFonts w:hint="eastAsia"/>
          <w:bCs/>
          <w:sz w:val="24"/>
        </w:rPr>
        <w:t>100%</w:t>
      </w:r>
      <w:r>
        <w:rPr>
          <w:rFonts w:hint="eastAsia"/>
          <w:bCs/>
          <w:sz w:val="24"/>
        </w:rPr>
        <w:t>；本基金封闭期结束，转为开放式运作后，任何交易日日终，持有的买入股指期货合约价值与有价证券市值之和，不得超过基金资产净值的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D028D7" w:rsidRDefault="00D028D7" w:rsidP="00D028D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D028D7" w:rsidRDefault="00D028D7" w:rsidP="00D028D7">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）法律法规及中国证监会规定的和《基金合同》约定的其他投资限制。</w:t>
      </w:r>
    </w:p>
    <w:p w:rsidR="00D028D7" w:rsidRDefault="00D028D7" w:rsidP="00D028D7">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D028D7" w:rsidRDefault="00D028D7" w:rsidP="00D028D7">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028D7" w:rsidRDefault="00D028D7" w:rsidP="00D028D7">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、禁止行为</w:t>
      </w:r>
    </w:p>
    <w:p w:rsidR="00D028D7" w:rsidRDefault="00D028D7" w:rsidP="00D028D7">
      <w:pPr>
        <w:spacing w:line="360" w:lineRule="auto"/>
        <w:ind w:firstLineChars="200" w:firstLine="480"/>
        <w:rPr>
          <w:bCs/>
          <w:sz w:val="24"/>
        </w:rPr>
      </w:pPr>
      <w:r>
        <w:rPr>
          <w:rFonts w:hint="eastAsia"/>
          <w:bCs/>
          <w:sz w:val="24"/>
        </w:rPr>
        <w:t>为维护基金份额持有人的合法权益，基金财产不得用于下列投资或者活动：</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D028D7" w:rsidRDefault="00D028D7" w:rsidP="00D028D7">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028D7" w:rsidRDefault="00D028D7" w:rsidP="00D028D7">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D028D7" w:rsidRDefault="00D028D7" w:rsidP="00D028D7">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rsidR="00D028D7" w:rsidRDefault="00D028D7" w:rsidP="00D028D7">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D028D7" w:rsidRDefault="00D028D7" w:rsidP="00D028D7">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rsidR="00D028D7" w:rsidRDefault="00D028D7" w:rsidP="00D028D7">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D028D7" w:rsidRDefault="00D028D7" w:rsidP="00D028D7">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D028D7" w:rsidRDefault="00D028D7" w:rsidP="00D028D7">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D028D7" w:rsidRDefault="00D028D7" w:rsidP="00D028D7">
      <w:pPr>
        <w:pStyle w:val="aa"/>
        <w:spacing w:afterLines="0"/>
        <w:ind w:firstLine="482"/>
        <w:rPr>
          <w:rFonts w:ascii="宋体" w:hAnsi="宋体"/>
          <w:b/>
        </w:rPr>
      </w:pPr>
      <w:r>
        <w:rPr>
          <w:rFonts w:ascii="宋体" w:hAnsi="宋体"/>
          <w:b/>
        </w:rPr>
        <w:t>六、基金资产净值的计算方法和公告方式</w:t>
      </w:r>
    </w:p>
    <w:p w:rsidR="00D028D7" w:rsidRDefault="00D028D7" w:rsidP="00D028D7">
      <w:pPr>
        <w:spacing w:line="360" w:lineRule="auto"/>
        <w:ind w:firstLineChars="200" w:firstLine="480"/>
        <w:rPr>
          <w:rFonts w:ascii="宋体" w:hAnsi="宋体"/>
        </w:rPr>
      </w:pPr>
      <w:r>
        <w:rPr>
          <w:rFonts w:ascii="宋体" w:hAnsi="宋体"/>
          <w:sz w:val="24"/>
        </w:rPr>
        <w:t>（一）估值方法</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D028D7" w:rsidRDefault="00D028D7" w:rsidP="00D028D7">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）交易所上市不存在活跃市场的有价证券，采用估值技术确定公允价值。交易所市场挂牌转让的资产支持证券，采用估值技术确定公允价值；估值技术难以确定和计量其公允价值的，按成本估值；</w:t>
      </w:r>
    </w:p>
    <w:p w:rsidR="00D028D7" w:rsidRDefault="00D028D7" w:rsidP="00D028D7">
      <w:pPr>
        <w:spacing w:line="360" w:lineRule="auto"/>
        <w:ind w:firstLineChars="200" w:firstLine="480"/>
        <w:rPr>
          <w:bCs/>
          <w:sz w:val="24"/>
        </w:rPr>
      </w:pPr>
      <w:r>
        <w:rPr>
          <w:rFonts w:hint="eastAsia"/>
          <w:bCs/>
          <w:sz w:val="24"/>
        </w:rPr>
        <w:t>（</w:t>
      </w:r>
      <w:r>
        <w:rPr>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rsidR="00D028D7" w:rsidRDefault="00D028D7" w:rsidP="00D028D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028D7" w:rsidRDefault="00D028D7" w:rsidP="00D028D7">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028D7" w:rsidRDefault="00D028D7" w:rsidP="00D028D7">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D028D7" w:rsidRDefault="00D028D7" w:rsidP="00D028D7">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rsidR="00D028D7" w:rsidRDefault="00D028D7" w:rsidP="00D028D7">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rsidR="00D028D7" w:rsidRDefault="00D028D7" w:rsidP="00D028D7">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rsidR="00D028D7" w:rsidRDefault="00D028D7" w:rsidP="00D028D7">
      <w:pPr>
        <w:spacing w:line="360" w:lineRule="auto"/>
        <w:ind w:firstLineChars="200" w:firstLine="480"/>
        <w:rPr>
          <w:bCs/>
          <w:sz w:val="24"/>
        </w:rPr>
      </w:pPr>
      <w:r>
        <w:rPr>
          <w:bCs/>
          <w:sz w:val="24"/>
        </w:rPr>
        <w:t>8</w:t>
      </w:r>
      <w:r>
        <w:rPr>
          <w:rFonts w:hint="eastAsia"/>
          <w:bCs/>
          <w:sz w:val="24"/>
        </w:rPr>
        <w:t>、相关法律法规以及监管部门有强制规定的，从其规定。如有新增事项，按国家最新规定估值。</w:t>
      </w:r>
    </w:p>
    <w:p w:rsidR="00D028D7" w:rsidRDefault="00D028D7" w:rsidP="00D028D7">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028D7" w:rsidRDefault="00D028D7" w:rsidP="00D028D7">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028D7" w:rsidRDefault="00D028D7" w:rsidP="00D028D7">
      <w:pPr>
        <w:spacing w:line="360" w:lineRule="auto"/>
        <w:ind w:firstLineChars="200" w:firstLine="480"/>
        <w:rPr>
          <w:rFonts w:ascii="宋体" w:hAnsi="宋体"/>
          <w:sz w:val="24"/>
        </w:rPr>
      </w:pPr>
      <w:r>
        <w:rPr>
          <w:rFonts w:ascii="宋体" w:hAnsi="宋体"/>
          <w:sz w:val="24"/>
        </w:rPr>
        <w:t>（二）估值程序</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D028D7" w:rsidRDefault="00D028D7" w:rsidP="00D028D7">
      <w:pPr>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D028D7" w:rsidRDefault="00D028D7" w:rsidP="00D028D7">
      <w:pPr>
        <w:spacing w:line="360" w:lineRule="auto"/>
        <w:ind w:firstLineChars="200" w:firstLine="480"/>
        <w:rPr>
          <w:rFonts w:ascii="宋体" w:hAnsi="宋体"/>
          <w:sz w:val="24"/>
        </w:rPr>
      </w:pPr>
      <w:r>
        <w:rPr>
          <w:rFonts w:ascii="宋体" w:hAnsi="宋体"/>
          <w:sz w:val="24"/>
        </w:rPr>
        <w:t>（三）暂停估值的情形</w:t>
      </w:r>
    </w:p>
    <w:p w:rsidR="00D028D7" w:rsidRDefault="00D028D7" w:rsidP="00D028D7">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rsidR="00D028D7" w:rsidRDefault="00D028D7" w:rsidP="00D028D7">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D028D7" w:rsidRDefault="00D028D7" w:rsidP="00D028D7">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rsidR="00D028D7" w:rsidRDefault="00D028D7" w:rsidP="00D028D7">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D028D7" w:rsidRDefault="00D028D7" w:rsidP="00D028D7">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D028D7" w:rsidRDefault="00D028D7" w:rsidP="00D028D7">
      <w:pPr>
        <w:spacing w:line="360" w:lineRule="auto"/>
        <w:ind w:firstLineChars="200" w:firstLine="48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rsidR="00D028D7" w:rsidRDefault="00D028D7" w:rsidP="00D028D7">
      <w:pPr>
        <w:spacing w:line="360" w:lineRule="auto"/>
        <w:ind w:firstLineChars="200" w:firstLine="480"/>
        <w:rPr>
          <w:bCs/>
          <w:sz w:val="24"/>
        </w:rPr>
      </w:pPr>
      <w:r>
        <w:rPr>
          <w:rFonts w:hint="eastAsia"/>
          <w:bCs/>
          <w:sz w:val="24"/>
        </w:rPr>
        <w:t>在开始办理基金上市交易或基金份额申购或者赎回后，基金管理人应当在不晚于每个开放日的次日，通过指定网站、基金销售机构网站或者营业网点披露开放日的基金份额净值和基金份额累计净值。</w:t>
      </w:r>
    </w:p>
    <w:p w:rsidR="00D028D7" w:rsidRDefault="00D028D7" w:rsidP="00D028D7">
      <w:pPr>
        <w:pStyle w:val="aa"/>
        <w:spacing w:afterLines="0"/>
        <w:ind w:firstLine="480"/>
        <w:rPr>
          <w:rFonts w:ascii="宋体" w:hAnsi="宋体"/>
          <w:b/>
        </w:rPr>
      </w:pPr>
      <w:r>
        <w:rPr>
          <w:rFonts w:hint="eastAsia"/>
          <w:bCs/>
        </w:rPr>
        <w:t>基金管理人应当在不晚于半年度和年度最后一日的次日，在指定网站披露半年度和年度最后一日的基金份额净值和基金份额累计净值。</w:t>
      </w:r>
    </w:p>
    <w:p w:rsidR="00D028D7" w:rsidRDefault="00D028D7" w:rsidP="00D028D7">
      <w:pPr>
        <w:pStyle w:val="aa"/>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D028D7" w:rsidRDefault="00D028D7" w:rsidP="00D028D7">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2、关于《基金合同》变更的基金份额持有人大会决议自生效后方可执行，并自决议生效后依照《信息披露办法》的规定在指定媒介公告。</w:t>
      </w:r>
    </w:p>
    <w:p w:rsidR="00D028D7" w:rsidRDefault="00D028D7" w:rsidP="00D028D7">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3、连续</w:t>
      </w:r>
      <w:r>
        <w:rPr>
          <w:rFonts w:ascii="宋体" w:hAnsi="宋体"/>
          <w:bCs/>
          <w:sz w:val="24"/>
        </w:rPr>
        <w:t>50</w:t>
      </w:r>
      <w:r>
        <w:rPr>
          <w:rFonts w:ascii="宋体" w:hAnsi="宋体" w:hint="eastAsia"/>
          <w:bCs/>
          <w:sz w:val="24"/>
        </w:rPr>
        <w:t>个工作日出现基金份额持有人数量不满200人或者基金资产净值低于5000万元情形的，基金管理人提前终止基金合同，不需召开基金份额持有人大会；</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4、《基金合同》约定的其他情形；</w:t>
      </w:r>
    </w:p>
    <w:p w:rsidR="00D028D7" w:rsidRDefault="00D028D7" w:rsidP="00D028D7">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rsidR="00D028D7" w:rsidRDefault="00D028D7" w:rsidP="00D028D7">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D028D7" w:rsidRDefault="00D028D7" w:rsidP="00D028D7">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D028D7" w:rsidRDefault="00D028D7" w:rsidP="00D028D7">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028D7" w:rsidRDefault="00D028D7" w:rsidP="00D028D7">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D028D7" w:rsidRDefault="00D028D7" w:rsidP="00D028D7">
      <w:pPr>
        <w:spacing w:line="360" w:lineRule="auto"/>
        <w:ind w:firstLineChars="200" w:firstLine="480"/>
        <w:rPr>
          <w:rFonts w:ascii="宋体" w:hAnsi="宋体"/>
          <w:sz w:val="24"/>
        </w:rPr>
      </w:pPr>
      <w:r>
        <w:rPr>
          <w:rFonts w:ascii="宋体" w:hAnsi="宋体" w:hint="eastAsia"/>
          <w:sz w:val="24"/>
        </w:rPr>
        <w:t>4、基金财产清算程序：</w:t>
      </w:r>
    </w:p>
    <w:p w:rsidR="00D028D7" w:rsidRDefault="00D028D7" w:rsidP="00D028D7">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rsidR="00D028D7" w:rsidRDefault="00D028D7" w:rsidP="00D028D7">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D028D7" w:rsidRDefault="00D028D7" w:rsidP="00D028D7">
      <w:pPr>
        <w:spacing w:line="360" w:lineRule="auto"/>
        <w:ind w:firstLineChars="200" w:firstLine="480"/>
        <w:rPr>
          <w:rFonts w:ascii="宋体" w:hAnsi="宋体"/>
          <w:sz w:val="24"/>
        </w:rPr>
      </w:pPr>
      <w:r>
        <w:rPr>
          <w:rFonts w:ascii="宋体" w:hAnsi="宋体" w:hint="eastAsia"/>
          <w:sz w:val="24"/>
        </w:rPr>
        <w:t>（3）对基金财产进行估值和变现；</w:t>
      </w:r>
    </w:p>
    <w:p w:rsidR="00D028D7" w:rsidRDefault="00D028D7" w:rsidP="00D028D7">
      <w:pPr>
        <w:spacing w:line="360" w:lineRule="auto"/>
        <w:ind w:firstLineChars="200" w:firstLine="480"/>
        <w:rPr>
          <w:rFonts w:ascii="宋体" w:hAnsi="宋体"/>
          <w:sz w:val="24"/>
        </w:rPr>
      </w:pPr>
      <w:r>
        <w:rPr>
          <w:rFonts w:ascii="宋体" w:hAnsi="宋体" w:hint="eastAsia"/>
          <w:sz w:val="24"/>
        </w:rPr>
        <w:t>（4）制作清算报告；</w:t>
      </w:r>
    </w:p>
    <w:p w:rsidR="00D028D7" w:rsidRDefault="00D028D7" w:rsidP="00D028D7">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D028D7" w:rsidRDefault="00D028D7" w:rsidP="00D028D7">
      <w:pPr>
        <w:spacing w:line="360" w:lineRule="auto"/>
        <w:ind w:firstLineChars="200" w:firstLine="480"/>
        <w:rPr>
          <w:rFonts w:ascii="宋体" w:hAnsi="宋体"/>
          <w:sz w:val="24"/>
        </w:rPr>
      </w:pPr>
      <w:r>
        <w:rPr>
          <w:rFonts w:ascii="宋体" w:hAnsi="宋体" w:hint="eastAsia"/>
          <w:sz w:val="24"/>
        </w:rPr>
        <w:t>（6）将清算报告报中国证监会备案并公告；</w:t>
      </w:r>
    </w:p>
    <w:p w:rsidR="00D028D7" w:rsidRDefault="00D028D7" w:rsidP="00D028D7">
      <w:pPr>
        <w:spacing w:line="360" w:lineRule="auto"/>
        <w:ind w:firstLineChars="200" w:firstLine="480"/>
        <w:rPr>
          <w:rFonts w:ascii="宋体" w:hAnsi="宋体"/>
          <w:sz w:val="24"/>
        </w:rPr>
      </w:pPr>
      <w:r>
        <w:rPr>
          <w:rFonts w:ascii="宋体" w:hAnsi="宋体" w:hint="eastAsia"/>
          <w:sz w:val="24"/>
        </w:rPr>
        <w:t>（7）对基金剩余财产进行分配。</w:t>
      </w:r>
    </w:p>
    <w:p w:rsidR="00D028D7" w:rsidRDefault="00D028D7" w:rsidP="00D028D7">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D028D7" w:rsidRDefault="00D028D7" w:rsidP="00D028D7">
      <w:pPr>
        <w:pStyle w:val="aa"/>
        <w:spacing w:afterLines="0"/>
        <w:ind w:firstLine="482"/>
        <w:rPr>
          <w:rFonts w:ascii="宋体" w:hAnsi="宋体"/>
          <w:b/>
        </w:rPr>
      </w:pPr>
      <w:r>
        <w:rPr>
          <w:rFonts w:ascii="宋体" w:hAnsi="宋体"/>
          <w:b/>
        </w:rPr>
        <w:t>八、</w:t>
      </w:r>
      <w:r>
        <w:rPr>
          <w:rFonts w:ascii="宋体" w:hAnsi="宋体" w:hint="eastAsia"/>
          <w:b/>
        </w:rPr>
        <w:t>争议解决方式</w:t>
      </w:r>
    </w:p>
    <w:p w:rsidR="00D028D7" w:rsidRDefault="00D028D7" w:rsidP="00D028D7">
      <w:pPr>
        <w:pStyle w:val="aa"/>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Pr>
          <w:rFonts w:hint="eastAsia"/>
          <w:bCs/>
        </w:rPr>
        <w:t>中国国际经济贸易仲裁委员会</w:t>
      </w:r>
      <w:r>
        <w:rPr>
          <w:rFonts w:ascii="宋体" w:hAnsi="宋体" w:hint="eastAsia"/>
        </w:rPr>
        <w:t>，按照</w:t>
      </w:r>
      <w:r>
        <w:rPr>
          <w:rFonts w:hint="eastAsia"/>
          <w:bCs/>
        </w:rPr>
        <w:t>中国国际经济贸易仲裁委员会</w:t>
      </w:r>
      <w:r>
        <w:rPr>
          <w:rFonts w:ascii="宋体" w:hAnsi="宋体" w:hint="eastAsia"/>
        </w:rPr>
        <w:t>届时有效的仲裁规则进行仲裁。仲裁地点为</w:t>
      </w:r>
      <w:r>
        <w:rPr>
          <w:rFonts w:hint="eastAsia"/>
          <w:bCs/>
        </w:rPr>
        <w:t>北京市</w:t>
      </w:r>
      <w:r>
        <w:rPr>
          <w:rFonts w:ascii="宋体" w:hAnsi="宋体" w:hint="eastAsia"/>
        </w:rPr>
        <w:t>。仲裁裁决是终局的，对各方当事人均有约束力，除非仲裁裁决另有规定，仲裁费由败诉方承担。</w:t>
      </w:r>
    </w:p>
    <w:p w:rsidR="00D028D7" w:rsidRDefault="00D028D7" w:rsidP="00D028D7">
      <w:pPr>
        <w:pStyle w:val="aa"/>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D028D7" w:rsidRDefault="00D028D7" w:rsidP="00D028D7">
      <w:pPr>
        <w:spacing w:line="360" w:lineRule="auto"/>
        <w:ind w:firstLineChars="200" w:firstLine="420"/>
        <w:rPr>
          <w:rFonts w:ascii="宋体" w:hAnsi="宋体"/>
          <w:sz w:val="24"/>
        </w:rPr>
      </w:pPr>
      <w:r>
        <w:rPr>
          <w:rFonts w:ascii="宋体" w:hAnsi="宋体" w:hint="eastAsia"/>
        </w:rPr>
        <w:t>《基金合同》受中国法律（不含港澳台地区立法）管辖</w:t>
      </w:r>
      <w:r>
        <w:rPr>
          <w:rFonts w:ascii="宋体" w:hAnsi="宋体" w:hint="eastAsia"/>
          <w:sz w:val="24"/>
        </w:rPr>
        <w:t>。</w:t>
      </w:r>
    </w:p>
    <w:p w:rsidR="00D028D7" w:rsidRDefault="00D028D7" w:rsidP="00D028D7">
      <w:pPr>
        <w:pStyle w:val="aa"/>
        <w:spacing w:afterLines="0"/>
        <w:ind w:firstLine="482"/>
        <w:rPr>
          <w:rFonts w:ascii="宋体" w:hAnsi="宋体"/>
        </w:rPr>
      </w:pPr>
      <w:r>
        <w:rPr>
          <w:rFonts w:ascii="宋体" w:hAnsi="宋体"/>
          <w:b/>
        </w:rPr>
        <w:t>九、基金合同存放地和投资者取得基金合同的方式</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《基金合同》正本一式</w:t>
      </w:r>
      <w:r>
        <w:rPr>
          <w:rFonts w:hint="eastAsia"/>
          <w:bCs/>
          <w:sz w:val="24"/>
        </w:rPr>
        <w:t>六</w:t>
      </w:r>
      <w:r>
        <w:rPr>
          <w:bCs/>
          <w:sz w:val="24"/>
        </w:rPr>
        <w:t>份</w:t>
      </w:r>
      <w:r>
        <w:rPr>
          <w:rFonts w:ascii="宋体" w:hAnsi="宋体" w:hint="eastAsia"/>
          <w:bCs/>
          <w:sz w:val="24"/>
        </w:rPr>
        <w:t>，除上报有关监管机构一式</w:t>
      </w:r>
      <w:r>
        <w:rPr>
          <w:rFonts w:hint="eastAsia"/>
          <w:bCs/>
          <w:sz w:val="24"/>
        </w:rPr>
        <w:t>二</w:t>
      </w:r>
      <w:r>
        <w:rPr>
          <w:bCs/>
          <w:sz w:val="24"/>
        </w:rPr>
        <w:t>份</w:t>
      </w:r>
      <w:r>
        <w:rPr>
          <w:rFonts w:ascii="宋体" w:hAnsi="宋体" w:hint="eastAsia"/>
          <w:bCs/>
          <w:sz w:val="24"/>
        </w:rPr>
        <w:t>外，基金管理人、基金托管人各持有</w:t>
      </w:r>
      <w:r>
        <w:rPr>
          <w:rFonts w:hint="eastAsia"/>
          <w:bCs/>
          <w:sz w:val="24"/>
        </w:rPr>
        <w:t>二</w:t>
      </w:r>
      <w:r w:rsidRPr="0080638A">
        <w:rPr>
          <w:sz w:val="24"/>
        </w:rPr>
        <w:t>份</w:t>
      </w:r>
      <w:r>
        <w:rPr>
          <w:rFonts w:ascii="宋体" w:hAnsi="宋体" w:hint="eastAsia"/>
          <w:bCs/>
          <w:sz w:val="24"/>
        </w:rPr>
        <w:t>，每份具有同等的法律效力</w:t>
      </w:r>
      <w:r>
        <w:rPr>
          <w:rFonts w:ascii="宋体" w:hAnsi="宋体"/>
          <w:bCs/>
          <w:sz w:val="24"/>
        </w:rPr>
        <w:t>。</w:t>
      </w:r>
    </w:p>
    <w:p w:rsidR="00D028D7" w:rsidRDefault="00D028D7" w:rsidP="00D028D7">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p>
    <w:p w:rsidR="00D028D7" w:rsidRPr="00D028D7" w:rsidRDefault="00D028D7" w:rsidP="006821CC">
      <w:pPr>
        <w:spacing w:line="360" w:lineRule="auto"/>
        <w:ind w:firstLineChars="200" w:firstLine="420"/>
        <w:rPr>
          <w:rFonts w:asciiTheme="minorEastAsia" w:eastAsiaTheme="minorEastAsia" w:hAnsiTheme="minorEastAsia"/>
        </w:rPr>
      </w:pPr>
    </w:p>
    <w:p w:rsidR="00F97FC5" w:rsidRPr="00D028D7" w:rsidRDefault="00F97FC5" w:rsidP="006E6641">
      <w:pPr>
        <w:spacing w:line="360" w:lineRule="auto"/>
        <w:ind w:firstLineChars="200" w:firstLine="482"/>
        <w:rPr>
          <w:rFonts w:hAnsi="宋体"/>
          <w:b/>
          <w:sz w:val="24"/>
          <w:szCs w:val="24"/>
        </w:rPr>
      </w:pPr>
    </w:p>
    <w:p w:rsidR="00D67793" w:rsidRPr="00DF5D6D" w:rsidRDefault="00D67793" w:rsidP="00774C22">
      <w:pPr>
        <w:spacing w:line="360" w:lineRule="auto"/>
        <w:ind w:firstLineChars="200" w:firstLine="420"/>
        <w:rPr>
          <w:bCs/>
        </w:rPr>
      </w:pP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99E" w:rsidRDefault="006A499E">
      <w:r>
        <w:separator/>
      </w:r>
    </w:p>
  </w:endnote>
  <w:endnote w:type="continuationSeparator" w:id="0">
    <w:p w:rsidR="006A499E" w:rsidRDefault="006A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3343B4" w:rsidRPr="003343B4">
          <w:rPr>
            <w:noProof/>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99E" w:rsidRDefault="006A499E">
      <w:r>
        <w:separator/>
      </w:r>
    </w:p>
  </w:footnote>
  <w:footnote w:type="continuationSeparator" w:id="0">
    <w:p w:rsidR="006A499E" w:rsidRDefault="006A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D7" w:rsidRDefault="00107464" w:rsidP="006E6641">
    <w:pPr>
      <w:pStyle w:val="a7"/>
      <w:pBdr>
        <w:bottom w:val="thickThinLargeGap" w:sz="24" w:space="2" w:color="auto"/>
      </w:pBdr>
      <w:tabs>
        <w:tab w:val="right" w:pos="8280"/>
      </w:tabs>
      <w:wordWrap w:val="0"/>
      <w:adjustRightInd w:val="0"/>
      <w:jc w:val="right"/>
      <w:rPr>
        <w:szCs w:val="18"/>
      </w:rPr>
    </w:pPr>
    <w:r>
      <w:rPr>
        <w:noProof/>
        <w:szCs w:val="18"/>
      </w:rPr>
      <w:drawing>
        <wp:anchor distT="0" distB="0" distL="114300" distR="114300" simplePos="0" relativeHeight="251661312" behindDoc="0" locked="0" layoutInCell="1" allowOverlap="1">
          <wp:simplePos x="0" y="0"/>
          <wp:positionH relativeFrom="column">
            <wp:posOffset>22860</wp:posOffset>
          </wp:positionH>
          <wp:positionV relativeFrom="paragraph">
            <wp:posOffset>8255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6E6641" w:rsidRPr="006E6641">
      <w:rPr>
        <w:rFonts w:hint="eastAsia"/>
        <w:szCs w:val="18"/>
      </w:rPr>
      <w:t>交银</w:t>
    </w:r>
    <w:proofErr w:type="gramStart"/>
    <w:r w:rsidR="006E6641" w:rsidRPr="006E6641">
      <w:rPr>
        <w:rFonts w:hint="eastAsia"/>
        <w:szCs w:val="18"/>
      </w:rPr>
      <w:t>施罗德</w:t>
    </w:r>
    <w:r w:rsidR="00D028D7">
      <w:rPr>
        <w:rFonts w:hint="eastAsia"/>
        <w:szCs w:val="18"/>
      </w:rPr>
      <w:t>瑞思三年</w:t>
    </w:r>
    <w:proofErr w:type="gramEnd"/>
    <w:r w:rsidR="00D028D7">
      <w:rPr>
        <w:szCs w:val="18"/>
      </w:rPr>
      <w:t>封闭运作</w:t>
    </w:r>
    <w:r w:rsidR="006E6641" w:rsidRPr="006E6641">
      <w:rPr>
        <w:rFonts w:hint="eastAsia"/>
        <w:szCs w:val="18"/>
      </w:rPr>
      <w:t>混合型证券投资基金</w:t>
    </w:r>
  </w:p>
  <w:p w:rsidR="000E04A7" w:rsidRPr="00B95AAA" w:rsidRDefault="000E04A7" w:rsidP="00D028D7">
    <w:pPr>
      <w:pStyle w:val="a7"/>
      <w:pBdr>
        <w:bottom w:val="thickThinLargeGap" w:sz="24" w:space="2" w:color="auto"/>
      </w:pBdr>
      <w:tabs>
        <w:tab w:val="right" w:pos="8280"/>
      </w:tabs>
      <w:adjustRightInd w:val="0"/>
      <w:jc w:val="right"/>
    </w:pPr>
    <w:r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2"/>
  </w:num>
  <w:num w:numId="6">
    <w:abstractNumId w:val="15"/>
  </w:num>
  <w:num w:numId="7">
    <w:abstractNumId w:val="5"/>
  </w:num>
  <w:num w:numId="8">
    <w:abstractNumId w:val="7"/>
  </w:num>
  <w:num w:numId="9">
    <w:abstractNumId w:val="9"/>
  </w:num>
  <w:num w:numId="10">
    <w:abstractNumId w:val="8"/>
  </w:num>
  <w:num w:numId="11">
    <w:abstractNumId w:val="6"/>
  </w:num>
  <w:num w:numId="12">
    <w:abstractNumId w:val="13"/>
  </w:num>
  <w:num w:numId="13">
    <w:abstractNumId w:val="0"/>
  </w:num>
  <w:num w:numId="14">
    <w:abstractNumId w:val="11"/>
  </w:num>
  <w:num w:numId="15">
    <w:abstractNumId w:val="17"/>
  </w:num>
  <w:num w:numId="16">
    <w:abstractNumId w:val="1"/>
  </w:num>
  <w:num w:numId="17">
    <w:abstractNumId w:val="1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1FE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E77AD"/>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812"/>
    <w:rsid w:val="003339CF"/>
    <w:rsid w:val="003340A4"/>
    <w:rsid w:val="003343B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5A8"/>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499E"/>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4871"/>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9F7B9C"/>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37BE4"/>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36CD"/>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28D7"/>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3A"/>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19"/>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qFormat/>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uiPriority w:val="34"/>
    <w:qFormat/>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19C59-095A-4989-9ACF-B84545695549}">
  <ds:schemaRefs>
    <ds:schemaRef ds:uri="http://schemas.openxmlformats.org/officeDocument/2006/bibliography"/>
  </ds:schemaRefs>
</ds:datastoreItem>
</file>

<file path=customXml/itemProps2.xml><?xml version="1.0" encoding="utf-8"?>
<ds:datastoreItem xmlns:ds="http://schemas.openxmlformats.org/officeDocument/2006/customXml" ds:itemID="{2C04473A-5E5C-46F3-AE9E-BE257EF9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29</Pages>
  <Words>3246</Words>
  <Characters>18507</Characters>
  <Application>Microsoft Office Word</Application>
  <DocSecurity>0</DocSecurity>
  <Lines>154</Lines>
  <Paragraphs>43</Paragraphs>
  <ScaleCrop>false</ScaleCrop>
  <Company>Sky123.Org</Company>
  <LinksUpToDate>false</LinksUpToDate>
  <CharactersWithSpaces>21710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54</cp:revision>
  <dcterms:created xsi:type="dcterms:W3CDTF">2016-10-24T01:15:00Z</dcterms:created>
  <dcterms:modified xsi:type="dcterms:W3CDTF">2020-01-13T08:55:00Z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