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bookmarkStart w:id="0" w:name="_GoBack"/>
      <w:bookmarkEnd w:id="0"/>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21</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基金托管人：中国农业银行股份有限公司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基金托管人中国农业银行股份有限公司根据本基金合同规定，于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21</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519716</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2012</w:t>
            </w:r>
            <w:r w:rsidRPr="0061644B">
              <w:rPr>
                <w:sz w:val="24"/>
              </w:rPr>
              <w:t>年</w:t>
            </w:r>
            <w:r w:rsidRPr="0061644B">
              <w:rPr>
                <w:sz w:val="24"/>
              </w:rPr>
              <w:t>11</w:t>
            </w:r>
            <w:r w:rsidRPr="0061644B">
              <w:rPr>
                <w:sz w:val="24"/>
              </w:rPr>
              <w:t>月</w:t>
            </w:r>
            <w:r w:rsidRPr="0061644B">
              <w:rPr>
                <w:sz w:val="24"/>
              </w:rPr>
              <w:t>5</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中国农业银行股份有限公司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16,320,753,304.17</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519717</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9,523,399.36</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16,311,229,904.81</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本基金属于债券型证券投资基金，长期风险收益水平低于股票型基金、混合型基金，高于货币市场型证券投资基金。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中国农业银行股份有限公司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贺倩</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010-66060069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tgxxpl@abchina.com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010-68121816</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1"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1"/>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155,629.57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320,050,230.65</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155,629.57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320,050,230.65</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1.41%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1.56%</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9,523,399.36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16,311,229,904.81</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4A0015" w:rsidRDefault="00BD024B">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4A0015" w:rsidRDefault="00BD024B">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4A0015" w:rsidRDefault="00BD024B">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B</w:t>
      </w:r>
      <w:r>
        <w:rPr>
          <w:kern w:val="0"/>
          <w:sz w:val="24"/>
        </w:rPr>
        <w:t>类基金份额按新设基金计算；</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21</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D32C87">
        <w:tc>
          <w:tcPr>
            <w:tcW w:w="1600"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233"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233"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233"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233"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233"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233"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4A0015">
        <w:tc>
          <w:tcPr>
            <w:tcW w:w="1600" w:type="dxa"/>
            <w:vAlign w:val="center"/>
          </w:tcPr>
          <w:p w:rsidR="004A0015" w:rsidRDefault="00BD024B">
            <w:pPr>
              <w:jc w:val="left"/>
            </w:pPr>
            <w:r>
              <w:rPr>
                <w:sz w:val="24"/>
              </w:rPr>
              <w:t>过去一个月</w:t>
            </w:r>
          </w:p>
        </w:tc>
        <w:tc>
          <w:tcPr>
            <w:tcW w:w="1233" w:type="dxa"/>
            <w:vAlign w:val="center"/>
          </w:tcPr>
          <w:p w:rsidR="004A0015" w:rsidRDefault="00BD024B">
            <w:pPr>
              <w:jc w:val="center"/>
            </w:pPr>
            <w:r>
              <w:rPr>
                <w:sz w:val="24"/>
              </w:rPr>
              <w:t>0.2171%</w:t>
            </w:r>
          </w:p>
        </w:tc>
        <w:tc>
          <w:tcPr>
            <w:tcW w:w="1233" w:type="dxa"/>
            <w:vAlign w:val="center"/>
          </w:tcPr>
          <w:p w:rsidR="004A0015" w:rsidRDefault="00BD024B">
            <w:pPr>
              <w:jc w:val="center"/>
            </w:pPr>
            <w:r>
              <w:rPr>
                <w:sz w:val="24"/>
              </w:rPr>
              <w:t>0.0024%</w:t>
            </w:r>
          </w:p>
        </w:tc>
        <w:tc>
          <w:tcPr>
            <w:tcW w:w="1233" w:type="dxa"/>
            <w:vAlign w:val="center"/>
          </w:tcPr>
          <w:p w:rsidR="004A0015" w:rsidRDefault="00BD024B">
            <w:pPr>
              <w:jc w:val="center"/>
            </w:pPr>
            <w:r>
              <w:rPr>
                <w:sz w:val="24"/>
              </w:rPr>
              <w:t>0.1110%</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0.1061%</w:t>
            </w:r>
          </w:p>
        </w:tc>
        <w:tc>
          <w:tcPr>
            <w:tcW w:w="1233" w:type="dxa"/>
            <w:vAlign w:val="center"/>
          </w:tcPr>
          <w:p w:rsidR="004A0015" w:rsidRDefault="00BD024B">
            <w:pPr>
              <w:jc w:val="center"/>
            </w:pPr>
            <w:r>
              <w:rPr>
                <w:sz w:val="24"/>
              </w:rPr>
              <w:t>0.0024%</w:t>
            </w:r>
          </w:p>
        </w:tc>
      </w:tr>
      <w:tr w:rsidR="004A0015">
        <w:tc>
          <w:tcPr>
            <w:tcW w:w="1600" w:type="dxa"/>
            <w:vAlign w:val="center"/>
          </w:tcPr>
          <w:p w:rsidR="004A0015" w:rsidRDefault="00BD024B">
            <w:pPr>
              <w:jc w:val="left"/>
            </w:pPr>
            <w:r>
              <w:rPr>
                <w:sz w:val="24"/>
              </w:rPr>
              <w:t>过去三个月</w:t>
            </w:r>
          </w:p>
        </w:tc>
        <w:tc>
          <w:tcPr>
            <w:tcW w:w="1233" w:type="dxa"/>
            <w:vAlign w:val="center"/>
          </w:tcPr>
          <w:p w:rsidR="004A0015" w:rsidRDefault="00BD024B">
            <w:pPr>
              <w:jc w:val="center"/>
            </w:pPr>
            <w:r>
              <w:rPr>
                <w:sz w:val="24"/>
              </w:rPr>
              <w:t>0.6784%</w:t>
            </w:r>
          </w:p>
        </w:tc>
        <w:tc>
          <w:tcPr>
            <w:tcW w:w="1233" w:type="dxa"/>
            <w:vAlign w:val="center"/>
          </w:tcPr>
          <w:p w:rsidR="004A0015" w:rsidRDefault="00BD024B">
            <w:pPr>
              <w:jc w:val="center"/>
            </w:pPr>
            <w:r>
              <w:rPr>
                <w:sz w:val="24"/>
              </w:rPr>
              <w:t>0.0020%</w:t>
            </w:r>
          </w:p>
        </w:tc>
        <w:tc>
          <w:tcPr>
            <w:tcW w:w="1233" w:type="dxa"/>
            <w:vAlign w:val="center"/>
          </w:tcPr>
          <w:p w:rsidR="004A0015" w:rsidRDefault="00BD024B">
            <w:pPr>
              <w:jc w:val="center"/>
            </w:pPr>
            <w:r>
              <w:rPr>
                <w:sz w:val="24"/>
              </w:rPr>
              <w:t>0.3366%</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0.3418%</w:t>
            </w:r>
          </w:p>
        </w:tc>
        <w:tc>
          <w:tcPr>
            <w:tcW w:w="1233" w:type="dxa"/>
            <w:vAlign w:val="center"/>
          </w:tcPr>
          <w:p w:rsidR="004A0015" w:rsidRDefault="00BD024B">
            <w:pPr>
              <w:jc w:val="center"/>
            </w:pPr>
            <w:r>
              <w:rPr>
                <w:sz w:val="24"/>
              </w:rPr>
              <w:t>0.0020%</w:t>
            </w:r>
          </w:p>
        </w:tc>
      </w:tr>
      <w:tr w:rsidR="004A0015">
        <w:tc>
          <w:tcPr>
            <w:tcW w:w="1600" w:type="dxa"/>
            <w:vAlign w:val="center"/>
          </w:tcPr>
          <w:p w:rsidR="004A0015" w:rsidRDefault="00BD024B">
            <w:pPr>
              <w:jc w:val="left"/>
            </w:pPr>
            <w:r>
              <w:rPr>
                <w:sz w:val="24"/>
              </w:rPr>
              <w:t>过去六个月</w:t>
            </w:r>
          </w:p>
        </w:tc>
        <w:tc>
          <w:tcPr>
            <w:tcW w:w="1233" w:type="dxa"/>
            <w:vAlign w:val="center"/>
          </w:tcPr>
          <w:p w:rsidR="004A0015" w:rsidRDefault="00BD024B">
            <w:pPr>
              <w:jc w:val="center"/>
            </w:pPr>
            <w:r>
              <w:rPr>
                <w:sz w:val="24"/>
              </w:rPr>
              <w:t>1.4139%</w:t>
            </w:r>
          </w:p>
        </w:tc>
        <w:tc>
          <w:tcPr>
            <w:tcW w:w="1233" w:type="dxa"/>
            <w:vAlign w:val="center"/>
          </w:tcPr>
          <w:p w:rsidR="004A0015" w:rsidRDefault="00BD024B">
            <w:pPr>
              <w:jc w:val="center"/>
            </w:pPr>
            <w:r>
              <w:rPr>
                <w:sz w:val="24"/>
              </w:rPr>
              <w:t>0.0018%</w:t>
            </w:r>
          </w:p>
        </w:tc>
        <w:tc>
          <w:tcPr>
            <w:tcW w:w="1233" w:type="dxa"/>
            <w:vAlign w:val="center"/>
          </w:tcPr>
          <w:p w:rsidR="004A0015" w:rsidRDefault="00BD024B">
            <w:pPr>
              <w:jc w:val="center"/>
            </w:pPr>
            <w:r>
              <w:rPr>
                <w:sz w:val="24"/>
              </w:rPr>
              <w:t>0.6695%</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0.7444%</w:t>
            </w:r>
          </w:p>
        </w:tc>
        <w:tc>
          <w:tcPr>
            <w:tcW w:w="1233" w:type="dxa"/>
            <w:vAlign w:val="center"/>
          </w:tcPr>
          <w:p w:rsidR="004A0015" w:rsidRDefault="00BD024B">
            <w:pPr>
              <w:jc w:val="center"/>
            </w:pPr>
            <w:r>
              <w:rPr>
                <w:sz w:val="24"/>
              </w:rPr>
              <w:t>0.0018%</w:t>
            </w:r>
          </w:p>
        </w:tc>
      </w:tr>
      <w:tr w:rsidR="004A0015">
        <w:tc>
          <w:tcPr>
            <w:tcW w:w="1600" w:type="dxa"/>
            <w:vAlign w:val="center"/>
          </w:tcPr>
          <w:p w:rsidR="004A0015" w:rsidRDefault="00BD024B">
            <w:pPr>
              <w:jc w:val="left"/>
            </w:pPr>
            <w:r>
              <w:rPr>
                <w:sz w:val="24"/>
              </w:rPr>
              <w:t>过去一年</w:t>
            </w:r>
          </w:p>
        </w:tc>
        <w:tc>
          <w:tcPr>
            <w:tcW w:w="1233" w:type="dxa"/>
            <w:vAlign w:val="center"/>
          </w:tcPr>
          <w:p w:rsidR="004A0015" w:rsidRDefault="00BD024B">
            <w:pPr>
              <w:jc w:val="center"/>
            </w:pPr>
            <w:r>
              <w:rPr>
                <w:sz w:val="24"/>
              </w:rPr>
              <w:t>3.2332%</w:t>
            </w:r>
          </w:p>
        </w:tc>
        <w:tc>
          <w:tcPr>
            <w:tcW w:w="1233" w:type="dxa"/>
            <w:vAlign w:val="center"/>
          </w:tcPr>
          <w:p w:rsidR="004A0015" w:rsidRDefault="00BD024B">
            <w:pPr>
              <w:jc w:val="center"/>
            </w:pPr>
            <w:r>
              <w:rPr>
                <w:sz w:val="24"/>
              </w:rPr>
              <w:t>0.0022%</w:t>
            </w:r>
          </w:p>
        </w:tc>
        <w:tc>
          <w:tcPr>
            <w:tcW w:w="1233" w:type="dxa"/>
            <w:vAlign w:val="center"/>
          </w:tcPr>
          <w:p w:rsidR="004A0015" w:rsidRDefault="00BD024B">
            <w:pPr>
              <w:jc w:val="center"/>
            </w:pPr>
            <w:r>
              <w:rPr>
                <w:sz w:val="24"/>
              </w:rPr>
              <w:t>1.3500%</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1.8832%</w:t>
            </w:r>
          </w:p>
        </w:tc>
        <w:tc>
          <w:tcPr>
            <w:tcW w:w="1233" w:type="dxa"/>
            <w:vAlign w:val="center"/>
          </w:tcPr>
          <w:p w:rsidR="004A0015" w:rsidRDefault="00BD024B">
            <w:pPr>
              <w:jc w:val="center"/>
            </w:pPr>
            <w:r>
              <w:rPr>
                <w:sz w:val="24"/>
              </w:rPr>
              <w:t>0.0022%</w:t>
            </w:r>
          </w:p>
        </w:tc>
      </w:tr>
      <w:tr w:rsidR="00D32C87">
        <w:tc>
          <w:tcPr>
            <w:tcW w:w="1600" w:type="dxa"/>
            <w:vAlign w:val="center"/>
          </w:tcPr>
          <w:p w:rsidR="00D32C87" w:rsidRDefault="00D32C87" w:rsidP="00D32C87">
            <w:pPr>
              <w:jc w:val="left"/>
            </w:pPr>
            <w:r>
              <w:rPr>
                <w:sz w:val="24"/>
              </w:rPr>
              <w:t>过去三年</w:t>
            </w:r>
          </w:p>
        </w:tc>
        <w:tc>
          <w:tcPr>
            <w:tcW w:w="1233" w:type="dxa"/>
            <w:vAlign w:val="center"/>
          </w:tcPr>
          <w:p w:rsidR="00D32C87" w:rsidRDefault="00D32C87" w:rsidP="00D32C87">
            <w:pPr>
              <w:jc w:val="center"/>
            </w:pPr>
            <w:r w:rsidRPr="00502A41">
              <w:rPr>
                <w:sz w:val="24"/>
              </w:rPr>
              <w:t>11.0208%</w:t>
            </w:r>
          </w:p>
        </w:tc>
        <w:tc>
          <w:tcPr>
            <w:tcW w:w="1233" w:type="dxa"/>
            <w:vAlign w:val="center"/>
          </w:tcPr>
          <w:p w:rsidR="00D32C87" w:rsidRDefault="00D32C87" w:rsidP="00D32C87">
            <w:pPr>
              <w:jc w:val="center"/>
            </w:pPr>
            <w:r w:rsidRPr="00502A41">
              <w:rPr>
                <w:sz w:val="24"/>
              </w:rPr>
              <w:t>0.0024%</w:t>
            </w:r>
          </w:p>
        </w:tc>
        <w:tc>
          <w:tcPr>
            <w:tcW w:w="1233" w:type="dxa"/>
            <w:vAlign w:val="center"/>
          </w:tcPr>
          <w:p w:rsidR="00D32C87" w:rsidRDefault="00D32C87" w:rsidP="00D32C87">
            <w:pPr>
              <w:jc w:val="center"/>
            </w:pPr>
            <w:r w:rsidRPr="00502A41">
              <w:rPr>
                <w:sz w:val="24"/>
              </w:rPr>
              <w:t>4.0500%</w:t>
            </w:r>
          </w:p>
        </w:tc>
        <w:tc>
          <w:tcPr>
            <w:tcW w:w="1233" w:type="dxa"/>
            <w:vAlign w:val="center"/>
          </w:tcPr>
          <w:p w:rsidR="00D32C87" w:rsidRDefault="00D32C87" w:rsidP="00D32C87">
            <w:pPr>
              <w:jc w:val="center"/>
            </w:pPr>
            <w:r w:rsidRPr="00502A41">
              <w:rPr>
                <w:sz w:val="24"/>
              </w:rPr>
              <w:t>0.0000%</w:t>
            </w:r>
          </w:p>
        </w:tc>
        <w:tc>
          <w:tcPr>
            <w:tcW w:w="1233" w:type="dxa"/>
            <w:vAlign w:val="center"/>
          </w:tcPr>
          <w:p w:rsidR="00D32C87" w:rsidRDefault="00D32C87" w:rsidP="00D32C87">
            <w:pPr>
              <w:jc w:val="center"/>
            </w:pPr>
            <w:r w:rsidRPr="00502A41">
              <w:rPr>
                <w:sz w:val="24"/>
              </w:rPr>
              <w:t>6.9708%</w:t>
            </w:r>
          </w:p>
        </w:tc>
        <w:tc>
          <w:tcPr>
            <w:tcW w:w="1233" w:type="dxa"/>
            <w:vAlign w:val="center"/>
          </w:tcPr>
          <w:p w:rsidR="00D32C87" w:rsidRDefault="00D32C87" w:rsidP="00D32C87">
            <w:pPr>
              <w:jc w:val="center"/>
            </w:pPr>
            <w:r w:rsidRPr="00502A41">
              <w:rPr>
                <w:sz w:val="24"/>
              </w:rPr>
              <w:t>0.0024%</w:t>
            </w:r>
          </w:p>
        </w:tc>
      </w:tr>
      <w:tr w:rsidR="00D32C87">
        <w:tc>
          <w:tcPr>
            <w:tcW w:w="1600" w:type="dxa"/>
            <w:vAlign w:val="center"/>
          </w:tcPr>
          <w:p w:rsidR="00D32C87" w:rsidRDefault="00D32C87" w:rsidP="00D32C87">
            <w:pPr>
              <w:jc w:val="left"/>
            </w:pPr>
            <w:r>
              <w:rPr>
                <w:sz w:val="24"/>
              </w:rPr>
              <w:t>自基金分类起至今</w:t>
            </w:r>
          </w:p>
        </w:tc>
        <w:tc>
          <w:tcPr>
            <w:tcW w:w="1233" w:type="dxa"/>
            <w:vAlign w:val="center"/>
          </w:tcPr>
          <w:p w:rsidR="00D32C87" w:rsidRDefault="00D32C87" w:rsidP="00D32C87">
            <w:pPr>
              <w:jc w:val="center"/>
            </w:pPr>
            <w:r w:rsidRPr="00502A41">
              <w:rPr>
                <w:sz w:val="24"/>
              </w:rPr>
              <w:t>27.8136%</w:t>
            </w:r>
          </w:p>
        </w:tc>
        <w:tc>
          <w:tcPr>
            <w:tcW w:w="1233" w:type="dxa"/>
            <w:vAlign w:val="center"/>
          </w:tcPr>
          <w:p w:rsidR="00D32C87" w:rsidRDefault="00D32C87" w:rsidP="00D32C87">
            <w:pPr>
              <w:jc w:val="center"/>
            </w:pPr>
            <w:r w:rsidRPr="00502A41">
              <w:rPr>
                <w:sz w:val="24"/>
              </w:rPr>
              <w:t>0.0146%</w:t>
            </w:r>
          </w:p>
        </w:tc>
        <w:tc>
          <w:tcPr>
            <w:tcW w:w="1233" w:type="dxa"/>
            <w:vAlign w:val="center"/>
          </w:tcPr>
          <w:p w:rsidR="00D32C87" w:rsidRDefault="00D32C87" w:rsidP="00D32C87">
            <w:pPr>
              <w:jc w:val="center"/>
            </w:pPr>
            <w:r w:rsidRPr="00502A41">
              <w:rPr>
                <w:sz w:val="24"/>
              </w:rPr>
              <w:t>8.9840%</w:t>
            </w:r>
          </w:p>
        </w:tc>
        <w:tc>
          <w:tcPr>
            <w:tcW w:w="1233" w:type="dxa"/>
            <w:vAlign w:val="center"/>
          </w:tcPr>
          <w:p w:rsidR="00D32C87" w:rsidRDefault="00D32C87" w:rsidP="00D32C87">
            <w:pPr>
              <w:jc w:val="center"/>
            </w:pPr>
            <w:r w:rsidRPr="00502A41">
              <w:rPr>
                <w:sz w:val="24"/>
              </w:rPr>
              <w:t>0.0000%</w:t>
            </w:r>
          </w:p>
        </w:tc>
        <w:tc>
          <w:tcPr>
            <w:tcW w:w="1233" w:type="dxa"/>
            <w:vAlign w:val="center"/>
          </w:tcPr>
          <w:p w:rsidR="00D32C87" w:rsidRDefault="00D32C87" w:rsidP="00D32C87">
            <w:pPr>
              <w:jc w:val="center"/>
            </w:pPr>
            <w:r w:rsidRPr="00502A41">
              <w:rPr>
                <w:sz w:val="24"/>
              </w:rPr>
              <w:t>18.8296%</w:t>
            </w:r>
          </w:p>
        </w:tc>
        <w:tc>
          <w:tcPr>
            <w:tcW w:w="1233" w:type="dxa"/>
            <w:vAlign w:val="center"/>
          </w:tcPr>
          <w:p w:rsidR="00D32C87" w:rsidRDefault="00D32C87" w:rsidP="00D32C87">
            <w:pPr>
              <w:jc w:val="center"/>
            </w:pPr>
            <w:r w:rsidRPr="00502A41">
              <w:rPr>
                <w:sz w:val="24"/>
              </w:rPr>
              <w:t>0.0146%</w:t>
            </w:r>
          </w:p>
        </w:tc>
      </w:tr>
    </w:tbl>
    <w:p w:rsidR="004A0015" w:rsidRDefault="00BD024B">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4A0015" w:rsidRDefault="00BD024B">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3</w:t>
      </w:r>
      <w:r w:rsidRPr="0061644B">
        <w:rPr>
          <w:kern w:val="0"/>
          <w:sz w:val="24"/>
        </w:rPr>
        <w:t>、本基金的业绩比较基准为七天通知存款税后利率。</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21</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4A0015">
        <w:tc>
          <w:tcPr>
            <w:tcW w:w="1600" w:type="dxa"/>
            <w:vAlign w:val="center"/>
          </w:tcPr>
          <w:p w:rsidR="004A0015" w:rsidRDefault="00BD024B">
            <w:pPr>
              <w:jc w:val="left"/>
            </w:pPr>
            <w:r>
              <w:rPr>
                <w:sz w:val="24"/>
              </w:rPr>
              <w:t>过去一个月</w:t>
            </w:r>
          </w:p>
        </w:tc>
        <w:tc>
          <w:tcPr>
            <w:tcW w:w="1233" w:type="dxa"/>
            <w:vAlign w:val="center"/>
          </w:tcPr>
          <w:p w:rsidR="004A0015" w:rsidRDefault="00BD024B">
            <w:pPr>
              <w:jc w:val="center"/>
            </w:pPr>
            <w:r>
              <w:rPr>
                <w:sz w:val="24"/>
              </w:rPr>
              <w:t>0.2409%</w:t>
            </w:r>
          </w:p>
        </w:tc>
        <w:tc>
          <w:tcPr>
            <w:tcW w:w="1233" w:type="dxa"/>
            <w:vAlign w:val="center"/>
          </w:tcPr>
          <w:p w:rsidR="004A0015" w:rsidRDefault="00BD024B">
            <w:pPr>
              <w:jc w:val="center"/>
            </w:pPr>
            <w:r>
              <w:rPr>
                <w:sz w:val="24"/>
              </w:rPr>
              <w:t>0.0024%</w:t>
            </w:r>
          </w:p>
        </w:tc>
        <w:tc>
          <w:tcPr>
            <w:tcW w:w="1233" w:type="dxa"/>
            <w:vAlign w:val="center"/>
          </w:tcPr>
          <w:p w:rsidR="004A0015" w:rsidRDefault="00BD024B">
            <w:pPr>
              <w:jc w:val="center"/>
            </w:pPr>
            <w:r>
              <w:rPr>
                <w:sz w:val="24"/>
              </w:rPr>
              <w:t>0.1110%</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0.1299%</w:t>
            </w:r>
          </w:p>
        </w:tc>
        <w:tc>
          <w:tcPr>
            <w:tcW w:w="1233" w:type="dxa"/>
            <w:vAlign w:val="center"/>
          </w:tcPr>
          <w:p w:rsidR="004A0015" w:rsidRDefault="00BD024B">
            <w:pPr>
              <w:jc w:val="center"/>
            </w:pPr>
            <w:r>
              <w:rPr>
                <w:sz w:val="24"/>
              </w:rPr>
              <w:t>0.0024%</w:t>
            </w:r>
          </w:p>
        </w:tc>
      </w:tr>
      <w:tr w:rsidR="004A0015">
        <w:tc>
          <w:tcPr>
            <w:tcW w:w="1600" w:type="dxa"/>
            <w:vAlign w:val="center"/>
          </w:tcPr>
          <w:p w:rsidR="004A0015" w:rsidRDefault="00BD024B">
            <w:pPr>
              <w:jc w:val="left"/>
            </w:pPr>
            <w:r>
              <w:rPr>
                <w:sz w:val="24"/>
              </w:rPr>
              <w:t>过去三个月</w:t>
            </w:r>
          </w:p>
        </w:tc>
        <w:tc>
          <w:tcPr>
            <w:tcW w:w="1233" w:type="dxa"/>
            <w:vAlign w:val="center"/>
          </w:tcPr>
          <w:p w:rsidR="004A0015" w:rsidRDefault="00BD024B">
            <w:pPr>
              <w:jc w:val="center"/>
            </w:pPr>
            <w:r>
              <w:rPr>
                <w:sz w:val="24"/>
              </w:rPr>
              <w:t>0.7513%</w:t>
            </w:r>
          </w:p>
        </w:tc>
        <w:tc>
          <w:tcPr>
            <w:tcW w:w="1233" w:type="dxa"/>
            <w:vAlign w:val="center"/>
          </w:tcPr>
          <w:p w:rsidR="004A0015" w:rsidRDefault="00BD024B">
            <w:pPr>
              <w:jc w:val="center"/>
            </w:pPr>
            <w:r>
              <w:rPr>
                <w:sz w:val="24"/>
              </w:rPr>
              <w:t>0.0020%</w:t>
            </w:r>
          </w:p>
        </w:tc>
        <w:tc>
          <w:tcPr>
            <w:tcW w:w="1233" w:type="dxa"/>
            <w:vAlign w:val="center"/>
          </w:tcPr>
          <w:p w:rsidR="004A0015" w:rsidRDefault="00BD024B">
            <w:pPr>
              <w:jc w:val="center"/>
            </w:pPr>
            <w:r>
              <w:rPr>
                <w:sz w:val="24"/>
              </w:rPr>
              <w:t>0.3366%</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0.4147%</w:t>
            </w:r>
          </w:p>
        </w:tc>
        <w:tc>
          <w:tcPr>
            <w:tcW w:w="1233" w:type="dxa"/>
            <w:vAlign w:val="center"/>
          </w:tcPr>
          <w:p w:rsidR="004A0015" w:rsidRDefault="00BD024B">
            <w:pPr>
              <w:jc w:val="center"/>
            </w:pPr>
            <w:r>
              <w:rPr>
                <w:sz w:val="24"/>
              </w:rPr>
              <w:t>0.0020%</w:t>
            </w:r>
          </w:p>
        </w:tc>
      </w:tr>
      <w:tr w:rsidR="004A0015">
        <w:tc>
          <w:tcPr>
            <w:tcW w:w="1600" w:type="dxa"/>
            <w:vAlign w:val="center"/>
          </w:tcPr>
          <w:p w:rsidR="004A0015" w:rsidRDefault="00BD024B">
            <w:pPr>
              <w:jc w:val="left"/>
            </w:pPr>
            <w:r>
              <w:rPr>
                <w:sz w:val="24"/>
              </w:rPr>
              <w:t>过去六个月</w:t>
            </w:r>
          </w:p>
        </w:tc>
        <w:tc>
          <w:tcPr>
            <w:tcW w:w="1233" w:type="dxa"/>
            <w:vAlign w:val="center"/>
          </w:tcPr>
          <w:p w:rsidR="004A0015" w:rsidRDefault="00BD024B">
            <w:pPr>
              <w:jc w:val="center"/>
            </w:pPr>
            <w:r>
              <w:rPr>
                <w:sz w:val="24"/>
              </w:rPr>
              <w:t>1.5599%</w:t>
            </w:r>
          </w:p>
        </w:tc>
        <w:tc>
          <w:tcPr>
            <w:tcW w:w="1233" w:type="dxa"/>
            <w:vAlign w:val="center"/>
          </w:tcPr>
          <w:p w:rsidR="004A0015" w:rsidRDefault="00BD024B">
            <w:pPr>
              <w:jc w:val="center"/>
            </w:pPr>
            <w:r>
              <w:rPr>
                <w:sz w:val="24"/>
              </w:rPr>
              <w:t>0.0018%</w:t>
            </w:r>
          </w:p>
        </w:tc>
        <w:tc>
          <w:tcPr>
            <w:tcW w:w="1233" w:type="dxa"/>
            <w:vAlign w:val="center"/>
          </w:tcPr>
          <w:p w:rsidR="004A0015" w:rsidRDefault="00BD024B">
            <w:pPr>
              <w:jc w:val="center"/>
            </w:pPr>
            <w:r>
              <w:rPr>
                <w:sz w:val="24"/>
              </w:rPr>
              <w:t>0.6695%</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0.8904%</w:t>
            </w:r>
          </w:p>
        </w:tc>
        <w:tc>
          <w:tcPr>
            <w:tcW w:w="1233" w:type="dxa"/>
            <w:vAlign w:val="center"/>
          </w:tcPr>
          <w:p w:rsidR="004A0015" w:rsidRDefault="00BD024B">
            <w:pPr>
              <w:jc w:val="center"/>
            </w:pPr>
            <w:r>
              <w:rPr>
                <w:sz w:val="24"/>
              </w:rPr>
              <w:t>0.0018%</w:t>
            </w:r>
          </w:p>
        </w:tc>
      </w:tr>
      <w:tr w:rsidR="004A0015">
        <w:tc>
          <w:tcPr>
            <w:tcW w:w="1600" w:type="dxa"/>
            <w:vAlign w:val="center"/>
          </w:tcPr>
          <w:p w:rsidR="004A0015" w:rsidRDefault="00BD024B">
            <w:pPr>
              <w:jc w:val="left"/>
            </w:pPr>
            <w:r>
              <w:rPr>
                <w:sz w:val="24"/>
              </w:rPr>
              <w:t>过去一年</w:t>
            </w:r>
          </w:p>
        </w:tc>
        <w:tc>
          <w:tcPr>
            <w:tcW w:w="1233" w:type="dxa"/>
            <w:vAlign w:val="center"/>
          </w:tcPr>
          <w:p w:rsidR="004A0015" w:rsidRDefault="00BD024B">
            <w:pPr>
              <w:jc w:val="center"/>
            </w:pPr>
            <w:r>
              <w:rPr>
                <w:sz w:val="24"/>
              </w:rPr>
              <w:t>3.5329%</w:t>
            </w:r>
          </w:p>
        </w:tc>
        <w:tc>
          <w:tcPr>
            <w:tcW w:w="1233" w:type="dxa"/>
            <w:vAlign w:val="center"/>
          </w:tcPr>
          <w:p w:rsidR="004A0015" w:rsidRDefault="00BD024B">
            <w:pPr>
              <w:jc w:val="center"/>
            </w:pPr>
            <w:r>
              <w:rPr>
                <w:sz w:val="24"/>
              </w:rPr>
              <w:t>0.0022%</w:t>
            </w:r>
          </w:p>
        </w:tc>
        <w:tc>
          <w:tcPr>
            <w:tcW w:w="1233" w:type="dxa"/>
            <w:vAlign w:val="center"/>
          </w:tcPr>
          <w:p w:rsidR="004A0015" w:rsidRDefault="00BD024B">
            <w:pPr>
              <w:jc w:val="center"/>
            </w:pPr>
            <w:r>
              <w:rPr>
                <w:sz w:val="24"/>
              </w:rPr>
              <w:t>1.3500%</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2.1829%</w:t>
            </w:r>
          </w:p>
        </w:tc>
        <w:tc>
          <w:tcPr>
            <w:tcW w:w="1233" w:type="dxa"/>
            <w:vAlign w:val="center"/>
          </w:tcPr>
          <w:p w:rsidR="004A0015" w:rsidRDefault="00BD024B">
            <w:pPr>
              <w:jc w:val="center"/>
            </w:pPr>
            <w:r>
              <w:rPr>
                <w:sz w:val="24"/>
              </w:rPr>
              <w:t>0.0022%</w:t>
            </w:r>
          </w:p>
        </w:tc>
      </w:tr>
      <w:tr w:rsidR="004A0015">
        <w:tc>
          <w:tcPr>
            <w:tcW w:w="1600" w:type="dxa"/>
            <w:vAlign w:val="center"/>
          </w:tcPr>
          <w:p w:rsidR="004A0015" w:rsidRDefault="00BD024B">
            <w:pPr>
              <w:jc w:val="left"/>
            </w:pPr>
            <w:r>
              <w:rPr>
                <w:sz w:val="24"/>
              </w:rPr>
              <w:t>过去三年</w:t>
            </w:r>
          </w:p>
        </w:tc>
        <w:tc>
          <w:tcPr>
            <w:tcW w:w="1233" w:type="dxa"/>
            <w:vAlign w:val="center"/>
          </w:tcPr>
          <w:p w:rsidR="004A0015" w:rsidRDefault="00BD024B">
            <w:pPr>
              <w:jc w:val="center"/>
            </w:pPr>
            <w:r>
              <w:rPr>
                <w:sz w:val="24"/>
              </w:rPr>
              <w:t>11.9881%</w:t>
            </w:r>
          </w:p>
        </w:tc>
        <w:tc>
          <w:tcPr>
            <w:tcW w:w="1233" w:type="dxa"/>
            <w:vAlign w:val="center"/>
          </w:tcPr>
          <w:p w:rsidR="004A0015" w:rsidRDefault="00BD024B">
            <w:pPr>
              <w:jc w:val="center"/>
            </w:pPr>
            <w:r>
              <w:rPr>
                <w:sz w:val="24"/>
              </w:rPr>
              <w:t>0.0024%</w:t>
            </w:r>
          </w:p>
        </w:tc>
        <w:tc>
          <w:tcPr>
            <w:tcW w:w="1233" w:type="dxa"/>
            <w:vAlign w:val="center"/>
          </w:tcPr>
          <w:p w:rsidR="004A0015" w:rsidRDefault="00BD024B">
            <w:pPr>
              <w:jc w:val="center"/>
            </w:pPr>
            <w:r>
              <w:rPr>
                <w:sz w:val="24"/>
              </w:rPr>
              <w:t>4.0500%</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7.9381%</w:t>
            </w:r>
          </w:p>
        </w:tc>
        <w:tc>
          <w:tcPr>
            <w:tcW w:w="1233" w:type="dxa"/>
            <w:vAlign w:val="center"/>
          </w:tcPr>
          <w:p w:rsidR="004A0015" w:rsidRDefault="00BD024B">
            <w:pPr>
              <w:jc w:val="center"/>
            </w:pPr>
            <w:r>
              <w:rPr>
                <w:sz w:val="24"/>
              </w:rPr>
              <w:t>0.0024%</w:t>
            </w:r>
          </w:p>
        </w:tc>
      </w:tr>
      <w:tr w:rsidR="004A0015">
        <w:tc>
          <w:tcPr>
            <w:tcW w:w="1600" w:type="dxa"/>
            <w:vAlign w:val="center"/>
          </w:tcPr>
          <w:p w:rsidR="004A0015" w:rsidRDefault="00BD024B">
            <w:pPr>
              <w:jc w:val="left"/>
            </w:pPr>
            <w:r>
              <w:rPr>
                <w:sz w:val="24"/>
              </w:rPr>
              <w:t>自基金分类起至今</w:t>
            </w:r>
          </w:p>
        </w:tc>
        <w:tc>
          <w:tcPr>
            <w:tcW w:w="1233" w:type="dxa"/>
            <w:vAlign w:val="center"/>
          </w:tcPr>
          <w:p w:rsidR="004A0015" w:rsidRDefault="00BD024B">
            <w:pPr>
              <w:jc w:val="center"/>
            </w:pPr>
            <w:r>
              <w:rPr>
                <w:sz w:val="24"/>
              </w:rPr>
              <w:t>26.7520%</w:t>
            </w:r>
          </w:p>
        </w:tc>
        <w:tc>
          <w:tcPr>
            <w:tcW w:w="1233" w:type="dxa"/>
            <w:vAlign w:val="center"/>
          </w:tcPr>
          <w:p w:rsidR="004A0015" w:rsidRDefault="00BD024B">
            <w:pPr>
              <w:jc w:val="center"/>
            </w:pPr>
            <w:r>
              <w:rPr>
                <w:sz w:val="24"/>
              </w:rPr>
              <w:t>0.0080%</w:t>
            </w:r>
          </w:p>
        </w:tc>
        <w:tc>
          <w:tcPr>
            <w:tcW w:w="1233" w:type="dxa"/>
            <w:vAlign w:val="center"/>
          </w:tcPr>
          <w:p w:rsidR="004A0015" w:rsidRDefault="00BD024B">
            <w:pPr>
              <w:jc w:val="center"/>
            </w:pPr>
            <w:r>
              <w:rPr>
                <w:sz w:val="24"/>
              </w:rPr>
              <w:t>8.7436%</w:t>
            </w:r>
          </w:p>
        </w:tc>
        <w:tc>
          <w:tcPr>
            <w:tcW w:w="1233" w:type="dxa"/>
            <w:vAlign w:val="center"/>
          </w:tcPr>
          <w:p w:rsidR="004A0015" w:rsidRDefault="00BD024B">
            <w:pPr>
              <w:jc w:val="center"/>
            </w:pPr>
            <w:r>
              <w:rPr>
                <w:sz w:val="24"/>
              </w:rPr>
              <w:t>0.0000%</w:t>
            </w:r>
          </w:p>
        </w:tc>
        <w:tc>
          <w:tcPr>
            <w:tcW w:w="1233" w:type="dxa"/>
            <w:vAlign w:val="center"/>
          </w:tcPr>
          <w:p w:rsidR="004A0015" w:rsidRDefault="00BD024B">
            <w:pPr>
              <w:jc w:val="center"/>
            </w:pPr>
            <w:r>
              <w:rPr>
                <w:sz w:val="24"/>
              </w:rPr>
              <w:t>18.0084%</w:t>
            </w:r>
          </w:p>
        </w:tc>
        <w:tc>
          <w:tcPr>
            <w:tcW w:w="1233" w:type="dxa"/>
            <w:vAlign w:val="center"/>
          </w:tcPr>
          <w:p w:rsidR="004A0015" w:rsidRDefault="00BD024B">
            <w:pPr>
              <w:jc w:val="center"/>
            </w:pPr>
            <w:r>
              <w:rPr>
                <w:sz w:val="24"/>
              </w:rPr>
              <w:t>0.0080%</w:t>
            </w:r>
          </w:p>
        </w:tc>
      </w:tr>
    </w:tbl>
    <w:p w:rsidR="004A0015" w:rsidRDefault="00BD024B">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、本表净值收益率数据所取的基金运作周期为销售服务费分类日为起始日的运作周期。</w:t>
      </w:r>
    </w:p>
    <w:p w:rsidR="004A0015" w:rsidRDefault="00BD024B">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lastRenderedPageBreak/>
        <w:t>3</w:t>
      </w:r>
      <w:r w:rsidRPr="0061644B">
        <w:rPr>
          <w:kern w:val="0"/>
          <w:sz w:val="24"/>
        </w:rPr>
        <w:t>、本基金的业绩比较基准为七天通知存款税后利率。</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21</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2012</w:t>
      </w:r>
      <w:r w:rsidR="00223DFB" w:rsidRPr="0061644B">
        <w:rPr>
          <w:sz w:val="24"/>
        </w:rPr>
        <w:t>年</w:t>
      </w:r>
      <w:r w:rsidR="00223DFB" w:rsidRPr="0061644B">
        <w:rPr>
          <w:sz w:val="24"/>
        </w:rPr>
        <w:t>11</w:t>
      </w:r>
      <w:r w:rsidR="00223DFB" w:rsidRPr="0061644B">
        <w:rPr>
          <w:sz w:val="24"/>
        </w:rPr>
        <w:t>月</w:t>
      </w:r>
      <w:r w:rsidR="00223DFB" w:rsidRPr="0061644B">
        <w:rPr>
          <w:sz w:val="24"/>
        </w:rPr>
        <w:t>5</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21</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注：图示日期为</w:t>
      </w:r>
      <w:r w:rsidRPr="0061644B">
        <w:rPr>
          <w:kern w:val="0"/>
          <w:sz w:val="24"/>
        </w:rPr>
        <w:t>2012</w:t>
      </w:r>
      <w:r w:rsidRPr="0061644B">
        <w:rPr>
          <w:kern w:val="0"/>
          <w:sz w:val="24"/>
        </w:rPr>
        <w:t>年</w:t>
      </w:r>
      <w:r w:rsidRPr="0061644B">
        <w:rPr>
          <w:kern w:val="0"/>
          <w:sz w:val="24"/>
        </w:rPr>
        <w:t>11</w:t>
      </w:r>
      <w:r w:rsidRPr="0061644B">
        <w:rPr>
          <w:kern w:val="0"/>
          <w:sz w:val="24"/>
        </w:rPr>
        <w:t>月</w:t>
      </w:r>
      <w:r w:rsidRPr="0061644B">
        <w:rPr>
          <w:kern w:val="0"/>
          <w:sz w:val="24"/>
        </w:rPr>
        <w:t>5</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21</w:t>
      </w:r>
      <w:r w:rsidR="00223DFB" w:rsidRPr="0061644B">
        <w:rPr>
          <w:sz w:val="24"/>
        </w:rPr>
        <w:t>天债券</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注：图示日期为</w:t>
      </w:r>
      <w:r w:rsidRPr="0061644B">
        <w:rPr>
          <w:kern w:val="0"/>
          <w:sz w:val="24"/>
        </w:rPr>
        <w:t>2013</w:t>
      </w:r>
      <w:r w:rsidRPr="0061644B">
        <w:rPr>
          <w:kern w:val="0"/>
          <w:sz w:val="24"/>
        </w:rPr>
        <w:t>年</w:t>
      </w:r>
      <w:r w:rsidRPr="0061644B">
        <w:rPr>
          <w:kern w:val="0"/>
          <w:sz w:val="24"/>
        </w:rPr>
        <w:t>1</w:t>
      </w:r>
      <w:r w:rsidRPr="0061644B">
        <w:rPr>
          <w:kern w:val="0"/>
          <w:sz w:val="24"/>
        </w:rPr>
        <w:t>月</w:t>
      </w:r>
      <w:r w:rsidRPr="0061644B">
        <w:rPr>
          <w:kern w:val="0"/>
          <w:sz w:val="24"/>
        </w:rPr>
        <w:t>9</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4A0015" w:rsidRDefault="00BD024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4A0015" w:rsidRDefault="00BD024B">
      <w:pPr>
        <w:spacing w:before="29" w:line="288" w:lineRule="auto"/>
        <w:ind w:firstLineChars="200" w:firstLine="480"/>
        <w:rPr>
          <w:color w:val="000000"/>
          <w:sz w:val="24"/>
        </w:rPr>
      </w:pPr>
      <w:r>
        <w:rPr>
          <w:color w:val="000000"/>
          <w:sz w:val="24"/>
        </w:rPr>
        <w:t>截至报告期末，公司管理了包括货币型、债券型、保本混合型、普通混合型和股票型在内的</w:t>
      </w:r>
      <w:r>
        <w:rPr>
          <w:color w:val="000000"/>
          <w:sz w:val="24"/>
        </w:rPr>
        <w:t>80</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223DFB" w:rsidRPr="0061644B" w:rsidRDefault="00223DFB" w:rsidP="00792A69">
      <w:pPr>
        <w:spacing w:before="29" w:line="288" w:lineRule="auto"/>
        <w:ind w:firstLineChars="200" w:firstLine="480"/>
        <w:rPr>
          <w:color w:val="000000"/>
          <w:sz w:val="24"/>
        </w:rPr>
      </w:pPr>
      <w:r w:rsidRPr="0061644B">
        <w:rPr>
          <w:color w:val="000000"/>
          <w:sz w:val="24"/>
        </w:rPr>
        <w:t> </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lastRenderedPageBreak/>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lastRenderedPageBreak/>
              <w:t>证券从业</w:t>
            </w:r>
            <w:r w:rsidRPr="0061644B">
              <w:rPr>
                <w:sz w:val="24"/>
              </w:rPr>
              <w:lastRenderedPageBreak/>
              <w:t>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lastRenderedPageBreak/>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4A0015">
        <w:tc>
          <w:tcPr>
            <w:tcW w:w="1032" w:type="dxa"/>
            <w:vAlign w:val="center"/>
          </w:tcPr>
          <w:p w:rsidR="004A0015" w:rsidRDefault="00BD024B">
            <w:pPr>
              <w:jc w:val="center"/>
            </w:pPr>
            <w:r>
              <w:rPr>
                <w:sz w:val="24"/>
              </w:rPr>
              <w:t>黄莹洁</w:t>
            </w:r>
          </w:p>
        </w:tc>
        <w:tc>
          <w:tcPr>
            <w:tcW w:w="1019" w:type="dxa"/>
            <w:vAlign w:val="center"/>
          </w:tcPr>
          <w:p w:rsidR="004A0015" w:rsidRDefault="00BD024B">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23" w:type="dxa"/>
            <w:vAlign w:val="center"/>
          </w:tcPr>
          <w:p w:rsidR="004A0015" w:rsidRDefault="00BD024B">
            <w:pPr>
              <w:jc w:val="center"/>
            </w:pPr>
            <w:r>
              <w:rPr>
                <w:sz w:val="24"/>
              </w:rPr>
              <w:t>2015-05-27</w:t>
            </w:r>
          </w:p>
        </w:tc>
        <w:tc>
          <w:tcPr>
            <w:tcW w:w="1192" w:type="dxa"/>
            <w:vAlign w:val="center"/>
          </w:tcPr>
          <w:p w:rsidR="004A0015" w:rsidRDefault="00BD024B">
            <w:pPr>
              <w:jc w:val="center"/>
            </w:pPr>
            <w:r>
              <w:rPr>
                <w:sz w:val="24"/>
              </w:rPr>
              <w:t>-</w:t>
            </w:r>
          </w:p>
        </w:tc>
        <w:tc>
          <w:tcPr>
            <w:tcW w:w="1192" w:type="dxa"/>
            <w:vAlign w:val="center"/>
          </w:tcPr>
          <w:p w:rsidR="004A0015" w:rsidRDefault="00BD024B">
            <w:pPr>
              <w:jc w:val="center"/>
            </w:pPr>
            <w:r>
              <w:rPr>
                <w:sz w:val="24"/>
              </w:rPr>
              <w:t>11</w:t>
            </w:r>
            <w:r>
              <w:rPr>
                <w:sz w:val="24"/>
              </w:rPr>
              <w:t>年</w:t>
            </w:r>
          </w:p>
        </w:tc>
        <w:tc>
          <w:tcPr>
            <w:tcW w:w="3040" w:type="dxa"/>
            <w:vAlign w:val="center"/>
          </w:tcPr>
          <w:p w:rsidR="004A0015" w:rsidRDefault="00BD024B">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4A0015" w:rsidRDefault="004A0015"/>
          <w:p w:rsidR="004A0015" w:rsidRDefault="004A0015"/>
        </w:tc>
      </w:tr>
      <w:tr w:rsidR="004A0015">
        <w:tc>
          <w:tcPr>
            <w:tcW w:w="1032" w:type="dxa"/>
            <w:vAlign w:val="center"/>
          </w:tcPr>
          <w:p w:rsidR="004A0015" w:rsidRDefault="00BD024B">
            <w:pPr>
              <w:jc w:val="center"/>
            </w:pPr>
            <w:r>
              <w:rPr>
                <w:sz w:val="24"/>
              </w:rPr>
              <w:t>季参平</w:t>
            </w:r>
          </w:p>
        </w:tc>
        <w:tc>
          <w:tcPr>
            <w:tcW w:w="1019" w:type="dxa"/>
            <w:vAlign w:val="center"/>
          </w:tcPr>
          <w:p w:rsidR="004A0015" w:rsidRDefault="00BD024B">
            <w:pPr>
              <w:jc w:val="center"/>
            </w:pPr>
            <w:r>
              <w:rPr>
                <w:sz w:val="24"/>
              </w:rPr>
              <w:t>交银货币、交银理财</w:t>
            </w:r>
            <w:r>
              <w:rPr>
                <w:sz w:val="24"/>
              </w:rPr>
              <w:t>21</w:t>
            </w:r>
            <w:r>
              <w:rPr>
                <w:sz w:val="24"/>
              </w:rPr>
              <w:t>天债券、交银理财</w:t>
            </w:r>
            <w:r>
              <w:rPr>
                <w:sz w:val="24"/>
              </w:rPr>
              <w:lastRenderedPageBreak/>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4A0015" w:rsidRDefault="00BD024B">
            <w:pPr>
              <w:jc w:val="center"/>
            </w:pPr>
            <w:r>
              <w:rPr>
                <w:sz w:val="24"/>
              </w:rPr>
              <w:lastRenderedPageBreak/>
              <w:t>2018-01-10</w:t>
            </w:r>
          </w:p>
        </w:tc>
        <w:tc>
          <w:tcPr>
            <w:tcW w:w="1192" w:type="dxa"/>
            <w:vAlign w:val="center"/>
          </w:tcPr>
          <w:p w:rsidR="004A0015" w:rsidRDefault="00BD024B">
            <w:pPr>
              <w:jc w:val="center"/>
            </w:pPr>
            <w:r>
              <w:rPr>
                <w:sz w:val="24"/>
              </w:rPr>
              <w:t>-</w:t>
            </w:r>
          </w:p>
        </w:tc>
        <w:tc>
          <w:tcPr>
            <w:tcW w:w="1192" w:type="dxa"/>
            <w:vAlign w:val="center"/>
          </w:tcPr>
          <w:p w:rsidR="004A0015" w:rsidRDefault="00BD024B">
            <w:pPr>
              <w:jc w:val="center"/>
            </w:pPr>
            <w:r>
              <w:rPr>
                <w:sz w:val="24"/>
              </w:rPr>
              <w:t>7</w:t>
            </w:r>
            <w:r>
              <w:rPr>
                <w:sz w:val="24"/>
              </w:rPr>
              <w:t>年</w:t>
            </w:r>
          </w:p>
        </w:tc>
        <w:tc>
          <w:tcPr>
            <w:tcW w:w="3040" w:type="dxa"/>
            <w:vAlign w:val="center"/>
          </w:tcPr>
          <w:p w:rsidR="004A0015" w:rsidRDefault="00BD024B">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w:t>
            </w:r>
            <w:r>
              <w:rPr>
                <w:sz w:val="24"/>
              </w:rPr>
              <w:lastRenderedPageBreak/>
              <w:t>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4A0015" w:rsidRDefault="00BD024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A0015" w:rsidRDefault="00BD024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4A0015" w:rsidRDefault="00BD024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4A0015" w:rsidRDefault="00BD024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A0015" w:rsidRDefault="00BD024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4A0015" w:rsidRDefault="00BD024B">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年上半年，三个月上海银行间拆借利率下行</w:t>
      </w:r>
      <w:r>
        <w:rPr>
          <w:color w:val="000000"/>
          <w:sz w:val="24"/>
        </w:rPr>
        <w:t>64bps</w:t>
      </w:r>
      <w:r>
        <w:rPr>
          <w:color w:val="000000"/>
          <w:sz w:val="24"/>
        </w:rPr>
        <w:t>到</w:t>
      </w:r>
      <w:r>
        <w:rPr>
          <w:color w:val="000000"/>
          <w:sz w:val="24"/>
        </w:rPr>
        <w:t>2.71%</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基金操作方面，多投资于估值波动较小的银行存款存单与回购等，组合整体流动性</w:t>
      </w:r>
      <w:r w:rsidRPr="0061644B">
        <w:rPr>
          <w:color w:val="000000"/>
          <w:sz w:val="24"/>
        </w:rPr>
        <w:lastRenderedPageBreak/>
        <w:t>良好。六月末资产收益有一定幅度的上行，我们视组合流动性情况适当拉长久期，增配了部分高评级的同业存款存单、短期融资券等资产，提高了组合静态收益。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4A0015" w:rsidRDefault="00BD024B">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会更加积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2" w:name="_Toc331410085"/>
      <w:bookmarkStart w:id="3" w:name="_Toc247959457"/>
      <w:bookmarkStart w:id="4"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2"/>
      <w:bookmarkEnd w:id="3"/>
      <w:bookmarkEnd w:id="4"/>
    </w:p>
    <w:p w:rsidR="004A0015" w:rsidRDefault="00BD024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A0015" w:rsidRDefault="00BD024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5" w:name="_Toc331410086"/>
      <w:bookmarkStart w:id="6" w:name="_Toc247959458"/>
      <w:bookmarkStart w:id="7"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5"/>
      <w:bookmarkEnd w:id="6"/>
      <w:bookmarkEnd w:id="7"/>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遵照法律法规及基金合同的约定，本基金每日分配收益，按运作期结转份额。本基金本报告期内利润分配情况参见</w:t>
      </w:r>
      <w:r w:rsidR="00BD024B" w:rsidRPr="00BD024B">
        <w:rPr>
          <w:rFonts w:hint="eastAsia"/>
          <w:color w:val="000000"/>
          <w:sz w:val="24"/>
        </w:rPr>
        <w:t>半年度报告正文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 </w:t>
      </w:r>
      <w:r w:rsidRPr="0061644B">
        <w:rPr>
          <w:color w:val="000000"/>
          <w:sz w:val="24"/>
        </w:rPr>
        <w:t>在托管本基金的过程中，本基金托管人中国农业银行股份有限公司严格遵守《证券投资基金法》相关法律法规的规定以及基金合同、托管协议的约定，对本基金基金管理人</w:t>
      </w:r>
      <w:r w:rsidRPr="0061644B">
        <w:rPr>
          <w:color w:val="000000"/>
          <w:sz w:val="24"/>
        </w:rPr>
        <w:t>—</w:t>
      </w:r>
      <w:r w:rsidRPr="0061644B">
        <w:rPr>
          <w:color w:val="000000"/>
          <w:sz w:val="24"/>
        </w:rPr>
        <w:t>交银施罗德基金管理有限公司</w:t>
      </w:r>
      <w:r w:rsidRPr="0061644B">
        <w:rPr>
          <w:color w:val="000000"/>
          <w:sz w:val="24"/>
        </w:rPr>
        <w:t xml:space="preserve"> 2019 </w:t>
      </w:r>
      <w:r w:rsidRPr="0061644B">
        <w:rPr>
          <w:color w:val="000000"/>
          <w:sz w:val="24"/>
        </w:rPr>
        <w:t>年</w:t>
      </w:r>
      <w:r w:rsidRPr="0061644B">
        <w:rPr>
          <w:color w:val="000000"/>
          <w:sz w:val="24"/>
        </w:rPr>
        <w:t xml:space="preserve"> 1 </w:t>
      </w:r>
      <w:r w:rsidRPr="0061644B">
        <w:rPr>
          <w:color w:val="000000"/>
          <w:sz w:val="24"/>
        </w:rPr>
        <w:t>月</w:t>
      </w:r>
      <w:r w:rsidRPr="0061644B">
        <w:rPr>
          <w:color w:val="000000"/>
          <w:sz w:val="24"/>
        </w:rPr>
        <w:t xml:space="preserve"> 1 </w:t>
      </w:r>
      <w:r w:rsidRPr="0061644B">
        <w:rPr>
          <w:color w:val="000000"/>
          <w:sz w:val="24"/>
        </w:rPr>
        <w:t>日至</w:t>
      </w:r>
      <w:r w:rsidRPr="0061644B">
        <w:rPr>
          <w:color w:val="000000"/>
          <w:sz w:val="24"/>
        </w:rPr>
        <w:t xml:space="preserve"> 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日基金的投资运作，进行了认真、独立的会计核算和必要的投资监督，认真履行了托管人的义务，没有从事任何损害基金份额持有人利益的行为。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 </w:t>
      </w:r>
      <w:r w:rsidRPr="0061644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 xml:space="preserve">    </w:t>
      </w:r>
      <w:r w:rsidRPr="0061644B">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21</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3,852,460,686.80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4,303,882,654.43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45,454.55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12,437,932,399.35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18,749,726,884.75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12,139,158,390.24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18,569,776,884.75</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298,774,009.11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179,950,000.00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662,001,833.00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3,000,000.00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81,474,556.32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92,770,153.01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17,033,870,175.47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23,149,425,146.74</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689,379,135.31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220,130,429.80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3,000,000.00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54.52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1,311.85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3,010,640.93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3,931,594.21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1,204,256.36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1,572,637.67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152,825.83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199,923.10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88,441.17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89,225.43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396,161.74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554,661.25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83,108.25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149,321.27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18,654,303.43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24,640,990.65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147,943.76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313,705.00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713,116,871.30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254,583,800.23</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16,320,753,304.17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22,894,841,346.51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16,320,753,304.17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22,894,841,346.51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17,033,870,175.47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23,149,425,146.74</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16,320,753,304.17</w:t>
      </w:r>
      <w:r w:rsidRPr="0061644B">
        <w:rPr>
          <w:kern w:val="0"/>
          <w:sz w:val="24"/>
        </w:rPr>
        <w:t>份，其中</w:t>
      </w:r>
      <w:r w:rsidRPr="0061644B">
        <w:rPr>
          <w:kern w:val="0"/>
          <w:sz w:val="24"/>
        </w:rPr>
        <w:t>A</w:t>
      </w:r>
      <w:r w:rsidRPr="0061644B">
        <w:rPr>
          <w:kern w:val="0"/>
          <w:sz w:val="24"/>
        </w:rPr>
        <w:t>类：</w:t>
      </w:r>
      <w:r w:rsidRPr="0061644B">
        <w:rPr>
          <w:kern w:val="0"/>
          <w:sz w:val="24"/>
        </w:rPr>
        <w:t>9,523,399.36</w:t>
      </w:r>
      <w:r w:rsidRPr="0061644B">
        <w:rPr>
          <w:kern w:val="0"/>
          <w:sz w:val="24"/>
        </w:rPr>
        <w:t>份，</w:t>
      </w:r>
      <w:r w:rsidRPr="0061644B">
        <w:rPr>
          <w:kern w:val="0"/>
          <w:sz w:val="24"/>
        </w:rPr>
        <w:t>B</w:t>
      </w:r>
      <w:r w:rsidRPr="0061644B">
        <w:rPr>
          <w:kern w:val="0"/>
          <w:sz w:val="24"/>
        </w:rPr>
        <w:t>类：</w:t>
      </w:r>
      <w:r w:rsidRPr="0061644B">
        <w:rPr>
          <w:kern w:val="0"/>
          <w:sz w:val="24"/>
        </w:rPr>
        <w:t>16,311,229,904.81</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21</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363,169,482.26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490,464,551.56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359,738,268.81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490,395,315.29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94,965,255.46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217,004,383.50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256,448,980.30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260,187,875.77</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5,031,535.76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2,490,639.93</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3,292,497.29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10,712,416.09</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3,431,213.45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69,236.27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3,431,213.45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69,236.27</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42,963,622.04</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38,959,960.95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20,489,178.50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19,888,213.69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8,195,671.31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7,955,285.52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1,040,354.26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1,012,864.57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12,782,967.77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9,717,303.17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12,782,967.77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9,717,303.17</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240,187.56</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112,101.29</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215,262.64</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274,192.71</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320,205,860.22</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451,504,590.61</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320,205,860.22</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451,504,590.61</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21</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22,894,841,346.51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22,894,841,346.51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320,205,860.22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320,205,860.22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-6,574,088,042.34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-6,574,088,042.34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314,970,750.70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314,970,750.70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lastRenderedPageBreak/>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-6,889,058,793.04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-6,889,058,793.04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-320,205,860.22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-320,205,860.22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16,320,753,304.17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16,320,753,304.17</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8,657,802,713.85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14,862,565,729.04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14,862,565,729.04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24,140,733,958.19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24,140,733,958.19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-9,278,168,229.15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-9,278,168,229.15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23,520,368,442.89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23,520,368,442.89</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4A0015" w:rsidRDefault="00BD024B">
      <w:pPr>
        <w:spacing w:before="29" w:line="288" w:lineRule="auto"/>
        <w:ind w:firstLineChars="200" w:firstLine="480"/>
        <w:rPr>
          <w:color w:val="000000"/>
          <w:sz w:val="24"/>
        </w:rPr>
      </w:pPr>
      <w:r>
        <w:rPr>
          <w:color w:val="000000"/>
          <w:sz w:val="24"/>
        </w:rPr>
        <w:t>交银施罗德理财</w:t>
      </w:r>
      <w:r>
        <w:rPr>
          <w:color w:val="000000"/>
          <w:sz w:val="24"/>
        </w:rPr>
        <w:t>21</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[2012]</w:t>
      </w:r>
      <w:r>
        <w:rPr>
          <w:color w:val="000000"/>
          <w:sz w:val="24"/>
        </w:rPr>
        <w:t>第</w:t>
      </w:r>
      <w:r>
        <w:rPr>
          <w:color w:val="000000"/>
          <w:sz w:val="24"/>
        </w:rPr>
        <w:t>1282</w:t>
      </w:r>
      <w:r>
        <w:rPr>
          <w:color w:val="000000"/>
          <w:sz w:val="24"/>
        </w:rPr>
        <w:t>号《关于核准交银施罗德理财</w:t>
      </w:r>
      <w:r>
        <w:rPr>
          <w:color w:val="000000"/>
          <w:sz w:val="24"/>
        </w:rPr>
        <w:t>21</w:t>
      </w:r>
      <w:r>
        <w:rPr>
          <w:color w:val="000000"/>
          <w:sz w:val="24"/>
        </w:rPr>
        <w:t>天债券型证券投资基金募集的批复》核准，由交银施罗德基金管理有限公司依照《中</w:t>
      </w:r>
      <w:r>
        <w:rPr>
          <w:color w:val="000000"/>
          <w:sz w:val="24"/>
        </w:rPr>
        <w:lastRenderedPageBreak/>
        <w:t>华人民共和国证券投资基金法》和《交银施罗德理财</w:t>
      </w:r>
      <w:r>
        <w:rPr>
          <w:color w:val="000000"/>
          <w:sz w:val="24"/>
        </w:rPr>
        <w:t>21</w:t>
      </w:r>
      <w:r>
        <w:rPr>
          <w:color w:val="000000"/>
          <w:sz w:val="24"/>
        </w:rPr>
        <w:t>天债券型证券投资基金基金合同》负责公开募集。本基金为契约型开放式基金，存续期限不定，首次设立募集不包括认购资金利息共募集</w:t>
      </w:r>
      <w:r>
        <w:rPr>
          <w:color w:val="000000"/>
          <w:sz w:val="24"/>
        </w:rPr>
        <w:t>8,503,647,851.36</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428</w:t>
      </w:r>
      <w:r>
        <w:rPr>
          <w:color w:val="000000"/>
          <w:sz w:val="24"/>
        </w:rPr>
        <w:t>号验资报告予以验证。经向中国证监会备案，《交银施罗德理财</w:t>
      </w:r>
      <w:r>
        <w:rPr>
          <w:color w:val="000000"/>
          <w:sz w:val="24"/>
        </w:rPr>
        <w:t>21</w:t>
      </w:r>
      <w:r>
        <w:rPr>
          <w:color w:val="000000"/>
          <w:sz w:val="24"/>
        </w:rPr>
        <w:t>天债券型证券投资基金基金合同》于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日正式生效，基金合同生效日的基金份额总额为</w:t>
      </w:r>
      <w:r>
        <w:rPr>
          <w:color w:val="000000"/>
          <w:sz w:val="24"/>
        </w:rPr>
        <w:t>8,505,567,812.46</w:t>
      </w:r>
      <w:r>
        <w:rPr>
          <w:color w:val="000000"/>
          <w:sz w:val="24"/>
        </w:rPr>
        <w:t>份基金份额，其中认购资金利息折合</w:t>
      </w:r>
      <w:r>
        <w:rPr>
          <w:color w:val="000000"/>
          <w:sz w:val="24"/>
        </w:rPr>
        <w:t>1,919,961.10</w:t>
      </w:r>
      <w:r>
        <w:rPr>
          <w:color w:val="000000"/>
          <w:sz w:val="24"/>
        </w:rPr>
        <w:t>份基金份额。本基金的基金管理人为交银施罗德基金管理有限公司，基金托管人为中国农业银行股份有限公司。</w:t>
      </w:r>
    </w:p>
    <w:p w:rsidR="004A0015" w:rsidRDefault="00BD024B">
      <w:pPr>
        <w:spacing w:before="29" w:line="288" w:lineRule="auto"/>
        <w:ind w:firstLineChars="200" w:firstLine="480"/>
        <w:rPr>
          <w:color w:val="000000"/>
          <w:sz w:val="24"/>
        </w:rPr>
      </w:pPr>
      <w:r>
        <w:rPr>
          <w:color w:val="000000"/>
          <w:sz w:val="24"/>
        </w:rPr>
        <w:t>经与本基金托管人中国农业银行股份有限公司协商一致，并报中国证监会备案，本基金管理人自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日起对本基金实施基金份额分类，并对《交银施罗德理财</w:t>
      </w:r>
      <w:r>
        <w:rPr>
          <w:color w:val="000000"/>
          <w:sz w:val="24"/>
        </w:rPr>
        <w:t>21</w:t>
      </w:r>
      <w:r>
        <w:rPr>
          <w:color w:val="000000"/>
          <w:sz w:val="24"/>
        </w:rPr>
        <w:t>天债券型证券投资基金基金合同》、《交银施罗德理财</w:t>
      </w:r>
      <w:r>
        <w:rPr>
          <w:color w:val="000000"/>
          <w:sz w:val="24"/>
        </w:rPr>
        <w:t>21</w:t>
      </w:r>
      <w:r>
        <w:rPr>
          <w:color w:val="000000"/>
          <w:sz w:val="24"/>
        </w:rPr>
        <w:t>天债券型证券投资基金托管协议》和《交银施罗德理财</w:t>
      </w:r>
      <w:r>
        <w:rPr>
          <w:color w:val="000000"/>
          <w:sz w:val="24"/>
        </w:rPr>
        <w:t>21</w:t>
      </w:r>
      <w:r>
        <w:rPr>
          <w:color w:val="00000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类两类基金份额。两类基金份额分别公布每万份基金净收益和七日年化收益率。</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根据《中华人民共和国证券投资基金法》和《交银施罗德理财</w:t>
      </w:r>
      <w:r w:rsidRPr="0061644B">
        <w:rPr>
          <w:color w:val="000000"/>
          <w:sz w:val="24"/>
        </w:rPr>
        <w:t>21</w:t>
      </w:r>
      <w:r w:rsidRPr="0061644B">
        <w:rPr>
          <w:color w:val="000000"/>
          <w:sz w:val="24"/>
        </w:rPr>
        <w:t>天债券型证券投资基金基金合同》的有关规定，本基金的投资范围为法律法规允许的金融工具，包括现金，通知存款，一年以内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的银行定期存款和大额存单，剩余期限</w:t>
      </w:r>
      <w:r w:rsidRPr="0061644B">
        <w:rPr>
          <w:color w:val="000000"/>
          <w:sz w:val="24"/>
        </w:rPr>
        <w:t>(</w:t>
      </w:r>
      <w:r w:rsidRPr="0061644B">
        <w:rPr>
          <w:color w:val="000000"/>
          <w:sz w:val="24"/>
        </w:rPr>
        <w:t>或回售期限</w:t>
      </w:r>
      <w:r w:rsidRPr="0061644B">
        <w:rPr>
          <w:color w:val="000000"/>
          <w:sz w:val="24"/>
        </w:rPr>
        <w:t>)</w:t>
      </w:r>
      <w:r w:rsidRPr="0061644B">
        <w:rPr>
          <w:color w:val="000000"/>
          <w:sz w:val="24"/>
        </w:rPr>
        <w:t>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的债券、资产支持证券和中期票据，期限在一年以内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的中央银行票据和短期融资券，以及法律法规或中国证监会允许基金投资的其他固定收益类金融工具及相关衍生工具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。本基金的业绩比较基准为：七天通知存款税后利率。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4A0015" w:rsidRDefault="00BD024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颁布的《证券投资基金会计核算业务指引》、《交银施罗德理财</w:t>
      </w:r>
      <w:r>
        <w:rPr>
          <w:color w:val="000000"/>
          <w:sz w:val="24"/>
        </w:rPr>
        <w:t>21</w:t>
      </w:r>
      <w:r>
        <w:rPr>
          <w:color w:val="000000"/>
          <w:sz w:val="24"/>
        </w:rPr>
        <w:t>天债券型证券投资基金基金合同》和在财务报表附注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lastRenderedPageBreak/>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4A0015" w:rsidRDefault="00BD024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A0015" w:rsidRDefault="00BD024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A0015" w:rsidRDefault="00BD024B">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A0015" w:rsidRDefault="00BD024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4A0015" w:rsidRDefault="00BD024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4A0015">
        <w:tc>
          <w:tcPr>
            <w:tcW w:w="5219" w:type="dxa"/>
            <w:vAlign w:val="center"/>
          </w:tcPr>
          <w:p w:rsidR="004A0015" w:rsidRDefault="00BD024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A0015" w:rsidRDefault="00BD024B">
            <w:pPr>
              <w:jc w:val="left"/>
            </w:pPr>
            <w:r>
              <w:rPr>
                <w:color w:val="000000"/>
                <w:sz w:val="24"/>
              </w:rPr>
              <w:t>基金管理人、基金销售机构</w:t>
            </w:r>
          </w:p>
        </w:tc>
      </w:tr>
      <w:tr w:rsidR="004A0015">
        <w:tc>
          <w:tcPr>
            <w:tcW w:w="5219" w:type="dxa"/>
            <w:vAlign w:val="center"/>
          </w:tcPr>
          <w:p w:rsidR="004A0015" w:rsidRDefault="00BD024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A0015" w:rsidRDefault="00BD024B">
            <w:pPr>
              <w:jc w:val="left"/>
            </w:pPr>
            <w:r>
              <w:rPr>
                <w:color w:val="000000"/>
                <w:sz w:val="24"/>
              </w:rPr>
              <w:t>基金托管人、基金销售机构</w:t>
            </w:r>
          </w:p>
        </w:tc>
      </w:tr>
      <w:tr w:rsidR="004A0015">
        <w:tc>
          <w:tcPr>
            <w:tcW w:w="5219" w:type="dxa"/>
            <w:vAlign w:val="center"/>
          </w:tcPr>
          <w:p w:rsidR="004A0015" w:rsidRDefault="00BD024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A0015" w:rsidRDefault="00BD024B">
            <w:pPr>
              <w:jc w:val="left"/>
            </w:pPr>
            <w:r>
              <w:rPr>
                <w:color w:val="000000"/>
                <w:sz w:val="24"/>
              </w:rPr>
              <w:t>基金管理人的股东、基金销售机构</w:t>
            </w:r>
          </w:p>
        </w:tc>
      </w:tr>
      <w:tr w:rsidR="004A0015">
        <w:tc>
          <w:tcPr>
            <w:tcW w:w="5219" w:type="dxa"/>
            <w:vAlign w:val="center"/>
          </w:tcPr>
          <w:p w:rsidR="004A0015" w:rsidRDefault="00BD024B">
            <w:pPr>
              <w:jc w:val="left"/>
            </w:pPr>
            <w:r>
              <w:rPr>
                <w:color w:val="000000"/>
                <w:sz w:val="24"/>
              </w:rPr>
              <w:t>交银施罗德资产管理有限公司</w:t>
            </w:r>
          </w:p>
        </w:tc>
        <w:tc>
          <w:tcPr>
            <w:tcW w:w="3779" w:type="dxa"/>
            <w:vAlign w:val="center"/>
          </w:tcPr>
          <w:p w:rsidR="004A0015" w:rsidRDefault="00BD024B">
            <w:pPr>
              <w:jc w:val="left"/>
            </w:pPr>
            <w:r>
              <w:rPr>
                <w:color w:val="000000"/>
                <w:sz w:val="24"/>
              </w:rPr>
              <w:t>基金管理人的子公司</w:t>
            </w:r>
          </w:p>
        </w:tc>
      </w:tr>
      <w:tr w:rsidR="004A0015">
        <w:tc>
          <w:tcPr>
            <w:tcW w:w="5219" w:type="dxa"/>
            <w:vAlign w:val="center"/>
          </w:tcPr>
          <w:p w:rsidR="004A0015" w:rsidRDefault="00BD024B">
            <w:pPr>
              <w:jc w:val="left"/>
            </w:pPr>
            <w:r>
              <w:rPr>
                <w:color w:val="000000"/>
                <w:sz w:val="24"/>
              </w:rPr>
              <w:t>交烨投资管理（上海）有限公司</w:t>
            </w:r>
          </w:p>
        </w:tc>
        <w:tc>
          <w:tcPr>
            <w:tcW w:w="3779" w:type="dxa"/>
            <w:vAlign w:val="center"/>
          </w:tcPr>
          <w:p w:rsidR="004A0015" w:rsidRDefault="00BD024B">
            <w:pPr>
              <w:jc w:val="left"/>
            </w:pPr>
            <w:r>
              <w:rPr>
                <w:color w:val="000000"/>
                <w:sz w:val="24"/>
              </w:rPr>
              <w:t>受基金管理人控制的公司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20,489,178.50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19,888,213.69</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6,064.14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8,695.55</w:t>
            </w:r>
          </w:p>
        </w:tc>
      </w:tr>
    </w:tbl>
    <w:p w:rsidR="004A0015" w:rsidRDefault="00BD024B">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2016</w:t>
      </w:r>
      <w:r>
        <w:rPr>
          <w:kern w:val="0"/>
          <w:sz w:val="24"/>
        </w:rPr>
        <w:t>年</w:t>
      </w:r>
      <w:r>
        <w:rPr>
          <w:kern w:val="0"/>
          <w:sz w:val="24"/>
        </w:rPr>
        <w:t>1</w:t>
      </w:r>
      <w:r>
        <w:rPr>
          <w:kern w:val="0"/>
          <w:sz w:val="24"/>
        </w:rPr>
        <w:t>月</w:t>
      </w:r>
      <w:r>
        <w:rPr>
          <w:kern w:val="0"/>
          <w:sz w:val="24"/>
        </w:rPr>
        <w:t>1</w:t>
      </w:r>
      <w:r>
        <w:rPr>
          <w:kern w:val="0"/>
          <w:sz w:val="24"/>
        </w:rPr>
        <w:t>日到</w:t>
      </w:r>
      <w:r>
        <w:rPr>
          <w:kern w:val="0"/>
          <w:sz w:val="24"/>
        </w:rPr>
        <w:t>2016</w:t>
      </w:r>
      <w:r>
        <w:rPr>
          <w:kern w:val="0"/>
          <w:sz w:val="24"/>
        </w:rPr>
        <w:t>年</w:t>
      </w:r>
      <w:r>
        <w:rPr>
          <w:kern w:val="0"/>
          <w:sz w:val="24"/>
        </w:rPr>
        <w:t>8</w:t>
      </w:r>
      <w:r>
        <w:rPr>
          <w:kern w:val="0"/>
          <w:sz w:val="24"/>
        </w:rPr>
        <w:t>月</w:t>
      </w:r>
      <w:r>
        <w:rPr>
          <w:kern w:val="0"/>
          <w:sz w:val="24"/>
        </w:rPr>
        <w:t>23</w:t>
      </w:r>
      <w:r>
        <w:rPr>
          <w:kern w:val="0"/>
          <w:sz w:val="24"/>
        </w:rPr>
        <w:t>日，支付基金管理人的管理人报酬按前一日基金资产净值</w:t>
      </w:r>
      <w:r>
        <w:rPr>
          <w:kern w:val="0"/>
          <w:sz w:val="24"/>
        </w:rPr>
        <w:t>0.27%</w:t>
      </w:r>
      <w:r>
        <w:rPr>
          <w:kern w:val="0"/>
          <w:sz w:val="24"/>
        </w:rPr>
        <w:t>的年费率计提，逐日累计至每月月底，按月支付。其计算公式为：日管理人报酬＝前一日基金资产净值</w:t>
      </w:r>
      <w:r>
        <w:rPr>
          <w:kern w:val="0"/>
          <w:sz w:val="24"/>
        </w:rPr>
        <w:t>×0.27%÷</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2</w:t>
      </w:r>
      <w:r w:rsidRPr="0061644B">
        <w:rPr>
          <w:kern w:val="0"/>
          <w:sz w:val="24"/>
        </w:rPr>
        <w:t>、</w:t>
      </w:r>
      <w:r w:rsidRPr="0061644B">
        <w:rPr>
          <w:kern w:val="0"/>
          <w:sz w:val="24"/>
        </w:rPr>
        <w:t>2016</w:t>
      </w:r>
      <w:r w:rsidRPr="0061644B">
        <w:rPr>
          <w:kern w:val="0"/>
          <w:sz w:val="24"/>
        </w:rPr>
        <w:t>年</w:t>
      </w:r>
      <w:r w:rsidRPr="0061644B">
        <w:rPr>
          <w:kern w:val="0"/>
          <w:sz w:val="24"/>
        </w:rPr>
        <w:t>8</w:t>
      </w:r>
      <w:r w:rsidRPr="0061644B">
        <w:rPr>
          <w:kern w:val="0"/>
          <w:sz w:val="24"/>
        </w:rPr>
        <w:t>月</w:t>
      </w:r>
      <w:r w:rsidRPr="0061644B">
        <w:rPr>
          <w:kern w:val="0"/>
          <w:sz w:val="24"/>
        </w:rPr>
        <w:t>24</w:t>
      </w:r>
      <w:r w:rsidRPr="0061644B">
        <w:rPr>
          <w:kern w:val="0"/>
          <w:sz w:val="24"/>
        </w:rPr>
        <w:t>日到</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日，支付基金管理人的管理人报酬按前一日基金资产净值</w:t>
      </w:r>
      <w:r w:rsidRPr="0061644B">
        <w:rPr>
          <w:kern w:val="0"/>
          <w:sz w:val="24"/>
        </w:rPr>
        <w:t>0.20%</w:t>
      </w:r>
      <w:r w:rsidRPr="0061644B">
        <w:rPr>
          <w:kern w:val="0"/>
          <w:sz w:val="24"/>
        </w:rPr>
        <w:t>的年费率计提，逐日累计至每月月底，按月支付。其计算公式为：日管理人报酬＝前一日基金资产净值</w:t>
      </w:r>
      <w:r w:rsidRPr="0061644B">
        <w:rPr>
          <w:kern w:val="0"/>
          <w:sz w:val="24"/>
        </w:rPr>
        <w:t>×0.20%÷</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lastRenderedPageBreak/>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8,195,671.31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7,955,285.52</w:t>
            </w:r>
          </w:p>
        </w:tc>
      </w:tr>
    </w:tbl>
    <w:p w:rsidR="004A0015" w:rsidRDefault="00BD024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4A0015">
        <w:tc>
          <w:tcPr>
            <w:tcW w:w="1944" w:type="dxa"/>
            <w:vAlign w:val="center"/>
          </w:tcPr>
          <w:p w:rsidR="004A0015" w:rsidRDefault="00BD024B">
            <w:pPr>
              <w:jc w:val="center"/>
            </w:pPr>
            <w:r>
              <w:rPr>
                <w:sz w:val="24"/>
              </w:rPr>
              <w:t>交银施罗德基金公司</w:t>
            </w:r>
          </w:p>
        </w:tc>
        <w:tc>
          <w:tcPr>
            <w:tcW w:w="2351" w:type="dxa"/>
            <w:vAlign w:val="center"/>
          </w:tcPr>
          <w:p w:rsidR="004A0015" w:rsidRDefault="00BD024B">
            <w:pPr>
              <w:jc w:val="center"/>
            </w:pPr>
            <w:r>
              <w:rPr>
                <w:sz w:val="24"/>
              </w:rPr>
              <w:t>1,727.43</w:t>
            </w:r>
          </w:p>
        </w:tc>
        <w:tc>
          <w:tcPr>
            <w:tcW w:w="2351" w:type="dxa"/>
            <w:vAlign w:val="center"/>
          </w:tcPr>
          <w:p w:rsidR="004A0015" w:rsidRDefault="00BD024B">
            <w:pPr>
              <w:jc w:val="center"/>
            </w:pPr>
            <w:r>
              <w:rPr>
                <w:sz w:val="24"/>
              </w:rPr>
              <w:t>1,023,910.87</w:t>
            </w:r>
          </w:p>
        </w:tc>
        <w:tc>
          <w:tcPr>
            <w:tcW w:w="2352" w:type="dxa"/>
            <w:vAlign w:val="center"/>
          </w:tcPr>
          <w:p w:rsidR="004A0015" w:rsidRDefault="00BD024B">
            <w:pPr>
              <w:jc w:val="center"/>
            </w:pPr>
            <w:r>
              <w:rPr>
                <w:sz w:val="24"/>
              </w:rPr>
              <w:t>1,025,638.30</w:t>
            </w:r>
          </w:p>
        </w:tc>
      </w:tr>
      <w:tr w:rsidR="004A0015">
        <w:tc>
          <w:tcPr>
            <w:tcW w:w="1944" w:type="dxa"/>
            <w:vAlign w:val="center"/>
          </w:tcPr>
          <w:p w:rsidR="004A0015" w:rsidRDefault="00BD024B">
            <w:pPr>
              <w:jc w:val="center"/>
            </w:pPr>
            <w:r>
              <w:rPr>
                <w:sz w:val="24"/>
              </w:rPr>
              <w:t>交通银行</w:t>
            </w:r>
          </w:p>
        </w:tc>
        <w:tc>
          <w:tcPr>
            <w:tcW w:w="2351" w:type="dxa"/>
            <w:vAlign w:val="center"/>
          </w:tcPr>
          <w:p w:rsidR="004A0015" w:rsidRDefault="00BD024B">
            <w:pPr>
              <w:jc w:val="center"/>
            </w:pPr>
            <w:r>
              <w:rPr>
                <w:sz w:val="24"/>
              </w:rPr>
              <w:t>3,936.93</w:t>
            </w:r>
          </w:p>
        </w:tc>
        <w:tc>
          <w:tcPr>
            <w:tcW w:w="2351" w:type="dxa"/>
            <w:vAlign w:val="center"/>
          </w:tcPr>
          <w:p w:rsidR="004A0015" w:rsidRDefault="00BD024B">
            <w:pPr>
              <w:jc w:val="center"/>
            </w:pPr>
            <w:r>
              <w:rPr>
                <w:sz w:val="24"/>
              </w:rPr>
              <w:t>-</w:t>
            </w:r>
          </w:p>
        </w:tc>
        <w:tc>
          <w:tcPr>
            <w:tcW w:w="2352" w:type="dxa"/>
            <w:vAlign w:val="center"/>
          </w:tcPr>
          <w:p w:rsidR="004A0015" w:rsidRDefault="00BD024B">
            <w:pPr>
              <w:jc w:val="center"/>
            </w:pPr>
            <w:r>
              <w:rPr>
                <w:sz w:val="24"/>
              </w:rPr>
              <w:t>3,936.93</w:t>
            </w:r>
          </w:p>
        </w:tc>
      </w:tr>
      <w:tr w:rsidR="004A0015">
        <w:tc>
          <w:tcPr>
            <w:tcW w:w="1944" w:type="dxa"/>
            <w:vAlign w:val="center"/>
          </w:tcPr>
          <w:p w:rsidR="004A0015" w:rsidRDefault="00BD024B">
            <w:pPr>
              <w:jc w:val="center"/>
            </w:pPr>
            <w:r>
              <w:rPr>
                <w:sz w:val="24"/>
              </w:rPr>
              <w:t>中国农业银行</w:t>
            </w:r>
          </w:p>
        </w:tc>
        <w:tc>
          <w:tcPr>
            <w:tcW w:w="2351" w:type="dxa"/>
            <w:vAlign w:val="center"/>
          </w:tcPr>
          <w:p w:rsidR="004A0015" w:rsidRDefault="00BD024B">
            <w:pPr>
              <w:jc w:val="center"/>
            </w:pPr>
            <w:r>
              <w:rPr>
                <w:sz w:val="24"/>
              </w:rPr>
              <w:t>4,226.47</w:t>
            </w:r>
          </w:p>
        </w:tc>
        <w:tc>
          <w:tcPr>
            <w:tcW w:w="2351" w:type="dxa"/>
            <w:vAlign w:val="center"/>
          </w:tcPr>
          <w:p w:rsidR="004A0015" w:rsidRDefault="00BD024B">
            <w:pPr>
              <w:jc w:val="center"/>
            </w:pPr>
            <w:r>
              <w:rPr>
                <w:sz w:val="24"/>
              </w:rPr>
              <w:t>-</w:t>
            </w:r>
          </w:p>
        </w:tc>
        <w:tc>
          <w:tcPr>
            <w:tcW w:w="2352" w:type="dxa"/>
            <w:vAlign w:val="center"/>
          </w:tcPr>
          <w:p w:rsidR="004A0015" w:rsidRDefault="00BD024B">
            <w:pPr>
              <w:jc w:val="center"/>
            </w:pPr>
            <w:r>
              <w:rPr>
                <w:sz w:val="24"/>
              </w:rPr>
              <w:t>4,226.47</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9,890.83</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1,023,910.87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1,033,801.70</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21</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21</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4A0015">
        <w:tc>
          <w:tcPr>
            <w:tcW w:w="1944" w:type="dxa"/>
            <w:vAlign w:val="center"/>
          </w:tcPr>
          <w:p w:rsidR="004A0015" w:rsidRDefault="00BD024B">
            <w:pPr>
              <w:jc w:val="center"/>
            </w:pPr>
            <w:r>
              <w:rPr>
                <w:sz w:val="24"/>
              </w:rPr>
              <w:t>交银施罗德基金公司</w:t>
            </w:r>
          </w:p>
        </w:tc>
        <w:tc>
          <w:tcPr>
            <w:tcW w:w="2351" w:type="dxa"/>
            <w:vAlign w:val="center"/>
          </w:tcPr>
          <w:p w:rsidR="004A0015" w:rsidRDefault="00BD024B">
            <w:pPr>
              <w:jc w:val="center"/>
            </w:pPr>
            <w:r>
              <w:rPr>
                <w:sz w:val="24"/>
              </w:rPr>
              <w:t>1,689.67</w:t>
            </w:r>
          </w:p>
        </w:tc>
        <w:tc>
          <w:tcPr>
            <w:tcW w:w="2351" w:type="dxa"/>
            <w:vAlign w:val="center"/>
          </w:tcPr>
          <w:p w:rsidR="004A0015" w:rsidRDefault="00BD024B">
            <w:pPr>
              <w:jc w:val="center"/>
            </w:pPr>
            <w:r>
              <w:rPr>
                <w:sz w:val="24"/>
              </w:rPr>
              <w:t>993,659.18</w:t>
            </w:r>
          </w:p>
        </w:tc>
        <w:tc>
          <w:tcPr>
            <w:tcW w:w="2352" w:type="dxa"/>
            <w:vAlign w:val="center"/>
          </w:tcPr>
          <w:p w:rsidR="004A0015" w:rsidRDefault="00BD024B">
            <w:pPr>
              <w:jc w:val="center"/>
            </w:pPr>
            <w:r>
              <w:rPr>
                <w:sz w:val="24"/>
              </w:rPr>
              <w:t>995,348.85</w:t>
            </w:r>
          </w:p>
        </w:tc>
      </w:tr>
      <w:tr w:rsidR="004A0015">
        <w:tc>
          <w:tcPr>
            <w:tcW w:w="1944" w:type="dxa"/>
            <w:vAlign w:val="center"/>
          </w:tcPr>
          <w:p w:rsidR="004A0015" w:rsidRDefault="00BD024B">
            <w:pPr>
              <w:jc w:val="center"/>
            </w:pPr>
            <w:r>
              <w:rPr>
                <w:sz w:val="24"/>
              </w:rPr>
              <w:t>交通银行</w:t>
            </w:r>
          </w:p>
        </w:tc>
        <w:tc>
          <w:tcPr>
            <w:tcW w:w="2351" w:type="dxa"/>
            <w:vAlign w:val="center"/>
          </w:tcPr>
          <w:p w:rsidR="004A0015" w:rsidRDefault="00BD024B">
            <w:pPr>
              <w:jc w:val="center"/>
            </w:pPr>
            <w:r>
              <w:rPr>
                <w:sz w:val="24"/>
              </w:rPr>
              <w:t>4,422.59</w:t>
            </w:r>
          </w:p>
        </w:tc>
        <w:tc>
          <w:tcPr>
            <w:tcW w:w="2351" w:type="dxa"/>
            <w:vAlign w:val="center"/>
          </w:tcPr>
          <w:p w:rsidR="004A0015" w:rsidRDefault="00BD024B">
            <w:pPr>
              <w:jc w:val="center"/>
            </w:pPr>
            <w:r>
              <w:rPr>
                <w:sz w:val="24"/>
              </w:rPr>
              <w:t>-</w:t>
            </w:r>
          </w:p>
        </w:tc>
        <w:tc>
          <w:tcPr>
            <w:tcW w:w="2352" w:type="dxa"/>
            <w:vAlign w:val="center"/>
          </w:tcPr>
          <w:p w:rsidR="004A0015" w:rsidRDefault="00BD024B">
            <w:pPr>
              <w:jc w:val="center"/>
            </w:pPr>
            <w:r>
              <w:rPr>
                <w:sz w:val="24"/>
              </w:rPr>
              <w:t>4,422.59</w:t>
            </w:r>
          </w:p>
        </w:tc>
      </w:tr>
      <w:tr w:rsidR="004A0015">
        <w:tc>
          <w:tcPr>
            <w:tcW w:w="1944" w:type="dxa"/>
            <w:vAlign w:val="center"/>
          </w:tcPr>
          <w:p w:rsidR="004A0015" w:rsidRDefault="00BD024B">
            <w:pPr>
              <w:jc w:val="center"/>
            </w:pPr>
            <w:r>
              <w:rPr>
                <w:sz w:val="24"/>
              </w:rPr>
              <w:t>中国农业银行</w:t>
            </w:r>
          </w:p>
        </w:tc>
        <w:tc>
          <w:tcPr>
            <w:tcW w:w="2351" w:type="dxa"/>
            <w:vAlign w:val="center"/>
          </w:tcPr>
          <w:p w:rsidR="004A0015" w:rsidRDefault="00BD024B">
            <w:pPr>
              <w:jc w:val="center"/>
            </w:pPr>
            <w:r>
              <w:rPr>
                <w:sz w:val="24"/>
              </w:rPr>
              <w:t>8,232.34</w:t>
            </w:r>
          </w:p>
        </w:tc>
        <w:tc>
          <w:tcPr>
            <w:tcW w:w="2351" w:type="dxa"/>
            <w:vAlign w:val="center"/>
          </w:tcPr>
          <w:p w:rsidR="004A0015" w:rsidRDefault="00BD024B">
            <w:pPr>
              <w:jc w:val="center"/>
            </w:pPr>
            <w:r>
              <w:rPr>
                <w:sz w:val="24"/>
              </w:rPr>
              <w:t>115.29</w:t>
            </w:r>
          </w:p>
        </w:tc>
        <w:tc>
          <w:tcPr>
            <w:tcW w:w="2352" w:type="dxa"/>
            <w:vAlign w:val="center"/>
          </w:tcPr>
          <w:p w:rsidR="004A0015" w:rsidRDefault="00BD024B">
            <w:pPr>
              <w:jc w:val="center"/>
            </w:pPr>
            <w:r>
              <w:rPr>
                <w:sz w:val="24"/>
              </w:rPr>
              <w:t>8,347.63</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14,344.60</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993,774.47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1,008,119.07</w:t>
            </w:r>
          </w:p>
        </w:tc>
      </w:tr>
    </w:tbl>
    <w:p w:rsidR="004A0015" w:rsidRDefault="00BD024B">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4A0015" w:rsidRDefault="00BD024B">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lastRenderedPageBreak/>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B</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21</w:t>
            </w:r>
            <w:r w:rsidRPr="0061644B">
              <w:rPr>
                <w:sz w:val="24"/>
              </w:rPr>
              <w:t>天债券</w:t>
            </w:r>
            <w:r w:rsidRPr="0061644B">
              <w:rPr>
                <w:sz w:val="24"/>
              </w:rPr>
              <w:t>B</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21</w:t>
            </w:r>
            <w:r w:rsidRPr="0061644B">
              <w:rPr>
                <w:sz w:val="24"/>
              </w:rPr>
              <w:t>天债券</w:t>
            </w:r>
            <w:r w:rsidRPr="0061644B">
              <w:rPr>
                <w:sz w:val="24"/>
              </w:rPr>
              <w:t>B</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4A0015">
        <w:tc>
          <w:tcPr>
            <w:tcW w:w="1946" w:type="dxa"/>
            <w:vAlign w:val="center"/>
          </w:tcPr>
          <w:p w:rsidR="004A0015" w:rsidRDefault="00BD024B">
            <w:pPr>
              <w:jc w:val="center"/>
            </w:pPr>
            <w:r>
              <w:rPr>
                <w:sz w:val="24"/>
              </w:rPr>
              <w:t>交通银行股份有限公司</w:t>
            </w:r>
          </w:p>
        </w:tc>
        <w:tc>
          <w:tcPr>
            <w:tcW w:w="2013" w:type="dxa"/>
            <w:vAlign w:val="center"/>
          </w:tcPr>
          <w:p w:rsidR="004A0015" w:rsidRDefault="00BD024B">
            <w:pPr>
              <w:jc w:val="center"/>
            </w:pPr>
            <w:r>
              <w:rPr>
                <w:sz w:val="24"/>
              </w:rPr>
              <w:t>4,499,611,903.90</w:t>
            </w:r>
          </w:p>
        </w:tc>
        <w:tc>
          <w:tcPr>
            <w:tcW w:w="1565" w:type="dxa"/>
            <w:vAlign w:val="center"/>
          </w:tcPr>
          <w:p w:rsidR="004A0015" w:rsidRDefault="00BD024B">
            <w:pPr>
              <w:jc w:val="center"/>
            </w:pPr>
            <w:r>
              <w:rPr>
                <w:sz w:val="24"/>
              </w:rPr>
              <w:t>27.59%</w:t>
            </w:r>
          </w:p>
        </w:tc>
        <w:tc>
          <w:tcPr>
            <w:tcW w:w="1846" w:type="dxa"/>
            <w:vAlign w:val="center"/>
          </w:tcPr>
          <w:p w:rsidR="004A0015" w:rsidRDefault="00BD024B">
            <w:pPr>
              <w:jc w:val="center"/>
            </w:pPr>
            <w:r>
              <w:rPr>
                <w:sz w:val="24"/>
              </w:rPr>
              <w:t>6,400,184,453.15</w:t>
            </w:r>
          </w:p>
        </w:tc>
        <w:tc>
          <w:tcPr>
            <w:tcW w:w="1628" w:type="dxa"/>
            <w:vAlign w:val="center"/>
          </w:tcPr>
          <w:p w:rsidR="004A0015" w:rsidRDefault="00BD024B">
            <w:pPr>
              <w:jc w:val="center"/>
            </w:pPr>
            <w:r>
              <w:rPr>
                <w:sz w:val="24"/>
              </w:rPr>
              <w:t>27.97%</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4A0015">
        <w:tc>
          <w:tcPr>
            <w:tcW w:w="1799" w:type="dxa"/>
            <w:vAlign w:val="center"/>
          </w:tcPr>
          <w:p w:rsidR="004A0015" w:rsidRDefault="00BD024B">
            <w:pPr>
              <w:jc w:val="center"/>
            </w:pPr>
            <w:r>
              <w:rPr>
                <w:sz w:val="24"/>
              </w:rPr>
              <w:t>中国农业银行股份有限公司</w:t>
            </w:r>
          </w:p>
        </w:tc>
        <w:tc>
          <w:tcPr>
            <w:tcW w:w="1799" w:type="dxa"/>
            <w:vAlign w:val="center"/>
          </w:tcPr>
          <w:p w:rsidR="004A0015" w:rsidRDefault="00BD024B">
            <w:pPr>
              <w:jc w:val="center"/>
            </w:pPr>
            <w:r>
              <w:rPr>
                <w:sz w:val="24"/>
              </w:rPr>
              <w:t>2,460,686.80</w:t>
            </w:r>
          </w:p>
        </w:tc>
        <w:tc>
          <w:tcPr>
            <w:tcW w:w="1800" w:type="dxa"/>
            <w:vAlign w:val="center"/>
          </w:tcPr>
          <w:p w:rsidR="004A0015" w:rsidRDefault="00BD024B">
            <w:pPr>
              <w:jc w:val="center"/>
            </w:pPr>
            <w:r>
              <w:rPr>
                <w:sz w:val="24"/>
              </w:rPr>
              <w:t>16,808.39</w:t>
            </w:r>
          </w:p>
        </w:tc>
        <w:tc>
          <w:tcPr>
            <w:tcW w:w="1800" w:type="dxa"/>
            <w:vAlign w:val="center"/>
          </w:tcPr>
          <w:p w:rsidR="004A0015" w:rsidRDefault="00BD024B">
            <w:pPr>
              <w:jc w:val="center"/>
            </w:pPr>
            <w:r>
              <w:rPr>
                <w:sz w:val="24"/>
              </w:rPr>
              <w:t>722,227.30</w:t>
            </w:r>
          </w:p>
        </w:tc>
        <w:tc>
          <w:tcPr>
            <w:tcW w:w="1800" w:type="dxa"/>
            <w:vAlign w:val="center"/>
          </w:tcPr>
          <w:p w:rsidR="004A0015" w:rsidRDefault="00BD024B">
            <w:pPr>
              <w:jc w:val="center"/>
            </w:pPr>
            <w:r>
              <w:rPr>
                <w:sz w:val="24"/>
              </w:rPr>
              <w:t>75,857.45</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lastRenderedPageBreak/>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689,379,135.31</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4A0015">
        <w:tc>
          <w:tcPr>
            <w:tcW w:w="1493" w:type="dxa"/>
            <w:vAlign w:val="center"/>
          </w:tcPr>
          <w:p w:rsidR="004A0015" w:rsidRDefault="00BD024B">
            <w:pPr>
              <w:jc w:val="center"/>
            </w:pPr>
            <w:r>
              <w:rPr>
                <w:kern w:val="0"/>
                <w:sz w:val="24"/>
              </w:rPr>
              <w:t>111909199</w:t>
            </w:r>
          </w:p>
        </w:tc>
        <w:tc>
          <w:tcPr>
            <w:tcW w:w="1494" w:type="dxa"/>
            <w:vAlign w:val="center"/>
          </w:tcPr>
          <w:p w:rsidR="004A0015" w:rsidRDefault="00BD024B">
            <w:pPr>
              <w:jc w:val="center"/>
            </w:pPr>
            <w:r>
              <w:rPr>
                <w:kern w:val="0"/>
                <w:sz w:val="24"/>
              </w:rPr>
              <w:t>19</w:t>
            </w:r>
            <w:r>
              <w:rPr>
                <w:kern w:val="0"/>
                <w:sz w:val="24"/>
              </w:rPr>
              <w:t>浦发银行</w:t>
            </w:r>
            <w:r>
              <w:rPr>
                <w:kern w:val="0"/>
                <w:sz w:val="24"/>
              </w:rPr>
              <w:t>CD199</w:t>
            </w:r>
          </w:p>
        </w:tc>
        <w:tc>
          <w:tcPr>
            <w:tcW w:w="1494" w:type="dxa"/>
            <w:vAlign w:val="center"/>
          </w:tcPr>
          <w:p w:rsidR="004A0015" w:rsidRDefault="00BD024B">
            <w:pPr>
              <w:jc w:val="center"/>
            </w:pPr>
            <w:r>
              <w:rPr>
                <w:kern w:val="0"/>
                <w:sz w:val="24"/>
              </w:rPr>
              <w:t>2019-07-01</w:t>
            </w:r>
          </w:p>
        </w:tc>
        <w:tc>
          <w:tcPr>
            <w:tcW w:w="1255" w:type="dxa"/>
            <w:vAlign w:val="center"/>
          </w:tcPr>
          <w:p w:rsidR="004A0015" w:rsidRDefault="00BD024B">
            <w:pPr>
              <w:jc w:val="right"/>
            </w:pPr>
            <w:r>
              <w:rPr>
                <w:kern w:val="0"/>
                <w:sz w:val="24"/>
              </w:rPr>
              <w:t>97.02</w:t>
            </w:r>
          </w:p>
        </w:tc>
        <w:tc>
          <w:tcPr>
            <w:tcW w:w="1434" w:type="dxa"/>
            <w:vAlign w:val="center"/>
          </w:tcPr>
          <w:p w:rsidR="004A0015" w:rsidRDefault="00BD024B">
            <w:pPr>
              <w:jc w:val="right"/>
            </w:pPr>
            <w:r>
              <w:rPr>
                <w:kern w:val="0"/>
                <w:sz w:val="24"/>
              </w:rPr>
              <w:t>2,500,000</w:t>
            </w:r>
          </w:p>
        </w:tc>
        <w:tc>
          <w:tcPr>
            <w:tcW w:w="1828" w:type="dxa"/>
            <w:vAlign w:val="center"/>
          </w:tcPr>
          <w:p w:rsidR="004A0015" w:rsidRDefault="00BD024B">
            <w:pPr>
              <w:jc w:val="right"/>
            </w:pPr>
            <w:r>
              <w:rPr>
                <w:kern w:val="0"/>
                <w:sz w:val="24"/>
              </w:rPr>
              <w:t>242,550,000.00</w:t>
            </w:r>
          </w:p>
        </w:tc>
      </w:tr>
      <w:tr w:rsidR="004A0015">
        <w:tc>
          <w:tcPr>
            <w:tcW w:w="1493" w:type="dxa"/>
            <w:vAlign w:val="center"/>
          </w:tcPr>
          <w:p w:rsidR="004A0015" w:rsidRDefault="00BD024B">
            <w:pPr>
              <w:jc w:val="center"/>
            </w:pPr>
            <w:r>
              <w:rPr>
                <w:kern w:val="0"/>
                <w:sz w:val="24"/>
              </w:rPr>
              <w:t>111915231</w:t>
            </w:r>
          </w:p>
        </w:tc>
        <w:tc>
          <w:tcPr>
            <w:tcW w:w="1494" w:type="dxa"/>
            <w:vAlign w:val="center"/>
          </w:tcPr>
          <w:p w:rsidR="004A0015" w:rsidRDefault="00BD024B">
            <w:pPr>
              <w:jc w:val="center"/>
            </w:pPr>
            <w:r>
              <w:rPr>
                <w:kern w:val="0"/>
                <w:sz w:val="24"/>
              </w:rPr>
              <w:t>19</w:t>
            </w:r>
            <w:r>
              <w:rPr>
                <w:kern w:val="0"/>
                <w:sz w:val="24"/>
              </w:rPr>
              <w:t>民生银行</w:t>
            </w:r>
            <w:r>
              <w:rPr>
                <w:kern w:val="0"/>
                <w:sz w:val="24"/>
              </w:rPr>
              <w:t>CD231</w:t>
            </w:r>
          </w:p>
        </w:tc>
        <w:tc>
          <w:tcPr>
            <w:tcW w:w="1494" w:type="dxa"/>
            <w:vAlign w:val="center"/>
          </w:tcPr>
          <w:p w:rsidR="004A0015" w:rsidRDefault="00BD024B">
            <w:pPr>
              <w:jc w:val="center"/>
            </w:pPr>
            <w:r>
              <w:rPr>
                <w:kern w:val="0"/>
                <w:sz w:val="24"/>
              </w:rPr>
              <w:t>2019-07-01</w:t>
            </w:r>
          </w:p>
        </w:tc>
        <w:tc>
          <w:tcPr>
            <w:tcW w:w="1255" w:type="dxa"/>
            <w:vAlign w:val="center"/>
          </w:tcPr>
          <w:p w:rsidR="004A0015" w:rsidRDefault="00BD024B">
            <w:pPr>
              <w:jc w:val="right"/>
            </w:pPr>
            <w:r>
              <w:rPr>
                <w:kern w:val="0"/>
                <w:sz w:val="24"/>
              </w:rPr>
              <w:t>97.08</w:t>
            </w:r>
          </w:p>
        </w:tc>
        <w:tc>
          <w:tcPr>
            <w:tcW w:w="1434" w:type="dxa"/>
            <w:vAlign w:val="center"/>
          </w:tcPr>
          <w:p w:rsidR="004A0015" w:rsidRDefault="00BD024B">
            <w:pPr>
              <w:jc w:val="right"/>
            </w:pPr>
            <w:r>
              <w:rPr>
                <w:kern w:val="0"/>
                <w:sz w:val="24"/>
              </w:rPr>
              <w:t>501,000</w:t>
            </w:r>
          </w:p>
        </w:tc>
        <w:tc>
          <w:tcPr>
            <w:tcW w:w="1828" w:type="dxa"/>
            <w:vAlign w:val="center"/>
          </w:tcPr>
          <w:p w:rsidR="004A0015" w:rsidRDefault="00BD024B">
            <w:pPr>
              <w:jc w:val="right"/>
            </w:pPr>
            <w:r>
              <w:rPr>
                <w:kern w:val="0"/>
                <w:sz w:val="24"/>
              </w:rPr>
              <w:t>48,637,080.00</w:t>
            </w:r>
          </w:p>
        </w:tc>
      </w:tr>
      <w:tr w:rsidR="004A0015">
        <w:tc>
          <w:tcPr>
            <w:tcW w:w="1493" w:type="dxa"/>
            <w:vAlign w:val="center"/>
          </w:tcPr>
          <w:p w:rsidR="004A0015" w:rsidRDefault="00BD024B">
            <w:pPr>
              <w:jc w:val="center"/>
            </w:pPr>
            <w:r>
              <w:rPr>
                <w:kern w:val="0"/>
                <w:sz w:val="24"/>
              </w:rPr>
              <w:t>111908128</w:t>
            </w:r>
          </w:p>
        </w:tc>
        <w:tc>
          <w:tcPr>
            <w:tcW w:w="1494" w:type="dxa"/>
            <w:vAlign w:val="center"/>
          </w:tcPr>
          <w:p w:rsidR="004A0015" w:rsidRDefault="00BD024B">
            <w:pPr>
              <w:jc w:val="center"/>
            </w:pPr>
            <w:r>
              <w:rPr>
                <w:kern w:val="0"/>
                <w:sz w:val="24"/>
              </w:rPr>
              <w:t>19</w:t>
            </w:r>
            <w:r>
              <w:rPr>
                <w:kern w:val="0"/>
                <w:sz w:val="24"/>
              </w:rPr>
              <w:t>中信银行</w:t>
            </w:r>
            <w:r>
              <w:rPr>
                <w:kern w:val="0"/>
                <w:sz w:val="24"/>
              </w:rPr>
              <w:t>CD128</w:t>
            </w:r>
          </w:p>
        </w:tc>
        <w:tc>
          <w:tcPr>
            <w:tcW w:w="1494" w:type="dxa"/>
            <w:vAlign w:val="center"/>
          </w:tcPr>
          <w:p w:rsidR="004A0015" w:rsidRDefault="00BD024B">
            <w:pPr>
              <w:jc w:val="center"/>
            </w:pPr>
            <w:r>
              <w:rPr>
                <w:kern w:val="0"/>
                <w:sz w:val="24"/>
              </w:rPr>
              <w:t>2019-07-01</w:t>
            </w:r>
          </w:p>
        </w:tc>
        <w:tc>
          <w:tcPr>
            <w:tcW w:w="1255" w:type="dxa"/>
            <w:vAlign w:val="center"/>
          </w:tcPr>
          <w:p w:rsidR="004A0015" w:rsidRDefault="00BD024B">
            <w:pPr>
              <w:jc w:val="right"/>
            </w:pPr>
            <w:r>
              <w:rPr>
                <w:kern w:val="0"/>
                <w:sz w:val="24"/>
              </w:rPr>
              <w:t>97.02</w:t>
            </w:r>
          </w:p>
        </w:tc>
        <w:tc>
          <w:tcPr>
            <w:tcW w:w="1434" w:type="dxa"/>
            <w:vAlign w:val="center"/>
          </w:tcPr>
          <w:p w:rsidR="004A0015" w:rsidRDefault="00BD024B">
            <w:pPr>
              <w:jc w:val="right"/>
            </w:pPr>
            <w:r>
              <w:rPr>
                <w:kern w:val="0"/>
                <w:sz w:val="24"/>
              </w:rPr>
              <w:t>2,500,000</w:t>
            </w:r>
          </w:p>
        </w:tc>
        <w:tc>
          <w:tcPr>
            <w:tcW w:w="1828" w:type="dxa"/>
            <w:vAlign w:val="center"/>
          </w:tcPr>
          <w:p w:rsidR="004A0015" w:rsidRDefault="00BD024B">
            <w:pPr>
              <w:jc w:val="right"/>
            </w:pPr>
            <w:r>
              <w:rPr>
                <w:kern w:val="0"/>
                <w:sz w:val="24"/>
              </w:rPr>
              <w:t>242,550,000.00</w:t>
            </w:r>
          </w:p>
        </w:tc>
      </w:tr>
      <w:tr w:rsidR="004A0015">
        <w:tc>
          <w:tcPr>
            <w:tcW w:w="1493" w:type="dxa"/>
            <w:vAlign w:val="center"/>
          </w:tcPr>
          <w:p w:rsidR="004A0015" w:rsidRDefault="00BD024B">
            <w:pPr>
              <w:jc w:val="center"/>
            </w:pPr>
            <w:r>
              <w:rPr>
                <w:kern w:val="0"/>
                <w:sz w:val="24"/>
              </w:rPr>
              <w:t>111909143</w:t>
            </w:r>
          </w:p>
        </w:tc>
        <w:tc>
          <w:tcPr>
            <w:tcW w:w="1494" w:type="dxa"/>
            <w:vAlign w:val="center"/>
          </w:tcPr>
          <w:p w:rsidR="004A0015" w:rsidRDefault="00BD024B">
            <w:pPr>
              <w:jc w:val="center"/>
            </w:pPr>
            <w:r>
              <w:rPr>
                <w:kern w:val="0"/>
                <w:sz w:val="24"/>
              </w:rPr>
              <w:t>19</w:t>
            </w:r>
            <w:r>
              <w:rPr>
                <w:kern w:val="0"/>
                <w:sz w:val="24"/>
              </w:rPr>
              <w:t>浦发银行</w:t>
            </w:r>
            <w:r>
              <w:rPr>
                <w:kern w:val="0"/>
                <w:sz w:val="24"/>
              </w:rPr>
              <w:t>CD143</w:t>
            </w:r>
          </w:p>
        </w:tc>
        <w:tc>
          <w:tcPr>
            <w:tcW w:w="1494" w:type="dxa"/>
            <w:vAlign w:val="center"/>
          </w:tcPr>
          <w:p w:rsidR="004A0015" w:rsidRDefault="00BD024B">
            <w:pPr>
              <w:jc w:val="center"/>
            </w:pPr>
            <w:r>
              <w:rPr>
                <w:kern w:val="0"/>
                <w:sz w:val="24"/>
              </w:rPr>
              <w:t>2019-07-01</w:t>
            </w:r>
          </w:p>
        </w:tc>
        <w:tc>
          <w:tcPr>
            <w:tcW w:w="1255" w:type="dxa"/>
            <w:vAlign w:val="center"/>
          </w:tcPr>
          <w:p w:rsidR="004A0015" w:rsidRDefault="00BD024B">
            <w:pPr>
              <w:jc w:val="right"/>
            </w:pPr>
            <w:r>
              <w:rPr>
                <w:kern w:val="0"/>
                <w:sz w:val="24"/>
              </w:rPr>
              <w:t>97.37</w:t>
            </w:r>
          </w:p>
        </w:tc>
        <w:tc>
          <w:tcPr>
            <w:tcW w:w="1434" w:type="dxa"/>
            <w:vAlign w:val="center"/>
          </w:tcPr>
          <w:p w:rsidR="004A0015" w:rsidRDefault="00BD024B">
            <w:pPr>
              <w:jc w:val="right"/>
            </w:pPr>
            <w:r>
              <w:rPr>
                <w:kern w:val="0"/>
                <w:sz w:val="24"/>
              </w:rPr>
              <w:t>2,500,000</w:t>
            </w:r>
          </w:p>
        </w:tc>
        <w:tc>
          <w:tcPr>
            <w:tcW w:w="1828" w:type="dxa"/>
            <w:vAlign w:val="center"/>
          </w:tcPr>
          <w:p w:rsidR="004A0015" w:rsidRDefault="00BD024B">
            <w:pPr>
              <w:jc w:val="right"/>
            </w:pPr>
            <w:r>
              <w:rPr>
                <w:kern w:val="0"/>
                <w:sz w:val="24"/>
              </w:rPr>
              <w:t>243,425,000.00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8,001,000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777,162,080.00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12,437,932,399.35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73.02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12,139,158,390.24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71.26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298,774,009.11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1.75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662,001,833.00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3.89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3,852,460,686.80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22.62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81,475,256.32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0.48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17,033,870,175.47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4.82</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689,379,135.31</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4.22</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116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66</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lastRenderedPageBreak/>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本基金投资组合的平均剩余期限在每个交易日均不得超过</w:t>
      </w:r>
      <w:r w:rsidRPr="00453908">
        <w:rPr>
          <w:rFonts w:eastAsiaTheme="minorEastAsia"/>
          <w:color w:val="000000" w:themeColor="text1"/>
          <w:sz w:val="24"/>
        </w:rPr>
        <w:t>141</w:t>
      </w:r>
      <w:r w:rsidRPr="00453908">
        <w:rPr>
          <w:rFonts w:eastAsiaTheme="minorEastAsia"/>
          <w:color w:val="000000" w:themeColor="text1"/>
          <w:sz w:val="24"/>
        </w:rPr>
        <w:t>天</w:t>
      </w:r>
      <w:r w:rsidRPr="00453908">
        <w:rPr>
          <w:rFonts w:eastAsiaTheme="minorEastAsia"/>
          <w:color w:val="000000" w:themeColor="text1"/>
          <w:sz w:val="24"/>
        </w:rPr>
        <w:t>”</w:t>
      </w: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7.19</w:t>
            </w:r>
          </w:p>
        </w:tc>
        <w:tc>
          <w:tcPr>
            <w:tcW w:w="2550" w:type="dxa"/>
            <w:vAlign w:val="center"/>
          </w:tcPr>
          <w:p w:rsidR="004339AD" w:rsidRPr="0061644B" w:rsidRDefault="004339AD" w:rsidP="00792A69">
            <w:pPr>
              <w:spacing w:before="29" w:line="288" w:lineRule="auto"/>
              <w:jc w:val="right"/>
              <w:rPr>
                <w:sz w:val="24"/>
              </w:rPr>
            </w:pPr>
            <w:r w:rsidRPr="0061644B">
              <w:rPr>
                <w:sz w:val="24"/>
              </w:rPr>
              <w:t>4.22</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6.48</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53.17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2.03</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34.99</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103.87</w:t>
            </w:r>
          </w:p>
        </w:tc>
        <w:tc>
          <w:tcPr>
            <w:tcW w:w="2550" w:type="dxa"/>
            <w:vAlign w:val="center"/>
          </w:tcPr>
          <w:p w:rsidR="001E0231" w:rsidRPr="0061644B" w:rsidRDefault="001E0231" w:rsidP="00792A69">
            <w:pPr>
              <w:spacing w:before="29" w:line="288" w:lineRule="auto"/>
              <w:jc w:val="right"/>
              <w:rPr>
                <w:sz w:val="24"/>
              </w:rPr>
            </w:pPr>
            <w:r w:rsidRPr="0061644B">
              <w:rPr>
                <w:sz w:val="24"/>
              </w:rPr>
              <w:t>4.22</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19,912,700.27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0.12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881,491,393.79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5.40</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881,491,393.79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5.40</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lastRenderedPageBreak/>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301,940,000.44</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1.85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2,760,604,877.12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16.91</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50,099,680.11</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0.31</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8,125,109,738.51</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49.78</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12,139,158,390.24</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74.38</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4A0015">
        <w:tc>
          <w:tcPr>
            <w:tcW w:w="778" w:type="dxa"/>
            <w:vAlign w:val="center"/>
          </w:tcPr>
          <w:p w:rsidR="004A0015" w:rsidRDefault="00BD024B">
            <w:pPr>
              <w:jc w:val="center"/>
            </w:pPr>
            <w:r>
              <w:rPr>
                <w:sz w:val="24"/>
              </w:rPr>
              <w:t>1</w:t>
            </w:r>
          </w:p>
        </w:tc>
        <w:tc>
          <w:tcPr>
            <w:tcW w:w="1348" w:type="dxa"/>
            <w:vAlign w:val="center"/>
          </w:tcPr>
          <w:p w:rsidR="004A0015" w:rsidRDefault="00BD024B">
            <w:pPr>
              <w:jc w:val="center"/>
            </w:pPr>
            <w:r>
              <w:rPr>
                <w:sz w:val="24"/>
              </w:rPr>
              <w:t>0980135</w:t>
            </w:r>
          </w:p>
        </w:tc>
        <w:tc>
          <w:tcPr>
            <w:tcW w:w="1787" w:type="dxa"/>
            <w:vAlign w:val="center"/>
          </w:tcPr>
          <w:p w:rsidR="004A0015" w:rsidRDefault="00BD024B">
            <w:pPr>
              <w:jc w:val="center"/>
            </w:pPr>
            <w:r>
              <w:rPr>
                <w:sz w:val="24"/>
              </w:rPr>
              <w:t>09</w:t>
            </w:r>
            <w:r>
              <w:rPr>
                <w:sz w:val="24"/>
              </w:rPr>
              <w:t>铁道</w:t>
            </w:r>
            <w:r>
              <w:rPr>
                <w:sz w:val="24"/>
              </w:rPr>
              <w:t>01</w:t>
            </w:r>
          </w:p>
        </w:tc>
        <w:tc>
          <w:tcPr>
            <w:tcW w:w="1756" w:type="dxa"/>
            <w:vAlign w:val="center"/>
          </w:tcPr>
          <w:p w:rsidR="004A0015" w:rsidRDefault="00BD024B">
            <w:pPr>
              <w:jc w:val="center"/>
            </w:pPr>
            <w:r>
              <w:rPr>
                <w:sz w:val="24"/>
              </w:rPr>
              <w:t>3,000,000</w:t>
            </w:r>
          </w:p>
        </w:tc>
        <w:tc>
          <w:tcPr>
            <w:tcW w:w="2008" w:type="dxa"/>
            <w:vAlign w:val="center"/>
          </w:tcPr>
          <w:p w:rsidR="004A0015" w:rsidRDefault="00BD024B">
            <w:pPr>
              <w:jc w:val="center"/>
            </w:pPr>
            <w:r>
              <w:rPr>
                <w:sz w:val="24"/>
              </w:rPr>
              <w:t>301,940,000.44</w:t>
            </w:r>
          </w:p>
        </w:tc>
        <w:tc>
          <w:tcPr>
            <w:tcW w:w="1542" w:type="dxa"/>
            <w:vAlign w:val="center"/>
          </w:tcPr>
          <w:p w:rsidR="004A0015" w:rsidRDefault="00BD024B">
            <w:pPr>
              <w:jc w:val="center"/>
            </w:pPr>
            <w:r>
              <w:rPr>
                <w:sz w:val="24"/>
              </w:rPr>
              <w:t>1.85</w:t>
            </w:r>
          </w:p>
        </w:tc>
      </w:tr>
      <w:tr w:rsidR="004A0015">
        <w:tc>
          <w:tcPr>
            <w:tcW w:w="778" w:type="dxa"/>
            <w:vAlign w:val="center"/>
          </w:tcPr>
          <w:p w:rsidR="004A0015" w:rsidRDefault="00BD024B">
            <w:pPr>
              <w:jc w:val="center"/>
            </w:pPr>
            <w:r>
              <w:rPr>
                <w:sz w:val="24"/>
              </w:rPr>
              <w:t>2</w:t>
            </w:r>
          </w:p>
        </w:tc>
        <w:tc>
          <w:tcPr>
            <w:tcW w:w="1348" w:type="dxa"/>
            <w:vAlign w:val="center"/>
          </w:tcPr>
          <w:p w:rsidR="004A0015" w:rsidRDefault="00BD024B">
            <w:pPr>
              <w:jc w:val="center"/>
            </w:pPr>
            <w:r>
              <w:rPr>
                <w:sz w:val="24"/>
              </w:rPr>
              <w:t>180410</w:t>
            </w:r>
          </w:p>
        </w:tc>
        <w:tc>
          <w:tcPr>
            <w:tcW w:w="1787" w:type="dxa"/>
            <w:vAlign w:val="center"/>
          </w:tcPr>
          <w:p w:rsidR="004A0015" w:rsidRDefault="00BD024B">
            <w:pPr>
              <w:jc w:val="center"/>
            </w:pPr>
            <w:r>
              <w:rPr>
                <w:sz w:val="24"/>
              </w:rPr>
              <w:t>18</w:t>
            </w:r>
            <w:r>
              <w:rPr>
                <w:sz w:val="24"/>
              </w:rPr>
              <w:t>农发</w:t>
            </w:r>
            <w:r>
              <w:rPr>
                <w:sz w:val="24"/>
              </w:rPr>
              <w:t>10</w:t>
            </w:r>
          </w:p>
        </w:tc>
        <w:tc>
          <w:tcPr>
            <w:tcW w:w="1756" w:type="dxa"/>
            <w:vAlign w:val="center"/>
          </w:tcPr>
          <w:p w:rsidR="004A0015" w:rsidRDefault="00BD024B">
            <w:pPr>
              <w:jc w:val="center"/>
            </w:pPr>
            <w:r>
              <w:rPr>
                <w:sz w:val="24"/>
              </w:rPr>
              <w:t>2,700,000</w:t>
            </w:r>
          </w:p>
        </w:tc>
        <w:tc>
          <w:tcPr>
            <w:tcW w:w="2008" w:type="dxa"/>
            <w:vAlign w:val="center"/>
          </w:tcPr>
          <w:p w:rsidR="004A0015" w:rsidRDefault="00BD024B">
            <w:pPr>
              <w:jc w:val="center"/>
            </w:pPr>
            <w:r>
              <w:rPr>
                <w:sz w:val="24"/>
              </w:rPr>
              <w:t>270,176,263.84</w:t>
            </w:r>
          </w:p>
        </w:tc>
        <w:tc>
          <w:tcPr>
            <w:tcW w:w="1542" w:type="dxa"/>
            <w:vAlign w:val="center"/>
          </w:tcPr>
          <w:p w:rsidR="004A0015" w:rsidRDefault="00BD024B">
            <w:pPr>
              <w:jc w:val="center"/>
            </w:pPr>
            <w:r>
              <w:rPr>
                <w:sz w:val="24"/>
              </w:rPr>
              <w:t>1.66</w:t>
            </w:r>
          </w:p>
        </w:tc>
      </w:tr>
      <w:tr w:rsidR="004A0015">
        <w:tc>
          <w:tcPr>
            <w:tcW w:w="778" w:type="dxa"/>
            <w:vAlign w:val="center"/>
          </w:tcPr>
          <w:p w:rsidR="004A0015" w:rsidRDefault="00BD024B">
            <w:pPr>
              <w:jc w:val="center"/>
            </w:pPr>
            <w:r>
              <w:rPr>
                <w:sz w:val="24"/>
              </w:rPr>
              <w:t>3</w:t>
            </w:r>
          </w:p>
        </w:tc>
        <w:tc>
          <w:tcPr>
            <w:tcW w:w="1348" w:type="dxa"/>
            <w:vAlign w:val="center"/>
          </w:tcPr>
          <w:p w:rsidR="004A0015" w:rsidRDefault="00BD024B">
            <w:pPr>
              <w:jc w:val="center"/>
            </w:pPr>
            <w:r>
              <w:rPr>
                <w:sz w:val="24"/>
              </w:rPr>
              <w:t>111909143</w:t>
            </w:r>
          </w:p>
        </w:tc>
        <w:tc>
          <w:tcPr>
            <w:tcW w:w="1787" w:type="dxa"/>
            <w:vAlign w:val="center"/>
          </w:tcPr>
          <w:p w:rsidR="004A0015" w:rsidRDefault="00BD024B">
            <w:pPr>
              <w:jc w:val="center"/>
            </w:pPr>
            <w:r>
              <w:rPr>
                <w:sz w:val="24"/>
              </w:rPr>
              <w:t>19</w:t>
            </w:r>
            <w:r>
              <w:rPr>
                <w:sz w:val="24"/>
              </w:rPr>
              <w:t>浦发银行</w:t>
            </w:r>
            <w:r>
              <w:rPr>
                <w:sz w:val="24"/>
              </w:rPr>
              <w:t>CD143</w:t>
            </w:r>
          </w:p>
        </w:tc>
        <w:tc>
          <w:tcPr>
            <w:tcW w:w="1756" w:type="dxa"/>
            <w:vAlign w:val="center"/>
          </w:tcPr>
          <w:p w:rsidR="004A0015" w:rsidRDefault="00BD024B">
            <w:pPr>
              <w:jc w:val="center"/>
            </w:pPr>
            <w:r>
              <w:rPr>
                <w:sz w:val="24"/>
              </w:rPr>
              <w:t>2,500,000</w:t>
            </w:r>
          </w:p>
        </w:tc>
        <w:tc>
          <w:tcPr>
            <w:tcW w:w="2008" w:type="dxa"/>
            <w:vAlign w:val="center"/>
          </w:tcPr>
          <w:p w:rsidR="004A0015" w:rsidRDefault="00BD024B">
            <w:pPr>
              <w:jc w:val="center"/>
            </w:pPr>
            <w:r>
              <w:rPr>
                <w:sz w:val="24"/>
              </w:rPr>
              <w:t>243,241,360.62</w:t>
            </w:r>
          </w:p>
        </w:tc>
        <w:tc>
          <w:tcPr>
            <w:tcW w:w="1542" w:type="dxa"/>
            <w:vAlign w:val="center"/>
          </w:tcPr>
          <w:p w:rsidR="004A0015" w:rsidRDefault="00BD024B">
            <w:pPr>
              <w:jc w:val="center"/>
            </w:pPr>
            <w:r>
              <w:rPr>
                <w:sz w:val="24"/>
              </w:rPr>
              <w:t>1.49</w:t>
            </w:r>
          </w:p>
        </w:tc>
      </w:tr>
      <w:tr w:rsidR="004A0015">
        <w:tc>
          <w:tcPr>
            <w:tcW w:w="778" w:type="dxa"/>
            <w:vAlign w:val="center"/>
          </w:tcPr>
          <w:p w:rsidR="004A0015" w:rsidRDefault="00BD024B">
            <w:pPr>
              <w:jc w:val="center"/>
            </w:pPr>
            <w:r>
              <w:rPr>
                <w:sz w:val="24"/>
              </w:rPr>
              <w:t>4</w:t>
            </w:r>
          </w:p>
        </w:tc>
        <w:tc>
          <w:tcPr>
            <w:tcW w:w="1348" w:type="dxa"/>
            <w:vAlign w:val="center"/>
          </w:tcPr>
          <w:p w:rsidR="004A0015" w:rsidRDefault="00BD024B">
            <w:pPr>
              <w:jc w:val="center"/>
            </w:pPr>
            <w:r>
              <w:rPr>
                <w:sz w:val="24"/>
              </w:rPr>
              <w:t>111908128</w:t>
            </w:r>
          </w:p>
        </w:tc>
        <w:tc>
          <w:tcPr>
            <w:tcW w:w="1787" w:type="dxa"/>
            <w:vAlign w:val="center"/>
          </w:tcPr>
          <w:p w:rsidR="004A0015" w:rsidRDefault="00BD024B">
            <w:pPr>
              <w:jc w:val="center"/>
            </w:pPr>
            <w:r>
              <w:rPr>
                <w:sz w:val="24"/>
              </w:rPr>
              <w:t>19</w:t>
            </w:r>
            <w:r>
              <w:rPr>
                <w:sz w:val="24"/>
              </w:rPr>
              <w:t>中信银行</w:t>
            </w:r>
            <w:r>
              <w:rPr>
                <w:sz w:val="24"/>
              </w:rPr>
              <w:t>CD128</w:t>
            </w:r>
          </w:p>
        </w:tc>
        <w:tc>
          <w:tcPr>
            <w:tcW w:w="1756" w:type="dxa"/>
            <w:vAlign w:val="center"/>
          </w:tcPr>
          <w:p w:rsidR="004A0015" w:rsidRDefault="00BD024B">
            <w:pPr>
              <w:jc w:val="center"/>
            </w:pPr>
            <w:r>
              <w:rPr>
                <w:sz w:val="24"/>
              </w:rPr>
              <w:t>2,500,000</w:t>
            </w:r>
          </w:p>
        </w:tc>
        <w:tc>
          <w:tcPr>
            <w:tcW w:w="2008" w:type="dxa"/>
            <w:vAlign w:val="center"/>
          </w:tcPr>
          <w:p w:rsidR="004A0015" w:rsidRDefault="00BD024B">
            <w:pPr>
              <w:jc w:val="center"/>
            </w:pPr>
            <w:r>
              <w:rPr>
                <w:sz w:val="24"/>
              </w:rPr>
              <w:t>242,555,433.49</w:t>
            </w:r>
          </w:p>
        </w:tc>
        <w:tc>
          <w:tcPr>
            <w:tcW w:w="1542" w:type="dxa"/>
            <w:vAlign w:val="center"/>
          </w:tcPr>
          <w:p w:rsidR="004A0015" w:rsidRDefault="00BD024B">
            <w:pPr>
              <w:jc w:val="center"/>
            </w:pPr>
            <w:r>
              <w:rPr>
                <w:sz w:val="24"/>
              </w:rPr>
              <w:t>1.49</w:t>
            </w:r>
          </w:p>
        </w:tc>
      </w:tr>
      <w:tr w:rsidR="004A0015">
        <w:tc>
          <w:tcPr>
            <w:tcW w:w="778" w:type="dxa"/>
            <w:vAlign w:val="center"/>
          </w:tcPr>
          <w:p w:rsidR="004A0015" w:rsidRDefault="00BD024B">
            <w:pPr>
              <w:jc w:val="center"/>
            </w:pPr>
            <w:r>
              <w:rPr>
                <w:sz w:val="24"/>
              </w:rPr>
              <w:t>5</w:t>
            </w:r>
          </w:p>
        </w:tc>
        <w:tc>
          <w:tcPr>
            <w:tcW w:w="1348" w:type="dxa"/>
            <w:vAlign w:val="center"/>
          </w:tcPr>
          <w:p w:rsidR="004A0015" w:rsidRDefault="00BD024B">
            <w:pPr>
              <w:jc w:val="center"/>
            </w:pPr>
            <w:r>
              <w:rPr>
                <w:sz w:val="24"/>
              </w:rPr>
              <w:t>111909199</w:t>
            </w:r>
          </w:p>
        </w:tc>
        <w:tc>
          <w:tcPr>
            <w:tcW w:w="1787" w:type="dxa"/>
            <w:vAlign w:val="center"/>
          </w:tcPr>
          <w:p w:rsidR="004A0015" w:rsidRDefault="00BD024B">
            <w:pPr>
              <w:jc w:val="center"/>
            </w:pPr>
            <w:r>
              <w:rPr>
                <w:sz w:val="24"/>
              </w:rPr>
              <w:t>19</w:t>
            </w:r>
            <w:r>
              <w:rPr>
                <w:sz w:val="24"/>
              </w:rPr>
              <w:t>浦发银行</w:t>
            </w:r>
            <w:r>
              <w:rPr>
                <w:sz w:val="24"/>
              </w:rPr>
              <w:t>CD199</w:t>
            </w:r>
          </w:p>
        </w:tc>
        <w:tc>
          <w:tcPr>
            <w:tcW w:w="1756" w:type="dxa"/>
            <w:vAlign w:val="center"/>
          </w:tcPr>
          <w:p w:rsidR="004A0015" w:rsidRDefault="00BD024B">
            <w:pPr>
              <w:jc w:val="center"/>
            </w:pPr>
            <w:r>
              <w:rPr>
                <w:sz w:val="24"/>
              </w:rPr>
              <w:t>2,500,000</w:t>
            </w:r>
          </w:p>
        </w:tc>
        <w:tc>
          <w:tcPr>
            <w:tcW w:w="2008" w:type="dxa"/>
            <w:vAlign w:val="center"/>
          </w:tcPr>
          <w:p w:rsidR="004A0015" w:rsidRDefault="00BD024B">
            <w:pPr>
              <w:jc w:val="center"/>
            </w:pPr>
            <w:r>
              <w:rPr>
                <w:sz w:val="24"/>
              </w:rPr>
              <w:t>242,555,433.49</w:t>
            </w:r>
          </w:p>
        </w:tc>
        <w:tc>
          <w:tcPr>
            <w:tcW w:w="1542" w:type="dxa"/>
            <w:vAlign w:val="center"/>
          </w:tcPr>
          <w:p w:rsidR="004A0015" w:rsidRDefault="00BD024B">
            <w:pPr>
              <w:jc w:val="center"/>
            </w:pPr>
            <w:r>
              <w:rPr>
                <w:sz w:val="24"/>
              </w:rPr>
              <w:t>1.49</w:t>
            </w:r>
          </w:p>
        </w:tc>
      </w:tr>
      <w:tr w:rsidR="004A0015">
        <w:tc>
          <w:tcPr>
            <w:tcW w:w="778" w:type="dxa"/>
            <w:vAlign w:val="center"/>
          </w:tcPr>
          <w:p w:rsidR="004A0015" w:rsidRDefault="00BD024B">
            <w:pPr>
              <w:jc w:val="center"/>
            </w:pPr>
            <w:r>
              <w:rPr>
                <w:sz w:val="24"/>
              </w:rPr>
              <w:t>6</w:t>
            </w:r>
          </w:p>
        </w:tc>
        <w:tc>
          <w:tcPr>
            <w:tcW w:w="1348" w:type="dxa"/>
            <w:vAlign w:val="center"/>
          </w:tcPr>
          <w:p w:rsidR="004A0015" w:rsidRDefault="00BD024B">
            <w:pPr>
              <w:jc w:val="center"/>
            </w:pPr>
            <w:r>
              <w:rPr>
                <w:sz w:val="24"/>
              </w:rPr>
              <w:t>111915231</w:t>
            </w:r>
          </w:p>
        </w:tc>
        <w:tc>
          <w:tcPr>
            <w:tcW w:w="1787" w:type="dxa"/>
            <w:vAlign w:val="center"/>
          </w:tcPr>
          <w:p w:rsidR="004A0015" w:rsidRDefault="00BD024B">
            <w:pPr>
              <w:jc w:val="center"/>
            </w:pPr>
            <w:r>
              <w:rPr>
                <w:sz w:val="24"/>
              </w:rPr>
              <w:t>19</w:t>
            </w:r>
            <w:r>
              <w:rPr>
                <w:sz w:val="24"/>
              </w:rPr>
              <w:t>民生银行</w:t>
            </w:r>
            <w:r>
              <w:rPr>
                <w:sz w:val="24"/>
              </w:rPr>
              <w:t>CD231</w:t>
            </w:r>
          </w:p>
        </w:tc>
        <w:tc>
          <w:tcPr>
            <w:tcW w:w="1756" w:type="dxa"/>
            <w:vAlign w:val="center"/>
          </w:tcPr>
          <w:p w:rsidR="004A0015" w:rsidRDefault="00BD024B">
            <w:pPr>
              <w:jc w:val="center"/>
            </w:pPr>
            <w:r>
              <w:rPr>
                <w:sz w:val="24"/>
              </w:rPr>
              <w:t>2,500,000</w:t>
            </w:r>
          </w:p>
        </w:tc>
        <w:tc>
          <w:tcPr>
            <w:tcW w:w="2008" w:type="dxa"/>
            <w:vAlign w:val="center"/>
          </w:tcPr>
          <w:p w:rsidR="004A0015" w:rsidRDefault="00BD024B">
            <w:pPr>
              <w:jc w:val="center"/>
            </w:pPr>
            <w:r>
              <w:rPr>
                <w:sz w:val="24"/>
              </w:rPr>
              <w:t>242,495,410.34</w:t>
            </w:r>
          </w:p>
        </w:tc>
        <w:tc>
          <w:tcPr>
            <w:tcW w:w="1542" w:type="dxa"/>
            <w:vAlign w:val="center"/>
          </w:tcPr>
          <w:p w:rsidR="004A0015" w:rsidRDefault="00BD024B">
            <w:pPr>
              <w:jc w:val="center"/>
            </w:pPr>
            <w:r>
              <w:rPr>
                <w:sz w:val="24"/>
              </w:rPr>
              <w:t>1.49</w:t>
            </w:r>
          </w:p>
        </w:tc>
      </w:tr>
      <w:tr w:rsidR="004A0015">
        <w:tc>
          <w:tcPr>
            <w:tcW w:w="778" w:type="dxa"/>
            <w:vAlign w:val="center"/>
          </w:tcPr>
          <w:p w:rsidR="004A0015" w:rsidRDefault="00BD024B">
            <w:pPr>
              <w:jc w:val="center"/>
            </w:pPr>
            <w:r>
              <w:rPr>
                <w:sz w:val="24"/>
              </w:rPr>
              <w:t>7</w:t>
            </w:r>
          </w:p>
        </w:tc>
        <w:tc>
          <w:tcPr>
            <w:tcW w:w="1348" w:type="dxa"/>
            <w:vAlign w:val="center"/>
          </w:tcPr>
          <w:p w:rsidR="004A0015" w:rsidRDefault="00BD024B">
            <w:pPr>
              <w:jc w:val="center"/>
            </w:pPr>
            <w:r>
              <w:rPr>
                <w:sz w:val="24"/>
              </w:rPr>
              <w:t>041800355</w:t>
            </w:r>
          </w:p>
        </w:tc>
        <w:tc>
          <w:tcPr>
            <w:tcW w:w="1787" w:type="dxa"/>
            <w:vAlign w:val="center"/>
          </w:tcPr>
          <w:p w:rsidR="004A0015" w:rsidRDefault="00BD024B">
            <w:pPr>
              <w:jc w:val="center"/>
            </w:pPr>
            <w:r>
              <w:rPr>
                <w:sz w:val="24"/>
              </w:rPr>
              <w:t>18</w:t>
            </w:r>
            <w:r>
              <w:rPr>
                <w:sz w:val="24"/>
              </w:rPr>
              <w:t>国家核电</w:t>
            </w:r>
            <w:r>
              <w:rPr>
                <w:sz w:val="24"/>
              </w:rPr>
              <w:t>CP001</w:t>
            </w:r>
          </w:p>
        </w:tc>
        <w:tc>
          <w:tcPr>
            <w:tcW w:w="1756" w:type="dxa"/>
            <w:vAlign w:val="center"/>
          </w:tcPr>
          <w:p w:rsidR="004A0015" w:rsidRDefault="00BD024B">
            <w:pPr>
              <w:jc w:val="center"/>
            </w:pPr>
            <w:r>
              <w:rPr>
                <w:sz w:val="24"/>
              </w:rPr>
              <w:t>2,300,000</w:t>
            </w:r>
          </w:p>
        </w:tc>
        <w:tc>
          <w:tcPr>
            <w:tcW w:w="2008" w:type="dxa"/>
            <w:vAlign w:val="center"/>
          </w:tcPr>
          <w:p w:rsidR="004A0015" w:rsidRDefault="00BD024B">
            <w:pPr>
              <w:jc w:val="center"/>
            </w:pPr>
            <w:r>
              <w:rPr>
                <w:sz w:val="24"/>
              </w:rPr>
              <w:t>231,187,198.73</w:t>
            </w:r>
          </w:p>
        </w:tc>
        <w:tc>
          <w:tcPr>
            <w:tcW w:w="1542" w:type="dxa"/>
            <w:vAlign w:val="center"/>
          </w:tcPr>
          <w:p w:rsidR="004A0015" w:rsidRDefault="00BD024B">
            <w:pPr>
              <w:jc w:val="center"/>
            </w:pPr>
            <w:r>
              <w:rPr>
                <w:sz w:val="24"/>
              </w:rPr>
              <w:t>1.42</w:t>
            </w:r>
          </w:p>
        </w:tc>
      </w:tr>
      <w:tr w:rsidR="004A0015">
        <w:tc>
          <w:tcPr>
            <w:tcW w:w="778" w:type="dxa"/>
            <w:vAlign w:val="center"/>
          </w:tcPr>
          <w:p w:rsidR="004A0015" w:rsidRDefault="00BD024B">
            <w:pPr>
              <w:jc w:val="center"/>
            </w:pPr>
            <w:r>
              <w:rPr>
                <w:sz w:val="24"/>
              </w:rPr>
              <w:t>8</w:t>
            </w:r>
          </w:p>
        </w:tc>
        <w:tc>
          <w:tcPr>
            <w:tcW w:w="1348" w:type="dxa"/>
            <w:vAlign w:val="center"/>
          </w:tcPr>
          <w:p w:rsidR="004A0015" w:rsidRDefault="00BD024B">
            <w:pPr>
              <w:jc w:val="center"/>
            </w:pPr>
            <w:r>
              <w:rPr>
                <w:sz w:val="24"/>
              </w:rPr>
              <w:t>180312</w:t>
            </w:r>
          </w:p>
        </w:tc>
        <w:tc>
          <w:tcPr>
            <w:tcW w:w="1787" w:type="dxa"/>
            <w:vAlign w:val="center"/>
          </w:tcPr>
          <w:p w:rsidR="004A0015" w:rsidRDefault="00BD024B">
            <w:pPr>
              <w:jc w:val="center"/>
            </w:pPr>
            <w:r>
              <w:rPr>
                <w:sz w:val="24"/>
              </w:rPr>
              <w:t>18</w:t>
            </w:r>
            <w:r>
              <w:rPr>
                <w:sz w:val="24"/>
              </w:rPr>
              <w:t>进出</w:t>
            </w:r>
            <w:r>
              <w:rPr>
                <w:sz w:val="24"/>
              </w:rPr>
              <w:t>12</w:t>
            </w:r>
          </w:p>
        </w:tc>
        <w:tc>
          <w:tcPr>
            <w:tcW w:w="1756" w:type="dxa"/>
            <w:vAlign w:val="center"/>
          </w:tcPr>
          <w:p w:rsidR="004A0015" w:rsidRDefault="00BD024B">
            <w:pPr>
              <w:jc w:val="center"/>
            </w:pPr>
            <w:r>
              <w:rPr>
                <w:sz w:val="24"/>
              </w:rPr>
              <w:t>2,300,000</w:t>
            </w:r>
          </w:p>
        </w:tc>
        <w:tc>
          <w:tcPr>
            <w:tcW w:w="2008" w:type="dxa"/>
            <w:vAlign w:val="center"/>
          </w:tcPr>
          <w:p w:rsidR="004A0015" w:rsidRDefault="00BD024B">
            <w:pPr>
              <w:jc w:val="center"/>
            </w:pPr>
            <w:r>
              <w:rPr>
                <w:sz w:val="24"/>
              </w:rPr>
              <w:t>230,324,771.18</w:t>
            </w:r>
          </w:p>
        </w:tc>
        <w:tc>
          <w:tcPr>
            <w:tcW w:w="1542" w:type="dxa"/>
            <w:vAlign w:val="center"/>
          </w:tcPr>
          <w:p w:rsidR="004A0015" w:rsidRDefault="00BD024B">
            <w:pPr>
              <w:jc w:val="center"/>
            </w:pPr>
            <w:r>
              <w:rPr>
                <w:sz w:val="24"/>
              </w:rPr>
              <w:t>1.41</w:t>
            </w:r>
          </w:p>
        </w:tc>
      </w:tr>
      <w:tr w:rsidR="004A0015">
        <w:tc>
          <w:tcPr>
            <w:tcW w:w="778" w:type="dxa"/>
            <w:vAlign w:val="center"/>
          </w:tcPr>
          <w:p w:rsidR="004A0015" w:rsidRDefault="00BD024B">
            <w:pPr>
              <w:jc w:val="center"/>
            </w:pPr>
            <w:r>
              <w:rPr>
                <w:sz w:val="24"/>
              </w:rPr>
              <w:t>9</w:t>
            </w:r>
          </w:p>
        </w:tc>
        <w:tc>
          <w:tcPr>
            <w:tcW w:w="1348" w:type="dxa"/>
            <w:vAlign w:val="center"/>
          </w:tcPr>
          <w:p w:rsidR="004A0015" w:rsidRDefault="00BD024B">
            <w:pPr>
              <w:jc w:val="center"/>
            </w:pPr>
            <w:r>
              <w:rPr>
                <w:sz w:val="24"/>
              </w:rPr>
              <w:t>111911064</w:t>
            </w:r>
          </w:p>
        </w:tc>
        <w:tc>
          <w:tcPr>
            <w:tcW w:w="1787" w:type="dxa"/>
            <w:vAlign w:val="center"/>
          </w:tcPr>
          <w:p w:rsidR="004A0015" w:rsidRDefault="00BD024B">
            <w:pPr>
              <w:jc w:val="center"/>
            </w:pPr>
            <w:r>
              <w:rPr>
                <w:sz w:val="24"/>
              </w:rPr>
              <w:t>19</w:t>
            </w:r>
            <w:r>
              <w:rPr>
                <w:sz w:val="24"/>
              </w:rPr>
              <w:t>平安银行</w:t>
            </w:r>
            <w:r>
              <w:rPr>
                <w:sz w:val="24"/>
              </w:rPr>
              <w:t>CD064</w:t>
            </w:r>
          </w:p>
        </w:tc>
        <w:tc>
          <w:tcPr>
            <w:tcW w:w="1756" w:type="dxa"/>
            <w:vAlign w:val="center"/>
          </w:tcPr>
          <w:p w:rsidR="004A0015" w:rsidRDefault="00BD024B">
            <w:pPr>
              <w:jc w:val="center"/>
            </w:pPr>
            <w:r>
              <w:rPr>
                <w:sz w:val="24"/>
              </w:rPr>
              <w:t>2,100,000</w:t>
            </w:r>
          </w:p>
        </w:tc>
        <w:tc>
          <w:tcPr>
            <w:tcW w:w="2008" w:type="dxa"/>
            <w:vAlign w:val="center"/>
          </w:tcPr>
          <w:p w:rsidR="004A0015" w:rsidRDefault="00BD024B">
            <w:pPr>
              <w:jc w:val="center"/>
            </w:pPr>
            <w:r>
              <w:rPr>
                <w:sz w:val="24"/>
              </w:rPr>
              <w:t>204,340,217.26</w:t>
            </w:r>
          </w:p>
        </w:tc>
        <w:tc>
          <w:tcPr>
            <w:tcW w:w="1542" w:type="dxa"/>
            <w:vAlign w:val="center"/>
          </w:tcPr>
          <w:p w:rsidR="004A0015" w:rsidRDefault="00BD024B">
            <w:pPr>
              <w:jc w:val="center"/>
            </w:pPr>
            <w:r>
              <w:rPr>
                <w:sz w:val="24"/>
              </w:rPr>
              <w:t>1.25</w:t>
            </w:r>
          </w:p>
        </w:tc>
      </w:tr>
      <w:tr w:rsidR="004A0015">
        <w:tc>
          <w:tcPr>
            <w:tcW w:w="778" w:type="dxa"/>
            <w:vAlign w:val="center"/>
          </w:tcPr>
          <w:p w:rsidR="004A0015" w:rsidRDefault="00BD024B">
            <w:pPr>
              <w:jc w:val="center"/>
            </w:pPr>
            <w:r>
              <w:rPr>
                <w:sz w:val="24"/>
              </w:rPr>
              <w:t>10</w:t>
            </w:r>
          </w:p>
        </w:tc>
        <w:tc>
          <w:tcPr>
            <w:tcW w:w="1348" w:type="dxa"/>
            <w:vAlign w:val="center"/>
          </w:tcPr>
          <w:p w:rsidR="004A0015" w:rsidRDefault="00BD024B">
            <w:pPr>
              <w:jc w:val="center"/>
            </w:pPr>
            <w:r>
              <w:rPr>
                <w:sz w:val="24"/>
              </w:rPr>
              <w:t>011900396</w:t>
            </w:r>
          </w:p>
        </w:tc>
        <w:tc>
          <w:tcPr>
            <w:tcW w:w="1787" w:type="dxa"/>
            <w:vAlign w:val="center"/>
          </w:tcPr>
          <w:p w:rsidR="004A0015" w:rsidRDefault="00BD024B">
            <w:pPr>
              <w:jc w:val="center"/>
            </w:pPr>
            <w:r>
              <w:rPr>
                <w:sz w:val="24"/>
              </w:rPr>
              <w:t>19</w:t>
            </w:r>
            <w:r>
              <w:rPr>
                <w:sz w:val="24"/>
              </w:rPr>
              <w:t>中电信</w:t>
            </w:r>
            <w:r>
              <w:rPr>
                <w:sz w:val="24"/>
              </w:rPr>
              <w:t>SCP003</w:t>
            </w:r>
          </w:p>
        </w:tc>
        <w:tc>
          <w:tcPr>
            <w:tcW w:w="1756" w:type="dxa"/>
            <w:vAlign w:val="center"/>
          </w:tcPr>
          <w:p w:rsidR="004A0015" w:rsidRDefault="00BD024B">
            <w:pPr>
              <w:jc w:val="center"/>
            </w:pPr>
            <w:r>
              <w:rPr>
                <w:sz w:val="24"/>
              </w:rPr>
              <w:t>2,000,000</w:t>
            </w:r>
          </w:p>
        </w:tc>
        <w:tc>
          <w:tcPr>
            <w:tcW w:w="2008" w:type="dxa"/>
            <w:vAlign w:val="center"/>
          </w:tcPr>
          <w:p w:rsidR="004A0015" w:rsidRDefault="00BD024B">
            <w:pPr>
              <w:jc w:val="center"/>
            </w:pPr>
            <w:r>
              <w:rPr>
                <w:sz w:val="24"/>
              </w:rPr>
              <w:t>199,927,884.64</w:t>
            </w:r>
          </w:p>
        </w:tc>
        <w:tc>
          <w:tcPr>
            <w:tcW w:w="1542" w:type="dxa"/>
            <w:vAlign w:val="center"/>
          </w:tcPr>
          <w:p w:rsidR="004A0015" w:rsidRDefault="00BD024B">
            <w:pPr>
              <w:jc w:val="center"/>
            </w:pPr>
            <w:r>
              <w:rPr>
                <w:sz w:val="24"/>
              </w:rPr>
              <w:t>1.22</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0.2241%</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0.0454%</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0.1311%</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lastRenderedPageBreak/>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4A0015">
        <w:tc>
          <w:tcPr>
            <w:tcW w:w="1179" w:type="dxa"/>
            <w:vAlign w:val="center"/>
          </w:tcPr>
          <w:p w:rsidR="004A0015" w:rsidRDefault="00BD024B">
            <w:pPr>
              <w:jc w:val="center"/>
            </w:pPr>
            <w:r>
              <w:rPr>
                <w:sz w:val="24"/>
              </w:rPr>
              <w:t>1</w:t>
            </w:r>
          </w:p>
        </w:tc>
        <w:tc>
          <w:tcPr>
            <w:tcW w:w="1270" w:type="dxa"/>
            <w:vAlign w:val="center"/>
          </w:tcPr>
          <w:p w:rsidR="004A0015" w:rsidRDefault="00BD024B">
            <w:pPr>
              <w:jc w:val="center"/>
            </w:pPr>
            <w:r>
              <w:rPr>
                <w:sz w:val="24"/>
              </w:rPr>
              <w:t>1989094</w:t>
            </w:r>
          </w:p>
        </w:tc>
        <w:tc>
          <w:tcPr>
            <w:tcW w:w="1318" w:type="dxa"/>
            <w:vAlign w:val="center"/>
          </w:tcPr>
          <w:p w:rsidR="004A0015" w:rsidRDefault="00BD024B">
            <w:pPr>
              <w:jc w:val="center"/>
            </w:pPr>
            <w:r>
              <w:rPr>
                <w:sz w:val="24"/>
              </w:rPr>
              <w:t>19</w:t>
            </w:r>
            <w:r>
              <w:rPr>
                <w:sz w:val="24"/>
              </w:rPr>
              <w:t>上和</w:t>
            </w:r>
            <w:r>
              <w:rPr>
                <w:sz w:val="24"/>
              </w:rPr>
              <w:t>2A1</w:t>
            </w:r>
          </w:p>
        </w:tc>
        <w:tc>
          <w:tcPr>
            <w:tcW w:w="1468" w:type="dxa"/>
            <w:vAlign w:val="center"/>
          </w:tcPr>
          <w:p w:rsidR="004A0015" w:rsidRDefault="00BD024B">
            <w:pPr>
              <w:jc w:val="right"/>
            </w:pPr>
            <w:r>
              <w:rPr>
                <w:sz w:val="24"/>
              </w:rPr>
              <w:t>3,000,000</w:t>
            </w:r>
          </w:p>
        </w:tc>
        <w:tc>
          <w:tcPr>
            <w:tcW w:w="1583" w:type="dxa"/>
            <w:vAlign w:val="center"/>
          </w:tcPr>
          <w:p w:rsidR="004A0015" w:rsidRDefault="00BD024B">
            <w:pPr>
              <w:jc w:val="right"/>
            </w:pPr>
            <w:r>
              <w:rPr>
                <w:sz w:val="24"/>
              </w:rPr>
              <w:t>158,730,000.00</w:t>
            </w:r>
          </w:p>
        </w:tc>
        <w:tc>
          <w:tcPr>
            <w:tcW w:w="2401" w:type="dxa"/>
            <w:vAlign w:val="center"/>
          </w:tcPr>
          <w:p w:rsidR="004A0015" w:rsidRDefault="00BD024B">
            <w:pPr>
              <w:jc w:val="right"/>
            </w:pPr>
            <w:r>
              <w:rPr>
                <w:sz w:val="24"/>
              </w:rPr>
              <w:t>0.97</w:t>
            </w:r>
          </w:p>
        </w:tc>
      </w:tr>
      <w:tr w:rsidR="004A0015">
        <w:tc>
          <w:tcPr>
            <w:tcW w:w="1179" w:type="dxa"/>
            <w:vAlign w:val="center"/>
          </w:tcPr>
          <w:p w:rsidR="004A0015" w:rsidRDefault="00BD024B">
            <w:pPr>
              <w:jc w:val="center"/>
            </w:pPr>
            <w:r>
              <w:rPr>
                <w:sz w:val="24"/>
              </w:rPr>
              <w:t>2</w:t>
            </w:r>
          </w:p>
        </w:tc>
        <w:tc>
          <w:tcPr>
            <w:tcW w:w="1270" w:type="dxa"/>
            <w:vAlign w:val="center"/>
          </w:tcPr>
          <w:p w:rsidR="004A0015" w:rsidRDefault="00BD024B">
            <w:pPr>
              <w:jc w:val="center"/>
            </w:pPr>
            <w:r>
              <w:rPr>
                <w:sz w:val="24"/>
              </w:rPr>
              <w:t>156794</w:t>
            </w:r>
          </w:p>
        </w:tc>
        <w:tc>
          <w:tcPr>
            <w:tcW w:w="1318" w:type="dxa"/>
            <w:vAlign w:val="center"/>
          </w:tcPr>
          <w:p w:rsidR="004A0015" w:rsidRDefault="00BD024B">
            <w:pPr>
              <w:jc w:val="center"/>
            </w:pPr>
            <w:r>
              <w:rPr>
                <w:sz w:val="24"/>
              </w:rPr>
              <w:t>信泽</w:t>
            </w:r>
            <w:r>
              <w:rPr>
                <w:sz w:val="24"/>
              </w:rPr>
              <w:t>01A2</w:t>
            </w:r>
          </w:p>
        </w:tc>
        <w:tc>
          <w:tcPr>
            <w:tcW w:w="1468" w:type="dxa"/>
            <w:vAlign w:val="center"/>
          </w:tcPr>
          <w:p w:rsidR="004A0015" w:rsidRDefault="00BD024B">
            <w:pPr>
              <w:jc w:val="right"/>
            </w:pPr>
            <w:r>
              <w:rPr>
                <w:sz w:val="24"/>
              </w:rPr>
              <w:t>1,000,000</w:t>
            </w:r>
          </w:p>
        </w:tc>
        <w:tc>
          <w:tcPr>
            <w:tcW w:w="1583" w:type="dxa"/>
            <w:vAlign w:val="center"/>
          </w:tcPr>
          <w:p w:rsidR="004A0015" w:rsidRDefault="00BD024B">
            <w:pPr>
              <w:jc w:val="right"/>
            </w:pPr>
            <w:r>
              <w:rPr>
                <w:sz w:val="24"/>
              </w:rPr>
              <w:t>100,000,000.00</w:t>
            </w:r>
          </w:p>
        </w:tc>
        <w:tc>
          <w:tcPr>
            <w:tcW w:w="2401" w:type="dxa"/>
            <w:vAlign w:val="center"/>
          </w:tcPr>
          <w:p w:rsidR="004A0015" w:rsidRDefault="00BD024B">
            <w:pPr>
              <w:jc w:val="right"/>
            </w:pPr>
            <w:r>
              <w:rPr>
                <w:sz w:val="24"/>
              </w:rPr>
              <w:t>0.61</w:t>
            </w:r>
          </w:p>
        </w:tc>
      </w:tr>
      <w:tr w:rsidR="004A0015">
        <w:tc>
          <w:tcPr>
            <w:tcW w:w="1179" w:type="dxa"/>
            <w:vAlign w:val="center"/>
          </w:tcPr>
          <w:p w:rsidR="004A0015" w:rsidRDefault="00BD024B">
            <w:pPr>
              <w:jc w:val="center"/>
            </w:pPr>
            <w:r>
              <w:rPr>
                <w:sz w:val="24"/>
              </w:rPr>
              <w:t>3</w:t>
            </w:r>
          </w:p>
        </w:tc>
        <w:tc>
          <w:tcPr>
            <w:tcW w:w="1270" w:type="dxa"/>
            <w:vAlign w:val="center"/>
          </w:tcPr>
          <w:p w:rsidR="004A0015" w:rsidRDefault="00BD024B">
            <w:pPr>
              <w:jc w:val="center"/>
            </w:pPr>
            <w:r>
              <w:rPr>
                <w:sz w:val="24"/>
              </w:rPr>
              <w:t>159180</w:t>
            </w:r>
          </w:p>
        </w:tc>
        <w:tc>
          <w:tcPr>
            <w:tcW w:w="1318" w:type="dxa"/>
            <w:vAlign w:val="center"/>
          </w:tcPr>
          <w:p w:rsidR="004A0015" w:rsidRDefault="00BD024B">
            <w:pPr>
              <w:jc w:val="center"/>
            </w:pPr>
            <w:r>
              <w:rPr>
                <w:sz w:val="24"/>
              </w:rPr>
              <w:t>信泽</w:t>
            </w:r>
            <w:r>
              <w:rPr>
                <w:sz w:val="24"/>
              </w:rPr>
              <w:t>02A1</w:t>
            </w:r>
          </w:p>
        </w:tc>
        <w:tc>
          <w:tcPr>
            <w:tcW w:w="1468" w:type="dxa"/>
            <w:vAlign w:val="center"/>
          </w:tcPr>
          <w:p w:rsidR="004A0015" w:rsidRDefault="00BD024B">
            <w:pPr>
              <w:jc w:val="right"/>
            </w:pPr>
            <w:r>
              <w:rPr>
                <w:sz w:val="24"/>
              </w:rPr>
              <w:t>400,000</w:t>
            </w:r>
          </w:p>
        </w:tc>
        <w:tc>
          <w:tcPr>
            <w:tcW w:w="1583" w:type="dxa"/>
            <w:vAlign w:val="center"/>
          </w:tcPr>
          <w:p w:rsidR="004A0015" w:rsidRDefault="00BD024B">
            <w:pPr>
              <w:jc w:val="right"/>
            </w:pPr>
            <w:r>
              <w:rPr>
                <w:sz w:val="24"/>
              </w:rPr>
              <w:t>40,000,000.00</w:t>
            </w:r>
          </w:p>
        </w:tc>
        <w:tc>
          <w:tcPr>
            <w:tcW w:w="2401" w:type="dxa"/>
            <w:vAlign w:val="center"/>
          </w:tcPr>
          <w:p w:rsidR="004A0015" w:rsidRDefault="00BD024B">
            <w:pPr>
              <w:jc w:val="right"/>
            </w:pPr>
            <w:r>
              <w:rPr>
                <w:sz w:val="24"/>
              </w:rPr>
              <w:t>0.25</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报告期内本基金投资的前十名证券的发行主体除</w:t>
      </w:r>
      <w:r w:rsidRPr="002801CE">
        <w:rPr>
          <w:sz w:val="24"/>
        </w:rPr>
        <w:t>19</w:t>
      </w:r>
      <w:r w:rsidRPr="002801CE">
        <w:rPr>
          <w:sz w:val="24"/>
        </w:rPr>
        <w:t>民生银行</w:t>
      </w:r>
      <w:r w:rsidRPr="002801CE">
        <w:rPr>
          <w:sz w:val="24"/>
        </w:rPr>
        <w:t>CD231</w:t>
      </w:r>
      <w:r w:rsidRPr="002801CE">
        <w:rPr>
          <w:sz w:val="24"/>
        </w:rPr>
        <w:t>（证券代码：</w:t>
      </w:r>
      <w:r w:rsidRPr="002801CE">
        <w:rPr>
          <w:sz w:val="24"/>
        </w:rPr>
        <w:t>111915231</w:t>
      </w:r>
      <w:r w:rsidRPr="002801CE">
        <w:rPr>
          <w:sz w:val="24"/>
        </w:rPr>
        <w:t>）外，未出现被监管部门立案调查，或在报告编制日前一年内受到公开谴责、处罚的情形。</w:t>
      </w:r>
    </w:p>
    <w:p w:rsidR="004A0015" w:rsidRDefault="00BD024B">
      <w:pPr>
        <w:spacing w:line="360" w:lineRule="auto"/>
        <w:rPr>
          <w:bCs/>
          <w:sz w:val="24"/>
        </w:rPr>
      </w:pPr>
      <w:r>
        <w:rPr>
          <w:sz w:val="24"/>
        </w:rPr>
        <w:t>报告期内本基金投资的前十名证券之一</w:t>
      </w:r>
      <w:r>
        <w:rPr>
          <w:sz w:val="24"/>
        </w:rPr>
        <w:t>19</w:t>
      </w:r>
      <w:r>
        <w:rPr>
          <w:sz w:val="24"/>
        </w:rPr>
        <w:t>民生银行</w:t>
      </w:r>
      <w:r>
        <w:rPr>
          <w:sz w:val="24"/>
        </w:rPr>
        <w:t>CD231</w:t>
      </w:r>
      <w:r>
        <w:rPr>
          <w:sz w:val="24"/>
        </w:rPr>
        <w:t>（证券代码：</w:t>
      </w:r>
      <w:r>
        <w:rPr>
          <w:sz w:val="24"/>
        </w:rPr>
        <w:t>111915231</w:t>
      </w:r>
      <w:r>
        <w:rPr>
          <w:sz w:val="24"/>
        </w:rPr>
        <w:t>）的发行主体民生银行，根据银保监会</w:t>
      </w:r>
      <w:r>
        <w:rPr>
          <w:sz w:val="24"/>
        </w:rPr>
        <w:t>2018</w:t>
      </w:r>
      <w:r>
        <w:rPr>
          <w:sz w:val="24"/>
        </w:rPr>
        <w:t>年</w:t>
      </w:r>
      <w:r>
        <w:rPr>
          <w:sz w:val="24"/>
        </w:rPr>
        <w:t>12</w:t>
      </w:r>
      <w:r>
        <w:rPr>
          <w:sz w:val="24"/>
        </w:rPr>
        <w:t>月</w:t>
      </w:r>
      <w:r>
        <w:rPr>
          <w:sz w:val="24"/>
        </w:rPr>
        <w:t>7</w:t>
      </w:r>
      <w:r>
        <w:rPr>
          <w:sz w:val="24"/>
        </w:rPr>
        <w:t>日公布的《中国银行保险监督管理委员会行政处罚信息公开表</w:t>
      </w:r>
      <w:r>
        <w:rPr>
          <w:sz w:val="24"/>
        </w:rPr>
        <w:t>(</w:t>
      </w:r>
      <w:r>
        <w:rPr>
          <w:sz w:val="24"/>
        </w:rPr>
        <w:t>银保监银罚决字〔</w:t>
      </w:r>
      <w:r>
        <w:rPr>
          <w:sz w:val="24"/>
        </w:rPr>
        <w:t>2018</w:t>
      </w:r>
      <w:r>
        <w:rPr>
          <w:sz w:val="24"/>
        </w:rPr>
        <w:t>〕</w:t>
      </w:r>
      <w:r>
        <w:rPr>
          <w:sz w:val="24"/>
        </w:rPr>
        <w:t>5</w:t>
      </w:r>
      <w:r>
        <w:rPr>
          <w:sz w:val="24"/>
        </w:rPr>
        <w:t>号</w:t>
      </w:r>
      <w:r>
        <w:rPr>
          <w:sz w:val="24"/>
        </w:rPr>
        <w:t>)</w:t>
      </w:r>
      <w:r>
        <w:rPr>
          <w:sz w:val="24"/>
        </w:rPr>
        <w:t>》，因存在贷款业务严重违反审慎经营规则等违法违规事实，被中国银行保险监督管理委员会处以行政处罚，罚款</w:t>
      </w:r>
      <w:r>
        <w:rPr>
          <w:sz w:val="24"/>
        </w:rPr>
        <w:t>200</w:t>
      </w:r>
      <w:r>
        <w:rPr>
          <w:sz w:val="24"/>
        </w:rPr>
        <w:t>万元；根据银保监会</w:t>
      </w:r>
      <w:r>
        <w:rPr>
          <w:sz w:val="24"/>
        </w:rPr>
        <w:t>2018</w:t>
      </w:r>
      <w:r>
        <w:rPr>
          <w:sz w:val="24"/>
        </w:rPr>
        <w:t>年</w:t>
      </w:r>
      <w:r>
        <w:rPr>
          <w:sz w:val="24"/>
        </w:rPr>
        <w:t>12</w:t>
      </w:r>
      <w:r>
        <w:rPr>
          <w:sz w:val="24"/>
        </w:rPr>
        <w:t>月</w:t>
      </w:r>
      <w:r>
        <w:rPr>
          <w:sz w:val="24"/>
        </w:rPr>
        <w:t>7</w:t>
      </w:r>
      <w:r>
        <w:rPr>
          <w:sz w:val="24"/>
        </w:rPr>
        <w:t>日公布的《中国银行保险监督管理委员会行政处罚信息公开表</w:t>
      </w:r>
      <w:r>
        <w:rPr>
          <w:sz w:val="24"/>
        </w:rPr>
        <w:t>(</w:t>
      </w:r>
      <w:r>
        <w:rPr>
          <w:sz w:val="24"/>
        </w:rPr>
        <w:t>银保监银罚决字〔</w:t>
      </w:r>
      <w:r>
        <w:rPr>
          <w:sz w:val="24"/>
        </w:rPr>
        <w:t>2018</w:t>
      </w:r>
      <w:r>
        <w:rPr>
          <w:sz w:val="24"/>
        </w:rPr>
        <w:t>〕</w:t>
      </w:r>
      <w:r>
        <w:rPr>
          <w:sz w:val="24"/>
        </w:rPr>
        <w:t>8</w:t>
      </w:r>
      <w:r>
        <w:rPr>
          <w:sz w:val="24"/>
        </w:rPr>
        <w:t>号</w:t>
      </w:r>
      <w:r>
        <w:rPr>
          <w:sz w:val="24"/>
        </w:rPr>
        <w:t>)</w:t>
      </w:r>
      <w:r>
        <w:rPr>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w:t>
      </w:r>
      <w:r>
        <w:rPr>
          <w:sz w:val="24"/>
        </w:rPr>
        <w:lastRenderedPageBreak/>
        <w:t>据代理未明示，增信未簿记和计提资本占用、为非保本理财产品提供保本承诺等违法违规事实，被中国银行保险监督管理委员会处以行政处罚，罚款</w:t>
      </w:r>
      <w:r>
        <w:rPr>
          <w:sz w:val="24"/>
        </w:rPr>
        <w:t>3160</w:t>
      </w:r>
      <w:r>
        <w:rPr>
          <w:sz w:val="24"/>
        </w:rPr>
        <w:t>万元。</w:t>
      </w:r>
    </w:p>
    <w:p w:rsidR="004A0015" w:rsidRDefault="00BD024B">
      <w:pPr>
        <w:spacing w:line="360" w:lineRule="auto"/>
        <w:rPr>
          <w:bCs/>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81,474,556.32</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700.00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81,475,256.32</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34"/>
        <w:gridCol w:w="720"/>
        <w:gridCol w:w="1716"/>
        <w:gridCol w:w="2008"/>
        <w:gridCol w:w="1076"/>
        <w:gridCol w:w="147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w:t>
            </w:r>
            <w:r w:rsidRPr="00495552">
              <w:rPr>
                <w:sz w:val="24"/>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w:t>
            </w:r>
            <w:r w:rsidRPr="00495552">
              <w:rPr>
                <w:sz w:val="24"/>
              </w:rPr>
              <w:lastRenderedPageBreak/>
              <w:t>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lastRenderedPageBreak/>
              <w:t>交银理财</w:t>
            </w:r>
            <w:r w:rsidRPr="00495552">
              <w:rPr>
                <w:bCs/>
                <w:sz w:val="24"/>
              </w:rPr>
              <w:t>21</w:t>
            </w:r>
            <w:r w:rsidRPr="00495552">
              <w:rPr>
                <w:bCs/>
                <w:sz w:val="24"/>
              </w:rPr>
              <w:t>天债券</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666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14,299.40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3,384.09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0.04%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9,520,015.27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99.96%</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21</w:t>
            </w:r>
            <w:r w:rsidRPr="00495552">
              <w:rPr>
                <w:bCs/>
                <w:sz w:val="24"/>
              </w:rPr>
              <w:t>天债券</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858,485,784.46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16,311,229,904.81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685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23,825,917.23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16,311,233,288.90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9,520,015.27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0.06%</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5"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5"/>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21</w:t>
            </w:r>
            <w:r w:rsidRPr="0061644B">
              <w:rPr>
                <w:sz w:val="24"/>
              </w:rPr>
              <w:t>天债券</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1,259.54</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21</w:t>
            </w:r>
            <w:r w:rsidRPr="0061644B">
              <w:rPr>
                <w:sz w:val="24"/>
              </w:rPr>
              <w:t>天债券</w:t>
            </w:r>
            <w:r w:rsidRPr="0061644B">
              <w:rPr>
                <w:sz w:val="24"/>
              </w:rPr>
              <w:t>B</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1,259.54</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36" w:name="_Toc331410115"/>
      <w:bookmarkStart w:id="37" w:name="_Toc225500053"/>
      <w:r w:rsidRPr="0061644B">
        <w:rPr>
          <w:b/>
          <w:bCs/>
          <w:szCs w:val="24"/>
          <w:lang w:val="en-US"/>
        </w:rPr>
        <w:t>9</w:t>
      </w:r>
      <w:r w:rsidR="006D141C" w:rsidRPr="0061644B">
        <w:rPr>
          <w:b/>
          <w:bCs/>
          <w:szCs w:val="24"/>
          <w:lang w:val="en-US"/>
        </w:rPr>
        <w:t>开放式基金份额变动</w:t>
      </w:r>
      <w:bookmarkEnd w:id="36"/>
      <w:bookmarkEnd w:id="37"/>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2012</w:t>
            </w:r>
            <w:r w:rsidRPr="0061644B">
              <w:rPr>
                <w:sz w:val="24"/>
              </w:rPr>
              <w:t>年</w:t>
            </w:r>
            <w:r w:rsidRPr="0061644B">
              <w:rPr>
                <w:sz w:val="24"/>
              </w:rPr>
              <w:t>11</w:t>
            </w:r>
            <w:r w:rsidRPr="0061644B">
              <w:rPr>
                <w:sz w:val="24"/>
              </w:rPr>
              <w:t>月</w:t>
            </w:r>
            <w:r w:rsidRPr="0061644B">
              <w:rPr>
                <w:sz w:val="24"/>
              </w:rPr>
              <w:t>5</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lastRenderedPageBreak/>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13,326,104.44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22,881,515,242.07</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161,007.17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314,809,743.53</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3,963,712.25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6,885,095,080.79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9,523,399.36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16,311,229,904.81</w:t>
            </w:r>
          </w:p>
        </w:tc>
      </w:tr>
    </w:tbl>
    <w:p w:rsidR="004A0015" w:rsidRDefault="00BD024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4A0015" w:rsidRDefault="00BD024B">
      <w:pPr>
        <w:tabs>
          <w:tab w:val="left" w:pos="426"/>
        </w:tabs>
        <w:spacing w:before="29" w:line="288" w:lineRule="auto"/>
        <w:jc w:val="left"/>
        <w:rPr>
          <w:kern w:val="0"/>
          <w:sz w:val="24"/>
        </w:rPr>
      </w:pPr>
      <w:r>
        <w:rPr>
          <w:kern w:val="0"/>
          <w:sz w:val="24"/>
        </w:rPr>
        <w:t>2</w:t>
      </w:r>
      <w:r>
        <w:rPr>
          <w:kern w:val="0"/>
          <w:sz w:val="24"/>
        </w:rPr>
        <w:t>、如果本报告期间发生转换出、份额类别调整业务，则总赎回份额中包含该业务；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3</w:t>
      </w:r>
      <w:r w:rsidRPr="0061644B">
        <w:rPr>
          <w:kern w:val="0"/>
          <w:sz w:val="24"/>
        </w:rPr>
        <w:t>、本基金于</w:t>
      </w:r>
      <w:r w:rsidRPr="0061644B">
        <w:rPr>
          <w:kern w:val="0"/>
          <w:sz w:val="24"/>
        </w:rPr>
        <w:t>2013</w:t>
      </w:r>
      <w:r w:rsidRPr="0061644B">
        <w:rPr>
          <w:kern w:val="0"/>
          <w:sz w:val="24"/>
        </w:rPr>
        <w:t>年</w:t>
      </w:r>
      <w:r w:rsidRPr="0061644B">
        <w:rPr>
          <w:kern w:val="0"/>
          <w:sz w:val="24"/>
        </w:rPr>
        <w:t>1</w:t>
      </w:r>
      <w:r w:rsidRPr="0061644B">
        <w:rPr>
          <w:kern w:val="0"/>
          <w:sz w:val="24"/>
        </w:rPr>
        <w:t>月</w:t>
      </w:r>
      <w:r w:rsidRPr="0061644B">
        <w:rPr>
          <w:kern w:val="0"/>
          <w:sz w:val="24"/>
        </w:rPr>
        <w:t>9</w:t>
      </w:r>
      <w:r w:rsidRPr="0061644B">
        <w:rPr>
          <w:kern w:val="0"/>
          <w:sz w:val="24"/>
        </w:rPr>
        <w:t>日起实行销售服务费分类收费模式。</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38" w:name="_Toc331410116"/>
      <w:bookmarkStart w:id="39" w:name="_Toc225500054"/>
      <w:r w:rsidRPr="00B54CAD">
        <w:rPr>
          <w:b/>
          <w:bCs/>
          <w:szCs w:val="24"/>
          <w:lang w:val="en-US"/>
        </w:rPr>
        <w:t>10</w:t>
      </w:r>
      <w:r w:rsidRPr="00B54CAD">
        <w:rPr>
          <w:b/>
          <w:bCs/>
          <w:szCs w:val="24"/>
          <w:lang w:val="en-US"/>
        </w:rPr>
        <w:t>重大事件揭示</w:t>
      </w:r>
      <w:bookmarkEnd w:id="38"/>
      <w:bookmarkEnd w:id="39"/>
    </w:p>
    <w:p w:rsidR="00B54CAD" w:rsidRPr="00B54CAD" w:rsidRDefault="00B54CAD" w:rsidP="00B54CAD">
      <w:pPr>
        <w:pStyle w:val="20"/>
        <w:spacing w:before="29" w:after="0" w:line="288" w:lineRule="auto"/>
        <w:rPr>
          <w:rFonts w:ascii="Times New Roman" w:hAnsi="Times New Roman"/>
          <w:kern w:val="0"/>
          <w:szCs w:val="24"/>
        </w:rPr>
      </w:pPr>
      <w:bookmarkStart w:id="40" w:name="_Toc374438161"/>
      <w:bookmarkStart w:id="41" w:name="_Toc361324894"/>
      <w:bookmarkStart w:id="42" w:name="OLE_LINK179"/>
      <w:bookmarkStart w:id="43" w:name="OLE_LINK178"/>
      <w:bookmarkStart w:id="44" w:name="OLE_LINK174"/>
      <w:bookmarkStart w:id="45" w:name="OLE_LINK165"/>
      <w:bookmarkStart w:id="46" w:name="OLE_LINK145"/>
      <w:bookmarkStart w:id="47" w:name="OLE_LINK135"/>
      <w:bookmarkStart w:id="48" w:name="OLE_LINK84"/>
      <w:bookmarkStart w:id="49" w:name="OLE_LINK75"/>
      <w:bookmarkStart w:id="50" w:name="OLE_LINK59"/>
      <w:bookmarkStart w:id="51" w:name="OLE_LINK34"/>
      <w:bookmarkStart w:id="52" w:name="OLE_LINK33"/>
      <w:bookmarkStart w:id="53" w:name="OLE_LINK28"/>
      <w:bookmarkStart w:id="54" w:name="OLE_LINK170"/>
      <w:bookmarkStart w:id="55" w:name="OLE_LINK159"/>
      <w:bookmarkStart w:id="56" w:name="OLE_LINK143"/>
      <w:bookmarkStart w:id="57" w:name="OLE_LINK130"/>
      <w:bookmarkStart w:id="58" w:name="OLE_LINK102"/>
      <w:bookmarkStart w:id="59" w:name="OLE_LINK101"/>
      <w:bookmarkStart w:id="60" w:name="OLE_LINK72"/>
      <w:bookmarkStart w:id="61" w:name="OLE_LINK50"/>
      <w:bookmarkStart w:id="62"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0"/>
      <w:bookmarkEnd w:id="41"/>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3" w:name="_Toc374438162"/>
      <w:bookmarkStart w:id="64"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3"/>
      <w:bookmarkEnd w:id="64"/>
    </w:p>
    <w:p w:rsidR="004A0015" w:rsidRDefault="00BD024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、基金托管人的基金托管部门的重大人事变动：本基金托管人中国农业银行股份有限公司于</w:t>
      </w:r>
      <w:r w:rsidRPr="00B54CAD">
        <w:rPr>
          <w:kern w:val="0"/>
          <w:sz w:val="24"/>
        </w:rPr>
        <w:t>2019</w:t>
      </w:r>
      <w:r w:rsidRPr="00B54CAD">
        <w:rPr>
          <w:kern w:val="0"/>
          <w:sz w:val="24"/>
        </w:rPr>
        <w:t>年</w:t>
      </w:r>
      <w:r w:rsidRPr="00B54CAD">
        <w:rPr>
          <w:kern w:val="0"/>
          <w:sz w:val="24"/>
        </w:rPr>
        <w:t>1</w:t>
      </w:r>
      <w:r w:rsidRPr="00B54CAD">
        <w:rPr>
          <w:kern w:val="0"/>
          <w:sz w:val="24"/>
        </w:rPr>
        <w:t>月免去史静欣托管业务部副总裁职务，</w:t>
      </w:r>
      <w:r w:rsidRPr="00B54CAD">
        <w:rPr>
          <w:kern w:val="0"/>
          <w:sz w:val="24"/>
        </w:rPr>
        <w:t>2019</w:t>
      </w:r>
      <w:r w:rsidRPr="00B54CAD">
        <w:rPr>
          <w:kern w:val="0"/>
          <w:sz w:val="24"/>
        </w:rPr>
        <w:t>年</w:t>
      </w:r>
      <w:r w:rsidRPr="00B54CAD">
        <w:rPr>
          <w:kern w:val="0"/>
          <w:sz w:val="24"/>
        </w:rPr>
        <w:t>4</w:t>
      </w:r>
      <w:r w:rsidRPr="00B54CAD">
        <w:rPr>
          <w:kern w:val="0"/>
          <w:sz w:val="24"/>
        </w:rPr>
        <w:t>月免去马曙光托管业务部总裁职务。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5" w:name="_Toc374438163"/>
      <w:bookmarkStart w:id="66"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5"/>
      <w:bookmarkEnd w:id="66"/>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4"/>
      <w:bookmarkStart w:id="68"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67"/>
      <w:bookmarkEnd w:id="68"/>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409100103"/>
      <w:bookmarkStart w:id="70"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69"/>
      <w:bookmarkEnd w:id="70"/>
    </w:p>
    <w:p w:rsidR="00B54CAD" w:rsidRPr="00B54CAD" w:rsidRDefault="00B54CAD" w:rsidP="00B54CAD">
      <w:pPr>
        <w:tabs>
          <w:tab w:val="left" w:pos="426"/>
        </w:tabs>
        <w:spacing w:before="29" w:line="288" w:lineRule="auto"/>
        <w:jc w:val="left"/>
        <w:rPr>
          <w:kern w:val="0"/>
          <w:sz w:val="24"/>
        </w:rPr>
      </w:pPr>
      <w:bookmarkStart w:id="71" w:name="OLE_LINK3"/>
      <w:r w:rsidRPr="00B54CAD">
        <w:rPr>
          <w:kern w:val="0"/>
          <w:sz w:val="24"/>
        </w:rPr>
        <w:t>本基金自基金合同生效日起聘请普华永道中天会计师事务所（特殊普通合伙）为本基金提供审计服务。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2" w:name="_Toc361324899"/>
      <w:bookmarkStart w:id="73" w:name="_Toc409100467"/>
      <w:bookmarkStart w:id="74" w:name="_Toc409100104"/>
      <w:bookmarkEnd w:id="71"/>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2"/>
      <w:bookmarkEnd w:id="73"/>
      <w:bookmarkEnd w:id="74"/>
    </w:p>
    <w:p w:rsidR="004A0015" w:rsidRDefault="00BD024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A0015" w:rsidRDefault="00BD024B">
      <w:pPr>
        <w:tabs>
          <w:tab w:val="left" w:pos="426"/>
        </w:tabs>
        <w:spacing w:before="29" w:line="288" w:lineRule="auto"/>
        <w:jc w:val="left"/>
        <w:rPr>
          <w:kern w:val="0"/>
          <w:sz w:val="24"/>
        </w:rPr>
      </w:pPr>
      <w:r>
        <w:rPr>
          <w:kern w:val="0"/>
          <w:sz w:val="24"/>
        </w:rPr>
        <w:t>基金管理人及其高级管理人员本报告期内未受监管部门稽查或处罚。</w:t>
      </w:r>
    </w:p>
    <w:p w:rsidR="004A0015" w:rsidRDefault="00BD024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5" w:name="_Toc409100105"/>
      <w:bookmarkStart w:id="76" w:name="_Toc409100468"/>
      <w:bookmarkStart w:id="77"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5"/>
      <w:bookmarkEnd w:id="76"/>
      <w:bookmarkEnd w:id="77"/>
    </w:p>
    <w:p w:rsidR="00B54CAD" w:rsidRPr="00B54CAD" w:rsidRDefault="00B54CAD" w:rsidP="00B54CAD">
      <w:pPr>
        <w:tabs>
          <w:tab w:val="left" w:pos="426"/>
        </w:tabs>
        <w:spacing w:before="29" w:line="288" w:lineRule="auto"/>
        <w:jc w:val="left"/>
        <w:rPr>
          <w:b/>
          <w:kern w:val="0"/>
          <w:sz w:val="24"/>
        </w:rPr>
      </w:pPr>
      <w:bookmarkStart w:id="78" w:name="_Toc249760070"/>
      <w:r w:rsidRPr="00B54CAD">
        <w:rPr>
          <w:b/>
          <w:kern w:val="0"/>
          <w:sz w:val="24"/>
        </w:rPr>
        <w:t>10.8.1</w:t>
      </w:r>
      <w:r w:rsidRPr="00B54CAD">
        <w:rPr>
          <w:rFonts w:hint="eastAsia"/>
          <w:b/>
          <w:kern w:val="0"/>
          <w:sz w:val="24"/>
        </w:rPr>
        <w:t>基金租用证券公司交易单元进行股票投资及佣金支付情况</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78"/>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79"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4A0015">
        <w:tc>
          <w:tcPr>
            <w:tcW w:w="1559" w:type="dxa"/>
            <w:vAlign w:val="center"/>
          </w:tcPr>
          <w:p w:rsidR="004A0015" w:rsidRDefault="00BD024B">
            <w:pPr>
              <w:jc w:val="center"/>
            </w:pPr>
            <w:r>
              <w:rPr>
                <w:sz w:val="24"/>
              </w:rPr>
              <w:t>申万宏源证券有限公司</w:t>
            </w:r>
          </w:p>
        </w:tc>
        <w:tc>
          <w:tcPr>
            <w:tcW w:w="779" w:type="dxa"/>
            <w:vAlign w:val="center"/>
          </w:tcPr>
          <w:p w:rsidR="004A0015" w:rsidRDefault="00BD024B">
            <w:pPr>
              <w:jc w:val="right"/>
            </w:pPr>
            <w:r>
              <w:rPr>
                <w:sz w:val="24"/>
              </w:rPr>
              <w:t>1</w:t>
            </w:r>
          </w:p>
        </w:tc>
        <w:tc>
          <w:tcPr>
            <w:tcW w:w="1800" w:type="dxa"/>
            <w:vAlign w:val="center"/>
          </w:tcPr>
          <w:p w:rsidR="004A0015" w:rsidRDefault="00BD024B">
            <w:pPr>
              <w:jc w:val="right"/>
            </w:pPr>
            <w:r>
              <w:rPr>
                <w:sz w:val="24"/>
              </w:rPr>
              <w:t>-</w:t>
            </w:r>
          </w:p>
        </w:tc>
        <w:tc>
          <w:tcPr>
            <w:tcW w:w="1080" w:type="dxa"/>
            <w:vAlign w:val="center"/>
          </w:tcPr>
          <w:p w:rsidR="004A0015" w:rsidRDefault="00BD024B">
            <w:pPr>
              <w:jc w:val="right"/>
            </w:pPr>
            <w:r>
              <w:rPr>
                <w:sz w:val="24"/>
              </w:rPr>
              <w:t>-</w:t>
            </w:r>
          </w:p>
        </w:tc>
        <w:tc>
          <w:tcPr>
            <w:tcW w:w="1620" w:type="dxa"/>
            <w:vAlign w:val="center"/>
          </w:tcPr>
          <w:p w:rsidR="004A0015" w:rsidRDefault="00BD024B">
            <w:pPr>
              <w:jc w:val="right"/>
            </w:pPr>
            <w:r>
              <w:rPr>
                <w:sz w:val="24"/>
              </w:rPr>
              <w:t>-</w:t>
            </w:r>
          </w:p>
        </w:tc>
        <w:tc>
          <w:tcPr>
            <w:tcW w:w="1080" w:type="dxa"/>
            <w:vAlign w:val="center"/>
          </w:tcPr>
          <w:p w:rsidR="004A0015" w:rsidRDefault="00BD024B">
            <w:pPr>
              <w:jc w:val="right"/>
            </w:pPr>
            <w:r>
              <w:rPr>
                <w:sz w:val="24"/>
              </w:rPr>
              <w:t>-</w:t>
            </w:r>
          </w:p>
        </w:tc>
        <w:tc>
          <w:tcPr>
            <w:tcW w:w="1080" w:type="dxa"/>
            <w:vAlign w:val="center"/>
          </w:tcPr>
          <w:p w:rsidR="004A0015" w:rsidRDefault="00BD024B">
            <w:pPr>
              <w:jc w:val="left"/>
            </w:pPr>
            <w:r>
              <w:rPr>
                <w:sz w:val="24"/>
              </w:rPr>
              <w:t>-</w:t>
            </w:r>
          </w:p>
        </w:tc>
      </w:tr>
      <w:tr w:rsidR="004A0015">
        <w:tc>
          <w:tcPr>
            <w:tcW w:w="1559" w:type="dxa"/>
            <w:vAlign w:val="center"/>
          </w:tcPr>
          <w:p w:rsidR="004A0015" w:rsidRDefault="00BD024B">
            <w:pPr>
              <w:jc w:val="center"/>
            </w:pPr>
            <w:r>
              <w:rPr>
                <w:sz w:val="24"/>
              </w:rPr>
              <w:t>中国国际金融股份有限公司</w:t>
            </w:r>
          </w:p>
        </w:tc>
        <w:tc>
          <w:tcPr>
            <w:tcW w:w="779" w:type="dxa"/>
            <w:vAlign w:val="center"/>
          </w:tcPr>
          <w:p w:rsidR="004A0015" w:rsidRDefault="00BD024B">
            <w:pPr>
              <w:jc w:val="right"/>
            </w:pPr>
            <w:r>
              <w:rPr>
                <w:sz w:val="24"/>
              </w:rPr>
              <w:t>1</w:t>
            </w:r>
          </w:p>
        </w:tc>
        <w:tc>
          <w:tcPr>
            <w:tcW w:w="1800" w:type="dxa"/>
            <w:vAlign w:val="center"/>
          </w:tcPr>
          <w:p w:rsidR="004A0015" w:rsidRDefault="00BD024B">
            <w:pPr>
              <w:jc w:val="right"/>
            </w:pPr>
            <w:r>
              <w:rPr>
                <w:sz w:val="24"/>
              </w:rPr>
              <w:t>-</w:t>
            </w:r>
          </w:p>
        </w:tc>
        <w:tc>
          <w:tcPr>
            <w:tcW w:w="1080" w:type="dxa"/>
            <w:vAlign w:val="center"/>
          </w:tcPr>
          <w:p w:rsidR="004A0015" w:rsidRDefault="00BD024B">
            <w:pPr>
              <w:jc w:val="right"/>
            </w:pPr>
            <w:r>
              <w:rPr>
                <w:sz w:val="24"/>
              </w:rPr>
              <w:t>-</w:t>
            </w:r>
          </w:p>
        </w:tc>
        <w:tc>
          <w:tcPr>
            <w:tcW w:w="1620" w:type="dxa"/>
            <w:vAlign w:val="center"/>
          </w:tcPr>
          <w:p w:rsidR="004A0015" w:rsidRDefault="00BD024B">
            <w:pPr>
              <w:jc w:val="right"/>
            </w:pPr>
            <w:r>
              <w:rPr>
                <w:sz w:val="24"/>
              </w:rPr>
              <w:t>-</w:t>
            </w:r>
          </w:p>
        </w:tc>
        <w:tc>
          <w:tcPr>
            <w:tcW w:w="1080" w:type="dxa"/>
            <w:vAlign w:val="center"/>
          </w:tcPr>
          <w:p w:rsidR="004A0015" w:rsidRDefault="00BD024B">
            <w:pPr>
              <w:jc w:val="right"/>
            </w:pPr>
            <w:r>
              <w:rPr>
                <w:sz w:val="24"/>
              </w:rPr>
              <w:t>-</w:t>
            </w:r>
          </w:p>
        </w:tc>
        <w:tc>
          <w:tcPr>
            <w:tcW w:w="1080" w:type="dxa"/>
            <w:vAlign w:val="center"/>
          </w:tcPr>
          <w:p w:rsidR="004A0015" w:rsidRDefault="00BD024B">
            <w:pPr>
              <w:jc w:val="left"/>
            </w:pPr>
            <w:r>
              <w:rPr>
                <w:sz w:val="24"/>
              </w:rPr>
              <w:t>-</w:t>
            </w:r>
          </w:p>
        </w:tc>
      </w:tr>
    </w:tbl>
    <w:p w:rsidR="004A0015" w:rsidRDefault="00BD024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A0015" w:rsidRDefault="00BD024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B54CAD" w:rsidRDefault="006D141C" w:rsidP="00792A69">
      <w:pPr>
        <w:tabs>
          <w:tab w:val="left" w:pos="426"/>
        </w:tabs>
        <w:spacing w:before="29" w:line="288" w:lineRule="auto"/>
        <w:jc w:val="left"/>
        <w:rPr>
          <w:kern w:val="0"/>
          <w:sz w:val="24"/>
        </w:rPr>
      </w:pPr>
      <w:r w:rsidRPr="00B54CAD">
        <w:rPr>
          <w:kern w:val="0"/>
          <w:sz w:val="24"/>
        </w:rPr>
        <w:t xml:space="preserve">    3</w:t>
      </w:r>
      <w:r w:rsidRPr="00B54CAD">
        <w:rPr>
          <w:kern w:val="0"/>
          <w:sz w:val="24"/>
        </w:rPr>
        <w:t>、租用证券公司交易单元的程序：首先根据租用证券公司交易单元的选择标准进行综合评价，然后根据评价选择基金交易单元。研究部提交方案，并上报公司批准。</w:t>
      </w:r>
    </w:p>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0" w:name="OLE_LINK177"/>
      <w:bookmarkStart w:id="81" w:name="OLE_LINK176"/>
      <w:bookmarkStart w:id="82" w:name="OLE_LINK175"/>
      <w:bookmarkStart w:id="83" w:name="OLE_LINK156"/>
      <w:bookmarkStart w:id="84" w:name="OLE_LINK146"/>
      <w:bookmarkStart w:id="85" w:name="OLE_LINK108"/>
      <w:bookmarkStart w:id="86" w:name="OLE_LINK37"/>
      <w:bookmarkStart w:id="87" w:name="OLE_LINK36"/>
      <w:bookmarkStart w:id="88" w:name="OLE_LINK35"/>
      <w:bookmarkStart w:id="89" w:name="OLE_LINK32"/>
      <w:bookmarkStart w:id="90" w:name="OLE_LINK31"/>
      <w:bookmarkStart w:id="91" w:name="OLE_LINK30"/>
      <w:bookmarkStart w:id="92" w:name="OLE_LINK29"/>
      <w:bookmarkEnd w:id="79"/>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0"/>
      <w:bookmarkEnd w:id="81"/>
      <w:bookmarkEnd w:id="82"/>
      <w:bookmarkEnd w:id="83"/>
      <w:bookmarkEnd w:id="84"/>
      <w:bookmarkEnd w:id="85"/>
      <w:bookmarkEnd w:id="86"/>
      <w:bookmarkEnd w:id="87"/>
      <w:bookmarkEnd w:id="88"/>
      <w:bookmarkEnd w:id="89"/>
      <w:bookmarkEnd w:id="90"/>
      <w:bookmarkEnd w:id="91"/>
      <w:bookmarkEnd w:id="92"/>
    </w:p>
    <w:p w:rsidR="006D141C" w:rsidRPr="0061644B" w:rsidRDefault="006D141C" w:rsidP="00792A69">
      <w:pPr>
        <w:tabs>
          <w:tab w:val="left" w:pos="426"/>
        </w:tabs>
        <w:spacing w:before="29" w:line="288" w:lineRule="auto"/>
        <w:jc w:val="left"/>
        <w:rPr>
          <w:kern w:val="0"/>
          <w:sz w:val="24"/>
        </w:rPr>
      </w:pPr>
      <w:r w:rsidRPr="0061644B">
        <w:rPr>
          <w:kern w:val="0"/>
          <w:sz w:val="24"/>
        </w:rPr>
        <w:t>无。</w:t>
      </w: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3"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3"/>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A0015">
        <w:tc>
          <w:tcPr>
            <w:tcW w:w="993" w:type="dxa"/>
          </w:tcPr>
          <w:p w:rsidR="004A0015" w:rsidRDefault="004A0015"/>
          <w:p w:rsidR="004A0015" w:rsidRDefault="00BD024B">
            <w:r>
              <w:rPr>
                <w:rFonts w:ascii="宋体" w:hAnsi="宋体" w:hint="eastAsia"/>
                <w:bCs/>
                <w:color w:val="000000"/>
                <w:kern w:val="0"/>
                <w:szCs w:val="21"/>
              </w:rPr>
              <w:t>机构</w:t>
            </w:r>
          </w:p>
        </w:tc>
        <w:tc>
          <w:tcPr>
            <w:tcW w:w="992" w:type="dxa"/>
            <w:vAlign w:val="center"/>
          </w:tcPr>
          <w:p w:rsidR="004A0015" w:rsidRDefault="00BD024B">
            <w:pPr>
              <w:jc w:val="center"/>
            </w:pPr>
            <w:r>
              <w:rPr>
                <w:rFonts w:ascii="宋体" w:hAnsi="宋体"/>
                <w:color w:val="000000"/>
                <w:kern w:val="0"/>
                <w:szCs w:val="21"/>
              </w:rPr>
              <w:t>1</w:t>
            </w:r>
          </w:p>
        </w:tc>
        <w:tc>
          <w:tcPr>
            <w:tcW w:w="1843" w:type="dxa"/>
            <w:vAlign w:val="center"/>
          </w:tcPr>
          <w:p w:rsidR="004A0015" w:rsidRDefault="00BD024B">
            <w:pPr>
              <w:jc w:val="center"/>
            </w:pPr>
            <w:r>
              <w:rPr>
                <w:rFonts w:ascii="宋体" w:hAnsi="宋体"/>
                <w:color w:val="000000"/>
                <w:kern w:val="0"/>
                <w:szCs w:val="21"/>
              </w:rPr>
              <w:t>2019/1/1-2019/6/30</w:t>
            </w:r>
          </w:p>
        </w:tc>
        <w:tc>
          <w:tcPr>
            <w:tcW w:w="851" w:type="dxa"/>
            <w:vAlign w:val="center"/>
          </w:tcPr>
          <w:p w:rsidR="004A0015" w:rsidRDefault="00BD024B">
            <w:pPr>
              <w:jc w:val="center"/>
            </w:pPr>
            <w:r>
              <w:rPr>
                <w:rFonts w:ascii="宋体" w:hAnsi="宋体"/>
                <w:color w:val="000000"/>
                <w:kern w:val="0"/>
                <w:szCs w:val="21"/>
              </w:rPr>
              <w:t>6,400,184,453.15</w:t>
            </w:r>
          </w:p>
        </w:tc>
        <w:tc>
          <w:tcPr>
            <w:tcW w:w="850" w:type="dxa"/>
            <w:vAlign w:val="center"/>
          </w:tcPr>
          <w:p w:rsidR="004A0015" w:rsidRDefault="00BD024B">
            <w:pPr>
              <w:jc w:val="center"/>
            </w:pPr>
            <w:r>
              <w:rPr>
                <w:rFonts w:ascii="宋体" w:hAnsi="宋体"/>
                <w:color w:val="000000"/>
                <w:kern w:val="0"/>
                <w:szCs w:val="21"/>
              </w:rPr>
              <w:t>99,427,450.75</w:t>
            </w:r>
          </w:p>
        </w:tc>
        <w:tc>
          <w:tcPr>
            <w:tcW w:w="1134" w:type="dxa"/>
            <w:vAlign w:val="center"/>
          </w:tcPr>
          <w:p w:rsidR="004A0015" w:rsidRDefault="00BD024B">
            <w:pPr>
              <w:jc w:val="center"/>
            </w:pPr>
            <w:r>
              <w:rPr>
                <w:rFonts w:ascii="宋体" w:hAnsi="宋体"/>
                <w:color w:val="000000"/>
                <w:kern w:val="0"/>
                <w:szCs w:val="21"/>
              </w:rPr>
              <w:t>2,000,000,000.00</w:t>
            </w:r>
          </w:p>
        </w:tc>
        <w:tc>
          <w:tcPr>
            <w:tcW w:w="1419" w:type="dxa"/>
            <w:vAlign w:val="center"/>
          </w:tcPr>
          <w:p w:rsidR="004A0015" w:rsidRDefault="00BD024B">
            <w:pPr>
              <w:jc w:val="center"/>
            </w:pPr>
            <w:r>
              <w:rPr>
                <w:rFonts w:ascii="宋体" w:hAnsi="宋体"/>
                <w:color w:val="000000"/>
                <w:kern w:val="0"/>
                <w:szCs w:val="21"/>
              </w:rPr>
              <w:t>4,499,611,903.90</w:t>
            </w:r>
          </w:p>
        </w:tc>
        <w:tc>
          <w:tcPr>
            <w:tcW w:w="1130" w:type="dxa"/>
            <w:vAlign w:val="center"/>
          </w:tcPr>
          <w:p w:rsidR="004A0015" w:rsidRDefault="00BD024B">
            <w:pPr>
              <w:jc w:val="center"/>
            </w:pPr>
            <w:r>
              <w:rPr>
                <w:rFonts w:ascii="宋体" w:hAnsi="宋体"/>
                <w:color w:val="000000"/>
                <w:kern w:val="0"/>
                <w:szCs w:val="21"/>
              </w:rPr>
              <w:t>27.57%</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739AF" w:rsidRDefault="00C739AF"/>
    <w:sectPr w:rsidR="00C739AF"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35A" w:rsidRDefault="001B035A">
      <w:r>
        <w:separator/>
      </w:r>
    </w:p>
  </w:endnote>
  <w:endnote w:type="continuationSeparator" w:id="0">
    <w:p w:rsidR="001B035A" w:rsidRDefault="001B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003A07">
      <w:rPr>
        <w:noProof/>
        <w:kern w:val="0"/>
        <w:szCs w:val="21"/>
      </w:rPr>
      <w:t>3</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003A07">
      <w:rPr>
        <w:noProof/>
        <w:kern w:val="0"/>
        <w:szCs w:val="21"/>
      </w:rPr>
      <w:t>31</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35A" w:rsidRDefault="001B035A">
      <w:r>
        <w:separator/>
      </w:r>
    </w:p>
  </w:footnote>
  <w:footnote w:type="continuationSeparator" w:id="0">
    <w:p w:rsidR="001B035A" w:rsidRDefault="001B0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交银施罗德理财</w:t>
    </w:r>
    <w:r w:rsidRPr="0023771C">
      <w:rPr>
        <w:rFonts w:hint="eastAsia"/>
      </w:rPr>
      <w:t>21</w:t>
    </w:r>
    <w:r w:rsidRPr="0023771C">
      <w:rPr>
        <w:rFonts w:hint="eastAsia"/>
      </w:rPr>
      <w:t>天债券型证券投资基金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9793D9F"/>
    <w:multiLevelType w:val="multilevel"/>
    <w:tmpl w:val="0409001D"/>
    <w:numStyleLink w:val="3"/>
  </w:abstractNum>
  <w:abstractNum w:abstractNumId="8">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4C22724"/>
    <w:multiLevelType w:val="multilevel"/>
    <w:tmpl w:val="0409001D"/>
    <w:numStyleLink w:val="5"/>
  </w:abstractNum>
  <w:abstractNum w:abstractNumId="15">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3A0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035A"/>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0015"/>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24B"/>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39AF"/>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C87"/>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2002-8182-4E70-BA7E-5C881F37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3437</Words>
  <Characters>19595</Characters>
  <Application>Microsoft Office Word</Application>
  <DocSecurity>0</DocSecurity>
  <Lines>163</Lines>
  <Paragraphs>45</Paragraphs>
  <ScaleCrop>false</ScaleCrop>
  <Company/>
  <LinksUpToDate>false</LinksUpToDate>
  <CharactersWithSpaces>22987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黄莹</cp:lastModifiedBy>
  <cp:revision>23</cp:revision>
  <cp:lastPrinted>2007-07-19T00:46:00Z</cp:lastPrinted>
  <dcterms:created xsi:type="dcterms:W3CDTF">2017-08-23T01:30:00Z</dcterms:created>
  <dcterms:modified xsi:type="dcterms:W3CDTF">2019-12-26T07:44:00Z</dcterms:modified>
</cp:coreProperties>
</file>